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1834B7" w14:paraId="3B16C144" w14:textId="77777777" w:rsidTr="001834B7">
        <w:trPr>
          <w:trHeight w:val="852"/>
          <w:jc w:val="center"/>
        </w:trPr>
        <w:tc>
          <w:tcPr>
            <w:tcW w:w="6946" w:type="dxa"/>
            <w:vMerge w:val="restart"/>
            <w:tcBorders>
              <w:top w:val="nil"/>
              <w:left w:val="nil"/>
              <w:bottom w:val="nil"/>
              <w:right w:val="single" w:sz="4" w:space="0" w:color="auto"/>
            </w:tcBorders>
            <w:hideMark/>
          </w:tcPr>
          <w:p w14:paraId="2176C78B" w14:textId="205B6A12" w:rsidR="001834B7" w:rsidRDefault="001834B7">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21B06FA8" wp14:editId="52F872DD">
                  <wp:extent cx="638175" cy="371475"/>
                  <wp:effectExtent l="0" t="0" r="9525" b="9525"/>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64D1D871" w14:textId="77777777" w:rsidR="001834B7" w:rsidRDefault="001834B7">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616942B0" w14:textId="77777777" w:rsidR="001834B7" w:rsidRDefault="001834B7">
            <w:pPr>
              <w:spacing w:line="140" w:lineRule="atLeast"/>
              <w:jc w:val="right"/>
              <w:rPr>
                <w:rFonts w:cs="Arial"/>
                <w:sz w:val="14"/>
                <w:szCs w:val="14"/>
              </w:rPr>
            </w:pPr>
            <w:r>
              <w:rPr>
                <w:rFonts w:cs="Arial"/>
                <w:sz w:val="14"/>
                <w:szCs w:val="14"/>
              </w:rPr>
              <w:t>A publication of</w:t>
            </w:r>
          </w:p>
          <w:p w14:paraId="1E303966" w14:textId="0D6D98B0" w:rsidR="001834B7" w:rsidRDefault="001834B7">
            <w:pPr>
              <w:jc w:val="right"/>
            </w:pPr>
            <w:r>
              <w:rPr>
                <w:noProof/>
                <w:lang w:val="it-IT" w:eastAsia="it-IT"/>
              </w:rPr>
              <w:drawing>
                <wp:inline distT="0" distB="0" distL="0" distR="0" wp14:anchorId="08B84D36" wp14:editId="558293D1">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1834B7" w14:paraId="40577C28" w14:textId="77777777" w:rsidTr="001834B7">
        <w:trPr>
          <w:trHeight w:val="567"/>
          <w:jc w:val="center"/>
        </w:trPr>
        <w:tc>
          <w:tcPr>
            <w:tcW w:w="0" w:type="auto"/>
            <w:vMerge/>
            <w:tcBorders>
              <w:top w:val="nil"/>
              <w:left w:val="nil"/>
              <w:bottom w:val="nil"/>
              <w:right w:val="single" w:sz="4" w:space="0" w:color="auto"/>
            </w:tcBorders>
            <w:vAlign w:val="center"/>
            <w:hideMark/>
          </w:tcPr>
          <w:p w14:paraId="730124EB" w14:textId="77777777" w:rsidR="001834B7" w:rsidRDefault="001834B7">
            <w:pPr>
              <w:tabs>
                <w:tab w:val="clear" w:pos="7100"/>
              </w:tabs>
              <w:spacing w:line="276" w:lineRule="auto"/>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0DF235B3" w14:textId="77777777" w:rsidR="001834B7" w:rsidRDefault="001834B7">
            <w:pPr>
              <w:spacing w:line="140" w:lineRule="atLeast"/>
              <w:jc w:val="right"/>
              <w:rPr>
                <w:rFonts w:cs="Arial"/>
                <w:sz w:val="14"/>
                <w:szCs w:val="14"/>
              </w:rPr>
            </w:pPr>
            <w:r>
              <w:rPr>
                <w:rFonts w:cs="Arial"/>
                <w:sz w:val="14"/>
                <w:szCs w:val="14"/>
              </w:rPr>
              <w:t>The Italian Association</w:t>
            </w:r>
          </w:p>
          <w:p w14:paraId="2002BDEA" w14:textId="77777777" w:rsidR="001834B7" w:rsidRDefault="001834B7">
            <w:pPr>
              <w:spacing w:line="140" w:lineRule="atLeast"/>
              <w:jc w:val="right"/>
              <w:rPr>
                <w:rFonts w:cs="Arial"/>
                <w:sz w:val="14"/>
                <w:szCs w:val="14"/>
              </w:rPr>
            </w:pPr>
            <w:r>
              <w:rPr>
                <w:rFonts w:cs="Arial"/>
                <w:sz w:val="14"/>
                <w:szCs w:val="14"/>
              </w:rPr>
              <w:t>of Chemical Engineering</w:t>
            </w:r>
          </w:p>
          <w:p w14:paraId="243C8217" w14:textId="77777777" w:rsidR="001834B7" w:rsidRDefault="001834B7">
            <w:pPr>
              <w:spacing w:line="140" w:lineRule="atLeast"/>
              <w:jc w:val="right"/>
              <w:rPr>
                <w:rFonts w:cs="Arial"/>
                <w:sz w:val="13"/>
                <w:szCs w:val="13"/>
              </w:rPr>
            </w:pPr>
            <w:r>
              <w:rPr>
                <w:rFonts w:cs="Arial"/>
                <w:sz w:val="13"/>
                <w:szCs w:val="13"/>
              </w:rPr>
              <w:t>Online at www.cetjournal.it</w:t>
            </w:r>
          </w:p>
        </w:tc>
      </w:tr>
      <w:tr w:rsidR="001834B7" w14:paraId="31FDEF7B" w14:textId="77777777" w:rsidTr="001834B7">
        <w:trPr>
          <w:trHeight w:val="68"/>
          <w:jc w:val="center"/>
        </w:trPr>
        <w:tc>
          <w:tcPr>
            <w:tcW w:w="8789" w:type="dxa"/>
            <w:gridSpan w:val="2"/>
            <w:tcBorders>
              <w:top w:val="nil"/>
              <w:left w:val="nil"/>
              <w:bottom w:val="single" w:sz="4" w:space="0" w:color="auto"/>
              <w:right w:val="nil"/>
            </w:tcBorders>
            <w:hideMark/>
          </w:tcPr>
          <w:p w14:paraId="7742CF2A" w14:textId="77777777" w:rsidR="001834B7" w:rsidRDefault="001834B7">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591266C8" w14:textId="77777777" w:rsidR="001834B7" w:rsidRDefault="001834B7">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10DAA130" w14:textId="77777777" w:rsidR="000A03B2" w:rsidRPr="00B57B36" w:rsidRDefault="000A03B2" w:rsidP="006B0AFE">
      <w:pPr>
        <w:pStyle w:val="CETAuthors"/>
        <w:sectPr w:rsidR="000A03B2" w:rsidRPr="00B57B36" w:rsidSect="000E0631">
          <w:type w:val="continuous"/>
          <w:pgSz w:w="11906" w:h="16838" w:code="9"/>
          <w:pgMar w:top="1701" w:right="1418" w:bottom="1701" w:left="1701" w:header="1701" w:footer="0" w:gutter="0"/>
          <w:cols w:space="708"/>
          <w:titlePg/>
          <w:docGrid w:linePitch="360"/>
        </w:sectPr>
      </w:pPr>
    </w:p>
    <w:p w14:paraId="2E667253" w14:textId="029F5B45" w:rsidR="00E978D0" w:rsidRPr="000E0631" w:rsidRDefault="007A34D1" w:rsidP="000E0631">
      <w:pPr>
        <w:pStyle w:val="CETTitle"/>
      </w:pPr>
      <w:r w:rsidRPr="000E0631">
        <w:lastRenderedPageBreak/>
        <w:t xml:space="preserve">Meta-learning for </w:t>
      </w:r>
      <w:r w:rsidR="00C41510" w:rsidRPr="000E0631">
        <w:t>Safety Management</w:t>
      </w:r>
    </w:p>
    <w:p w14:paraId="2B3CA35C" w14:textId="5FDC3E21" w:rsidR="00E978D0" w:rsidRPr="009031CB" w:rsidRDefault="001C4A2E" w:rsidP="00AB5011">
      <w:pPr>
        <w:pStyle w:val="CETAuthors"/>
        <w:rPr>
          <w:vertAlign w:val="superscript"/>
        </w:rPr>
      </w:pPr>
      <w:r w:rsidRPr="009031CB">
        <w:t>Nicola Paltrinieri</w:t>
      </w:r>
      <w:r w:rsidR="00600535" w:rsidRPr="009031CB">
        <w:rPr>
          <w:vertAlign w:val="superscript"/>
        </w:rPr>
        <w:t>a</w:t>
      </w:r>
      <w:r w:rsidRPr="009031CB">
        <w:rPr>
          <w:vertAlign w:val="superscript"/>
        </w:rPr>
        <w:t>,</w:t>
      </w:r>
      <w:r w:rsidRPr="009031CB">
        <w:t>*</w:t>
      </w:r>
      <w:r w:rsidR="00600535" w:rsidRPr="009031CB">
        <w:t xml:space="preserve">, </w:t>
      </w:r>
      <w:r w:rsidRPr="009031CB">
        <w:t>Riccardo Patriarca</w:t>
      </w:r>
      <w:r w:rsidR="00600535" w:rsidRPr="009031CB">
        <w:rPr>
          <w:vertAlign w:val="superscript"/>
        </w:rPr>
        <w:t>b</w:t>
      </w:r>
      <w:r w:rsidR="00600535" w:rsidRPr="009031CB">
        <w:t xml:space="preserve">, </w:t>
      </w:r>
      <w:r w:rsidR="002F20C2" w:rsidRPr="009031CB">
        <w:t>Elena Stefana</w:t>
      </w:r>
      <w:r w:rsidR="002F20C2" w:rsidRPr="009031CB">
        <w:rPr>
          <w:vertAlign w:val="superscript"/>
        </w:rPr>
        <w:t>c</w:t>
      </w:r>
      <w:r w:rsidR="002F20C2" w:rsidRPr="009031CB">
        <w:t>, Francisco Brocal</w:t>
      </w:r>
      <w:r w:rsidR="002F20C2" w:rsidRPr="009031CB">
        <w:rPr>
          <w:vertAlign w:val="superscript"/>
        </w:rPr>
        <w:t>d</w:t>
      </w:r>
      <w:r w:rsidR="002F20C2" w:rsidRPr="009031CB">
        <w:t>, Ge</w:t>
      </w:r>
      <w:r w:rsidR="0049125F" w:rsidRPr="009031CB">
        <w:t>n</w:t>
      </w:r>
      <w:r w:rsidR="002F20C2" w:rsidRPr="009031CB">
        <w:t>serik Reniers</w:t>
      </w:r>
      <w:r w:rsidR="002F20C2" w:rsidRPr="009031CB">
        <w:rPr>
          <w:vertAlign w:val="superscript"/>
        </w:rPr>
        <w:t>e</w:t>
      </w:r>
    </w:p>
    <w:p w14:paraId="5053C5A8" w14:textId="20A8BA27" w:rsidR="00E978D0" w:rsidRPr="00B57B36" w:rsidRDefault="00E978D0" w:rsidP="00E978D0">
      <w:pPr>
        <w:pStyle w:val="CETAddress"/>
      </w:pPr>
      <w:r w:rsidRPr="00B57B36">
        <w:rPr>
          <w:vertAlign w:val="superscript"/>
        </w:rPr>
        <w:t>a</w:t>
      </w:r>
      <w:r w:rsidR="009D2872" w:rsidRPr="009D2872">
        <w:t>Department of Mechanical and Industrial Engineering, NTNU, Trondheim, Norway</w:t>
      </w:r>
      <w:r w:rsidRPr="00B57B36">
        <w:t xml:space="preserve"> </w:t>
      </w:r>
    </w:p>
    <w:p w14:paraId="0A1C9C9C" w14:textId="77777777" w:rsidR="009D2872" w:rsidRDefault="00E978D0" w:rsidP="00E978D0">
      <w:pPr>
        <w:pStyle w:val="CETAddress"/>
      </w:pPr>
      <w:r w:rsidRPr="00B57B36">
        <w:rPr>
          <w:vertAlign w:val="superscript"/>
        </w:rPr>
        <w:t>b</w:t>
      </w:r>
      <w:r w:rsidR="009D2872" w:rsidRPr="009D2872">
        <w:t>Department of Mechanical and Aerospace Engineering, Sapienza University of Rome, Italy</w:t>
      </w:r>
    </w:p>
    <w:p w14:paraId="38D29194" w14:textId="60651BAB" w:rsidR="00E978D0" w:rsidRDefault="00CA580D" w:rsidP="00E978D0">
      <w:pPr>
        <w:pStyle w:val="CETAddress"/>
      </w:pPr>
      <w:r>
        <w:rPr>
          <w:vertAlign w:val="superscript"/>
        </w:rPr>
        <w:t>c</w:t>
      </w:r>
      <w:r w:rsidR="00A30A96" w:rsidRPr="00A30A96">
        <w:t>Department of Mechanical and Industrial Engineering, University of Brescia, Italy</w:t>
      </w:r>
      <w:r w:rsidR="00E978D0" w:rsidRPr="00A30A96">
        <w:t xml:space="preserve"> </w:t>
      </w:r>
    </w:p>
    <w:p w14:paraId="0D8BCEA2" w14:textId="29F3DA33" w:rsidR="00A30A96" w:rsidRDefault="00CA580D" w:rsidP="00E978D0">
      <w:pPr>
        <w:pStyle w:val="CETAddress"/>
      </w:pPr>
      <w:r>
        <w:rPr>
          <w:vertAlign w:val="superscript"/>
        </w:rPr>
        <w:t>d</w:t>
      </w:r>
      <w:r w:rsidRPr="00CA580D">
        <w:t>Department of Physics, Systems Engineering and Signal Theory, University of Alicante, Spain</w:t>
      </w:r>
    </w:p>
    <w:p w14:paraId="6F699198" w14:textId="397A200F" w:rsidR="00CA580D" w:rsidRDefault="00CA580D" w:rsidP="00E978D0">
      <w:pPr>
        <w:pStyle w:val="CETAddress"/>
      </w:pPr>
      <w:r>
        <w:rPr>
          <w:vertAlign w:val="superscript"/>
        </w:rPr>
        <w:t>e</w:t>
      </w:r>
      <w:r w:rsidR="007D5DDC" w:rsidRPr="007D5DDC">
        <w:t>Faculty of Applied Economics, University of Antwerp Operations Research Group, Belgium</w:t>
      </w:r>
    </w:p>
    <w:p w14:paraId="0127A28D" w14:textId="4B2B95C1" w:rsidR="00E978D0" w:rsidRPr="0028295C" w:rsidRDefault="001D04E7" w:rsidP="00E978D0">
      <w:pPr>
        <w:pStyle w:val="CETemail"/>
      </w:pPr>
      <w:r w:rsidRPr="0028295C">
        <w:t>nicola.paltrinieri@ntnu.no</w:t>
      </w:r>
    </w:p>
    <w:p w14:paraId="6B48768F" w14:textId="77BBBEF0" w:rsidR="004B4CE9" w:rsidRPr="004B4CE9" w:rsidRDefault="004B4CE9" w:rsidP="004B4CE9">
      <w:pPr>
        <w:pStyle w:val="CETBodytext"/>
        <w:rPr>
          <w:lang w:val="en-GB"/>
        </w:rPr>
      </w:pPr>
      <w:r w:rsidRPr="004B4CE9">
        <w:rPr>
          <w:lang w:val="en-GB"/>
        </w:rPr>
        <w:t xml:space="preserve">The experience gathered from </w:t>
      </w:r>
      <w:r w:rsidR="0049125F">
        <w:t>normal industrial operations</w:t>
      </w:r>
      <w:r w:rsidR="0049125F" w:rsidRPr="004B4CE9" w:rsidDel="0049125F">
        <w:rPr>
          <w:lang w:val="en-GB"/>
        </w:rPr>
        <w:t xml:space="preserve"> </w:t>
      </w:r>
      <w:r w:rsidRPr="004B4CE9">
        <w:rPr>
          <w:lang w:val="en-GB"/>
        </w:rPr>
        <w:t xml:space="preserve">allows us to associate its degrading conditions with the potential for an accident. Such association </w:t>
      </w:r>
      <w:r w:rsidR="0075212C">
        <w:rPr>
          <w:lang w:val="en-GB"/>
        </w:rPr>
        <w:t>is the basis for the definition of</w:t>
      </w:r>
      <w:r w:rsidRPr="004B4CE9">
        <w:rPr>
          <w:lang w:val="en-GB"/>
        </w:rPr>
        <w:t xml:space="preserve"> the system risk and appropriate safety measures. If </w:t>
      </w:r>
      <w:r w:rsidR="009D148F">
        <w:rPr>
          <w:lang w:val="en-GB"/>
        </w:rPr>
        <w:t>a skilled</w:t>
      </w:r>
      <w:r w:rsidR="004D2BFB">
        <w:rPr>
          <w:lang w:val="en-GB"/>
        </w:rPr>
        <w:t xml:space="preserve"> operator</w:t>
      </w:r>
      <w:r w:rsidRPr="004B4CE9">
        <w:rPr>
          <w:lang w:val="en-GB"/>
        </w:rPr>
        <w:t xml:space="preserve"> observe</w:t>
      </w:r>
      <w:r w:rsidR="004D2BFB">
        <w:rPr>
          <w:lang w:val="en-GB"/>
        </w:rPr>
        <w:t>s</w:t>
      </w:r>
      <w:r w:rsidRPr="004B4CE9">
        <w:rPr>
          <w:lang w:val="en-GB"/>
        </w:rPr>
        <w:t xml:space="preserve"> </w:t>
      </w:r>
      <w:r w:rsidR="00257018">
        <w:rPr>
          <w:lang w:val="en-GB"/>
        </w:rPr>
        <w:t>further</w:t>
      </w:r>
      <w:r w:rsidRPr="004B4CE9">
        <w:rPr>
          <w:lang w:val="en-GB"/>
        </w:rPr>
        <w:t xml:space="preserve"> degrading conditions, </w:t>
      </w:r>
      <w:r w:rsidR="004D2BFB">
        <w:rPr>
          <w:lang w:val="en-GB"/>
        </w:rPr>
        <w:t>his/her</w:t>
      </w:r>
      <w:r w:rsidRPr="004B4CE9">
        <w:rPr>
          <w:lang w:val="en-GB"/>
        </w:rPr>
        <w:t xml:space="preserve"> mind quickly learn</w:t>
      </w:r>
      <w:r w:rsidR="00257018">
        <w:rPr>
          <w:lang w:val="en-GB"/>
        </w:rPr>
        <w:t>s</w:t>
      </w:r>
      <w:r w:rsidRPr="004B4CE9">
        <w:rPr>
          <w:lang w:val="en-GB"/>
        </w:rPr>
        <w:t xml:space="preserve"> from </w:t>
      </w:r>
      <w:r w:rsidR="00257018">
        <w:rPr>
          <w:lang w:val="en-GB"/>
        </w:rPr>
        <w:t xml:space="preserve">this </w:t>
      </w:r>
      <w:r w:rsidRPr="004B4CE9">
        <w:rPr>
          <w:lang w:val="en-GB"/>
        </w:rPr>
        <w:t>new experience, derive</w:t>
      </w:r>
      <w:r w:rsidR="00C41510">
        <w:rPr>
          <w:lang w:val="en-GB"/>
        </w:rPr>
        <w:t>s</w:t>
      </w:r>
      <w:r w:rsidRPr="004B4CE9">
        <w:rPr>
          <w:lang w:val="en-GB"/>
        </w:rPr>
        <w:t xml:space="preserve"> </w:t>
      </w:r>
      <w:r w:rsidR="00257018">
        <w:rPr>
          <w:lang w:val="en-GB"/>
        </w:rPr>
        <w:t>an updated</w:t>
      </w:r>
      <w:r w:rsidRPr="004B4CE9">
        <w:rPr>
          <w:lang w:val="en-GB"/>
        </w:rPr>
        <w:t xml:space="preserve"> risk level</w:t>
      </w:r>
      <w:r w:rsidR="00C41510">
        <w:rPr>
          <w:lang w:val="en-GB"/>
        </w:rPr>
        <w:t>,</w:t>
      </w:r>
      <w:r w:rsidRPr="004B4CE9">
        <w:rPr>
          <w:lang w:val="en-GB"/>
        </w:rPr>
        <w:t xml:space="preserve"> and tune</w:t>
      </w:r>
      <w:r w:rsidR="00C41510">
        <w:rPr>
          <w:lang w:val="en-GB"/>
        </w:rPr>
        <w:t>s</w:t>
      </w:r>
      <w:r w:rsidRPr="004B4CE9">
        <w:rPr>
          <w:lang w:val="en-GB"/>
        </w:rPr>
        <w:t xml:space="preserve"> the safety measures</w:t>
      </w:r>
      <w:r w:rsidR="0077585B">
        <w:rPr>
          <w:lang w:val="en-GB"/>
        </w:rPr>
        <w:t xml:space="preserve">. </w:t>
      </w:r>
      <w:r w:rsidRPr="004B4CE9">
        <w:rPr>
          <w:lang w:val="en-GB"/>
        </w:rPr>
        <w:t>Similarly, safety management techniques aim to</w:t>
      </w:r>
      <w:r w:rsidR="00450CB5">
        <w:rPr>
          <w:lang w:val="en-GB"/>
        </w:rPr>
        <w:t xml:space="preserve"> construct a</w:t>
      </w:r>
      <w:r w:rsidRPr="004B4CE9">
        <w:rPr>
          <w:lang w:val="en-GB"/>
        </w:rPr>
        <w:t xml:space="preserve"> risk model while learning from </w:t>
      </w:r>
      <w:r w:rsidR="00BF655B">
        <w:rPr>
          <w:lang w:val="en-GB"/>
        </w:rPr>
        <w:t>p</w:t>
      </w:r>
      <w:r w:rsidRPr="004B4CE9">
        <w:rPr>
          <w:lang w:val="en-GB"/>
        </w:rPr>
        <w:t>ast</w:t>
      </w:r>
      <w:r w:rsidR="00C64382">
        <w:rPr>
          <w:lang w:val="en-GB"/>
        </w:rPr>
        <w:t xml:space="preserve"> and new</w:t>
      </w:r>
      <w:r w:rsidRPr="004B4CE9">
        <w:rPr>
          <w:lang w:val="en-GB"/>
        </w:rPr>
        <w:t xml:space="preserve"> observations </w:t>
      </w:r>
      <w:r w:rsidR="000D5714">
        <w:rPr>
          <w:lang w:val="en-GB"/>
        </w:rPr>
        <w:t xml:space="preserve">with the purpose </w:t>
      </w:r>
      <w:r w:rsidRPr="004B4CE9">
        <w:rPr>
          <w:lang w:val="en-GB"/>
        </w:rPr>
        <w:t xml:space="preserve">to warn of an imminent accident. However, the model can be tested only in hindsight, after the occurrence (or the missed occurrence) of an accident. How can we generalise and model </w:t>
      </w:r>
      <w:bookmarkStart w:id="1" w:name="_Hlk20409148"/>
      <w:r w:rsidRPr="004B4CE9">
        <w:rPr>
          <w:lang w:val="en-GB"/>
        </w:rPr>
        <w:t>the risk analysis learning process</w:t>
      </w:r>
      <w:bookmarkEnd w:id="1"/>
      <w:r w:rsidRPr="004B4CE9">
        <w:rPr>
          <w:lang w:val="en-GB"/>
        </w:rPr>
        <w:t>? How can we optimise its configuration towards new observations? Th</w:t>
      </w:r>
      <w:r w:rsidR="00C64382">
        <w:rPr>
          <w:lang w:val="en-GB"/>
        </w:rPr>
        <w:t>is</w:t>
      </w:r>
      <w:r w:rsidRPr="004B4CE9">
        <w:rPr>
          <w:lang w:val="en-GB"/>
        </w:rPr>
        <w:t xml:space="preserve"> study discusses these issues of meta-learning for safety management by considering the case study of a drive-off scenario involving an </w:t>
      </w:r>
      <w:r w:rsidR="007704C5">
        <w:rPr>
          <w:lang w:val="en-GB"/>
        </w:rPr>
        <w:t>o</w:t>
      </w:r>
      <w:r w:rsidRPr="004B4CE9">
        <w:rPr>
          <w:lang w:val="en-GB"/>
        </w:rPr>
        <w:t xml:space="preserve">il </w:t>
      </w:r>
      <w:r w:rsidR="007704C5">
        <w:rPr>
          <w:lang w:val="en-GB"/>
        </w:rPr>
        <w:t>and</w:t>
      </w:r>
      <w:r w:rsidRPr="004B4CE9">
        <w:rPr>
          <w:lang w:val="en-GB"/>
        </w:rPr>
        <w:t xml:space="preserve"> </w:t>
      </w:r>
      <w:r w:rsidR="007704C5">
        <w:rPr>
          <w:lang w:val="en-GB"/>
        </w:rPr>
        <w:t>g</w:t>
      </w:r>
      <w:r w:rsidRPr="004B4CE9">
        <w:rPr>
          <w:lang w:val="en-GB"/>
        </w:rPr>
        <w:t>as drilling rig, for which a risk assessment approach based on machine learning is developed. The results indicate the way forward for a generalisation of risk analysis learning processes and their optimisation.</w:t>
      </w:r>
    </w:p>
    <w:p w14:paraId="476B2F2E" w14:textId="77777777" w:rsidR="00600535" w:rsidRPr="00B57B36" w:rsidRDefault="00600535" w:rsidP="00600535">
      <w:pPr>
        <w:pStyle w:val="CETHeading1"/>
        <w:rPr>
          <w:lang w:val="en-GB"/>
        </w:rPr>
      </w:pPr>
      <w:r w:rsidRPr="00B57B36">
        <w:rPr>
          <w:lang w:val="en-GB"/>
        </w:rPr>
        <w:t>Introduction</w:t>
      </w:r>
    </w:p>
    <w:p w14:paraId="5F079057" w14:textId="5A535147" w:rsidR="00C82C3A" w:rsidRDefault="00C82C3A" w:rsidP="00C82C3A">
      <w:pPr>
        <w:pStyle w:val="CETBodytext"/>
      </w:pPr>
      <w:r w:rsidRPr="000175BB">
        <w:t xml:space="preserve">Shifts in our </w:t>
      </w:r>
      <w:r w:rsidR="00044D57">
        <w:t>assessment</w:t>
      </w:r>
      <w:r w:rsidRPr="000175BB">
        <w:t xml:space="preserve"> of risk are continuously imposed by emergence of new knowledge, reshaping the limits of our actions. This is particularly important in high-risk technical sectors, striving for enhanced system performance, but where accidents can affect </w:t>
      </w:r>
      <w:r w:rsidR="006C1C09" w:rsidRPr="000175BB">
        <w:t>many</w:t>
      </w:r>
      <w:r w:rsidRPr="000175BB">
        <w:t xml:space="preserve"> people. A classic definition of risk is given by Kaplan and Garrick </w:t>
      </w:r>
      <w:r w:rsidRPr="000175BB">
        <w:fldChar w:fldCharType="begin" w:fldLock="1"/>
      </w:r>
      <w:r w:rsidR="00D74B2E">
        <w:instrText>ADDIN CSL_CITATION {"citationItems":[{"id":"ITEM-1","itemData":{"DOI":"10.1111/j.1539-6924.1981.tb01350.x","ISBN":"1539-6924","author":[{"dropping-particle":"","family":"Kaplan","given":"Stanley","non-dropping-particle":"","parse-names":false,"suffix":""},{"dropping-particle":"","family":"Garrick","given":"B John","non-dropping-particle":"","parse-names":false,"suffix":""}],"container-title":"Risk Analysis","id":"ITEM-1","issue":"1","issued":{"date-parts":[["1981"]]},"page":"11-27","publisher":"Blackwell Publishing Ltd","title":"On The Quantitative Definition of Risk","type":"article-journal","volume":"1"},"uris":["http://www.mendeley.com/documents/?uuid=bdf6f40d-385e-4902-b3de-d51d426f8c19","http://www.mendeley.com/documents/?uuid=b8f2c2c5-6e71-4148-8d9b-6e3a25fac621"]}],"mendeley":{"formattedCitation":"(Kaplan and Garrick, 1981)","plainTextFormattedCitation":"(Kaplan and Garrick, 1981)","previouslyFormattedCitation":"(Kaplan and Garrick, 1981)"},"properties":{"noteIndex":0},"schema":"https://github.com/citation-style-language/schema/raw/master/csl-citation.json"}</w:instrText>
      </w:r>
      <w:r w:rsidRPr="000175BB">
        <w:fldChar w:fldCharType="separate"/>
      </w:r>
      <w:r w:rsidR="00995687" w:rsidRPr="00995687">
        <w:rPr>
          <w:noProof/>
        </w:rPr>
        <w:t>(Kaplan and Garrick, 1981)</w:t>
      </w:r>
      <w:r w:rsidRPr="000175BB">
        <w:fldChar w:fldCharType="end"/>
      </w:r>
      <w:r w:rsidRPr="000175BB">
        <w:t>. It states that risk (</w:t>
      </w:r>
      <m:oMath>
        <m:r>
          <w:rPr>
            <w:rFonts w:ascii="Cambria Math" w:hAnsi="Cambria Math"/>
          </w:rPr>
          <m:t>R</m:t>
        </m:r>
      </m:oMath>
      <w:r w:rsidRPr="000175BB">
        <w:t xml:space="preserve">) can be expressed by what can go wrong (scenario </w:t>
      </w:r>
      <m:oMath>
        <m:r>
          <w:rPr>
            <w:rFonts w:ascii="Cambria Math" w:hAnsi="Cambria Math"/>
          </w:rPr>
          <m:t>s</m:t>
        </m:r>
      </m:oMath>
      <w:r w:rsidRPr="000175BB">
        <w:t xml:space="preserve">), what likelihood it will have (probability </w:t>
      </w:r>
      <m:oMath>
        <m:r>
          <w:rPr>
            <w:rFonts w:ascii="Cambria Math" w:hAnsi="Cambria Math"/>
          </w:rPr>
          <m:t>p</m:t>
        </m:r>
      </m:oMath>
      <w:r w:rsidRPr="000175BB">
        <w:t xml:space="preserve">), and how severe consequences will be (consequence </w:t>
      </w:r>
      <m:oMath>
        <m:r>
          <w:rPr>
            <w:rFonts w:ascii="Cambria Math" w:hAnsi="Cambria Math"/>
          </w:rPr>
          <m:t>c</m:t>
        </m:r>
      </m:oMath>
      <w:r w:rsidRPr="000175BB">
        <w:t>):</w:t>
      </w:r>
    </w:p>
    <w:tbl>
      <w:tblPr>
        <w:tblW w:w="5000" w:type="pct"/>
        <w:tblLook w:val="04A0" w:firstRow="1" w:lastRow="0" w:firstColumn="1" w:lastColumn="0" w:noHBand="0" w:noVBand="1"/>
      </w:tblPr>
      <w:tblGrid>
        <w:gridCol w:w="8188"/>
        <w:gridCol w:w="815"/>
      </w:tblGrid>
      <w:tr w:rsidR="00C41510" w:rsidRPr="00B57B36" w14:paraId="096163AE" w14:textId="77777777" w:rsidTr="00864512">
        <w:tc>
          <w:tcPr>
            <w:tcW w:w="8188" w:type="dxa"/>
            <w:shd w:val="clear" w:color="auto" w:fill="auto"/>
            <w:vAlign w:val="center"/>
          </w:tcPr>
          <w:p w14:paraId="0C4B3C38" w14:textId="3E5805BC" w:rsidR="00C41510" w:rsidRPr="00D74B2E" w:rsidRDefault="00C41510" w:rsidP="00864512">
            <w:pPr>
              <w:pStyle w:val="CETEquation"/>
              <w:rPr>
                <w:rFonts w:cs="Arial"/>
              </w:rPr>
            </w:pPr>
            <m:oMathPara>
              <m:oMathParaPr>
                <m:jc m:val="left"/>
              </m:oMathParaPr>
              <m:oMath>
                <m:r>
                  <w:rPr>
                    <w:rFonts w:ascii="Cambria Math" w:hAnsi="Cambria Math" w:cs="Arial"/>
                  </w:rPr>
                  <m:t>R=f(s,p,c)</m:t>
                </m:r>
              </m:oMath>
            </m:oMathPara>
          </w:p>
        </w:tc>
        <w:tc>
          <w:tcPr>
            <w:tcW w:w="815" w:type="dxa"/>
            <w:shd w:val="clear" w:color="auto" w:fill="auto"/>
            <w:vAlign w:val="center"/>
          </w:tcPr>
          <w:p w14:paraId="3D51E23F" w14:textId="77777777" w:rsidR="00C41510" w:rsidRPr="00B57B36" w:rsidRDefault="00C41510" w:rsidP="00864512">
            <w:pPr>
              <w:pStyle w:val="CETEquation"/>
              <w:jc w:val="right"/>
            </w:pPr>
            <w:r w:rsidRPr="00B57B36">
              <w:t>(1)</w:t>
            </w:r>
          </w:p>
        </w:tc>
      </w:tr>
    </w:tbl>
    <w:p w14:paraId="2AD8140A" w14:textId="44FEB1B8" w:rsidR="00D336F7" w:rsidRDefault="00C82C3A" w:rsidP="00C82C3A">
      <w:pPr>
        <w:pStyle w:val="CETBodytext"/>
      </w:pPr>
      <w:r w:rsidRPr="000175BB">
        <w:t xml:space="preserve">The continuous occurrence of major accidents resulting from the failure to learn from experience are reminders of the details that cannot be framed by </w:t>
      </w:r>
      <w:r w:rsidR="002353ED">
        <w:t>Eq</w:t>
      </w:r>
      <w:r w:rsidRPr="000175BB">
        <w:t>(</w:t>
      </w:r>
      <w:r w:rsidR="00A15632">
        <w:t>1</w:t>
      </w:r>
      <w:r w:rsidRPr="000175BB">
        <w:t xml:space="preserve">) </w:t>
      </w:r>
      <w:r w:rsidRPr="000175BB">
        <w:fldChar w:fldCharType="begin" w:fldLock="1"/>
      </w:r>
      <w:r w:rsidR="00D74B2E">
        <w:instrText>ADDIN CSL_CITATION {"citationItems":[{"id":"ITEM-1","itemData":{"DOI":"10.1111/j.1539-6924.2011.01749.x","ISSN":"02724332","abstract":"The recent occurrence of severe major accidents has brought to light flaws and limitations of hazard identification (HAZID) processes performed for safety reports, as in the accidents at Toulouse (France) and Buncefield (UK), where the accident scenarios that occurred were not captured by HAZID techniques. This study focuses on this type of atypical accident scenario deviating from normal expectations. The main purpose is to analyze the examples of atypical accidents mentioned and to attempt to identify them through the application of a well-known methodology such as the bow-tie analysis. To these aims, the concept of atypical event is accurately defined. Early warnings, causes, consequences, and occurrence mechanisms of the specific events are widely studied and general failures of risk assessment, management, and governance isolated. These activities contribute to outline a set of targeted recommendations, addressing transversal common deficiencies and also demonstrating how a better management of knowledge from the study of past events can support future risk assessment processes in the identification of atypical accident scenarios. Thus, a new methodology is not suggested; rather, a specific approach coordinating a more effective use of experience and available information is described, to suggest that lessons to be learned from past accidents can be effectively translated into actions of prevention. © 2012 Society for Risk Analysis.","author":[{"dropping-particle":"","family":"Paltrinieri","given":"N.","non-dropping-particle":"","parse-names":false,"suffix":""},{"dropping-particle":"","family":"Dechy","given":"N.","non-dropping-particle":"","parse-names":false,"suffix":""},{"dropping-particle":"","family":"Salzano","given":"E.","non-dropping-particle":"","parse-names":false,"suffix":""},{"dropping-particle":"","family":"Wardman","given":"M.","non-dropping-particle":"","parse-names":false,"suffix":""},{"dropping-particle":"","family":"Cozzani","given":"V.","non-dropping-particle":"","parse-names":false,"suffix":""}],"container-title":"Risk Analysis","id":"ITEM-1","issue":"8","issued":{"date-parts":[["2012"]]},"title":"Lessons Learned from Toulouse and Buncefield Disasters: From Risk Analysis Failures to the Identification of Atypical Scenarios Through a Better Knowledge Management","type":"article-journal","volume":"32"},"uris":["http://www.mendeley.com/documents/?uuid=0e28f40c-ec65-3c97-a78c-850f91a4112d","http://www.mendeley.com/documents/?uuid=122bde9a-891a-4914-b574-9057ecaef9af"]}],"mendeley":{"formattedCitation":"(Paltrinieri et al., 2012)","plainTextFormattedCitation":"(Paltrinieri et al., 2012)","previouslyFormattedCitation":"(Paltrinieri et al., 2012)"},"properties":{"noteIndex":0},"schema":"https://github.com/citation-style-language/schema/raw/master/csl-citation.json"}</w:instrText>
      </w:r>
      <w:r w:rsidRPr="000175BB">
        <w:fldChar w:fldCharType="separate"/>
      </w:r>
      <w:r w:rsidR="00995687" w:rsidRPr="00995687">
        <w:rPr>
          <w:noProof/>
        </w:rPr>
        <w:t>(Paltrinieri et al., 2012)</w:t>
      </w:r>
      <w:r w:rsidRPr="000175BB">
        <w:fldChar w:fldCharType="end"/>
      </w:r>
      <w:r w:rsidRPr="000175BB">
        <w:t xml:space="preserve">. Numerous attempts have been made by analysts and scholars to capture the notion of risk in a more meaningful way. </w:t>
      </w:r>
      <w:proofErr w:type="spellStart"/>
      <w:r w:rsidRPr="000175BB">
        <w:t>Aven</w:t>
      </w:r>
      <w:proofErr w:type="spellEnd"/>
      <w:r w:rsidRPr="000175BB">
        <w:t xml:space="preserve"> </w:t>
      </w:r>
      <w:r w:rsidRPr="000175BB">
        <w:fldChar w:fldCharType="begin" w:fldLock="1"/>
      </w:r>
      <w:r w:rsidR="00D74B2E">
        <w:instrText>ADDIN CSL_CITATION {"citationItems":[{"id":"ITEM-1","itemData":{"DOI":"http://dx.doi.org/10.1016/j.ress.2011.11.006","ISBN":"0951-8320","ISSN":"09518320","abstract":"This paper reviews the definition and meaning of the concept of risk. The review has a historical and development trend perspective, also covering recent years. It is questioned if, and to what extent, it is possible to identify some underlying patterns in the way risk has been, and is being understood today. The analysis is based on a new categorisation of risk definitions and an assessment of these categories in relation to a set of critical issues, including how these risk definitions match typical daily-life phrases about risk. The paper presents a set of constructed development paths for the risk concept and concludes that over the last 15–20 years we have seen a shift from rather narrow perspectives based on probabilities to ways of thinking which highlight events, consequences and uncertainties. However, some of the more narrow perspectives (like expected values and probability-based perspectives) are still strongly influencing the risk field, although arguments can be provided against their use. The implications of this situation for risk assessment and risk management are also discussed.","author":[{"dropping-particle":"","family":"Aven","given":"Terje","non-dropping-particle":"","parse-names":false,"suffix":""}],"container-title":"Reliability Engineering &amp; System Safety","id":"ITEM-1","issue":"0951","issued":{"date-parts":[["2012","3"]]},"page":"33-44","publisher":"Elsevier","title":"The risk concept—historical and recent development trends","type":"article-journal","volume":"99"},"uris":["http://www.mendeley.com/documents/?uuid=c00c2059-a2b3-4908-b19e-313a584f9a96","http://www.mendeley.com/documents/?uuid=46a2a22c-b26a-42db-a053-3efd3fb1f8eb"]}],"mendeley":{"formattedCitation":"(Aven, 2012)","plainTextFormattedCitation":"(Aven, 2012)","previouslyFormattedCitation":"(Aven, 2012)"},"properties":{"noteIndex":0},"schema":"https://github.com/citation-style-language/schema/raw/master/csl-citation.json"}</w:instrText>
      </w:r>
      <w:r w:rsidRPr="000175BB">
        <w:fldChar w:fldCharType="separate"/>
      </w:r>
      <w:r w:rsidR="00995687" w:rsidRPr="00995687">
        <w:rPr>
          <w:noProof/>
        </w:rPr>
        <w:t>(Aven, 2012)</w:t>
      </w:r>
      <w:r w:rsidRPr="000175BB">
        <w:fldChar w:fldCharType="end"/>
      </w:r>
      <w:r w:rsidRPr="000175BB">
        <w:t xml:space="preserve"> provides a thorough review of risk definitions, while Villa et al. </w:t>
      </w:r>
      <w:r w:rsidRPr="000175BB">
        <w:fldChar w:fldCharType="begin" w:fldLock="1"/>
      </w:r>
      <w:r w:rsidR="00D74B2E">
        <w:instrText>ADDIN CSL_CITATION {"citationItems":[{"id":"ITEM-1","itemData":{"DOI":"10.1016/j.ssci.2016.06.002","ISSN":"18791042","abstract":"© 2016 Elsevier Ltd. The objective of this review is to analyse the progress of Risk Assessment during the last decades and to offer an overview on its recent advancements and possible future direction for chemical and process industries. Despite the general approach of Quantitative Risk Assessment (QRA) is unchanged since its origin in the early 1980s, QRA has continuously evolved in different forms and its fields of application have enlarged significantly beyond process safety, where it has always been traditionally developed and used for chemical process industries. Now risk assessment techniques play a fundamental role in process design, implementation of safety systems, inspection and maintenance planning as well as operation management. Eventually risk assessment has become an essential tool for the development, continued operation and expansion of process installations. On the other hand, QRA limitations, such as its inability to update the risk picture, led to the development of several recent dynamic risk assessment approaches, whose methodological and applicative contributions are presented in this paper. This demonstrates that risk assessment is in continuous development; nevertheless, it still shows many challenges to face: the way forward is improving its preciseness and its capability to be dynamically updated, that it will be useful to support real-time decision-making.","author":[{"dropping-particle":"","family":"Villa","given":"V.","non-dropping-particle":"","parse-names":false,"suffix":""},{"dropping-particle":"","family":"Paltrinieri","given":"N.","non-dropping-particle":"","parse-names":false,"suffix":""},{"dropping-particle":"","family":"Khan","given":"F.","non-dropping-particle":"","parse-names":false,"suffix":""},{"dropping-particle":"","family":"Cozzani","given":"V.","non-dropping-particle":"","parse-names":false,"suffix":""}],"container-title":"Safety Science","id":"ITEM-1","issued":{"date-parts":[["2016"]]},"title":"Towards dynamic risk analysis: A review of the risk assessment approach and its limitations in the chemical process industry","type":"article-journal","volume":"89"},"uris":["http://www.mendeley.com/documents/?uuid=5f0437e8-5794-3fc5-9f42-f8c3f5a20428","http://www.mendeley.com/documents/?uuid=94e0e4c6-b015-4d97-b28f-0cccd48a6330"]},{"id":"ITEM-2","itemData":{"DOI":"10.1016/B978-0-12-803765-2.00001-9","ISBN":"9780128038239","abstract":"© 2016 Elsevier Inc. All rights reserved. The objective of this review is to analyze the advances in risk analysis during the past 30. years and to offer an overview on its recent progress and applications for chemical and process industries. Although the general approach of quantitative risk assessment (QRA) remains unchanged since its origin, QRA has continuously evolved in different forms. Its fields of application have enlarged significantly beyond process safety, becoming a fundamental tool for the development, continued operation, and expansion of process installations. On the other hand, QRA limitations, such as its inability to update the risk picture, led to the development of recent dynamic risk assessment approaches, for which methodological contributions are introduced in this chapter. This demonstrates that risk analysis is in continuous development, but a way forward leading to real-time support to decision-making is suggested.","author":[{"dropping-particle":"","family":"Villa","given":"V.","non-dropping-particle":"","parse-names":false,"suffix":""},{"dropping-particle":"","family":"Paltrinieri","given":"N.","non-dropping-particle":"","parse-names":false,"suffix":""},{"dropping-particle":"","family":"Khan","given":"F.","non-dropping-particle":"","parse-names":false,"suffix":""},{"dropping-particle":"","family":"Cozzani","given":"V.","non-dropping-particle":"","parse-names":false,"suffix":""}],"container-title":"Dynamic Risk Analysis in the Chemical and Petroleum Industry: Evolution and Interaction with Parallel Disciplines in the Perspective of Industrial Application","id":"ITEM-2","issued":{"date-parts":[["2016"]]},"title":"A Short Overview of Risk Analysis Background and Recent Developments","type":"chapter"},"uris":["http://www.mendeley.com/documents/?uuid=9a84e500-5fc2-3d7b-ba16-f17dec491443","http://www.mendeley.com/documents/?uuid=a7ad326d-6e36-4447-9af5-2aa203b11615"]}],"mendeley":{"formattedCitation":"(Villa et al., 2016a, 2016b)","plainTextFormattedCitation":"(Villa et al., 2016a, 2016b)","previouslyFormattedCitation":"(Villa et al., 2016a, 2016b)"},"properties":{"noteIndex":0},"schema":"https://github.com/citation-style-language/schema/raw/master/csl-citation.json"}</w:instrText>
      </w:r>
      <w:r w:rsidRPr="000175BB">
        <w:fldChar w:fldCharType="separate"/>
      </w:r>
      <w:r w:rsidR="00995687" w:rsidRPr="00995687">
        <w:rPr>
          <w:noProof/>
        </w:rPr>
        <w:t>(Villa et al., 2016a, 2016b)</w:t>
      </w:r>
      <w:r w:rsidRPr="000175BB">
        <w:fldChar w:fldCharType="end"/>
      </w:r>
      <w:r w:rsidRPr="000175BB">
        <w:t xml:space="preserve"> show that differences in risk definition affect the approach adopted for its assessment and management. </w:t>
      </w:r>
      <w:proofErr w:type="spellStart"/>
      <w:r w:rsidRPr="000175BB">
        <w:t>Aven</w:t>
      </w:r>
      <w:proofErr w:type="spellEnd"/>
      <w:r w:rsidRPr="000175BB">
        <w:t xml:space="preserve"> and </w:t>
      </w:r>
      <w:proofErr w:type="spellStart"/>
      <w:r w:rsidRPr="000175BB">
        <w:t>Krohn</w:t>
      </w:r>
      <w:proofErr w:type="spellEnd"/>
      <w:r w:rsidRPr="000175BB">
        <w:t xml:space="preserve"> </w:t>
      </w:r>
      <w:r w:rsidRPr="000175BB">
        <w:fldChar w:fldCharType="begin" w:fldLock="1"/>
      </w:r>
      <w:r w:rsidR="00D74B2E">
        <w:instrText>ADDIN CSL_CITATION {"citationItems":[{"id":"ITEM-1","itemData":{"ISBN":"0951-8320","author":[{"dropping-particle":"","family":"Aven","given":"Terje","non-dropping-particle":"","parse-names":false,"suffix":""},{"dropping-particle":"","family":"Krohn","given":"Bodil S","non-dropping-particle":"","parse-names":false,"suffix":""}],"container-title":"Reliability Engineering &amp; System Safety","id":"ITEM-1","issued":{"date-parts":[["2014"]]},"page":"1-10","title":"A new perspective on how to understand, assess and manage risk and the unforeseen","type":"article-journal","volume":"121"},"uris":["http://www.mendeley.com/documents/?uuid=004fcc4a-7afb-4a97-b49b-ef66609d5251","http://www.mendeley.com/documents/?uuid=30a22cfd-309b-4dea-988b-742a7eea51f0"]}],"mendeley":{"formattedCitation":"(Aven and Krohn, 2014)","plainTextFormattedCitation":"(Aven and Krohn, 2014)","previouslyFormattedCitation":"(Aven and Krohn, 2014)"},"properties":{"noteIndex":0},"schema":"https://github.com/citation-style-language/schema/raw/master/csl-citation.json"}</w:instrText>
      </w:r>
      <w:r w:rsidRPr="000175BB">
        <w:fldChar w:fldCharType="separate"/>
      </w:r>
      <w:r w:rsidR="00995687" w:rsidRPr="00995687">
        <w:rPr>
          <w:noProof/>
        </w:rPr>
        <w:t>(Aven and Krohn, 2014)</w:t>
      </w:r>
      <w:r w:rsidRPr="000175BB">
        <w:fldChar w:fldCharType="end"/>
      </w:r>
      <w:r w:rsidRPr="000175BB">
        <w:t xml:space="preserve"> suggest including also the knowledge dimension in the definition of risk, as the accumulated knowledge is an intrinsic feature of the assessment. Instead, the standard ISO 31000 defines risk as the effect of uncertainty on objectives </w:t>
      </w:r>
      <w:r w:rsidRPr="000175BB">
        <w:fldChar w:fldCharType="begin" w:fldLock="1"/>
      </w:r>
      <w:r w:rsidR="00D74B2E">
        <w:instrText>ADDIN CSL_CITATION {"citationItems":[{"id":"ITEM-1","itemData":{"author":[{"dropping-particle":"","family":"ISO","given":"","non-dropping-particle":"","parse-names":false,"suffix":""}],"id":"ITEM-1","issued":{"date-parts":[["2018"]]},"publisher":"International Organization for Standardization","publisher-place":"Geneve, Switzerland","title":"Risk Management. ISO 31000:2018","type":"article"},"uris":["http://www.mendeley.com/documents/?uuid=7298d465-ace7-4349-97e8-c363aacb2368","http://www.mendeley.com/documents/?uuid=f39b9499-0530-4dd9-a36a-cfa0adb723ef"]}],"mendeley":{"formattedCitation":"(ISO, 2018)","plainTextFormattedCitation":"(ISO, 2018)","previouslyFormattedCitation":"(ISO, 2018)"},"properties":{"noteIndex":0},"schema":"https://github.com/citation-style-language/schema/raw/master/csl-citation.json"}</w:instrText>
      </w:r>
      <w:r w:rsidRPr="000175BB">
        <w:fldChar w:fldCharType="separate"/>
      </w:r>
      <w:r w:rsidR="00995687" w:rsidRPr="00995687">
        <w:rPr>
          <w:noProof/>
        </w:rPr>
        <w:t>(ISO, 2018)</w:t>
      </w:r>
      <w:r w:rsidRPr="000175BB">
        <w:fldChar w:fldCharType="end"/>
      </w:r>
      <w:r w:rsidRPr="000175BB">
        <w:t xml:space="preserve">. This gives important insight on how we should treat risk analysis results and promotes continuous improvement of the analysis </w:t>
      </w:r>
      <w:r w:rsidR="00163C91">
        <w:t xml:space="preserve">itself </w:t>
      </w:r>
      <w:r w:rsidRPr="000175BB">
        <w:t>– we become aware of how uncertainty is a</w:t>
      </w:r>
      <w:r w:rsidR="00163C91">
        <w:t>n inescapable</w:t>
      </w:r>
      <w:r w:rsidRPr="000175BB">
        <w:t xml:space="preserve"> companion and that we should cope with it </w:t>
      </w:r>
      <w:r w:rsidRPr="000175BB">
        <w:fldChar w:fldCharType="begin" w:fldLock="1"/>
      </w:r>
      <w:r w:rsidR="00D74B2E">
        <w:instrText>ADDIN CSL_CITATION {"citationItems":[{"id":"ITEM-1","itemData":{"DOI":"http://dx.doi.org/10.1016/S0016-3287(99)00030-0","ISBN":"0016-3287","abstract":"In this essay we consider the problems of risks and governance in the light of three well-known examples: the `Seveso' accident involving dioxin; the BSE epidemic; and the licensing of genetically modified maize. These form a natural progression, from hazards that are `classical', manageable mainly by `applied science', to those that are totally post-normal. The new hazards typified by genetically modified maize, but including many others such as untested toxic chemicals, pose serious challenges to governance. The erosion of trust in the established institutions could lead to paralysis of innovation and also of government.","author":[{"dropping-particle":"","family":"Marchi","given":"Bruna","non-dropping-particle":"De","parse-names":false,"suffix":""},{"dropping-particle":"","family":"Ravetz","given":"Jerome R","non-dropping-particle":"","parse-names":false,"suffix":""}],"container-title":"Futures","id":"ITEM-1","issue":"7","issued":{"date-parts":[["1999"]]},"page":"743-757","title":"Risk management and governance:: a post-normal science approach","type":"article-journal","volume":"31"},"uris":["http://www.mendeley.com/documents/?uuid=57e8f26e-a6df-4cbe-ae3a-9121742df0c4","http://www.mendeley.com/documents/?uuid=58c3851a-fcba-4e2b-9701-247f3cd4570d"]}],"mendeley":{"formattedCitation":"(De Marchi and Ravetz, 1999)","plainTextFormattedCitation":"(De Marchi and Ravetz, 1999)","previouslyFormattedCitation":"(De Marchi and Ravetz, 1999)"},"properties":{"noteIndex":0},"schema":"https://github.com/citation-style-language/schema/raw/master/csl-citation.json"}</w:instrText>
      </w:r>
      <w:r w:rsidRPr="000175BB">
        <w:fldChar w:fldCharType="separate"/>
      </w:r>
      <w:r w:rsidR="00995687" w:rsidRPr="00995687">
        <w:rPr>
          <w:noProof/>
        </w:rPr>
        <w:t>(De Marchi and Ravetz, 1999)</w:t>
      </w:r>
      <w:r w:rsidRPr="000175BB">
        <w:fldChar w:fldCharType="end"/>
      </w:r>
      <w:r w:rsidRPr="000175BB">
        <w:t xml:space="preserve">. </w:t>
      </w:r>
    </w:p>
    <w:p w14:paraId="25E452E8" w14:textId="7CB9DE02" w:rsidR="00F739AD" w:rsidRPr="003D0011" w:rsidRDefault="00D336F7" w:rsidP="00E04C75">
      <w:pPr>
        <w:pStyle w:val="CETBodytext"/>
        <w:rPr>
          <w:lang w:val="en-GB"/>
        </w:rPr>
      </w:pPr>
      <w:r>
        <w:t>E</w:t>
      </w:r>
      <w:r w:rsidR="00C82C3A" w:rsidRPr="000175BB">
        <w:t>ven if we can assess risk with all available</w:t>
      </w:r>
      <w:r w:rsidR="00163C91">
        <w:t xml:space="preserve"> </w:t>
      </w:r>
      <w:r w:rsidR="00163C91" w:rsidRPr="000175BB">
        <w:t>knowledge</w:t>
      </w:r>
      <w:r w:rsidR="00C82C3A" w:rsidRPr="000175BB">
        <w:t xml:space="preserve">, we would provide a risk picture that is “frozen” in time, while the system is changing around it. The conditions considered in time 0 may not be valid anymore in time </w:t>
      </w:r>
      <w:r w:rsidR="00C82C3A" w:rsidRPr="000175BB">
        <w:rPr>
          <w:i/>
        </w:rPr>
        <w:t>n</w:t>
      </w:r>
      <w:r w:rsidR="00C82C3A" w:rsidRPr="000175BB">
        <w:t xml:space="preserve">. Calibration and correction based on new evidence would possibly allow risk analysis to consider evolving conditions and reflect reality and its results. Such dynamic approach to risk management is </w:t>
      </w:r>
      <w:r w:rsidR="001B7DEC" w:rsidRPr="000175BB">
        <w:t>theori</w:t>
      </w:r>
      <w:r w:rsidR="00DE0DB1">
        <w:t>z</w:t>
      </w:r>
      <w:r w:rsidR="001B7DEC" w:rsidRPr="000175BB">
        <w:t xml:space="preserve">ed </w:t>
      </w:r>
      <w:r w:rsidR="00C82C3A" w:rsidRPr="000175BB">
        <w:t xml:space="preserve">and reviewed </w:t>
      </w:r>
      <w:r w:rsidR="0032368D">
        <w:t>b</w:t>
      </w:r>
      <w:r w:rsidR="0032368D" w:rsidRPr="000D3EAA">
        <w:rPr>
          <w:lang w:val="en-GB"/>
        </w:rPr>
        <w:t>y several previous works</w:t>
      </w:r>
      <w:r w:rsidR="00C82C3A" w:rsidRPr="000175BB">
        <w:rPr>
          <w:lang w:val="en-GB"/>
        </w:rPr>
        <w:t xml:space="preserve"> </w:t>
      </w:r>
      <w:r w:rsidR="00C82C3A" w:rsidRPr="000175BB">
        <w:rPr>
          <w:lang w:val="en-GB"/>
        </w:rPr>
        <w:fldChar w:fldCharType="begin" w:fldLock="1"/>
      </w:r>
      <w:r w:rsidR="00BF542D">
        <w:rPr>
          <w:lang w:val="en-GB"/>
        </w:rPr>
        <w:instrText>ADDIN CSL_CITATION {"citationItems":[{"id":"ITEM-1","itemData":{"DOI":"10.1016/j.coche.2016.07.006","ISSN":"22113398","abstract":"© 2016 Elsevier Ltd Process accidents in the early 1980s have drawn process safety into the main stream. In the 1990s, risk-based approaches were developed to bring safety into design as well as economic considerations. In the 2000s, the inherent safety approach began to be practiced on a limited basis, and process safety evolution made significant progress. As process systems continue to become more complex and operations move into remote and harsh environments, traditional risk analysis may no longer be sufficient. Dynamic risk assessment is the basis for the next generation of risk and management approaches that help to enable safer complex process systems operating in extreme environments. This article investigates the main contributions in the area of dynamic risk assessment. Then, an overall framework for dynamic risk management of process facilities is proposed.","author":[{"dropping-particle":"","family":"Khan","given":"F.","non-dropping-particle":"","parse-names":false,"suffix":""},{"dropping-particle":"","family":"Hashemi","given":"S.J.","non-dropping-particle":"","parse-names":false,"suffix":""},{"dropping-particle":"","family":"Paltrinieri","given":"N.","non-dropping-particle":"","parse-names":false,"suffix":""},{"dropping-particle":"","family":"Amyotte","given":"P.","non-dropping-particle":"","parse-names":false,"suffix":""},{"dropping-particle":"","family":"Cozzani","given":"V.","non-dropping-particle":"","parse-names":false,"suffix":""},{"dropping-particle":"","family":"Reniers","given":"G.","non-dropping-particle":"","parse-names":false,"suffix":""}],"container-title":"Current Opinion in Chemical Engineering","id":"ITEM-1","issued":{"date-parts":[["2016"]]},"title":"Dynamic risk management: a contemporary approach to process safety management","type":"article-journal","volume":"14"},"uris":["http://www.mendeley.com/documents/?uuid=9303b142-8c53-3297-a6b3-f2944618bb91","http://www.mendeley.com/documents/?uuid=15c6dead-f4a1-4cb5-bebe-dca7c6190aa0"]},{"id":"ITEM-2","itemData":{"DOI":"10.1016/j.psep.2013.11.008","ISSN":"09575820","abstract":"© 2013 The Institution of Chemical Engineers. Published by Elsevier B.V. All rights reserved. Several major accidents caused by metal dusts were recorded in the past few years. For instance, in 2011, three accidents caused by iron dust killed five workers at the Hoeganaes Corp. facility in Gallatin, Tennessee (USA). In order to prevent such accidents, a dynamic approach to risk management was defined in this study. The method is able to take into account new risk notions and early warnings and to systematically update the related risk. It may be applied not only in the design phase of a system, but also throughout the system lifetime as a support to a more precise and robust decision making process. The synergy of two specific techniques for hazard identification and risk assessment wasobtained: the Dynamic Procedure for Atypical Scenarios Identification (Dy PASI) and the Dynamic Risk Assessment (DRA) methods. To demonstrate its effectiveness, this approach was applied to the analysis of Gallatin metal dust accidents. The application allowed collecting a number of risk notions related to the plant, equipment and materials used. The analysis of risk notions by means of this dynamic approach could have led to enhanced hazard identification and dynamic real-time risk assessment. However, the approach described is effective only if associated to a proper safety culture, in order to produce an appropriate and robust decision making response to emerging risk issues.","author":[{"dropping-particle":"","family":"Paltrinieri","given":"N.","non-dropping-particle":"","parse-names":false,"suffix":""},{"dropping-particle":"","family":"Khan","given":"F.","non-dropping-particle":"","parse-names":false,"suffix":""},{"dropping-particle":"","family":"Amyotte","given":"P.","non-dropping-particle":"","parse-names":false,"suffix":""},{"dropping-particle":"","family":"Cozzani","given":"V.","non-dropping-particle":"","parse-names":false,"suffix":""}],"container-title":"Process Safety and Environmental Protection","id":"ITEM-2","issue":"6","issued":{"date-parts":[["2014"]]},"title":"Dynamic approach to risk management: Application to the Hoeganaes metal dust accidents","type":"article-journal","volume":"92"},"uris":["http://www.mendeley.com/documents/?uuid=8ede6bd3-8f53-3e21-8b3c-bcdaabf5b0ec","http://www.mendeley.com/documents/?uuid=ceab7c52-c63a-4a7a-980f-07a26f70c63a"]},{"id":"ITEM-3","itemData":{"DOI":"10.1016/J.SSCI.2019.09.011","ISSN":"0925-7535","abstract":"Oil&amp;Gas activities in the arctic and subarctic regions are characterized by several challenges related to the harsh but sensitive environment in which they are carried out. The weather may deteriorate facility components at a higher rate, and delay operations, emergency and evacuation procedures. Moreover, these regions host unique ecosystems, and their preservation is a worldwide priority. For this reason, a comprehensive and systematic approach for risk analysis is necessary to prevent major accidents and comply with Arctic pollution control. A novel approach for dynamic risk assessment and management, based on Bayesian Networks and safety barrier assessment, is suggested. The method is applied to the Goliat Oil&amp;Gas platform located in the Barents Sea and risk data on the Norwegian petroleum activities are used as evidence to simulate continuous update of risk assessment throughout the years. The case study shows the benefits and limitations of such approach. Accurate modelling of potential accident scenarios is possible through BNs, but time-consuming. The approach allows for drill-down capabilities, which enhance support of operations and definition of risk mitigating measures. However, the data used for dynamic risk assessment has a pivotal role, as data quality and quantity sensibly affect the outcome. Fortunately, the Oil&amp;Gas industry is committed to improving collection of field data for the assessment of safety barrier performance. This approach represents a strategy to process deviations and resilient reactions, regularly iterating dynamic risk assessment to support risk management of critical systems, such as the Oil&amp;Gas production in the arctic and sub-arctic regions.","author":[{"dropping-particle":"","family":"Bubbico","given":"Roberto","non-dropping-particle":"","parse-names":false,"suffix":""},{"dropping-particle":"","family":"Lee","given":"Shenae","non-dropping-particle":"","parse-names":false,"suffix":""},{"dropping-particle":"","family":"Moscati","given":"Daniel","non-dropping-particle":"","parse-names":false,"suffix":""},{"dropping-particle":"","family":"Paltrinieri","given":"Nicola","non-dropping-particle":"","parse-names":false,"suffix":""}],"container-title":"Safety Science","id":"ITEM-3","issued":{"date-parts":[["2020","1","1"]]},"page":"319-330","publisher":"Elsevier","title":"Dynamic assessment of safety barriers preventing escalation in offshore Oil&amp;amp;Gas","type":"article-journal","volume":"121"},"uris":["http://www.mendeley.com/documents/?uuid=d3cd65ee-3078-33aa-9c6f-da560a9ac293","http://www.mendeley.com/documents/?uuid=09c151b4-b41b-4f42-87f5-d7a64ca024bb"]},{"id":"ITEM-4","itemData":{"DOI":"10.3390/su11236745","ISBN":"2071-1050","abstract":"Dynamic risk analysis (DRA) is a novel industrial approach that aims to capture changes in operational conditions over time and quantify their effect on risk. This aspect may be advantageous for providing insight into the causal factors that have substantial risk contributions and supporting decisions related to risk control. Some DRA methods were developed by the oil and gas industry to support the integration of work processes and the cooperation across virtual clusters, e.g., between offshore and onshore systems and/or oil company and supplier. However, DRA has not been extensively adopted and limited attention is given to its validity in practical applications. The objective of this article is to illustrate how this validity can be established based on common validation approaches for risk analysis. The case study focuses on a DRA method named risk barometer that was developed to support integrated operations across the oil and gas industrial systems. The outcome of this study may serve as a basis for the validation of other DRA methods, the use of DRA in practical cases, and ultimately the achievement of integrated operations (IO) capabilities.","author":[{"dropping-particle":"","family":"Lee","given":"Shenae","non-dropping-particle":"","parse-names":false,"suffix":""},{"dropping-particle":"","family":"Landucci","given":"Gabriele","non-dropping-particle":"","parse-names":false,"suffix":""},{"dropping-particle":"","family":"Reniers","given":"Genserik","non-dropping-particle":"","parse-names":false,"suffix":""},{"dropping-particle":"","family":"Paltrinieri","given":"Nicola","non-dropping-particle":"","parse-names":false,"suffix":""}],"container-title":"Sustainability ","id":"ITEM-4","issue":"23","issued":{"date-parts":[["2019"]]},"title":"Validation of Dynamic Risk Analysis Supporting Integrated Operations Across Systems","type":"article","volume":"11"},"uris":["http://www.mendeley.com/documents/?uuid=d618dc00-82be-4d49-b12e-5463c95b34c8","http://www.mendeley.com/documents/?uuid=2a6067d4-9026-46e0-8aca-9f17b00d5c9d"]}],"mendeley":{"formattedCitation":"(Bubbico et al., 2020; Khan et al., 2016; Lee et al., 2019; Paltrinieri et al., 2014)","plainTextFormattedCitation":"(Bubbico et al., 2020; Khan et al., 2016; Lee et al., 2019; Paltrinieri et al., 2014)","previouslyFormattedCitation":"(Bubbico et al., 2020; Khan et al., 2016; Lee et al., 2019; Paltrinieri et al., 2014)"},"properties":{"noteIndex":0},"schema":"https://github.com/citation-style-language/schema/raw/master/csl-citation.json"}</w:instrText>
      </w:r>
      <w:r w:rsidR="00C82C3A" w:rsidRPr="000175BB">
        <w:rPr>
          <w:lang w:val="en-GB"/>
        </w:rPr>
        <w:fldChar w:fldCharType="separate"/>
      </w:r>
      <w:r w:rsidR="007934F2" w:rsidRPr="00CE3248">
        <w:rPr>
          <w:noProof/>
          <w:lang w:val="en-GB"/>
        </w:rPr>
        <w:t xml:space="preserve">(Bubbico et al., 2020; Khan et al., 2016; Lee et al., 2019; Paltrinieri et al., </w:t>
      </w:r>
      <w:r w:rsidR="007934F2" w:rsidRPr="00CE3248">
        <w:rPr>
          <w:noProof/>
          <w:lang w:val="en-GB"/>
        </w:rPr>
        <w:lastRenderedPageBreak/>
        <w:t>2014)</w:t>
      </w:r>
      <w:r w:rsidR="00C82C3A" w:rsidRPr="000175BB">
        <w:rPr>
          <w:lang w:val="en-GB"/>
        </w:rPr>
        <w:fldChar w:fldCharType="end"/>
      </w:r>
      <w:r w:rsidR="00C82C3A" w:rsidRPr="00CE3248">
        <w:rPr>
          <w:lang w:val="en-GB"/>
        </w:rPr>
        <w:t>.</w:t>
      </w:r>
      <w:r w:rsidR="008323A5" w:rsidRPr="00CE3248">
        <w:rPr>
          <w:lang w:val="en-GB"/>
        </w:rPr>
        <w:t xml:space="preserve"> </w:t>
      </w:r>
      <w:r w:rsidR="008323A5" w:rsidRPr="00DC368A">
        <w:t xml:space="preserve">However, </w:t>
      </w:r>
      <w:r w:rsidR="003D0011" w:rsidRPr="00DC368A">
        <w:t xml:space="preserve">Paltrinieri et al. </w:t>
      </w:r>
      <w:r w:rsidR="003D0011" w:rsidRPr="000D3EAA">
        <w:rPr>
          <w:lang w:val="en-GB"/>
        </w:rPr>
        <w:fldChar w:fldCharType="begin" w:fldLock="1"/>
      </w:r>
      <w:r w:rsidR="00BF542D">
        <w:instrText>ADDIN CSL_CITATION {"citationItems":[{"id":"ITEM-1","itemData":{"DOI":"https://doi.org/10.1016/j.ssci.2019.06.001","ISSN":"0925-7535","abstract":"Risk assessment has a primary role in safety-critical industries. However, it faces a series of overall challenges, partially related to technology advancements and increasing needs. There is currently a call for continuous risk assessment, improvement in learning past lessons and definition of techniques to process relevant data, which are to be coupled with adequate capability to deal with unexpected events and provide the right support to enable risk management. Through this work, we suggest a risk assessment approach based on machine learning. In particular, a deep neural network (DNN) model is developed and tested for a drive-off scenario involving an Oil &amp; Gas drilling rig. Results show reasonable accuracy for DNN predictions and general suitability to (partially) overcome risk assessment challenges. Nevertheless, intrinsic model limitations should be taken into account and appropriate model selection and customization should be carefully carried out to deliver appropriate support for safety-related decision-making.","author":[{"dropping-particle":"","family":"Paltrinieri","given":"Nicola","non-dropping-particle":"","parse-names":false,"suffix":""},{"dropping-particle":"","family":"Comfort","given":"Louise","non-dropping-particle":"","parse-names":false,"suffix":""},{"dropping-particle":"","family":"Reniers","given":"Genserik","non-dropping-particle":"","parse-names":false,"suffix":""}],"container-title":"Safety Science","id":"ITEM-1","issued":{"date-parts":[["2019","10","1"]]},"page":"475-486","publisher":"Elsevier","title":"Learning about risk: Machine learning for risk assessment","type":"article-journal","volume":"118"},"uris":["http://www.mendeley.com/documents/?uuid=e36a8069-4d75-413f-97c1-b98503c98283","http://www.mendeley.com/documents/?uuid=27910cdb-3ca0-4b32-827f-18603a771824"]}],"mendeley":{"formattedCitation":"(Paltrinieri et al., 2019)","plainTextFormattedCitation":"(Paltrinieri et al., 2019)","previouslyFormattedCitation":"(Paltrinieri et al., 2019)"},"properties":{"noteIndex":0},"schema":"https://github.com/citation-style-language/schema/raw/master/csl-citation.json"}</w:instrText>
      </w:r>
      <w:r w:rsidR="003D0011" w:rsidRPr="000D3EAA">
        <w:rPr>
          <w:lang w:val="en-GB"/>
        </w:rPr>
        <w:fldChar w:fldCharType="separate"/>
      </w:r>
      <w:r w:rsidR="003D0011" w:rsidRPr="000D3EAA">
        <w:rPr>
          <w:noProof/>
          <w:lang w:val="en-GB"/>
        </w:rPr>
        <w:t>(Paltrinieri et al., 2019)</w:t>
      </w:r>
      <w:r w:rsidR="003D0011" w:rsidRPr="000D3EAA">
        <w:rPr>
          <w:lang w:val="en-GB"/>
        </w:rPr>
        <w:fldChar w:fldCharType="end"/>
      </w:r>
      <w:r w:rsidR="003D0011" w:rsidRPr="000D3EAA">
        <w:rPr>
          <w:lang w:val="en-GB"/>
        </w:rPr>
        <w:t xml:space="preserve"> </w:t>
      </w:r>
      <w:r w:rsidR="0048744F" w:rsidRPr="000D3EAA">
        <w:rPr>
          <w:lang w:val="en-GB"/>
        </w:rPr>
        <w:t>highlight a set of overall challenges</w:t>
      </w:r>
      <w:r w:rsidR="00192FE7" w:rsidRPr="000D3EAA">
        <w:rPr>
          <w:lang w:val="en-GB"/>
        </w:rPr>
        <w:t xml:space="preserve"> that are still present within th</w:t>
      </w:r>
      <w:r w:rsidR="00192FE7">
        <w:rPr>
          <w:lang w:val="en-GB"/>
        </w:rPr>
        <w:t xml:space="preserve">e field of risk </w:t>
      </w:r>
      <w:r w:rsidR="007032C8">
        <w:rPr>
          <w:lang w:val="en-GB"/>
        </w:rPr>
        <w:t>analysis</w:t>
      </w:r>
      <w:r w:rsidR="00B32039">
        <w:rPr>
          <w:lang w:val="en-GB"/>
        </w:rPr>
        <w:t xml:space="preserve"> despite the most recent </w:t>
      </w:r>
      <w:r w:rsidR="00176B20">
        <w:rPr>
          <w:lang w:val="en-GB"/>
        </w:rPr>
        <w:t>progress</w:t>
      </w:r>
      <w:r w:rsidR="00192FE7">
        <w:rPr>
          <w:lang w:val="en-GB"/>
        </w:rPr>
        <w:t xml:space="preserve">. </w:t>
      </w:r>
      <w:r w:rsidR="00A4281F">
        <w:rPr>
          <w:lang w:val="en-GB"/>
        </w:rPr>
        <w:t>In particular, they focus on cognition</w:t>
      </w:r>
      <w:r w:rsidR="00A61A97">
        <w:rPr>
          <w:lang w:val="en-GB"/>
        </w:rPr>
        <w:t xml:space="preserve"> and emergence. They</w:t>
      </w:r>
      <w:r w:rsidR="00A4281F">
        <w:rPr>
          <w:lang w:val="en-GB"/>
        </w:rPr>
        <w:t xml:space="preserve"> wonder </w:t>
      </w:r>
      <w:r w:rsidR="00F739AD" w:rsidRPr="00F739AD">
        <w:rPr>
          <w:lang w:val="en-GB"/>
        </w:rPr>
        <w:t xml:space="preserve">how </w:t>
      </w:r>
      <w:r w:rsidR="00A4281F">
        <w:rPr>
          <w:lang w:val="en-GB"/>
        </w:rPr>
        <w:t>we can</w:t>
      </w:r>
      <w:r w:rsidR="00F739AD" w:rsidRPr="00F739AD">
        <w:rPr>
          <w:lang w:val="en-GB"/>
        </w:rPr>
        <w:t xml:space="preserve"> learn from relevant lessons to improve risk </w:t>
      </w:r>
      <w:r w:rsidR="007032C8">
        <w:rPr>
          <w:lang w:val="en-GB"/>
        </w:rPr>
        <w:t>analysis</w:t>
      </w:r>
      <w:r w:rsidR="00A4281F">
        <w:rPr>
          <w:lang w:val="en-GB"/>
        </w:rPr>
        <w:t>.</w:t>
      </w:r>
      <w:r w:rsidR="00F739AD" w:rsidRPr="00F739AD">
        <w:rPr>
          <w:lang w:val="en-GB"/>
        </w:rPr>
        <w:t xml:space="preserve"> Unwanted events and experts can provide valuable insight. </w:t>
      </w:r>
      <w:r w:rsidR="001B7DEC" w:rsidRPr="00F739AD">
        <w:rPr>
          <w:lang w:val="en-GB"/>
        </w:rPr>
        <w:t>Capitali</w:t>
      </w:r>
      <w:r w:rsidR="001B7DEC">
        <w:rPr>
          <w:lang w:val="en-GB"/>
        </w:rPr>
        <w:t>s</w:t>
      </w:r>
      <w:r w:rsidR="001B7DEC" w:rsidRPr="00F739AD">
        <w:rPr>
          <w:lang w:val="en-GB"/>
        </w:rPr>
        <w:t xml:space="preserve">ing </w:t>
      </w:r>
      <w:r w:rsidR="00F739AD" w:rsidRPr="00F739AD">
        <w:rPr>
          <w:lang w:val="en-GB"/>
        </w:rPr>
        <w:t>such knowledge in a systematic way would prevent accident repetition.</w:t>
      </w:r>
      <w:r w:rsidR="00A4281F">
        <w:rPr>
          <w:lang w:val="en-GB"/>
        </w:rPr>
        <w:t xml:space="preserve"> </w:t>
      </w:r>
      <w:r w:rsidR="00E3119C">
        <w:rPr>
          <w:lang w:val="en-GB"/>
        </w:rPr>
        <w:t>T</w:t>
      </w:r>
      <w:r w:rsidR="00A61A97">
        <w:rPr>
          <w:lang w:val="en-GB"/>
        </w:rPr>
        <w:t xml:space="preserve">hey wonder </w:t>
      </w:r>
      <w:r w:rsidR="00F739AD" w:rsidRPr="00F739AD">
        <w:rPr>
          <w:lang w:val="en-GB"/>
        </w:rPr>
        <w:t xml:space="preserve">how </w:t>
      </w:r>
      <w:r w:rsidR="00A61A97">
        <w:rPr>
          <w:lang w:val="en-GB"/>
        </w:rPr>
        <w:t>we can</w:t>
      </w:r>
      <w:r w:rsidR="00F739AD" w:rsidRPr="00F739AD">
        <w:rPr>
          <w:lang w:val="en-GB"/>
        </w:rPr>
        <w:t xml:space="preserve"> prepare for what we do not know</w:t>
      </w:r>
      <w:r w:rsidR="00A61A97">
        <w:rPr>
          <w:lang w:val="en-GB"/>
        </w:rPr>
        <w:t>.</w:t>
      </w:r>
      <w:r w:rsidR="00F739AD" w:rsidRPr="00F739AD">
        <w:rPr>
          <w:lang w:val="en-GB"/>
        </w:rPr>
        <w:t xml:space="preserve"> This challenge refers to the need of addressing emerging (not known before) risks. This is fundamental in relation to new technologies on which there is relative lack of risk experience</w:t>
      </w:r>
      <w:r w:rsidR="00FD59B8">
        <w:rPr>
          <w:lang w:val="en-GB"/>
        </w:rPr>
        <w:t>, or lack of risk awareness</w:t>
      </w:r>
      <w:r w:rsidR="00F739AD" w:rsidRPr="00F739AD">
        <w:rPr>
          <w:lang w:val="en-GB"/>
        </w:rPr>
        <w:t>.</w:t>
      </w:r>
    </w:p>
    <w:p w14:paraId="01602395" w14:textId="7A5D1E0D" w:rsidR="00EF6C1A" w:rsidRPr="00B57B36" w:rsidRDefault="00EF6C1A" w:rsidP="00F7629B">
      <w:pPr>
        <w:pStyle w:val="CETheadingx"/>
      </w:pPr>
      <w:r>
        <w:t>Meta-learning</w:t>
      </w:r>
    </w:p>
    <w:p w14:paraId="286C08A6" w14:textId="04084D7A" w:rsidR="000175BB" w:rsidRDefault="007704C5" w:rsidP="00F61E1D">
      <w:pPr>
        <w:pStyle w:val="CETBodytext"/>
      </w:pPr>
      <w:r>
        <w:t>In industrial</w:t>
      </w:r>
      <w:r w:rsidR="000175BB" w:rsidRPr="000175BB">
        <w:t xml:space="preserve"> sector</w:t>
      </w:r>
      <w:r>
        <w:t>s</w:t>
      </w:r>
      <w:r w:rsidR="000175BB" w:rsidRPr="000175BB">
        <w:t xml:space="preserve"> where the sense of risk is constantly present, such as </w:t>
      </w:r>
      <w:r>
        <w:t>oil and gas</w:t>
      </w:r>
      <w:r w:rsidR="000175BB" w:rsidRPr="000175BB">
        <w:t xml:space="preserve">, </w:t>
      </w:r>
      <w:r w:rsidR="00574868" w:rsidRPr="000175BB">
        <w:t>experience gathered from operating a technical system</w:t>
      </w:r>
      <w:r w:rsidR="001D2665">
        <w:t xml:space="preserve"> allows skilled operators to associate</w:t>
      </w:r>
      <w:r w:rsidR="000175BB" w:rsidRPr="000175BB">
        <w:t xml:space="preserve"> the system conditions with a specific level of </w:t>
      </w:r>
      <w:r w:rsidR="000B4354">
        <w:t xml:space="preserve">accident </w:t>
      </w:r>
      <w:r w:rsidR="000175BB" w:rsidRPr="000175BB">
        <w:t>risk</w:t>
      </w:r>
      <w:r w:rsidR="00CE3248">
        <w:t xml:space="preserve"> (</w:t>
      </w:r>
      <w:proofErr w:type="spellStart"/>
      <w:r w:rsidR="006D0740">
        <w:t>Duan</w:t>
      </w:r>
      <w:proofErr w:type="spellEnd"/>
      <w:r w:rsidR="006D0740">
        <w:t xml:space="preserve">, 2018; </w:t>
      </w:r>
      <w:proofErr w:type="spellStart"/>
      <w:r w:rsidR="00D82CA9">
        <w:t>Hailwood</w:t>
      </w:r>
      <w:proofErr w:type="spellEnd"/>
      <w:r w:rsidR="00D82CA9">
        <w:t>, 2016)</w:t>
      </w:r>
      <w:r w:rsidR="000175BB" w:rsidRPr="000175BB">
        <w:t xml:space="preserve">. For example, corrosion on a vessel </w:t>
      </w:r>
      <w:r w:rsidR="00042309">
        <w:t xml:space="preserve">may </w:t>
      </w:r>
      <w:r w:rsidR="000175BB" w:rsidRPr="000175BB">
        <w:t>eventually lead to its catastrophic rupture</w:t>
      </w:r>
      <w:r w:rsidR="00C97C6A">
        <w:t xml:space="preserve"> and its presence would be associated with a relatively high risk</w:t>
      </w:r>
      <w:r w:rsidR="000175BB" w:rsidRPr="000175BB">
        <w:t xml:space="preserve">. </w:t>
      </w:r>
      <w:r w:rsidR="0060270E">
        <w:t>This experience allows</w:t>
      </w:r>
      <w:r w:rsidR="000175BB" w:rsidRPr="000175BB">
        <w:t xml:space="preserve"> </w:t>
      </w:r>
      <w:r w:rsidR="00B36F57">
        <w:t>assessing</w:t>
      </w:r>
      <w:r w:rsidR="000175BB" w:rsidRPr="000175BB">
        <w:t xml:space="preserve"> the risk when</w:t>
      </w:r>
      <w:r w:rsidR="00B36F57">
        <w:t>ever</w:t>
      </w:r>
      <w:r w:rsidR="000175BB" w:rsidRPr="000175BB">
        <w:t xml:space="preserve"> we find the same conditions of corrosion. Instead, if the conditions are only similar (other corrosion mechanisms) or new (mechanical fatigue), </w:t>
      </w:r>
      <w:r w:rsidR="00656347">
        <w:t xml:space="preserve">the </w:t>
      </w:r>
      <w:r w:rsidR="008D22C1">
        <w:t>operators’</w:t>
      </w:r>
      <w:r w:rsidR="000175BB" w:rsidRPr="000175BB">
        <w:t xml:space="preserve"> mind will respectively derive a</w:t>
      </w:r>
      <w:r w:rsidR="00030416">
        <w:t xml:space="preserve">n </w:t>
      </w:r>
      <w:r w:rsidR="000D3E06">
        <w:t xml:space="preserve">adequate </w:t>
      </w:r>
      <w:r w:rsidR="000175BB" w:rsidRPr="000175BB">
        <w:t xml:space="preserve">risk level </w:t>
      </w:r>
      <w:r w:rsidR="000D3E06">
        <w:t>by</w:t>
      </w:r>
      <w:r w:rsidR="000175BB" w:rsidRPr="000175BB">
        <w:t xml:space="preserve"> quickly learn</w:t>
      </w:r>
      <w:r w:rsidR="000D3E06">
        <w:t>ing</w:t>
      </w:r>
      <w:r w:rsidR="000175BB" w:rsidRPr="000175BB">
        <w:t xml:space="preserve"> from </w:t>
      </w:r>
      <w:r w:rsidR="000D3E06">
        <w:t xml:space="preserve">this </w:t>
      </w:r>
      <w:r w:rsidR="000175BB" w:rsidRPr="000175BB">
        <w:t xml:space="preserve">new experience. The system conditions are features that may be reported in a vector </w:t>
      </w:r>
      <m:oMath>
        <m:r>
          <w:rPr>
            <w:rFonts w:ascii="Cambria Math" w:hAnsi="Cambria Math"/>
          </w:rPr>
          <m:t>X</m:t>
        </m:r>
      </m:oMath>
      <w:r w:rsidR="000175BB" w:rsidRPr="000175BB">
        <w:t xml:space="preserve">, the risk is the target variable </w:t>
      </w:r>
      <m:oMath>
        <m:r>
          <w:rPr>
            <w:rFonts w:ascii="Cambria Math" w:hAnsi="Cambria Math"/>
          </w:rPr>
          <m:t>R</m:t>
        </m:r>
      </m:oMath>
      <w:r w:rsidR="000175BB" w:rsidRPr="000175BB">
        <w:t xml:space="preserve">, and the experience is the dataset </w:t>
      </w:r>
      <m:oMath>
        <m:r>
          <w:rPr>
            <w:rFonts w:ascii="Cambria Math" w:hAnsi="Cambria Math"/>
          </w:rPr>
          <m:t>D</m:t>
        </m:r>
      </m:oMath>
      <w:r w:rsidR="000175BB" w:rsidRPr="000175BB">
        <w:t xml:space="preserve"> of </w:t>
      </w:r>
      <w:r w:rsidR="0085193C">
        <w:t xml:space="preserve">the operators’ </w:t>
      </w:r>
      <w:r w:rsidR="000175BB" w:rsidRPr="000175BB">
        <w:t xml:space="preserve">observations. </w:t>
      </w:r>
      <m:oMath>
        <m:r>
          <w:rPr>
            <w:rFonts w:ascii="Cambria Math" w:hAnsi="Cambria Math"/>
          </w:rPr>
          <m:t>D</m:t>
        </m:r>
      </m:oMath>
      <w:r w:rsidR="000175BB" w:rsidRPr="000175BB">
        <w:t xml:space="preserve"> is the basis used by </w:t>
      </w:r>
      <w:r w:rsidR="0085193C">
        <w:t>the operators’</w:t>
      </w:r>
      <w:r w:rsidR="000175BB" w:rsidRPr="000175BB">
        <w:t xml:space="preserve"> mind to build a model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=R</m:t>
        </m:r>
      </m:oMath>
      <w:r w:rsidR="000175BB" w:rsidRPr="000175BB">
        <w:t xml:space="preserve">. The field of Risk Analysis aims to provide an artificial risk model </w:t>
      </w:r>
      <m:oMath>
        <m:sSub>
          <m:sSubPr>
            <m:ctrlPr>
              <w:rPr>
                <w:rFonts w:ascii="Cambria Math" w:hAnsi="Cambria Math"/>
                <w:i/>
              </w:rPr>
            </m:ctrlPr>
          </m:sSubPr>
          <m:e>
            <m:r>
              <w:rPr>
                <w:rFonts w:ascii="Cambria Math" w:hAnsi="Cambria Math"/>
              </w:rPr>
              <m:t>f</m:t>
            </m:r>
          </m:e>
          <m:sub>
            <m:r>
              <w:rPr>
                <w:rFonts w:ascii="Cambria Math" w:hAnsi="Cambria Math"/>
              </w:rPr>
              <m:t>θ</m:t>
            </m:r>
          </m:sub>
        </m:sSub>
        <m:r>
          <w:rPr>
            <w:rFonts w:ascii="Cambria Math" w:hAnsi="Cambria Math"/>
          </w:rPr>
          <m:t>(X)</m:t>
        </m:r>
      </m:oMath>
      <w:r w:rsidR="000175BB" w:rsidRPr="000175BB">
        <w:t xml:space="preserve">. The model has a structure configured by a set of parameters </w:t>
      </w:r>
      <m:oMath>
        <m:r>
          <w:rPr>
            <w:rFonts w:ascii="Cambria Math" w:hAnsi="Cambria Math"/>
          </w:rPr>
          <m:t>θ=</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ϕ</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ϕ</m:t>
                </m:r>
              </m:e>
              <m:sub>
                <m:r>
                  <w:rPr>
                    <w:rFonts w:ascii="Cambria Math" w:hAnsi="Cambria Math"/>
                  </w:rPr>
                  <m:t>n</m:t>
                </m:r>
              </m:sub>
            </m:sSub>
          </m:e>
        </m:d>
      </m:oMath>
      <w:r w:rsidR="000175BB" w:rsidRPr="000175BB">
        <w:t xml:space="preserve">, which are defined (trained) on the historical observations collected in </w:t>
      </w:r>
      <m:oMath>
        <m:r>
          <w:rPr>
            <w:rFonts w:ascii="Cambria Math" w:hAnsi="Cambria Math"/>
          </w:rPr>
          <m:t>D</m:t>
        </m:r>
      </m:oMath>
      <w:r w:rsidR="000175BB" w:rsidRPr="000175BB">
        <w:t xml:space="preserve">. An observation batch from </w:t>
      </w:r>
      <m:oMath>
        <m:r>
          <w:rPr>
            <w:rFonts w:ascii="Cambria Math" w:hAnsi="Cambria Math"/>
          </w:rPr>
          <m:t>D</m:t>
        </m:r>
      </m:oMath>
      <w:r w:rsidR="000175BB" w:rsidRPr="000175BB">
        <w:t xml:space="preserve"> can allow us to test the model and estimate its risk prediction performance </w:t>
      </w:r>
      <m:oMath>
        <m:r>
          <w:rPr>
            <w:rFonts w:ascii="Cambria Math" w:hAnsi="Cambria Math"/>
          </w:rPr>
          <m:t>RPP</m:t>
        </m:r>
        <m:d>
          <m:dPr>
            <m:ctrlPr>
              <w:rPr>
                <w:rFonts w:ascii="Cambria Math" w:hAnsi="Cambria Math"/>
                <w:i/>
              </w:rPr>
            </m:ctrlPr>
          </m:dPr>
          <m:e>
            <m:r>
              <w:rPr>
                <w:rFonts w:ascii="Cambria Math" w:hAnsi="Cambria Math"/>
              </w:rPr>
              <m:t>R,f</m:t>
            </m:r>
            <m:d>
              <m:dPr>
                <m:ctrlPr>
                  <w:rPr>
                    <w:rFonts w:ascii="Cambria Math" w:hAnsi="Cambria Math"/>
                    <w:i/>
                  </w:rPr>
                </m:ctrlPr>
              </m:dPr>
              <m:e>
                <m:r>
                  <w:rPr>
                    <w:rFonts w:ascii="Cambria Math" w:hAnsi="Cambria Math"/>
                  </w:rPr>
                  <m:t>X</m:t>
                </m:r>
              </m:e>
            </m:d>
          </m:e>
        </m:d>
      </m:oMath>
      <w:r w:rsidR="000175BB" w:rsidRPr="000175BB">
        <w:t>, i.e. the capacity to warn of a</w:t>
      </w:r>
      <w:r w:rsidR="00E57696">
        <w:t xml:space="preserve"> potential </w:t>
      </w:r>
      <w:r w:rsidR="000175BB" w:rsidRPr="000175BB">
        <w:t xml:space="preserve">accident. However, </w:t>
      </w:r>
      <m:oMath>
        <m:r>
          <w:rPr>
            <w:rFonts w:ascii="Cambria Math" w:hAnsi="Cambria Math"/>
          </w:rPr>
          <m:t>RPP</m:t>
        </m:r>
      </m:oMath>
      <w:r w:rsidR="000175BB" w:rsidRPr="000175BB">
        <w:t xml:space="preserve"> is unknown if the model is required to process system conditions </w:t>
      </w:r>
      <m:oMath>
        <m:sSub>
          <m:sSubPr>
            <m:ctrlPr>
              <w:rPr>
                <w:rFonts w:ascii="Cambria Math" w:hAnsi="Cambria Math"/>
                <w:i/>
              </w:rPr>
            </m:ctrlPr>
          </m:sSubPr>
          <m:e>
            <m:r>
              <w:rPr>
                <w:rFonts w:ascii="Cambria Math" w:hAnsi="Cambria Math"/>
              </w:rPr>
              <m:t>X</m:t>
            </m:r>
          </m:e>
          <m:sub>
            <m:r>
              <w:rPr>
                <w:rFonts w:ascii="Cambria Math" w:hAnsi="Cambria Math"/>
              </w:rPr>
              <m:t>T+1</m:t>
            </m:r>
          </m:sub>
        </m:sSub>
      </m:oMath>
      <w:r w:rsidR="000175BB" w:rsidRPr="000175BB">
        <w:t xml:space="preserve"> </w:t>
      </w:r>
      <w:r w:rsidR="00FF5637">
        <w:t xml:space="preserve">at a time </w:t>
      </w:r>
      <m:oMath>
        <m:r>
          <w:rPr>
            <w:rFonts w:ascii="Cambria Math" w:hAnsi="Cambria Math"/>
            <w:lang w:val="it-IT"/>
          </w:rPr>
          <m:t>T</m:t>
        </m:r>
        <m:r>
          <w:rPr>
            <w:rFonts w:ascii="Cambria Math" w:hAnsi="Cambria Math"/>
            <w:lang w:val="en-GB"/>
          </w:rPr>
          <m:t>+1</m:t>
        </m:r>
      </m:oMath>
      <w:r w:rsidR="00FF5637">
        <w:t xml:space="preserve"> </w:t>
      </w:r>
      <w:r w:rsidR="000175BB" w:rsidRPr="000175BB">
        <w:t xml:space="preserve">that were not observed before. In fact, the model can be tested only in hindsight, after the occurrence (or the missed occurrence) of an accident. This </w:t>
      </w:r>
      <w:r w:rsidR="00A1646E">
        <w:t>translates the fundamental challenges of cognition and emergence</w:t>
      </w:r>
      <w:r w:rsidR="00EF56F5">
        <w:t xml:space="preserve"> as follows</w:t>
      </w:r>
      <w:r w:rsidR="000175BB" w:rsidRPr="000175BB">
        <w:t>.</w:t>
      </w:r>
      <w:r w:rsidR="009677EA">
        <w:t xml:space="preserve"> </w:t>
      </w:r>
      <w:r w:rsidR="00F61E1D">
        <w:t>Cognition: t</w:t>
      </w:r>
      <w:r w:rsidR="000175BB" w:rsidRPr="000175BB">
        <w:t xml:space="preserve">he first challenge </w:t>
      </w:r>
      <w:r w:rsidR="00AC26DB">
        <w:t>addresses</w:t>
      </w:r>
      <w:r w:rsidR="000175BB" w:rsidRPr="000175BB">
        <w:t xml:space="preserve"> the risk analysis learning process </w:t>
      </w:r>
      <m:oMath>
        <m:r>
          <w:rPr>
            <w:rFonts w:ascii="Cambria Math" w:hAnsi="Cambria Math"/>
            <w:lang w:val="it-IT"/>
          </w:rPr>
          <m:t>L</m:t>
        </m:r>
        <m:r>
          <w:rPr>
            <w:rFonts w:ascii="Cambria Math" w:hAnsi="Cambria Math"/>
          </w:rPr>
          <m:t>(</m:t>
        </m:r>
        <m:r>
          <w:rPr>
            <w:rFonts w:ascii="Cambria Math" w:hAnsi="Cambria Math"/>
            <w:lang w:val="it-IT"/>
          </w:rPr>
          <m:t>θ</m:t>
        </m:r>
        <m:r>
          <w:rPr>
            <w:rFonts w:ascii="Cambria Math" w:hAnsi="Cambria Math"/>
          </w:rPr>
          <m:t>)</m:t>
        </m:r>
      </m:oMath>
      <w:r w:rsidR="000175BB" w:rsidRPr="000175BB">
        <w:t xml:space="preserve"> </w:t>
      </w:r>
      <w:r w:rsidR="0026562C">
        <w:t>and the</w:t>
      </w:r>
      <w:r w:rsidR="000175BB" w:rsidRPr="000175BB">
        <w:t xml:space="preserve"> expected predictive performance associated with a configuration </w:t>
      </w:r>
      <m:oMath>
        <m:r>
          <w:rPr>
            <w:rFonts w:ascii="Cambria Math" w:hAnsi="Cambria Math"/>
            <w:lang w:val="it-IT"/>
          </w:rPr>
          <m:t>θ</m:t>
        </m:r>
      </m:oMath>
      <w:r w:rsidR="000175BB" w:rsidRPr="000175BB">
        <w:t xml:space="preserve"> for a given dataset </w:t>
      </w:r>
      <m:oMath>
        <m:r>
          <w:rPr>
            <w:rFonts w:ascii="Cambria Math" w:hAnsi="Cambria Math"/>
            <w:lang w:val="it-IT"/>
          </w:rPr>
          <m:t>D</m:t>
        </m:r>
      </m:oMath>
      <w:r w:rsidR="000175BB" w:rsidRPr="000175BB">
        <w:t xml:space="preserve">. </w:t>
      </w:r>
    </w:p>
    <w:tbl>
      <w:tblPr>
        <w:tblW w:w="5000" w:type="pct"/>
        <w:tblLook w:val="04A0" w:firstRow="1" w:lastRow="0" w:firstColumn="1" w:lastColumn="0" w:noHBand="0" w:noVBand="1"/>
      </w:tblPr>
      <w:tblGrid>
        <w:gridCol w:w="8188"/>
        <w:gridCol w:w="815"/>
      </w:tblGrid>
      <w:tr w:rsidR="00B50B81" w:rsidRPr="00B57B36" w14:paraId="394915E4" w14:textId="77777777" w:rsidTr="00864512">
        <w:tc>
          <w:tcPr>
            <w:tcW w:w="8188" w:type="dxa"/>
            <w:shd w:val="clear" w:color="auto" w:fill="auto"/>
            <w:vAlign w:val="center"/>
          </w:tcPr>
          <w:p w14:paraId="094C5E5D" w14:textId="6492EC95" w:rsidR="00B50B81" w:rsidRPr="00D74B2E" w:rsidRDefault="00B50B81" w:rsidP="00864512">
            <w:pPr>
              <w:pStyle w:val="CETEquation"/>
              <w:rPr>
                <w:rFonts w:cs="Arial"/>
              </w:rPr>
            </w:pPr>
            <m:oMathPara>
              <m:oMathParaPr>
                <m:jc m:val="left"/>
              </m:oMathParaPr>
              <m:oMath>
                <m:r>
                  <w:rPr>
                    <w:rFonts w:ascii="Cambria Math" w:hAnsi="Cambria Math" w:cs="Arial"/>
                  </w:rPr>
                  <m:t>L</m:t>
                </m:r>
                <m:d>
                  <m:dPr>
                    <m:ctrlPr>
                      <w:rPr>
                        <w:rFonts w:ascii="Cambria Math" w:hAnsi="Cambria Math" w:cs="Arial"/>
                        <w:i/>
                      </w:rPr>
                    </m:ctrlPr>
                  </m:dPr>
                  <m:e>
                    <m:r>
                      <w:rPr>
                        <w:rFonts w:ascii="Cambria Math" w:hAnsi="Cambria Math" w:cs="Arial"/>
                      </w:rPr>
                      <m:t>θ</m:t>
                    </m:r>
                  </m:e>
                </m:d>
                <m:r>
                  <w:rPr>
                    <w:rFonts w:ascii="Cambria Math" w:hAnsi="Cambria Math" w:cs="Arial"/>
                  </w:rPr>
                  <m:t>=E</m:t>
                </m:r>
                <m:d>
                  <m:dPr>
                    <m:ctrlPr>
                      <w:rPr>
                        <w:rFonts w:ascii="Cambria Math" w:hAnsi="Cambria Math" w:cs="Arial"/>
                        <w:i/>
                      </w:rPr>
                    </m:ctrlPr>
                  </m:dPr>
                  <m:e>
                    <m:r>
                      <w:rPr>
                        <w:rFonts w:ascii="Cambria Math" w:hAnsi="Cambria Math" w:cs="Arial"/>
                      </w:rPr>
                      <m:t>RPP</m:t>
                    </m:r>
                    <m:d>
                      <m:dPr>
                        <m:ctrlPr>
                          <w:rPr>
                            <w:rFonts w:ascii="Cambria Math" w:hAnsi="Cambria Math" w:cs="Arial"/>
                            <w:i/>
                          </w:rPr>
                        </m:ctrlPr>
                      </m:dPr>
                      <m:e>
                        <m:r>
                          <w:rPr>
                            <w:rFonts w:ascii="Cambria Math" w:hAnsi="Cambria Math" w:cs="Arial"/>
                          </w:rPr>
                          <m:t>R,f</m:t>
                        </m:r>
                        <m:d>
                          <m:dPr>
                            <m:ctrlPr>
                              <w:rPr>
                                <w:rFonts w:ascii="Cambria Math" w:hAnsi="Cambria Math" w:cs="Arial"/>
                                <w:i/>
                              </w:rPr>
                            </m:ctrlPr>
                          </m:dPr>
                          <m:e>
                            <m:r>
                              <w:rPr>
                                <w:rFonts w:ascii="Cambria Math" w:hAnsi="Cambria Math" w:cs="Arial"/>
                              </w:rPr>
                              <m:t>X,θ</m:t>
                            </m:r>
                          </m:e>
                        </m:d>
                      </m:e>
                    </m:d>
                  </m:e>
                  <m:e>
                    <m:r>
                      <w:rPr>
                        <w:rFonts w:ascii="Cambria Math" w:hAnsi="Cambria Math" w:cs="Arial"/>
                      </w:rPr>
                      <m:t>D</m:t>
                    </m:r>
                  </m:e>
                </m:d>
              </m:oMath>
            </m:oMathPara>
          </w:p>
        </w:tc>
        <w:tc>
          <w:tcPr>
            <w:tcW w:w="815" w:type="dxa"/>
            <w:shd w:val="clear" w:color="auto" w:fill="auto"/>
            <w:vAlign w:val="center"/>
          </w:tcPr>
          <w:p w14:paraId="51CCCFB4" w14:textId="5DC023FC" w:rsidR="00B50B81" w:rsidRPr="00B57B36" w:rsidRDefault="00B50B81" w:rsidP="00864512">
            <w:pPr>
              <w:pStyle w:val="CETEquation"/>
              <w:jc w:val="right"/>
            </w:pPr>
            <w:r w:rsidRPr="00B57B36">
              <w:t>(</w:t>
            </w:r>
            <w:r>
              <w:t>2</w:t>
            </w:r>
            <w:r w:rsidRPr="00B57B36">
              <w:t>)</w:t>
            </w:r>
          </w:p>
        </w:tc>
      </w:tr>
    </w:tbl>
    <w:p w14:paraId="06C72682" w14:textId="178141FF" w:rsidR="000175BB" w:rsidRDefault="00F61E1D" w:rsidP="00F61E1D">
      <w:pPr>
        <w:pStyle w:val="CETBodytext"/>
      </w:pPr>
      <w:r>
        <w:t>Emergence: t</w:t>
      </w:r>
      <w:r w:rsidR="000175BB" w:rsidRPr="000175BB">
        <w:t xml:space="preserve">he second challenge </w:t>
      </w:r>
      <w:r w:rsidR="00D679E3">
        <w:t>addresses</w:t>
      </w:r>
      <w:r w:rsidR="000175BB" w:rsidRPr="000175BB">
        <w:t xml:space="preserve"> the configuration </w:t>
      </w:r>
      <m:oMath>
        <m:sSup>
          <m:sSupPr>
            <m:ctrlPr>
              <w:rPr>
                <w:rFonts w:ascii="Cambria Math" w:hAnsi="Cambria Math"/>
                <w:i/>
                <w:lang w:val="it-IT"/>
              </w:rPr>
            </m:ctrlPr>
          </m:sSupPr>
          <m:e>
            <m:r>
              <w:rPr>
                <w:rFonts w:ascii="Cambria Math" w:hAnsi="Cambria Math"/>
                <w:lang w:val="it-IT"/>
              </w:rPr>
              <m:t>θ</m:t>
            </m:r>
          </m:e>
          <m:sup>
            <m:r>
              <w:rPr>
                <w:rFonts w:ascii="Cambria Math" w:hAnsi="Cambria Math"/>
              </w:rPr>
              <m:t>*</m:t>
            </m:r>
          </m:sup>
        </m:sSup>
      </m:oMath>
      <w:r w:rsidR="000175BB" w:rsidRPr="000175BB">
        <w:t xml:space="preserve"> for the best learning process </w:t>
      </w:r>
      <m:oMath>
        <m:r>
          <w:rPr>
            <w:rFonts w:ascii="Cambria Math" w:hAnsi="Cambria Math"/>
            <w:lang w:val="it-IT"/>
          </w:rPr>
          <m:t>L</m:t>
        </m:r>
        <m:r>
          <w:rPr>
            <w:rFonts w:ascii="Cambria Math" w:hAnsi="Cambria Math"/>
          </w:rPr>
          <m:t>(</m:t>
        </m:r>
        <m:sSup>
          <m:sSupPr>
            <m:ctrlPr>
              <w:rPr>
                <w:rFonts w:ascii="Cambria Math" w:hAnsi="Cambria Math"/>
                <w:i/>
                <w:lang w:val="it-IT"/>
              </w:rPr>
            </m:ctrlPr>
          </m:sSupPr>
          <m:e>
            <m:r>
              <w:rPr>
                <w:rFonts w:ascii="Cambria Math" w:hAnsi="Cambria Math"/>
                <w:lang w:val="it-IT"/>
              </w:rPr>
              <m:t>θ</m:t>
            </m:r>
          </m:e>
          <m:sup>
            <m:r>
              <w:rPr>
                <w:rFonts w:ascii="Cambria Math" w:hAnsi="Cambria Math"/>
              </w:rPr>
              <m:t>*</m:t>
            </m:r>
          </m:sup>
        </m:sSup>
        <m:r>
          <w:rPr>
            <w:rFonts w:ascii="Cambria Math" w:hAnsi="Cambria Math"/>
          </w:rPr>
          <m:t>)</m:t>
        </m:r>
      </m:oMath>
      <w:r w:rsidR="000175BB" w:rsidRPr="000175BB">
        <w:t xml:space="preserve"> on a distribution of datasets, including potentially unseen datasets</w:t>
      </w:r>
      <w:r w:rsidR="00133B65">
        <w:t xml:space="preserve"> at time </w:t>
      </w:r>
      <m:oMath>
        <m:r>
          <w:rPr>
            <w:rFonts w:ascii="Cambria Math" w:hAnsi="Cambria Math"/>
          </w:rPr>
          <m:t>t=T+1</m:t>
        </m:r>
      </m:oMath>
      <w:r w:rsidR="000175BB" w:rsidRPr="000175BB">
        <w:t>.</w:t>
      </w:r>
    </w:p>
    <w:tbl>
      <w:tblPr>
        <w:tblW w:w="5000" w:type="pct"/>
        <w:tblLook w:val="04A0" w:firstRow="1" w:lastRow="0" w:firstColumn="1" w:lastColumn="0" w:noHBand="0" w:noVBand="1"/>
      </w:tblPr>
      <w:tblGrid>
        <w:gridCol w:w="8188"/>
        <w:gridCol w:w="815"/>
      </w:tblGrid>
      <w:tr w:rsidR="00B50B81" w:rsidRPr="00B57B36" w14:paraId="5BE8D4BD" w14:textId="77777777" w:rsidTr="00864512">
        <w:tc>
          <w:tcPr>
            <w:tcW w:w="8188" w:type="dxa"/>
            <w:shd w:val="clear" w:color="auto" w:fill="auto"/>
            <w:vAlign w:val="center"/>
          </w:tcPr>
          <w:p w14:paraId="03483C53" w14:textId="655B161C" w:rsidR="00B50B81" w:rsidRPr="00D74B2E" w:rsidRDefault="00157D0F" w:rsidP="00864512">
            <w:pPr>
              <w:pStyle w:val="CETEquation"/>
              <w:rPr>
                <w:rFonts w:cs="Arial"/>
              </w:rPr>
            </w:pPr>
            <m:oMathPara>
              <m:oMathParaPr>
                <m:jc m:val="left"/>
              </m:oMathParaPr>
              <m:oMath>
                <m:sSup>
                  <m:sSupPr>
                    <m:ctrlPr>
                      <w:rPr>
                        <w:rFonts w:ascii="Cambria Math" w:hAnsi="Cambria Math" w:cs="Arial"/>
                        <w:i/>
                        <w:lang w:val="it-IT"/>
                      </w:rPr>
                    </m:ctrlPr>
                  </m:sSupPr>
                  <m:e>
                    <m:r>
                      <w:rPr>
                        <w:rFonts w:ascii="Cambria Math" w:hAnsi="Cambria Math" w:cs="Arial"/>
                      </w:rPr>
                      <m:t>θ</m:t>
                    </m:r>
                  </m:e>
                  <m:sup>
                    <m:r>
                      <w:rPr>
                        <w:rFonts w:ascii="Cambria Math" w:hAnsi="Cambria Math" w:cs="Arial"/>
                      </w:rPr>
                      <m:t>*</m:t>
                    </m:r>
                  </m:sup>
                </m:sSup>
                <m:r>
                  <w:rPr>
                    <w:rFonts w:ascii="Cambria Math" w:hAnsi="Cambria Math" w:cs="Arial"/>
                  </w:rPr>
                  <m:t>=</m:t>
                </m:r>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argmax</m:t>
                        </m:r>
                      </m:e>
                      <m:lim>
                        <m:r>
                          <w:rPr>
                            <w:rFonts w:ascii="Cambria Math" w:hAnsi="Cambria Math" w:cs="Arial"/>
                          </w:rPr>
                          <m:t>θ</m:t>
                        </m:r>
                      </m:lim>
                    </m:limLow>
                  </m:fName>
                  <m:e>
                    <m:r>
                      <w:rPr>
                        <w:rFonts w:ascii="Cambria Math" w:hAnsi="Cambria Math" w:cs="Arial"/>
                      </w:rPr>
                      <m:t>E</m:t>
                    </m:r>
                    <m:d>
                      <m:dPr>
                        <m:ctrlPr>
                          <w:rPr>
                            <w:rFonts w:ascii="Cambria Math" w:hAnsi="Cambria Math" w:cs="Arial"/>
                            <w:i/>
                          </w:rPr>
                        </m:ctrlPr>
                      </m:dPr>
                      <m:e>
                        <m:r>
                          <w:rPr>
                            <w:rFonts w:ascii="Cambria Math" w:hAnsi="Cambria Math" w:cs="Arial"/>
                          </w:rPr>
                          <m:t>RPP</m:t>
                        </m:r>
                        <m:d>
                          <m:dPr>
                            <m:ctrlPr>
                              <w:rPr>
                                <w:rFonts w:ascii="Cambria Math" w:hAnsi="Cambria Math" w:cs="Arial"/>
                                <w:i/>
                              </w:rPr>
                            </m:ctrlPr>
                          </m:dPr>
                          <m:e>
                            <m:r>
                              <w:rPr>
                                <w:rFonts w:ascii="Cambria Math" w:hAnsi="Cambria Math" w:cs="Arial"/>
                              </w:rPr>
                              <m:t>R,f</m:t>
                            </m:r>
                            <m:d>
                              <m:dPr>
                                <m:ctrlPr>
                                  <w:rPr>
                                    <w:rFonts w:ascii="Cambria Math" w:hAnsi="Cambria Math" w:cs="Arial"/>
                                    <w:i/>
                                  </w:rPr>
                                </m:ctrlPr>
                              </m:dPr>
                              <m:e>
                                <m:r>
                                  <w:rPr>
                                    <w:rFonts w:ascii="Cambria Math" w:hAnsi="Cambria Math" w:cs="Arial"/>
                                  </w:rPr>
                                  <m:t>X,θ</m:t>
                                </m:r>
                              </m:e>
                            </m:d>
                          </m:e>
                        </m:d>
                      </m:e>
                      <m:e>
                        <m:sSub>
                          <m:sSubPr>
                            <m:ctrlPr>
                              <w:rPr>
                                <w:rFonts w:ascii="Cambria Math" w:hAnsi="Cambria Math" w:cs="Arial"/>
                                <w:i/>
                              </w:rPr>
                            </m:ctrlPr>
                          </m:sSubPr>
                          <m:e>
                            <m:r>
                              <w:rPr>
                                <w:rFonts w:ascii="Cambria Math" w:hAnsi="Cambria Math" w:cs="Arial"/>
                              </w:rPr>
                              <m:t>D</m:t>
                            </m:r>
                          </m:e>
                          <m:sub>
                            <m:r>
                              <w:rPr>
                                <w:rFonts w:ascii="Cambria Math" w:hAnsi="Cambria Math" w:cs="Arial"/>
                              </w:rPr>
                              <m:t>t</m:t>
                            </m:r>
                          </m:sub>
                        </m:sSub>
                      </m:e>
                    </m:d>
                  </m:e>
                </m:func>
                <m:r>
                  <m:rPr>
                    <m:sty m:val="p"/>
                  </m:rPr>
                  <w:rPr>
                    <w:rFonts w:ascii="Cambria Math" w:hAnsi="Cambria Math" w:cs="Arial"/>
                  </w:rPr>
                  <m:t xml:space="preserve">,  </m:t>
                </m:r>
                <m:r>
                  <w:rPr>
                    <w:rFonts w:ascii="Cambria Math" w:hAnsi="Cambria Math" w:cs="Arial"/>
                  </w:rPr>
                  <m:t>t=1,…,T+1</m:t>
                </m:r>
              </m:oMath>
            </m:oMathPara>
          </w:p>
        </w:tc>
        <w:tc>
          <w:tcPr>
            <w:tcW w:w="815" w:type="dxa"/>
            <w:shd w:val="clear" w:color="auto" w:fill="auto"/>
            <w:vAlign w:val="center"/>
          </w:tcPr>
          <w:p w14:paraId="053EF926" w14:textId="55658F73" w:rsidR="00B50B81" w:rsidRPr="00B57B36" w:rsidRDefault="00B50B81" w:rsidP="00864512">
            <w:pPr>
              <w:pStyle w:val="CETEquation"/>
              <w:jc w:val="right"/>
            </w:pPr>
            <w:r w:rsidRPr="00B57B36">
              <w:t>(</w:t>
            </w:r>
            <w:r>
              <w:t>3</w:t>
            </w:r>
            <w:r w:rsidRPr="00B57B36">
              <w:t>)</w:t>
            </w:r>
          </w:p>
        </w:tc>
      </w:tr>
    </w:tbl>
    <w:p w14:paraId="4C667A7B" w14:textId="655101F9" w:rsidR="00DD77DB" w:rsidRPr="000175BB" w:rsidRDefault="00B906C2" w:rsidP="00DD77DB">
      <w:pPr>
        <w:pStyle w:val="CETBodytext"/>
      </w:pPr>
      <w:r w:rsidRPr="004B4CE9">
        <w:rPr>
          <w:lang w:val="en-GB"/>
        </w:rPr>
        <w:t>Th</w:t>
      </w:r>
      <w:r>
        <w:rPr>
          <w:lang w:val="en-GB"/>
        </w:rPr>
        <w:t>is</w:t>
      </w:r>
      <w:r w:rsidRPr="004B4CE9">
        <w:rPr>
          <w:lang w:val="en-GB"/>
        </w:rPr>
        <w:t xml:space="preserve"> study </w:t>
      </w:r>
      <w:r w:rsidR="0036070B">
        <w:rPr>
          <w:lang w:val="en-GB"/>
        </w:rPr>
        <w:t>addresses</w:t>
      </w:r>
      <w:r w:rsidRPr="004B4CE9">
        <w:rPr>
          <w:lang w:val="en-GB"/>
        </w:rPr>
        <w:t xml:space="preserve"> these issues by considering the case study of a drive-off scenario involving an </w:t>
      </w:r>
      <w:r>
        <w:rPr>
          <w:lang w:val="en-GB"/>
        </w:rPr>
        <w:t>o</w:t>
      </w:r>
      <w:r w:rsidRPr="004B4CE9">
        <w:rPr>
          <w:lang w:val="en-GB"/>
        </w:rPr>
        <w:t xml:space="preserve">il </w:t>
      </w:r>
      <w:r>
        <w:rPr>
          <w:lang w:val="en-GB"/>
        </w:rPr>
        <w:t>and</w:t>
      </w:r>
      <w:r w:rsidRPr="004B4CE9">
        <w:rPr>
          <w:lang w:val="en-GB"/>
        </w:rPr>
        <w:t xml:space="preserve"> </w:t>
      </w:r>
      <w:r>
        <w:rPr>
          <w:lang w:val="en-GB"/>
        </w:rPr>
        <w:t>g</w:t>
      </w:r>
      <w:r w:rsidRPr="004B4CE9">
        <w:rPr>
          <w:lang w:val="en-GB"/>
        </w:rPr>
        <w:t>as drilling rig, for which a risk assessment approach based on machine learning is developed.</w:t>
      </w:r>
      <w:r w:rsidR="00040E1E">
        <w:rPr>
          <w:lang w:val="en-GB"/>
        </w:rPr>
        <w:t xml:space="preserve"> Through th</w:t>
      </w:r>
      <w:r w:rsidR="0036070B">
        <w:rPr>
          <w:lang w:val="en-GB"/>
        </w:rPr>
        <w:t>e</w:t>
      </w:r>
      <w:r w:rsidR="00040E1E">
        <w:rPr>
          <w:lang w:val="en-GB"/>
        </w:rPr>
        <w:t xml:space="preserve"> case-study,</w:t>
      </w:r>
      <w:r w:rsidR="007A0969">
        <w:rPr>
          <w:lang w:val="en-GB"/>
        </w:rPr>
        <w:t xml:space="preserve"> we discuss</w:t>
      </w:r>
      <w:r w:rsidR="00040E1E">
        <w:rPr>
          <w:lang w:val="en-GB"/>
        </w:rPr>
        <w:t xml:space="preserve"> </w:t>
      </w:r>
      <w:r w:rsidR="003D271B">
        <w:rPr>
          <w:lang w:val="en-GB"/>
        </w:rPr>
        <w:t xml:space="preserve">the </w:t>
      </w:r>
      <w:r w:rsidR="006768D4">
        <w:rPr>
          <w:lang w:val="en-GB"/>
        </w:rPr>
        <w:t xml:space="preserve">risk </w:t>
      </w:r>
      <w:r w:rsidR="007032C8">
        <w:rPr>
          <w:lang w:val="en-GB"/>
        </w:rPr>
        <w:t>analysis</w:t>
      </w:r>
      <w:r w:rsidR="006768D4">
        <w:rPr>
          <w:lang w:val="en-GB"/>
        </w:rPr>
        <w:t xml:space="preserve"> </w:t>
      </w:r>
      <w:r w:rsidR="006768D4">
        <w:t>learning model</w:t>
      </w:r>
      <w:r w:rsidR="00DD77DB" w:rsidRPr="000175BB">
        <w:t xml:space="preserve"> and </w:t>
      </w:r>
      <w:r w:rsidR="00E46D82">
        <w:t xml:space="preserve">its </w:t>
      </w:r>
      <w:proofErr w:type="spellStart"/>
      <w:r w:rsidR="00D74B2E">
        <w:t>optimisation</w:t>
      </w:r>
      <w:proofErr w:type="spellEnd"/>
      <w:r w:rsidR="00D74B2E" w:rsidRPr="000175BB">
        <w:t xml:space="preserve"> </w:t>
      </w:r>
      <w:r w:rsidR="00DD77DB" w:rsidRPr="000175BB">
        <w:t>towards new observations, in order to apprehend the emergence of unknown risks</w:t>
      </w:r>
      <w:r w:rsidR="00E46D82">
        <w:t>.</w:t>
      </w:r>
    </w:p>
    <w:p w14:paraId="79CED1E9" w14:textId="140FC08B" w:rsidR="009F3F61" w:rsidRPr="009F3F61" w:rsidRDefault="00A8163C" w:rsidP="009F3F61">
      <w:pPr>
        <w:pStyle w:val="CETHeading1"/>
      </w:pPr>
      <w:r>
        <w:rPr>
          <w:lang w:val="en-GB"/>
        </w:rPr>
        <w:t>D</w:t>
      </w:r>
      <w:r w:rsidRPr="004B4CE9">
        <w:rPr>
          <w:lang w:val="en-GB"/>
        </w:rPr>
        <w:t xml:space="preserve">rive-off scenario involving an </w:t>
      </w:r>
      <w:r>
        <w:rPr>
          <w:lang w:val="en-GB"/>
        </w:rPr>
        <w:t>o</w:t>
      </w:r>
      <w:r w:rsidRPr="004B4CE9">
        <w:rPr>
          <w:lang w:val="en-GB"/>
        </w:rPr>
        <w:t xml:space="preserve">il </w:t>
      </w:r>
      <w:r>
        <w:rPr>
          <w:lang w:val="en-GB"/>
        </w:rPr>
        <w:t>and</w:t>
      </w:r>
      <w:r w:rsidRPr="004B4CE9">
        <w:rPr>
          <w:lang w:val="en-GB"/>
        </w:rPr>
        <w:t xml:space="preserve"> </w:t>
      </w:r>
      <w:r>
        <w:rPr>
          <w:lang w:val="en-GB"/>
        </w:rPr>
        <w:t>g</w:t>
      </w:r>
      <w:r w:rsidRPr="004B4CE9">
        <w:rPr>
          <w:lang w:val="en-GB"/>
        </w:rPr>
        <w:t>as drilling rig</w:t>
      </w:r>
    </w:p>
    <w:p w14:paraId="7459BC67" w14:textId="77777777" w:rsidR="00DE4B5D" w:rsidRDefault="00217229" w:rsidP="00DC368A">
      <w:pPr>
        <w:pStyle w:val="CETBodytext"/>
        <w:keepNext/>
        <w:jc w:val="left"/>
      </w:pPr>
      <w:r w:rsidRPr="00217229">
        <w:rPr>
          <w:noProof/>
          <w:lang w:val="it-IT" w:eastAsia="it-IT"/>
        </w:rPr>
        <w:drawing>
          <wp:inline distT="0" distB="0" distL="0" distR="0" wp14:anchorId="6D6A871C" wp14:editId="6AE89C74">
            <wp:extent cx="3330207" cy="1299172"/>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9676" cy="1310668"/>
                    </a:xfrm>
                    <a:prstGeom prst="rect">
                      <a:avLst/>
                    </a:prstGeom>
                    <a:noFill/>
                    <a:ln>
                      <a:noFill/>
                    </a:ln>
                  </pic:spPr>
                </pic:pic>
              </a:graphicData>
            </a:graphic>
          </wp:inline>
        </w:drawing>
      </w:r>
    </w:p>
    <w:p w14:paraId="1D71912A" w14:textId="345BAB5C" w:rsidR="003D6DC7" w:rsidRDefault="00DE4B5D" w:rsidP="00F62A5B">
      <w:pPr>
        <w:pStyle w:val="CETCaption"/>
      </w:pPr>
      <w:bookmarkStart w:id="2" w:name="_Ref37344766"/>
      <w:r>
        <w:t xml:space="preserve">Figure </w:t>
      </w:r>
      <w:r>
        <w:fldChar w:fldCharType="begin"/>
      </w:r>
      <w:r>
        <w:instrText xml:space="preserve"> SEQ Figure \* ARABIC </w:instrText>
      </w:r>
      <w:r>
        <w:fldChar w:fldCharType="separate"/>
      </w:r>
      <w:r w:rsidR="00AF7A5B">
        <w:rPr>
          <w:noProof/>
        </w:rPr>
        <w:t>1</w:t>
      </w:r>
      <w:r>
        <w:fldChar w:fldCharType="end"/>
      </w:r>
      <w:bookmarkEnd w:id="2"/>
      <w:r w:rsidR="00D74B2E">
        <w:t>:</w:t>
      </w:r>
      <w:r w:rsidR="00F62A5B">
        <w:t xml:space="preserve"> </w:t>
      </w:r>
      <w:r w:rsidR="004C1CEF">
        <w:t>Position of a s</w:t>
      </w:r>
      <w:r w:rsidR="006265D0">
        <w:t xml:space="preserve">emi-submersible drilling unit </w:t>
      </w:r>
      <w:r w:rsidR="004C1CEF">
        <w:t>above the wellhead</w:t>
      </w:r>
    </w:p>
    <w:p w14:paraId="4E354CB3" w14:textId="63FB9F32" w:rsidR="00C3510E" w:rsidRDefault="009F3F61" w:rsidP="009F3F61">
      <w:pPr>
        <w:pStyle w:val="CETBodytext"/>
        <w:rPr>
          <w:lang w:val="en-GB"/>
        </w:rPr>
      </w:pPr>
      <w:r w:rsidRPr="009F3F61">
        <w:rPr>
          <w:lang w:val="en-GB"/>
        </w:rPr>
        <w:t xml:space="preserve">In order to avoid potential damage during drilling operations for a new offshore </w:t>
      </w:r>
      <w:r w:rsidR="00236B15">
        <w:rPr>
          <w:lang w:val="en-GB"/>
        </w:rPr>
        <w:t>Oil and gas</w:t>
      </w:r>
      <w:r w:rsidRPr="009F3F61">
        <w:rPr>
          <w:lang w:val="en-GB"/>
        </w:rPr>
        <w:t xml:space="preserve"> well, a semi-submersible drilling unit should maintain the position above the wellhead</w:t>
      </w:r>
      <w:r w:rsidR="00D87C47">
        <w:rPr>
          <w:lang w:val="en-GB"/>
        </w:rPr>
        <w:t xml:space="preserve"> (</w:t>
      </w:r>
      <w:r w:rsidR="00D87C47">
        <w:rPr>
          <w:lang w:val="en-GB"/>
        </w:rPr>
        <w:fldChar w:fldCharType="begin"/>
      </w:r>
      <w:r w:rsidR="00D87C47">
        <w:rPr>
          <w:lang w:val="en-GB"/>
        </w:rPr>
        <w:instrText xml:space="preserve"> REF _Ref37344766 \h </w:instrText>
      </w:r>
      <w:r w:rsidR="00D87C47">
        <w:rPr>
          <w:lang w:val="en-GB"/>
        </w:rPr>
      </w:r>
      <w:r w:rsidR="00D87C47">
        <w:rPr>
          <w:lang w:val="en-GB"/>
        </w:rPr>
        <w:fldChar w:fldCharType="separate"/>
      </w:r>
      <w:r w:rsidR="00D87C47">
        <w:t xml:space="preserve">Figure </w:t>
      </w:r>
      <w:r w:rsidR="00D87C47">
        <w:rPr>
          <w:noProof/>
        </w:rPr>
        <w:t>1</w:t>
      </w:r>
      <w:r w:rsidR="00D87C47">
        <w:rPr>
          <w:lang w:val="en-GB"/>
        </w:rPr>
        <w:fldChar w:fldCharType="end"/>
      </w:r>
      <w:r w:rsidR="00D87C47">
        <w:rPr>
          <w:lang w:val="en-GB"/>
        </w:rPr>
        <w:t>)</w:t>
      </w:r>
      <w:r w:rsidRPr="009F3F61">
        <w:rPr>
          <w:lang w:val="en-GB"/>
        </w:rPr>
        <w:t xml:space="preserve">. This is particularly critical if the platform is located in shallow waters, where small changes of position lead to higher riser (pipe connecting the platform to the subsea drilling system) angles. Exceeding physical inclination limits may result in damages to wellhead, Blowout Preventer (BOP – sealing the well) or Lower Marine Riser Package (LMRP – </w:t>
      </w:r>
      <w:r w:rsidRPr="009F3F61">
        <w:rPr>
          <w:lang w:val="en-GB"/>
        </w:rPr>
        <w:lastRenderedPageBreak/>
        <w:t xml:space="preserve">connecting riser and BOP) </w:t>
      </w:r>
      <w:r w:rsidRPr="009F3F61">
        <w:rPr>
          <w:lang w:val="en-GB"/>
        </w:rPr>
        <w:fldChar w:fldCharType="begin" w:fldLock="1"/>
      </w:r>
      <w:r w:rsidR="00BF542D">
        <w:rPr>
          <w:lang w:val="en-GB"/>
        </w:rPr>
        <w:instrText>ADDIN CSL_CITATION {"citationItems":[{"id":"ITEM-1","itemData":{"DOI":"10.1016/J.RESS.2007.04.003","ISSN":"0951-8320","abstract":"Dynamic positioning of mobile offshore drilling units for drilling operation (termed as DP drilling operation) is analyzed in this paper. A safety modeling approach based on the barrier concept is developed. Safety of DP drilling operation is modeled in terms of three main barrier functions, i.e. barrier functions to prevent loss of position, to arrest vessel movement and to prevent loss of well integrity, respectively. Analyses of each barrier function are performed. The associated barrier elements are identified, their existing deficiencies are revealed based on operational experience on the Norwegian Continental Shelf (NCS), and recommendations to strengthen each barrier element are proposed. These recommendations could improve safety of DP drilling operation on the NCS. They are also valid to DP drilling operations worldwide.","author":[{"dropping-particle":"","family":"Chen","given":"Haibo","non-dropping-particle":"","parse-names":false,"suffix":""},{"dropping-particle":"","family":"Moan","given":"Torgeir","non-dropping-particle":"","parse-names":false,"suffix":""},{"dropping-particle":"","family":"Verhoeven","given":"Harry","non-dropping-particle":"","parse-names":false,"suffix":""}],"container-title":"Reliability Engineering &amp; System Safety","id":"ITEM-1","issue":"7","issued":{"date-parts":[["2008","7","1"]]},"page":"1072-1090","publisher":"Elsevier","title":"Safety of dynamic positioning operations on mobile offshore drilling units","type":"article-journal","volume":"93"},"uris":["http://www.mendeley.com/documents/?uuid=ae9d06fc-b99a-39a1-ade1-ab1ce3be771e","http://www.mendeley.com/documents/?uuid=f2710a75-a9e2-4b5b-87d9-a84f60c59068"]}],"mendeley":{"formattedCitation":"(Chen et al., 2008)","plainTextFormattedCitation":"(Chen et al., 2008)","previouslyFormattedCitation":"(Chen et al., 2008)"},"properties":{"noteIndex":0},"schema":"https://github.com/citation-style-language/schema/raw/master/csl-citation.json"}</w:instrText>
      </w:r>
      <w:r w:rsidRPr="009F3F61">
        <w:rPr>
          <w:lang w:val="en-GB"/>
        </w:rPr>
        <w:fldChar w:fldCharType="separate"/>
      </w:r>
      <w:r w:rsidRPr="009F3F61">
        <w:rPr>
          <w:noProof/>
          <w:lang w:val="en-GB"/>
        </w:rPr>
        <w:t>(Chen et al., 2008)</w:t>
      </w:r>
      <w:r w:rsidRPr="009F3F61">
        <w:fldChar w:fldCharType="end"/>
      </w:r>
      <w:r w:rsidRPr="009F3F61">
        <w:rPr>
          <w:lang w:val="en-GB"/>
        </w:rPr>
        <w:t>. Platform positioning is maintained in an autonomous way (without mooring system) through the action of a set of thrusters controlled by the Dynamic Positioning (DP) system. Input for the DP system is provided by the position reference system (Differential Global Positioning System – DGPS and Hydroacoustic Position Reference – HPR), environmental sensors, gyrocompass, radar</w:t>
      </w:r>
      <w:r w:rsidR="00D74B2E">
        <w:rPr>
          <w:lang w:val="en-GB"/>
        </w:rPr>
        <w:t>,</w:t>
      </w:r>
      <w:r w:rsidRPr="009F3F61">
        <w:rPr>
          <w:lang w:val="en-GB"/>
        </w:rPr>
        <w:t xml:space="preserve"> and inclinometer </w:t>
      </w:r>
      <w:r w:rsidRPr="009F3F61">
        <w:rPr>
          <w:lang w:val="en-GB"/>
        </w:rPr>
        <w:fldChar w:fldCharType="begin" w:fldLock="1"/>
      </w:r>
      <w:r w:rsidR="00BF542D">
        <w:rPr>
          <w:lang w:val="en-GB"/>
        </w:rPr>
        <w:instrText>ADDIN CSL_CITATION {"citationItems":[{"id":"ITEM-1","itemData":{"DOI":"10.1016/J.RESS.2007.04.003","ISSN":"0951-8320","abstract":"Dynamic positioning of mobile offshore drilling units for drilling operation (termed as DP drilling operation) is analyzed in this paper. A safety modeling approach based on the barrier concept is developed. Safety of DP drilling operation is modeled in terms of three main barrier functions, i.e. barrier functions to prevent loss of position, to arrest vessel movement and to prevent loss of well integrity, respectively. Analyses of each barrier function are performed. The associated barrier elements are identified, their existing deficiencies are revealed based on operational experience on the Norwegian Continental Shelf (NCS), and recommendations to strengthen each barrier element are proposed. These recommendations could improve safety of DP drilling operation on the NCS. They are also valid to DP drilling operations worldwide.","author":[{"dropping-particle":"","family":"Chen","given":"Haibo","non-dropping-particle":"","parse-names":false,"suffix":""},{"dropping-particle":"","family":"Moan","given":"Torgeir","non-dropping-particle":"","parse-names":false,"suffix":""},{"dropping-particle":"","family":"Verhoeven","given":"Harry","non-dropping-particle":"","parse-names":false,"suffix":""}],"container-title":"Reliability Engineering &amp; System Safety","id":"ITEM-1","issue":"7","issued":{"date-parts":[["2008","7","1"]]},"page":"1072-1090","publisher":"Elsevier","title":"Safety of dynamic positioning operations on mobile offshore drilling units","type":"article-journal","volume":"93"},"uris":["http://www.mendeley.com/documents/?uuid=f2710a75-a9e2-4b5b-87d9-a84f60c59068","http://www.mendeley.com/documents/?uuid=ae9d06fc-b99a-39a1-ade1-ab1ce3be771e"]}],"mendeley":{"formattedCitation":"(Chen et al., 2008)","plainTextFormattedCitation":"(Chen et al., 2008)","previouslyFormattedCitation":"(Chen et al., 2008)"},"properties":{"noteIndex":0},"schema":"https://github.com/citation-style-language/schema/raw/master/csl-citation.json"}</w:instrText>
      </w:r>
      <w:r w:rsidRPr="009F3F61">
        <w:rPr>
          <w:lang w:val="en-GB"/>
        </w:rPr>
        <w:fldChar w:fldCharType="separate"/>
      </w:r>
      <w:r w:rsidRPr="009F3F61">
        <w:rPr>
          <w:noProof/>
          <w:lang w:val="en-GB"/>
        </w:rPr>
        <w:t>(Chen et al., 2008)</w:t>
      </w:r>
      <w:r w:rsidRPr="009F3F61">
        <w:fldChar w:fldCharType="end"/>
      </w:r>
      <w:r w:rsidRPr="009F3F61">
        <w:rPr>
          <w:lang w:val="en-GB"/>
        </w:rPr>
        <w:t xml:space="preserve">. A Dynamic Positioning Operator (DPO) located in the Marine Control Room (MCR) is responsible for constant monitoring of DP panels and screens and carrying out emergency procedures if needed </w:t>
      </w:r>
      <w:r w:rsidRPr="009F3F61">
        <w:rPr>
          <w:lang w:val="en-GB"/>
        </w:rPr>
        <w:fldChar w:fldCharType="begin" w:fldLock="1"/>
      </w:r>
      <w:r w:rsidR="00D74B2E">
        <w:rPr>
          <w:lang w:val="en-GB"/>
        </w:rPr>
        <w:instrText>ADDIN CSL_CITATION {"citationItems":[{"id":"ITEM-1","itemData":{"author":[{"dropping-particle":"","family":"Giddings","given":"I. C.","non-dropping-particle":"","parse-names":false,"suffix":""}],"id":"ITEM-1","issued":{"date-parts":[["2013"]]},"publisher-place":"Dynamic Positioning Conference, Houston, Texas, U.S","title":"IMO Guidelines for vessels with dynamic positioning systems","type":"report"},"uris":["http://www.mendeley.com/documents/?uuid=52e5c542-3a68-4d66-8a7e-de48b5474897","http://www.mendeley.com/documents/?uuid=84245795-e668-4648-afe9-952d1a9f54b1"]}],"mendeley":{"formattedCitation":"(Giddings, 2013)","plainTextFormattedCitation":"(Giddings, 2013)","previouslyFormattedCitation":"(Giddings, 2013)"},"properties":{"noteIndex":0},"schema":"https://github.com/citation-style-language/schema/raw/master/csl-citation.json"}</w:instrText>
      </w:r>
      <w:r w:rsidRPr="009F3F61">
        <w:rPr>
          <w:lang w:val="en-GB"/>
        </w:rPr>
        <w:fldChar w:fldCharType="separate"/>
      </w:r>
      <w:r w:rsidRPr="009F3F61">
        <w:rPr>
          <w:noProof/>
          <w:lang w:val="en-GB"/>
        </w:rPr>
        <w:t>(Giddings, 2013)</w:t>
      </w:r>
      <w:r w:rsidRPr="009F3F61">
        <w:fldChar w:fldCharType="end"/>
      </w:r>
      <w:r w:rsidRPr="009F3F61">
        <w:rPr>
          <w:lang w:val="en-GB"/>
        </w:rPr>
        <w:t>.</w:t>
      </w:r>
      <w:r w:rsidR="009677EA">
        <w:rPr>
          <w:lang w:val="en-GB"/>
        </w:rPr>
        <w:t xml:space="preserve"> </w:t>
      </w:r>
      <w:r w:rsidRPr="009F3F61">
        <w:rPr>
          <w:lang w:val="en-GB"/>
        </w:rPr>
        <w:t xml:space="preserve">Platform position may be lost due to </w:t>
      </w:r>
      <w:r w:rsidR="00236B15">
        <w:rPr>
          <w:lang w:val="en-GB"/>
        </w:rPr>
        <w:t>several</w:t>
      </w:r>
      <w:r w:rsidRPr="009F3F61">
        <w:rPr>
          <w:lang w:val="en-GB"/>
        </w:rPr>
        <w:t xml:space="preserve"> reasons. In this case study, it is assumed that the platform thrusters exercise propulsion towards a wrong direction, leading to a scenario of </w:t>
      </w:r>
      <w:r w:rsidR="00D74B2E">
        <w:rPr>
          <w:lang w:val="en-GB"/>
        </w:rPr>
        <w:t>“</w:t>
      </w:r>
      <w:r w:rsidRPr="009F3F61">
        <w:rPr>
          <w:lang w:val="en-GB"/>
        </w:rPr>
        <w:t>drive-off</w:t>
      </w:r>
      <w:r w:rsidR="00D74B2E">
        <w:rPr>
          <w:lang w:val="en-GB"/>
        </w:rPr>
        <w:t>”</w:t>
      </w:r>
      <w:r w:rsidRPr="009F3F61">
        <w:rPr>
          <w:lang w:val="en-GB"/>
        </w:rPr>
        <w:t xml:space="preserve">. If the rig moves to an offset position, specific alarms turn on and suggest the DPO to stop the drive-off scenario by deactivating the thrusters and initiate the manual Emergency Disconnect Sequence (EDS) for the disconnection of the riser from the BOP. If the manual EDS ultimately fails, the automatic EDS activates at the ultimate position limit allowing for safe disconnection </w:t>
      </w:r>
      <w:r w:rsidRPr="009F3F61">
        <w:rPr>
          <w:lang w:val="en-GB"/>
        </w:rPr>
        <w:fldChar w:fldCharType="begin" w:fldLock="1"/>
      </w:r>
      <w:r w:rsidR="00BF542D">
        <w:rPr>
          <w:lang w:val="en-GB"/>
        </w:rPr>
        <w:instrText>ADDIN CSL_CITATION {"citationItems":[{"id":"ITEM-1","itemData":{"DOI":"10.1016/J.RESS.2007.04.003","ISSN":"0951-8320","abstract":"Dynamic positioning of mobile offshore drilling units for drilling operation (termed as DP drilling operation) is analyzed in this paper. A safety modeling approach based on the barrier concept is developed. Safety of DP drilling operation is modeled in terms of three main barrier functions, i.e. barrier functions to prevent loss of position, to arrest vessel movement and to prevent loss of well integrity, respectively. Analyses of each barrier function are performed. The associated barrier elements are identified, their existing deficiencies are revealed based on operational experience on the Norwegian Continental Shelf (NCS), and recommendations to strengthen each barrier element are proposed. These recommendations could improve safety of DP drilling operation on the NCS. They are also valid to DP drilling operations worldwide.","author":[{"dropping-particle":"","family":"Chen","given":"Haibo","non-dropping-particle":"","parse-names":false,"suffix":""},{"dropping-particle":"","family":"Moan","given":"Torgeir","non-dropping-particle":"","parse-names":false,"suffix":""},{"dropping-particle":"","family":"Verhoeven","given":"Harry","non-dropping-particle":"","parse-names":false,"suffix":""}],"container-title":"Reliability Engineering &amp; System Safety","id":"ITEM-1","issue":"7","issued":{"date-parts":[["2008","7","1"]]},"page":"1072-1090","publisher":"Elsevier","title":"Safety of dynamic positioning operations on mobile offshore drilling units","type":"article-journal","volume":"93"},"uris":["http://www.mendeley.com/documents/?uuid=f2710a75-a9e2-4b5b-87d9-a84f60c59068","http://www.mendeley.com/documents/?uuid=ae9d06fc-b99a-39a1-ade1-ab1ce3be771e"]}],"mendeley":{"formattedCitation":"(Chen et al., 2008)","plainTextFormattedCitation":"(Chen et al., 2008)","previouslyFormattedCitation":"(Chen et al., 2008)"},"properties":{"noteIndex":0},"schema":"https://github.com/citation-style-language/schema/raw/master/csl-citation.json"}</w:instrText>
      </w:r>
      <w:r w:rsidRPr="009F3F61">
        <w:rPr>
          <w:lang w:val="en-GB"/>
        </w:rPr>
        <w:fldChar w:fldCharType="separate"/>
      </w:r>
      <w:r w:rsidRPr="009F3F61">
        <w:rPr>
          <w:noProof/>
          <w:lang w:val="en-GB"/>
        </w:rPr>
        <w:t>(Chen et al., 2008)</w:t>
      </w:r>
      <w:r w:rsidRPr="009F3F61">
        <w:fldChar w:fldCharType="end"/>
      </w:r>
      <w:r w:rsidRPr="009F3F61">
        <w:rPr>
          <w:lang w:val="en-GB"/>
        </w:rPr>
        <w:t xml:space="preserve">. </w:t>
      </w:r>
      <w:r w:rsidR="0003383A">
        <w:rPr>
          <w:lang w:val="en-GB"/>
        </w:rPr>
        <w:t>A number of wo</w:t>
      </w:r>
      <w:r w:rsidR="00132C26">
        <w:rPr>
          <w:lang w:val="en-GB"/>
        </w:rPr>
        <w:t xml:space="preserve">rks </w:t>
      </w:r>
      <w:r w:rsidR="00132C26">
        <w:rPr>
          <w:lang w:val="en-GB"/>
        </w:rPr>
        <w:fldChar w:fldCharType="begin" w:fldLock="1"/>
      </w:r>
      <w:r w:rsidR="00BF542D">
        <w:rPr>
          <w:lang w:val="en-GB"/>
        </w:rPr>
        <w:instrText>ADDIN CSL_CITATION {"citationItems":[{"id":"ITEM-1","itemData":{"DOI":"10.1016/B978-0-12-803765-2.00015-9","author":[{"dropping-particle":"","family":"Paltrinieri","given":"N.","non-dropping-particle":"","parse-names":false,"suffix":""},{"dropping-particle":"","family":"Massaiu","given":"S.","non-dropping-particle":"","parse-names":false,"suffix":""},{"dropping-particle":"","family":"Matteini","given":"A.","non-dropping-particle":"","parse-names":false,"suffix":""}],"id":"ITEM-1","issued":{"date-parts":[["2016","1","1"]]},"page":"181-192","publisher":"Butterworth-Heinemann","title":"Human Reliability Analysis in the Petroleum Industry: Tutorial and Examples","type":"chapter"},"uris":["http://www.mendeley.com/documents/?uuid=e800e3aa-cdf2-428c-bf9c-4bb0f4e87dfe","http://www.mendeley.com/documents/?uuid=d9b9d029-27a4-43c0-a0d4-19535515f7bb"]},{"id":"ITEM-2","itemData":{"author":[{"dropping-particle":"","family":"Matteini","given":"Anita","non-dropping-particle":"","parse-names":false,"suffix":""}],"id":"ITEM-2","issued":{"date-parts":[["2015"]]},"publisher-place":"Bologna, Italy","title":"Human factors and dynamic risk analysis: a case-study in Oil&amp;Gas drilling","type":"report"},"uris":["http://www.mendeley.com/documents/?uuid=5741caed-05d2-4740-a218-cf6392b0d04d","http://www.mendeley.com/documents/?uuid=c71244f5-ab3c-418d-b34b-2a45fa546acb"]},{"id":"ITEM-3","itemData":{"DOI":"https://doi.org/10.1016/j.ssci.2019.06.001","ISSN":"0925-7535","abstract":"Risk assessment has a primary role in safety-critical industries. However, it faces a series of overall challenges, partially related to technology advancements and increasing needs. There is currently a call for continuous risk assessment, improvement in learning past lessons and definition of techniques to process relevant data, which are to be coupled with adequate capability to deal with unexpected events and provide the right support to enable risk management. Through this work, we suggest a risk assessment approach based on machine learning. In particular, a deep neural network (DNN) model is developed and tested for a drive-off scenario involving an Oil &amp; Gas drilling rig. Results show reasonable accuracy for DNN predictions and general suitability to (partially) overcome risk assessment challenges. Nevertheless, intrinsic model limitations should be taken into account and appropriate model selection and customization should be carefully carried out to deliver appropriate support for safety-related decision-making.","author":[{"dropping-particle":"","family":"Paltrinieri","given":"Nicola","non-dropping-particle":"","parse-names":false,"suffix":""},{"dropping-particle":"","family":"Comfort","given":"Louise","non-dropping-particle":"","parse-names":false,"suffix":""},{"dropping-particle":"","family":"Reniers","given":"Genserik","non-dropping-particle":"","parse-names":false,"suffix":""}],"container-title":"Safety Science","id":"ITEM-3","issued":{"date-parts":[["2019","10","1"]]},"page":"475-486","publisher":"Elsevier","title":"Learning about risk: Machine learning for risk assessment","type":"article-journal","volume":"118"},"uris":["http://www.mendeley.com/documents/?uuid=27910cdb-3ca0-4b32-827f-18603a771824","http://www.mendeley.com/documents/?uuid=e36a8069-4d75-413f-97c1-b98503c98283"]}],"mendeley":{"formattedCitation":"(Matteini, 2015; Paltrinieri et al., 2019, 2016)","plainTextFormattedCitation":"(Matteini, 2015; Paltrinieri et al., 2019, 2016)","previouslyFormattedCitation":"(Matteini, 2015; Paltrinieri et al., 2019, 2016)"},"properties":{"noteIndex":0},"schema":"https://github.com/citation-style-language/schema/raw/master/csl-citation.json"}</w:instrText>
      </w:r>
      <w:r w:rsidR="00132C26">
        <w:rPr>
          <w:lang w:val="en-GB"/>
        </w:rPr>
        <w:fldChar w:fldCharType="separate"/>
      </w:r>
      <w:r w:rsidR="00D74B2E" w:rsidRPr="00D74B2E">
        <w:rPr>
          <w:noProof/>
          <w:lang w:val="en-GB"/>
        </w:rPr>
        <w:t>(Matteini, 2015; Paltrinieri et al., 2019, 2016)</w:t>
      </w:r>
      <w:r w:rsidR="00132C26">
        <w:rPr>
          <w:lang w:val="en-GB"/>
        </w:rPr>
        <w:fldChar w:fldCharType="end"/>
      </w:r>
      <w:r w:rsidRPr="009F3F61">
        <w:rPr>
          <w:lang w:val="en-GB"/>
        </w:rPr>
        <w:t xml:space="preserve"> </w:t>
      </w:r>
      <w:r w:rsidR="00132C26">
        <w:rPr>
          <w:lang w:val="en-GB"/>
        </w:rPr>
        <w:t>address the details of</w:t>
      </w:r>
      <w:r w:rsidRPr="009F3F61">
        <w:rPr>
          <w:lang w:val="en-GB"/>
        </w:rPr>
        <w:t xml:space="preserve"> occurrence and development of drive-off scenarios. Relevant indicators are defined</w:t>
      </w:r>
      <w:r w:rsidR="00FE687F">
        <w:rPr>
          <w:lang w:val="en-GB"/>
        </w:rPr>
        <w:t xml:space="preserve"> </w:t>
      </w:r>
      <w:r w:rsidRPr="009F3F61">
        <w:rPr>
          <w:lang w:val="en-GB"/>
        </w:rPr>
        <w:t xml:space="preserve">to assess the performance of </w:t>
      </w:r>
      <w:r w:rsidR="00FE687F">
        <w:rPr>
          <w:lang w:val="en-GB"/>
        </w:rPr>
        <w:t>safety barrier</w:t>
      </w:r>
      <w:r w:rsidR="00D74B2E">
        <w:rPr>
          <w:lang w:val="en-GB"/>
        </w:rPr>
        <w:t>s</w:t>
      </w:r>
      <w:r w:rsidR="00FE687F">
        <w:rPr>
          <w:lang w:val="en-GB"/>
        </w:rPr>
        <w:t xml:space="preserve"> and related </w:t>
      </w:r>
      <w:r w:rsidRPr="009F3F61">
        <w:rPr>
          <w:lang w:val="en-GB"/>
        </w:rPr>
        <w:t xml:space="preserve">systems. </w:t>
      </w:r>
      <w:r w:rsidR="00C3510E">
        <w:rPr>
          <w:lang w:val="en-GB"/>
        </w:rPr>
        <w:t>Examples of these indicators are the following.</w:t>
      </w:r>
    </w:p>
    <w:p w14:paraId="75362347" w14:textId="1E9D2ED2" w:rsidR="007927A8" w:rsidRPr="00DC368A" w:rsidRDefault="007927A8" w:rsidP="00DC368A">
      <w:pPr>
        <w:pStyle w:val="CETBodytext"/>
        <w:numPr>
          <w:ilvl w:val="0"/>
          <w:numId w:val="25"/>
        </w:numPr>
      </w:pPr>
      <w:r w:rsidRPr="00DC368A">
        <w:t xml:space="preserve">Thruster control failures in the last </w:t>
      </w:r>
      <w:r w:rsidR="00663D7E" w:rsidRPr="00DC368A">
        <w:t>three</w:t>
      </w:r>
      <w:r w:rsidRPr="00DC368A">
        <w:t xml:space="preserve"> months</w:t>
      </w:r>
      <w:r w:rsidR="00996A68" w:rsidRPr="00DC368A">
        <w:t>.</w:t>
      </w:r>
    </w:p>
    <w:p w14:paraId="6CA56136" w14:textId="3291676F" w:rsidR="007927A8" w:rsidRPr="00DC368A" w:rsidRDefault="00996A68" w:rsidP="00DC368A">
      <w:pPr>
        <w:pStyle w:val="CETBodytext"/>
        <w:numPr>
          <w:ilvl w:val="0"/>
          <w:numId w:val="25"/>
        </w:numPr>
      </w:pPr>
      <w:r w:rsidRPr="00DC368A">
        <w:t xml:space="preserve">Thruster monitoring sensors failures in the last </w:t>
      </w:r>
      <w:r w:rsidR="00663D7E" w:rsidRPr="00DC368A">
        <w:t>three</w:t>
      </w:r>
      <w:r w:rsidRPr="00DC368A">
        <w:t xml:space="preserve"> months.</w:t>
      </w:r>
    </w:p>
    <w:p w14:paraId="5628758B" w14:textId="0F39E9DD" w:rsidR="00996A68" w:rsidRPr="00DC368A" w:rsidRDefault="00996A68" w:rsidP="00DC368A">
      <w:pPr>
        <w:pStyle w:val="CETBodytext"/>
        <w:numPr>
          <w:ilvl w:val="0"/>
          <w:numId w:val="25"/>
        </w:numPr>
      </w:pPr>
      <w:r w:rsidRPr="00DC368A">
        <w:t xml:space="preserve">Simulator hours carried out by the </w:t>
      </w:r>
      <w:r w:rsidR="00663D7E" w:rsidRPr="00DC368A">
        <w:t>DPO in the last three months.</w:t>
      </w:r>
    </w:p>
    <w:p w14:paraId="3BCD8346" w14:textId="1C74CA8C" w:rsidR="00663D7E" w:rsidRPr="00DC368A" w:rsidRDefault="00663D7E" w:rsidP="00DC368A">
      <w:pPr>
        <w:pStyle w:val="CETBodytext"/>
        <w:numPr>
          <w:ilvl w:val="0"/>
          <w:numId w:val="25"/>
        </w:numPr>
      </w:pPr>
      <w:r w:rsidRPr="00DC368A">
        <w:t>Inadequate DPO communication events in the last three months.</w:t>
      </w:r>
    </w:p>
    <w:p w14:paraId="478B2F81" w14:textId="6383C838" w:rsidR="009D7750" w:rsidRPr="00DC368A" w:rsidRDefault="009D7750" w:rsidP="00DC368A">
      <w:pPr>
        <w:pStyle w:val="CETBodytext"/>
        <w:numPr>
          <w:ilvl w:val="0"/>
          <w:numId w:val="25"/>
        </w:numPr>
      </w:pPr>
      <w:r w:rsidRPr="00DC368A">
        <w:t>Delays in DPO shifts in the last three months.</w:t>
      </w:r>
    </w:p>
    <w:p w14:paraId="51A503C7" w14:textId="2FCE7EBB" w:rsidR="009D7750" w:rsidRPr="00DC368A" w:rsidRDefault="009D7750" w:rsidP="00DC368A">
      <w:pPr>
        <w:pStyle w:val="CETBodytext"/>
        <w:numPr>
          <w:ilvl w:val="0"/>
          <w:numId w:val="25"/>
        </w:numPr>
      </w:pPr>
      <w:r w:rsidRPr="00DC368A">
        <w:t>Percentage of time in the last three months with more than one operator monitoring.</w:t>
      </w:r>
    </w:p>
    <w:p w14:paraId="63226C2B" w14:textId="2220E8FF" w:rsidR="000175BB" w:rsidRPr="000175BB" w:rsidRDefault="00DB6599" w:rsidP="009F3F61">
      <w:pPr>
        <w:pStyle w:val="CETBodytext"/>
      </w:pPr>
      <w:r>
        <w:rPr>
          <w:lang w:val="en-GB"/>
        </w:rPr>
        <w:t>The</w:t>
      </w:r>
      <w:r w:rsidR="0074211A">
        <w:rPr>
          <w:lang w:val="en-GB"/>
        </w:rPr>
        <w:t xml:space="preserve"> simulations of their</w:t>
      </w:r>
      <w:r w:rsidR="009F3F61" w:rsidRPr="009F3F61">
        <w:rPr>
          <w:lang w:val="en-GB"/>
        </w:rPr>
        <w:t xml:space="preserve"> trends for a period of 30 years</w:t>
      </w:r>
      <w:r w:rsidR="0074211A">
        <w:rPr>
          <w:lang w:val="en-GB"/>
        </w:rPr>
        <w:t xml:space="preserve"> can be found in </w:t>
      </w:r>
      <w:r w:rsidR="00D74B2E">
        <w:rPr>
          <w:lang w:val="en-GB"/>
        </w:rPr>
        <w:t xml:space="preserve">the </w:t>
      </w:r>
      <w:r w:rsidR="0074211A">
        <w:rPr>
          <w:lang w:val="en-GB"/>
        </w:rPr>
        <w:t xml:space="preserve">literature </w:t>
      </w:r>
      <w:r w:rsidR="0074211A">
        <w:rPr>
          <w:lang w:val="en-GB"/>
        </w:rPr>
        <w:fldChar w:fldCharType="begin" w:fldLock="1"/>
      </w:r>
      <w:r w:rsidR="00BF542D">
        <w:rPr>
          <w:lang w:val="en-GB"/>
        </w:rPr>
        <w:instrText>ADDIN CSL_CITATION {"citationItems":[{"id":"ITEM-1","itemData":{"DOI":"https://doi.org/10.1016/j.ssci.2019.06.001","ISSN":"0925-7535","abstract":"Risk assessment has a primary role in safety-critical industries. However, it faces a series of overall challenges, partially related to technology advancements and increasing needs. There is currently a call for continuous risk assessment, improvement in learning past lessons and definition of techniques to process relevant data, which are to be coupled with adequate capability to deal with unexpected events and provide the right support to enable risk management. Through this work, we suggest a risk assessment approach based on machine learning. In particular, a deep neural network (DNN) model is developed and tested for a drive-off scenario involving an Oil &amp; Gas drilling rig. Results show reasonable accuracy for DNN predictions and general suitability to (partially) overcome risk assessment challenges. Nevertheless, intrinsic model limitations should be taken into account and appropriate model selection and customization should be carefully carried out to deliver appropriate support for safety-related decision-making.","author":[{"dropping-particle":"","family":"Paltrinieri","given":"Nicola","non-dropping-particle":"","parse-names":false,"suffix":""},{"dropping-particle":"","family":"Comfort","given":"Louise","non-dropping-particle":"","parse-names":false,"suffix":""},{"dropping-particle":"","family":"Reniers","given":"Genserik","non-dropping-particle":"","parse-names":false,"suffix":""}],"container-title":"Safety Science","id":"ITEM-1","issued":{"date-parts":[["2019","10","1"]]},"page":"475-486","publisher":"Elsevier","title":"Learning about risk: Machine learning for risk assessment","type":"article-journal","volume":"118"},"uris":["http://www.mendeley.com/documents/?uuid=27910cdb-3ca0-4b32-827f-18603a771824","http://www.mendeley.com/documents/?uuid=e36a8069-4d75-413f-97c1-b98503c98283"]}],"mendeley":{"formattedCitation":"(Paltrinieri et al., 2019)","plainTextFormattedCitation":"(Paltrinieri et al., 2019)","previouslyFormattedCitation":"(Paltrinieri et al., 2019)"},"properties":{"noteIndex":0},"schema":"https://github.com/citation-style-language/schema/raw/master/csl-citation.json"}</w:instrText>
      </w:r>
      <w:r w:rsidR="0074211A">
        <w:rPr>
          <w:lang w:val="en-GB"/>
        </w:rPr>
        <w:fldChar w:fldCharType="separate"/>
      </w:r>
      <w:r w:rsidR="0074211A" w:rsidRPr="0074211A">
        <w:rPr>
          <w:noProof/>
          <w:lang w:val="en-GB"/>
        </w:rPr>
        <w:t>(Paltrinieri et al., 2019)</w:t>
      </w:r>
      <w:r w:rsidR="0074211A">
        <w:rPr>
          <w:lang w:val="en-GB"/>
        </w:rPr>
        <w:fldChar w:fldCharType="end"/>
      </w:r>
      <w:r w:rsidR="009F3F61" w:rsidRPr="009F3F61">
        <w:rPr>
          <w:lang w:val="en-GB"/>
        </w:rPr>
        <w:t xml:space="preserve">. They are inspired to the typical bathtub curve for technical elements </w:t>
      </w:r>
      <w:r w:rsidR="009F3F61" w:rsidRPr="009F3F61">
        <w:rPr>
          <w:lang w:val="en-GB"/>
        </w:rPr>
        <w:fldChar w:fldCharType="begin" w:fldLock="1"/>
      </w:r>
      <w:r w:rsidR="00BF542D">
        <w:rPr>
          <w:lang w:val="en-GB"/>
        </w:rPr>
        <w:instrText>ADDIN CSL_CITATION {"citationItems":[{"id":"ITEM-1","itemData":{"DOI":"10.1016/S0951-8320(01)00124-7","ISSN":"0951-8320","abstract":"In this paper, a general form of bathtub shape hazard rate function is proposed in terms of reliability. The degradation of system reliability comes from different failure mechanisms, in particular those related to (1) random failures, (2) cumulative damage, (3) man–machine interference, and (4) adaptation. The first item is referred to the modeling of unpredictable failures in a Poisson process, i.e. it is shown by a constant. Cumulative damage emphasizes the failures owing to strength deterioration and therefore the possibility of system sustaining the normal operation load decreases with time. It depends on the failure probability, 1−R. This representation denotes the memory characteristics of the second failure cause. Man–machine interference may lead to a positive effect in the failure rate due to learning and correction, or negative from the consequence of human inappropriate habit in system operations, etc. It is suggested that this item is correlated to the reliability, R, as well as the failure probability. Adaptation concerns with continuous adjusting between the mating subsystems. When a new system is set on duty, some hidden defects are explored and disappeared eventually. Therefore, the reliability decays combined with decreasing failure rate, which is expressed as a power of reliability. Each of these phenomena brings about the failures independently and is described by an additive term in the hazard rate function h(R), thus the overall failure behavior governed by a number of parameters is found by fitting the evidence data. The proposed model is meaningful in capturing the physical phenomena occurring during the system lifetime and provides for simpler and more effective parameter fitting than the usually adopted ‘bathtub’ procedures. Five examples of different type of failure mechanisms are taken in the validation of the proposed model. Satisfactory results are found from the comparisons.","author":[{"dropping-particle":"","family":"Wang","given":"K.S.","non-dropping-particle":"","parse-names":false,"suffix":""},{"dropping-particle":"","family":"Hsu","given":"F.S.","non-dropping-particle":"","parse-names":false,"suffix":""},{"dropping-particle":"","family":"Liu","given":"P.P.","non-dropping-particle":"","parse-names":false,"suffix":""}],"container-title":"Reliability Engineering &amp; System Safety","id":"ITEM-1","issue":"3","issued":{"date-parts":[["2002","3","1"]]},"page":"397-406","publisher":"Elsevier","title":"Modeling the bathtub shape hazard rate function in terms of reliability","type":"article-journal","volume":"75"},"uris":["http://www.mendeley.com/documents/?uuid=3abd9e23-7108-37f4-ac87-aa22df379698","http://www.mendeley.com/documents/?uuid=50c81f57-407d-4549-ba3c-cd71cd6b3991"]}],"mendeley":{"formattedCitation":"(Wang et al., 2002)","plainTextFormattedCitation":"(Wang et al., 2002)","previouslyFormattedCitation":"(Wang et al., 2002)"},"properties":{"noteIndex":0},"schema":"https://github.com/citation-style-language/schema/raw/master/csl-citation.json"}</w:instrText>
      </w:r>
      <w:r w:rsidR="009F3F61" w:rsidRPr="009F3F61">
        <w:rPr>
          <w:lang w:val="en-GB"/>
        </w:rPr>
        <w:fldChar w:fldCharType="separate"/>
      </w:r>
      <w:r w:rsidR="009F3F61" w:rsidRPr="009F3F61">
        <w:rPr>
          <w:noProof/>
          <w:lang w:val="en-GB"/>
        </w:rPr>
        <w:t>(Wang et al., 2002)</w:t>
      </w:r>
      <w:r w:rsidR="009F3F61" w:rsidRPr="009F3F61">
        <w:fldChar w:fldCharType="end"/>
      </w:r>
      <w:r w:rsidR="009F3F61" w:rsidRPr="009F3F61">
        <w:rPr>
          <w:lang w:val="en-GB"/>
        </w:rPr>
        <w:t xml:space="preserve"> and relevant expert judgment for the remaining elements. As shown by </w:t>
      </w:r>
      <w:proofErr w:type="spellStart"/>
      <w:r w:rsidR="009F3F61" w:rsidRPr="009F3F61">
        <w:rPr>
          <w:lang w:val="en-GB"/>
        </w:rPr>
        <w:t>Bucelli</w:t>
      </w:r>
      <w:proofErr w:type="spellEnd"/>
      <w:r w:rsidR="009F3F61" w:rsidRPr="009F3F61">
        <w:rPr>
          <w:lang w:val="en-GB"/>
        </w:rPr>
        <w:t xml:space="preserve"> et al. </w:t>
      </w:r>
      <w:r w:rsidR="009F3F61" w:rsidRPr="009F3F61">
        <w:rPr>
          <w:lang w:val="en-GB"/>
        </w:rPr>
        <w:fldChar w:fldCharType="begin" w:fldLock="1"/>
      </w:r>
      <w:r w:rsidR="00D74B2E">
        <w:rPr>
          <w:lang w:val="en-GB"/>
        </w:rPr>
        <w:instrText>ADDIN CSL_CITATION {"citationItems":[{"id":"ITEM-1","itemData":{"DOI":"10.1016/j.oceaneng.2017.12.035","ISSN":"00298018","abstract":"© 2017 Elsevier Ltd. Oil and gas installations in sensitive areas with harsh environmental conditions may require improved risk management. Intensified monitoring, assessment and mitigation of risk on a (quasi-) real time basis would advantage not only the operators, but also the surrounding environment. A systematic tool for continuous quantitative evaluation of safety and environmental issues is still lacking. The present work introduces a novel methodology for the integrated assessment of human and environmental risk. A dynamic perspective is adopted to systematically consider the performance of safety barriers. Environmental risk is further investigated by using the risk matrix approach, which evaluates both frequency and severity of oil spill. The methodology is applied to the case of a real oil platform in the Barents Sea. A set of simulations on how the platform is conducted demonstrated that the proposed method may be suitable for risk analysis in such critical conditions. It also showed that dynamic risk assessment may allow identifying critical safety barrier elements, whose correct performance needs to be prioritized to control risk. This is also supported by environmental risk assessment, showing that further safety measures may be considered for biological and environmental conservation.","author":[{"dropping-particle":"","family":"Bucelli","given":"M.","non-dropping-particle":"","parse-names":false,"suffix":""},{"dropping-particle":"","family":"Paltrinieri","given":"N.","non-dropping-particle":"","parse-names":false,"suffix":""},{"dropping-particle":"","family":"Landucci","given":"G.","non-dropping-particle":"","parse-names":false,"suffix":""}],"container-title":"Ocean Engineering","id":"ITEM-1","issued":{"date-parts":[["2017"]]},"title":"Integrated risk assessment for oil and gas installations in sensitive areas","type":"article-journal"},"uris":["http://www.mendeley.com/documents/?uuid=9db7e01b-7ba4-3218-a319-f8b72932fee9","http://www.mendeley.com/documents/?uuid=d1cd7a6d-a719-4454-a059-fdbc872a16dc"]}],"mendeley":{"formattedCitation":"(Bucelli et al., 2017)","plainTextFormattedCitation":"(Bucelli et al., 2017)","previouslyFormattedCitation":"(Bucelli et al., 2017)"},"properties":{"noteIndex":0},"schema":"https://github.com/citation-style-language/schema/raw/master/csl-citation.json"}</w:instrText>
      </w:r>
      <w:r w:rsidR="009F3F61" w:rsidRPr="009F3F61">
        <w:rPr>
          <w:lang w:val="en-GB"/>
        </w:rPr>
        <w:fldChar w:fldCharType="separate"/>
      </w:r>
      <w:r w:rsidR="009F3F61" w:rsidRPr="009F3F61">
        <w:rPr>
          <w:noProof/>
          <w:lang w:val="en-GB"/>
        </w:rPr>
        <w:t>(Bucelli et al., 2017)</w:t>
      </w:r>
      <w:r w:rsidR="009F3F61" w:rsidRPr="009F3F61">
        <w:fldChar w:fldCharType="end"/>
      </w:r>
      <w:r w:rsidR="009F3F61" w:rsidRPr="009F3F61">
        <w:rPr>
          <w:lang w:val="en-GB"/>
        </w:rPr>
        <w:t>, indicator values</w:t>
      </w:r>
      <w:r w:rsidR="00374AB8">
        <w:rPr>
          <w:lang w:val="en-GB"/>
        </w:rPr>
        <w:t xml:space="preserve"> </w:t>
      </w:r>
      <w:r w:rsidR="00A16AB7">
        <w:rPr>
          <w:lang w:val="en-GB"/>
        </w:rPr>
        <w:t>(</w:t>
      </w:r>
      <w:r w:rsidR="00374AB8">
        <w:rPr>
          <w:lang w:val="en-GB"/>
        </w:rPr>
        <w:t>represent</w:t>
      </w:r>
      <w:r w:rsidR="00A16AB7">
        <w:rPr>
          <w:lang w:val="en-GB"/>
        </w:rPr>
        <w:t>ing</w:t>
      </w:r>
      <w:r w:rsidR="00374AB8">
        <w:rPr>
          <w:lang w:val="en-GB"/>
        </w:rPr>
        <w:t xml:space="preserve"> the system conditions </w:t>
      </w:r>
      <m:oMath>
        <m:r>
          <w:rPr>
            <w:rFonts w:ascii="Cambria Math" w:hAnsi="Cambria Math"/>
          </w:rPr>
          <m:t>X</m:t>
        </m:r>
      </m:oMath>
      <w:r w:rsidR="00A16AB7">
        <w:t>)</w:t>
      </w:r>
      <w:r w:rsidR="009B6778">
        <w:rPr>
          <w:lang w:val="en-GB"/>
        </w:rPr>
        <w:t xml:space="preserve"> </w:t>
      </w:r>
      <w:r w:rsidR="009F3F61" w:rsidRPr="009F3F61">
        <w:rPr>
          <w:lang w:val="en-GB"/>
        </w:rPr>
        <w:t xml:space="preserve">may be aggregated based on relative weights and hierarchical barrier models, in order to enable dynamic update of barrier failure probabilities. This can be used to update, in turn, occurrence frequencies of potential outcomes. Outcome frequencies are an expression of the scenario probability </w:t>
      </w:r>
      <w:r w:rsidR="009F3F61" w:rsidRPr="009F3F61">
        <w:rPr>
          <w:i/>
          <w:iCs/>
          <w:lang w:val="en-GB"/>
        </w:rPr>
        <w:t>p</w:t>
      </w:r>
      <w:r w:rsidR="009F3F61" w:rsidRPr="009F3F61">
        <w:rPr>
          <w:lang w:val="en-GB"/>
        </w:rPr>
        <w:t xml:space="preserve"> mentioned in </w:t>
      </w:r>
      <w:proofErr w:type="spellStart"/>
      <w:r w:rsidR="00D74B2E">
        <w:rPr>
          <w:lang w:val="en-GB"/>
        </w:rPr>
        <w:t>Eq</w:t>
      </w:r>
      <w:proofErr w:type="spellEnd"/>
      <w:r w:rsidR="009F3F61" w:rsidRPr="009F3F61">
        <w:rPr>
          <w:lang w:val="en-GB"/>
        </w:rPr>
        <w:t xml:space="preserve">(1) and, in turn, of the risk </w:t>
      </w:r>
      <w:r w:rsidR="009F3F61" w:rsidRPr="009F3F61">
        <w:rPr>
          <w:i/>
          <w:iCs/>
          <w:lang w:val="en-GB"/>
        </w:rPr>
        <w:t>R</w:t>
      </w:r>
      <w:r w:rsidR="00316FF2">
        <w:rPr>
          <w:lang w:val="en-GB"/>
        </w:rPr>
        <w:t>. I</w:t>
      </w:r>
      <w:r w:rsidR="009F3F61" w:rsidRPr="009F3F61">
        <w:rPr>
          <w:lang w:val="en-GB"/>
        </w:rPr>
        <w:t>f we assume that the other factors are constant</w:t>
      </w:r>
      <w:r w:rsidR="00316FF2">
        <w:rPr>
          <w:lang w:val="en-GB"/>
        </w:rPr>
        <w:t xml:space="preserve">, this represents </w:t>
      </w:r>
      <w:r w:rsidR="00316FF2" w:rsidRPr="000175BB">
        <w:t xml:space="preserve">a </w:t>
      </w:r>
      <w:r w:rsidR="00E57696">
        <w:t xml:space="preserve">simplified </w:t>
      </w:r>
      <w:r w:rsidR="00316FF2" w:rsidRPr="000175BB">
        <w:t xml:space="preserve">model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=R</m:t>
        </m:r>
      </m:oMath>
      <w:r w:rsidR="009F3F61" w:rsidRPr="009F3F61">
        <w:rPr>
          <w:lang w:val="en-GB"/>
        </w:rPr>
        <w:t xml:space="preserve">. </w:t>
      </w:r>
      <w:r w:rsidR="00316FF2">
        <w:rPr>
          <w:lang w:val="en-GB"/>
        </w:rPr>
        <w:t xml:space="preserve">However, </w:t>
      </w:r>
      <w:proofErr w:type="spellStart"/>
      <w:r w:rsidR="009F3F61" w:rsidRPr="009F3F61">
        <w:rPr>
          <w:lang w:val="en-GB"/>
        </w:rPr>
        <w:t>Matteini</w:t>
      </w:r>
      <w:proofErr w:type="spellEnd"/>
      <w:r w:rsidR="009F3F61" w:rsidRPr="009F3F61">
        <w:rPr>
          <w:lang w:val="en-GB"/>
        </w:rPr>
        <w:t xml:space="preserve"> </w:t>
      </w:r>
      <w:r w:rsidR="009F3F61" w:rsidRPr="009F3F61">
        <w:rPr>
          <w:lang w:val="en-GB"/>
        </w:rPr>
        <w:fldChar w:fldCharType="begin" w:fldLock="1"/>
      </w:r>
      <w:r w:rsidR="00D74B2E">
        <w:rPr>
          <w:lang w:val="en-GB"/>
        </w:rPr>
        <w:instrText>ADDIN CSL_CITATION {"citationItems":[{"id":"ITEM-1","itemData":{"author":[{"dropping-particle":"","family":"Matteini","given":"Anita","non-dropping-particle":"","parse-names":false,"suffix":""}],"id":"ITEM-1","issued":{"date-parts":[["2015"]]},"publisher-place":"Bologna, Italy","title":"Human factors and dynamic risk analysis: a case-study in Oil&amp;Gas drilling","type":"report"},"uris":["http://www.mendeley.com/documents/?uuid=c71244f5-ab3c-418d-b34b-2a45fa546acb","http://www.mendeley.com/documents/?uuid=5741caed-05d2-4740-a218-cf6392b0d04d"]}],"mendeley":{"formattedCitation":"(Matteini, 2015)","plainTextFormattedCitation":"(Matteini, 2015)","previouslyFormattedCitation":"(Matteini, 2015)"},"properties":{"noteIndex":0},"schema":"https://github.com/citation-style-language/schema/raw/master/csl-citation.json"}</w:instrText>
      </w:r>
      <w:r w:rsidR="009F3F61" w:rsidRPr="009F3F61">
        <w:rPr>
          <w:lang w:val="en-GB"/>
        </w:rPr>
        <w:fldChar w:fldCharType="separate"/>
      </w:r>
      <w:r w:rsidR="009F3F61" w:rsidRPr="009F3F61">
        <w:rPr>
          <w:noProof/>
          <w:lang w:val="en-GB"/>
        </w:rPr>
        <w:t>(Matteini, 2015)</w:t>
      </w:r>
      <w:r w:rsidR="009F3F61" w:rsidRPr="009F3F61">
        <w:fldChar w:fldCharType="end"/>
      </w:r>
      <w:r w:rsidR="009F3F61" w:rsidRPr="009F3F61">
        <w:rPr>
          <w:lang w:val="en-GB"/>
        </w:rPr>
        <w:t xml:space="preserve"> points out a certain complexity within the </w:t>
      </w:r>
      <w:r w:rsidR="00EC4CEE">
        <w:rPr>
          <w:lang w:val="en-GB"/>
        </w:rPr>
        <w:t xml:space="preserve">hierarchical barrier </w:t>
      </w:r>
      <w:r w:rsidR="009F3F61" w:rsidRPr="009F3F61">
        <w:rPr>
          <w:lang w:val="en-GB"/>
        </w:rPr>
        <w:t>model, which may be due to a tangled structure and an unclear approach to assign relative weights to single model elements.</w:t>
      </w:r>
      <w:r w:rsidR="00004705">
        <w:rPr>
          <w:lang w:val="en-GB"/>
        </w:rPr>
        <w:t xml:space="preserve"> For this reason, a machine learning approach bypassing the construction </w:t>
      </w:r>
      <w:r w:rsidR="00FD59B8">
        <w:rPr>
          <w:lang w:val="en-GB"/>
        </w:rPr>
        <w:t xml:space="preserve">of </w:t>
      </w:r>
      <w:r w:rsidR="007D5973">
        <w:rPr>
          <w:lang w:val="en-GB"/>
        </w:rPr>
        <w:t>such hierarchies and aggregation rules is suggested.</w:t>
      </w:r>
    </w:p>
    <w:p w14:paraId="7A6A2194" w14:textId="7D10896A" w:rsidR="002C59D0" w:rsidRPr="009F3F61" w:rsidRDefault="002C59D0" w:rsidP="002C59D0">
      <w:pPr>
        <w:pStyle w:val="CETHeading1"/>
      </w:pPr>
      <w:r>
        <w:rPr>
          <w:lang w:val="en-GB"/>
        </w:rPr>
        <w:t>Method</w:t>
      </w:r>
    </w:p>
    <w:p w14:paraId="5B7A2433" w14:textId="0EDDE8B5" w:rsidR="00602EC4" w:rsidRDefault="00DD3B7D" w:rsidP="00602EC4">
      <w:pPr>
        <w:pStyle w:val="CETBodytext"/>
        <w:rPr>
          <w:lang w:val="en-GB"/>
        </w:rPr>
      </w:pPr>
      <w:r w:rsidRPr="00706D20">
        <w:t xml:space="preserve">Machine learning refers to techniques aiming to program computers to learn from experience </w:t>
      </w:r>
      <w:r w:rsidRPr="00706D20">
        <w:fldChar w:fldCharType="begin" w:fldLock="1"/>
      </w:r>
      <w:r w:rsidR="00D74B2E">
        <w:instrText>ADDIN CSL_CITATION {"citationItems":[{"id":"ITEM-1","itemData":{"DOI":"10.1147/rd.33.0210","ISSN":"0018-8646 VO  - 3","author":[{"dropping-particle":"","family":"Samuel","given":"A L","non-dropping-particle":"","parse-names":false,"suffix":""}],"container-title":"IBM Journal of Research and Development","id":"ITEM-1","issue":"3","issued":{"date-parts":[["1959"]]},"page":"210-229","title":"Some Studies in Machine Learning Using the Game of Checkers","type":"article-journal","volume":"3"},"uris":["http://www.mendeley.com/documents/?uuid=67098fc1-249c-4c11-bd37-003fd4e1618d","http://www.mendeley.com/documents/?uuid=e6a61851-216a-401c-9b07-927ba7670614"]}],"mendeley":{"formattedCitation":"(Samuel, 1959)","plainTextFormattedCitation":"(Samuel, 1959)","previouslyFormattedCitation":"(Samuel, 1959)"},"properties":{"noteIndex":0},"schema":"https://github.com/citation-style-language/schema/raw/master/csl-citation.json"}</w:instrText>
      </w:r>
      <w:r w:rsidRPr="00706D20">
        <w:fldChar w:fldCharType="separate"/>
      </w:r>
      <w:r w:rsidRPr="00706D20">
        <w:rPr>
          <w:noProof/>
        </w:rPr>
        <w:t>(Samuel, 1959)</w:t>
      </w:r>
      <w:r w:rsidRPr="00706D20">
        <w:fldChar w:fldCharType="end"/>
      </w:r>
      <w:r w:rsidRPr="00706D20">
        <w:t>.</w:t>
      </w:r>
      <w:r>
        <w:t xml:space="preserve"> </w:t>
      </w:r>
      <w:r w:rsidR="00100AE0" w:rsidRPr="00706D20">
        <w:t>It allows computational models to learn representations of data with</w:t>
      </w:r>
      <w:r w:rsidR="00786053">
        <w:t xml:space="preserve"> certain levels</w:t>
      </w:r>
      <w:r w:rsidR="00100AE0" w:rsidRPr="00706D20">
        <w:t xml:space="preserve"> of abstraction. A computer may be trained to assess risk for safety-critical industries such as </w:t>
      </w:r>
      <w:r w:rsidR="005C0D3B">
        <w:t>oil and gas</w:t>
      </w:r>
      <w:r w:rsidR="00100AE0" w:rsidRPr="00706D20">
        <w:t xml:space="preserve"> through </w:t>
      </w:r>
      <w:r w:rsidR="00786053">
        <w:t>machine</w:t>
      </w:r>
      <w:r w:rsidR="00100AE0" w:rsidRPr="00706D20">
        <w:t xml:space="preserve"> learning techniques. A large amount of information in the form of</w:t>
      </w:r>
      <w:r w:rsidR="00A36FDA">
        <w:t xml:space="preserve"> the mentioned</w:t>
      </w:r>
      <w:r w:rsidR="00100AE0" w:rsidRPr="00706D20">
        <w:t xml:space="preserve"> indicators may be used for training. Once the model has learned risk </w:t>
      </w:r>
      <w:proofErr w:type="spellStart"/>
      <w:r w:rsidR="00D74B2E" w:rsidRPr="00706D20">
        <w:t>categori</w:t>
      </w:r>
      <w:r w:rsidR="00D74B2E">
        <w:t>s</w:t>
      </w:r>
      <w:r w:rsidR="00D74B2E" w:rsidRPr="00706D20">
        <w:t>ation</w:t>
      </w:r>
      <w:proofErr w:type="spellEnd"/>
      <w:r w:rsidR="00D74B2E">
        <w:t xml:space="preserve"> </w:t>
      </w:r>
      <w:r w:rsidR="00B332BB">
        <w:t xml:space="preserve">and created an artificial risk model </w:t>
      </w:r>
      <m:oMath>
        <m:sSub>
          <m:sSubPr>
            <m:ctrlPr>
              <w:rPr>
                <w:rFonts w:ascii="Cambria Math" w:hAnsi="Cambria Math"/>
                <w:i/>
              </w:rPr>
            </m:ctrlPr>
          </m:sSubPr>
          <m:e>
            <m:r>
              <w:rPr>
                <w:rFonts w:ascii="Cambria Math" w:hAnsi="Cambria Math"/>
              </w:rPr>
              <m:t>f</m:t>
            </m:r>
          </m:e>
          <m:sub>
            <m:r>
              <w:rPr>
                <w:rFonts w:ascii="Cambria Math" w:hAnsi="Cambria Math"/>
              </w:rPr>
              <m:t>θ</m:t>
            </m:r>
          </m:sub>
        </m:sSub>
        <m:r>
          <w:rPr>
            <w:rFonts w:ascii="Cambria Math" w:hAnsi="Cambria Math"/>
          </w:rPr>
          <m:t>(X)</m:t>
        </m:r>
      </m:oMath>
      <w:r w:rsidR="00100AE0" w:rsidRPr="00706D20">
        <w:t xml:space="preserve">, it uses its knowledge to </w:t>
      </w:r>
      <w:r w:rsidR="00044D57">
        <w:t>assess</w:t>
      </w:r>
      <w:r w:rsidR="00100AE0" w:rsidRPr="00706D20">
        <w:t xml:space="preserve"> real-time risk from the state of the monitored system, e.g. an offshore </w:t>
      </w:r>
      <w:r w:rsidR="00721AC4">
        <w:t>oil and gas</w:t>
      </w:r>
      <w:r w:rsidR="00100AE0" w:rsidRPr="00706D20">
        <w:t xml:space="preserve"> </w:t>
      </w:r>
      <w:r w:rsidR="009D7343">
        <w:t>drilling rig</w:t>
      </w:r>
      <w:r w:rsidR="00100AE0" w:rsidRPr="00706D20">
        <w:t>.</w:t>
      </w:r>
      <w:r w:rsidR="00C16299">
        <w:t xml:space="preserve"> </w:t>
      </w:r>
      <w:r w:rsidR="009D7343">
        <w:t xml:space="preserve">The machine learning technique used for this </w:t>
      </w:r>
      <w:r w:rsidR="00573B64">
        <w:t xml:space="preserve">study is </w:t>
      </w:r>
      <w:r w:rsidR="00483B8B">
        <w:t xml:space="preserve">the </w:t>
      </w:r>
      <w:r w:rsidR="00D74B2E">
        <w:t>M</w:t>
      </w:r>
      <w:r w:rsidR="00D74B2E" w:rsidRPr="00706D20">
        <w:t xml:space="preserve">ultiple </w:t>
      </w:r>
      <w:r w:rsidR="00D74B2E">
        <w:t>L</w:t>
      </w:r>
      <w:r w:rsidR="00D74B2E" w:rsidRPr="00706D20">
        <w:t xml:space="preserve">inear </w:t>
      </w:r>
      <w:r w:rsidR="00D74B2E">
        <w:t>R</w:t>
      </w:r>
      <w:r w:rsidR="00D74B2E" w:rsidRPr="00706D20">
        <w:t xml:space="preserve">egression </w:t>
      </w:r>
      <w:r w:rsidR="00483B8B" w:rsidRPr="00706D20">
        <w:t>(MLR)</w:t>
      </w:r>
      <w:r w:rsidR="00772417">
        <w:t xml:space="preserve"> </w:t>
      </w:r>
      <w:r w:rsidR="00772417">
        <w:fldChar w:fldCharType="begin" w:fldLock="1"/>
      </w:r>
      <w:r w:rsidR="00D74B2E">
        <w:instrText>ADDIN CSL_CITATION {"citationItems":[{"id":"ITEM-1","itemData":{"author":[{"dropping-particle":"","family":"Bottenberg","given":"Robert A","non-dropping-particle":"","parse-names":false,"suffix":""},{"dropping-particle":"","family":"Ward","given":"Joe H","non-dropping-particle":"","parse-names":false,"suffix":""}],"id":"ITEM-1","issue":"6","issued":{"date-parts":[["1963"]]},"publisher":"6570th Personnel Research Laboratory, Aerospace Medical Division, Air Force …","title":"Applied multiple linear regression","type":"book","volume":"63"},"uris":["http://www.mendeley.com/documents/?uuid=457f4426-de7a-4b56-87a9-70d8a1a326a7","http://www.mendeley.com/documents/?uuid=dfb1cffe-1455-47e4-b594-ee055efa9c6b"]}],"mendeley":{"formattedCitation":"(Bottenberg and Ward, 1963)","plainTextFormattedCitation":"(Bottenberg and Ward, 1963)","previouslyFormattedCitation":"(Bottenberg and Ward, 1963)"},"properties":{"noteIndex":0},"schema":"https://github.com/citation-style-language/schema/raw/master/csl-citation.json"}</w:instrText>
      </w:r>
      <w:r w:rsidR="00772417">
        <w:fldChar w:fldCharType="separate"/>
      </w:r>
      <w:r w:rsidR="00772417" w:rsidRPr="00772417">
        <w:rPr>
          <w:noProof/>
        </w:rPr>
        <w:t>(Bottenberg and Ward, 1963)</w:t>
      </w:r>
      <w:r w:rsidR="00772417">
        <w:fldChar w:fldCharType="end"/>
      </w:r>
      <w:r w:rsidR="00C16299">
        <w:t>, where the variables are the indicators.</w:t>
      </w:r>
      <w:r w:rsidR="009677EA">
        <w:t xml:space="preserve"> </w:t>
      </w:r>
      <w:r w:rsidR="005B3F78">
        <w:rPr>
          <w:lang w:val="en-GB"/>
        </w:rPr>
        <w:t>T</w:t>
      </w:r>
      <w:r w:rsidR="00602EC4" w:rsidRPr="00602EC4">
        <w:rPr>
          <w:lang w:val="en-GB"/>
        </w:rPr>
        <w:t xml:space="preserve">he study focuses on the prediction of risk increase given the indicator trends. Since the simulated wellhead damage frequency </w:t>
      </w:r>
      <m:oMath>
        <m:r>
          <w:rPr>
            <w:rFonts w:ascii="Cambria Math" w:hAnsi="Cambria Math"/>
            <w:lang w:val="en-GB"/>
          </w:rPr>
          <m:t>Freq</m:t>
        </m:r>
      </m:oMath>
      <w:r w:rsidR="00602EC4" w:rsidRPr="00602EC4">
        <w:rPr>
          <w:lang w:val="en-GB"/>
        </w:rPr>
        <w:t xml:space="preserve"> is an expression of the scenario probability </w:t>
      </w:r>
      <m:oMath>
        <m:r>
          <w:rPr>
            <w:rFonts w:ascii="Cambria Math" w:hAnsi="Cambria Math"/>
            <w:lang w:val="en-GB"/>
          </w:rPr>
          <m:t>p</m:t>
        </m:r>
      </m:oMath>
      <w:r w:rsidR="00602EC4" w:rsidRPr="00602EC4">
        <w:rPr>
          <w:lang w:val="en-GB"/>
        </w:rPr>
        <w:t xml:space="preserve">, and, in turn, the risk </w:t>
      </w:r>
      <m:oMath>
        <m:r>
          <w:rPr>
            <w:rFonts w:ascii="Cambria Math" w:hAnsi="Cambria Math"/>
          </w:rPr>
          <m:t>R</m:t>
        </m:r>
      </m:oMath>
      <w:r w:rsidR="00602EC4" w:rsidRPr="00602EC4">
        <w:rPr>
          <w:lang w:val="en-GB"/>
        </w:rPr>
        <w:t xml:space="preserve">, for constant scenario </w:t>
      </w:r>
      <m:oMath>
        <m:r>
          <w:rPr>
            <w:rFonts w:ascii="Cambria Math" w:hAnsi="Cambria Math"/>
            <w:lang w:val="en-GB"/>
          </w:rPr>
          <m:t>s</m:t>
        </m:r>
      </m:oMath>
      <w:r w:rsidR="00602EC4" w:rsidRPr="00602EC4">
        <w:rPr>
          <w:lang w:val="en-GB"/>
        </w:rPr>
        <w:t xml:space="preserve"> and consequence </w:t>
      </w:r>
      <m:oMath>
        <m:r>
          <w:rPr>
            <w:rFonts w:ascii="Cambria Math" w:hAnsi="Cambria Math"/>
            <w:lang w:val="en-GB"/>
          </w:rPr>
          <m:t>c</m:t>
        </m:r>
      </m:oMath>
      <w:r w:rsidR="00602EC4" w:rsidRPr="00602EC4">
        <w:rPr>
          <w:lang w:val="en-GB"/>
        </w:rPr>
        <w:t>, we can state that:</w:t>
      </w:r>
    </w:p>
    <w:tbl>
      <w:tblPr>
        <w:tblW w:w="5000" w:type="pct"/>
        <w:tblLook w:val="04A0" w:firstRow="1" w:lastRow="0" w:firstColumn="1" w:lastColumn="0" w:noHBand="0" w:noVBand="1"/>
      </w:tblPr>
      <w:tblGrid>
        <w:gridCol w:w="8188"/>
        <w:gridCol w:w="815"/>
      </w:tblGrid>
      <w:tr w:rsidR="00D74B2E" w:rsidRPr="00B57B36" w14:paraId="61B79255" w14:textId="77777777" w:rsidTr="00864512">
        <w:tc>
          <w:tcPr>
            <w:tcW w:w="8188" w:type="dxa"/>
            <w:shd w:val="clear" w:color="auto" w:fill="auto"/>
            <w:vAlign w:val="center"/>
          </w:tcPr>
          <w:p w14:paraId="4E992C6C" w14:textId="4D971CC4" w:rsidR="00D74B2E" w:rsidRPr="00FB314A" w:rsidRDefault="00157D0F" w:rsidP="00864512">
            <w:pPr>
              <w:pStyle w:val="CETEquation"/>
              <w:rPr>
                <w:rFonts w:cs="Arial"/>
              </w:rPr>
            </w:pPr>
            <m:oMathPara>
              <m:oMathParaPr>
                <m:jc m:val="left"/>
              </m:oMathParaPr>
              <m:oMath>
                <m:f>
                  <m:fPr>
                    <m:ctrlPr>
                      <w:rPr>
                        <w:rFonts w:ascii="Cambria Math" w:hAnsi="Cambria Math" w:cs="Arial"/>
                        <w:i/>
                      </w:rPr>
                    </m:ctrlPr>
                  </m:fPr>
                  <m:num>
                    <m:r>
                      <w:rPr>
                        <w:rFonts w:ascii="Cambria Math" w:hAnsi="Cambria Math" w:cs="Arial"/>
                      </w:rPr>
                      <m:t>dFreq</m:t>
                    </m:r>
                  </m:num>
                  <m:den>
                    <m:r>
                      <w:rPr>
                        <w:rFonts w:ascii="Cambria Math" w:hAnsi="Cambria Math" w:cs="Arial"/>
                      </w:rPr>
                      <m:t>dt</m:t>
                    </m:r>
                  </m:den>
                </m:f>
                <m:r>
                  <w:rPr>
                    <w:rFonts w:ascii="Cambria Math" w:hAnsi="Cambria Math" w:cs="Arial"/>
                  </w:rPr>
                  <m:t>≈</m:t>
                </m:r>
                <m:f>
                  <m:fPr>
                    <m:ctrlPr>
                      <w:rPr>
                        <w:rFonts w:ascii="Cambria Math" w:hAnsi="Cambria Math" w:cs="Arial"/>
                        <w:i/>
                      </w:rPr>
                    </m:ctrlPr>
                  </m:fPr>
                  <m:num>
                    <m:r>
                      <w:rPr>
                        <w:rFonts w:ascii="Cambria Math" w:hAnsi="Cambria Math" w:cs="Arial"/>
                      </w:rPr>
                      <m:t>dR</m:t>
                    </m:r>
                  </m:num>
                  <m:den>
                    <m:r>
                      <w:rPr>
                        <w:rFonts w:ascii="Cambria Math" w:hAnsi="Cambria Math" w:cs="Arial"/>
                      </w:rPr>
                      <m:t>dt</m:t>
                    </m:r>
                  </m:den>
                </m:f>
              </m:oMath>
            </m:oMathPara>
          </w:p>
        </w:tc>
        <w:tc>
          <w:tcPr>
            <w:tcW w:w="815" w:type="dxa"/>
            <w:shd w:val="clear" w:color="auto" w:fill="auto"/>
            <w:vAlign w:val="center"/>
          </w:tcPr>
          <w:p w14:paraId="6549F7E2" w14:textId="72C80948" w:rsidR="00D74B2E" w:rsidRPr="00B57B36" w:rsidRDefault="00D74B2E" w:rsidP="00864512">
            <w:pPr>
              <w:pStyle w:val="CETEquation"/>
              <w:jc w:val="right"/>
            </w:pPr>
            <w:r w:rsidRPr="00B57B36">
              <w:t>(</w:t>
            </w:r>
            <w:r>
              <w:t>4</w:t>
            </w:r>
            <w:r w:rsidRPr="00B57B36">
              <w:t>)</w:t>
            </w:r>
          </w:p>
        </w:tc>
      </w:tr>
    </w:tbl>
    <w:p w14:paraId="053A1848" w14:textId="0619DFA1" w:rsidR="00602EC4" w:rsidRDefault="00602EC4" w:rsidP="00602EC4">
      <w:pPr>
        <w:pStyle w:val="CETBodytext"/>
        <w:rPr>
          <w:lang w:val="en-GB"/>
        </w:rPr>
      </w:pPr>
      <w:r w:rsidRPr="00602EC4">
        <w:rPr>
          <w:lang w:val="en-GB"/>
        </w:rPr>
        <w:t xml:space="preserve">For this reason, </w:t>
      </w:r>
      <m:oMath>
        <m:r>
          <w:rPr>
            <w:rFonts w:ascii="Cambria Math" w:hAnsi="Cambria Math"/>
            <w:lang w:val="en-GB"/>
          </w:rPr>
          <m:t>Freq</m:t>
        </m:r>
      </m:oMath>
      <w:r w:rsidRPr="00602EC4">
        <w:rPr>
          <w:lang w:val="en-GB"/>
        </w:rPr>
        <w:t xml:space="preserve"> was tra</w:t>
      </w:r>
      <w:r w:rsidRPr="00D508D5">
        <w:rPr>
          <w:lang w:val="en-GB"/>
        </w:rPr>
        <w:t xml:space="preserve">nsformed into its derivative with respect to time </w:t>
      </w:r>
      <m:oMath>
        <m:r>
          <m:rPr>
            <m:sty m:val="p"/>
          </m:rPr>
          <w:rPr>
            <w:rFonts w:ascii="Cambria Math" w:hAnsi="Cambria Math"/>
            <w:lang w:val="en-GB"/>
          </w:rPr>
          <m:t>t</m:t>
        </m:r>
      </m:oMath>
      <w:r w:rsidRPr="00D508D5">
        <w:rPr>
          <w:lang w:val="en-GB"/>
        </w:rPr>
        <w:t>, and labels indicating its increase or decrease were added within the database</w:t>
      </w:r>
      <w:r w:rsidR="00D508D5" w:rsidRPr="00D508D5">
        <w:rPr>
          <w:lang w:val="en-GB"/>
        </w:rPr>
        <w:t xml:space="preserve"> (</w:t>
      </w:r>
      <w:r w:rsidR="00D508D5" w:rsidRPr="00D508D5">
        <w:rPr>
          <w:lang w:val="en-GB"/>
        </w:rPr>
        <w:fldChar w:fldCharType="begin"/>
      </w:r>
      <w:r w:rsidR="00D508D5" w:rsidRPr="00D508D5">
        <w:rPr>
          <w:lang w:val="en-GB"/>
        </w:rPr>
        <w:instrText xml:space="preserve"> REF _Ref528228134 \h  \* MERGEFORMAT </w:instrText>
      </w:r>
      <w:r w:rsidR="00D508D5" w:rsidRPr="00D508D5">
        <w:rPr>
          <w:lang w:val="en-GB"/>
        </w:rPr>
      </w:r>
      <w:r w:rsidR="00D508D5" w:rsidRPr="00D508D5">
        <w:rPr>
          <w:lang w:val="en-GB"/>
        </w:rPr>
        <w:fldChar w:fldCharType="separate"/>
      </w:r>
      <w:r w:rsidR="00D508D5" w:rsidRPr="00D508D5">
        <w:rPr>
          <w:bCs/>
          <w:lang w:val="en-GB"/>
        </w:rPr>
        <w:t xml:space="preserve">Table </w:t>
      </w:r>
      <w:r w:rsidR="00D508D5" w:rsidRPr="00D508D5">
        <w:rPr>
          <w:bCs/>
          <w:noProof/>
          <w:lang w:val="en-GB"/>
        </w:rPr>
        <w:t>1</w:t>
      </w:r>
      <w:r w:rsidR="00D508D5" w:rsidRPr="00D508D5">
        <w:rPr>
          <w:lang w:val="en-GB"/>
        </w:rPr>
        <w:fldChar w:fldCharType="end"/>
      </w:r>
      <w:r w:rsidR="00D508D5" w:rsidRPr="00D508D5">
        <w:rPr>
          <w:lang w:val="en-GB"/>
        </w:rPr>
        <w:t>)</w:t>
      </w:r>
      <w:r w:rsidRPr="00D508D5">
        <w:rPr>
          <w:lang w:val="en-GB"/>
        </w:rPr>
        <w:t>.</w:t>
      </w:r>
      <w:r w:rsidR="009677EA">
        <w:rPr>
          <w:lang w:val="en-GB"/>
        </w:rPr>
        <w:t xml:space="preserve"> </w:t>
      </w:r>
      <w:r w:rsidRPr="00D508D5">
        <w:rPr>
          <w:lang w:val="en-GB"/>
        </w:rPr>
        <w:t>The simulated indicator values</w:t>
      </w:r>
      <w:r w:rsidR="00414712" w:rsidRPr="00D508D5">
        <w:rPr>
          <w:lang w:val="en-GB"/>
        </w:rPr>
        <w:t xml:space="preserve"> </w:t>
      </w:r>
      <m:oMath>
        <m:r>
          <m:rPr>
            <m:sty m:val="p"/>
          </m:rPr>
          <w:rPr>
            <w:rFonts w:ascii="Cambria Math" w:hAnsi="Cambria Math"/>
            <w:lang w:val="en-GB"/>
          </w:rPr>
          <m:t>Ind</m:t>
        </m:r>
      </m:oMath>
      <w:r w:rsidRPr="00D508D5">
        <w:rPr>
          <w:lang w:val="en-GB"/>
        </w:rPr>
        <w:t xml:space="preserve"> w</w:t>
      </w:r>
      <w:proofErr w:type="spellStart"/>
      <w:r w:rsidRPr="00602EC4">
        <w:rPr>
          <w:lang w:val="en-GB"/>
        </w:rPr>
        <w:t>ere</w:t>
      </w:r>
      <w:proofErr w:type="spellEnd"/>
      <w:r w:rsidRPr="00602EC4">
        <w:rPr>
          <w:lang w:val="en-GB"/>
        </w:rPr>
        <w:t xml:space="preserve"> also transformed into their derivative with respect to time </w:t>
      </w:r>
      <w:r w:rsidRPr="00602EC4">
        <w:rPr>
          <w:i/>
          <w:iCs/>
          <w:lang w:val="en-GB"/>
        </w:rPr>
        <w:t>t</w:t>
      </w:r>
      <w:r w:rsidRPr="00602EC4">
        <w:rPr>
          <w:lang w:val="en-GB"/>
        </w:rPr>
        <w:t xml:space="preserve">, in order to define the inputs </w:t>
      </w:r>
      <m:oMath>
        <m:r>
          <w:rPr>
            <w:rFonts w:ascii="Cambria Math" w:hAnsi="Cambria Math"/>
          </w:rPr>
          <m:t>X</m:t>
        </m:r>
      </m:oMath>
      <w:r w:rsidRPr="00602EC4">
        <w:rPr>
          <w:lang w:val="en-GB"/>
        </w:rPr>
        <w:t xml:space="preserve"> to the model</w:t>
      </w:r>
      <w:r w:rsidR="00414712">
        <w:rPr>
          <w:lang w:val="en-GB"/>
        </w:rPr>
        <w:t xml:space="preserve"> </w:t>
      </w:r>
      <m:oMath>
        <m:sSub>
          <m:sSubPr>
            <m:ctrlPr>
              <w:rPr>
                <w:rFonts w:ascii="Cambria Math" w:hAnsi="Cambria Math"/>
                <w:i/>
              </w:rPr>
            </m:ctrlPr>
          </m:sSubPr>
          <m:e>
            <m:r>
              <w:rPr>
                <w:rFonts w:ascii="Cambria Math" w:hAnsi="Cambria Math"/>
              </w:rPr>
              <m:t>f</m:t>
            </m:r>
          </m:e>
          <m:sub>
            <m:r>
              <w:rPr>
                <w:rFonts w:ascii="Cambria Math" w:hAnsi="Cambria Math"/>
              </w:rPr>
              <m:t>θ</m:t>
            </m:r>
          </m:sub>
        </m:sSub>
        <m:r>
          <w:rPr>
            <w:rFonts w:ascii="Cambria Math" w:hAnsi="Cambria Math"/>
          </w:rPr>
          <m:t>(X)</m:t>
        </m:r>
      </m:oMath>
      <w:r w:rsidRPr="00602EC4">
        <w:rPr>
          <w:lang w:val="en-GB"/>
        </w:rPr>
        <w:t>:</w:t>
      </w:r>
    </w:p>
    <w:tbl>
      <w:tblPr>
        <w:tblW w:w="5000" w:type="pct"/>
        <w:tblLook w:val="04A0" w:firstRow="1" w:lastRow="0" w:firstColumn="1" w:lastColumn="0" w:noHBand="0" w:noVBand="1"/>
      </w:tblPr>
      <w:tblGrid>
        <w:gridCol w:w="8188"/>
        <w:gridCol w:w="815"/>
      </w:tblGrid>
      <w:tr w:rsidR="00F53E23" w:rsidRPr="00B57B36" w14:paraId="71D6C9E8" w14:textId="77777777" w:rsidTr="00864512">
        <w:tc>
          <w:tcPr>
            <w:tcW w:w="8188" w:type="dxa"/>
            <w:shd w:val="clear" w:color="auto" w:fill="auto"/>
            <w:vAlign w:val="center"/>
          </w:tcPr>
          <w:p w14:paraId="5384A6D3" w14:textId="27A35B36" w:rsidR="00F53E23" w:rsidRPr="00FB314A" w:rsidRDefault="00F53E23" w:rsidP="00864512">
            <w:pPr>
              <w:pStyle w:val="CETEquation"/>
              <w:rPr>
                <w:rFonts w:cs="Arial"/>
              </w:rPr>
            </w:pPr>
            <m:oMathPara>
              <m:oMathParaPr>
                <m:jc m:val="left"/>
              </m:oMathParaPr>
              <m:oMath>
                <m:r>
                  <w:rPr>
                    <w:rFonts w:ascii="Cambria Math" w:hAnsi="Cambria Math" w:cs="Arial"/>
                  </w:rPr>
                  <m:t>X=</m:t>
                </m:r>
                <m:f>
                  <m:fPr>
                    <m:ctrlPr>
                      <w:rPr>
                        <w:rFonts w:ascii="Cambria Math" w:hAnsi="Cambria Math" w:cs="Arial"/>
                        <w:i/>
                      </w:rPr>
                    </m:ctrlPr>
                  </m:fPr>
                  <m:num>
                    <m:r>
                      <w:rPr>
                        <w:rFonts w:ascii="Cambria Math" w:hAnsi="Cambria Math" w:cs="Arial"/>
                      </w:rPr>
                      <m:t>dInd</m:t>
                    </m:r>
                  </m:num>
                  <m:den>
                    <m:r>
                      <w:rPr>
                        <w:rFonts w:ascii="Cambria Math" w:hAnsi="Cambria Math" w:cs="Arial"/>
                      </w:rPr>
                      <m:t>dt</m:t>
                    </m:r>
                  </m:den>
                </m:f>
              </m:oMath>
            </m:oMathPara>
          </w:p>
        </w:tc>
        <w:tc>
          <w:tcPr>
            <w:tcW w:w="815" w:type="dxa"/>
            <w:shd w:val="clear" w:color="auto" w:fill="auto"/>
            <w:vAlign w:val="center"/>
          </w:tcPr>
          <w:p w14:paraId="2300D421" w14:textId="7A5E9109" w:rsidR="00F53E23" w:rsidRPr="00B57B36" w:rsidRDefault="00F53E23" w:rsidP="00864512">
            <w:pPr>
              <w:pStyle w:val="CETEquation"/>
              <w:jc w:val="right"/>
            </w:pPr>
            <w:r w:rsidRPr="00B57B36">
              <w:t>(</w:t>
            </w:r>
            <w:r>
              <w:t>5</w:t>
            </w:r>
            <w:r w:rsidRPr="00B57B36">
              <w:t>)</w:t>
            </w:r>
          </w:p>
        </w:tc>
      </w:tr>
    </w:tbl>
    <w:p w14:paraId="55511C5E" w14:textId="7A6F704F" w:rsidR="00602EC4" w:rsidRPr="00602EC4" w:rsidRDefault="00602EC4" w:rsidP="00602EC4">
      <w:pPr>
        <w:pStyle w:val="CETBodytext"/>
        <w:rPr>
          <w:lang w:val="en-GB"/>
        </w:rPr>
      </w:pPr>
      <w:r w:rsidRPr="00602EC4">
        <w:rPr>
          <w:lang w:val="en-GB"/>
        </w:rPr>
        <w:t>Two datasets were created:</w:t>
      </w:r>
    </w:p>
    <w:p w14:paraId="23BA297A" w14:textId="609E5EEF" w:rsidR="00602EC4" w:rsidRPr="00DC368A" w:rsidRDefault="003612F6" w:rsidP="00DC368A">
      <w:pPr>
        <w:pStyle w:val="CETBodytext"/>
        <w:numPr>
          <w:ilvl w:val="0"/>
          <w:numId w:val="25"/>
        </w:numPr>
      </w:pPr>
      <w:r w:rsidRPr="00DC368A">
        <w:t xml:space="preserve">training </w:t>
      </w:r>
      <w:r w:rsidR="00602EC4" w:rsidRPr="00DC368A">
        <w:t xml:space="preserve">dataset with 2/3 of the </w:t>
      </w:r>
      <m:oMath>
        <m:r>
          <w:rPr>
            <w:rFonts w:ascii="Cambria Math" w:hAnsi="Cambria Math"/>
          </w:rPr>
          <m:t>X</m:t>
        </m:r>
      </m:oMath>
      <w:r w:rsidR="00957846" w:rsidRPr="00DC368A">
        <w:t xml:space="preserve"> </w:t>
      </w:r>
      <w:r w:rsidR="00602EC4" w:rsidRPr="00DC368A">
        <w:t xml:space="preserve">and associated </w:t>
      </w:r>
      <m:oMath>
        <m:r>
          <w:rPr>
            <w:rFonts w:ascii="Cambria Math" w:hAnsi="Cambria Math"/>
          </w:rPr>
          <m:t>R</m:t>
        </m:r>
      </m:oMath>
      <w:r w:rsidR="00602EC4" w:rsidRPr="00DC368A">
        <w:t xml:space="preserve"> values (160), and</w:t>
      </w:r>
    </w:p>
    <w:p w14:paraId="37D5F34E" w14:textId="36ACD8E8" w:rsidR="00602EC4" w:rsidRPr="00DC368A" w:rsidRDefault="003612F6" w:rsidP="00DC368A">
      <w:pPr>
        <w:pStyle w:val="CETBodytext"/>
        <w:numPr>
          <w:ilvl w:val="0"/>
          <w:numId w:val="25"/>
        </w:numPr>
      </w:pPr>
      <w:r w:rsidRPr="00DC368A">
        <w:t>t</w:t>
      </w:r>
      <w:r w:rsidR="00602EC4" w:rsidRPr="00DC368A">
        <w:t>est dataset used to test</w:t>
      </w:r>
      <w:r w:rsidR="008E6A47" w:rsidRPr="00DC368A">
        <w:t xml:space="preserve"> the model</w:t>
      </w:r>
      <w:r w:rsidR="00602EC4" w:rsidRPr="00DC368A">
        <w:t xml:space="preserve"> </w:t>
      </w:r>
      <m:oMath>
        <m:sSub>
          <m:sSubPr>
            <m:ctrlPr>
              <w:rPr>
                <w:rFonts w:ascii="Cambria Math" w:hAnsi="Cambria Math"/>
              </w:rPr>
            </m:ctrlPr>
          </m:sSubPr>
          <m:e>
            <m:r>
              <w:rPr>
                <w:rFonts w:ascii="Cambria Math" w:hAnsi="Cambria Math"/>
              </w:rPr>
              <m:t>f</m:t>
            </m:r>
          </m:e>
          <m:sub>
            <m:r>
              <w:rPr>
                <w:rFonts w:ascii="Cambria Math" w:hAnsi="Cambria Math"/>
              </w:rPr>
              <m:t>θ</m:t>
            </m:r>
          </m:sub>
        </m:sSub>
      </m:oMath>
      <w:r w:rsidR="00602EC4" w:rsidRPr="00DC368A">
        <w:t xml:space="preserve">, with about 1/3 of the </w:t>
      </w:r>
      <m:oMath>
        <m:r>
          <w:rPr>
            <w:rFonts w:ascii="Cambria Math" w:hAnsi="Cambria Math"/>
          </w:rPr>
          <m:t>X</m:t>
        </m:r>
      </m:oMath>
      <w:r w:rsidR="00B51090" w:rsidRPr="00DC368A">
        <w:t xml:space="preserve"> and associated </w:t>
      </w:r>
      <m:oMath>
        <m:r>
          <w:rPr>
            <w:rFonts w:ascii="Cambria Math" w:hAnsi="Cambria Math"/>
          </w:rPr>
          <m:t>R</m:t>
        </m:r>
      </m:oMath>
      <w:r w:rsidR="00B51090" w:rsidRPr="00DC368A">
        <w:t xml:space="preserve"> values</w:t>
      </w:r>
      <w:r w:rsidR="00602EC4" w:rsidRPr="00DC368A">
        <w:t xml:space="preserve"> (79).</w:t>
      </w:r>
    </w:p>
    <w:p w14:paraId="3A707A21" w14:textId="667F985C" w:rsidR="00606EBA" w:rsidRDefault="00602EC4" w:rsidP="00602EC4">
      <w:pPr>
        <w:pStyle w:val="CETBodytext"/>
        <w:rPr>
          <w:lang w:val="en-GB"/>
        </w:rPr>
      </w:pPr>
      <w:r w:rsidRPr="00602EC4">
        <w:rPr>
          <w:lang w:val="en-GB"/>
        </w:rPr>
        <w:lastRenderedPageBreak/>
        <w:t xml:space="preserve">A code in Python language was written for training and testing. The classifier </w:t>
      </w:r>
      <w:proofErr w:type="spellStart"/>
      <w:r w:rsidR="008E6A47" w:rsidRPr="008E6A47">
        <w:rPr>
          <w:i/>
          <w:iCs/>
          <w:lang w:val="en-GB"/>
        </w:rPr>
        <w:t>tf.contrib.learn.LinearClassifier</w:t>
      </w:r>
      <w:proofErr w:type="spellEnd"/>
      <w:r w:rsidRPr="00602EC4">
        <w:rPr>
          <w:lang w:val="en-GB"/>
        </w:rPr>
        <w:t xml:space="preserve"> from the open-source library TensorFlow </w:t>
      </w:r>
      <w:r w:rsidRPr="00602EC4">
        <w:rPr>
          <w:lang w:val="en-GB"/>
        </w:rPr>
        <w:fldChar w:fldCharType="begin" w:fldLock="1"/>
      </w:r>
      <w:r w:rsidR="00BF542D">
        <w:rPr>
          <w:lang w:val="en-GB"/>
        </w:rPr>
        <w:instrText>ADDIN CSL_CITATION {"citationItems":[{"id":"ITEM-1","itemData":{"URL":"www.tensorflow.org","author":[{"dropping-particle":"","family":"Google LLC","given":"","non-dropping-particle":"","parse-names":false,"suffix":""}],"container-title":"Tensorflow TM","id":"ITEM-1","issued":{"date-parts":[["2018"]]},"title":"Tensorflow","type":"webpage"},"uris":["http://www.mendeley.com/documents/?uuid=82e297c5-dc3a-467b-9b8d-eacc4ebaae00","http://www.mendeley.com/documents/?uuid=0af0f177-eb5a-4780-b266-a8e1a9d7aceb"]}],"mendeley":{"formattedCitation":"(Google LLC, 2018)","plainTextFormattedCitation":"(Google LLC, 2018)","previouslyFormattedCitation":"(Google LLC, 2018)"},"properties":{"noteIndex":0},"schema":"https://github.com/citation-style-language/schema/raw/master/csl-citation.json"}</w:instrText>
      </w:r>
      <w:r w:rsidRPr="00602EC4">
        <w:rPr>
          <w:lang w:val="en-GB"/>
        </w:rPr>
        <w:fldChar w:fldCharType="separate"/>
      </w:r>
      <w:r w:rsidR="000A60E3" w:rsidRPr="000A60E3">
        <w:rPr>
          <w:noProof/>
          <w:lang w:val="en-GB"/>
        </w:rPr>
        <w:t>(Google LLC, 2018)</w:t>
      </w:r>
      <w:r w:rsidRPr="00602EC4">
        <w:fldChar w:fldCharType="end"/>
      </w:r>
      <w:r w:rsidRPr="00602EC4">
        <w:rPr>
          <w:lang w:val="en-GB"/>
        </w:rPr>
        <w:t xml:space="preserve"> was used for the model. </w:t>
      </w:r>
    </w:p>
    <w:p w14:paraId="4804FE8E" w14:textId="77777777" w:rsidR="009677EA" w:rsidRDefault="009677EA" w:rsidP="00602EC4">
      <w:pPr>
        <w:pStyle w:val="CETBodytext"/>
        <w:rPr>
          <w:lang w:val="en-GB"/>
        </w:rPr>
      </w:pPr>
    </w:p>
    <w:p w14:paraId="7760DD0B" w14:textId="77777777" w:rsidR="00A4756D" w:rsidRPr="00602EC4" w:rsidRDefault="00A4756D" w:rsidP="00A4756D">
      <w:pPr>
        <w:pStyle w:val="CETBodytext"/>
        <w:rPr>
          <w:bCs/>
          <w:i/>
          <w:lang w:val="en-GB"/>
        </w:rPr>
      </w:pPr>
      <w:bookmarkStart w:id="3" w:name="_Ref528228134"/>
      <w:bookmarkStart w:id="4" w:name="_Ref528228127"/>
      <w:r w:rsidRPr="00602EC4">
        <w:rPr>
          <w:bCs/>
          <w:i/>
          <w:lang w:val="en-GB"/>
        </w:rPr>
        <w:t xml:space="preserve">Table </w:t>
      </w:r>
      <w:r w:rsidRPr="00602EC4">
        <w:rPr>
          <w:bCs/>
          <w:i/>
          <w:lang w:val="en-GB"/>
        </w:rPr>
        <w:fldChar w:fldCharType="begin"/>
      </w:r>
      <w:r w:rsidRPr="00602EC4">
        <w:rPr>
          <w:bCs/>
          <w:i/>
          <w:lang w:val="en-GB"/>
        </w:rPr>
        <w:instrText xml:space="preserve"> SEQ Table \* ARABIC </w:instrText>
      </w:r>
      <w:r w:rsidRPr="00602EC4">
        <w:rPr>
          <w:bCs/>
          <w:i/>
          <w:lang w:val="en-GB"/>
        </w:rPr>
        <w:fldChar w:fldCharType="separate"/>
      </w:r>
      <w:r>
        <w:rPr>
          <w:bCs/>
          <w:i/>
          <w:noProof/>
          <w:lang w:val="en-GB"/>
        </w:rPr>
        <w:t>1</w:t>
      </w:r>
      <w:r w:rsidRPr="00602EC4">
        <w:fldChar w:fldCharType="end"/>
      </w:r>
      <w:bookmarkEnd w:id="3"/>
      <w:r>
        <w:t>:</w:t>
      </w:r>
      <w:r w:rsidRPr="00602EC4">
        <w:rPr>
          <w:bCs/>
          <w:i/>
          <w:lang w:val="en-GB"/>
        </w:rPr>
        <w:t xml:space="preserve"> Definition of the output used as risk index</w:t>
      </w:r>
      <w:r>
        <w:rPr>
          <w:bCs/>
          <w:i/>
          <w:lang w:val="en-GB"/>
        </w:rPr>
        <w:t xml:space="preserve">. Adapted from </w:t>
      </w:r>
      <w:r>
        <w:rPr>
          <w:bCs/>
          <w:i/>
          <w:lang w:val="en-GB"/>
        </w:rPr>
        <w:fldChar w:fldCharType="begin" w:fldLock="1"/>
      </w:r>
      <w:r>
        <w:rPr>
          <w:bCs/>
          <w:i/>
          <w:lang w:val="en-GB"/>
        </w:rPr>
        <w:instrText>ADDIN CSL_CITATION {"citationItems":[{"id":"ITEM-1","itemData":{"DOI":"https://doi.org/10.1016/j.ssci.2019.06.001","ISSN":"0925-7535","abstract":"Risk assessment has a primary role in safety-critical industries. However, it faces a series of overall challenges, partially related to technology advancements and increasing needs. There is currently a call for continuous risk assessment, improvement in learning past lessons and definition of techniques to process relevant data, which are to be coupled with adequate capability to deal with unexpected events and provide the right support to enable risk management. Through this work, we suggest a risk assessment approach based on machine learning. In particular, a deep neural network (DNN) model is developed and tested for a drive-off scenario involving an Oil &amp; Gas drilling rig. Results show reasonable accuracy for DNN predictions and general suitability to (partially) overcome risk assessment challenges. Nevertheless, intrinsic model limitations should be taken into account and appropriate model selection and customization should be carefully carried out to deliver appropriate support for safety-related decision-making.","author":[{"dropping-particle":"","family":"Paltrinieri","given":"Nicola","non-dropping-particle":"","parse-names":false,"suffix":""},{"dropping-particle":"","family":"Comfort","given":"Louise","non-dropping-particle":"","parse-names":false,"suffix":""},{"dropping-particle":"","family":"Reniers","given":"Genserik","non-dropping-particle":"","parse-names":false,"suffix":""}],"container-title":"Safety Science","id":"ITEM-1","issued":{"date-parts":[["2019","10","1"]]},"page":"475-486","publisher":"Elsevier","title":"Learning about risk: Machine learning for risk assessment","type":"article-journal","volume":"118"},"uris":["http://www.mendeley.com/documents/?uuid=27910cdb-3ca0-4b32-827f-18603a771824","http://www.mendeley.com/documents/?uuid=e36a8069-4d75-413f-97c1-b98503c98283"]}],"mendeley":{"formattedCitation":"(Paltrinieri et al., 2019)","plainTextFormattedCitation":"(Paltrinieri et al., 2019)","previouslyFormattedCitation":"(Paltrinieri et al., 2019)"},"properties":{"noteIndex":0},"schema":"https://github.com/citation-style-language/schema/raw/master/csl-citation.json"}</w:instrText>
      </w:r>
      <w:r>
        <w:rPr>
          <w:bCs/>
          <w:i/>
          <w:lang w:val="en-GB"/>
        </w:rPr>
        <w:fldChar w:fldCharType="separate"/>
      </w:r>
      <w:r w:rsidRPr="000A60E3">
        <w:rPr>
          <w:bCs/>
          <w:i/>
          <w:noProof/>
          <w:lang w:val="en-GB"/>
        </w:rPr>
        <w:t>(Paltrinieri et al., 2019)</w:t>
      </w:r>
      <w:r>
        <w:rPr>
          <w:bCs/>
          <w:i/>
          <w:lang w:val="en-GB"/>
        </w:rPr>
        <w:fldChar w:fldCharType="end"/>
      </w:r>
      <w:bookmarkEnd w:id="4"/>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29"/>
        <w:gridCol w:w="2930"/>
        <w:gridCol w:w="2928"/>
      </w:tblGrid>
      <w:tr w:rsidR="00A4756D" w:rsidRPr="00F53E23" w14:paraId="559C9466" w14:textId="77777777" w:rsidTr="00607C7C">
        <w:tc>
          <w:tcPr>
            <w:tcW w:w="1667" w:type="pct"/>
            <w:tcBorders>
              <w:top w:val="single" w:sz="12" w:space="0" w:color="008000"/>
              <w:bottom w:val="single" w:sz="6" w:space="0" w:color="008000"/>
            </w:tcBorders>
            <w:shd w:val="clear" w:color="auto" w:fill="FFFFFF"/>
          </w:tcPr>
          <w:p w14:paraId="5A0CE768" w14:textId="77777777" w:rsidR="00A4756D" w:rsidRPr="00FB314A" w:rsidRDefault="00A4756D" w:rsidP="00607C7C">
            <w:pPr>
              <w:pStyle w:val="CETBodytext"/>
              <w:rPr>
                <w:lang w:val="en-GB"/>
              </w:rPr>
            </w:pPr>
            <w:r w:rsidRPr="00DC368A">
              <w:rPr>
                <w:lang w:val="en-GB"/>
              </w:rPr>
              <w:t>Original data</w:t>
            </w:r>
          </w:p>
        </w:tc>
        <w:tc>
          <w:tcPr>
            <w:tcW w:w="1667" w:type="pct"/>
            <w:tcBorders>
              <w:top w:val="single" w:sz="12" w:space="0" w:color="008000"/>
              <w:bottom w:val="single" w:sz="6" w:space="0" w:color="008000"/>
            </w:tcBorders>
            <w:shd w:val="clear" w:color="auto" w:fill="FFFFFF"/>
          </w:tcPr>
          <w:p w14:paraId="3C1656B9" w14:textId="77777777" w:rsidR="00A4756D" w:rsidRPr="00FB314A" w:rsidRDefault="00A4756D" w:rsidP="00607C7C">
            <w:pPr>
              <w:pStyle w:val="CETBodytext"/>
              <w:rPr>
                <w:lang w:val="en-GB"/>
              </w:rPr>
            </w:pPr>
            <w:r w:rsidRPr="00DC368A">
              <w:rPr>
                <w:lang w:val="en-GB"/>
              </w:rPr>
              <w:t>Transformed data</w:t>
            </w:r>
          </w:p>
        </w:tc>
        <w:tc>
          <w:tcPr>
            <w:tcW w:w="1666" w:type="pct"/>
            <w:tcBorders>
              <w:top w:val="single" w:sz="12" w:space="0" w:color="008000"/>
              <w:bottom w:val="single" w:sz="6" w:space="0" w:color="008000"/>
            </w:tcBorders>
            <w:shd w:val="clear" w:color="auto" w:fill="FFFFFF"/>
          </w:tcPr>
          <w:p w14:paraId="4009DE29" w14:textId="77777777" w:rsidR="00A4756D" w:rsidRPr="00FB314A" w:rsidRDefault="00A4756D" w:rsidP="00607C7C">
            <w:pPr>
              <w:pStyle w:val="CETBodytext"/>
              <w:rPr>
                <w:lang w:val="en-GB"/>
              </w:rPr>
            </w:pPr>
            <w:r w:rsidRPr="00DC368A">
              <w:rPr>
                <w:lang w:val="en-GB"/>
              </w:rPr>
              <w:t>Output (</w:t>
            </w:r>
            <w:r w:rsidRPr="00DC368A">
              <w:rPr>
                <w:i/>
                <w:iCs/>
                <w:lang w:val="en-GB"/>
              </w:rPr>
              <w:t>R</w:t>
            </w:r>
            <w:r w:rsidRPr="00DC368A">
              <w:rPr>
                <w:lang w:val="en-GB"/>
              </w:rPr>
              <w:t>)</w:t>
            </w:r>
          </w:p>
        </w:tc>
      </w:tr>
      <w:tr w:rsidR="00A4756D" w:rsidRPr="00B57B36" w14:paraId="7C09E99C" w14:textId="77777777" w:rsidTr="00607C7C">
        <w:tc>
          <w:tcPr>
            <w:tcW w:w="1667" w:type="pct"/>
            <w:vMerge w:val="restart"/>
            <w:shd w:val="clear" w:color="auto" w:fill="FFFFFF"/>
            <w:vAlign w:val="center"/>
          </w:tcPr>
          <w:p w14:paraId="72F5EE29" w14:textId="77777777" w:rsidR="00A4756D" w:rsidRPr="00B57B36" w:rsidRDefault="00A4756D" w:rsidP="00607C7C">
            <w:pPr>
              <w:pStyle w:val="CETBodytext"/>
              <w:jc w:val="left"/>
              <w:rPr>
                <w:lang w:val="en-GB"/>
              </w:rPr>
            </w:pPr>
            <m:oMath>
              <m:r>
                <w:rPr>
                  <w:rFonts w:ascii="Cambria Math" w:hAnsi="Cambria Math"/>
                  <w:lang w:val="en-GB"/>
                </w:rPr>
                <m:t>Freq</m:t>
              </m:r>
            </m:oMath>
            <w:r w:rsidRPr="00602EC4">
              <w:rPr>
                <w:lang w:val="en-GB"/>
              </w:rPr>
              <w:t xml:space="preserve"> = wellhead damage frequency value</w:t>
            </w:r>
          </w:p>
        </w:tc>
        <w:tc>
          <w:tcPr>
            <w:tcW w:w="1667" w:type="pct"/>
            <w:shd w:val="clear" w:color="auto" w:fill="FFFFFF"/>
          </w:tcPr>
          <w:p w14:paraId="5FBE8451" w14:textId="77777777" w:rsidR="00A4756D" w:rsidRPr="00FB314A" w:rsidRDefault="00157D0F" w:rsidP="00607C7C">
            <w:pPr>
              <w:pStyle w:val="CETBodytext"/>
              <w:jc w:val="left"/>
              <w:rPr>
                <w:rFonts w:cs="Arial"/>
                <w:lang w:val="en-GB"/>
              </w:rPr>
            </w:pPr>
            <m:oMathPara>
              <m:oMath>
                <m:f>
                  <m:fPr>
                    <m:ctrlPr>
                      <w:rPr>
                        <w:rFonts w:ascii="Cambria Math" w:hAnsi="Cambria Math" w:cs="Arial"/>
                        <w:i/>
                        <w:lang w:val="en-GB"/>
                      </w:rPr>
                    </m:ctrlPr>
                  </m:fPr>
                  <m:num>
                    <m:r>
                      <w:rPr>
                        <w:rFonts w:ascii="Cambria Math" w:hAnsi="Cambria Math" w:cs="Arial"/>
                        <w:lang w:val="en-GB"/>
                      </w:rPr>
                      <m:t>dFreq</m:t>
                    </m:r>
                  </m:num>
                  <m:den>
                    <m:r>
                      <w:rPr>
                        <w:rFonts w:ascii="Cambria Math" w:hAnsi="Cambria Math" w:cs="Arial"/>
                        <w:lang w:val="en-GB"/>
                      </w:rPr>
                      <m:t>dt</m:t>
                    </m:r>
                  </m:den>
                </m:f>
                <m:r>
                  <w:rPr>
                    <w:rFonts w:ascii="Cambria Math" w:hAnsi="Cambria Math" w:cs="Arial"/>
                    <w:lang w:val="en-GB"/>
                  </w:rPr>
                  <m:t>≥0</m:t>
                </m:r>
              </m:oMath>
            </m:oMathPara>
          </w:p>
        </w:tc>
        <w:tc>
          <w:tcPr>
            <w:tcW w:w="1666" w:type="pct"/>
            <w:shd w:val="clear" w:color="auto" w:fill="FFFFFF"/>
            <w:vAlign w:val="center"/>
          </w:tcPr>
          <w:p w14:paraId="2AE70725" w14:textId="77777777" w:rsidR="00A4756D" w:rsidRPr="00B57B36" w:rsidRDefault="00A4756D" w:rsidP="00607C7C">
            <w:pPr>
              <w:pStyle w:val="CETBodytext"/>
              <w:rPr>
                <w:lang w:val="en-GB"/>
              </w:rPr>
            </w:pPr>
            <w:r w:rsidRPr="00602EC4">
              <w:rPr>
                <w:lang w:val="en-GB"/>
              </w:rPr>
              <w:t>Risk increase</w:t>
            </w:r>
          </w:p>
        </w:tc>
      </w:tr>
      <w:tr w:rsidR="00A4756D" w:rsidRPr="00B57B36" w14:paraId="7179FB87" w14:textId="77777777" w:rsidTr="00607C7C">
        <w:tc>
          <w:tcPr>
            <w:tcW w:w="1667" w:type="pct"/>
            <w:vMerge/>
            <w:shd w:val="clear" w:color="auto" w:fill="FFFFFF"/>
          </w:tcPr>
          <w:p w14:paraId="2353F757" w14:textId="77777777" w:rsidR="00A4756D" w:rsidRPr="00B57B36" w:rsidRDefault="00A4756D" w:rsidP="00607C7C">
            <w:pPr>
              <w:pStyle w:val="CETBodytext"/>
              <w:ind w:right="-1"/>
              <w:rPr>
                <w:rFonts w:cs="Arial"/>
                <w:szCs w:val="18"/>
                <w:lang w:val="en-GB"/>
              </w:rPr>
            </w:pPr>
          </w:p>
        </w:tc>
        <w:tc>
          <w:tcPr>
            <w:tcW w:w="1667" w:type="pct"/>
            <w:shd w:val="clear" w:color="auto" w:fill="FFFFFF"/>
          </w:tcPr>
          <w:p w14:paraId="67448D35" w14:textId="77777777" w:rsidR="00A4756D" w:rsidRPr="00FB314A" w:rsidRDefault="00157D0F" w:rsidP="00607C7C">
            <w:pPr>
              <w:pStyle w:val="CETBodytext"/>
              <w:ind w:right="-1"/>
              <w:jc w:val="left"/>
              <w:rPr>
                <w:rFonts w:cs="Arial"/>
                <w:szCs w:val="18"/>
                <w:lang w:val="en-GB"/>
              </w:rPr>
            </w:pPr>
            <m:oMathPara>
              <m:oMath>
                <m:f>
                  <m:fPr>
                    <m:ctrlPr>
                      <w:rPr>
                        <w:rFonts w:ascii="Cambria Math" w:hAnsi="Cambria Math" w:cs="Arial"/>
                        <w:i/>
                        <w:lang w:val="en-GB"/>
                      </w:rPr>
                    </m:ctrlPr>
                  </m:fPr>
                  <m:num>
                    <m:r>
                      <w:rPr>
                        <w:rFonts w:ascii="Cambria Math" w:hAnsi="Cambria Math" w:cs="Arial"/>
                        <w:lang w:val="en-GB"/>
                      </w:rPr>
                      <m:t>dFreq</m:t>
                    </m:r>
                  </m:num>
                  <m:den>
                    <m:r>
                      <w:rPr>
                        <w:rFonts w:ascii="Cambria Math" w:hAnsi="Cambria Math" w:cs="Arial"/>
                        <w:lang w:val="en-GB"/>
                      </w:rPr>
                      <m:t>dt</m:t>
                    </m:r>
                  </m:den>
                </m:f>
                <m:r>
                  <w:rPr>
                    <w:rFonts w:ascii="Cambria Math" w:hAnsi="Cambria Math" w:cs="Arial"/>
                    <w:lang w:val="en-GB"/>
                  </w:rPr>
                  <m:t>&lt;0</m:t>
                </m:r>
              </m:oMath>
            </m:oMathPara>
          </w:p>
        </w:tc>
        <w:tc>
          <w:tcPr>
            <w:tcW w:w="1666" w:type="pct"/>
            <w:shd w:val="clear" w:color="auto" w:fill="FFFFFF"/>
            <w:vAlign w:val="center"/>
          </w:tcPr>
          <w:p w14:paraId="4BEA2AD5" w14:textId="77777777" w:rsidR="00A4756D" w:rsidRPr="00B57B36" w:rsidRDefault="00A4756D" w:rsidP="00607C7C">
            <w:pPr>
              <w:pStyle w:val="CETBodytext"/>
              <w:ind w:right="-1"/>
              <w:rPr>
                <w:rFonts w:cs="Arial"/>
                <w:szCs w:val="18"/>
                <w:lang w:val="en-GB"/>
              </w:rPr>
            </w:pPr>
            <w:r w:rsidRPr="00602EC4">
              <w:rPr>
                <w:lang w:val="en-GB"/>
              </w:rPr>
              <w:t>Risk decrease</w:t>
            </w:r>
          </w:p>
        </w:tc>
      </w:tr>
    </w:tbl>
    <w:p w14:paraId="753E354D" w14:textId="2F4D3281" w:rsidR="005A3F3E" w:rsidRDefault="005A3F3E" w:rsidP="005A3F3E">
      <w:pPr>
        <w:pStyle w:val="CETHeading1"/>
        <w:rPr>
          <w:lang w:val="en-GB"/>
        </w:rPr>
      </w:pPr>
      <w:r>
        <w:rPr>
          <w:lang w:val="en-GB"/>
        </w:rPr>
        <w:t>Results</w:t>
      </w:r>
    </w:p>
    <w:p w14:paraId="3F9749DE" w14:textId="02A65C7D" w:rsidR="00921C55" w:rsidRDefault="00D21E76" w:rsidP="00921C55">
      <w:pPr>
        <w:pStyle w:val="CETBodytext"/>
      </w:pPr>
      <w:r>
        <w:rPr>
          <w:lang w:val="en-GB"/>
        </w:rPr>
        <w:t>The main result</w:t>
      </w:r>
      <w:r w:rsidR="00792643">
        <w:rPr>
          <w:lang w:val="en-GB"/>
        </w:rPr>
        <w:t xml:space="preserve">s given by the </w:t>
      </w:r>
      <w:r w:rsidR="00C84FBD">
        <w:rPr>
          <w:lang w:val="en-GB"/>
        </w:rPr>
        <w:t>study is the creation of a</w:t>
      </w:r>
      <w:r w:rsidR="00A75517">
        <w:rPr>
          <w:lang w:val="en-GB"/>
        </w:rPr>
        <w:t>n</w:t>
      </w:r>
      <w:r w:rsidR="00C84FBD">
        <w:rPr>
          <w:lang w:val="en-GB"/>
        </w:rPr>
        <w:t xml:space="preserve"> MLR model </w:t>
      </w:r>
      <m:oMath>
        <m:sSub>
          <m:sSubPr>
            <m:ctrlPr>
              <w:rPr>
                <w:rFonts w:ascii="Cambria Math" w:hAnsi="Cambria Math"/>
                <w:i/>
              </w:rPr>
            </m:ctrlPr>
          </m:sSubPr>
          <m:e>
            <m:r>
              <w:rPr>
                <w:rFonts w:ascii="Cambria Math" w:hAnsi="Cambria Math"/>
              </w:rPr>
              <m:t>f</m:t>
            </m:r>
          </m:e>
          <m:sub>
            <m:r>
              <w:rPr>
                <w:rFonts w:ascii="Cambria Math" w:hAnsi="Cambria Math"/>
              </w:rPr>
              <m:t>θ</m:t>
            </m:r>
          </m:sub>
        </m:sSub>
        <m:r>
          <w:rPr>
            <w:rFonts w:ascii="Cambria Math" w:hAnsi="Cambria Math"/>
          </w:rPr>
          <m:t>(X)</m:t>
        </m:r>
      </m:oMath>
      <w:r w:rsidR="00564851">
        <w:t xml:space="preserve"> </w:t>
      </w:r>
      <w:r w:rsidR="00564851">
        <w:rPr>
          <w:lang w:val="en-GB"/>
        </w:rPr>
        <w:t>predicting increase</w:t>
      </w:r>
      <w:r w:rsidR="00DC255C">
        <w:rPr>
          <w:lang w:val="en-GB"/>
        </w:rPr>
        <w:t xml:space="preserve"> of well</w:t>
      </w:r>
      <w:r w:rsidR="00B95ED2">
        <w:rPr>
          <w:lang w:val="en-GB"/>
        </w:rPr>
        <w:t>head</w:t>
      </w:r>
      <w:r w:rsidR="00DC255C">
        <w:rPr>
          <w:lang w:val="en-GB"/>
        </w:rPr>
        <w:t xml:space="preserve"> damage risk</w:t>
      </w:r>
      <w:r w:rsidR="00564851">
        <w:rPr>
          <w:lang w:val="en-GB"/>
        </w:rPr>
        <w:t xml:space="preserve"> </w:t>
      </w:r>
      <w:r w:rsidR="00DC255C">
        <w:rPr>
          <w:lang w:val="en-GB"/>
        </w:rPr>
        <w:t>given the indicator trends</w:t>
      </w:r>
      <w:r w:rsidR="00D83F2D">
        <w:rPr>
          <w:lang w:val="en-GB"/>
        </w:rPr>
        <w:t xml:space="preserve"> for scenario of </w:t>
      </w:r>
      <w:r w:rsidR="00CA6DE6">
        <w:rPr>
          <w:lang w:val="en-GB"/>
        </w:rPr>
        <w:t>a</w:t>
      </w:r>
      <w:r w:rsidR="00870750">
        <w:rPr>
          <w:lang w:val="en-GB"/>
        </w:rPr>
        <w:t xml:space="preserve"> drilling rig drive-off</w:t>
      </w:r>
      <w:r w:rsidR="00564851">
        <w:rPr>
          <w:lang w:val="en-GB"/>
        </w:rPr>
        <w:t xml:space="preserve">. </w:t>
      </w:r>
      <w:r w:rsidR="00870750">
        <w:rPr>
          <w:lang w:val="en-GB"/>
        </w:rPr>
        <w:t xml:space="preserve">The model </w:t>
      </w:r>
      <w:r w:rsidR="00563C30">
        <w:rPr>
          <w:lang w:val="en-GB"/>
        </w:rPr>
        <w:t xml:space="preserve">test </w:t>
      </w:r>
      <w:r w:rsidR="003777BC">
        <w:rPr>
          <w:lang w:val="en-GB"/>
        </w:rPr>
        <w:t xml:space="preserve">has the purpose to </w:t>
      </w:r>
      <w:r w:rsidR="0073711C" w:rsidRPr="000175BB">
        <w:t xml:space="preserve">estimate </w:t>
      </w:r>
      <w:r w:rsidR="0073711C">
        <w:t>the</w:t>
      </w:r>
      <w:r w:rsidR="0073711C" w:rsidRPr="000175BB">
        <w:t xml:space="preserve"> prediction performance </w:t>
      </w:r>
      <m:oMath>
        <m:r>
          <w:rPr>
            <w:rFonts w:ascii="Cambria Math" w:hAnsi="Cambria Math"/>
          </w:rPr>
          <m:t>RPP</m:t>
        </m:r>
        <m:d>
          <m:dPr>
            <m:ctrlPr>
              <w:rPr>
                <w:rFonts w:ascii="Cambria Math" w:hAnsi="Cambria Math"/>
                <w:i/>
              </w:rPr>
            </m:ctrlPr>
          </m:dPr>
          <m:e>
            <m:r>
              <w:rPr>
                <w:rFonts w:ascii="Cambria Math" w:hAnsi="Cambria Math"/>
              </w:rPr>
              <m:t>R,f</m:t>
            </m:r>
            <m:d>
              <m:dPr>
                <m:ctrlPr>
                  <w:rPr>
                    <w:rFonts w:ascii="Cambria Math" w:hAnsi="Cambria Math"/>
                    <w:i/>
                  </w:rPr>
                </m:ctrlPr>
              </m:dPr>
              <m:e>
                <m:r>
                  <w:rPr>
                    <w:rFonts w:ascii="Cambria Math" w:hAnsi="Cambria Math"/>
                  </w:rPr>
                  <m:t>X</m:t>
                </m:r>
              </m:e>
            </m:d>
          </m:e>
        </m:d>
      </m:oMath>
      <w:r w:rsidR="00CA6DE6">
        <w:t xml:space="preserve"> based on </w:t>
      </w:r>
      <w:r w:rsidR="00C12455">
        <w:t>a known test dataset.</w:t>
      </w:r>
      <w:r w:rsidR="0048117F">
        <w:t xml:space="preserve"> The model </w:t>
      </w:r>
      <w:r w:rsidR="006C5ECD">
        <w:t>elaborates</w:t>
      </w:r>
      <w:r w:rsidR="0048117F">
        <w:t xml:space="preserve"> a </w:t>
      </w:r>
      <w:r w:rsidR="00E959B7">
        <w:t xml:space="preserve">risk increase </w:t>
      </w:r>
      <w:r w:rsidR="0048117F">
        <w:t>probabilit</w:t>
      </w:r>
      <w:r w:rsidR="000269EF">
        <w:t xml:space="preserve">y value for each </w:t>
      </w:r>
      <w:r w:rsidR="00E959B7">
        <w:t>dataset record (</w:t>
      </w:r>
      <w:r w:rsidR="00E959B7">
        <w:fldChar w:fldCharType="begin"/>
      </w:r>
      <w:r w:rsidR="00E959B7">
        <w:instrText xml:space="preserve"> REF _Ref37427411 \h </w:instrText>
      </w:r>
      <w:r w:rsidR="00E959B7">
        <w:fldChar w:fldCharType="separate"/>
      </w:r>
      <w:r w:rsidR="00E959B7">
        <w:t xml:space="preserve">Figure </w:t>
      </w:r>
      <w:r w:rsidR="00E959B7">
        <w:rPr>
          <w:noProof/>
        </w:rPr>
        <w:t>2</w:t>
      </w:r>
      <w:r w:rsidR="00E959B7">
        <w:fldChar w:fldCharType="end"/>
      </w:r>
      <w:r w:rsidR="00E959B7">
        <w:t>).</w:t>
      </w:r>
    </w:p>
    <w:p w14:paraId="4336E527" w14:textId="77777777" w:rsidR="009677EA" w:rsidRDefault="009677EA" w:rsidP="00921C55">
      <w:pPr>
        <w:pStyle w:val="CETBodytext"/>
      </w:pPr>
    </w:p>
    <w:p w14:paraId="4C2EDE14" w14:textId="77777777" w:rsidR="00E959B7" w:rsidRDefault="00D21E76" w:rsidP="00E959B7">
      <w:pPr>
        <w:pStyle w:val="CETBodytext"/>
        <w:keepNext/>
      </w:pPr>
      <w:r w:rsidRPr="00D21E76">
        <w:rPr>
          <w:noProof/>
          <w:lang w:val="it-IT" w:eastAsia="it-IT"/>
        </w:rPr>
        <w:drawing>
          <wp:inline distT="0" distB="0" distL="0" distR="0" wp14:anchorId="0A9B2FC2" wp14:editId="0096BD1B">
            <wp:extent cx="5579745" cy="127635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9745" cy="1276350"/>
                    </a:xfrm>
                    <a:prstGeom prst="rect">
                      <a:avLst/>
                    </a:prstGeom>
                    <a:noFill/>
                    <a:ln>
                      <a:noFill/>
                    </a:ln>
                  </pic:spPr>
                </pic:pic>
              </a:graphicData>
            </a:graphic>
          </wp:inline>
        </w:drawing>
      </w:r>
    </w:p>
    <w:p w14:paraId="19D08A80" w14:textId="200A0D35" w:rsidR="00B2720D" w:rsidRDefault="00E959B7" w:rsidP="00E959B7">
      <w:pPr>
        <w:pStyle w:val="CETCaption"/>
      </w:pPr>
      <w:bookmarkStart w:id="5" w:name="_Ref37427411"/>
      <w:r>
        <w:t xml:space="preserve">Figure </w:t>
      </w:r>
      <w:r>
        <w:fldChar w:fldCharType="begin"/>
      </w:r>
      <w:r>
        <w:instrText xml:space="preserve"> SEQ Figure \* ARABIC </w:instrText>
      </w:r>
      <w:r>
        <w:fldChar w:fldCharType="separate"/>
      </w:r>
      <w:r w:rsidR="00AF7A5B">
        <w:t>2</w:t>
      </w:r>
      <w:r>
        <w:fldChar w:fldCharType="end"/>
      </w:r>
      <w:bookmarkEnd w:id="5"/>
      <w:r w:rsidR="003612F6">
        <w:t>:</w:t>
      </w:r>
      <w:r>
        <w:t xml:space="preserve"> Risk increase probability values for the test dataset</w:t>
      </w:r>
    </w:p>
    <w:p w14:paraId="3A9A949F" w14:textId="765FAB2D" w:rsidR="00147955" w:rsidRPr="00E66BF1" w:rsidRDefault="00FD6358" w:rsidP="00C82476">
      <w:pPr>
        <w:pStyle w:val="CETBodytext"/>
        <w:rPr>
          <w:i/>
          <w:iCs/>
        </w:rPr>
      </w:pPr>
      <w:r>
        <w:rPr>
          <w:lang w:val="en-GB"/>
        </w:rPr>
        <w:t xml:space="preserve">A decision on the risk increase prediction is </w:t>
      </w:r>
      <w:r w:rsidR="006B1F45">
        <w:rPr>
          <w:lang w:val="en-GB"/>
        </w:rPr>
        <w:t>made by the model by means of a default</w:t>
      </w:r>
      <w:r w:rsidR="00352639">
        <w:rPr>
          <w:lang w:val="en-GB"/>
        </w:rPr>
        <w:t xml:space="preserve"> probability threshold equal to 0.5</w:t>
      </w:r>
      <w:r w:rsidR="001335D6">
        <w:rPr>
          <w:lang w:val="en-GB"/>
        </w:rPr>
        <w:t xml:space="preserve">; meaning that </w:t>
      </w:r>
      <w:r w:rsidR="005C41D5">
        <w:rPr>
          <w:lang w:val="en-GB"/>
        </w:rPr>
        <w:t xml:space="preserve">the model predicts risk increase </w:t>
      </w:r>
      <w:r w:rsidR="001335D6">
        <w:rPr>
          <w:lang w:val="en-GB"/>
        </w:rPr>
        <w:t>for probability values higher than 0.5</w:t>
      </w:r>
      <w:r w:rsidR="00EC5F63">
        <w:rPr>
          <w:lang w:val="en-GB"/>
        </w:rPr>
        <w:t>.</w:t>
      </w:r>
      <w:r w:rsidR="00046626">
        <w:rPr>
          <w:lang w:val="en-GB"/>
        </w:rPr>
        <w:t xml:space="preserve"> </w:t>
      </w:r>
      <w:r w:rsidR="00147955">
        <w:fldChar w:fldCharType="begin"/>
      </w:r>
      <w:r w:rsidR="00147955">
        <w:rPr>
          <w:lang w:val="en-GB"/>
        </w:rPr>
        <w:instrText xml:space="preserve"> REF _Ref37429321 \h </w:instrText>
      </w:r>
      <w:r w:rsidR="00147955">
        <w:fldChar w:fldCharType="separate"/>
      </w:r>
      <w:r w:rsidR="00147955">
        <w:t xml:space="preserve">Figure </w:t>
      </w:r>
      <w:r w:rsidR="00147955">
        <w:rPr>
          <w:noProof/>
        </w:rPr>
        <w:t>3</w:t>
      </w:r>
      <w:r w:rsidR="00147955">
        <w:fldChar w:fldCharType="end"/>
      </w:r>
      <w:r w:rsidR="00147955" w:rsidRPr="00147955">
        <w:t xml:space="preserve"> shows the results of the risk increase prediction tests. The following outcomes are considered:</w:t>
      </w:r>
      <w:r w:rsidR="00EF4B9F">
        <w:t xml:space="preserve"> </w:t>
      </w:r>
      <w:proofErr w:type="spellStart"/>
      <w:r w:rsidR="00EF4B9F">
        <w:t>i</w:t>
      </w:r>
      <w:proofErr w:type="spellEnd"/>
      <w:r w:rsidR="00EF4B9F">
        <w:t xml:space="preserve">) </w:t>
      </w:r>
      <w:r w:rsidR="00147955" w:rsidRPr="00147955">
        <w:t>true positive (</w:t>
      </w:r>
      <w:proofErr w:type="spellStart"/>
      <w:r w:rsidR="00147955" w:rsidRPr="00147955">
        <w:rPr>
          <w:i/>
          <w:iCs/>
        </w:rPr>
        <w:t>t</w:t>
      </w:r>
      <w:r w:rsidR="00147955" w:rsidRPr="00147955">
        <w:rPr>
          <w:i/>
          <w:iCs/>
          <w:vertAlign w:val="subscript"/>
        </w:rPr>
        <w:t>p</w:t>
      </w:r>
      <w:proofErr w:type="spellEnd"/>
      <w:r w:rsidR="00147955" w:rsidRPr="00147955">
        <w:t>), as correct prediction of risk increase;</w:t>
      </w:r>
      <w:r w:rsidR="00EF4B9F">
        <w:t xml:space="preserve"> ii) </w:t>
      </w:r>
      <w:r w:rsidR="00147955" w:rsidRPr="00147955">
        <w:t>false positive (</w:t>
      </w:r>
      <w:proofErr w:type="spellStart"/>
      <w:r w:rsidR="00147955" w:rsidRPr="00147955">
        <w:rPr>
          <w:i/>
          <w:iCs/>
        </w:rPr>
        <w:t>f</w:t>
      </w:r>
      <w:r w:rsidR="00147955" w:rsidRPr="00147955">
        <w:rPr>
          <w:i/>
          <w:iCs/>
          <w:vertAlign w:val="subscript"/>
        </w:rPr>
        <w:t>p</w:t>
      </w:r>
      <w:proofErr w:type="spellEnd"/>
      <w:r w:rsidR="00147955" w:rsidRPr="00147955">
        <w:t>), as incorrect prediction of risk increase;</w:t>
      </w:r>
      <w:r w:rsidR="00EF4B9F">
        <w:t xml:space="preserve"> iii) </w:t>
      </w:r>
      <w:r w:rsidR="00147955" w:rsidRPr="00147955">
        <w:t>true negative (</w:t>
      </w:r>
      <w:proofErr w:type="spellStart"/>
      <w:r w:rsidR="00147955" w:rsidRPr="00147955">
        <w:rPr>
          <w:i/>
          <w:iCs/>
        </w:rPr>
        <w:t>t</w:t>
      </w:r>
      <w:r w:rsidR="00147955" w:rsidRPr="00147955">
        <w:rPr>
          <w:i/>
          <w:iCs/>
          <w:vertAlign w:val="subscript"/>
        </w:rPr>
        <w:t>n</w:t>
      </w:r>
      <w:proofErr w:type="spellEnd"/>
      <w:r w:rsidR="00147955" w:rsidRPr="00147955">
        <w:t>), as correct prediction of risk decrease; and</w:t>
      </w:r>
      <w:r w:rsidR="00EF4B9F">
        <w:t xml:space="preserve"> iv)</w:t>
      </w:r>
      <w:r w:rsidR="00C82476">
        <w:t xml:space="preserve"> </w:t>
      </w:r>
      <w:r w:rsidR="00147955" w:rsidRPr="00147955">
        <w:t>false negative (</w:t>
      </w:r>
      <w:proofErr w:type="spellStart"/>
      <w:r w:rsidR="00147955" w:rsidRPr="00147955">
        <w:rPr>
          <w:i/>
          <w:iCs/>
        </w:rPr>
        <w:t>f</w:t>
      </w:r>
      <w:r w:rsidR="00147955" w:rsidRPr="00147955">
        <w:rPr>
          <w:i/>
          <w:iCs/>
          <w:vertAlign w:val="subscript"/>
        </w:rPr>
        <w:t>n</w:t>
      </w:r>
      <w:proofErr w:type="spellEnd"/>
      <w:r w:rsidR="00147955" w:rsidRPr="00147955">
        <w:t>), as incorrect prediction of risk decrease.</w:t>
      </w:r>
      <w:r w:rsidR="008F477D">
        <w:t xml:space="preserve"> </w:t>
      </w:r>
      <w:r w:rsidR="00803011">
        <w:t xml:space="preserve">Only 4 </w:t>
      </w:r>
      <w:r w:rsidR="00EE76C7">
        <w:t>cases</w:t>
      </w:r>
      <w:r w:rsidR="005027B9">
        <w:t xml:space="preserve"> are predicted as risk decrease while </w:t>
      </w:r>
      <w:r w:rsidR="00EE76C7">
        <w:t xml:space="preserve">the </w:t>
      </w:r>
      <w:r w:rsidR="005027B9">
        <w:t>risk is actually increasin</w:t>
      </w:r>
      <w:r w:rsidR="001519CD">
        <w:t xml:space="preserve">g. However, the model </w:t>
      </w:r>
      <w:r w:rsidR="00EE76C7">
        <w:t xml:space="preserve">wrongly predicts 10 risk </w:t>
      </w:r>
      <w:r w:rsidR="0026608D">
        <w:t xml:space="preserve">increases </w:t>
      </w:r>
      <w:r w:rsidR="00AA150D">
        <w:t xml:space="preserve">while </w:t>
      </w:r>
      <w:r w:rsidR="007C3631">
        <w:t xml:space="preserve">the </w:t>
      </w:r>
      <w:r w:rsidR="00AA150D">
        <w:t xml:space="preserve">risk </w:t>
      </w:r>
      <w:r w:rsidR="000A33D7">
        <w:t>is decreasing. This is also reflected by the metrics considered.</w:t>
      </w:r>
    </w:p>
    <w:p w14:paraId="62203FE2" w14:textId="77777777" w:rsidR="00147955" w:rsidRDefault="00B210AC" w:rsidP="00147955">
      <w:pPr>
        <w:pStyle w:val="CETBodytext"/>
        <w:keepNext/>
      </w:pPr>
      <w:r w:rsidRPr="00B210AC">
        <w:rPr>
          <w:noProof/>
          <w:lang w:val="it-IT" w:eastAsia="it-IT"/>
        </w:rPr>
        <w:drawing>
          <wp:inline distT="0" distB="0" distL="0" distR="0" wp14:anchorId="707C7786" wp14:editId="5DB8D131">
            <wp:extent cx="5579745" cy="130429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9745" cy="1304290"/>
                    </a:xfrm>
                    <a:prstGeom prst="rect">
                      <a:avLst/>
                    </a:prstGeom>
                    <a:noFill/>
                    <a:ln>
                      <a:noFill/>
                    </a:ln>
                  </pic:spPr>
                </pic:pic>
              </a:graphicData>
            </a:graphic>
          </wp:inline>
        </w:drawing>
      </w:r>
    </w:p>
    <w:p w14:paraId="12BC6B3A" w14:textId="3CA96453" w:rsidR="009174C9" w:rsidRDefault="00147955" w:rsidP="00147955">
      <w:pPr>
        <w:pStyle w:val="CETCaption"/>
      </w:pPr>
      <w:bookmarkStart w:id="6" w:name="_Ref37429321"/>
      <w:r>
        <w:t xml:space="preserve">Figure </w:t>
      </w:r>
      <w:r>
        <w:fldChar w:fldCharType="begin"/>
      </w:r>
      <w:r>
        <w:instrText xml:space="preserve"> SEQ Figure \* ARABIC </w:instrText>
      </w:r>
      <w:r>
        <w:fldChar w:fldCharType="separate"/>
      </w:r>
      <w:r w:rsidR="00AF7A5B">
        <w:rPr>
          <w:noProof/>
        </w:rPr>
        <w:t>3</w:t>
      </w:r>
      <w:r>
        <w:fldChar w:fldCharType="end"/>
      </w:r>
      <w:bookmarkEnd w:id="6"/>
      <w:r w:rsidR="00D3255C">
        <w:t>:</w:t>
      </w:r>
      <w:r w:rsidR="002B7866">
        <w:t xml:space="preserve"> </w:t>
      </w:r>
      <w:r w:rsidR="002B7866" w:rsidRPr="00216F98">
        <w:t>Test results: number of true positives, false positives, true negatives, false negatives</w:t>
      </w:r>
      <w:r w:rsidR="002032AA">
        <w:t>, and related metrics</w:t>
      </w:r>
      <w:r w:rsidR="00AB02E3">
        <w:t xml:space="preserve"> (given a threshold=0.5)</w:t>
      </w:r>
    </w:p>
    <w:p w14:paraId="55DF5965" w14:textId="025C917F" w:rsidR="004F7A16" w:rsidRDefault="004F7A16" w:rsidP="004F7A16">
      <w:pPr>
        <w:pStyle w:val="CETHeading1"/>
        <w:rPr>
          <w:lang w:val="en-GB"/>
        </w:rPr>
      </w:pPr>
      <w:r>
        <w:rPr>
          <w:lang w:val="en-GB"/>
        </w:rPr>
        <w:t>Discussion</w:t>
      </w:r>
    </w:p>
    <w:p w14:paraId="759F1BAC" w14:textId="1B2BC7F0" w:rsidR="008569AA" w:rsidRDefault="000D665B" w:rsidP="008569AA">
      <w:pPr>
        <w:pStyle w:val="CETBodytext"/>
        <w:rPr>
          <w:lang w:val="en-GB"/>
        </w:rPr>
      </w:pPr>
      <w:r>
        <w:rPr>
          <w:lang w:val="en-GB"/>
        </w:rPr>
        <w:t xml:space="preserve">The results </w:t>
      </w:r>
      <w:r w:rsidR="00EE5588">
        <w:rPr>
          <w:lang w:val="en-GB"/>
        </w:rPr>
        <w:t xml:space="preserve">provide a model </w:t>
      </w:r>
      <m:oMath>
        <m:sSub>
          <m:sSubPr>
            <m:ctrlPr>
              <w:rPr>
                <w:rFonts w:ascii="Cambria Math" w:hAnsi="Cambria Math"/>
                <w:i/>
              </w:rPr>
            </m:ctrlPr>
          </m:sSubPr>
          <m:e>
            <m:r>
              <w:rPr>
                <w:rFonts w:ascii="Cambria Math" w:hAnsi="Cambria Math"/>
              </w:rPr>
              <m:t>f</m:t>
            </m:r>
          </m:e>
          <m:sub>
            <m:r>
              <w:rPr>
                <w:rFonts w:ascii="Cambria Math" w:hAnsi="Cambria Math"/>
              </w:rPr>
              <m:t>θ</m:t>
            </m:r>
          </m:sub>
        </m:sSub>
        <m:d>
          <m:dPr>
            <m:ctrlPr>
              <w:rPr>
                <w:rFonts w:ascii="Cambria Math" w:hAnsi="Cambria Math"/>
                <w:i/>
              </w:rPr>
            </m:ctrlPr>
          </m:dPr>
          <m:e>
            <m:r>
              <w:rPr>
                <w:rFonts w:ascii="Cambria Math" w:hAnsi="Cambria Math"/>
              </w:rPr>
              <m:t>X</m:t>
            </m:r>
          </m:e>
        </m:d>
      </m:oMath>
      <w:r w:rsidR="00EE5588">
        <w:t xml:space="preserve"> </w:t>
      </w:r>
      <w:r w:rsidR="000355FE">
        <w:t xml:space="preserve">and an </w:t>
      </w:r>
      <w:r w:rsidR="000355FE" w:rsidRPr="000175BB">
        <w:t>estimat</w:t>
      </w:r>
      <w:r w:rsidR="008A35BB">
        <w:t>ion of</w:t>
      </w:r>
      <w:r w:rsidR="000355FE" w:rsidRPr="000175BB">
        <w:t xml:space="preserve"> its risk prediction performance </w:t>
      </w:r>
      <m:oMath>
        <m:r>
          <w:rPr>
            <w:rFonts w:ascii="Cambria Math" w:hAnsi="Cambria Math"/>
          </w:rPr>
          <m:t>RPP</m:t>
        </m:r>
        <m:d>
          <m:dPr>
            <m:ctrlPr>
              <w:rPr>
                <w:rFonts w:ascii="Cambria Math" w:hAnsi="Cambria Math"/>
                <w:i/>
              </w:rPr>
            </m:ctrlPr>
          </m:dPr>
          <m:e>
            <m:r>
              <w:rPr>
                <w:rFonts w:ascii="Cambria Math" w:hAnsi="Cambria Math"/>
              </w:rPr>
              <m:t>R,f</m:t>
            </m:r>
            <m:d>
              <m:dPr>
                <m:ctrlPr>
                  <w:rPr>
                    <w:rFonts w:ascii="Cambria Math" w:hAnsi="Cambria Math"/>
                    <w:i/>
                  </w:rPr>
                </m:ctrlPr>
              </m:dPr>
              <m:e>
                <m:r>
                  <w:rPr>
                    <w:rFonts w:ascii="Cambria Math" w:hAnsi="Cambria Math"/>
                  </w:rPr>
                  <m:t>X</m:t>
                </m:r>
              </m:e>
            </m:d>
          </m:e>
        </m:d>
      </m:oMath>
      <w:r w:rsidR="00D26BAC">
        <w:t>. However, the aspect of meta-learning is not directly addressed</w:t>
      </w:r>
      <w:r w:rsidR="003A3EEA">
        <w:t xml:space="preserve"> as long as the cognition and emergence challenges are </w:t>
      </w:r>
      <w:r w:rsidR="006D3E19">
        <w:t>out of the picture</w:t>
      </w:r>
      <w:r w:rsidR="003A3EEA">
        <w:t xml:space="preserve">. </w:t>
      </w:r>
      <w:r w:rsidR="0037041A">
        <w:rPr>
          <w:lang w:val="en-GB"/>
        </w:rPr>
        <w:t xml:space="preserve">To </w:t>
      </w:r>
      <w:r w:rsidR="000F264D">
        <w:rPr>
          <w:lang w:val="en-GB"/>
        </w:rPr>
        <w:t xml:space="preserve">tackle </w:t>
      </w:r>
      <w:r w:rsidR="0037041A">
        <w:rPr>
          <w:lang w:val="en-GB"/>
        </w:rPr>
        <w:t xml:space="preserve">the cognition challenge, the </w:t>
      </w:r>
      <w:r w:rsidR="006E4919">
        <w:rPr>
          <w:lang w:val="en-GB"/>
        </w:rPr>
        <w:t xml:space="preserve">parameter </w:t>
      </w:r>
      <m:oMath>
        <m:r>
          <w:rPr>
            <w:rFonts w:ascii="Cambria Math" w:hAnsi="Cambria Math"/>
            <w:lang w:val="it-IT"/>
          </w:rPr>
          <m:t>θ</m:t>
        </m:r>
      </m:oMath>
      <w:r w:rsidR="006E4919" w:rsidRPr="006E4919">
        <w:rPr>
          <w:lang w:val="en-GB"/>
        </w:rPr>
        <w:t xml:space="preserve"> </w:t>
      </w:r>
      <w:r w:rsidR="006E4919">
        <w:rPr>
          <w:lang w:val="en-GB"/>
        </w:rPr>
        <w:t xml:space="preserve">is identified in the </w:t>
      </w:r>
      <w:r w:rsidR="00B15543">
        <w:rPr>
          <w:lang w:val="en-GB"/>
        </w:rPr>
        <w:t xml:space="preserve">model </w:t>
      </w:r>
      <w:r w:rsidR="006E4919">
        <w:rPr>
          <w:lang w:val="en-GB"/>
        </w:rPr>
        <w:t>decision thre</w:t>
      </w:r>
      <w:r w:rsidR="00DC74EE">
        <w:rPr>
          <w:lang w:val="en-GB"/>
        </w:rPr>
        <w:t xml:space="preserve">shold. </w:t>
      </w:r>
      <w:r w:rsidR="00B769BE">
        <w:rPr>
          <w:lang w:val="en-GB"/>
        </w:rPr>
        <w:fldChar w:fldCharType="begin"/>
      </w:r>
      <w:r w:rsidR="00B769BE">
        <w:rPr>
          <w:lang w:val="en-GB"/>
        </w:rPr>
        <w:instrText xml:space="preserve"> REF _Ref37431760 \h </w:instrText>
      </w:r>
      <w:r w:rsidR="00B769BE">
        <w:rPr>
          <w:lang w:val="en-GB"/>
        </w:rPr>
      </w:r>
      <w:r w:rsidR="00B769BE">
        <w:rPr>
          <w:lang w:val="en-GB"/>
        </w:rPr>
        <w:fldChar w:fldCharType="separate"/>
      </w:r>
      <w:r w:rsidR="00B769BE">
        <w:t xml:space="preserve">Figure </w:t>
      </w:r>
      <w:r w:rsidR="00B769BE">
        <w:rPr>
          <w:noProof/>
        </w:rPr>
        <w:t>4</w:t>
      </w:r>
      <w:r w:rsidR="00B769BE">
        <w:rPr>
          <w:lang w:val="en-GB"/>
        </w:rPr>
        <w:fldChar w:fldCharType="end"/>
      </w:r>
      <w:r w:rsidR="00B769BE">
        <w:rPr>
          <w:lang w:val="en-GB"/>
        </w:rPr>
        <w:t xml:space="preserve"> shows a PR (</w:t>
      </w:r>
      <w:r w:rsidR="002A19BD">
        <w:rPr>
          <w:lang w:val="en-GB"/>
        </w:rPr>
        <w:t>p</w:t>
      </w:r>
      <w:r w:rsidR="00B769BE">
        <w:rPr>
          <w:lang w:val="en-GB"/>
        </w:rPr>
        <w:t xml:space="preserve">recision </w:t>
      </w:r>
      <w:r w:rsidR="002A19BD">
        <w:rPr>
          <w:lang w:val="en-GB"/>
        </w:rPr>
        <w:t>r</w:t>
      </w:r>
      <w:r w:rsidR="00B769BE">
        <w:rPr>
          <w:lang w:val="en-GB"/>
        </w:rPr>
        <w:t xml:space="preserve">ecall) curve </w:t>
      </w:r>
      <w:r w:rsidR="00ED42E0">
        <w:rPr>
          <w:lang w:val="en-GB"/>
        </w:rPr>
        <w:t>obtained by variating the threshold. A number of other configuration parameters affecting the expected predict</w:t>
      </w:r>
      <w:r w:rsidR="00DF0649">
        <w:rPr>
          <w:lang w:val="en-GB"/>
        </w:rPr>
        <w:t>ive</w:t>
      </w:r>
      <w:r w:rsidR="00ED42E0">
        <w:rPr>
          <w:lang w:val="en-GB"/>
        </w:rPr>
        <w:t xml:space="preserve"> performance </w:t>
      </w:r>
      <w:r w:rsidR="00ED42E0">
        <w:rPr>
          <w:lang w:val="en-GB"/>
        </w:rPr>
        <w:fldChar w:fldCharType="begin" w:fldLock="1"/>
      </w:r>
      <w:r w:rsidR="00D74B2E">
        <w:rPr>
          <w:lang w:val="en-GB"/>
        </w:rPr>
        <w:instrText>ADDIN CSL_CITATION {"citationItems":[{"id":"ITEM-1","itemData":{"author":[{"dropping-particle":"","family":"Goodfellow","given":"Ian J","non-dropping-particle":"","parse-names":false,"suffix":""},{"dropping-particle":"","family":"Bengio","given":"Yoshua","non-dropping-particle":"","parse-names":false,"suffix":""},{"dropping-particle":"","family":"Courville","given":"Aaron","non-dropping-particle":"","parse-names":false,"suffix":""}],"container-title":"The MIT Press","id":"ITEM-1","issued":{"date-parts":[["2016"]]},"publisher":"Citeseer","publisher-place":"Cambridge, Massachusetts, US","title":"Deep learning","type":"book"},"uris":["http://www.mendeley.com/documents/?uuid=60a149ba-24c1-4bcd-863d-e53d5ad8f2ba","http://www.mendeley.com/documents/?uuid=d8ba3827-3ee7-43da-8a7a-9f72fac3b6e3"]}],"mendeley":{"formattedCitation":"(Goodfellow et al., 2016)","plainTextFormattedCitation":"(Goodfellow et al., 2016)","previouslyFormattedCitation":"(Goodfellow et al., 2016)"},"properties":{"noteIndex":0},"schema":"https://github.com/citation-style-language/schema/raw/master/csl-citation.json"}</w:instrText>
      </w:r>
      <w:r w:rsidR="00ED42E0">
        <w:rPr>
          <w:lang w:val="en-GB"/>
        </w:rPr>
        <w:fldChar w:fldCharType="separate"/>
      </w:r>
      <w:r w:rsidR="00ED42E0" w:rsidRPr="00680502">
        <w:rPr>
          <w:noProof/>
          <w:lang w:val="en-GB"/>
        </w:rPr>
        <w:t>(Goodfellow et al., 2016)</w:t>
      </w:r>
      <w:r w:rsidR="00ED42E0">
        <w:rPr>
          <w:lang w:val="en-GB"/>
        </w:rPr>
        <w:fldChar w:fldCharType="end"/>
      </w:r>
      <w:r w:rsidR="00ED42E0">
        <w:rPr>
          <w:lang w:val="en-GB"/>
        </w:rPr>
        <w:t xml:space="preserve"> may be also considered, but they are out of the scope of this study.</w:t>
      </w:r>
      <w:r w:rsidR="000B4692">
        <w:rPr>
          <w:lang w:val="en-GB"/>
        </w:rPr>
        <w:t xml:space="preserve"> Precision and </w:t>
      </w:r>
      <w:r w:rsidR="002A19BD">
        <w:rPr>
          <w:lang w:val="en-GB"/>
        </w:rPr>
        <w:t>r</w:t>
      </w:r>
      <w:r w:rsidR="000B4692">
        <w:rPr>
          <w:lang w:val="en-GB"/>
        </w:rPr>
        <w:t>ecall are a</w:t>
      </w:r>
      <w:r w:rsidR="00F50D71">
        <w:rPr>
          <w:lang w:val="en-GB"/>
        </w:rPr>
        <w:t>n important</w:t>
      </w:r>
      <w:r w:rsidR="000B4692">
        <w:rPr>
          <w:lang w:val="en-GB"/>
        </w:rPr>
        <w:t xml:space="preserve"> measure </w:t>
      </w:r>
      <w:r w:rsidR="000B4692">
        <w:rPr>
          <w:lang w:val="en-GB"/>
        </w:rPr>
        <w:lastRenderedPageBreak/>
        <w:t>of the predictive performance</w:t>
      </w:r>
      <w:r w:rsidR="003374D2">
        <w:rPr>
          <w:lang w:val="en-GB"/>
        </w:rPr>
        <w:t xml:space="preserve"> and have intrinsic differences. </w:t>
      </w:r>
      <w:r w:rsidR="001A605E" w:rsidRPr="00216F98">
        <w:t>The former shows the ratio of correct risk increase predictions over all the risk increase predictions by the model</w:t>
      </w:r>
      <w:r w:rsidR="004B67A2">
        <w:t>, while t</w:t>
      </w:r>
      <w:r w:rsidR="001A605E" w:rsidRPr="00216F98">
        <w:t>he latter the ratio of correct risk increase predictions over all the real risk increase events. In this case, the model predicts</w:t>
      </w:r>
      <w:r w:rsidR="00935CED" w:rsidRPr="00935CED">
        <w:t xml:space="preserve"> </w:t>
      </w:r>
      <w:r w:rsidR="00935CED">
        <w:t xml:space="preserve">the </w:t>
      </w:r>
      <w:r w:rsidR="00935CED" w:rsidRPr="00216F98">
        <w:t>increase or decrease</w:t>
      </w:r>
      <w:r w:rsidR="001A605E" w:rsidRPr="00216F98">
        <w:t xml:space="preserve"> </w:t>
      </w:r>
      <w:r w:rsidR="00935CED">
        <w:t xml:space="preserve">of </w:t>
      </w:r>
      <w:r w:rsidR="00FF6CC6">
        <w:t xml:space="preserve">wellhead damage </w:t>
      </w:r>
      <w:r w:rsidR="001A605E" w:rsidRPr="00216F98">
        <w:t>risk</w:t>
      </w:r>
      <w:r w:rsidR="00935CED">
        <w:t xml:space="preserve"> due to drive-off</w:t>
      </w:r>
      <w:r w:rsidR="001A605E" w:rsidRPr="00216F98">
        <w:t xml:space="preserve"> following normal </w:t>
      </w:r>
      <w:r w:rsidR="00935CED">
        <w:t xml:space="preserve">drilling </w:t>
      </w:r>
      <w:r w:rsidR="001A605E" w:rsidRPr="00216F98">
        <w:t xml:space="preserve">operations. For this reason, both </w:t>
      </w:r>
      <w:r w:rsidR="00B93412">
        <w:t xml:space="preserve">risk </w:t>
      </w:r>
      <w:r w:rsidR="001A605E" w:rsidRPr="00216F98">
        <w:t>increase and decrease are relatively frequent</w:t>
      </w:r>
      <w:r w:rsidR="0001519E">
        <w:t xml:space="preserve"> and </w:t>
      </w:r>
      <w:r w:rsidR="00B93412">
        <w:t>none of them prevails on the other.</w:t>
      </w:r>
      <w:r w:rsidR="001A605E" w:rsidRPr="00216F98">
        <w:t xml:space="preserve"> </w:t>
      </w:r>
      <w:r w:rsidR="009B7CCD" w:rsidRPr="00216F98">
        <w:t>Given the relatively low criticality of the prediction target,</w:t>
      </w:r>
      <w:r w:rsidR="009B7CCD">
        <w:t xml:space="preserve"> </w:t>
      </w:r>
      <w:r w:rsidR="0064141F">
        <w:t>the model performance should be improved based on</w:t>
      </w:r>
      <w:r w:rsidR="001A605E" w:rsidRPr="00216F98">
        <w:t xml:space="preserve"> accuracy</w:t>
      </w:r>
      <w:r w:rsidR="001F5773">
        <w:t xml:space="preserve"> and </w:t>
      </w:r>
      <w:r w:rsidR="001A605E" w:rsidRPr="00216F98">
        <w:t xml:space="preserve">precision. </w:t>
      </w:r>
      <w:r w:rsidR="00C53DA7">
        <w:t xml:space="preserve">On the other hand, </w:t>
      </w:r>
      <w:r w:rsidR="00A75517">
        <w:t xml:space="preserve">for unbalanced dataset, i.e. </w:t>
      </w:r>
      <w:r w:rsidR="00C53DA7">
        <w:t>i</w:t>
      </w:r>
      <w:r w:rsidR="00451FD0" w:rsidRPr="00216F98">
        <w:t>n case of predictions of rare events such as major accidents, recall assumes a primary role</w:t>
      </w:r>
      <w:r w:rsidR="009B2E3D">
        <w:t xml:space="preserve"> </w:t>
      </w:r>
      <w:r w:rsidR="009B2E3D">
        <w:fldChar w:fldCharType="begin" w:fldLock="1"/>
      </w:r>
      <w:r w:rsidR="00BF542D">
        <w:instrText>ADDIN CSL_CITATION {"citationItems":[{"id":"ITEM-1","itemData":{"DOI":"https://doi.org/10.1016/j.ssci.2019.06.001","ISSN":"0925-7535","abstract":"Risk assessment has a primary role in safety-critical industries. However, it faces a series of overall challenges, partially related to technology advancements and increasing needs. There is currently a call for continuous risk assessment, improvement in learning past lessons and definition of techniques to process relevant data, which are to be coupled with adequate capability to deal with unexpected events and provide the right support to enable risk management. Through this work, we suggest a risk assessment approach based on machine learning. In particular, a deep neural network (DNN) model is developed and tested for a drive-off scenario involving an Oil &amp; Gas drilling rig. Results show reasonable accuracy for DNN predictions and general suitability to (partially) overcome risk assessment challenges. Nevertheless, intrinsic model limitations should be taken into account and appropriate model selection and customization should be carefully carried out to deliver appropriate support for safety-related decision-making.","author":[{"dropping-particle":"","family":"Paltrinieri","given":"Nicola","non-dropping-particle":"","parse-names":false,"suffix":""},{"dropping-particle":"","family":"Comfort","given":"Louise","non-dropping-particle":"","parse-names":false,"suffix":""},{"dropping-particle":"","family":"Reniers","given":"Genserik","non-dropping-particle":"","parse-names":false,"suffix":""}],"container-title":"Safety Science","id":"ITEM-1","issued":{"date-parts":[["2019","10","1"]]},"page":"475-486","publisher":"Elsevier","title":"Learning about risk: Machine learning for risk assessment","type":"article-journal","volume":"118"},"uris":["http://www.mendeley.com/documents/?uuid=27910cdb-3ca0-4b32-827f-18603a771824","http://www.mendeley.com/documents/?uuid=e36a8069-4d75-413f-97c1-b98503c98283"]}],"mendeley":{"formattedCitation":"(Paltrinieri et al., 2019)","plainTextFormattedCitation":"(Paltrinieri et al., 2019)","previouslyFormattedCitation":"(Paltrinieri et al., 2019)"},"properties":{"noteIndex":0},"schema":"https://github.com/citation-style-language/schema/raw/master/csl-citation.json"}</w:instrText>
      </w:r>
      <w:r w:rsidR="009B2E3D">
        <w:fldChar w:fldCharType="separate"/>
      </w:r>
      <w:r w:rsidR="009B2E3D" w:rsidRPr="009B2E3D">
        <w:rPr>
          <w:noProof/>
        </w:rPr>
        <w:t>(Paltrinieri et al., 2019)</w:t>
      </w:r>
      <w:r w:rsidR="009B2E3D">
        <w:fldChar w:fldCharType="end"/>
      </w:r>
      <w:r w:rsidR="00451FD0" w:rsidRPr="00216F98">
        <w:t xml:space="preserve">. </w:t>
      </w:r>
      <w:r w:rsidR="000B370A">
        <w:rPr>
          <w:lang w:val="en-GB"/>
        </w:rPr>
        <w:t>To address the emergence challenge</w:t>
      </w:r>
      <w:r w:rsidR="00AA546A">
        <w:rPr>
          <w:lang w:val="en-GB"/>
        </w:rPr>
        <w:t>,</w:t>
      </w:r>
      <w:r w:rsidR="000B370A">
        <w:rPr>
          <w:lang w:val="en-GB"/>
        </w:rPr>
        <w:t xml:space="preserve"> </w:t>
      </w:r>
      <w:r w:rsidR="00D644C5">
        <w:rPr>
          <w:lang w:val="en-GB"/>
        </w:rPr>
        <w:t>we must</w:t>
      </w:r>
      <w:r w:rsidR="00E5080B">
        <w:rPr>
          <w:lang w:val="en-GB"/>
        </w:rPr>
        <w:t xml:space="preserve"> ensure the </w:t>
      </w:r>
      <w:r w:rsidR="00AA546A">
        <w:rPr>
          <w:lang w:val="en-GB"/>
        </w:rPr>
        <w:t xml:space="preserve">optimisation </w:t>
      </w:r>
      <w:r w:rsidR="00E5080B">
        <w:rPr>
          <w:lang w:val="en-GB"/>
        </w:rPr>
        <w:t xml:space="preserve">of the learning process </w:t>
      </w:r>
      <w:r w:rsidR="007A25B9">
        <w:rPr>
          <w:lang w:val="en-GB"/>
        </w:rPr>
        <w:t xml:space="preserve">and </w:t>
      </w:r>
      <w:r w:rsidR="00330A9E">
        <w:rPr>
          <w:lang w:val="en-GB"/>
        </w:rPr>
        <w:t>enhance</w:t>
      </w:r>
      <w:r w:rsidR="00F915CC">
        <w:rPr>
          <w:lang w:val="en-GB"/>
        </w:rPr>
        <w:t xml:space="preserve"> the</w:t>
      </w:r>
      <w:r w:rsidR="007A25B9">
        <w:rPr>
          <w:lang w:val="en-GB"/>
        </w:rPr>
        <w:t xml:space="preserve"> predictive performance for unseen conditions</w:t>
      </w:r>
      <w:r w:rsidR="00D644C5">
        <w:rPr>
          <w:lang w:val="en-GB"/>
        </w:rPr>
        <w:t xml:space="preserve">. For this reason, </w:t>
      </w:r>
      <w:r w:rsidR="008C140B">
        <w:rPr>
          <w:lang w:val="en-GB"/>
        </w:rPr>
        <w:t xml:space="preserve">the search for </w:t>
      </w:r>
      <w:r w:rsidR="00F915CC">
        <w:rPr>
          <w:lang w:val="en-GB"/>
        </w:rPr>
        <w:t xml:space="preserve">the </w:t>
      </w:r>
      <w:r w:rsidR="008C140B">
        <w:rPr>
          <w:lang w:val="en-GB"/>
        </w:rPr>
        <w:t>highest</w:t>
      </w:r>
      <w:r w:rsidR="00E4669D">
        <w:rPr>
          <w:lang w:val="en-GB"/>
        </w:rPr>
        <w:t xml:space="preserve"> F-measure may be </w:t>
      </w:r>
      <w:r w:rsidR="00785D7A">
        <w:rPr>
          <w:lang w:val="en-GB"/>
        </w:rPr>
        <w:t>integrated into the</w:t>
      </w:r>
      <w:r w:rsidR="008C140B">
        <w:rPr>
          <w:lang w:val="en-GB"/>
        </w:rPr>
        <w:t xml:space="preserve"> learning</w:t>
      </w:r>
      <w:r w:rsidR="00785D7A">
        <w:rPr>
          <w:lang w:val="en-GB"/>
        </w:rPr>
        <w:t xml:space="preserve"> process</w:t>
      </w:r>
      <w:r w:rsidR="00E4669D">
        <w:rPr>
          <w:lang w:val="en-GB"/>
        </w:rPr>
        <w:t>.</w:t>
      </w:r>
      <w:r w:rsidR="008C140B">
        <w:rPr>
          <w:lang w:val="en-GB"/>
        </w:rPr>
        <w:t xml:space="preserve"> </w:t>
      </w:r>
      <w:r w:rsidR="00D42D2A">
        <w:rPr>
          <w:lang w:val="en-GB"/>
        </w:rPr>
        <w:t>This method would</w:t>
      </w:r>
      <w:r w:rsidR="008C140B" w:rsidRPr="008C140B">
        <w:rPr>
          <w:lang w:val="en-GB"/>
        </w:rPr>
        <w:t xml:space="preserve"> </w:t>
      </w:r>
      <w:r w:rsidR="00D42D2A">
        <w:rPr>
          <w:lang w:val="en-GB"/>
        </w:rPr>
        <w:t xml:space="preserve">allow defining the </w:t>
      </w:r>
      <w:r w:rsidR="00D42D2A" w:rsidRPr="000175BB">
        <w:t xml:space="preserve">configuration </w:t>
      </w:r>
      <m:oMath>
        <m:sSup>
          <m:sSupPr>
            <m:ctrlPr>
              <w:rPr>
                <w:rFonts w:ascii="Cambria Math" w:hAnsi="Cambria Math"/>
                <w:i/>
                <w:lang w:val="it-IT"/>
              </w:rPr>
            </m:ctrlPr>
          </m:sSupPr>
          <m:e>
            <m:r>
              <w:rPr>
                <w:rFonts w:ascii="Cambria Math" w:hAnsi="Cambria Math"/>
                <w:lang w:val="it-IT"/>
              </w:rPr>
              <m:t>θ</m:t>
            </m:r>
          </m:e>
          <m:sup>
            <m:r>
              <w:rPr>
                <w:rFonts w:ascii="Cambria Math" w:hAnsi="Cambria Math"/>
              </w:rPr>
              <m:t>*</m:t>
            </m:r>
          </m:sup>
        </m:sSup>
      </m:oMath>
      <w:r w:rsidR="002106F9" w:rsidRPr="002106F9">
        <w:rPr>
          <w:lang w:val="en-GB"/>
        </w:rPr>
        <w:t xml:space="preserve"> </w:t>
      </w:r>
      <w:r w:rsidR="0080214D">
        <w:rPr>
          <w:lang w:val="en-GB"/>
        </w:rPr>
        <w:t xml:space="preserve">for which </w:t>
      </w:r>
      <w:r w:rsidR="00DE7B53">
        <w:rPr>
          <w:lang w:val="en-GB"/>
        </w:rPr>
        <w:t xml:space="preserve">the </w:t>
      </w:r>
      <w:r w:rsidR="008D129C">
        <w:rPr>
          <w:lang w:val="en-GB"/>
        </w:rPr>
        <w:t xml:space="preserve">performance in terms </w:t>
      </w:r>
      <w:r w:rsidR="00757069">
        <w:rPr>
          <w:lang w:val="en-GB"/>
        </w:rPr>
        <w:t>of</w:t>
      </w:r>
      <w:r w:rsidR="008D129C">
        <w:rPr>
          <w:lang w:val="en-GB"/>
        </w:rPr>
        <w:t xml:space="preserve"> either precision or recall </w:t>
      </w:r>
      <w:r w:rsidR="009D58C0">
        <w:rPr>
          <w:lang w:val="en-GB"/>
        </w:rPr>
        <w:t>is enhanced.</w:t>
      </w:r>
      <w:r w:rsidR="008D2221">
        <w:rPr>
          <w:lang w:val="en-GB"/>
        </w:rPr>
        <w:t xml:space="preserve"> The F-measure is defined as follows</w:t>
      </w:r>
      <w:r w:rsidR="00DB7404">
        <w:rPr>
          <w:lang w:val="en-GB"/>
        </w:rPr>
        <w:t xml:space="preserve"> </w:t>
      </w:r>
      <w:r w:rsidR="00DB7404">
        <w:rPr>
          <w:lang w:val="en-GB"/>
        </w:rPr>
        <w:fldChar w:fldCharType="begin" w:fldLock="1"/>
      </w:r>
      <w:r w:rsidR="00D74B2E">
        <w:rPr>
          <w:lang w:val="en-GB"/>
        </w:rPr>
        <w:instrText>ADDIN CSL_CITATION {"citationItems":[{"id":"ITEM-1","itemData":{"author":[{"dropping-particle":"","family":"Sasaki","given":"Yutaka","non-dropping-particle":"","parse-names":false,"suffix":""}],"id":"ITEM-1","issued":{"date-parts":[["2007"]]},"title":"The Truth of the F-Measure. 2007","type":"article"},"uris":["http://www.mendeley.com/documents/?uuid=52513099-c837-44a8-a71b-3dcb56c4bd47","http://www.mendeley.com/documents/?uuid=64295926-0606-4803-b840-ea102c56175f"]}],"mendeley":{"formattedCitation":"(Sasaki, 2007)","plainTextFormattedCitation":"(Sasaki, 2007)","previouslyFormattedCitation":"(Sasaki, 2007)"},"properties":{"noteIndex":0},"schema":"https://github.com/citation-style-language/schema/raw/master/csl-citation.json"}</w:instrText>
      </w:r>
      <w:r w:rsidR="00DB7404">
        <w:rPr>
          <w:lang w:val="en-GB"/>
        </w:rPr>
        <w:fldChar w:fldCharType="separate"/>
      </w:r>
      <w:r w:rsidR="00DB7404" w:rsidRPr="00046229">
        <w:rPr>
          <w:noProof/>
          <w:lang w:val="en-GB"/>
        </w:rPr>
        <w:t>(Sasaki, 2007)</w:t>
      </w:r>
      <w:r w:rsidR="00DB7404">
        <w:rPr>
          <w:lang w:val="en-GB"/>
        </w:rPr>
        <w:fldChar w:fldCharType="end"/>
      </w:r>
      <w:r w:rsidR="003D43F9">
        <w:rPr>
          <w:lang w:val="en-GB"/>
        </w:rPr>
        <w:t>:</w:t>
      </w:r>
    </w:p>
    <w:tbl>
      <w:tblPr>
        <w:tblW w:w="5000" w:type="pct"/>
        <w:tblLook w:val="04A0" w:firstRow="1" w:lastRow="0" w:firstColumn="1" w:lastColumn="0" w:noHBand="0" w:noVBand="1"/>
      </w:tblPr>
      <w:tblGrid>
        <w:gridCol w:w="8188"/>
        <w:gridCol w:w="815"/>
      </w:tblGrid>
      <w:tr w:rsidR="00AA546A" w:rsidRPr="00B57B36" w14:paraId="3F3EB225" w14:textId="77777777" w:rsidTr="00864512">
        <w:tc>
          <w:tcPr>
            <w:tcW w:w="8188" w:type="dxa"/>
            <w:shd w:val="clear" w:color="auto" w:fill="auto"/>
            <w:vAlign w:val="center"/>
          </w:tcPr>
          <w:p w14:paraId="137AFCED" w14:textId="1613AF8E" w:rsidR="00AA546A" w:rsidRPr="00FB314A" w:rsidRDefault="00157D0F" w:rsidP="00864512">
            <w:pPr>
              <w:pStyle w:val="CETEquation"/>
              <w:rPr>
                <w:rFonts w:cs="Arial"/>
              </w:rPr>
            </w:pPr>
            <m:oMathPara>
              <m:oMathParaPr>
                <m:jc m:val="left"/>
              </m:oMathParaPr>
              <m:oMath>
                <m:sSub>
                  <m:sSubPr>
                    <m:ctrlPr>
                      <w:rPr>
                        <w:rFonts w:ascii="Cambria Math" w:hAnsi="Cambria Math" w:cs="Arial"/>
                        <w:i/>
                      </w:rPr>
                    </m:ctrlPr>
                  </m:sSubPr>
                  <m:e>
                    <m:r>
                      <w:rPr>
                        <w:rFonts w:ascii="Cambria Math" w:hAnsi="Cambria Math" w:cs="Arial"/>
                      </w:rPr>
                      <m:t>F</m:t>
                    </m:r>
                  </m:e>
                  <m:sub>
                    <m:r>
                      <w:rPr>
                        <w:rFonts w:ascii="Cambria Math" w:hAnsi="Cambria Math" w:cs="Arial"/>
                      </w:rPr>
                      <m:t>β</m:t>
                    </m:r>
                  </m:sub>
                </m:sSub>
                <m:r>
                  <w:rPr>
                    <w:rFonts w:ascii="Cambria Math" w:hAnsi="Cambria Math" w:cs="Arial"/>
                  </w:rPr>
                  <m:t>=(</m:t>
                </m:r>
                <m:sSup>
                  <m:sSupPr>
                    <m:ctrlPr>
                      <w:rPr>
                        <w:rFonts w:ascii="Cambria Math" w:hAnsi="Cambria Math" w:cs="Arial"/>
                        <w:i/>
                      </w:rPr>
                    </m:ctrlPr>
                  </m:sSupPr>
                  <m:e>
                    <m:r>
                      <w:rPr>
                        <w:rFonts w:ascii="Cambria Math" w:hAnsi="Cambria Math" w:cs="Arial"/>
                      </w:rPr>
                      <m:t>β</m:t>
                    </m:r>
                  </m:e>
                  <m:sup>
                    <m:r>
                      <w:rPr>
                        <w:rFonts w:ascii="Cambria Math" w:hAnsi="Cambria Math" w:cs="Arial"/>
                      </w:rPr>
                      <m:t>2</m:t>
                    </m:r>
                  </m:sup>
                </m:sSup>
                <m:r>
                  <w:rPr>
                    <w:rFonts w:ascii="Cambria Math" w:hAnsi="Cambria Math" w:cs="Arial"/>
                  </w:rPr>
                  <m:t>+1)∙</m:t>
                </m:r>
                <m:f>
                  <m:fPr>
                    <m:ctrlPr>
                      <w:rPr>
                        <w:rFonts w:ascii="Cambria Math" w:hAnsi="Cambria Math" w:cs="Arial"/>
                        <w:i/>
                      </w:rPr>
                    </m:ctrlPr>
                  </m:fPr>
                  <m:num>
                    <m:r>
                      <w:rPr>
                        <w:rFonts w:ascii="Cambria Math" w:hAnsi="Cambria Math" w:cs="Arial"/>
                      </w:rPr>
                      <m:t>Precision∙Recall</m:t>
                    </m:r>
                  </m:num>
                  <m:den>
                    <m:sSup>
                      <m:sSupPr>
                        <m:ctrlPr>
                          <w:rPr>
                            <w:rFonts w:ascii="Cambria Math" w:hAnsi="Cambria Math" w:cs="Arial"/>
                            <w:i/>
                          </w:rPr>
                        </m:ctrlPr>
                      </m:sSupPr>
                      <m:e>
                        <m:r>
                          <w:rPr>
                            <w:rFonts w:ascii="Cambria Math" w:hAnsi="Cambria Math" w:cs="Arial"/>
                          </w:rPr>
                          <m:t>β</m:t>
                        </m:r>
                      </m:e>
                      <m:sup>
                        <m:r>
                          <w:rPr>
                            <w:rFonts w:ascii="Cambria Math" w:hAnsi="Cambria Math" w:cs="Arial"/>
                          </w:rPr>
                          <m:t>2</m:t>
                        </m:r>
                      </m:sup>
                    </m:sSup>
                    <m:r>
                      <w:rPr>
                        <w:rFonts w:ascii="Cambria Math" w:hAnsi="Cambria Math" w:cs="Arial"/>
                      </w:rPr>
                      <m:t>∙Precision+Recall</m:t>
                    </m:r>
                  </m:den>
                </m:f>
              </m:oMath>
            </m:oMathPara>
          </w:p>
        </w:tc>
        <w:tc>
          <w:tcPr>
            <w:tcW w:w="815" w:type="dxa"/>
            <w:shd w:val="clear" w:color="auto" w:fill="auto"/>
            <w:vAlign w:val="center"/>
          </w:tcPr>
          <w:p w14:paraId="7045C25F" w14:textId="6DC9D6C7" w:rsidR="00AA546A" w:rsidRPr="00B57B36" w:rsidRDefault="00AA546A" w:rsidP="00864512">
            <w:pPr>
              <w:pStyle w:val="CETEquation"/>
              <w:jc w:val="right"/>
            </w:pPr>
            <w:r w:rsidRPr="00B57B36">
              <w:t>(</w:t>
            </w:r>
            <w:r>
              <w:t>6</w:t>
            </w:r>
            <w:r w:rsidRPr="00B57B36">
              <w:t>)</w:t>
            </w:r>
          </w:p>
        </w:tc>
      </w:tr>
    </w:tbl>
    <w:p w14:paraId="1B023405" w14:textId="06619601" w:rsidR="008D2221" w:rsidRDefault="00223461" w:rsidP="000B7C67">
      <w:pPr>
        <w:pStyle w:val="CETBodytext"/>
      </w:pPr>
      <m:oMath>
        <m:r>
          <w:rPr>
            <w:rFonts w:ascii="Cambria Math" w:hAnsi="Cambria Math"/>
            <w:lang w:val="en-GB"/>
          </w:rPr>
          <m:t>β</m:t>
        </m:r>
      </m:oMath>
      <w:r w:rsidRPr="00223461">
        <w:rPr>
          <w:lang w:val="en-GB"/>
        </w:rPr>
        <w:t xml:space="preserve"> is used to weight the variables: when </w:t>
      </w:r>
      <m:oMath>
        <m:r>
          <w:rPr>
            <w:rFonts w:ascii="Cambria Math" w:hAnsi="Cambria Math"/>
            <w:lang w:val="en-GB"/>
          </w:rPr>
          <m:t>β&gt;1</m:t>
        </m:r>
      </m:oMath>
      <w:r w:rsidRPr="00223461">
        <w:rPr>
          <w:lang w:val="en-GB"/>
        </w:rPr>
        <w:t xml:space="preserve">, </w:t>
      </w:r>
      <w:r>
        <w:rPr>
          <w:lang w:val="en-GB"/>
        </w:rPr>
        <w:t xml:space="preserve">the </w:t>
      </w:r>
      <w:r w:rsidRPr="00223461">
        <w:rPr>
          <w:lang w:val="en-GB"/>
        </w:rPr>
        <w:t>F-</w:t>
      </w:r>
      <w:r>
        <w:rPr>
          <w:lang w:val="en-GB"/>
        </w:rPr>
        <w:t>measure</w:t>
      </w:r>
      <w:r w:rsidRPr="00223461">
        <w:rPr>
          <w:lang w:val="en-GB"/>
        </w:rPr>
        <w:t xml:space="preserve"> </w:t>
      </w:r>
      <w:r>
        <w:rPr>
          <w:lang w:val="en-GB"/>
        </w:rPr>
        <w:t>i</w:t>
      </w:r>
      <w:r w:rsidRPr="00223461">
        <w:rPr>
          <w:lang w:val="en-GB"/>
        </w:rPr>
        <w:t>s more recall-oriented</w:t>
      </w:r>
      <w:r>
        <w:rPr>
          <w:lang w:val="en-GB"/>
        </w:rPr>
        <w:t>. W</w:t>
      </w:r>
      <w:r w:rsidRPr="00223461">
        <w:rPr>
          <w:lang w:val="en-GB"/>
        </w:rPr>
        <w:t xml:space="preserve">hen </w:t>
      </w:r>
      <m:oMath>
        <m:r>
          <w:rPr>
            <w:rFonts w:ascii="Cambria Math" w:hAnsi="Cambria Math"/>
            <w:lang w:val="en-GB"/>
          </w:rPr>
          <m:t>β&lt;1</m:t>
        </m:r>
      </m:oMath>
      <w:r w:rsidRPr="00223461">
        <w:rPr>
          <w:lang w:val="en-GB"/>
        </w:rPr>
        <w:t>, it becomes more precision-oriented.</w:t>
      </w:r>
      <w:r w:rsidR="005E6089">
        <w:rPr>
          <w:lang w:val="en-GB"/>
        </w:rPr>
        <w:t xml:space="preserve"> </w:t>
      </w:r>
      <w:r w:rsidR="000B7C67" w:rsidRPr="000B7C67">
        <w:rPr>
          <w:lang w:val="en-GB"/>
        </w:rPr>
        <w:t xml:space="preserve">When </w:t>
      </w:r>
      <m:oMath>
        <m:r>
          <w:rPr>
            <w:rFonts w:ascii="Cambria Math" w:hAnsi="Cambria Math"/>
            <w:lang w:val="en-GB"/>
          </w:rPr>
          <m:t>β=1</m:t>
        </m:r>
      </m:oMath>
      <w:r w:rsidR="000B7C67" w:rsidRPr="000B7C67">
        <w:rPr>
          <w:lang w:val="en-GB"/>
        </w:rPr>
        <w:t>, the F-</w:t>
      </w:r>
      <w:r w:rsidR="000B7C67">
        <w:rPr>
          <w:lang w:val="en-GB"/>
        </w:rPr>
        <w:t>measure</w:t>
      </w:r>
      <w:r w:rsidR="000B7C67" w:rsidRPr="000B7C67">
        <w:rPr>
          <w:lang w:val="en-GB"/>
        </w:rPr>
        <w:t xml:space="preserve"> </w:t>
      </w:r>
      <w:r w:rsidR="000B7C67">
        <w:rPr>
          <w:lang w:val="en-GB"/>
        </w:rPr>
        <w:t>represents</w:t>
      </w:r>
      <w:r w:rsidR="000B7C67" w:rsidRPr="000B7C67">
        <w:rPr>
          <w:lang w:val="en-GB"/>
        </w:rPr>
        <w:t xml:space="preserve"> the harmonic mean between precision and</w:t>
      </w:r>
      <w:r w:rsidR="000B7C67">
        <w:rPr>
          <w:lang w:val="en-GB"/>
        </w:rPr>
        <w:t xml:space="preserve"> </w:t>
      </w:r>
      <w:r w:rsidR="000B7C67" w:rsidRPr="000B7C67">
        <w:rPr>
          <w:lang w:val="en-GB"/>
        </w:rPr>
        <w:t>recall</w:t>
      </w:r>
      <w:r w:rsidR="000B7C67">
        <w:rPr>
          <w:lang w:val="en-GB"/>
        </w:rPr>
        <w:t>.</w:t>
      </w:r>
      <w:r w:rsidR="000B7C18">
        <w:rPr>
          <w:lang w:val="en-GB"/>
        </w:rPr>
        <w:t xml:space="preserve"> </w:t>
      </w:r>
      <w:r w:rsidR="000B7C18">
        <w:rPr>
          <w:lang w:val="en-GB"/>
        </w:rPr>
        <w:fldChar w:fldCharType="begin"/>
      </w:r>
      <w:r w:rsidR="000B7C18">
        <w:rPr>
          <w:lang w:val="en-GB"/>
        </w:rPr>
        <w:instrText xml:space="preserve"> REF _Ref37431760 \h </w:instrText>
      </w:r>
      <w:r w:rsidR="000B7C18">
        <w:rPr>
          <w:lang w:val="en-GB"/>
        </w:rPr>
      </w:r>
      <w:r w:rsidR="000B7C18">
        <w:rPr>
          <w:lang w:val="en-GB"/>
        </w:rPr>
        <w:fldChar w:fldCharType="separate"/>
      </w:r>
      <w:r w:rsidR="000B7C18">
        <w:t xml:space="preserve">Figure </w:t>
      </w:r>
      <w:r w:rsidR="000B7C18">
        <w:rPr>
          <w:noProof/>
        </w:rPr>
        <w:t>4</w:t>
      </w:r>
      <w:r w:rsidR="000B7C18">
        <w:rPr>
          <w:lang w:val="en-GB"/>
        </w:rPr>
        <w:fldChar w:fldCharType="end"/>
      </w:r>
      <w:r w:rsidR="000B7C18">
        <w:rPr>
          <w:lang w:val="en-GB"/>
        </w:rPr>
        <w:t xml:space="preserve"> shows F-measures </w:t>
      </w:r>
      <w:r w:rsidR="000B7C18">
        <w:t xml:space="preserve">for </w:t>
      </w:r>
      <m:oMath>
        <m:r>
          <m:rPr>
            <m:sty m:val="p"/>
          </m:rPr>
          <w:rPr>
            <w:rFonts w:ascii="Cambria Math" w:hAnsi="Cambria Math"/>
          </w:rPr>
          <m:t>β</m:t>
        </m:r>
      </m:oMath>
      <w:r w:rsidR="000B7C18">
        <w:t xml:space="preserve"> equal to 0.5, 1</w:t>
      </w:r>
      <w:r w:rsidR="00AA546A">
        <w:t>,</w:t>
      </w:r>
      <w:r w:rsidR="000B7C18">
        <w:t xml:space="preserve"> and 1.5. </w:t>
      </w:r>
      <w:r w:rsidR="009316CF">
        <w:t>C</w:t>
      </w:r>
      <w:r w:rsidR="000B7C18">
        <w:t xml:space="preserve">onsidered that </w:t>
      </w:r>
      <w:r w:rsidR="000C0B27">
        <w:t xml:space="preserve">in </w:t>
      </w:r>
      <w:r w:rsidR="0036264A">
        <w:t xml:space="preserve">this case study </w:t>
      </w:r>
      <w:r w:rsidR="000C0B27" w:rsidRPr="00216F98">
        <w:t>we search for model accuracy and precision</w:t>
      </w:r>
      <w:r w:rsidR="006A4201">
        <w:t>, the</w:t>
      </w:r>
      <w:r w:rsidR="0057039D">
        <w:t xml:space="preserve"> most appropriate</w:t>
      </w:r>
      <w:r w:rsidR="006A4201">
        <w:t xml:space="preserve"> threshold</w:t>
      </w:r>
      <w:r w:rsidR="0057039D">
        <w:t xml:space="preserve"> is</w:t>
      </w:r>
      <w:r w:rsidR="006A4201">
        <w:t xml:space="preserve"> </w:t>
      </w:r>
      <w:r w:rsidR="002A5D9B">
        <w:t>equal to 0.6</w:t>
      </w:r>
      <w:r w:rsidR="00C91CAC">
        <w:t>,</w:t>
      </w:r>
      <w:r w:rsidR="00F47A01">
        <w:t xml:space="preserve"> as it </w:t>
      </w:r>
      <w:proofErr w:type="spellStart"/>
      <w:r w:rsidR="00AA546A">
        <w:t>maximises</w:t>
      </w:r>
      <w:proofErr w:type="spellEnd"/>
      <w:r w:rsidR="00AA546A">
        <w:t xml:space="preserve"> </w:t>
      </w:r>
      <w:r w:rsidR="00142C9A">
        <w:t xml:space="preserve">both the former and </w:t>
      </w:r>
      <w:r w:rsidR="00A74E94">
        <w:t>a precision-oriented F-measure such as F</w:t>
      </w:r>
      <w:r w:rsidR="00A74E94">
        <w:rPr>
          <w:vertAlign w:val="subscript"/>
        </w:rPr>
        <w:t>1.5</w:t>
      </w:r>
      <w:r w:rsidR="00A74E94">
        <w:t>.</w:t>
      </w:r>
    </w:p>
    <w:p w14:paraId="643444DF" w14:textId="7D9B7947" w:rsidR="00AF7A5B" w:rsidRDefault="00616344" w:rsidP="00AF7A5B">
      <w:pPr>
        <w:pStyle w:val="CETBodytext"/>
        <w:keepNext/>
      </w:pPr>
      <w:r w:rsidRPr="00616344">
        <w:rPr>
          <w:noProof/>
          <w:lang w:val="it-IT" w:eastAsia="it-IT"/>
        </w:rPr>
        <w:drawing>
          <wp:inline distT="0" distB="0" distL="0" distR="0" wp14:anchorId="12601E9B" wp14:editId="01CA5BA5">
            <wp:extent cx="5579745" cy="212725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9745" cy="2127250"/>
                    </a:xfrm>
                    <a:prstGeom prst="rect">
                      <a:avLst/>
                    </a:prstGeom>
                    <a:noFill/>
                    <a:ln>
                      <a:noFill/>
                    </a:ln>
                  </pic:spPr>
                </pic:pic>
              </a:graphicData>
            </a:graphic>
          </wp:inline>
        </w:drawing>
      </w:r>
    </w:p>
    <w:p w14:paraId="241AFC19" w14:textId="1B1CB77B" w:rsidR="00606EBA" w:rsidRDefault="00AF7A5B" w:rsidP="000E0631">
      <w:pPr>
        <w:pStyle w:val="CETCaption"/>
        <w:spacing w:before="120"/>
      </w:pPr>
      <w:bookmarkStart w:id="7" w:name="_Ref37431760"/>
      <w:r>
        <w:t xml:space="preserve">Figure </w:t>
      </w:r>
      <w:r>
        <w:fldChar w:fldCharType="begin"/>
      </w:r>
      <w:r>
        <w:instrText xml:space="preserve"> SEQ Figure \* ARABIC </w:instrText>
      </w:r>
      <w:r>
        <w:fldChar w:fldCharType="separate"/>
      </w:r>
      <w:r>
        <w:rPr>
          <w:noProof/>
        </w:rPr>
        <w:t>4</w:t>
      </w:r>
      <w:r>
        <w:fldChar w:fldCharType="end"/>
      </w:r>
      <w:bookmarkEnd w:id="7"/>
      <w:r w:rsidR="00B820E4">
        <w:t>:</w:t>
      </w:r>
      <w:r>
        <w:t xml:space="preserve"> </w:t>
      </w:r>
      <w:r w:rsidR="007C214B">
        <w:t>PR (</w:t>
      </w:r>
      <w:r w:rsidR="002A19BD">
        <w:t>p</w:t>
      </w:r>
      <w:r w:rsidR="007C214B">
        <w:t xml:space="preserve">recision </w:t>
      </w:r>
      <w:r w:rsidR="002A19BD">
        <w:t>r</w:t>
      </w:r>
      <w:r w:rsidR="007C214B">
        <w:t>ecall) curve</w:t>
      </w:r>
      <w:r w:rsidR="00CE0908">
        <w:t xml:space="preserve"> variating the threshold (T)</w:t>
      </w:r>
      <w:r w:rsidR="006219E0">
        <w:t xml:space="preserve"> (AUC</w:t>
      </w:r>
      <w:r w:rsidR="007D52C8">
        <w:t xml:space="preserve"> stands for </w:t>
      </w:r>
      <w:r w:rsidR="002A19BD">
        <w:t>a</w:t>
      </w:r>
      <w:r w:rsidR="007D52C8">
        <w:t xml:space="preserve">rea </w:t>
      </w:r>
      <w:r w:rsidR="002A19BD">
        <w:t>u</w:t>
      </w:r>
      <w:r w:rsidR="007D52C8">
        <w:t xml:space="preserve">nder the </w:t>
      </w:r>
      <w:r w:rsidR="002A19BD">
        <w:t>c</w:t>
      </w:r>
      <w:r w:rsidR="007D52C8">
        <w:t>urve)</w:t>
      </w:r>
      <w:r w:rsidR="00CE0908">
        <w:t xml:space="preserve"> </w:t>
      </w:r>
      <w:r w:rsidR="00EB21AD">
        <w:t>and related</w:t>
      </w:r>
      <w:r w:rsidR="00616344">
        <w:t xml:space="preserve"> </w:t>
      </w:r>
      <w:r w:rsidR="00AB613B">
        <w:t>accuracy and</w:t>
      </w:r>
      <w:r w:rsidR="00EB21AD">
        <w:t xml:space="preserve"> F-measure</w:t>
      </w:r>
      <w:r w:rsidR="00AB613B">
        <w:t>s</w:t>
      </w:r>
      <w:r w:rsidR="00EB21AD">
        <w:t xml:space="preserve"> </w:t>
      </w:r>
      <w:r w:rsidR="00FF1AE0">
        <w:t xml:space="preserve">for </w:t>
      </w:r>
      <m:oMath>
        <m:r>
          <w:rPr>
            <w:rFonts w:ascii="Cambria Math" w:hAnsi="Cambria Math"/>
          </w:rPr>
          <m:t>β</m:t>
        </m:r>
      </m:oMath>
      <w:r w:rsidR="00C871CC">
        <w:t xml:space="preserve"> equal to 0.5, 1</w:t>
      </w:r>
      <w:r w:rsidR="00AA546A">
        <w:t>,</w:t>
      </w:r>
      <w:r w:rsidR="00C871CC">
        <w:t xml:space="preserve"> and 1.5</w:t>
      </w:r>
      <w:r w:rsidR="00AB613B">
        <w:t xml:space="preserve"> (highest values highlighted in yellow)</w:t>
      </w:r>
    </w:p>
    <w:p w14:paraId="68D26B83" w14:textId="77777777" w:rsidR="00600535" w:rsidRPr="00B57B36" w:rsidRDefault="00600535" w:rsidP="00600535">
      <w:pPr>
        <w:pStyle w:val="CETHeading1"/>
        <w:rPr>
          <w:lang w:val="en-GB"/>
        </w:rPr>
      </w:pPr>
      <w:r w:rsidRPr="00B57B36">
        <w:rPr>
          <w:lang w:val="en-GB"/>
        </w:rPr>
        <w:t>Conclusions</w:t>
      </w:r>
    </w:p>
    <w:p w14:paraId="6B736956" w14:textId="60AB9932" w:rsidR="00600535" w:rsidRPr="00B57B36" w:rsidRDefault="00A14570" w:rsidP="00600535">
      <w:pPr>
        <w:pStyle w:val="CETBodytext"/>
        <w:rPr>
          <w:lang w:val="en-GB"/>
        </w:rPr>
      </w:pPr>
      <w:r>
        <w:rPr>
          <w:lang w:val="en-GB"/>
        </w:rPr>
        <w:t xml:space="preserve">This </w:t>
      </w:r>
      <w:r w:rsidR="00981D2F">
        <w:rPr>
          <w:lang w:val="en-GB"/>
        </w:rPr>
        <w:t>contribution</w:t>
      </w:r>
      <w:r w:rsidR="00761506">
        <w:rPr>
          <w:lang w:val="en-GB"/>
        </w:rPr>
        <w:t xml:space="preserve"> illustrates the preliminary results o</w:t>
      </w:r>
      <w:r w:rsidR="00981D2F">
        <w:rPr>
          <w:lang w:val="en-GB"/>
        </w:rPr>
        <w:t xml:space="preserve">f a meta-learning study </w:t>
      </w:r>
      <w:r w:rsidR="0056575E">
        <w:rPr>
          <w:lang w:val="en-GB"/>
        </w:rPr>
        <w:t xml:space="preserve">for </w:t>
      </w:r>
      <w:r w:rsidR="00D46F87">
        <w:rPr>
          <w:lang w:val="en-GB"/>
        </w:rPr>
        <w:t>a</w:t>
      </w:r>
      <w:r w:rsidR="000B4AD7">
        <w:rPr>
          <w:lang w:val="en-GB"/>
        </w:rPr>
        <w:t xml:space="preserve"> drilling rig</w:t>
      </w:r>
      <w:r w:rsidR="00D46F87">
        <w:rPr>
          <w:lang w:val="en-GB"/>
        </w:rPr>
        <w:t xml:space="preserve"> safety management</w:t>
      </w:r>
      <w:r w:rsidR="000B4AD7">
        <w:rPr>
          <w:lang w:val="en-GB"/>
        </w:rPr>
        <w:t xml:space="preserve">. A drive-off scenario is </w:t>
      </w:r>
      <w:r w:rsidR="00697D5C">
        <w:rPr>
          <w:lang w:val="en-GB"/>
        </w:rPr>
        <w:t>considered,</w:t>
      </w:r>
      <w:r w:rsidR="000B4AD7">
        <w:rPr>
          <w:lang w:val="en-GB"/>
        </w:rPr>
        <w:t xml:space="preserve"> and the </w:t>
      </w:r>
      <w:r w:rsidR="00697D5C">
        <w:rPr>
          <w:lang w:val="en-GB"/>
        </w:rPr>
        <w:t>increase of well</w:t>
      </w:r>
      <w:r w:rsidR="00B95ED2">
        <w:rPr>
          <w:lang w:val="en-GB"/>
        </w:rPr>
        <w:t>head</w:t>
      </w:r>
      <w:r w:rsidR="00697D5C">
        <w:rPr>
          <w:lang w:val="en-GB"/>
        </w:rPr>
        <w:t xml:space="preserve"> damage risk is predicted. </w:t>
      </w:r>
      <w:r w:rsidR="00507AB8">
        <w:rPr>
          <w:lang w:val="en-GB"/>
        </w:rPr>
        <w:t>An attempt to</w:t>
      </w:r>
      <w:r w:rsidR="00EE7446" w:rsidRPr="004B4CE9">
        <w:rPr>
          <w:lang w:val="en-GB"/>
        </w:rPr>
        <w:t xml:space="preserve"> generalise and model the risk analysis learning process</w:t>
      </w:r>
      <w:r w:rsidR="00507AB8">
        <w:rPr>
          <w:lang w:val="en-GB"/>
        </w:rPr>
        <w:t xml:space="preserve"> is made, but </w:t>
      </w:r>
      <w:r w:rsidR="00AF3544">
        <w:rPr>
          <w:lang w:val="en-GB"/>
        </w:rPr>
        <w:t xml:space="preserve">an actual </w:t>
      </w:r>
      <w:r w:rsidR="00AA546A">
        <w:rPr>
          <w:lang w:val="en-GB"/>
        </w:rPr>
        <w:t xml:space="preserve">formalisation </w:t>
      </w:r>
      <w:r w:rsidR="00AF3544">
        <w:rPr>
          <w:lang w:val="en-GB"/>
        </w:rPr>
        <w:t>is still missing.</w:t>
      </w:r>
      <w:r w:rsidR="00EE7446" w:rsidRPr="004B4CE9">
        <w:rPr>
          <w:lang w:val="en-GB"/>
        </w:rPr>
        <w:t xml:space="preserve"> </w:t>
      </w:r>
      <w:r w:rsidR="00AF3544">
        <w:rPr>
          <w:lang w:val="en-GB"/>
        </w:rPr>
        <w:t>However, the</w:t>
      </w:r>
      <w:r w:rsidR="009D6A6D">
        <w:rPr>
          <w:lang w:val="en-GB"/>
        </w:rPr>
        <w:t xml:space="preserve"> decision</w:t>
      </w:r>
      <w:r w:rsidR="00AF3544">
        <w:rPr>
          <w:lang w:val="en-GB"/>
        </w:rPr>
        <w:t xml:space="preserve"> threshold </w:t>
      </w:r>
      <w:r w:rsidR="009D6A6D">
        <w:rPr>
          <w:lang w:val="en-GB"/>
        </w:rPr>
        <w:t xml:space="preserve">is identified as </w:t>
      </w:r>
      <w:r w:rsidR="00C32500">
        <w:rPr>
          <w:lang w:val="en-GB"/>
        </w:rPr>
        <w:t xml:space="preserve">a </w:t>
      </w:r>
      <w:r w:rsidR="00EE7446" w:rsidRPr="004B4CE9">
        <w:rPr>
          <w:lang w:val="en-GB"/>
        </w:rPr>
        <w:t>configuration</w:t>
      </w:r>
      <w:r w:rsidR="002F0C84">
        <w:rPr>
          <w:lang w:val="en-GB"/>
        </w:rPr>
        <w:t xml:space="preserve"> parameter to optimise</w:t>
      </w:r>
      <w:r w:rsidR="00B85A2F">
        <w:rPr>
          <w:lang w:val="en-GB"/>
        </w:rPr>
        <w:t>.</w:t>
      </w:r>
      <w:r w:rsidR="002F0C84">
        <w:rPr>
          <w:lang w:val="en-GB"/>
        </w:rPr>
        <w:t xml:space="preserve"> </w:t>
      </w:r>
      <w:r w:rsidR="00B85A2F">
        <w:rPr>
          <w:lang w:val="en-GB"/>
        </w:rPr>
        <w:t>This would allow improving</w:t>
      </w:r>
      <w:r w:rsidR="002F0C84">
        <w:rPr>
          <w:lang w:val="en-GB"/>
        </w:rPr>
        <w:t xml:space="preserve"> the model performance</w:t>
      </w:r>
      <w:r w:rsidR="00EE7446" w:rsidRPr="004B4CE9">
        <w:rPr>
          <w:lang w:val="en-GB"/>
        </w:rPr>
        <w:t xml:space="preserve"> towards new observations</w:t>
      </w:r>
      <w:r w:rsidR="002F0C84">
        <w:rPr>
          <w:lang w:val="en-GB"/>
        </w:rPr>
        <w:t>.</w:t>
      </w:r>
      <w:r w:rsidR="00EE7446" w:rsidRPr="004B4CE9">
        <w:rPr>
          <w:lang w:val="en-GB"/>
        </w:rPr>
        <w:t xml:space="preserve"> </w:t>
      </w:r>
      <w:r w:rsidR="002653F3">
        <w:rPr>
          <w:lang w:val="en-GB"/>
        </w:rPr>
        <w:t xml:space="preserve">The search for the highest F-measure is suggested as </w:t>
      </w:r>
      <w:r w:rsidR="00B85A2F">
        <w:rPr>
          <w:lang w:val="en-GB"/>
        </w:rPr>
        <w:t>an integration</w:t>
      </w:r>
      <w:r w:rsidR="004E616D">
        <w:rPr>
          <w:lang w:val="en-GB"/>
        </w:rPr>
        <w:t xml:space="preserve"> to the actual learning process. The F-measure should promote </w:t>
      </w:r>
      <w:r w:rsidR="00B0486B">
        <w:rPr>
          <w:lang w:val="en-GB"/>
        </w:rPr>
        <w:t xml:space="preserve">either precision or recall </w:t>
      </w:r>
      <w:r w:rsidR="00670161">
        <w:rPr>
          <w:lang w:val="en-GB"/>
        </w:rPr>
        <w:t>based on</w:t>
      </w:r>
      <w:r w:rsidR="00B0486B">
        <w:rPr>
          <w:lang w:val="en-GB"/>
        </w:rPr>
        <w:t xml:space="preserve"> the event that is being predicted.</w:t>
      </w:r>
      <w:r w:rsidR="007E199E">
        <w:rPr>
          <w:lang w:val="en-GB"/>
        </w:rPr>
        <w:t xml:space="preserve"> The former should be considered for low-criticality events such as the risk increase conside</w:t>
      </w:r>
      <w:r w:rsidR="001A4FC0">
        <w:rPr>
          <w:lang w:val="en-GB"/>
        </w:rPr>
        <w:t>red in this study.</w:t>
      </w:r>
      <w:r w:rsidR="00A44E00">
        <w:rPr>
          <w:lang w:val="en-GB"/>
        </w:rPr>
        <w:t xml:space="preserve"> An optimised threshold</w:t>
      </w:r>
      <w:r w:rsidR="006324D0">
        <w:rPr>
          <w:lang w:val="en-GB"/>
        </w:rPr>
        <w:t xml:space="preserve"> for the considered case study</w:t>
      </w:r>
      <w:r w:rsidR="00A44E00">
        <w:rPr>
          <w:lang w:val="en-GB"/>
        </w:rPr>
        <w:t xml:space="preserve"> is </w:t>
      </w:r>
      <w:r w:rsidR="006324D0">
        <w:rPr>
          <w:lang w:val="en-GB"/>
        </w:rPr>
        <w:t xml:space="preserve">obtained through this approach </w:t>
      </w:r>
      <w:r w:rsidR="004D1B04">
        <w:rPr>
          <w:lang w:val="en-GB"/>
        </w:rPr>
        <w:t>with the purpose of demonstrating</w:t>
      </w:r>
      <w:r w:rsidR="006324D0">
        <w:rPr>
          <w:lang w:val="en-GB"/>
        </w:rPr>
        <w:t xml:space="preserve"> </w:t>
      </w:r>
      <w:r w:rsidR="005610DB">
        <w:rPr>
          <w:lang w:val="en-GB"/>
        </w:rPr>
        <w:t>its efficiency.</w:t>
      </w:r>
      <w:r w:rsidR="004E4A50">
        <w:rPr>
          <w:lang w:val="en-GB"/>
        </w:rPr>
        <w:t xml:space="preserve"> Furthermore, future research efforts may be devoted at exploring the validity of the indicators currently used for the analysis, encompassing recent research grounded in resilience management and normal work operations</w:t>
      </w:r>
      <w:r w:rsidR="00BF542D">
        <w:rPr>
          <w:lang w:val="en-GB"/>
        </w:rPr>
        <w:t xml:space="preserve"> </w:t>
      </w:r>
      <w:r w:rsidR="00BF542D">
        <w:rPr>
          <w:lang w:val="en-GB"/>
        </w:rPr>
        <w:fldChar w:fldCharType="begin" w:fldLock="1"/>
      </w:r>
      <w:r w:rsidR="002221C1">
        <w:rPr>
          <w:lang w:val="en-GB"/>
        </w:rPr>
        <w:instrText>ADDIN CSL_CITATION {"citationItems":[{"id":"ITEM-1","itemData":{"DOI":"10.1016/J.SSCI.2019.05.031","ISSN":"0925-7535","abstract":"The development of safety indicators represents an integral part of any safety management process. Safety indicators are generally classified as leading or lagging, respectively whether they are active (providing feedback on performance before an accident or incident), or reactive measurements (identifying and reporting on incidents to identify weaknesses and failures). Leading indicators have been largely addressed as early warning instruments crucial to assess the potential for either safety events (accidents, incidents), or system’s resilience. The Resilience-based Early Warning Indicator (REWI) method is a representative approach to develop such indicators. However, its main challenges are related to the data gathering process, which is traditionally managed by open-ended interviews or surveys, and the fact that the developed indicators may not necessarily represent proxy measures of system performance. This paper presents an alternative methodological framework for the development of leading indicators. We will explore the use of GREWI (Games for Resilience-based Early Warning Indicator method), a new method based on gamified data gathering, more specifically related to serious games. Abandoning traditional tick-box surveys, the proposed approach is intended to favour workers’ engagement in workplace safety and, more in general, to overcome psychological barriers to their participation. The approach has been explored in a case study within chemical industry. In particular, the safety-critical sector of ammonia production has been addressed, with the purpose to promote and improve its resilience towards unwanted events.","author":[{"dropping-particle":"","family":"Patriarca","given":"R.","non-dropping-particle":"","parse-names":false,"suffix":""},{"dropping-particle":"","family":"Falegnami","given":"A.","non-dropping-particle":"","parse-names":false,"suffix":""},{"dropping-particle":"","family":"Nicola","given":"A.","non-dropping-particle":"De","parse-names":false,"suffix":""},{"dropping-particle":"","family":"Villani","given":"M.L.","non-dropping-particle":"","parse-names":false,"suffix":""},{"dropping-particle":"","family":"Paltrinieri","given":"N.","non-dropping-particle":"","parse-names":false,"suffix":""}],"container-title":"Safety Science","id":"ITEM-1","issued":{"date-parts":[["2019","10","1"]]},"page":"316-331","publisher":"Elsevier","title":"Serious games for industrial safety: An approach for developing resilience early warning indicators","type":"article-journal","volume":"118"},"uris":["http://www.mendeley.com/documents/?uuid=6257312c-42c0-34f8-ad96-dea50975b1eb"]},{"id":"ITEM-2","itemData":{"DOI":"10.1016/j.ssci.2017.10.005","ISSN":"09257535","abstract":"This paper offers an extensive literature review on the field of Resilience Engineering (RE), encompassing 472 contributions, including journal articles, conference proceedings and book chapters. Adopting the numbers of co-citations as a metric of conceptual proximity, this paper details the application of Factor Analysis and Multi-Dimensional Scaling, as groundbreaking means to extract relevant research factors. A temporal analysis in a multi-variate two-dimensional space confirms the significance and relevance of the identified research factors. An in-depth analysis of the five research factors, labeled as the need of RE, RE for modelling, defining and exploring RE, reflecting on RE, RE and improvisation, guides the definition of future research paths and open research questions within the field and across several domains, suggesting the need for multi-disciplinary future studies.","author":[{"dropping-particle":"","family":"Patriarca","given":"Riccardo","non-dropping-particle":"","parse-names":false,"suffix":""},{"dropping-particle":"","family":"Bergström","given":"Johan","non-dropping-particle":"","parse-names":false,"suffix":""},{"dropping-particle":"","family":"Gravio","given":"Giulio","non-dropping-particle":"Di","parse-names":false,"suffix":""},{"dropping-particle":"","family":"Costantino","given":"Francesco","non-dropping-particle":"","parse-names":false,"suffix":""}],"container-title":"Safety Science","id":"ITEM-2","issue":"October 2017","issued":{"date-parts":[["2018"]]},"page":"79-100","publisher":"Elsevier","title":"Resilience engineering: Current status of the research and future challenges","type":"article-journal","volume":"102"},"uris":["http://www.mendeley.com/documents/?uuid=ca929511-ce06-4d16-8e5e-43bf7ed78a37"]}],"mendeley":{"formattedCitation":"(Patriarca et al., 2019, 2018)","plainTextFormattedCitation":"(Patriarca et al., 2019, 2018)","previouslyFormattedCitation":"(Patriarca et al., 2019, 2018)"},"properties":{"noteIndex":0},"schema":"https://github.com/citation-style-language/schema/raw/master/csl-citation.json"}</w:instrText>
      </w:r>
      <w:r w:rsidR="00BF542D">
        <w:rPr>
          <w:lang w:val="en-GB"/>
        </w:rPr>
        <w:fldChar w:fldCharType="separate"/>
      </w:r>
      <w:r w:rsidR="00BF542D" w:rsidRPr="00BF542D">
        <w:rPr>
          <w:noProof/>
          <w:lang w:val="en-GB"/>
        </w:rPr>
        <w:t>(Patriarca et al., 2019, 2018)</w:t>
      </w:r>
      <w:r w:rsidR="00BF542D">
        <w:rPr>
          <w:lang w:val="en-GB"/>
        </w:rPr>
        <w:fldChar w:fldCharType="end"/>
      </w:r>
      <w:r w:rsidR="004E4A50">
        <w:rPr>
          <w:lang w:val="en-GB"/>
        </w:rPr>
        <w:t xml:space="preserve">. </w:t>
      </w:r>
      <w:r w:rsidR="00EE7446" w:rsidRPr="004B4CE9">
        <w:rPr>
          <w:lang w:val="en-GB"/>
        </w:rPr>
        <w:t>The</w:t>
      </w:r>
      <w:r w:rsidR="00E56D33">
        <w:rPr>
          <w:lang w:val="en-GB"/>
        </w:rPr>
        <w:t>se</w:t>
      </w:r>
      <w:r w:rsidR="00EE7446" w:rsidRPr="004B4CE9">
        <w:rPr>
          <w:lang w:val="en-GB"/>
        </w:rPr>
        <w:t xml:space="preserve"> results</w:t>
      </w:r>
      <w:r w:rsidR="00E56D33">
        <w:rPr>
          <w:lang w:val="en-GB"/>
        </w:rPr>
        <w:t xml:space="preserve"> are only a first step into </w:t>
      </w:r>
      <w:r w:rsidR="00E128A4">
        <w:rPr>
          <w:lang w:val="en-GB"/>
        </w:rPr>
        <w:t xml:space="preserve">the domain of </w:t>
      </w:r>
      <w:r w:rsidR="00E56D33">
        <w:rPr>
          <w:lang w:val="en-GB"/>
        </w:rPr>
        <w:t xml:space="preserve">meta-learning for safety </w:t>
      </w:r>
      <w:r w:rsidR="008C6B7B">
        <w:rPr>
          <w:lang w:val="en-GB"/>
        </w:rPr>
        <w:t>management but</w:t>
      </w:r>
      <w:r w:rsidR="00E56D33">
        <w:rPr>
          <w:lang w:val="en-GB"/>
        </w:rPr>
        <w:t xml:space="preserve"> </w:t>
      </w:r>
      <w:r w:rsidR="00EE7446" w:rsidRPr="004B4CE9">
        <w:rPr>
          <w:lang w:val="en-GB"/>
        </w:rPr>
        <w:t>indicate the way forward for a generalisation of risk analysis learning processes and their optimisation.</w:t>
      </w:r>
      <w:r w:rsidR="004E4A50">
        <w:rPr>
          <w:lang w:val="en-GB"/>
        </w:rPr>
        <w:t xml:space="preserve"> </w:t>
      </w:r>
    </w:p>
    <w:p w14:paraId="459D05E6" w14:textId="77777777" w:rsidR="00600535" w:rsidRPr="00B57B36" w:rsidRDefault="00600535" w:rsidP="00600535">
      <w:pPr>
        <w:pStyle w:val="CETAcknowledgementstitle"/>
      </w:pPr>
      <w:r w:rsidRPr="00B57B36">
        <w:t>Acknowledgments</w:t>
      </w:r>
    </w:p>
    <w:p w14:paraId="33F8138F" w14:textId="11B98CB6" w:rsidR="00600535" w:rsidRDefault="00FA0B08" w:rsidP="00600535">
      <w:pPr>
        <w:pStyle w:val="CETBodytext"/>
      </w:pPr>
      <w:r w:rsidRPr="00216F98">
        <w:t xml:space="preserve">This research was supported by the project </w:t>
      </w:r>
      <w:proofErr w:type="spellStart"/>
      <w:r w:rsidRPr="00216F98">
        <w:t>Lo</w:t>
      </w:r>
      <w:proofErr w:type="spellEnd"/>
      <w:r w:rsidRPr="00216F98">
        <w:t>-Risk (“Learning about Risk”), supported by the Norwegian University of Science and Technology – NTNU (Onsager fellowship).</w:t>
      </w:r>
    </w:p>
    <w:p w14:paraId="4F1327F8" w14:textId="77777777" w:rsidR="00600535" w:rsidRPr="00B57B36" w:rsidRDefault="00600535" w:rsidP="00600535">
      <w:pPr>
        <w:pStyle w:val="CETReference"/>
      </w:pPr>
      <w:bookmarkStart w:id="8" w:name="_GoBack"/>
      <w:bookmarkEnd w:id="8"/>
      <w:r w:rsidRPr="00B57B36">
        <w:lastRenderedPageBreak/>
        <w:t>References</w:t>
      </w:r>
    </w:p>
    <w:p w14:paraId="0625EBEC" w14:textId="383B5DB0" w:rsidR="002221C1" w:rsidRPr="00CE3248" w:rsidRDefault="00995687" w:rsidP="000E0631">
      <w:pPr>
        <w:pStyle w:val="CETReferencetext"/>
        <w:rPr>
          <w:noProof/>
        </w:rPr>
      </w:pPr>
      <w:r>
        <w:fldChar w:fldCharType="begin" w:fldLock="1"/>
      </w:r>
      <w:r>
        <w:instrText xml:space="preserve">ADDIN Mendeley Bibliography CSL_BIBLIOGRAPHY </w:instrText>
      </w:r>
      <w:r>
        <w:fldChar w:fldCharType="separate"/>
      </w:r>
      <w:r w:rsidR="002221C1" w:rsidRPr="002221C1">
        <w:rPr>
          <w:noProof/>
        </w:rPr>
        <w:t>Aven T., 2012</w:t>
      </w:r>
      <w:r w:rsidR="00262039">
        <w:rPr>
          <w:noProof/>
        </w:rPr>
        <w:t>,</w:t>
      </w:r>
      <w:r w:rsidR="002221C1" w:rsidRPr="002221C1">
        <w:rPr>
          <w:noProof/>
        </w:rPr>
        <w:t xml:space="preserve"> The risk concept—historical and recent development trends</w:t>
      </w:r>
      <w:r w:rsidR="00AB5E6C">
        <w:rPr>
          <w:noProof/>
        </w:rPr>
        <w:t>,</w:t>
      </w:r>
      <w:r w:rsidR="002221C1" w:rsidRPr="002221C1">
        <w:rPr>
          <w:noProof/>
        </w:rPr>
        <w:t xml:space="preserve"> </w:t>
      </w:r>
      <w:r w:rsidR="002221C1" w:rsidRPr="00CE3248">
        <w:rPr>
          <w:noProof/>
        </w:rPr>
        <w:t xml:space="preserve">Reliab. Eng. Syst. Saf. 99, 33–44. </w:t>
      </w:r>
    </w:p>
    <w:p w14:paraId="77D86199" w14:textId="28FCF444" w:rsidR="002221C1" w:rsidRPr="002221C1" w:rsidRDefault="002221C1" w:rsidP="000E0631">
      <w:pPr>
        <w:pStyle w:val="CETReferencetext"/>
        <w:rPr>
          <w:noProof/>
        </w:rPr>
      </w:pPr>
      <w:r w:rsidRPr="002221C1">
        <w:rPr>
          <w:noProof/>
        </w:rPr>
        <w:t>Aven T., Krohn B.S., 2014</w:t>
      </w:r>
      <w:r w:rsidR="003B62CB">
        <w:rPr>
          <w:noProof/>
        </w:rPr>
        <w:t>,</w:t>
      </w:r>
      <w:r w:rsidRPr="002221C1">
        <w:rPr>
          <w:noProof/>
        </w:rPr>
        <w:t xml:space="preserve"> A new perspective on how to understand, assess and manage risk and the unforeseen</w:t>
      </w:r>
      <w:r w:rsidR="00AB5E6C">
        <w:rPr>
          <w:noProof/>
        </w:rPr>
        <w:t>,</w:t>
      </w:r>
      <w:r w:rsidRPr="002221C1">
        <w:rPr>
          <w:noProof/>
        </w:rPr>
        <w:t xml:space="preserve"> Reliab. Eng. Syst. Saf. 121, 1–10.</w:t>
      </w:r>
    </w:p>
    <w:p w14:paraId="43251282" w14:textId="6225AB10" w:rsidR="002221C1" w:rsidRPr="002221C1" w:rsidRDefault="002221C1" w:rsidP="000E0631">
      <w:pPr>
        <w:pStyle w:val="CETReferencetext"/>
        <w:rPr>
          <w:noProof/>
        </w:rPr>
      </w:pPr>
      <w:r w:rsidRPr="002221C1">
        <w:rPr>
          <w:noProof/>
        </w:rPr>
        <w:t>Bottenberg R.A., Ward J.H., 1963</w:t>
      </w:r>
      <w:r w:rsidR="003B62CB">
        <w:rPr>
          <w:noProof/>
        </w:rPr>
        <w:t>,</w:t>
      </w:r>
      <w:r w:rsidRPr="002221C1">
        <w:rPr>
          <w:noProof/>
        </w:rPr>
        <w:t xml:space="preserve"> Applied multiple linear regression. 6570th Personnel Research Laboratory, Aerospace Medical Division, Air Force</w:t>
      </w:r>
    </w:p>
    <w:p w14:paraId="0043DCAC" w14:textId="585740B1" w:rsidR="002221C1" w:rsidRPr="002221C1" w:rsidRDefault="002221C1" w:rsidP="000E0631">
      <w:pPr>
        <w:pStyle w:val="CETReferencetext"/>
        <w:rPr>
          <w:noProof/>
        </w:rPr>
      </w:pPr>
      <w:r w:rsidRPr="003B62CB">
        <w:rPr>
          <w:noProof/>
        </w:rPr>
        <w:t>Bubbico R., Lee S., Moscati D., Paltrinieri N., 2020</w:t>
      </w:r>
      <w:r w:rsidR="003B62CB" w:rsidRPr="003B62CB">
        <w:rPr>
          <w:noProof/>
        </w:rPr>
        <w:t>,</w:t>
      </w:r>
      <w:r w:rsidRPr="003B62CB">
        <w:rPr>
          <w:noProof/>
        </w:rPr>
        <w:t xml:space="preserve"> </w:t>
      </w:r>
      <w:r w:rsidRPr="002221C1">
        <w:rPr>
          <w:noProof/>
        </w:rPr>
        <w:t>Dynamic assessment of safety barriers preventing escalation in offshore Oil&amp;Gas</w:t>
      </w:r>
      <w:r w:rsidR="00AB5E6C">
        <w:rPr>
          <w:noProof/>
        </w:rPr>
        <w:t>,</w:t>
      </w:r>
      <w:r w:rsidRPr="002221C1">
        <w:rPr>
          <w:noProof/>
        </w:rPr>
        <w:t xml:space="preserve"> Saf. Sci. 121, 319–330. </w:t>
      </w:r>
      <w:r w:rsidR="008E7130">
        <w:rPr>
          <w:noProof/>
        </w:rPr>
        <w:t xml:space="preserve">DOI: </w:t>
      </w:r>
      <w:r w:rsidRPr="002221C1">
        <w:rPr>
          <w:noProof/>
        </w:rPr>
        <w:t>10.1016/J.SSCI.2019.09.011</w:t>
      </w:r>
    </w:p>
    <w:p w14:paraId="467564FC" w14:textId="5BAE4537" w:rsidR="002221C1" w:rsidRPr="00B72EC1" w:rsidRDefault="002221C1" w:rsidP="000E0631">
      <w:pPr>
        <w:pStyle w:val="CETReferencetext"/>
        <w:rPr>
          <w:noProof/>
        </w:rPr>
      </w:pPr>
      <w:r w:rsidRPr="00B72EC1">
        <w:rPr>
          <w:noProof/>
        </w:rPr>
        <w:t>Bucelli M., Paltrinieri N., Landucci G., 2017</w:t>
      </w:r>
      <w:r w:rsidR="00B72EC1" w:rsidRPr="00B72EC1">
        <w:rPr>
          <w:noProof/>
        </w:rPr>
        <w:t>,</w:t>
      </w:r>
      <w:r w:rsidRPr="00B72EC1">
        <w:rPr>
          <w:noProof/>
        </w:rPr>
        <w:t xml:space="preserve"> </w:t>
      </w:r>
      <w:r w:rsidRPr="002221C1">
        <w:rPr>
          <w:noProof/>
        </w:rPr>
        <w:t>Integrated risk assessment for oil and gas installations in sensitive areas</w:t>
      </w:r>
      <w:r w:rsidR="00AB5E6C">
        <w:rPr>
          <w:noProof/>
        </w:rPr>
        <w:t>,</w:t>
      </w:r>
      <w:r w:rsidRPr="002221C1">
        <w:rPr>
          <w:noProof/>
        </w:rPr>
        <w:t xml:space="preserve"> </w:t>
      </w:r>
      <w:r w:rsidRPr="00CE3248">
        <w:rPr>
          <w:noProof/>
        </w:rPr>
        <w:t xml:space="preserve">Ocean Eng. </w:t>
      </w:r>
      <w:r w:rsidR="00B72EC1" w:rsidRPr="00B72EC1">
        <w:rPr>
          <w:noProof/>
        </w:rPr>
        <w:t xml:space="preserve">DOI: </w:t>
      </w:r>
      <w:r w:rsidRPr="00B72EC1">
        <w:rPr>
          <w:noProof/>
        </w:rPr>
        <w:t>10.1016/j.oceaneng.2017.12.035</w:t>
      </w:r>
    </w:p>
    <w:p w14:paraId="20B001B9" w14:textId="37E179F7" w:rsidR="002221C1" w:rsidRPr="002221C1" w:rsidRDefault="002221C1" w:rsidP="000E0631">
      <w:pPr>
        <w:pStyle w:val="CETReferencetext"/>
        <w:rPr>
          <w:noProof/>
        </w:rPr>
      </w:pPr>
      <w:r w:rsidRPr="00B72EC1">
        <w:rPr>
          <w:noProof/>
        </w:rPr>
        <w:t>Chen H., Moan T., Verhoeven H., 2008</w:t>
      </w:r>
      <w:r w:rsidR="00B72EC1" w:rsidRPr="00B72EC1">
        <w:rPr>
          <w:noProof/>
        </w:rPr>
        <w:t>,</w:t>
      </w:r>
      <w:r w:rsidRPr="00B72EC1">
        <w:rPr>
          <w:noProof/>
        </w:rPr>
        <w:t xml:space="preserve"> </w:t>
      </w:r>
      <w:r w:rsidRPr="002221C1">
        <w:rPr>
          <w:noProof/>
        </w:rPr>
        <w:t>Safety of dynamic positioning operations on mobile offshore drilling units</w:t>
      </w:r>
      <w:r w:rsidR="00AB5E6C">
        <w:rPr>
          <w:noProof/>
        </w:rPr>
        <w:t>,</w:t>
      </w:r>
      <w:r w:rsidRPr="002221C1">
        <w:rPr>
          <w:noProof/>
        </w:rPr>
        <w:t xml:space="preserve"> Reliab. Eng. Syst. Saf. 93, 1072–1090. </w:t>
      </w:r>
    </w:p>
    <w:p w14:paraId="1B3EE6D5" w14:textId="7D65BF7F" w:rsidR="002221C1" w:rsidRDefault="002221C1" w:rsidP="000E0631">
      <w:pPr>
        <w:pStyle w:val="CETReferencetext"/>
        <w:rPr>
          <w:noProof/>
        </w:rPr>
      </w:pPr>
      <w:r w:rsidRPr="00B72EC1">
        <w:rPr>
          <w:noProof/>
        </w:rPr>
        <w:t>De Marchi B., Ravetz J.R., 1999</w:t>
      </w:r>
      <w:r w:rsidR="00B72EC1" w:rsidRPr="00B72EC1">
        <w:rPr>
          <w:noProof/>
        </w:rPr>
        <w:t>,</w:t>
      </w:r>
      <w:r w:rsidRPr="00B72EC1">
        <w:rPr>
          <w:noProof/>
        </w:rPr>
        <w:t xml:space="preserve"> </w:t>
      </w:r>
      <w:r w:rsidRPr="002221C1">
        <w:rPr>
          <w:noProof/>
        </w:rPr>
        <w:t>Risk management and governance:: a post-normal science approach</w:t>
      </w:r>
      <w:r w:rsidR="00AB5E6C">
        <w:rPr>
          <w:noProof/>
        </w:rPr>
        <w:t>,</w:t>
      </w:r>
      <w:r w:rsidRPr="002221C1">
        <w:rPr>
          <w:noProof/>
        </w:rPr>
        <w:t xml:space="preserve"> </w:t>
      </w:r>
      <w:r w:rsidRPr="00CE3248">
        <w:rPr>
          <w:noProof/>
        </w:rPr>
        <w:t xml:space="preserve">Futures 31, 743–757. </w:t>
      </w:r>
    </w:p>
    <w:p w14:paraId="4BB0376E" w14:textId="4A2921E8" w:rsidR="00D82CA9" w:rsidRPr="00CE3248" w:rsidRDefault="00D82CA9" w:rsidP="000E0631">
      <w:pPr>
        <w:pStyle w:val="CETReferencetext"/>
        <w:rPr>
          <w:noProof/>
        </w:rPr>
      </w:pPr>
      <w:r>
        <w:rPr>
          <w:noProof/>
        </w:rPr>
        <w:t xml:space="preserve">Duan </w:t>
      </w:r>
      <w:r w:rsidR="006D7DB0">
        <w:rPr>
          <w:noProof/>
        </w:rPr>
        <w:t>X., 2018</w:t>
      </w:r>
      <w:r w:rsidR="00B03465">
        <w:rPr>
          <w:noProof/>
        </w:rPr>
        <w:t>,</w:t>
      </w:r>
      <w:r w:rsidR="006D7DB0">
        <w:rPr>
          <w:noProof/>
        </w:rPr>
        <w:t xml:space="preserve"> </w:t>
      </w:r>
      <w:r w:rsidR="002E1580">
        <w:t>Application of Artificial Intelligence in Evaluation and Management of SEC Oil and Gas Reserves</w:t>
      </w:r>
      <w:r w:rsidR="00AB5E6C">
        <w:t>,</w:t>
      </w:r>
      <w:r w:rsidR="002E1580">
        <w:t xml:space="preserve"> </w:t>
      </w:r>
      <w:r w:rsidR="00B03465">
        <w:t xml:space="preserve">Chemical Engineering Transaction, </w:t>
      </w:r>
      <w:r w:rsidR="00056D10">
        <w:t xml:space="preserve">71, </w:t>
      </w:r>
      <w:r w:rsidR="00122110">
        <w:t>925-930.</w:t>
      </w:r>
    </w:p>
    <w:p w14:paraId="572A3DF0" w14:textId="4559D056" w:rsidR="002221C1" w:rsidRPr="002221C1" w:rsidRDefault="002221C1" w:rsidP="000E0631">
      <w:pPr>
        <w:pStyle w:val="CETReferencetext"/>
        <w:rPr>
          <w:noProof/>
        </w:rPr>
      </w:pPr>
      <w:r w:rsidRPr="00B72EC1">
        <w:rPr>
          <w:noProof/>
        </w:rPr>
        <w:t>Giddings I.C., 2013</w:t>
      </w:r>
      <w:r w:rsidR="00B72EC1" w:rsidRPr="00B72EC1">
        <w:rPr>
          <w:noProof/>
        </w:rPr>
        <w:t>,</w:t>
      </w:r>
      <w:r w:rsidRPr="00B72EC1">
        <w:rPr>
          <w:noProof/>
        </w:rPr>
        <w:t xml:space="preserve"> </w:t>
      </w:r>
      <w:r w:rsidRPr="002221C1">
        <w:rPr>
          <w:noProof/>
        </w:rPr>
        <w:t>IMO Guidelines for vessels with dynamic positioning systems</w:t>
      </w:r>
      <w:r w:rsidR="00AB5E6C">
        <w:rPr>
          <w:noProof/>
        </w:rPr>
        <w:t>,</w:t>
      </w:r>
      <w:r w:rsidRPr="002221C1">
        <w:rPr>
          <w:noProof/>
        </w:rPr>
        <w:t xml:space="preserve"> Dynamic Positioning Conference, Houston, Texas, U.S.</w:t>
      </w:r>
    </w:p>
    <w:p w14:paraId="0A9701BF" w14:textId="37D3CD12" w:rsidR="002221C1" w:rsidRPr="002221C1" w:rsidRDefault="002221C1" w:rsidP="000E0631">
      <w:pPr>
        <w:pStyle w:val="CETReferencetext"/>
        <w:rPr>
          <w:noProof/>
        </w:rPr>
      </w:pPr>
      <w:r w:rsidRPr="002221C1">
        <w:rPr>
          <w:noProof/>
        </w:rPr>
        <w:t>Goodfellow I.J., Bengio Y., Courville A., 2016</w:t>
      </w:r>
      <w:r w:rsidR="00B72EC1">
        <w:rPr>
          <w:noProof/>
        </w:rPr>
        <w:t>,</w:t>
      </w:r>
      <w:r w:rsidRPr="002221C1">
        <w:rPr>
          <w:noProof/>
        </w:rPr>
        <w:t xml:space="preserve"> Deep learning, The MIT Press</w:t>
      </w:r>
      <w:r w:rsidR="00AB5E6C">
        <w:rPr>
          <w:noProof/>
        </w:rPr>
        <w:t>,</w:t>
      </w:r>
      <w:r w:rsidRPr="002221C1">
        <w:rPr>
          <w:noProof/>
        </w:rPr>
        <w:t xml:space="preserve"> Citeseer, Cambridge, Massachusetts, US.</w:t>
      </w:r>
    </w:p>
    <w:p w14:paraId="5E2AC2E5" w14:textId="58F18C3A" w:rsidR="002221C1" w:rsidRPr="002221C1" w:rsidRDefault="002221C1" w:rsidP="000E0631">
      <w:pPr>
        <w:pStyle w:val="CETReferencetext"/>
        <w:rPr>
          <w:noProof/>
        </w:rPr>
      </w:pPr>
      <w:r w:rsidRPr="002221C1">
        <w:rPr>
          <w:noProof/>
        </w:rPr>
        <w:t xml:space="preserve">Google LLC, 2018. Tensorflow. Tensorflow TM. </w:t>
      </w:r>
    </w:p>
    <w:p w14:paraId="2983A21C" w14:textId="77777777" w:rsidR="002221C1" w:rsidRPr="00CE3248" w:rsidRDefault="002221C1" w:rsidP="000E0631">
      <w:pPr>
        <w:pStyle w:val="CETReferencetext"/>
        <w:rPr>
          <w:noProof/>
        </w:rPr>
      </w:pPr>
      <w:r w:rsidRPr="002221C1">
        <w:rPr>
          <w:noProof/>
        </w:rPr>
        <w:t xml:space="preserve">ISO, 2018. Risk Management. </w:t>
      </w:r>
      <w:r w:rsidRPr="00CE3248">
        <w:rPr>
          <w:noProof/>
        </w:rPr>
        <w:t>ISO 31000:2018.</w:t>
      </w:r>
    </w:p>
    <w:p w14:paraId="39EEDA9F" w14:textId="612BFA14" w:rsidR="002221C1" w:rsidRPr="00CE3248" w:rsidRDefault="002221C1" w:rsidP="000E0631">
      <w:pPr>
        <w:pStyle w:val="CETReferencetext"/>
        <w:rPr>
          <w:noProof/>
        </w:rPr>
      </w:pPr>
      <w:r w:rsidRPr="00B72EC1">
        <w:rPr>
          <w:noProof/>
        </w:rPr>
        <w:t>Kaplan S., Garrick B.J., 1981</w:t>
      </w:r>
      <w:r w:rsidR="00B72EC1" w:rsidRPr="00B72EC1">
        <w:rPr>
          <w:noProof/>
        </w:rPr>
        <w:t>,</w:t>
      </w:r>
      <w:r w:rsidRPr="00B72EC1">
        <w:rPr>
          <w:noProof/>
        </w:rPr>
        <w:t xml:space="preserve"> </w:t>
      </w:r>
      <w:r w:rsidRPr="002221C1">
        <w:rPr>
          <w:noProof/>
        </w:rPr>
        <w:t>On The Quantitative Definition of Risk</w:t>
      </w:r>
      <w:r w:rsidR="00AB5E6C">
        <w:rPr>
          <w:noProof/>
        </w:rPr>
        <w:t>,</w:t>
      </w:r>
      <w:r w:rsidRPr="002221C1">
        <w:rPr>
          <w:noProof/>
        </w:rPr>
        <w:t xml:space="preserve"> </w:t>
      </w:r>
      <w:r w:rsidRPr="00CE3248">
        <w:rPr>
          <w:noProof/>
        </w:rPr>
        <w:t xml:space="preserve">Risk Anal. 1, 11–27. </w:t>
      </w:r>
    </w:p>
    <w:p w14:paraId="1B45E66C" w14:textId="1513461C" w:rsidR="002221C1" w:rsidRPr="00CE3248" w:rsidRDefault="002221C1" w:rsidP="000E0631">
      <w:pPr>
        <w:pStyle w:val="CETReferencetext"/>
        <w:rPr>
          <w:noProof/>
        </w:rPr>
      </w:pPr>
      <w:r w:rsidRPr="00B72EC1">
        <w:rPr>
          <w:noProof/>
        </w:rPr>
        <w:t>Khan F., Hashemi S.J., Paltrinieri N., Amyotte P., Cozzani V., Reniers G., 2016</w:t>
      </w:r>
      <w:r w:rsidR="00B72EC1" w:rsidRPr="00B72EC1">
        <w:rPr>
          <w:noProof/>
        </w:rPr>
        <w:t>,</w:t>
      </w:r>
      <w:r w:rsidRPr="00B72EC1">
        <w:rPr>
          <w:noProof/>
        </w:rPr>
        <w:t xml:space="preserve"> </w:t>
      </w:r>
      <w:r w:rsidRPr="002221C1">
        <w:rPr>
          <w:noProof/>
        </w:rPr>
        <w:t>Dynamic risk management: a contemporary approach to process safety management</w:t>
      </w:r>
      <w:r w:rsidR="00AB5E6C">
        <w:rPr>
          <w:noProof/>
        </w:rPr>
        <w:t>,</w:t>
      </w:r>
      <w:r w:rsidRPr="002221C1">
        <w:rPr>
          <w:noProof/>
        </w:rPr>
        <w:t xml:space="preserve"> </w:t>
      </w:r>
      <w:r w:rsidRPr="00CE3248">
        <w:rPr>
          <w:noProof/>
        </w:rPr>
        <w:t xml:space="preserve">Curr. Opin. Chem. Eng. 14. </w:t>
      </w:r>
      <w:r w:rsidR="00B72EC1" w:rsidRPr="00CE3248">
        <w:rPr>
          <w:noProof/>
        </w:rPr>
        <w:t xml:space="preserve">DOI: </w:t>
      </w:r>
      <w:r w:rsidRPr="00CE3248">
        <w:rPr>
          <w:noProof/>
        </w:rPr>
        <w:t>10.1016/j.coche.2016.07.006</w:t>
      </w:r>
    </w:p>
    <w:p w14:paraId="63A57CD9" w14:textId="756CBE13" w:rsidR="002221C1" w:rsidRPr="002221C1" w:rsidRDefault="002221C1" w:rsidP="000E0631">
      <w:pPr>
        <w:pStyle w:val="CETReferencetext"/>
        <w:rPr>
          <w:noProof/>
        </w:rPr>
      </w:pPr>
      <w:r w:rsidRPr="00611147">
        <w:rPr>
          <w:noProof/>
        </w:rPr>
        <w:t>Lee S., Landucci G., Reniers G., Paltrinieri N., 2019</w:t>
      </w:r>
      <w:r w:rsidR="00611147" w:rsidRPr="00611147">
        <w:rPr>
          <w:noProof/>
        </w:rPr>
        <w:t>,</w:t>
      </w:r>
      <w:r w:rsidRPr="00611147">
        <w:rPr>
          <w:noProof/>
        </w:rPr>
        <w:t xml:space="preserve"> </w:t>
      </w:r>
      <w:r w:rsidRPr="002221C1">
        <w:rPr>
          <w:noProof/>
        </w:rPr>
        <w:t>Validation of Dynamic Risk Analysis Supporting Integrated Operations Across Systems</w:t>
      </w:r>
      <w:r w:rsidR="00AB5E6C">
        <w:rPr>
          <w:noProof/>
        </w:rPr>
        <w:t>,</w:t>
      </w:r>
      <w:r w:rsidRPr="002221C1">
        <w:rPr>
          <w:noProof/>
        </w:rPr>
        <w:t xml:space="preserve"> Sustain. </w:t>
      </w:r>
      <w:r w:rsidR="00611147">
        <w:rPr>
          <w:noProof/>
        </w:rPr>
        <w:t xml:space="preserve">DOI: </w:t>
      </w:r>
      <w:r w:rsidRPr="002221C1">
        <w:rPr>
          <w:noProof/>
        </w:rPr>
        <w:t>10.3390/su11236745</w:t>
      </w:r>
    </w:p>
    <w:p w14:paraId="5EB372D6" w14:textId="04A4B819" w:rsidR="002221C1" w:rsidRPr="002221C1" w:rsidRDefault="002221C1" w:rsidP="000E0631">
      <w:pPr>
        <w:pStyle w:val="CETReferencetext"/>
        <w:rPr>
          <w:noProof/>
        </w:rPr>
      </w:pPr>
      <w:r w:rsidRPr="002221C1">
        <w:rPr>
          <w:noProof/>
        </w:rPr>
        <w:t>Matteini A., 2015</w:t>
      </w:r>
      <w:r w:rsidR="00611147">
        <w:rPr>
          <w:noProof/>
        </w:rPr>
        <w:t>,</w:t>
      </w:r>
      <w:r w:rsidRPr="002221C1">
        <w:rPr>
          <w:noProof/>
        </w:rPr>
        <w:t xml:space="preserve"> Human factors and dynamic risk analysis: a case-study in Oil&amp;Gas drilling</w:t>
      </w:r>
      <w:r w:rsidR="00AB5E6C">
        <w:rPr>
          <w:noProof/>
        </w:rPr>
        <w:t>,</w:t>
      </w:r>
      <w:r w:rsidRPr="002221C1">
        <w:rPr>
          <w:noProof/>
        </w:rPr>
        <w:t xml:space="preserve"> Bologna, Italy.</w:t>
      </w:r>
    </w:p>
    <w:p w14:paraId="25496C10" w14:textId="6899141D" w:rsidR="002221C1" w:rsidRPr="00CE3248" w:rsidRDefault="002221C1" w:rsidP="000E0631">
      <w:pPr>
        <w:pStyle w:val="CETReferencetext"/>
        <w:rPr>
          <w:noProof/>
        </w:rPr>
      </w:pPr>
      <w:r w:rsidRPr="00611147">
        <w:rPr>
          <w:noProof/>
        </w:rPr>
        <w:t>Paltrinieri N., Comfort L., Reniers G., 2019</w:t>
      </w:r>
      <w:r w:rsidR="00611147" w:rsidRPr="00611147">
        <w:rPr>
          <w:noProof/>
        </w:rPr>
        <w:t>,</w:t>
      </w:r>
      <w:r w:rsidRPr="00611147">
        <w:rPr>
          <w:noProof/>
        </w:rPr>
        <w:t xml:space="preserve"> </w:t>
      </w:r>
      <w:r w:rsidRPr="002221C1">
        <w:rPr>
          <w:noProof/>
        </w:rPr>
        <w:t>Learning about risk: Machine learning for risk assessment</w:t>
      </w:r>
      <w:r w:rsidR="00AB5E6C">
        <w:rPr>
          <w:noProof/>
        </w:rPr>
        <w:t>,</w:t>
      </w:r>
      <w:r w:rsidRPr="002221C1">
        <w:rPr>
          <w:noProof/>
        </w:rPr>
        <w:t xml:space="preserve"> Saf. Sci. 118, 475–486. </w:t>
      </w:r>
      <w:r w:rsidR="00611147" w:rsidRPr="00CE3248">
        <w:rPr>
          <w:noProof/>
        </w:rPr>
        <w:t xml:space="preserve">DOI: </w:t>
      </w:r>
      <w:r w:rsidRPr="00CE3248">
        <w:rPr>
          <w:noProof/>
        </w:rPr>
        <w:t>10.1016/j.ssci.2019.06.001</w:t>
      </w:r>
    </w:p>
    <w:p w14:paraId="0CC36002" w14:textId="0FBD9B67" w:rsidR="002221C1" w:rsidRPr="00CE3248" w:rsidRDefault="002221C1" w:rsidP="000E0631">
      <w:pPr>
        <w:pStyle w:val="CETReferencetext"/>
        <w:rPr>
          <w:noProof/>
        </w:rPr>
      </w:pPr>
      <w:r w:rsidRPr="00611147">
        <w:rPr>
          <w:noProof/>
        </w:rPr>
        <w:t>Paltrinieri N., Dechy N., Salzano E., Wardman M., Cozzani V., 2012</w:t>
      </w:r>
      <w:r w:rsidR="00611147" w:rsidRPr="00611147">
        <w:rPr>
          <w:noProof/>
        </w:rPr>
        <w:t>,</w:t>
      </w:r>
      <w:r w:rsidRPr="00611147">
        <w:rPr>
          <w:noProof/>
        </w:rPr>
        <w:t xml:space="preserve"> </w:t>
      </w:r>
      <w:r w:rsidRPr="002221C1">
        <w:rPr>
          <w:noProof/>
        </w:rPr>
        <w:t>Lessons Learned from Toulouse and Buncefield Disasters: From Risk Analysis Failures to the Identification of Atypical Scenarios Through a Better Knowledge Management</w:t>
      </w:r>
      <w:r w:rsidR="00AB5E6C">
        <w:rPr>
          <w:noProof/>
        </w:rPr>
        <w:t>,</w:t>
      </w:r>
      <w:r w:rsidRPr="002221C1">
        <w:rPr>
          <w:noProof/>
        </w:rPr>
        <w:t xml:space="preserve"> Risk Anal. 32. </w:t>
      </w:r>
      <w:r w:rsidR="00422FBC" w:rsidRPr="00CE3248">
        <w:rPr>
          <w:noProof/>
        </w:rPr>
        <w:t xml:space="preserve">DOI: </w:t>
      </w:r>
      <w:r w:rsidRPr="00CE3248">
        <w:rPr>
          <w:noProof/>
        </w:rPr>
        <w:t>10.1111/j.1539-6924.2011.01749.x</w:t>
      </w:r>
    </w:p>
    <w:p w14:paraId="3E46D710" w14:textId="1C5F9FC6" w:rsidR="002221C1" w:rsidRPr="00422FBC" w:rsidRDefault="002221C1" w:rsidP="000E0631">
      <w:pPr>
        <w:pStyle w:val="CETReferencetext"/>
        <w:rPr>
          <w:noProof/>
        </w:rPr>
      </w:pPr>
      <w:r w:rsidRPr="00422FBC">
        <w:rPr>
          <w:noProof/>
        </w:rPr>
        <w:t>Paltrinieri N., Khan F., Amyotte P., Cozzani V., 2014</w:t>
      </w:r>
      <w:r w:rsidR="00422FBC" w:rsidRPr="00422FBC">
        <w:rPr>
          <w:noProof/>
        </w:rPr>
        <w:t>,</w:t>
      </w:r>
      <w:r w:rsidRPr="00422FBC">
        <w:rPr>
          <w:noProof/>
        </w:rPr>
        <w:t xml:space="preserve"> </w:t>
      </w:r>
      <w:r w:rsidRPr="002221C1">
        <w:rPr>
          <w:noProof/>
        </w:rPr>
        <w:t>Dynamic approach to risk management: Application to the Hoeganaes metal dust accidents</w:t>
      </w:r>
      <w:r w:rsidR="00AB5E6C">
        <w:rPr>
          <w:noProof/>
        </w:rPr>
        <w:t>,</w:t>
      </w:r>
      <w:r w:rsidRPr="002221C1">
        <w:rPr>
          <w:noProof/>
        </w:rPr>
        <w:t xml:space="preserve"> </w:t>
      </w:r>
      <w:r w:rsidRPr="00CE3248">
        <w:rPr>
          <w:noProof/>
        </w:rPr>
        <w:t xml:space="preserve">Process Saf. Environ. Prot. 92. </w:t>
      </w:r>
      <w:r w:rsidR="00422FBC" w:rsidRPr="00422FBC">
        <w:rPr>
          <w:noProof/>
        </w:rPr>
        <w:t xml:space="preserve">DOI: </w:t>
      </w:r>
      <w:r w:rsidRPr="00422FBC">
        <w:rPr>
          <w:noProof/>
        </w:rPr>
        <w:t>10.1016/j.psep.2013.11.008</w:t>
      </w:r>
    </w:p>
    <w:p w14:paraId="3EB54C57" w14:textId="453CB401" w:rsidR="002221C1" w:rsidRPr="00CE3248" w:rsidRDefault="002221C1" w:rsidP="000E0631">
      <w:pPr>
        <w:pStyle w:val="CETReferencetext"/>
        <w:rPr>
          <w:noProof/>
        </w:rPr>
      </w:pPr>
      <w:r w:rsidRPr="00422FBC">
        <w:rPr>
          <w:noProof/>
        </w:rPr>
        <w:t>Paltrinieri N., Massaiu S., Matteini A., 2016</w:t>
      </w:r>
      <w:r w:rsidR="00422FBC" w:rsidRPr="00422FBC">
        <w:rPr>
          <w:noProof/>
        </w:rPr>
        <w:t>,</w:t>
      </w:r>
      <w:r w:rsidRPr="00422FBC">
        <w:rPr>
          <w:noProof/>
        </w:rPr>
        <w:t xml:space="preserve"> </w:t>
      </w:r>
      <w:r w:rsidRPr="002221C1">
        <w:rPr>
          <w:noProof/>
        </w:rPr>
        <w:t>Human Reliability Analysis in the Petroleum Industry: Tutorial and Examples</w:t>
      </w:r>
      <w:r w:rsidR="00AB5E6C">
        <w:rPr>
          <w:noProof/>
        </w:rPr>
        <w:t>,</w:t>
      </w:r>
      <w:r w:rsidRPr="002221C1">
        <w:rPr>
          <w:noProof/>
        </w:rPr>
        <w:t xml:space="preserve"> </w:t>
      </w:r>
      <w:r w:rsidRPr="00CE3248">
        <w:rPr>
          <w:noProof/>
        </w:rPr>
        <w:t xml:space="preserve">Butterworth-Heinemann, pp. 181–192. </w:t>
      </w:r>
      <w:r w:rsidR="00422FBC" w:rsidRPr="00CE3248">
        <w:rPr>
          <w:noProof/>
        </w:rPr>
        <w:t xml:space="preserve">DOI: </w:t>
      </w:r>
      <w:r w:rsidRPr="00CE3248">
        <w:rPr>
          <w:noProof/>
        </w:rPr>
        <w:t>10.1016/B978-0-12-803765-2.00015-9</w:t>
      </w:r>
    </w:p>
    <w:p w14:paraId="4C3E830A" w14:textId="554CBCB8" w:rsidR="002221C1" w:rsidRPr="00CE3248" w:rsidRDefault="002221C1" w:rsidP="000E0631">
      <w:pPr>
        <w:pStyle w:val="CETReferencetext"/>
        <w:rPr>
          <w:noProof/>
        </w:rPr>
      </w:pPr>
      <w:r w:rsidRPr="00422FBC">
        <w:rPr>
          <w:noProof/>
        </w:rPr>
        <w:t>Patriarca R., Bergström J., Di Gravio G., Costantino F., 2018</w:t>
      </w:r>
      <w:r w:rsidR="00422FBC" w:rsidRPr="00422FBC">
        <w:rPr>
          <w:noProof/>
        </w:rPr>
        <w:t>,</w:t>
      </w:r>
      <w:r w:rsidRPr="00422FBC">
        <w:rPr>
          <w:noProof/>
        </w:rPr>
        <w:t xml:space="preserve"> </w:t>
      </w:r>
      <w:r w:rsidRPr="002221C1">
        <w:rPr>
          <w:noProof/>
        </w:rPr>
        <w:t>Resilience engineering: Current status of the research and future challenges</w:t>
      </w:r>
      <w:r w:rsidR="00AB5E6C">
        <w:rPr>
          <w:noProof/>
        </w:rPr>
        <w:t>,</w:t>
      </w:r>
      <w:r w:rsidRPr="002221C1">
        <w:rPr>
          <w:noProof/>
        </w:rPr>
        <w:t xml:space="preserve"> </w:t>
      </w:r>
      <w:r w:rsidRPr="00CE3248">
        <w:rPr>
          <w:noProof/>
        </w:rPr>
        <w:t xml:space="preserve">Saf. Sci. 102, 79–100. </w:t>
      </w:r>
      <w:r w:rsidR="00422FBC" w:rsidRPr="00CE3248">
        <w:rPr>
          <w:noProof/>
        </w:rPr>
        <w:t xml:space="preserve">DOI: </w:t>
      </w:r>
      <w:r w:rsidRPr="00CE3248">
        <w:rPr>
          <w:noProof/>
        </w:rPr>
        <w:t>10.1016/j.ssci.2017.10.005</w:t>
      </w:r>
    </w:p>
    <w:p w14:paraId="153603E2" w14:textId="5D685D8E" w:rsidR="002221C1" w:rsidRPr="002221C1" w:rsidRDefault="002221C1" w:rsidP="000E0631">
      <w:pPr>
        <w:pStyle w:val="CETReferencetext"/>
        <w:rPr>
          <w:noProof/>
        </w:rPr>
      </w:pPr>
      <w:r w:rsidRPr="00422FBC">
        <w:rPr>
          <w:noProof/>
        </w:rPr>
        <w:t>Patriarca R., Falegnami A., De Nicola A., Villani M.L., Paltrinieri N., 2019</w:t>
      </w:r>
      <w:r w:rsidR="00422FBC" w:rsidRPr="00422FBC">
        <w:rPr>
          <w:noProof/>
        </w:rPr>
        <w:t>,</w:t>
      </w:r>
      <w:r w:rsidRPr="00422FBC">
        <w:rPr>
          <w:noProof/>
        </w:rPr>
        <w:t xml:space="preserve"> </w:t>
      </w:r>
      <w:r w:rsidRPr="002221C1">
        <w:rPr>
          <w:noProof/>
        </w:rPr>
        <w:t>Serious games for industrial safety: An approach for developing resilience early warning indicators</w:t>
      </w:r>
      <w:r w:rsidR="00AB5E6C">
        <w:rPr>
          <w:noProof/>
        </w:rPr>
        <w:t>,</w:t>
      </w:r>
      <w:r w:rsidRPr="002221C1">
        <w:rPr>
          <w:noProof/>
        </w:rPr>
        <w:t xml:space="preserve"> Saf. Sci. 118, 316–331. </w:t>
      </w:r>
      <w:r w:rsidR="00422FBC">
        <w:rPr>
          <w:noProof/>
        </w:rPr>
        <w:t xml:space="preserve">DOI: </w:t>
      </w:r>
      <w:r w:rsidRPr="002221C1">
        <w:rPr>
          <w:noProof/>
        </w:rPr>
        <w:t>10.1016/J.SSCI.2019.05.031</w:t>
      </w:r>
    </w:p>
    <w:p w14:paraId="543FA222" w14:textId="4F8A17AE" w:rsidR="002221C1" w:rsidRPr="002221C1" w:rsidRDefault="002221C1" w:rsidP="000E0631">
      <w:pPr>
        <w:pStyle w:val="CETReferencetext"/>
        <w:rPr>
          <w:noProof/>
        </w:rPr>
      </w:pPr>
      <w:r w:rsidRPr="002221C1">
        <w:rPr>
          <w:noProof/>
        </w:rPr>
        <w:t>Samuel A.L., 1959</w:t>
      </w:r>
      <w:r w:rsidR="00422FBC">
        <w:rPr>
          <w:noProof/>
        </w:rPr>
        <w:t>,</w:t>
      </w:r>
      <w:r w:rsidRPr="002221C1">
        <w:rPr>
          <w:noProof/>
        </w:rPr>
        <w:t xml:space="preserve"> Some Studies in Machine Learning Using the Game of Checkers</w:t>
      </w:r>
      <w:r w:rsidR="00AB5E6C">
        <w:rPr>
          <w:noProof/>
        </w:rPr>
        <w:t>,</w:t>
      </w:r>
      <w:r w:rsidRPr="002221C1">
        <w:rPr>
          <w:noProof/>
        </w:rPr>
        <w:t xml:space="preserve"> IBM J. Res. Dev. 3, 210–229.</w:t>
      </w:r>
    </w:p>
    <w:p w14:paraId="283BD290" w14:textId="50F5934E" w:rsidR="002221C1" w:rsidRPr="00CE3248" w:rsidRDefault="002221C1" w:rsidP="000E0631">
      <w:pPr>
        <w:pStyle w:val="CETReferencetext"/>
        <w:rPr>
          <w:noProof/>
        </w:rPr>
      </w:pPr>
      <w:r w:rsidRPr="002221C1">
        <w:rPr>
          <w:noProof/>
        </w:rPr>
        <w:t>Sasaki Y., 2007</w:t>
      </w:r>
      <w:r w:rsidR="00422FBC">
        <w:rPr>
          <w:noProof/>
        </w:rPr>
        <w:t>,</w:t>
      </w:r>
      <w:r w:rsidRPr="002221C1">
        <w:rPr>
          <w:noProof/>
        </w:rPr>
        <w:t xml:space="preserve"> The Truth of the F-Measure</w:t>
      </w:r>
      <w:r w:rsidR="00AB5E6C">
        <w:rPr>
          <w:noProof/>
        </w:rPr>
        <w:t>,</w:t>
      </w:r>
      <w:r w:rsidRPr="002221C1">
        <w:rPr>
          <w:noProof/>
        </w:rPr>
        <w:t xml:space="preserve"> </w:t>
      </w:r>
      <w:r w:rsidRPr="00CE3248">
        <w:rPr>
          <w:noProof/>
        </w:rPr>
        <w:t>2007.</w:t>
      </w:r>
    </w:p>
    <w:p w14:paraId="1A099A7C" w14:textId="23AB9331" w:rsidR="002221C1" w:rsidRPr="00CE3248" w:rsidRDefault="002221C1" w:rsidP="000E0631">
      <w:pPr>
        <w:pStyle w:val="CETReferencetext"/>
        <w:rPr>
          <w:noProof/>
        </w:rPr>
      </w:pPr>
      <w:r w:rsidRPr="00422FBC">
        <w:rPr>
          <w:noProof/>
        </w:rPr>
        <w:t>Villa V., Paltrinieri N., Khan F., Cozzani V., 2016</w:t>
      </w:r>
      <w:r w:rsidR="00422FBC">
        <w:rPr>
          <w:noProof/>
        </w:rPr>
        <w:t>a</w:t>
      </w:r>
      <w:r w:rsidR="00422FBC" w:rsidRPr="00422FBC">
        <w:rPr>
          <w:noProof/>
        </w:rPr>
        <w:t>,</w:t>
      </w:r>
      <w:r w:rsidRPr="00422FBC">
        <w:rPr>
          <w:noProof/>
        </w:rPr>
        <w:t xml:space="preserve"> </w:t>
      </w:r>
      <w:r w:rsidRPr="002221C1">
        <w:rPr>
          <w:noProof/>
        </w:rPr>
        <w:t>Towards dynamic risk analysis: A review of the risk assessment approach and its limitations in the chemical process industry</w:t>
      </w:r>
      <w:r w:rsidR="00AB5E6C">
        <w:rPr>
          <w:noProof/>
        </w:rPr>
        <w:t>,</w:t>
      </w:r>
      <w:r w:rsidRPr="002221C1">
        <w:rPr>
          <w:noProof/>
        </w:rPr>
        <w:t xml:space="preserve"> </w:t>
      </w:r>
      <w:r w:rsidRPr="00CE3248">
        <w:rPr>
          <w:noProof/>
        </w:rPr>
        <w:t xml:space="preserve">Saf. Sci. 89. </w:t>
      </w:r>
      <w:r w:rsidR="00422FBC" w:rsidRPr="00CE3248">
        <w:rPr>
          <w:noProof/>
        </w:rPr>
        <w:t xml:space="preserve">DOI: </w:t>
      </w:r>
      <w:r w:rsidRPr="00CE3248">
        <w:rPr>
          <w:noProof/>
        </w:rPr>
        <w:t>10.1016/j.ssci.2016.06.002</w:t>
      </w:r>
    </w:p>
    <w:p w14:paraId="7D78350D" w14:textId="4A01A8A1" w:rsidR="002221C1" w:rsidRPr="002221C1" w:rsidRDefault="002221C1" w:rsidP="000E0631">
      <w:pPr>
        <w:pStyle w:val="CETReferencetext"/>
        <w:rPr>
          <w:noProof/>
        </w:rPr>
      </w:pPr>
      <w:r w:rsidRPr="00422FBC">
        <w:rPr>
          <w:noProof/>
        </w:rPr>
        <w:t>Villa V., Paltrinieri N., Khan F., Cozzani V., 2016b</w:t>
      </w:r>
      <w:r w:rsidR="00422FBC" w:rsidRPr="00422FBC">
        <w:rPr>
          <w:noProof/>
        </w:rPr>
        <w:t>,</w:t>
      </w:r>
      <w:r w:rsidRPr="00422FBC">
        <w:rPr>
          <w:noProof/>
        </w:rPr>
        <w:t xml:space="preserve"> </w:t>
      </w:r>
      <w:r w:rsidRPr="002221C1">
        <w:rPr>
          <w:noProof/>
        </w:rPr>
        <w:t>A Short Overview of Risk Analysis Background and Recent Developments, in: Dynamic Risk Analysis in the Chemical and Petroleum Industry: Evolution and Interaction with Parallel Disciplines in the Perspective of Industrial Application</w:t>
      </w:r>
      <w:r w:rsidR="00AB5E6C">
        <w:rPr>
          <w:noProof/>
        </w:rPr>
        <w:t>,</w:t>
      </w:r>
      <w:r w:rsidRPr="002221C1">
        <w:rPr>
          <w:noProof/>
        </w:rPr>
        <w:t xml:space="preserve"> </w:t>
      </w:r>
      <w:r w:rsidR="00422FBC">
        <w:rPr>
          <w:noProof/>
        </w:rPr>
        <w:t xml:space="preserve">DOI: </w:t>
      </w:r>
      <w:r w:rsidRPr="002221C1">
        <w:rPr>
          <w:noProof/>
        </w:rPr>
        <w:t>10.1016/B978-0-12-803765-2.00001-9</w:t>
      </w:r>
    </w:p>
    <w:p w14:paraId="75009C92" w14:textId="7A8D2442" w:rsidR="00995687" w:rsidRDefault="002221C1" w:rsidP="000E0631">
      <w:pPr>
        <w:pStyle w:val="CETReferencetext"/>
      </w:pPr>
      <w:r w:rsidRPr="002221C1">
        <w:rPr>
          <w:noProof/>
        </w:rPr>
        <w:t>Wang K.S., Hsu F.S., Liu P.P., 2002</w:t>
      </w:r>
      <w:r w:rsidR="00422FBC">
        <w:rPr>
          <w:noProof/>
        </w:rPr>
        <w:t>,</w:t>
      </w:r>
      <w:r w:rsidRPr="002221C1">
        <w:rPr>
          <w:noProof/>
        </w:rPr>
        <w:t xml:space="preserve"> Modeling the bathtub shape hazard rate function in terms of reliability. Reliab. Eng. Syst. Saf. 75, 397–406. </w:t>
      </w:r>
      <w:r w:rsidR="00995687">
        <w:fldChar w:fldCharType="end"/>
      </w:r>
    </w:p>
    <w:sectPr w:rsidR="00995687" w:rsidSect="000E0631">
      <w:headerReference w:type="default" r:id="rId18"/>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D0367" w14:textId="77777777" w:rsidR="00157D0F" w:rsidRDefault="00157D0F" w:rsidP="004F5E36">
      <w:r>
        <w:separator/>
      </w:r>
    </w:p>
  </w:endnote>
  <w:endnote w:type="continuationSeparator" w:id="0">
    <w:p w14:paraId="6E73D3C7" w14:textId="77777777" w:rsidR="00157D0F" w:rsidRDefault="00157D0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149E8" w14:textId="77777777" w:rsidR="00157D0F" w:rsidRDefault="00157D0F" w:rsidP="004F5E36">
      <w:r>
        <w:separator/>
      </w:r>
    </w:p>
  </w:footnote>
  <w:footnote w:type="continuationSeparator" w:id="0">
    <w:p w14:paraId="4AC55FC8" w14:textId="77777777" w:rsidR="00157D0F" w:rsidRDefault="00157D0F"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65CAC" w14:textId="77777777" w:rsidR="000E0631" w:rsidRPr="000E0631" w:rsidRDefault="000E0631" w:rsidP="000E063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0C83568"/>
    <w:multiLevelType w:val="hybridMultilevel"/>
    <w:tmpl w:val="FC2608C4"/>
    <w:lvl w:ilvl="0" w:tplc="C054CC4C">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4BCA3AE5"/>
    <w:multiLevelType w:val="hybridMultilevel"/>
    <w:tmpl w:val="4A2A89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7FD13C7"/>
    <w:multiLevelType w:val="hybridMultilevel"/>
    <w:tmpl w:val="C7582BDC"/>
    <w:lvl w:ilvl="0" w:tplc="FDA65C28">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E377E50"/>
    <w:multiLevelType w:val="hybridMultilevel"/>
    <w:tmpl w:val="091E1E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705A71FB"/>
    <w:multiLevelType w:val="hybridMultilevel"/>
    <w:tmpl w:val="03E2551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2"/>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4"/>
  </w:num>
  <w:num w:numId="22">
    <w:abstractNumId w:val="24"/>
  </w:num>
  <w:num w:numId="23">
    <w:abstractNumId w:val="23"/>
  </w:num>
  <w:num w:numId="24">
    <w:abstractNumId w:val="11"/>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030"/>
    <w:rsid w:val="00004705"/>
    <w:rsid w:val="000052FB"/>
    <w:rsid w:val="000117CB"/>
    <w:rsid w:val="00013409"/>
    <w:rsid w:val="0001519E"/>
    <w:rsid w:val="000175BB"/>
    <w:rsid w:val="000269EF"/>
    <w:rsid w:val="00030416"/>
    <w:rsid w:val="0003148D"/>
    <w:rsid w:val="0003383A"/>
    <w:rsid w:val="000355FE"/>
    <w:rsid w:val="00035FC4"/>
    <w:rsid w:val="00040E1E"/>
    <w:rsid w:val="00041006"/>
    <w:rsid w:val="00042309"/>
    <w:rsid w:val="00043F61"/>
    <w:rsid w:val="00044844"/>
    <w:rsid w:val="00044AA7"/>
    <w:rsid w:val="00044D57"/>
    <w:rsid w:val="00046229"/>
    <w:rsid w:val="00046626"/>
    <w:rsid w:val="00051566"/>
    <w:rsid w:val="00056D10"/>
    <w:rsid w:val="00060145"/>
    <w:rsid w:val="00062A9A"/>
    <w:rsid w:val="00065058"/>
    <w:rsid w:val="00066630"/>
    <w:rsid w:val="00073D10"/>
    <w:rsid w:val="00086C39"/>
    <w:rsid w:val="00090A1F"/>
    <w:rsid w:val="000935A3"/>
    <w:rsid w:val="0009377E"/>
    <w:rsid w:val="000A03B2"/>
    <w:rsid w:val="000A078E"/>
    <w:rsid w:val="000A2B3C"/>
    <w:rsid w:val="000A33D7"/>
    <w:rsid w:val="000A60E3"/>
    <w:rsid w:val="000B370A"/>
    <w:rsid w:val="000B4354"/>
    <w:rsid w:val="000B4692"/>
    <w:rsid w:val="000B4AD7"/>
    <w:rsid w:val="000B7C18"/>
    <w:rsid w:val="000B7C67"/>
    <w:rsid w:val="000C0B27"/>
    <w:rsid w:val="000C355E"/>
    <w:rsid w:val="000D0268"/>
    <w:rsid w:val="000D34BE"/>
    <w:rsid w:val="000D3E06"/>
    <w:rsid w:val="000D3EAA"/>
    <w:rsid w:val="000D4938"/>
    <w:rsid w:val="000D5714"/>
    <w:rsid w:val="000D665B"/>
    <w:rsid w:val="000E0631"/>
    <w:rsid w:val="000E102F"/>
    <w:rsid w:val="000E36F1"/>
    <w:rsid w:val="000E3A73"/>
    <w:rsid w:val="000E414A"/>
    <w:rsid w:val="000E526D"/>
    <w:rsid w:val="000F093C"/>
    <w:rsid w:val="000F264D"/>
    <w:rsid w:val="000F787B"/>
    <w:rsid w:val="00100AE0"/>
    <w:rsid w:val="0012091F"/>
    <w:rsid w:val="00122110"/>
    <w:rsid w:val="00123CC7"/>
    <w:rsid w:val="00126BC2"/>
    <w:rsid w:val="001308B6"/>
    <w:rsid w:val="0013121F"/>
    <w:rsid w:val="00131FE6"/>
    <w:rsid w:val="0013263F"/>
    <w:rsid w:val="00132B00"/>
    <w:rsid w:val="00132C26"/>
    <w:rsid w:val="001335D6"/>
    <w:rsid w:val="00133B65"/>
    <w:rsid w:val="00134DE4"/>
    <w:rsid w:val="0014034D"/>
    <w:rsid w:val="00142C9A"/>
    <w:rsid w:val="00147955"/>
    <w:rsid w:val="00150E59"/>
    <w:rsid w:val="001519CD"/>
    <w:rsid w:val="00152DE3"/>
    <w:rsid w:val="00157D0F"/>
    <w:rsid w:val="00163C91"/>
    <w:rsid w:val="00164CF9"/>
    <w:rsid w:val="001667A6"/>
    <w:rsid w:val="00176B20"/>
    <w:rsid w:val="001834B7"/>
    <w:rsid w:val="00184AD6"/>
    <w:rsid w:val="00192FE7"/>
    <w:rsid w:val="001949A3"/>
    <w:rsid w:val="001A4AF7"/>
    <w:rsid w:val="001A4FC0"/>
    <w:rsid w:val="001A605E"/>
    <w:rsid w:val="001A6FE3"/>
    <w:rsid w:val="001B0349"/>
    <w:rsid w:val="001B29F3"/>
    <w:rsid w:val="001B3932"/>
    <w:rsid w:val="001B65C1"/>
    <w:rsid w:val="001B7DEC"/>
    <w:rsid w:val="001C4A2E"/>
    <w:rsid w:val="001C684B"/>
    <w:rsid w:val="001D04E7"/>
    <w:rsid w:val="001D2665"/>
    <w:rsid w:val="001D53FC"/>
    <w:rsid w:val="001D6044"/>
    <w:rsid w:val="001E635F"/>
    <w:rsid w:val="001E6470"/>
    <w:rsid w:val="001E725F"/>
    <w:rsid w:val="001F42A5"/>
    <w:rsid w:val="001F5773"/>
    <w:rsid w:val="001F7B9D"/>
    <w:rsid w:val="002032AA"/>
    <w:rsid w:val="002106F9"/>
    <w:rsid w:val="00217229"/>
    <w:rsid w:val="002221C1"/>
    <w:rsid w:val="002224B4"/>
    <w:rsid w:val="00223461"/>
    <w:rsid w:val="00232F85"/>
    <w:rsid w:val="002353ED"/>
    <w:rsid w:val="00236B15"/>
    <w:rsid w:val="002447EF"/>
    <w:rsid w:val="0024518C"/>
    <w:rsid w:val="00251550"/>
    <w:rsid w:val="00257018"/>
    <w:rsid w:val="00261AE0"/>
    <w:rsid w:val="00262039"/>
    <w:rsid w:val="00263B05"/>
    <w:rsid w:val="002653F3"/>
    <w:rsid w:val="0026562C"/>
    <w:rsid w:val="0026608D"/>
    <w:rsid w:val="0027221A"/>
    <w:rsid w:val="002748FD"/>
    <w:rsid w:val="00275B54"/>
    <w:rsid w:val="00275B61"/>
    <w:rsid w:val="00282656"/>
    <w:rsid w:val="0028295C"/>
    <w:rsid w:val="00290316"/>
    <w:rsid w:val="00291330"/>
    <w:rsid w:val="0029380B"/>
    <w:rsid w:val="00296B83"/>
    <w:rsid w:val="00296C5A"/>
    <w:rsid w:val="002A19BD"/>
    <w:rsid w:val="002A5D9B"/>
    <w:rsid w:val="002B7866"/>
    <w:rsid w:val="002B78CE"/>
    <w:rsid w:val="002C0BEE"/>
    <w:rsid w:val="002C2FB6"/>
    <w:rsid w:val="002C59D0"/>
    <w:rsid w:val="002E1580"/>
    <w:rsid w:val="002F0C84"/>
    <w:rsid w:val="002F20C2"/>
    <w:rsid w:val="002F3309"/>
    <w:rsid w:val="002F4422"/>
    <w:rsid w:val="003009B7"/>
    <w:rsid w:val="00300E56"/>
    <w:rsid w:val="0030469C"/>
    <w:rsid w:val="00316FF2"/>
    <w:rsid w:val="00321CA6"/>
    <w:rsid w:val="0032332A"/>
    <w:rsid w:val="0032368D"/>
    <w:rsid w:val="00330A9E"/>
    <w:rsid w:val="00330B16"/>
    <w:rsid w:val="00334C09"/>
    <w:rsid w:val="003374D2"/>
    <w:rsid w:val="00352639"/>
    <w:rsid w:val="0036070B"/>
    <w:rsid w:val="003612F6"/>
    <w:rsid w:val="0036187A"/>
    <w:rsid w:val="0036264A"/>
    <w:rsid w:val="0037041A"/>
    <w:rsid w:val="003723D4"/>
    <w:rsid w:val="00374AB8"/>
    <w:rsid w:val="003777BC"/>
    <w:rsid w:val="00381905"/>
    <w:rsid w:val="00384CC8"/>
    <w:rsid w:val="0038658F"/>
    <w:rsid w:val="003871FD"/>
    <w:rsid w:val="003A1E30"/>
    <w:rsid w:val="003A3EEA"/>
    <w:rsid w:val="003A7D1C"/>
    <w:rsid w:val="003B304B"/>
    <w:rsid w:val="003B3146"/>
    <w:rsid w:val="003B62CB"/>
    <w:rsid w:val="003C5483"/>
    <w:rsid w:val="003D0011"/>
    <w:rsid w:val="003D271B"/>
    <w:rsid w:val="003D43F9"/>
    <w:rsid w:val="003D6DC7"/>
    <w:rsid w:val="003F015E"/>
    <w:rsid w:val="00400414"/>
    <w:rsid w:val="0041446B"/>
    <w:rsid w:val="00414712"/>
    <w:rsid w:val="00422FBC"/>
    <w:rsid w:val="004325D0"/>
    <w:rsid w:val="00442A5C"/>
    <w:rsid w:val="0044329C"/>
    <w:rsid w:val="00450CB5"/>
    <w:rsid w:val="00451805"/>
    <w:rsid w:val="00451FD0"/>
    <w:rsid w:val="004577FE"/>
    <w:rsid w:val="00457B9C"/>
    <w:rsid w:val="0046164A"/>
    <w:rsid w:val="004628D2"/>
    <w:rsid w:val="00462DCD"/>
    <w:rsid w:val="004648AD"/>
    <w:rsid w:val="004703A9"/>
    <w:rsid w:val="004760DE"/>
    <w:rsid w:val="004763D7"/>
    <w:rsid w:val="004802DE"/>
    <w:rsid w:val="0048117F"/>
    <w:rsid w:val="00483B8B"/>
    <w:rsid w:val="0048744F"/>
    <w:rsid w:val="0049125F"/>
    <w:rsid w:val="00492141"/>
    <w:rsid w:val="004A004E"/>
    <w:rsid w:val="004A218B"/>
    <w:rsid w:val="004A24CF"/>
    <w:rsid w:val="004B4CE9"/>
    <w:rsid w:val="004B67A2"/>
    <w:rsid w:val="004C1CEF"/>
    <w:rsid w:val="004C3D1D"/>
    <w:rsid w:val="004C7913"/>
    <w:rsid w:val="004D1B04"/>
    <w:rsid w:val="004D2BFB"/>
    <w:rsid w:val="004E06B9"/>
    <w:rsid w:val="004E4A50"/>
    <w:rsid w:val="004E4DD6"/>
    <w:rsid w:val="004E616D"/>
    <w:rsid w:val="004F0323"/>
    <w:rsid w:val="004F5E36"/>
    <w:rsid w:val="004F6F07"/>
    <w:rsid w:val="004F7A16"/>
    <w:rsid w:val="005027B9"/>
    <w:rsid w:val="00507AB8"/>
    <w:rsid w:val="00507B47"/>
    <w:rsid w:val="00507BEF"/>
    <w:rsid w:val="00507CC9"/>
    <w:rsid w:val="005119A5"/>
    <w:rsid w:val="005278B7"/>
    <w:rsid w:val="00532016"/>
    <w:rsid w:val="005346C8"/>
    <w:rsid w:val="00543962"/>
    <w:rsid w:val="00543E7D"/>
    <w:rsid w:val="00547A68"/>
    <w:rsid w:val="005531C9"/>
    <w:rsid w:val="00553775"/>
    <w:rsid w:val="005610DB"/>
    <w:rsid w:val="00563C30"/>
    <w:rsid w:val="00564851"/>
    <w:rsid w:val="0056575E"/>
    <w:rsid w:val="0057039D"/>
    <w:rsid w:val="00570C43"/>
    <w:rsid w:val="00573B64"/>
    <w:rsid w:val="00574868"/>
    <w:rsid w:val="0058031F"/>
    <w:rsid w:val="00587DAB"/>
    <w:rsid w:val="005A3F3E"/>
    <w:rsid w:val="005B2110"/>
    <w:rsid w:val="005B3F78"/>
    <w:rsid w:val="005B61E6"/>
    <w:rsid w:val="005C0D3B"/>
    <w:rsid w:val="005C41D5"/>
    <w:rsid w:val="005C77E1"/>
    <w:rsid w:val="005D6A2F"/>
    <w:rsid w:val="005E1A82"/>
    <w:rsid w:val="005E4E05"/>
    <w:rsid w:val="005E57D8"/>
    <w:rsid w:val="005E6089"/>
    <w:rsid w:val="005E794C"/>
    <w:rsid w:val="005F0A28"/>
    <w:rsid w:val="005F0E5E"/>
    <w:rsid w:val="00600535"/>
    <w:rsid w:val="0060270E"/>
    <w:rsid w:val="00602EC4"/>
    <w:rsid w:val="00606EBA"/>
    <w:rsid w:val="00610CD6"/>
    <w:rsid w:val="00611147"/>
    <w:rsid w:val="00613CF4"/>
    <w:rsid w:val="00616344"/>
    <w:rsid w:val="00620DEE"/>
    <w:rsid w:val="006219E0"/>
    <w:rsid w:val="00621F92"/>
    <w:rsid w:val="0062280A"/>
    <w:rsid w:val="00625639"/>
    <w:rsid w:val="006265D0"/>
    <w:rsid w:val="00631B33"/>
    <w:rsid w:val="006324D0"/>
    <w:rsid w:val="0064141F"/>
    <w:rsid w:val="0064184D"/>
    <w:rsid w:val="006422CC"/>
    <w:rsid w:val="00646502"/>
    <w:rsid w:val="00656347"/>
    <w:rsid w:val="00660E3E"/>
    <w:rsid w:val="00662E74"/>
    <w:rsid w:val="00663D7E"/>
    <w:rsid w:val="00670161"/>
    <w:rsid w:val="00672E56"/>
    <w:rsid w:val="006768D4"/>
    <w:rsid w:val="00680502"/>
    <w:rsid w:val="00680C23"/>
    <w:rsid w:val="00691EA1"/>
    <w:rsid w:val="00693766"/>
    <w:rsid w:val="00696FF7"/>
    <w:rsid w:val="00697D5C"/>
    <w:rsid w:val="006A3281"/>
    <w:rsid w:val="006A4201"/>
    <w:rsid w:val="006B0AFE"/>
    <w:rsid w:val="006B1F45"/>
    <w:rsid w:val="006B4888"/>
    <w:rsid w:val="006C0C25"/>
    <w:rsid w:val="006C1C09"/>
    <w:rsid w:val="006C2E45"/>
    <w:rsid w:val="006C359C"/>
    <w:rsid w:val="006C3DE0"/>
    <w:rsid w:val="006C5579"/>
    <w:rsid w:val="006C5ECD"/>
    <w:rsid w:val="006D0740"/>
    <w:rsid w:val="006D3E19"/>
    <w:rsid w:val="006D4A65"/>
    <w:rsid w:val="006D7DB0"/>
    <w:rsid w:val="006E4919"/>
    <w:rsid w:val="006E5A81"/>
    <w:rsid w:val="006E737D"/>
    <w:rsid w:val="006F69BB"/>
    <w:rsid w:val="006F6F98"/>
    <w:rsid w:val="007032C8"/>
    <w:rsid w:val="00711337"/>
    <w:rsid w:val="00720A24"/>
    <w:rsid w:val="00721AC4"/>
    <w:rsid w:val="0072361E"/>
    <w:rsid w:val="00732386"/>
    <w:rsid w:val="00732CA0"/>
    <w:rsid w:val="0073514D"/>
    <w:rsid w:val="0073711C"/>
    <w:rsid w:val="0074211A"/>
    <w:rsid w:val="007429DF"/>
    <w:rsid w:val="00743C56"/>
    <w:rsid w:val="007447F3"/>
    <w:rsid w:val="00745D07"/>
    <w:rsid w:val="0075212C"/>
    <w:rsid w:val="00752840"/>
    <w:rsid w:val="0075499F"/>
    <w:rsid w:val="00757069"/>
    <w:rsid w:val="00761506"/>
    <w:rsid w:val="007661C8"/>
    <w:rsid w:val="007704C5"/>
    <w:rsid w:val="0077098D"/>
    <w:rsid w:val="00772417"/>
    <w:rsid w:val="0077585B"/>
    <w:rsid w:val="00785D7A"/>
    <w:rsid w:val="00786053"/>
    <w:rsid w:val="00792643"/>
    <w:rsid w:val="007927A8"/>
    <w:rsid w:val="007931FA"/>
    <w:rsid w:val="007934F2"/>
    <w:rsid w:val="007A0969"/>
    <w:rsid w:val="007A25B9"/>
    <w:rsid w:val="007A34D1"/>
    <w:rsid w:val="007A4861"/>
    <w:rsid w:val="007A7BBA"/>
    <w:rsid w:val="007A7FEB"/>
    <w:rsid w:val="007B0C50"/>
    <w:rsid w:val="007C1A43"/>
    <w:rsid w:val="007C214B"/>
    <w:rsid w:val="007C3631"/>
    <w:rsid w:val="007D52C8"/>
    <w:rsid w:val="007D5973"/>
    <w:rsid w:val="007D5DDC"/>
    <w:rsid w:val="007E199E"/>
    <w:rsid w:val="0080013E"/>
    <w:rsid w:val="0080214D"/>
    <w:rsid w:val="00803011"/>
    <w:rsid w:val="008036DE"/>
    <w:rsid w:val="00813288"/>
    <w:rsid w:val="008168FC"/>
    <w:rsid w:val="00821640"/>
    <w:rsid w:val="00825D38"/>
    <w:rsid w:val="008302A9"/>
    <w:rsid w:val="00830996"/>
    <w:rsid w:val="008323A5"/>
    <w:rsid w:val="008345F1"/>
    <w:rsid w:val="008401D1"/>
    <w:rsid w:val="0085193C"/>
    <w:rsid w:val="008569AA"/>
    <w:rsid w:val="00856ADF"/>
    <w:rsid w:val="00860667"/>
    <w:rsid w:val="008607EB"/>
    <w:rsid w:val="00865B07"/>
    <w:rsid w:val="008667EA"/>
    <w:rsid w:val="00870750"/>
    <w:rsid w:val="008721B0"/>
    <w:rsid w:val="0087637F"/>
    <w:rsid w:val="00892AD5"/>
    <w:rsid w:val="008A1512"/>
    <w:rsid w:val="008A35BB"/>
    <w:rsid w:val="008B32D8"/>
    <w:rsid w:val="008B70F8"/>
    <w:rsid w:val="008C140B"/>
    <w:rsid w:val="008C6B7B"/>
    <w:rsid w:val="008D03DD"/>
    <w:rsid w:val="008D129C"/>
    <w:rsid w:val="008D2221"/>
    <w:rsid w:val="008D22C1"/>
    <w:rsid w:val="008D269A"/>
    <w:rsid w:val="008D32B9"/>
    <w:rsid w:val="008D433B"/>
    <w:rsid w:val="008E566E"/>
    <w:rsid w:val="008E6A47"/>
    <w:rsid w:val="008E7130"/>
    <w:rsid w:val="008F024F"/>
    <w:rsid w:val="008F477D"/>
    <w:rsid w:val="008F7D27"/>
    <w:rsid w:val="0090161A"/>
    <w:rsid w:val="00901EB6"/>
    <w:rsid w:val="009031CB"/>
    <w:rsid w:val="00904C62"/>
    <w:rsid w:val="009174C9"/>
    <w:rsid w:val="00917BFD"/>
    <w:rsid w:val="00921C55"/>
    <w:rsid w:val="00922289"/>
    <w:rsid w:val="00922BA8"/>
    <w:rsid w:val="00924DAC"/>
    <w:rsid w:val="00924DBF"/>
    <w:rsid w:val="00927058"/>
    <w:rsid w:val="00930199"/>
    <w:rsid w:val="009316CF"/>
    <w:rsid w:val="00935CED"/>
    <w:rsid w:val="00936ED9"/>
    <w:rsid w:val="00937D12"/>
    <w:rsid w:val="00942750"/>
    <w:rsid w:val="009450CE"/>
    <w:rsid w:val="0094655C"/>
    <w:rsid w:val="00947179"/>
    <w:rsid w:val="0095164B"/>
    <w:rsid w:val="00954090"/>
    <w:rsid w:val="009573E7"/>
    <w:rsid w:val="00957846"/>
    <w:rsid w:val="00963E05"/>
    <w:rsid w:val="009677EA"/>
    <w:rsid w:val="00967D54"/>
    <w:rsid w:val="00971028"/>
    <w:rsid w:val="00981D2F"/>
    <w:rsid w:val="009861E3"/>
    <w:rsid w:val="00995687"/>
    <w:rsid w:val="00995D89"/>
    <w:rsid w:val="00996483"/>
    <w:rsid w:val="00996A68"/>
    <w:rsid w:val="00996F5A"/>
    <w:rsid w:val="009A4C43"/>
    <w:rsid w:val="009B041A"/>
    <w:rsid w:val="009B24E0"/>
    <w:rsid w:val="009B2E3D"/>
    <w:rsid w:val="009B66D6"/>
    <w:rsid w:val="009B6778"/>
    <w:rsid w:val="009B7CCD"/>
    <w:rsid w:val="009C0592"/>
    <w:rsid w:val="009C37C3"/>
    <w:rsid w:val="009C7C86"/>
    <w:rsid w:val="009D148F"/>
    <w:rsid w:val="009D2872"/>
    <w:rsid w:val="009D2FF7"/>
    <w:rsid w:val="009D478A"/>
    <w:rsid w:val="009D4D12"/>
    <w:rsid w:val="009D58C0"/>
    <w:rsid w:val="009D6A6D"/>
    <w:rsid w:val="009D7343"/>
    <w:rsid w:val="009D7750"/>
    <w:rsid w:val="009E38B9"/>
    <w:rsid w:val="009E47AB"/>
    <w:rsid w:val="009E4AED"/>
    <w:rsid w:val="009E712A"/>
    <w:rsid w:val="009E7884"/>
    <w:rsid w:val="009E788A"/>
    <w:rsid w:val="009F0E08"/>
    <w:rsid w:val="009F3F61"/>
    <w:rsid w:val="00A14570"/>
    <w:rsid w:val="00A15632"/>
    <w:rsid w:val="00A1646E"/>
    <w:rsid w:val="00A16AB7"/>
    <w:rsid w:val="00A1763D"/>
    <w:rsid w:val="00A17CEC"/>
    <w:rsid w:val="00A27991"/>
    <w:rsid w:val="00A27EF0"/>
    <w:rsid w:val="00A30A96"/>
    <w:rsid w:val="00A36FDA"/>
    <w:rsid w:val="00A4281F"/>
    <w:rsid w:val="00A44E00"/>
    <w:rsid w:val="00A4756D"/>
    <w:rsid w:val="00A50B20"/>
    <w:rsid w:val="00A51390"/>
    <w:rsid w:val="00A54770"/>
    <w:rsid w:val="00A60D13"/>
    <w:rsid w:val="00A61A97"/>
    <w:rsid w:val="00A72745"/>
    <w:rsid w:val="00A74E94"/>
    <w:rsid w:val="00A75517"/>
    <w:rsid w:val="00A76EFC"/>
    <w:rsid w:val="00A8163C"/>
    <w:rsid w:val="00A83CA0"/>
    <w:rsid w:val="00A91010"/>
    <w:rsid w:val="00A97F29"/>
    <w:rsid w:val="00AA150D"/>
    <w:rsid w:val="00AA546A"/>
    <w:rsid w:val="00AA702E"/>
    <w:rsid w:val="00AB02E3"/>
    <w:rsid w:val="00AB0964"/>
    <w:rsid w:val="00AB5011"/>
    <w:rsid w:val="00AB5E6C"/>
    <w:rsid w:val="00AB613B"/>
    <w:rsid w:val="00AC26DB"/>
    <w:rsid w:val="00AC7368"/>
    <w:rsid w:val="00AD09F3"/>
    <w:rsid w:val="00AD16B9"/>
    <w:rsid w:val="00AE1E73"/>
    <w:rsid w:val="00AE377D"/>
    <w:rsid w:val="00AF3544"/>
    <w:rsid w:val="00AF7A5B"/>
    <w:rsid w:val="00B02C8A"/>
    <w:rsid w:val="00B03465"/>
    <w:rsid w:val="00B0486B"/>
    <w:rsid w:val="00B10F17"/>
    <w:rsid w:val="00B15543"/>
    <w:rsid w:val="00B17371"/>
    <w:rsid w:val="00B17FBD"/>
    <w:rsid w:val="00B210AC"/>
    <w:rsid w:val="00B2720D"/>
    <w:rsid w:val="00B315A6"/>
    <w:rsid w:val="00B31813"/>
    <w:rsid w:val="00B32039"/>
    <w:rsid w:val="00B332BB"/>
    <w:rsid w:val="00B33365"/>
    <w:rsid w:val="00B36F57"/>
    <w:rsid w:val="00B404D4"/>
    <w:rsid w:val="00B50B81"/>
    <w:rsid w:val="00B51090"/>
    <w:rsid w:val="00B57B36"/>
    <w:rsid w:val="00B679FF"/>
    <w:rsid w:val="00B72EC1"/>
    <w:rsid w:val="00B7385A"/>
    <w:rsid w:val="00B769BE"/>
    <w:rsid w:val="00B820E4"/>
    <w:rsid w:val="00B85A2F"/>
    <w:rsid w:val="00B8686D"/>
    <w:rsid w:val="00B906C2"/>
    <w:rsid w:val="00B93412"/>
    <w:rsid w:val="00B95ED2"/>
    <w:rsid w:val="00BB1DDC"/>
    <w:rsid w:val="00BC30C9"/>
    <w:rsid w:val="00BC3FF3"/>
    <w:rsid w:val="00BE3E58"/>
    <w:rsid w:val="00BE4D00"/>
    <w:rsid w:val="00BE54AF"/>
    <w:rsid w:val="00BF542D"/>
    <w:rsid w:val="00BF655B"/>
    <w:rsid w:val="00C01616"/>
    <w:rsid w:val="00C0162B"/>
    <w:rsid w:val="00C068ED"/>
    <w:rsid w:val="00C12455"/>
    <w:rsid w:val="00C12575"/>
    <w:rsid w:val="00C16299"/>
    <w:rsid w:val="00C32500"/>
    <w:rsid w:val="00C345B1"/>
    <w:rsid w:val="00C3510E"/>
    <w:rsid w:val="00C40142"/>
    <w:rsid w:val="00C41510"/>
    <w:rsid w:val="00C53DA7"/>
    <w:rsid w:val="00C55977"/>
    <w:rsid w:val="00C57182"/>
    <w:rsid w:val="00C57863"/>
    <w:rsid w:val="00C64382"/>
    <w:rsid w:val="00C655FD"/>
    <w:rsid w:val="00C75407"/>
    <w:rsid w:val="00C81A45"/>
    <w:rsid w:val="00C82476"/>
    <w:rsid w:val="00C82C3A"/>
    <w:rsid w:val="00C84FBD"/>
    <w:rsid w:val="00C870A8"/>
    <w:rsid w:val="00C871CC"/>
    <w:rsid w:val="00C902D0"/>
    <w:rsid w:val="00C91CAC"/>
    <w:rsid w:val="00C938B4"/>
    <w:rsid w:val="00C94434"/>
    <w:rsid w:val="00C96FB0"/>
    <w:rsid w:val="00C97C6A"/>
    <w:rsid w:val="00CA0D75"/>
    <w:rsid w:val="00CA1C95"/>
    <w:rsid w:val="00CA580D"/>
    <w:rsid w:val="00CA5A9C"/>
    <w:rsid w:val="00CA6DE6"/>
    <w:rsid w:val="00CB7AB6"/>
    <w:rsid w:val="00CC4C20"/>
    <w:rsid w:val="00CD2E7C"/>
    <w:rsid w:val="00CD3517"/>
    <w:rsid w:val="00CD53F7"/>
    <w:rsid w:val="00CD5FE2"/>
    <w:rsid w:val="00CE0908"/>
    <w:rsid w:val="00CE3248"/>
    <w:rsid w:val="00CE7C68"/>
    <w:rsid w:val="00D02B4C"/>
    <w:rsid w:val="00D040C4"/>
    <w:rsid w:val="00D150AE"/>
    <w:rsid w:val="00D1579B"/>
    <w:rsid w:val="00D16828"/>
    <w:rsid w:val="00D21E76"/>
    <w:rsid w:val="00D26BAC"/>
    <w:rsid w:val="00D31C78"/>
    <w:rsid w:val="00D3255C"/>
    <w:rsid w:val="00D336F7"/>
    <w:rsid w:val="00D42D2A"/>
    <w:rsid w:val="00D43E4B"/>
    <w:rsid w:val="00D46F87"/>
    <w:rsid w:val="00D508D5"/>
    <w:rsid w:val="00D57C84"/>
    <w:rsid w:val="00D6057D"/>
    <w:rsid w:val="00D62C37"/>
    <w:rsid w:val="00D644C5"/>
    <w:rsid w:val="00D679E3"/>
    <w:rsid w:val="00D67DC8"/>
    <w:rsid w:val="00D74B2E"/>
    <w:rsid w:val="00D82CA9"/>
    <w:rsid w:val="00D836C5"/>
    <w:rsid w:val="00D83F2D"/>
    <w:rsid w:val="00D84576"/>
    <w:rsid w:val="00D87C47"/>
    <w:rsid w:val="00D94D97"/>
    <w:rsid w:val="00DA1399"/>
    <w:rsid w:val="00DA24C6"/>
    <w:rsid w:val="00DA4D7B"/>
    <w:rsid w:val="00DA58D8"/>
    <w:rsid w:val="00DB6599"/>
    <w:rsid w:val="00DB7404"/>
    <w:rsid w:val="00DC1768"/>
    <w:rsid w:val="00DC255C"/>
    <w:rsid w:val="00DC26AB"/>
    <w:rsid w:val="00DC368A"/>
    <w:rsid w:val="00DC4D54"/>
    <w:rsid w:val="00DC74EE"/>
    <w:rsid w:val="00DD074F"/>
    <w:rsid w:val="00DD1FE4"/>
    <w:rsid w:val="00DD3B7D"/>
    <w:rsid w:val="00DD77DB"/>
    <w:rsid w:val="00DE0DB1"/>
    <w:rsid w:val="00DE264A"/>
    <w:rsid w:val="00DE4B5D"/>
    <w:rsid w:val="00DE7707"/>
    <w:rsid w:val="00DE7B53"/>
    <w:rsid w:val="00DF0649"/>
    <w:rsid w:val="00DF5072"/>
    <w:rsid w:val="00E02D18"/>
    <w:rsid w:val="00E041E7"/>
    <w:rsid w:val="00E04C75"/>
    <w:rsid w:val="00E128A4"/>
    <w:rsid w:val="00E23CA1"/>
    <w:rsid w:val="00E3119C"/>
    <w:rsid w:val="00E409A8"/>
    <w:rsid w:val="00E4207E"/>
    <w:rsid w:val="00E4669D"/>
    <w:rsid w:val="00E46D82"/>
    <w:rsid w:val="00E5080B"/>
    <w:rsid w:val="00E50C12"/>
    <w:rsid w:val="00E56D33"/>
    <w:rsid w:val="00E57696"/>
    <w:rsid w:val="00E656D4"/>
    <w:rsid w:val="00E65B91"/>
    <w:rsid w:val="00E66BF1"/>
    <w:rsid w:val="00E7209D"/>
    <w:rsid w:val="00E72E0B"/>
    <w:rsid w:val="00E77223"/>
    <w:rsid w:val="00E807C8"/>
    <w:rsid w:val="00E81F54"/>
    <w:rsid w:val="00E8528B"/>
    <w:rsid w:val="00E85B94"/>
    <w:rsid w:val="00E959B7"/>
    <w:rsid w:val="00E96014"/>
    <w:rsid w:val="00E978D0"/>
    <w:rsid w:val="00EA4613"/>
    <w:rsid w:val="00EA684E"/>
    <w:rsid w:val="00EA7F91"/>
    <w:rsid w:val="00EB1523"/>
    <w:rsid w:val="00EB21AD"/>
    <w:rsid w:val="00EB4FCA"/>
    <w:rsid w:val="00EC0E49"/>
    <w:rsid w:val="00EC101F"/>
    <w:rsid w:val="00EC4CEE"/>
    <w:rsid w:val="00EC5F63"/>
    <w:rsid w:val="00ED42E0"/>
    <w:rsid w:val="00ED54F2"/>
    <w:rsid w:val="00ED7BA2"/>
    <w:rsid w:val="00EE0131"/>
    <w:rsid w:val="00EE17B0"/>
    <w:rsid w:val="00EE27BD"/>
    <w:rsid w:val="00EE3F3D"/>
    <w:rsid w:val="00EE4C61"/>
    <w:rsid w:val="00EE5588"/>
    <w:rsid w:val="00EE7446"/>
    <w:rsid w:val="00EE76C7"/>
    <w:rsid w:val="00EF06D9"/>
    <w:rsid w:val="00EF3A2B"/>
    <w:rsid w:val="00EF4B9F"/>
    <w:rsid w:val="00EF56F5"/>
    <w:rsid w:val="00EF6C1A"/>
    <w:rsid w:val="00F02900"/>
    <w:rsid w:val="00F30C64"/>
    <w:rsid w:val="00F32CDB"/>
    <w:rsid w:val="00F47A01"/>
    <w:rsid w:val="00F50D71"/>
    <w:rsid w:val="00F50E8D"/>
    <w:rsid w:val="00F53E23"/>
    <w:rsid w:val="00F57737"/>
    <w:rsid w:val="00F61E1D"/>
    <w:rsid w:val="00F62A5B"/>
    <w:rsid w:val="00F63A70"/>
    <w:rsid w:val="00F66427"/>
    <w:rsid w:val="00F71D33"/>
    <w:rsid w:val="00F72674"/>
    <w:rsid w:val="00F739AD"/>
    <w:rsid w:val="00F7439D"/>
    <w:rsid w:val="00F7617C"/>
    <w:rsid w:val="00F7629B"/>
    <w:rsid w:val="00F874D2"/>
    <w:rsid w:val="00F912EA"/>
    <w:rsid w:val="00F915CC"/>
    <w:rsid w:val="00FA0B08"/>
    <w:rsid w:val="00FA21D0"/>
    <w:rsid w:val="00FA272F"/>
    <w:rsid w:val="00FA5F5F"/>
    <w:rsid w:val="00FB314A"/>
    <w:rsid w:val="00FB3F7D"/>
    <w:rsid w:val="00FB68E8"/>
    <w:rsid w:val="00FB730C"/>
    <w:rsid w:val="00FC1681"/>
    <w:rsid w:val="00FC2695"/>
    <w:rsid w:val="00FC3E03"/>
    <w:rsid w:val="00FC3FC1"/>
    <w:rsid w:val="00FD2FE1"/>
    <w:rsid w:val="00FD59B8"/>
    <w:rsid w:val="00FD6358"/>
    <w:rsid w:val="00FD7315"/>
    <w:rsid w:val="00FE687F"/>
    <w:rsid w:val="00FF1AE0"/>
    <w:rsid w:val="00FF5637"/>
    <w:rsid w:val="00FF669F"/>
    <w:rsid w:val="00FF6CC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BF655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BF65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7538">
      <w:bodyDiv w:val="1"/>
      <w:marLeft w:val="0"/>
      <w:marRight w:val="0"/>
      <w:marTop w:val="0"/>
      <w:marBottom w:val="0"/>
      <w:divBdr>
        <w:top w:val="none" w:sz="0" w:space="0" w:color="auto"/>
        <w:left w:val="none" w:sz="0" w:space="0" w:color="auto"/>
        <w:bottom w:val="none" w:sz="0" w:space="0" w:color="auto"/>
        <w:right w:val="none" w:sz="0" w:space="0" w:color="auto"/>
      </w:divBdr>
    </w:div>
    <w:div w:id="5493432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320A6193EE7646A3E1232F80C7AAFA" ma:contentTypeVersion="15" ma:contentTypeDescription="Create a new document." ma:contentTypeScope="" ma:versionID="fc70e36f54fc1cd67b605ac08c80cbb9">
  <xsd:schema xmlns:xsd="http://www.w3.org/2001/XMLSchema" xmlns:xs="http://www.w3.org/2001/XMLSchema" xmlns:p="http://schemas.microsoft.com/office/2006/metadata/properties" xmlns:ns1="http://schemas.microsoft.com/sharepoint/v3" xmlns:ns3="e9a90c27-ae1b-4fb2-9a63-9b09d313cc89" xmlns:ns4="65b17cf8-a786-43a6-bccd-28f7c5a31be1" targetNamespace="http://schemas.microsoft.com/office/2006/metadata/properties" ma:root="true" ma:fieldsID="913f7a1d3fa1893b001365afbd1a65ee" ns1:_="" ns3:_="" ns4:_="">
    <xsd:import namespace="http://schemas.microsoft.com/sharepoint/v3"/>
    <xsd:import namespace="e9a90c27-ae1b-4fb2-9a63-9b09d313cc89"/>
    <xsd:import namespace="65b17cf8-a786-43a6-bccd-28f7c5a31be1"/>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90c27-ae1b-4fb2-9a63-9b09d313c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17cf8-a786-43a6-bccd-28f7c5a31b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1B752-0AF3-474B-A921-3DCF30C6E73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9FCB511-723F-4A57-A62C-80DBD9F1E9C9}">
  <ds:schemaRefs>
    <ds:schemaRef ds:uri="http://schemas.microsoft.com/sharepoint/v3/contenttype/forms"/>
  </ds:schemaRefs>
</ds:datastoreItem>
</file>

<file path=customXml/itemProps3.xml><?xml version="1.0" encoding="utf-8"?>
<ds:datastoreItem xmlns:ds="http://schemas.openxmlformats.org/officeDocument/2006/customXml" ds:itemID="{0EBB9A86-7BFB-43BD-8339-BF1F6D3BF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a90c27-ae1b-4fb2-9a63-9b09d313cc89"/>
    <ds:schemaRef ds:uri="65b17cf8-a786-43a6-bccd-28f7c5a31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C982B-3969-49CF-A2AF-F7D551A3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12572</Words>
  <Characters>71665</Characters>
  <Application>Microsoft Office Word</Application>
  <DocSecurity>0</DocSecurity>
  <Lines>597</Lines>
  <Paragraphs>168</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Dipartimento CMIC - Politecnico di Milano</Company>
  <LinksUpToDate>false</LinksUpToDate>
  <CharactersWithSpaces>84069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55</cp:revision>
  <cp:lastPrinted>2015-05-12T18:31:00Z</cp:lastPrinted>
  <dcterms:created xsi:type="dcterms:W3CDTF">2020-04-13T16:06:00Z</dcterms:created>
  <dcterms:modified xsi:type="dcterms:W3CDTF">2020-08-31T10:14:00Z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http://www.zotero.org/styles/chicago-author-date</vt:lpwstr>
  </property>
  <property fmtid="{D5CDD505-2E9C-101B-9397-08002B2CF9AE}" pid="7" name="Mendeley Recent Style Name 1_1">
    <vt:lpwstr>Chicago Manual of Style 17th edition (author-date)</vt:lpwstr>
  </property>
  <property fmtid="{D5CDD505-2E9C-101B-9397-08002B2CF9AE}" pid="8" name="Mendeley Recent Style Id 2_1">
    <vt:lpwstr>http://www.zotero.org/styles/chicago-fullnote-bibliography</vt:lpwstr>
  </property>
  <property fmtid="{D5CDD505-2E9C-101B-9397-08002B2CF9AE}" pid="9" name="Mendeley Recent Style Name 2_1">
    <vt:lpwstr>Chicago Manual of Style 17th edition (full note)</vt:lpwstr>
  </property>
  <property fmtid="{D5CDD505-2E9C-101B-9397-08002B2CF9AE}" pid="10" name="Mendeley Recent Style Id 3_1">
    <vt:lpwstr>http://www.zotero.org/styles/chicago-note-bibliography</vt:lpwstr>
  </property>
  <property fmtid="{D5CDD505-2E9C-101B-9397-08002B2CF9AE}" pid="11" name="Mendeley Recent Style Name 3_1">
    <vt:lpwstr>Chicago Manual of Style 17th edition (note)</vt:lpwstr>
  </property>
  <property fmtid="{D5CDD505-2E9C-101B-9397-08002B2CF9AE}" pid="12" name="Mendeley Recent Style Id 4_1">
    <vt:lpwstr>http://www.zotero.org/styles/modern-humanities-research-association</vt:lpwstr>
  </property>
  <property fmtid="{D5CDD505-2E9C-101B-9397-08002B2CF9AE}" pid="13" name="Mendeley Recent Style Name 4_1">
    <vt:lpwstr>Modern Humanities Research Association 3rd edition (note with bibliography)</vt:lpwstr>
  </property>
  <property fmtid="{D5CDD505-2E9C-101B-9397-08002B2CF9AE}" pid="14" name="Mendeley Recent Style Id 5_1">
    <vt:lpwstr>http://www.zotero.org/styles/modern-language-association</vt:lpwstr>
  </property>
  <property fmtid="{D5CDD505-2E9C-101B-9397-08002B2CF9AE}" pid="15" name="Mendeley Recent Style Name 5_1">
    <vt:lpwstr>Modern Language Association 8th edition</vt:lpwstr>
  </property>
  <property fmtid="{D5CDD505-2E9C-101B-9397-08002B2CF9AE}" pid="16" name="Mendeley Recent Style Id 6_1">
    <vt:lpwstr>http://www.zotero.org/styles/reliability-engineering-and-system-safety</vt:lpwstr>
  </property>
  <property fmtid="{D5CDD505-2E9C-101B-9397-08002B2CF9AE}" pid="17" name="Mendeley Recent Style Name 6_1">
    <vt:lpwstr>Reliability Engineering and System Safety</vt:lpwstr>
  </property>
  <property fmtid="{D5CDD505-2E9C-101B-9397-08002B2CF9AE}" pid="18" name="Mendeley Recent Style Id 7_1">
    <vt:lpwstr>http://www.zotero.org/styles/safety-science</vt:lpwstr>
  </property>
  <property fmtid="{D5CDD505-2E9C-101B-9397-08002B2CF9AE}" pid="19" name="Mendeley Recent Style Name 7_1">
    <vt:lpwstr>Safety Science</vt:lpwstr>
  </property>
  <property fmtid="{D5CDD505-2E9C-101B-9397-08002B2CF9AE}" pid="20" name="Mendeley Recent Style Id 8_1">
    <vt:lpwstr>http://www.zotero.org/styles/sustainability</vt:lpwstr>
  </property>
  <property fmtid="{D5CDD505-2E9C-101B-9397-08002B2CF9AE}" pid="21" name="Mendeley Recent Style Name 8_1">
    <vt:lpwstr>Sustainability</vt:lpwstr>
  </property>
  <property fmtid="{D5CDD505-2E9C-101B-9397-08002B2CF9AE}" pid="22" name="Mendeley Recent Style Id 9_1">
    <vt:lpwstr>http://www.zotero.org/styles/taylor-and-francis-chicago-author-date</vt:lpwstr>
  </property>
  <property fmtid="{D5CDD505-2E9C-101B-9397-08002B2CF9AE}" pid="23" name="Mendeley Recent Style Name 9_1">
    <vt:lpwstr>Taylor &amp; Francis - Chicago Manual of Style (author-date)</vt:lpwstr>
  </property>
  <property fmtid="{D5CDD505-2E9C-101B-9397-08002B2CF9AE}" pid="24" name="Mendeley Document_1">
    <vt:lpwstr>True</vt:lpwstr>
  </property>
  <property fmtid="{D5CDD505-2E9C-101B-9397-08002B2CF9AE}" pid="25" name="ContentTypeId">
    <vt:lpwstr>0x010100F3320A6193EE7646A3E1232F80C7AAFA</vt:lpwstr>
  </property>
  <property fmtid="{D5CDD505-2E9C-101B-9397-08002B2CF9AE}" pid="26" name="Mendeley Unique User Id_1">
    <vt:lpwstr>2644ce0b-a2e8-3090-bcfc-c904502dd44f</vt:lpwstr>
  </property>
  <property fmtid="{D5CDD505-2E9C-101B-9397-08002B2CF9AE}" pid="27" name="Mendeley Citation Style_1">
    <vt:lpwstr>http://www.zotero.org/styles/safety-science</vt:lpwstr>
  </property>
</Properties>
</file>