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F20BB6" w14:paraId="7126D31B" w14:textId="77777777" w:rsidTr="00F20BB6">
        <w:trPr>
          <w:trHeight w:val="852"/>
          <w:jc w:val="center"/>
        </w:trPr>
        <w:tc>
          <w:tcPr>
            <w:tcW w:w="6946" w:type="dxa"/>
            <w:vMerge w:val="restart"/>
            <w:tcBorders>
              <w:top w:val="nil"/>
              <w:left w:val="nil"/>
              <w:bottom w:val="nil"/>
              <w:right w:val="single" w:sz="4" w:space="0" w:color="auto"/>
            </w:tcBorders>
            <w:hideMark/>
          </w:tcPr>
          <w:p w14:paraId="4BC89EA8" w14:textId="6684B8A3" w:rsidR="00F20BB6" w:rsidRDefault="00F20BB6" w:rsidP="005C0FE9">
            <w:pPr>
              <w:tabs>
                <w:tab w:val="left" w:pos="-108"/>
              </w:tabs>
              <w:ind w:left="-108"/>
              <w:jc w:val="left"/>
              <w:rPr>
                <w:rFonts w:cs="Arial"/>
                <w:b/>
                <w:bCs/>
                <w:i/>
                <w:iCs/>
                <w:color w:val="000066"/>
                <w:sz w:val="12"/>
                <w:szCs w:val="12"/>
                <w:lang w:eastAsia="it-IT"/>
              </w:rPr>
            </w:pPr>
            <w:bookmarkStart w:id="0" w:name="_Hlk48826247"/>
            <w:r>
              <w:rPr>
                <w:rFonts w:ascii="AdvP6960" w:hAnsi="AdvP6960" w:cs="AdvP6960"/>
                <w:noProof/>
                <w:color w:val="241F20"/>
                <w:szCs w:val="18"/>
                <w:lang w:val="it-IT" w:eastAsia="it-IT"/>
              </w:rPr>
              <w:drawing>
                <wp:inline distT="0" distB="0" distL="0" distR="0" wp14:anchorId="5C57E94C" wp14:editId="52D8E98D">
                  <wp:extent cx="638175" cy="371475"/>
                  <wp:effectExtent l="0" t="0" r="9525" b="9525"/>
                  <wp:docPr id="7" name="Immagine 7"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6A7B60BB" w14:textId="77777777" w:rsidR="00F20BB6" w:rsidRDefault="00F20BB6" w:rsidP="005C0FE9">
            <w:pPr>
              <w:tabs>
                <w:tab w:val="left" w:pos="-108"/>
              </w:tabs>
              <w:ind w:left="-108"/>
              <w:rPr>
                <w:rFonts w:cs="Arial"/>
                <w:b/>
                <w:bCs/>
                <w:i/>
                <w:iCs/>
                <w:color w:val="000066"/>
                <w:sz w:val="22"/>
                <w:szCs w:val="22"/>
                <w:lang w:val="en-US"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1A3ACDA3" w14:textId="77777777" w:rsidR="00F20BB6" w:rsidRDefault="00F20BB6" w:rsidP="005C0FE9">
            <w:pPr>
              <w:jc w:val="right"/>
              <w:rPr>
                <w:rFonts w:cs="Arial"/>
                <w:sz w:val="14"/>
                <w:szCs w:val="14"/>
              </w:rPr>
            </w:pPr>
            <w:r>
              <w:rPr>
                <w:rFonts w:cs="Arial"/>
                <w:sz w:val="14"/>
                <w:szCs w:val="14"/>
              </w:rPr>
              <w:t>A publication of</w:t>
            </w:r>
          </w:p>
          <w:p w14:paraId="5CEFA8AD" w14:textId="200EE31E" w:rsidR="00F20BB6" w:rsidRDefault="00F20BB6" w:rsidP="005C0FE9">
            <w:pPr>
              <w:jc w:val="right"/>
            </w:pPr>
            <w:r>
              <w:rPr>
                <w:noProof/>
                <w:lang w:val="it-IT" w:eastAsia="it-IT"/>
              </w:rPr>
              <w:drawing>
                <wp:inline distT="0" distB="0" distL="0" distR="0" wp14:anchorId="339DE78B" wp14:editId="2B9F79C2">
                  <wp:extent cx="666750" cy="361950"/>
                  <wp:effectExtent l="0" t="0" r="0" b="0"/>
                  <wp:docPr id="1" name="Immagine 1"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F20BB6" w14:paraId="6AD6B383" w14:textId="77777777" w:rsidTr="00F20BB6">
        <w:trPr>
          <w:trHeight w:val="567"/>
          <w:jc w:val="center"/>
        </w:trPr>
        <w:tc>
          <w:tcPr>
            <w:tcW w:w="0" w:type="auto"/>
            <w:vMerge/>
            <w:tcBorders>
              <w:top w:val="nil"/>
              <w:left w:val="nil"/>
              <w:bottom w:val="nil"/>
              <w:right w:val="single" w:sz="4" w:space="0" w:color="auto"/>
            </w:tcBorders>
            <w:vAlign w:val="center"/>
            <w:hideMark/>
          </w:tcPr>
          <w:p w14:paraId="797D9FFA" w14:textId="77777777" w:rsidR="00F20BB6" w:rsidRDefault="00F20BB6" w:rsidP="005C0FE9">
            <w:pPr>
              <w:tabs>
                <w:tab w:val="clear" w:pos="7100"/>
              </w:tabs>
              <w:jc w:val="left"/>
              <w:rPr>
                <w:rFonts w:cs="Arial"/>
                <w:b/>
                <w:bCs/>
                <w:i/>
                <w:iCs/>
                <w:color w:val="000066"/>
                <w:sz w:val="22"/>
                <w:szCs w:val="22"/>
                <w:lang w:val="en-US" w:eastAsia="it-IT"/>
              </w:rPr>
            </w:pPr>
          </w:p>
        </w:tc>
        <w:tc>
          <w:tcPr>
            <w:tcW w:w="1843" w:type="dxa"/>
            <w:tcBorders>
              <w:top w:val="nil"/>
              <w:left w:val="single" w:sz="4" w:space="0" w:color="auto"/>
              <w:bottom w:val="nil"/>
              <w:right w:val="single" w:sz="4" w:space="0" w:color="auto"/>
            </w:tcBorders>
            <w:hideMark/>
          </w:tcPr>
          <w:p w14:paraId="636F2CAF" w14:textId="77777777" w:rsidR="00F20BB6" w:rsidRDefault="00F20BB6" w:rsidP="005C0FE9">
            <w:pPr>
              <w:jc w:val="right"/>
              <w:rPr>
                <w:rFonts w:cs="Arial"/>
                <w:sz w:val="14"/>
                <w:szCs w:val="14"/>
              </w:rPr>
            </w:pPr>
            <w:r>
              <w:rPr>
                <w:rFonts w:cs="Arial"/>
                <w:sz w:val="14"/>
                <w:szCs w:val="14"/>
              </w:rPr>
              <w:t>The Italian Association</w:t>
            </w:r>
          </w:p>
          <w:p w14:paraId="3B1220F2" w14:textId="77777777" w:rsidR="00F20BB6" w:rsidRDefault="00F20BB6" w:rsidP="005C0FE9">
            <w:pPr>
              <w:jc w:val="right"/>
              <w:rPr>
                <w:rFonts w:cs="Arial"/>
                <w:sz w:val="14"/>
                <w:szCs w:val="14"/>
              </w:rPr>
            </w:pPr>
            <w:r>
              <w:rPr>
                <w:rFonts w:cs="Arial"/>
                <w:sz w:val="14"/>
                <w:szCs w:val="14"/>
              </w:rPr>
              <w:t>of Chemical Engineering</w:t>
            </w:r>
          </w:p>
          <w:p w14:paraId="4186C8EB" w14:textId="77777777" w:rsidR="00F20BB6" w:rsidRDefault="00F20BB6" w:rsidP="005C0FE9">
            <w:pPr>
              <w:jc w:val="right"/>
              <w:rPr>
                <w:rFonts w:cs="Arial"/>
                <w:sz w:val="13"/>
                <w:szCs w:val="13"/>
              </w:rPr>
            </w:pPr>
            <w:r>
              <w:rPr>
                <w:rFonts w:cs="Arial"/>
                <w:sz w:val="13"/>
                <w:szCs w:val="13"/>
              </w:rPr>
              <w:t>Online at www.cetjournal.it</w:t>
            </w:r>
          </w:p>
        </w:tc>
      </w:tr>
      <w:tr w:rsidR="00F20BB6" w14:paraId="61F0F9FC" w14:textId="77777777" w:rsidTr="00F20BB6">
        <w:trPr>
          <w:trHeight w:val="68"/>
          <w:jc w:val="center"/>
        </w:trPr>
        <w:tc>
          <w:tcPr>
            <w:tcW w:w="8789" w:type="dxa"/>
            <w:gridSpan w:val="2"/>
            <w:tcBorders>
              <w:top w:val="nil"/>
              <w:left w:val="nil"/>
              <w:bottom w:val="single" w:sz="4" w:space="0" w:color="auto"/>
              <w:right w:val="nil"/>
            </w:tcBorders>
            <w:hideMark/>
          </w:tcPr>
          <w:p w14:paraId="49B1A81E" w14:textId="77777777" w:rsidR="00F20BB6" w:rsidRDefault="00F20BB6" w:rsidP="005C0FE9">
            <w:pPr>
              <w:ind w:left="-107"/>
              <w:rPr>
                <w:rFonts w:ascii="Times New Roman" w:hAnsi="Times New Roman"/>
                <w:sz w:val="24"/>
                <w:szCs w:val="24"/>
                <w:lang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3F8B66BB" w14:textId="77777777" w:rsidR="00F20BB6" w:rsidRDefault="00F20BB6" w:rsidP="005C0FE9">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bookmarkEnd w:id="0"/>
      </w:tr>
    </w:tbl>
    <w:p w14:paraId="10DAA130" w14:textId="77777777" w:rsidR="000A03B2" w:rsidRPr="00B57B36" w:rsidRDefault="000A03B2" w:rsidP="005C0FE9">
      <w:pPr>
        <w:pStyle w:val="CETAuthors"/>
        <w:sectPr w:rsidR="000A03B2" w:rsidRPr="00B57B36" w:rsidSect="00CD5FE2">
          <w:type w:val="continuous"/>
          <w:pgSz w:w="11906" w:h="16838" w:code="9"/>
          <w:pgMar w:top="1701" w:right="1418" w:bottom="1701" w:left="1701" w:header="1701" w:footer="0" w:gutter="0"/>
          <w:cols w:space="708"/>
          <w:titlePg/>
          <w:docGrid w:linePitch="360"/>
        </w:sectPr>
      </w:pPr>
    </w:p>
    <w:p w14:paraId="2E667253" w14:textId="2A41F50F" w:rsidR="00E978D0" w:rsidRPr="005C0FE9" w:rsidRDefault="00C16F39" w:rsidP="005C0FE9">
      <w:pPr>
        <w:pStyle w:val="CETTitle"/>
      </w:pPr>
      <w:r w:rsidRPr="005C0FE9">
        <w:lastRenderedPageBreak/>
        <w:t>On the Prediction of the Ignition Delay Time of Bio-Syngas</w:t>
      </w:r>
    </w:p>
    <w:p w14:paraId="65298495" w14:textId="096650C8" w:rsidR="00C16F39" w:rsidRPr="00C16F39" w:rsidRDefault="00C16F39" w:rsidP="005C0FE9">
      <w:pPr>
        <w:pStyle w:val="CETAuthors"/>
        <w:rPr>
          <w:vertAlign w:val="superscript"/>
          <w:lang w:val="it-IT"/>
        </w:rPr>
      </w:pPr>
      <w:r w:rsidRPr="00C16F39">
        <w:rPr>
          <w:lang w:val="it-IT"/>
        </w:rPr>
        <w:t>Gianmaria P</w:t>
      </w:r>
      <w:r w:rsidR="00B87070">
        <w:rPr>
          <w:lang w:val="it-IT"/>
        </w:rPr>
        <w:t>io</w:t>
      </w:r>
      <w:r w:rsidRPr="00C16F39">
        <w:rPr>
          <w:lang w:val="it-IT"/>
        </w:rPr>
        <w:t>, Fekadu Mosisa W</w:t>
      </w:r>
      <w:r w:rsidR="00B87070">
        <w:rPr>
          <w:lang w:val="it-IT"/>
        </w:rPr>
        <w:t>ako</w:t>
      </w:r>
      <w:r w:rsidRPr="00C16F39">
        <w:rPr>
          <w:lang w:val="it-IT"/>
        </w:rPr>
        <w:t>, Ernesto S</w:t>
      </w:r>
      <w:r w:rsidR="00B87070">
        <w:rPr>
          <w:lang w:val="it-IT"/>
        </w:rPr>
        <w:t>alzano</w:t>
      </w:r>
      <w:r w:rsidRPr="00C16F39">
        <w:rPr>
          <w:vertAlign w:val="superscript"/>
          <w:lang w:val="it-IT"/>
        </w:rPr>
        <w:t>*</w:t>
      </w:r>
    </w:p>
    <w:p w14:paraId="257EE3AE" w14:textId="3BCCBA8C" w:rsidR="00C16F39" w:rsidRPr="009E1D77" w:rsidRDefault="00C16F39" w:rsidP="005C0FE9">
      <w:pPr>
        <w:pStyle w:val="CETAddress"/>
        <w:spacing w:line="264" w:lineRule="auto"/>
      </w:pPr>
      <w:r w:rsidRPr="009E1D77">
        <w:t>Department of Civil, Chemical, Environmental, and Materials Engineering, University of Bologna, Via Terracini 28, 40131 Bologna, Italy</w:t>
      </w:r>
    </w:p>
    <w:p w14:paraId="0127A28D" w14:textId="1706F561" w:rsidR="00E978D0" w:rsidRPr="00C16F39" w:rsidRDefault="00C16F39" w:rsidP="005C0FE9">
      <w:pPr>
        <w:pStyle w:val="CETemail"/>
        <w:spacing w:line="264" w:lineRule="auto"/>
        <w:rPr>
          <w:rFonts w:eastAsiaTheme="majorEastAsia"/>
          <w:color w:val="0000FF" w:themeColor="hyperlink"/>
          <w:u w:val="single"/>
        </w:rPr>
      </w:pPr>
      <w:r w:rsidRPr="009E1D77">
        <w:t>ernesto.salzano@unibo.it</w:t>
      </w:r>
    </w:p>
    <w:p w14:paraId="29A7BF1E" w14:textId="77777777" w:rsidR="00C16F39" w:rsidRPr="009E1D77" w:rsidRDefault="00C16F39" w:rsidP="005C0FE9">
      <w:pPr>
        <w:rPr>
          <w:rFonts w:cs="Arial"/>
          <w:szCs w:val="18"/>
          <w:lang w:val="en-US"/>
        </w:rPr>
      </w:pPr>
      <w:r w:rsidRPr="009E1D77">
        <w:rPr>
          <w:rFonts w:cs="Arial"/>
          <w:szCs w:val="18"/>
          <w:lang w:val="en-US"/>
        </w:rPr>
        <w:t>The growing energy demand and more stringent environmental regulations have raised concerns about the production and use of alternative fuels. Due to the potential application of the resulting gaseous streams in turbines as an energy source, slow pyrolysis of biomass including municipal waste have been extensively studied under various situations and atmospheric conditions. Nevertheless, the combustion characteristics of these complex mixtures and the chemical interactions between their constituent species are still not fully understood. Hence, the accuracy of commonly used empirical-based mixing rules for the estimation of the overall reactivity, such as laminar burning velocity and ignition delay time is inefficient. This work is addressed to the numerical prediction of the Ignition Delay Time, IDT, of bio-syngas mixtures at different fuel compositions, stoichiometries, temperature, and pressure, by means of a detailed kinetic model. A simplified tool for preliminary evaluation of the overall reactivity with respect to the above-mentioned conditions was proposed for these mixtures, as well, providing an effective feature for safety and management evaluations.</w:t>
      </w:r>
    </w:p>
    <w:p w14:paraId="476B2F2E" w14:textId="77777777" w:rsidR="00600535" w:rsidRPr="00B57B36" w:rsidRDefault="00600535" w:rsidP="005C0FE9">
      <w:pPr>
        <w:pStyle w:val="CETHeading1"/>
        <w:spacing w:line="264" w:lineRule="auto"/>
      </w:pPr>
      <w:r w:rsidRPr="00B57B36">
        <w:t>Introduction</w:t>
      </w:r>
    </w:p>
    <w:p w14:paraId="337D738B" w14:textId="1160E9DF" w:rsidR="00C16F39" w:rsidRPr="00C16F39" w:rsidRDefault="00C16F39" w:rsidP="005C0FE9">
      <w:pPr>
        <w:pStyle w:val="Paragrafoelenco"/>
        <w:ind w:left="0"/>
        <w:rPr>
          <w:rFonts w:cs="Arial"/>
          <w:szCs w:val="18"/>
        </w:rPr>
      </w:pPr>
      <w:r w:rsidRPr="00C16F39">
        <w:rPr>
          <w:rFonts w:cs="Arial"/>
          <w:szCs w:val="18"/>
          <w:lang w:val="en-US"/>
        </w:rPr>
        <w:t>T</w:t>
      </w:r>
      <w:r w:rsidRPr="00C16F39">
        <w:rPr>
          <w:rFonts w:cs="Arial"/>
          <w:szCs w:val="18"/>
        </w:rPr>
        <w:t xml:space="preserve">he energy generated by the combustion of renewable sources is more than 80% of the world’s “clean” energy produced worldwide </w:t>
      </w:r>
      <w:r w:rsidRPr="00C16F39">
        <w:rPr>
          <w:rFonts w:cs="Arial"/>
          <w:szCs w:val="18"/>
          <w:lang w:val="en-US"/>
        </w:rPr>
        <w:fldChar w:fldCharType="begin" w:fldLock="1"/>
      </w:r>
      <w:r w:rsidRPr="00C16F39">
        <w:rPr>
          <w:rFonts w:cs="Arial"/>
          <w:szCs w:val="18"/>
          <w:lang w:val="en-US"/>
        </w:rPr>
        <w:instrText>ADDIN CSL_CITATION {"citationItems":[{"id":"ITEM-1","itemData":{"DOI":"10.1016/j.pecs.2017.02.001","ISBN":"0360-1285","ISSN":"03601285","abstract":"Universal concerns about degradation in ambient environment, stringent emission legislations, depletion of petroleum reserves, security of fuel supply and global warming have motivated research and development of engines operating on alternative combustion concepts, which also have capability of using renewable as well as conventional fuels. Low temperature combustion (LTC) is an advanced combustion concept for internal combustion (IC) engines, which has attracted global attention in recent years. LTC concept is different from the conventional spark ignition (SI) combustion as well as compression ignition (CI) diffusion combustion concepts. LTC technology offers prominent benefits in terms of simultaneous reduction of both oxides of nitrogen (NOx) and particulate matter (PM), in addition to reduction in specific fuel consumption (SFC). However, controlling ignition timing and combustion rate are primary challenges to be tackled before LTC technology can be implemented in automotive engines commercially. This review covers fundamental aspects of development of LTC engines and its evolution, historical background and origin of LTC concept, encompassing LTC principle, its advantages, challenges and prospects. Detailed insights into preparation of homogeneous charge by external and internal measures for mineral diesel and gasoline like fuels are covered. Fuel requirements and fuel induction system design aspect for LTC engines are also discussed. Combustion characteristics of LTC engines including combustion chemistry, heat release rate (HRR), combustion duration, knock characteristics, high load limit, fuel conversion efficiencies and combustion instability are summarized. Emission characteristics are reviewed along with insights into PM and NOxemissions from LTC engines. Finally, different strategies for controlling combustion rate and combustion timings for gasoline and mineral diesel like fuels are discussed, showing the way forward for this technology in future towards its commercialization.","author":[{"dropping-particle":"","family":"Agarwal","given":"Avinash Kumar","non-dropping-particle":"","parse-names":false,"suffix":""},{"dropping-particle":"","family":"Singh","given":"Akhilendra Pratap","non-dropping-particle":"","parse-names":false,"suffix":""},{"dropping-particle":"","family":"Maurya","given":"Rakesh Kumar","non-dropping-particle":"","parse-names":false,"suffix":""}],"container-title":"Progress in Energy and Combustion Science","id":"ITEM-1","issued":{"date-parts":[["2017"]]},"page":"1-56","publisher":"Elsevier Ltd","title":"Evolution, challenges and path forward for low temperature combustion engines","type":"article-journal","volume":"61"},"uris":["http://www.mendeley.com/documents/?uuid=a5872130-b033-41e6-bacd-83cd4c3a79da"]}],"mendeley":{"formattedCitation":"(Agarwal et al., 2017)","plainTextFormattedCitation":"(Agarwal et al., 2017)","previouslyFormattedCitation":"(Agarwal et al., 2017)"},"properties":{"noteIndex":0},"schema":"https://github.com/citation-style-language/schema/raw/master/csl-citation.json"}</w:instrText>
      </w:r>
      <w:r w:rsidRPr="00C16F39">
        <w:rPr>
          <w:rFonts w:cs="Arial"/>
          <w:szCs w:val="18"/>
          <w:lang w:val="en-US"/>
        </w:rPr>
        <w:fldChar w:fldCharType="separate"/>
      </w:r>
      <w:r w:rsidRPr="00C16F39">
        <w:rPr>
          <w:rFonts w:cs="Arial"/>
          <w:noProof/>
          <w:szCs w:val="18"/>
          <w:lang w:val="en-US"/>
        </w:rPr>
        <w:t>(Agarwal et al., 2017)</w:t>
      </w:r>
      <w:r w:rsidRPr="00C16F39">
        <w:rPr>
          <w:rFonts w:cs="Arial"/>
          <w:szCs w:val="18"/>
          <w:lang w:val="en-US"/>
        </w:rPr>
        <w:fldChar w:fldCharType="end"/>
      </w:r>
      <w:r w:rsidRPr="00C16F39">
        <w:rPr>
          <w:rFonts w:cs="Arial"/>
          <w:szCs w:val="18"/>
        </w:rPr>
        <w:t xml:space="preserve">. Besides, the stringent guidelines devoted to the regulation of the composition of combustion tail gas have led gas turbine manufacturers toward the utilization of renewable and environmentally friendly fuels </w:t>
      </w:r>
      <w:r w:rsidRPr="00C16F39">
        <w:rPr>
          <w:rFonts w:cs="Arial"/>
          <w:szCs w:val="18"/>
        </w:rPr>
        <w:fldChar w:fldCharType="begin" w:fldLock="1"/>
      </w:r>
      <w:r w:rsidRPr="00C16F39">
        <w:rPr>
          <w:rFonts w:cs="Arial"/>
          <w:szCs w:val="18"/>
        </w:rPr>
        <w:instrText>ADDIN CSL_CITATION {"citationItems":[{"id":"ITEM-1","itemData":{"DOI":"10.1016/j.ijhydene.2013.10.068","ISBN":"0360-3199","ISSN":"03603199","abstract":"Syngas has shown great success in Integrated Gasification Combined Cycle (IGCC) technology for providing cleaner and higher efficiency energy production with minimal environment impact. Thus, it is promising that Syngas is able to replace the conventional fossil fuel resources, while at the same time minimizing pollutants. The drawback of traditional Gas Turbines that burn Syngas is that they use diffusion flame combustion technology that suffers from low efficiency and high emissions. Recently, Lean premixed combustion technique has emerged as a promising solution, but the variation of hydrogen fraction in Syngas has prohibited its usage. Besides, other gases such as CO2, N2, H2O, NH3, and CH4in Syngas have adverse effects on the combustion characteristics. To address these issues, better understanding of the Syngas's fundamental combustion properties are vital. Hence, recent works published on Syngas combustion at lean-premixed and Gas Turbine relevant conditions are reviewed, classified according to their objectives, and remarks were concluded. Copyright © 2013, Hydrogen Energy Publications, LLC.","author":[{"dropping-particle":"","family":"Lee","given":"H. C.","non-dropping-particle":"","parse-names":false,"suffix":""},{"dropping-particle":"","family":"Jiang","given":"L. Y.","non-dropping-particle":"","parse-names":false,"suffix":""},{"dropping-particle":"","family":"Mohamad","given":"A. A.","non-dropping-particle":"","parse-names":false,"suffix":""}],"container-title":"International Journal of Hydrogen Energy","id":"ITEM-1","issue":"2","issued":{"date-parts":[["2014"]]},"page":"1105-1121","publisher":"Elsevier Ltd","title":"A review on the laminar flame speed and ignition delay time of Syngas mixtures","type":"article-journal","volume":"39"},"uris":["http://www.mendeley.com/documents/?uuid=0797f83d-1796-4b8a-b375-61dcaf8c88c7"]}],"mendeley":{"formattedCitation":"(Lee et al., 2014)","plainTextFormattedCitation":"(Lee et al., 2014)","previouslyFormattedCitation":"(Lee et al., 2014)"},"properties":{"noteIndex":0},"schema":"https://github.com/citation-style-language/schema/raw/master/csl-citation.json"}</w:instrText>
      </w:r>
      <w:r w:rsidRPr="00C16F39">
        <w:rPr>
          <w:rFonts w:cs="Arial"/>
          <w:szCs w:val="18"/>
        </w:rPr>
        <w:fldChar w:fldCharType="separate"/>
      </w:r>
      <w:r w:rsidRPr="00C16F39">
        <w:rPr>
          <w:rFonts w:cs="Arial"/>
          <w:noProof/>
          <w:szCs w:val="18"/>
        </w:rPr>
        <w:t>(Lee et al., 2014)</w:t>
      </w:r>
      <w:r w:rsidRPr="00C16F39">
        <w:rPr>
          <w:rFonts w:cs="Arial"/>
          <w:szCs w:val="18"/>
        </w:rPr>
        <w:fldChar w:fldCharType="end"/>
      </w:r>
      <w:r w:rsidRPr="00C16F39">
        <w:rPr>
          <w:rFonts w:cs="Arial"/>
          <w:szCs w:val="18"/>
        </w:rPr>
        <w:t xml:space="preserve">. Consequently, the evaluation of alternative fuels, the development of combustion mechanisms, and technologies have been strongly incentivized and largely investigated in recent years </w:t>
      </w:r>
      <w:r w:rsidRPr="00C16F39">
        <w:rPr>
          <w:rFonts w:cs="Arial"/>
          <w:szCs w:val="18"/>
        </w:rPr>
        <w:fldChar w:fldCharType="begin" w:fldLock="1"/>
      </w:r>
      <w:r w:rsidRPr="00C16F39">
        <w:rPr>
          <w:rFonts w:cs="Arial"/>
          <w:szCs w:val="18"/>
        </w:rPr>
        <w:instrText>ADDIN CSL_CITATION {"citationItems":[{"id":"ITEM-1","itemData":{"DOI":"10.1016/j.pecs.2016.08.001","ISBN":"978-0-12-176480-7","ISSN":"03601285","abstract":"The mono-alkyl esters, most commonly the methyl esters, of vegetable oils, animal fats or other materials consisting mainly of triacylglycerols, often referred to as biodiesel, are an alternative to conventional petrodiesel for use in compression-ignition engines. The fatty acid esters that thus comprise biodiesel largely determine many important fuel properties. In turn, the composition of the biodiesel depends on the composition of the parent feedstock because feedstocks with widely varying fatty acid composition can be used for biodiesel production. The use of different feedstocks is also significant under aspects of increasing biodiesel supply and socio-economic issues. In this article, biodiesel production is briefly described, followed by a discussion of biodiesel fuel properties and the influence of varying fatty acid profiles and feedstocks. It is shown that the properties of biodiesel least influenced by minor components can be determined by a straightforward equation in which the properties of the biodiesel fuel are calculated from the amounts of the individual component fatty esters and their properties. Optimizing biodiesel composition is also addressed.","author":[{"dropping-particle":"","family":"Knothe","given":"Gerhard","non-dropping-particle":"","parse-names":false,"suffix":""},{"dropping-particle":"","family":"Razon","given":"Luis F.","non-dropping-particle":"","parse-names":false,"suffix":""}],"container-title":"Progress in Energy and Combustion Science","id":"ITEM-1","issued":{"date-parts":[["2017"]]},"page":"36-59","publisher":"Elsevier Ltd","title":"Biodiesel fuels","type":"article-journal","volume":"58"},"uris":["http://www.mendeley.com/documents/?uuid=b5e145e5-26c9-4e63-b23c-5e16e22d5405"]}],"mendeley":{"formattedCitation":"(Knothe and Razon, 2017)","plainTextFormattedCitation":"(Knothe and Razon, 2017)","previouslyFormattedCitation":"(Knothe and Razon, 2017)"},"properties":{"noteIndex":0},"schema":"https://github.com/citation-style-language/schema/raw/master/csl-citation.json"}</w:instrText>
      </w:r>
      <w:r w:rsidRPr="00C16F39">
        <w:rPr>
          <w:rFonts w:cs="Arial"/>
          <w:szCs w:val="18"/>
        </w:rPr>
        <w:fldChar w:fldCharType="separate"/>
      </w:r>
      <w:r w:rsidRPr="00C16F39">
        <w:rPr>
          <w:rFonts w:cs="Arial"/>
          <w:noProof/>
          <w:szCs w:val="18"/>
        </w:rPr>
        <w:t>(Knothe and Razon, 2017)</w:t>
      </w:r>
      <w:r w:rsidRPr="00C16F39">
        <w:rPr>
          <w:rFonts w:cs="Arial"/>
          <w:szCs w:val="18"/>
        </w:rPr>
        <w:fldChar w:fldCharType="end"/>
      </w:r>
      <w:r w:rsidRPr="00C16F39">
        <w:rPr>
          <w:rFonts w:cs="Arial"/>
          <w:szCs w:val="18"/>
        </w:rPr>
        <w:t xml:space="preserve">. So far, one of the main challenges facing the utilization of innovative, low-carbon fuels regards the flexibility of the existing infrastructures and combustion technologies, i.e., the development of fuels tailored to the existing engines may incentive the substitution of traditional fossil fuels </w:t>
      </w:r>
      <w:r w:rsidRPr="00C16F39">
        <w:rPr>
          <w:rFonts w:cs="Arial"/>
          <w:szCs w:val="18"/>
        </w:rPr>
        <w:fldChar w:fldCharType="begin" w:fldLock="1"/>
      </w:r>
      <w:r w:rsidRPr="00C16F39">
        <w:rPr>
          <w:rFonts w:cs="Arial"/>
          <w:szCs w:val="18"/>
        </w:rPr>
        <w:instrText>ADDIN CSL_CITATION {"citationItems":[{"id":"ITEM-1","itemData":{"DOI":"10.1016/j.pecs.2018.06.003","ISSN":"03601285","author":[{"dropping-particle":"","family":"Kalghatgi","given":"Gautam","non-dropping-particle":"","parse-names":false,"suffix":""},{"dropping-particle":"","family":"Levinsky","given":"Howard","non-dropping-particle":"","parse-names":false,"suffix":""},{"dropping-particle":"","family":"Colket","given":"Med","non-dropping-particle":"","parse-names":false,"suffix":""}],"container-title":"Progress in Energy and Combustion Science","id":"ITEM-1","issued":{"date-parts":[["2018"]]},"page":"103-105","publisher":"Elsevier Ltd","title":"Future transportation fuels","type":"article-journal","volume":"69"},"uris":["http://www.mendeley.com/documents/?uuid=a02f4468-44bc-42f2-a321-2eebe006fa83"]}],"mendeley":{"formattedCitation":"(Kalghatgi et al., 2018)","plainTextFormattedCitation":"(Kalghatgi et al., 2018)","previouslyFormattedCitation":"(Kalghatgi et al., 2018)"},"properties":{"noteIndex":0},"schema":"https://github.com/citation-style-language/schema/raw/master/csl-citation.json"}</w:instrText>
      </w:r>
      <w:r w:rsidRPr="00C16F39">
        <w:rPr>
          <w:rFonts w:cs="Arial"/>
          <w:szCs w:val="18"/>
        </w:rPr>
        <w:fldChar w:fldCharType="separate"/>
      </w:r>
      <w:r w:rsidRPr="00C16F39">
        <w:rPr>
          <w:rFonts w:cs="Arial"/>
          <w:noProof/>
          <w:szCs w:val="18"/>
        </w:rPr>
        <w:t>(Kalghatgi et al., 2018)</w:t>
      </w:r>
      <w:r w:rsidRPr="00C16F39">
        <w:rPr>
          <w:rFonts w:cs="Arial"/>
          <w:szCs w:val="18"/>
        </w:rPr>
        <w:fldChar w:fldCharType="end"/>
      </w:r>
      <w:r w:rsidRPr="00C16F39">
        <w:rPr>
          <w:rFonts w:cs="Arial"/>
          <w:szCs w:val="18"/>
        </w:rPr>
        <w:t xml:space="preserve">. The application of gaseous fuels deriving from the gasification of biomass has been indicated as a high potential alternative solution for energy production via gas turbines </w:t>
      </w:r>
      <w:r w:rsidRPr="00C16F39">
        <w:rPr>
          <w:rFonts w:cs="Arial"/>
          <w:szCs w:val="18"/>
        </w:rPr>
        <w:fldChar w:fldCharType="begin" w:fldLock="1"/>
      </w:r>
      <w:r w:rsidRPr="00C16F39">
        <w:rPr>
          <w:rFonts w:cs="Arial"/>
          <w:szCs w:val="18"/>
        </w:rPr>
        <w:instrText>ADDIN CSL_CITATION {"citationItems":[{"id":"ITEM-1","itemData":{"DOI":"10.1016/j.energy.2018.07.169","ISSN":"03605442","abstract":"Global generation of municipal solid waste (MSW) is predicted to reach over 2.2 billion tons/year in 2025. Landfilling and incineration, the two most common conventional techniques for MSW processing, negatively impact public health. This study developed and demonstrated electricity generation by co-gasification of two underutilized resources: MSW and agricultural biomass. A patented design of 60-kW downdraft gasifier and an internal combustion engine with 10 kW generator were used to generate electricity from co-gasification of various ratios of MSW and biomass. The maximum heating values (LHV) of syngas obtained at MSW ratio of 0, 20, and 40 wt.% were 6.91, 7.74, and 6.78 MJ/Nm3, respectively. At all MSW to biomass ratios, the maximum electric load generated was 5 kW, with electrical efficiencies of 22, 20, and 19.5% at MSW ratios of 0, 20, and 40 wt.%, respectively. The engine CO, NOx, SO2, and CO2emission decreased with increasing load, while HC emission increased with increasing load. CO, NOx, and CO2emissions decreased, while HC and SO2emissions increased with increase in MSW ratio. Thus, the co-gasification system provides a basis for future development of small-scale power generation to utilize local wastes.","author":[{"dropping-particle":"","family":"Indrawan","given":"Natarianto","non-dropping-particle":"","parse-names":false,"suffix":""},{"dropping-particle":"","family":"Thapa","given":"Sunil","non-dropping-particle":"","parse-names":false,"suffix":""},{"dropping-particle":"","family":"Bhoi","given":"Prakashbhai R.","non-dropping-particle":"","parse-names":false,"suffix":""},{"dropping-particle":"","family":"Huhnke","given":"Raymond L.","non-dropping-particle":"","parse-names":false,"suffix":""},{"dropping-particle":"","family":"Kumar","given":"Ajay","non-dropping-particle":"","parse-names":false,"suffix":""}],"container-title":"Energy","id":"ITEM-1","issued":{"date-parts":[["2018"]]},"title":"Electricity power generation from co-gasification of municipal solid wastes and biomass: Generation and emission performance","type":"article-journal"},"uris":["http://www.mendeley.com/documents/?uuid=15f4d25a-13e2-45ae-b847-69d75a8b3203"]}],"mendeley":{"formattedCitation":"(Indrawan et al., 2018)","plainTextFormattedCitation":"(Indrawan et al., 2018)","previouslyFormattedCitation":"(Indrawan et al., 2018)"},"properties":{"noteIndex":0},"schema":"https://github.com/citation-style-language/schema/raw/master/csl-citation.json"}</w:instrText>
      </w:r>
      <w:r w:rsidRPr="00C16F39">
        <w:rPr>
          <w:rFonts w:cs="Arial"/>
          <w:szCs w:val="18"/>
        </w:rPr>
        <w:fldChar w:fldCharType="separate"/>
      </w:r>
      <w:r w:rsidRPr="00C16F39">
        <w:rPr>
          <w:rFonts w:cs="Arial"/>
          <w:noProof/>
          <w:szCs w:val="18"/>
        </w:rPr>
        <w:t>(Indrawan et al., 2018)</w:t>
      </w:r>
      <w:r w:rsidRPr="00C16F39">
        <w:rPr>
          <w:rFonts w:cs="Arial"/>
          <w:szCs w:val="18"/>
        </w:rPr>
        <w:fldChar w:fldCharType="end"/>
      </w:r>
      <w:r w:rsidRPr="00C16F39">
        <w:rPr>
          <w:rFonts w:cs="Arial"/>
          <w:szCs w:val="18"/>
        </w:rPr>
        <w:t xml:space="preserve">. The composition of these gaseous mixtures is largely variable by the raw materials adopted, but it mainly consists of methane, carbon dioxide, carbon monoxide, and hydrogen (Robbins et al., 2012). Hence, the implementation of detailed kinetic mechanisms is required for </w:t>
      </w:r>
      <w:r w:rsidR="00AA5ACC">
        <w:rPr>
          <w:rFonts w:cs="Arial"/>
          <w:szCs w:val="18"/>
        </w:rPr>
        <w:t xml:space="preserve">an </w:t>
      </w:r>
      <w:r w:rsidRPr="00C16F39">
        <w:rPr>
          <w:rFonts w:cs="Arial"/>
          <w:szCs w:val="18"/>
        </w:rPr>
        <w:t>accurate evaluation of chemical interactions between species composing the investigated fuels</w:t>
      </w:r>
      <w:r w:rsidR="00BA7CF9">
        <w:rPr>
          <w:rFonts w:cs="Arial"/>
          <w:szCs w:val="18"/>
        </w:rPr>
        <w:t xml:space="preserve"> </w:t>
      </w:r>
      <w:r w:rsidRPr="00C16F39">
        <w:rPr>
          <w:rFonts w:cs="Arial"/>
          <w:szCs w:val="18"/>
        </w:rPr>
        <w:t xml:space="preserve">due to the presence of non-hydrocarbon compounds </w:t>
      </w:r>
      <w:r w:rsidRPr="00C16F39">
        <w:rPr>
          <w:rFonts w:cs="Arial"/>
          <w:szCs w:val="18"/>
        </w:rPr>
        <w:fldChar w:fldCharType="begin" w:fldLock="1"/>
      </w:r>
      <w:r w:rsidRPr="00C16F39">
        <w:rPr>
          <w:rFonts w:cs="Arial"/>
          <w:szCs w:val="18"/>
        </w:rPr>
        <w:instrText>ADDIN CSL_CITATION {"citationItems":[{"id":"ITEM-1","itemData":{"DOI":"10.1016/j.fuel.2018.07.110","ISSN":"00162361","abstract":"The effect of a hydrogen addition to the combustion chemistry of light alkanes was evaluated by the experimental and numerical determination of the laminar burning velocity of methane/propane/hydrogen mixtures in air at different equivalence ratios and fuel compositions by using a heat flux burner. The experimental results have been compared with additional data selected for the main experimental rig commonly adopted in current literature. The obtained set of data was used for the validation of the detailed kinetic model developed by the University of Bologna. Subsequently, an in-depth analysis on the reaction system was carried out in order to evaluate the effects of a</w:instrText>
      </w:r>
      <w:r w:rsidRPr="00C16F39">
        <w:rPr>
          <w:rFonts w:cs="Arial"/>
          <w:szCs w:val="18"/>
          <w:lang w:val="it-IT"/>
        </w:rPr>
        <w:instrText xml:space="preserve"> low hydrogen content on the reaction paths, concentrations profiles of the main combustion products and temperature profiles with respect to the distance from the burner. Thus, additional information was obtained by means of a sensitivity analysis, evaluating the relative relevance of each reaction on the laminar burning velocity and comparing obtained the results for all the investigated conditions.","author":[{"dropping-particle":"","family":"Salzano","given":"Ernesto","non-dropping-particle":"","parse-names":false,"suffix":""},{"dropping-particle":"","family":"Pio","given":"Gianmaria","non-dropping-particle":"","parse-names":false,"suffix":""},{"dropping-particle":"","family":"Ricca","given":"Antonio","non-dropping-particle":"","parse-names":false,"suffix":""},{"dropping-particle":"","family":"Palma","given":"Vincenzo","non-dropping-particle":"","parse-names":false,"suffix":""}],"container-title":"Fuel","id":"ITEM-1","issued":{"date-parts":[["2018"]]},"page":"1064-1070","title":"The effect of a hydrogen addition to the premixed flame structure of light alkanes","type":"article-journal","volume":"234"},"uris":["http://www.mendeley.com/documents/?uuid=db34bdd6-533d-4f18-a92d-9ad3ea8f2aa4"]}],"mendeley":{"formattedCitation":"(Salzano et al., 2018)","plainTextFormattedCitation":"(Salzano et al., 2018)","previouslyFormattedCitation":"(Salzano et al., 2018)"},"properties":{"noteIndex":0},"schema":"https://github.com/citation-style-language/schema/raw/master/csl-citation.json"}</w:instrText>
      </w:r>
      <w:r w:rsidRPr="00C16F39">
        <w:rPr>
          <w:rFonts w:cs="Arial"/>
          <w:szCs w:val="18"/>
        </w:rPr>
        <w:fldChar w:fldCharType="separate"/>
      </w:r>
      <w:r w:rsidRPr="00C16F39">
        <w:rPr>
          <w:rFonts w:cs="Arial"/>
          <w:noProof/>
          <w:szCs w:val="18"/>
          <w:lang w:val="it-IT"/>
        </w:rPr>
        <w:t>(Salzano et al., 2018)</w:t>
      </w:r>
      <w:r w:rsidRPr="00C16F39">
        <w:rPr>
          <w:rFonts w:cs="Arial"/>
          <w:szCs w:val="18"/>
        </w:rPr>
        <w:fldChar w:fldCharType="end"/>
      </w:r>
      <w:r w:rsidRPr="00C16F39">
        <w:rPr>
          <w:rFonts w:cs="Arial"/>
          <w:szCs w:val="18"/>
        </w:rPr>
        <w:fldChar w:fldCharType="begin" w:fldLock="1"/>
      </w:r>
      <w:r w:rsidRPr="00C16F39">
        <w:rPr>
          <w:rFonts w:cs="Arial"/>
          <w:szCs w:val="18"/>
          <w:lang w:val="it-IT"/>
        </w:rPr>
        <w:instrText>ADDIN CSL_CITATION {"citationItems":[{"id":"ITEM-1","itemData":{"DOI":"10.3303/CET1977032","ISSN":"22839216","abstract":"The minimum ignition temperature is an important safety value for handling gases, liquids and dust. The European regulation only provides standards to measure single substances and single-phase values. That poses a problem to industries where materials in different phases occur at the same time, as there is no way to prove that the mixture does not have an ignition temperature that is not below the single values. Aim of a research project is to provide an extension to the standard for the minimum ignition temperature of dusts (IEC 80079-20-2). Therefore, the Godbert-Greenwald oven is modified to allow testing dust, liquid and gas alone and in mixture with each other. The proposed experimental setup is only a slight modification to the furnace mentioned in the standard. Main changes are the solvent reservoir and the additional gas supply. First results are already published as a proof of concept (Addai 2016a,b) and now, in a second step, extended by dusts premixed with solvents. To provide a reliable base for a standardization the influence of these changes according to the ignition behavior will be tested in detail. This includes various size parameters as well as the arrangement of the parts, that will follow. First the minimum temperature of the single phases – gas, steam of evaporated liquids, dust – are tested and compared to the respective values obtained with the standard to be usually be applied. Subsequently the mixtures of phases are tested. The proposed setup would further provide the possibility to make tests to check the influence of other oxidizing atmospheres or the humidity in the gas phase.","author":[{"dropping-particle":"","family":"Gabel","given":"Dieter","non-dropping-particle":"","parse-names":false,"suffix":""},{"dropping-particle":"","family":"Krause","given":"Ulrich","non-dropping-particle":"","parse-names":false,"suffix":""}],"container-title":"Chemical Engineering Transactions","id":"ITEM-1","issued":{"date-parts":[["2019"]]},"title":"Minimum ignition temperature of hybrid mixtures","type":"article-journal"},"uris":["http://www.mendeley.com/documents/?uuid=28b627a7-2d91-4e31-8726-2e807063963f"]}],"mendeley":{"formattedCitation":"(Gabel and Krause, 2019)","plainTextFormattedCitation":"(Gabel and Krause, 2019)","previouslyFormattedCitation":"(Gabel and Krause, 2019)"},"properties":{"noteIndex":0},"schema":"https://github.com/citation-style-language/schema/raw/master/csl-citation.json"}</w:instrText>
      </w:r>
      <w:r w:rsidRPr="00C16F39">
        <w:rPr>
          <w:rFonts w:cs="Arial"/>
          <w:szCs w:val="18"/>
        </w:rPr>
        <w:fldChar w:fldCharType="separate"/>
      </w:r>
      <w:r w:rsidRPr="00C16F39">
        <w:rPr>
          <w:rFonts w:cs="Arial"/>
          <w:noProof/>
          <w:szCs w:val="18"/>
          <w:lang w:val="it-IT"/>
        </w:rPr>
        <w:t>(Gabel and Krause, 2019)</w:t>
      </w:r>
      <w:r w:rsidRPr="00C16F39">
        <w:rPr>
          <w:rFonts w:cs="Arial"/>
          <w:szCs w:val="18"/>
        </w:rPr>
        <w:fldChar w:fldCharType="end"/>
      </w:r>
      <w:r w:rsidRPr="00C16F39">
        <w:rPr>
          <w:rFonts w:cs="Arial"/>
          <w:szCs w:val="18"/>
          <w:lang w:val="it-IT"/>
        </w:rPr>
        <w:t xml:space="preserve">. </w:t>
      </w:r>
      <w:proofErr w:type="spellStart"/>
      <w:r w:rsidRPr="00C16F39">
        <w:rPr>
          <w:rFonts w:cs="Arial"/>
          <w:szCs w:val="18"/>
          <w:lang w:val="it-IT"/>
        </w:rPr>
        <w:t>Indeed</w:t>
      </w:r>
      <w:proofErr w:type="spellEnd"/>
      <w:r w:rsidRPr="00C16F39">
        <w:rPr>
          <w:rFonts w:cs="Arial"/>
          <w:szCs w:val="18"/>
          <w:lang w:val="it-IT"/>
        </w:rPr>
        <w:t xml:space="preserve">, the </w:t>
      </w:r>
      <w:proofErr w:type="spellStart"/>
      <w:r w:rsidRPr="00C16F39">
        <w:rPr>
          <w:rFonts w:cs="Arial"/>
          <w:szCs w:val="18"/>
          <w:lang w:val="it-IT"/>
        </w:rPr>
        <w:t>chemistry</w:t>
      </w:r>
      <w:proofErr w:type="spellEnd"/>
      <w:r w:rsidRPr="00C16F39">
        <w:rPr>
          <w:rFonts w:cs="Arial"/>
          <w:szCs w:val="18"/>
          <w:lang w:val="it-IT"/>
        </w:rPr>
        <w:t xml:space="preserve"> of pure </w:t>
      </w:r>
      <w:proofErr w:type="spellStart"/>
      <w:r w:rsidRPr="00C16F39">
        <w:rPr>
          <w:rFonts w:cs="Arial"/>
          <w:szCs w:val="18"/>
          <w:lang w:val="it-IT"/>
        </w:rPr>
        <w:t>methane</w:t>
      </w:r>
      <w:proofErr w:type="spellEnd"/>
      <w:r w:rsidRPr="00C16F39">
        <w:rPr>
          <w:rFonts w:cs="Arial"/>
          <w:szCs w:val="18"/>
          <w:lang w:val="it-IT"/>
        </w:rPr>
        <w:t xml:space="preserve"> </w:t>
      </w:r>
      <w:proofErr w:type="spellStart"/>
      <w:r w:rsidRPr="00C16F39">
        <w:rPr>
          <w:rFonts w:cs="Arial"/>
          <w:szCs w:val="18"/>
          <w:lang w:val="it-IT"/>
        </w:rPr>
        <w:t>oxidation</w:t>
      </w:r>
      <w:proofErr w:type="spellEnd"/>
      <w:r w:rsidRPr="00C16F39">
        <w:rPr>
          <w:rFonts w:cs="Arial"/>
          <w:szCs w:val="18"/>
          <w:lang w:val="it-IT"/>
        </w:rPr>
        <w:t xml:space="preserve"> </w:t>
      </w:r>
      <w:proofErr w:type="spellStart"/>
      <w:r w:rsidRPr="00C16F39">
        <w:rPr>
          <w:rFonts w:cs="Arial"/>
          <w:szCs w:val="18"/>
          <w:lang w:val="it-IT"/>
        </w:rPr>
        <w:t>has</w:t>
      </w:r>
      <w:proofErr w:type="spellEnd"/>
      <w:r w:rsidRPr="00C16F39">
        <w:rPr>
          <w:rFonts w:cs="Arial"/>
          <w:szCs w:val="18"/>
          <w:lang w:val="it-IT"/>
        </w:rPr>
        <w:t xml:space="preserve"> </w:t>
      </w:r>
      <w:proofErr w:type="spellStart"/>
      <w:r w:rsidRPr="00C16F39">
        <w:rPr>
          <w:rFonts w:cs="Arial"/>
          <w:szCs w:val="18"/>
          <w:lang w:val="it-IT"/>
        </w:rPr>
        <w:t>been</w:t>
      </w:r>
      <w:proofErr w:type="spellEnd"/>
      <w:r w:rsidRPr="00C16F39">
        <w:rPr>
          <w:rFonts w:cs="Arial"/>
          <w:szCs w:val="18"/>
          <w:lang w:val="it-IT"/>
        </w:rPr>
        <w:t xml:space="preserve"> </w:t>
      </w:r>
      <w:proofErr w:type="spellStart"/>
      <w:r w:rsidRPr="00C16F39">
        <w:rPr>
          <w:rFonts w:cs="Arial"/>
          <w:szCs w:val="18"/>
          <w:lang w:val="it-IT"/>
        </w:rPr>
        <w:t>deeply</w:t>
      </w:r>
      <w:proofErr w:type="spellEnd"/>
      <w:r w:rsidRPr="00C16F39">
        <w:rPr>
          <w:rFonts w:cs="Arial"/>
          <w:szCs w:val="18"/>
          <w:lang w:val="it-IT"/>
        </w:rPr>
        <w:t xml:space="preserve"> </w:t>
      </w:r>
      <w:proofErr w:type="spellStart"/>
      <w:r w:rsidRPr="00C16F39">
        <w:rPr>
          <w:rFonts w:cs="Arial"/>
          <w:szCs w:val="18"/>
          <w:lang w:val="it-IT"/>
        </w:rPr>
        <w:t>investigated</w:t>
      </w:r>
      <w:proofErr w:type="spellEnd"/>
      <w:r w:rsidRPr="00C16F39">
        <w:rPr>
          <w:rFonts w:cs="Arial"/>
          <w:szCs w:val="18"/>
          <w:lang w:val="it-IT"/>
        </w:rPr>
        <w:t xml:space="preserve"> and </w:t>
      </w:r>
      <w:proofErr w:type="spellStart"/>
      <w:r w:rsidRPr="00C16F39">
        <w:rPr>
          <w:rFonts w:cs="Arial"/>
          <w:szCs w:val="18"/>
          <w:lang w:val="it-IT"/>
        </w:rPr>
        <w:t>analyzed</w:t>
      </w:r>
      <w:proofErr w:type="spellEnd"/>
      <w:r w:rsidRPr="00C16F39">
        <w:rPr>
          <w:rFonts w:cs="Arial"/>
          <w:szCs w:val="18"/>
          <w:lang w:val="it-IT"/>
        </w:rPr>
        <w:t xml:space="preserve"> under </w:t>
      </w:r>
      <w:proofErr w:type="spellStart"/>
      <w:r w:rsidRPr="00C16F39">
        <w:rPr>
          <w:rFonts w:cs="Arial"/>
          <w:szCs w:val="18"/>
          <w:lang w:val="it-IT"/>
        </w:rPr>
        <w:t>engine</w:t>
      </w:r>
      <w:proofErr w:type="spellEnd"/>
      <w:r w:rsidRPr="00C16F39">
        <w:rPr>
          <w:rFonts w:cs="Arial"/>
          <w:szCs w:val="18"/>
          <w:lang w:val="it-IT"/>
        </w:rPr>
        <w:t xml:space="preserve"> </w:t>
      </w:r>
      <w:proofErr w:type="spellStart"/>
      <w:r w:rsidRPr="00C16F39">
        <w:rPr>
          <w:rFonts w:cs="Arial"/>
          <w:szCs w:val="18"/>
          <w:lang w:val="it-IT"/>
        </w:rPr>
        <w:t>relevant</w:t>
      </w:r>
      <w:proofErr w:type="spellEnd"/>
      <w:r w:rsidRPr="00C16F39">
        <w:rPr>
          <w:rFonts w:cs="Arial"/>
          <w:szCs w:val="18"/>
          <w:lang w:val="it-IT"/>
        </w:rPr>
        <w:t xml:space="preserve"> </w:t>
      </w:r>
      <w:proofErr w:type="spellStart"/>
      <w:r w:rsidRPr="00C16F39">
        <w:rPr>
          <w:rFonts w:cs="Arial"/>
          <w:szCs w:val="18"/>
          <w:lang w:val="it-IT"/>
        </w:rPr>
        <w:t>conditions</w:t>
      </w:r>
      <w:proofErr w:type="spellEnd"/>
      <w:r w:rsidRPr="00C16F39">
        <w:rPr>
          <w:rFonts w:cs="Arial"/>
          <w:szCs w:val="18"/>
          <w:lang w:val="it-IT"/>
        </w:rPr>
        <w:t xml:space="preserve"> (e.g. temperature </w:t>
      </w:r>
      <w:proofErr w:type="spellStart"/>
      <w:r w:rsidRPr="00C16F39">
        <w:rPr>
          <w:rFonts w:cs="Arial"/>
          <w:szCs w:val="18"/>
          <w:lang w:val="it-IT"/>
        </w:rPr>
        <w:t>higher</w:t>
      </w:r>
      <w:proofErr w:type="spellEnd"/>
      <w:r w:rsidRPr="00C16F39">
        <w:rPr>
          <w:rFonts w:cs="Arial"/>
          <w:szCs w:val="18"/>
          <w:lang w:val="it-IT"/>
        </w:rPr>
        <w:t xml:space="preserve"> </w:t>
      </w:r>
      <w:proofErr w:type="spellStart"/>
      <w:r w:rsidRPr="00C16F39">
        <w:rPr>
          <w:rFonts w:cs="Arial"/>
          <w:szCs w:val="18"/>
          <w:lang w:val="it-IT"/>
        </w:rPr>
        <w:t>than</w:t>
      </w:r>
      <w:proofErr w:type="spellEnd"/>
      <w:r w:rsidRPr="00C16F39">
        <w:rPr>
          <w:rFonts w:cs="Arial"/>
          <w:szCs w:val="18"/>
          <w:lang w:val="it-IT"/>
        </w:rPr>
        <w:t xml:space="preserve"> 1400 K), </w:t>
      </w:r>
      <w:proofErr w:type="spellStart"/>
      <w:r w:rsidRPr="00C16F39">
        <w:rPr>
          <w:rFonts w:cs="Arial"/>
          <w:szCs w:val="18"/>
          <w:lang w:val="it-IT"/>
        </w:rPr>
        <w:t>because</w:t>
      </w:r>
      <w:proofErr w:type="spellEnd"/>
      <w:r w:rsidRPr="00C16F39">
        <w:rPr>
          <w:rFonts w:cs="Arial"/>
          <w:szCs w:val="18"/>
          <w:lang w:val="it-IT"/>
        </w:rPr>
        <w:t xml:space="preserve"> of </w:t>
      </w:r>
      <w:proofErr w:type="spellStart"/>
      <w:r w:rsidRPr="00C16F39">
        <w:rPr>
          <w:rFonts w:cs="Arial"/>
          <w:szCs w:val="18"/>
          <w:lang w:val="it-IT"/>
        </w:rPr>
        <w:t>its</w:t>
      </w:r>
      <w:proofErr w:type="spellEnd"/>
      <w:r w:rsidRPr="00C16F39">
        <w:rPr>
          <w:rFonts w:cs="Arial"/>
          <w:szCs w:val="18"/>
          <w:lang w:val="it-IT"/>
        </w:rPr>
        <w:t xml:space="preserve"> </w:t>
      </w:r>
      <w:proofErr w:type="spellStart"/>
      <w:r w:rsidRPr="00C16F39">
        <w:rPr>
          <w:rFonts w:cs="Arial"/>
          <w:szCs w:val="18"/>
          <w:lang w:val="it-IT"/>
        </w:rPr>
        <w:t>importance</w:t>
      </w:r>
      <w:proofErr w:type="spellEnd"/>
      <w:r w:rsidRPr="00C16F39">
        <w:rPr>
          <w:rFonts w:cs="Arial"/>
          <w:szCs w:val="18"/>
          <w:lang w:val="it-IT"/>
        </w:rPr>
        <w:t xml:space="preserve"> </w:t>
      </w:r>
      <w:proofErr w:type="spellStart"/>
      <w:r w:rsidRPr="00C16F39">
        <w:rPr>
          <w:rFonts w:cs="Arial"/>
          <w:szCs w:val="18"/>
          <w:lang w:val="it-IT"/>
        </w:rPr>
        <w:t>as</w:t>
      </w:r>
      <w:proofErr w:type="spellEnd"/>
      <w:r w:rsidRPr="00C16F39">
        <w:rPr>
          <w:rFonts w:cs="Arial"/>
          <w:szCs w:val="18"/>
          <w:lang w:val="it-IT"/>
        </w:rPr>
        <w:t xml:space="preserve"> a </w:t>
      </w:r>
      <w:proofErr w:type="spellStart"/>
      <w:r w:rsidRPr="00C16F39">
        <w:rPr>
          <w:rFonts w:cs="Arial"/>
          <w:szCs w:val="18"/>
          <w:lang w:val="it-IT"/>
        </w:rPr>
        <w:t>fuel</w:t>
      </w:r>
      <w:proofErr w:type="spellEnd"/>
      <w:r w:rsidRPr="00C16F39">
        <w:rPr>
          <w:rFonts w:cs="Arial"/>
          <w:szCs w:val="18"/>
          <w:lang w:val="it-IT"/>
        </w:rPr>
        <w:t xml:space="preserve"> and </w:t>
      </w:r>
      <w:proofErr w:type="spellStart"/>
      <w:r w:rsidRPr="00C16F39">
        <w:rPr>
          <w:rFonts w:cs="Arial"/>
          <w:szCs w:val="18"/>
          <w:lang w:val="it-IT"/>
        </w:rPr>
        <w:t>as</w:t>
      </w:r>
      <w:proofErr w:type="spellEnd"/>
      <w:r w:rsidRPr="00C16F39">
        <w:rPr>
          <w:rFonts w:cs="Arial"/>
          <w:szCs w:val="18"/>
          <w:lang w:val="it-IT"/>
        </w:rPr>
        <w:t xml:space="preserve"> a building </w:t>
      </w:r>
      <w:proofErr w:type="spellStart"/>
      <w:r w:rsidRPr="00C16F39">
        <w:rPr>
          <w:rFonts w:cs="Arial"/>
          <w:szCs w:val="18"/>
          <w:lang w:val="it-IT"/>
        </w:rPr>
        <w:t>block</w:t>
      </w:r>
      <w:proofErr w:type="spellEnd"/>
      <w:r w:rsidRPr="00C16F39">
        <w:rPr>
          <w:rFonts w:cs="Arial"/>
          <w:szCs w:val="18"/>
          <w:lang w:val="it-IT"/>
        </w:rPr>
        <w:t xml:space="preserve"> for the </w:t>
      </w:r>
      <w:proofErr w:type="spellStart"/>
      <w:r w:rsidRPr="00C16F39">
        <w:rPr>
          <w:rFonts w:cs="Arial"/>
          <w:szCs w:val="18"/>
          <w:lang w:val="it-IT"/>
        </w:rPr>
        <w:t>development</w:t>
      </w:r>
      <w:proofErr w:type="spellEnd"/>
      <w:r w:rsidRPr="00C16F39">
        <w:rPr>
          <w:rFonts w:cs="Arial"/>
          <w:szCs w:val="18"/>
          <w:lang w:val="it-IT"/>
        </w:rPr>
        <w:t xml:space="preserve"> of </w:t>
      </w:r>
      <w:proofErr w:type="spellStart"/>
      <w:r w:rsidRPr="00C16F39">
        <w:rPr>
          <w:rFonts w:cs="Arial"/>
          <w:szCs w:val="18"/>
          <w:lang w:val="it-IT"/>
        </w:rPr>
        <w:t>kinetic</w:t>
      </w:r>
      <w:proofErr w:type="spellEnd"/>
      <w:r w:rsidRPr="00C16F39">
        <w:rPr>
          <w:rFonts w:cs="Arial"/>
          <w:szCs w:val="18"/>
          <w:lang w:val="it-IT"/>
        </w:rPr>
        <w:t xml:space="preserve"> </w:t>
      </w:r>
      <w:proofErr w:type="spellStart"/>
      <w:r w:rsidRPr="00C16F39">
        <w:rPr>
          <w:rFonts w:cs="Arial"/>
          <w:szCs w:val="18"/>
          <w:lang w:val="it-IT"/>
        </w:rPr>
        <w:t>mechanism</w:t>
      </w:r>
      <w:proofErr w:type="spellEnd"/>
      <w:r w:rsidRPr="00C16F39">
        <w:rPr>
          <w:rFonts w:cs="Arial"/>
          <w:szCs w:val="18"/>
          <w:lang w:val="it-IT"/>
        </w:rPr>
        <w:t xml:space="preserve"> </w:t>
      </w:r>
      <w:proofErr w:type="spellStart"/>
      <w:r w:rsidRPr="00C16F39">
        <w:rPr>
          <w:rFonts w:cs="Arial"/>
          <w:szCs w:val="18"/>
          <w:lang w:val="it-IT"/>
        </w:rPr>
        <w:t>suitable</w:t>
      </w:r>
      <w:proofErr w:type="spellEnd"/>
      <w:r w:rsidRPr="00C16F39">
        <w:rPr>
          <w:rFonts w:cs="Arial"/>
          <w:szCs w:val="18"/>
          <w:lang w:val="it-IT"/>
        </w:rPr>
        <w:t xml:space="preserve"> for </w:t>
      </w:r>
      <w:proofErr w:type="spellStart"/>
      <w:r w:rsidRPr="00C16F39">
        <w:rPr>
          <w:rFonts w:cs="Arial"/>
          <w:szCs w:val="18"/>
          <w:lang w:val="it-IT"/>
        </w:rPr>
        <w:t>all</w:t>
      </w:r>
      <w:proofErr w:type="spellEnd"/>
      <w:r w:rsidRPr="00C16F39">
        <w:rPr>
          <w:rFonts w:cs="Arial"/>
          <w:szCs w:val="18"/>
          <w:lang w:val="it-IT"/>
        </w:rPr>
        <w:t xml:space="preserve"> </w:t>
      </w:r>
      <w:proofErr w:type="spellStart"/>
      <w:r w:rsidRPr="00C16F39">
        <w:rPr>
          <w:rFonts w:cs="Arial"/>
          <w:szCs w:val="18"/>
          <w:lang w:val="it-IT"/>
        </w:rPr>
        <w:t>heavier</w:t>
      </w:r>
      <w:proofErr w:type="spellEnd"/>
      <w:r w:rsidRPr="00C16F39">
        <w:rPr>
          <w:rFonts w:cs="Arial"/>
          <w:szCs w:val="18"/>
          <w:lang w:val="it-IT"/>
        </w:rPr>
        <w:t xml:space="preserve"> </w:t>
      </w:r>
      <w:proofErr w:type="spellStart"/>
      <w:r w:rsidRPr="00C16F39">
        <w:rPr>
          <w:rFonts w:cs="Arial"/>
          <w:szCs w:val="18"/>
          <w:lang w:val="it-IT"/>
        </w:rPr>
        <w:t>hydrocarbons</w:t>
      </w:r>
      <w:proofErr w:type="spellEnd"/>
      <w:r w:rsidRPr="00C16F39">
        <w:rPr>
          <w:rFonts w:cs="Arial"/>
          <w:szCs w:val="18"/>
          <w:lang w:val="it-IT"/>
        </w:rPr>
        <w:t xml:space="preserve"> </w:t>
      </w:r>
      <w:r w:rsidRPr="00C16F39">
        <w:rPr>
          <w:rFonts w:cs="Arial"/>
          <w:szCs w:val="18"/>
        </w:rPr>
        <w:fldChar w:fldCharType="begin" w:fldLock="1"/>
      </w:r>
      <w:r w:rsidRPr="00C16F39">
        <w:rPr>
          <w:rFonts w:cs="Arial"/>
          <w:szCs w:val="18"/>
          <w:lang w:val="it-IT"/>
        </w:rPr>
        <w:instrText>ADDIN CSL_CITATION {"citationItems":[{"id":"ITEM-1","itemData":{"DOI":"10.1115/1.2720543","ISBN":"0-7918-4725-X","ISSN":"07424795","abstract":"Shock-tube experiments and chemical kinetics modeling were performed to further understand the ignition and oxidation kinetics of lean methane-based fuel blends at gas turbine pressures. Such data are required because the likelihood of gas turbine engines operating on CH4-based fuel blends with significant (&amp;gt;10%) amounts of hydrogen, ethane, and other hydrocarbons is very high. Ignition delay times were obtained behind reflected shock waves for fuel mixtures consisting of CH4, CH4∕H2, CH4∕C2H6, and CH4∕C3H8 in ratios ranging from 90/10% to 60/40%. Lean fuel/air equivalence ratios (</w:instrText>
      </w:r>
      <w:r w:rsidRPr="00C16F39">
        <w:rPr>
          <w:rFonts w:cs="Arial"/>
          <w:szCs w:val="18"/>
        </w:rPr>
        <w:instrText>ϕ</w:instrText>
      </w:r>
      <w:r w:rsidRPr="00C16F39">
        <w:rPr>
          <w:rFonts w:cs="Arial"/>
          <w:szCs w:val="18"/>
          <w:lang w:val="it-IT"/>
        </w:rPr>
        <w:instrText>=0.5) were utilized, and the test pressures ranged from 0.54 to 30.0atm. The test temperatures were from 1090K to 2001K. Significant reductions in ignition delay time were seen with the fuel blends relative to the CH4-only mixtures at all conditions. However, the temperature dependence (i.e., activation energy) of the ignition times was little affected by the additives for the range of mixtures and temperatures of this study. In general, the activation energy</w:instrText>
      </w:r>
      <w:r w:rsidRPr="00C16F39">
        <w:rPr>
          <w:rFonts w:cs="Arial"/>
          <w:szCs w:val="18"/>
        </w:rPr>
        <w:instrText xml:space="preserve"> of ignition for all mixtures except the CH4∕C3H8 one was smaller at temperatures below approximately1300K(</w:instrText>
      </w:r>
      <w:r w:rsidRPr="00C16F39">
        <w:rPr>
          <w:rFonts w:ascii="Cambria Math" w:hAnsi="Cambria Math" w:cs="Cambria Math"/>
          <w:szCs w:val="18"/>
        </w:rPr>
        <w:instrText>∼</w:instrText>
      </w:r>
      <w:r w:rsidRPr="00C16F39">
        <w:rPr>
          <w:rFonts w:cs="Arial"/>
          <w:szCs w:val="18"/>
        </w:rPr>
        <w:instrText>27kcal∕mol) than at temperatures above this value (</w:instrText>
      </w:r>
      <w:r w:rsidRPr="00C16F39">
        <w:rPr>
          <w:rFonts w:ascii="Cambria Math" w:hAnsi="Cambria Math" w:cs="Cambria Math"/>
          <w:szCs w:val="18"/>
        </w:rPr>
        <w:instrText>∼</w:instrText>
      </w:r>
      <w:r w:rsidRPr="00C16F39">
        <w:rPr>
          <w:rFonts w:cs="Arial"/>
          <w:szCs w:val="18"/>
        </w:rPr>
        <w:instrText>41kcal∕mol). A methane/hydrocarbon–oxidation chemical kinetics mechanism developed in a recent study was able to reproduce the high-pressure, fuel-lean data for the fuel/air mixtures. The results herein extend the ignition delay time database for lean methane blends to higher pressures (30atm) and lower temperatures (1100K) than considered previously and represent a major step toward understanding the oxidation chemistry of such mixtures at gas turbine pressures. Extrapolation of the results to gas turbine premixer conditions at temperatures less than 800K should be avoided however because the temperature dependence of the ignition time may change dramatically from that obtained herein.","author":[{"dropping-particle":"","family":"Petersen","given":"Eric L.","non-dropping-particle":"","parse-names":false,"suffix":""},{"dropping-particle":"","family":"Hall","given":"Joel M.","non-dropping-particle":"","parse-names":false,"suffix":""},{"dropping-particle":"","family":"Smith","given":"Schuyler D.","non-dropping-particle":"","parse-names":false,"suffix":""},{"dropping-particle":"","family":"Vries","given":"Jaap","non-dropping-particle":"de","parse-names":false,"suffix":""},{"dropping-particle":"","family":"Amadio","given":"Anthony R.","non-dropping-particle":"","parse-names":false,"suffix":""},{"dropping-particle":"","family":"Crofton","given":"Mark W.","non-dropping-particle":"","parse-names":false,"suffix":""}],"container-title":"Journal of Engineering for Gas Turbines and Power","id":"ITEM-1","issue":"4","issued":{"date-parts":[["2007"]]},"page":"937","title":"Ignition of Lean Methane-Based Fuel Blends at Gas Turbine Pressures","type":"article-journal","volume":"129"},"uris":["http://www.mendeley.com/documents/?uuid=dcea7ac6-a5a4-4be3-b2f1-e7a3b7779fcd"]}],"mendeley":{"formattedCitation":"(Petersen et al., 2007)","plainTextFormattedCitation":"(Petersen et al., 2007)","previouslyFormattedCitation":"(Petersen et al., 2007)"},"properties":{"noteIndex":0},"schema":"https://github.com/citation-style-language/schema/raw/master/csl-citation.json"}</w:instrText>
      </w:r>
      <w:r w:rsidRPr="00C16F39">
        <w:rPr>
          <w:rFonts w:cs="Arial"/>
          <w:szCs w:val="18"/>
        </w:rPr>
        <w:fldChar w:fldCharType="separate"/>
      </w:r>
      <w:r w:rsidRPr="00C16F39">
        <w:rPr>
          <w:rFonts w:cs="Arial"/>
          <w:noProof/>
          <w:szCs w:val="18"/>
        </w:rPr>
        <w:t>(Petersen et al., 2007)</w:t>
      </w:r>
      <w:r w:rsidRPr="00C16F39">
        <w:rPr>
          <w:rFonts w:cs="Arial"/>
          <w:szCs w:val="18"/>
        </w:rPr>
        <w:fldChar w:fldCharType="end"/>
      </w:r>
      <w:r w:rsidRPr="00C16F39">
        <w:rPr>
          <w:rFonts w:cs="Arial"/>
          <w:szCs w:val="18"/>
        </w:rPr>
        <w:t xml:space="preserve">. Similarly, the hydrocarbons addition to methane has been largely investigated under turbine relevant conditions in terms of ignition delay time (IDT) </w:t>
      </w:r>
      <w:r w:rsidRPr="00C16F39">
        <w:rPr>
          <w:rFonts w:cs="Arial"/>
          <w:szCs w:val="18"/>
        </w:rPr>
        <w:fldChar w:fldCharType="begin" w:fldLock="1"/>
      </w:r>
      <w:r w:rsidRPr="00C16F39">
        <w:rPr>
          <w:rFonts w:cs="Arial"/>
          <w:szCs w:val="18"/>
        </w:rPr>
        <w:instrText>ADDIN CSL_CITATION {"citationItems":[{"id":"ITEM-1","itemData":{"DOI":"10.1016/j.combustflame.2005.06.013","ISBN":"0010-2180","ISSN":"00102180","abstract":"The ignition delay of homogeneous methane/air mixtures enriched with small fractions of ethane/propane was measured using the reflected-shock technique at temperatures from 900 to 1400 K and pressures from 16 to 40 bar. The results show complex effects of ethane/propane on the ignition of methane, but a common trend observed with both hydrocarbons is an increased promotion effect for temperatures below 1100 K. A detailed kinetic mechanism was used to investigate the interaction between ethane/propane and the ignition chemistry of methane under the above conditions. It was found that at relatively low temperatures, the reactions between ethane/propane and methylperoxy (CH3O2) lead to an enhanced rate of formation of OH radicals in the initiation phase of the ignition. By systematically applying the quasi-steady-state assumptions to the intermediate species involved in the main reaction path identified, we have achieved an analytical description of the ignition process in the transitional temperature regime. The analytical solutions agree reasonably well with the detailed kinetic model and the experimental results for both ignition delay and concentrations of major intermediate species. © 2005 The Combustion Institute. Published by Elsevier Inc. All rights reserved.","author":[{"dropping-particle":"","family":"Huang","given":"J.","non-dropping-particle":"","parse-names":false,"suffix":""},{"dropping-particle":"","family":"Bushe","given":"W. K.","non-dropping-particle":"","parse-names":false,"suffix":""}],"container-title":"Combustion and Flame","id":"ITEM-1","issue":"1-2","issued":{"date-parts":[["2006"]]},"page":"74-88","title":"Experimental and kinetic study of autoignition in methane/ethane/air and methane/propane/air mixtures under engine-relevant conditions","type":"article-journal","volume":"144"},"uris":["http://www.mendeley.com/documents/?uuid=a344163e-4616-4b86-93c7-b6bc3035bab4"]}],"mendeley":{"formattedCitation":"(Huang and Bushe, 2006)","plainTextFormattedCitation":"(Huang and Bushe, 2006)","previouslyFormattedCitation":"(Huang and Bushe, 2006)"},"properties":{"noteIndex":0},"schema":"https://github.com/citation-style-language/schema/raw/master/csl-citation.json"}</w:instrText>
      </w:r>
      <w:r w:rsidRPr="00C16F39">
        <w:rPr>
          <w:rFonts w:cs="Arial"/>
          <w:szCs w:val="18"/>
        </w:rPr>
        <w:fldChar w:fldCharType="separate"/>
      </w:r>
      <w:r w:rsidRPr="00C16F39">
        <w:rPr>
          <w:rFonts w:cs="Arial"/>
          <w:noProof/>
          <w:szCs w:val="18"/>
        </w:rPr>
        <w:t>(Huang and Bushe, 2006)</w:t>
      </w:r>
      <w:r w:rsidRPr="00C16F39">
        <w:rPr>
          <w:rFonts w:cs="Arial"/>
          <w:szCs w:val="18"/>
        </w:rPr>
        <w:fldChar w:fldCharType="end"/>
      </w:r>
      <w:r w:rsidRPr="00C16F39">
        <w:rPr>
          <w:rFonts w:cs="Arial"/>
          <w:szCs w:val="18"/>
        </w:rPr>
        <w:t xml:space="preserve">, whereas </w:t>
      </w:r>
      <w:r w:rsidRPr="00C16F39">
        <w:rPr>
          <w:rFonts w:cs="Arial"/>
        </w:rPr>
        <w:t>Fischer and Jiang</w:t>
      </w:r>
      <w:r w:rsidRPr="00C16F39">
        <w:rPr>
          <w:rFonts w:cs="Arial"/>
          <w:szCs w:val="18"/>
        </w:rPr>
        <w:t xml:space="preserve"> </w:t>
      </w:r>
      <w:r w:rsidRPr="00C16F39">
        <w:rPr>
          <w:rFonts w:cs="Arial"/>
          <w:szCs w:val="18"/>
        </w:rPr>
        <w:fldChar w:fldCharType="begin" w:fldLock="1"/>
      </w:r>
      <w:r w:rsidRPr="00C16F39">
        <w:rPr>
          <w:rFonts w:cs="Arial"/>
          <w:szCs w:val="18"/>
        </w:rPr>
        <w:instrText>ADDIN CSL_CITATION {"citationItems":[{"id":"ITEM-1","itemData":{"DOI":"10.1016/j.combustflame.2016.02.001","ISBN":"0010-2180","ISSN":"15562921","abstract":"In the present study, five detailed reaction mechanisms have been employed for simulating 530 ignition delay times involving mixtures containing methane, hydrogen, carbon monoxide and carbon dioxide. A novel concept, Reaction Significance Analysis (RSA), has been used for identifying those kinetic parameters which have the greatest influence on the disparities between a given set of experimental data and the model predictions. Overall, most mechanisms capture at best the combustion of biogas and display their poorest performance in relation to the combustion of bio-syngas. NUIG (a reaction mechanism developed at the National University of Ireland, Galway) proves to be the best choice for simulating the burning of bio-syngas, its imperfection notwithstanding. Generally, models tend to over-predict ignition delay times measured at the lowest temperatures. This effect is mostly related to the inhomogeneous behaviour of shock tubes under those conditions. Besides that, Reaction Significance Analyses revealed a correlation between poor modelling performance and reactions belonging to the subsystem HO2-H2O2. We identified situations where such chemical kinetic factors appear to play a role in inaccurate predictions. Overall, the present study strongly indicates that the kinetic modelling of the combustion of CH4-CO-H2-CO2should not be seen as a problem successfully solved in the past once and for all. There is a genuine need for more kinetic experiments targeting reaction parameters which remain widely uncertain owing to their weak influence on most available measurements.","author":[{"dropping-particle":"","family":"Fischer","given":"M.","non-dropping-particle":"","parse-names":false,"suffix":""},{"dropping-particle":"","family":"Jiang","given":"X.","non-dropping-particle":"","parse-names":false,"suffix":""}],"container-title":"Combustion and Flame","id":"ITEM-1","issued":{"date-parts":[["2016"]]},"page":"274-293","publisher":"Elsevier Inc.","title":"A chemical kinetic modelling study of the combustion of CH4-CO-H2-CO2 fuel mixtures","type":"article-journal","volume":"167"},"uris":["http://www.mendeley.com/documents/?uuid=8e6f9276-5574-4e40-ba24-9460c0b60639"]}],"mendeley":{"formattedCitation":"(Fischer and Jiang, 2016)","plainTextFormattedCitation":"(Fischer and Jiang, 2016)","previouslyFormattedCitation":"(Fischer and Jiang, 2016)"},"properties":{"noteIndex":0},"schema":"https://github.com/citation-style-language/schema/raw/master/csl-citation.json"}</w:instrText>
      </w:r>
      <w:r w:rsidRPr="00C16F39">
        <w:rPr>
          <w:rFonts w:cs="Arial"/>
          <w:szCs w:val="18"/>
        </w:rPr>
        <w:fldChar w:fldCharType="separate"/>
      </w:r>
      <w:r w:rsidRPr="00C16F39">
        <w:rPr>
          <w:rFonts w:cs="Arial"/>
          <w:noProof/>
          <w:szCs w:val="18"/>
        </w:rPr>
        <w:t>(Fischer and Jiang, 2016)</w:t>
      </w:r>
      <w:r w:rsidRPr="00C16F39">
        <w:rPr>
          <w:rFonts w:cs="Arial"/>
          <w:szCs w:val="18"/>
        </w:rPr>
        <w:fldChar w:fldCharType="end"/>
      </w:r>
      <w:r w:rsidRPr="00C16F39">
        <w:rPr>
          <w:rFonts w:cs="Arial"/>
          <w:szCs w:val="18"/>
        </w:rPr>
        <w:t xml:space="preserve"> have recently highlighted that the full understanding of the interactions of non-hydrocarbons (i.e. CO, CO</w:t>
      </w:r>
      <w:r w:rsidRPr="00C16F39">
        <w:rPr>
          <w:rFonts w:cs="Arial"/>
          <w:szCs w:val="18"/>
          <w:vertAlign w:val="subscript"/>
        </w:rPr>
        <w:t>2,</w:t>
      </w:r>
      <w:r w:rsidRPr="00C16F39">
        <w:rPr>
          <w:rFonts w:cs="Arial"/>
          <w:szCs w:val="18"/>
        </w:rPr>
        <w:t xml:space="preserve"> and H</w:t>
      </w:r>
      <w:r w:rsidRPr="00C16F39">
        <w:rPr>
          <w:rFonts w:cs="Arial"/>
          <w:szCs w:val="18"/>
          <w:vertAlign w:val="subscript"/>
        </w:rPr>
        <w:t>2</w:t>
      </w:r>
      <w:r w:rsidRPr="00C16F39">
        <w:rPr>
          <w:rFonts w:cs="Arial"/>
          <w:szCs w:val="18"/>
        </w:rPr>
        <w:t xml:space="preserve">) with methane flames still represents a big challenge for researchers, lessening the achievement of economic and environmental requirements. In this light, the development of accurate predictive tools suitable for the evaluation of ignition phenomena, based on chemical kinetics, is essential for the design of combustor </w:t>
      </w:r>
      <w:r w:rsidRPr="00C16F39">
        <w:rPr>
          <w:rFonts w:cs="Arial"/>
          <w:szCs w:val="18"/>
        </w:rPr>
        <w:fldChar w:fldCharType="begin" w:fldLock="1"/>
      </w:r>
      <w:r w:rsidRPr="00C16F39">
        <w:rPr>
          <w:rFonts w:cs="Arial"/>
          <w:szCs w:val="18"/>
        </w:rPr>
        <w:instrText>ADDIN CSL_CITATION {"citationItems":[{"id":"ITEM-1","itemData":{"DOI":"10.1016/j.pecs.2014.04.001","ISBN":"0360-1285","ISSN":"03601285","abstract":"Rapid compression machines (RCMs) are used to simulate a single compression stroke of an internal combustion engine without some of the complicated swirl bowl geometry, cycle-to-cycle variation, residual gas, and other complications associated with engine operating conditions. RCMs are primarily used to measure ignition delay times as a function of temperature, pressure, and fuel/oxygen/diluent ratio; further they can be equipped with diagnostics to determine the temperature and flow fields inside the reaction chamber and to measure the concentrations of reactant, intermediate, and product species produced during combustion. This paper first discusses the operational principles and design features of RCMs, including the use of creviced pistons, which is an important feature in order to suppress the boundary layer, preventing it from becoming entrained into the reaction chamber via a roll-up vortex. The paper then discusses methods by which experiments performed in RCMs are interpreted and simulated. Furthermore, differences in measured ignition delays from RCMs and shock tube facilities are discussed, with the apparent initial gross disagreement being explained by facility effects in both types of experiments. Finally, future directions for using RCMs in chemical kinetics studies are also discussed. © 2014 Elsevier Ltd. All rights reserved.","author":[{"dropping-particle":"","family":"Sung","given":"Chih Jen","non-dropping-particle":"","parse-names":false,"suffix":""},{"dropping-particle":"","family":"Curran","given":"Henry J.","non-dropping-particle":"","parse-names":false,"suffix":""}],"container-title":"Progress in Energy and Combustion Science","id":"ITEM-1","issued":{"date-parts":[["2014"]]},"page":"1-18","publisher":"Elsevier Ltd","title":"Using rapid compression machines for chemical kinetics studies","type":"article-journal","volume":"44"},"uris":["http://www.mendeley.com/documents/?uuid=a6c05449-86b5-406d-9068-31113a438bd6"]}],"mendeley":{"formattedCitation":"(Sung and Curran, 2014)","plainTextFormattedCitation":"(Sung and Curran, 2014)","previouslyFormattedCitation":"(Sung and Curran, 2014)"},"properties":{"noteIndex":0},"schema":"https://github.com/citation-style-language/schema/raw/master/csl-citation.json"}</w:instrText>
      </w:r>
      <w:r w:rsidRPr="00C16F39">
        <w:rPr>
          <w:rFonts w:cs="Arial"/>
          <w:szCs w:val="18"/>
        </w:rPr>
        <w:fldChar w:fldCharType="separate"/>
      </w:r>
      <w:r w:rsidRPr="00C16F39">
        <w:rPr>
          <w:rFonts w:cs="Arial"/>
          <w:noProof/>
          <w:szCs w:val="18"/>
        </w:rPr>
        <w:t>(Sung and Curran, 2014)</w:t>
      </w:r>
      <w:r w:rsidRPr="00C16F39">
        <w:rPr>
          <w:rFonts w:cs="Arial"/>
          <w:szCs w:val="18"/>
        </w:rPr>
        <w:fldChar w:fldCharType="end"/>
      </w:r>
      <w:r w:rsidRPr="00C16F39">
        <w:rPr>
          <w:rFonts w:cs="Arial"/>
          <w:szCs w:val="18"/>
        </w:rPr>
        <w:t xml:space="preserve">. </w:t>
      </w:r>
    </w:p>
    <w:p w14:paraId="6EC6648C" w14:textId="1D3EE842" w:rsidR="00C16F39" w:rsidRPr="00C16F39" w:rsidRDefault="00C16F39" w:rsidP="005C0FE9">
      <w:pPr>
        <w:pStyle w:val="Paragrafoelenco"/>
        <w:ind w:left="0"/>
        <w:rPr>
          <w:rFonts w:cs="Arial"/>
          <w:szCs w:val="18"/>
        </w:rPr>
      </w:pPr>
      <w:r w:rsidRPr="00C16F39">
        <w:rPr>
          <w:rFonts w:cs="Arial"/>
          <w:szCs w:val="18"/>
        </w:rPr>
        <w:t xml:space="preserve">The IDT, together with the laminar burning velocity, is a key physicochemical property of combustible-oxidant mixtures at a given temperature and pressure. Indeed, both of them can be used for the estimation of the </w:t>
      </w:r>
      <w:r w:rsidRPr="00C16F39">
        <w:rPr>
          <w:rFonts w:cs="Arial"/>
          <w:szCs w:val="18"/>
        </w:rPr>
        <w:lastRenderedPageBreak/>
        <w:t xml:space="preserve">severity of combustion-related accidents as well as for </w:t>
      </w:r>
      <w:r w:rsidR="00AA5ACC">
        <w:rPr>
          <w:rFonts w:cs="Arial"/>
          <w:szCs w:val="18"/>
        </w:rPr>
        <w:t xml:space="preserve">the </w:t>
      </w:r>
      <w:r w:rsidRPr="00C16F39">
        <w:rPr>
          <w:rFonts w:cs="Arial"/>
          <w:szCs w:val="18"/>
        </w:rPr>
        <w:t xml:space="preserve">proper design of reactors, ancillary systems, and safety valves </w:t>
      </w:r>
      <w:r w:rsidRPr="00C16F39">
        <w:rPr>
          <w:rFonts w:cs="Arial"/>
          <w:szCs w:val="18"/>
        </w:rPr>
        <w:fldChar w:fldCharType="begin" w:fldLock="1"/>
      </w:r>
      <w:r w:rsidRPr="00C16F39">
        <w:rPr>
          <w:rFonts w:cs="Arial"/>
          <w:szCs w:val="18"/>
        </w:rPr>
        <w:instrText>ADDIN CSL_CITATION {"citationItems":[{"id":"ITEM-1","itemData":{"DOI":"10.1016/B978-0-7506-7846-9.X5000-7","ISBN":"9780750678469","abstract":"The Gas Turbine Engineering Handbook has been the standard for engineers involved in the design, selection, and operation of gas turbines. This revision includes new case histories, the latest techniques, and new designs to comply with recently passed legislation. By keeping the book up to date with new, emerging topics, Boyce ensures that this book will remain the standard and most widely used book in this field.The new Third Edition of the Gas Turbine Engineering Hand Book updates the book to cover the new generation of Advanced gas Turbines. It examines the benefit and some of the major problems that have been encountered by these new turbines. The book keeps abreast of the environmental changes and the industries answer to these new regulations. A new chapter on case histories has been added to enable the engineer in the field to keep abreast of problems that are being encountered and the solutions that have resulted in solving them. © 2006 Elsevier Inc. All rights reserved.","author":[{"dropping-particle":"","family":"Boyce","given":"Meherwan P.","non-dropping-particle":"","parse-names":false,"suffix":""}],"container-title":"Gas Turbine Engineering Handbook","edition":"4th","editor":[{"dropping-particle":"","family":"Butterworth-Heinemann","given":"","non-dropping-particle":"","parse-names":false,"suffix":""}],"id":"ITEM-1","issued":{"date-parts":[["2012"]]},"publisher":"Elsevier B.V","title":"Gas Turbine Engineering Handbook","type":"book"},"uris":["http://www.mendeley.com/documents/?uuid=ff41d575-8e09-4a40-9fd6-029e11dab35e"]}],"mendeley":{"formattedCitation":"(Boyce, 2012)","plainTextFormattedCitation":"(Boyce, 2012)","previouslyFormattedCitation":"(Boyce, 2012)"},"properties":{"noteIndex":0},"schema":"https://github.com/citation-style-language/schema/raw/master/csl-citation.json"}</w:instrText>
      </w:r>
      <w:r w:rsidRPr="00C16F39">
        <w:rPr>
          <w:rFonts w:cs="Arial"/>
          <w:szCs w:val="18"/>
        </w:rPr>
        <w:fldChar w:fldCharType="separate"/>
      </w:r>
      <w:r w:rsidRPr="00C16F39">
        <w:rPr>
          <w:rFonts w:cs="Arial"/>
          <w:noProof/>
          <w:szCs w:val="18"/>
        </w:rPr>
        <w:t>(Boyce, 2012)</w:t>
      </w:r>
      <w:r w:rsidRPr="00C16F39">
        <w:rPr>
          <w:rFonts w:cs="Arial"/>
          <w:szCs w:val="18"/>
        </w:rPr>
        <w:fldChar w:fldCharType="end"/>
      </w:r>
      <w:r w:rsidRPr="00C16F39">
        <w:rPr>
          <w:rFonts w:cs="Arial"/>
          <w:szCs w:val="18"/>
        </w:rPr>
        <w:t xml:space="preserve">. Besides, these properties are commonly adopted for the evaluation of detailed kinetic mechanisms, because of their representativeness of the overall system reactivity at elevated or low temperature, respectively. In fact, experimental apparatuses commonly adopted for the collection of IDT data operate from 600 K to 2000 K, whereas homologous systems for the evaluation of the laminar burning velocity are usually adopted for temperature lower than 600 K </w:t>
      </w:r>
      <w:r w:rsidRPr="00C16F39">
        <w:rPr>
          <w:rFonts w:cs="Arial"/>
          <w:szCs w:val="18"/>
        </w:rPr>
        <w:fldChar w:fldCharType="begin" w:fldLock="1"/>
      </w:r>
      <w:r w:rsidRPr="00C16F39">
        <w:rPr>
          <w:rFonts w:cs="Arial"/>
          <w:szCs w:val="18"/>
        </w:rPr>
        <w:instrText>ADDIN CSL_CITATION {"citationItems":[{"id":"ITEM-1","itemData":{"DOI":"10.1021/acs.energyfuels.8b01796","ISSN":"0887-0624","author":[{"dropping-particle":"","family":"Pio","given":"Gianmaria","non-dropping-particle":"","parse-names":false,"suffix":""},{"dropping-particle":"","family":"Salzano","given":"Ernesto","non-dropping-particle":"","parse-names":false,"suffix":""}],"container-title":"Energy &amp; Fuels","id":"ITEM-1","issued":{"date-parts":[["2018"]]},"page":"8830-8836","title":"Laminar Burning Velocity of Methane, Hydrogen, and Their Mixtures at Extremely Low-Temperature Conditions","type":"article-journal","volume":"32"},"uris":["http://www.mendeley.com/documents/?uuid=073dad2c-e9cc-39c7-a463-22f76a437c2d"]}],"mendeley":{"formattedCitation":"(Pio and Salzano, 2018a)","plainTextFormattedCitation":"(Pio and Salzano, 2018a)","previouslyFormattedCitation":"(Pio and Salzano, 2018a)"},"properties":{"noteIndex":0},"schema":"https://github.com/citation-style-language/schema/raw/master/csl-citation.json"}</w:instrText>
      </w:r>
      <w:r w:rsidRPr="00C16F39">
        <w:rPr>
          <w:rFonts w:cs="Arial"/>
          <w:szCs w:val="18"/>
        </w:rPr>
        <w:fldChar w:fldCharType="separate"/>
      </w:r>
      <w:r w:rsidRPr="00C16F39">
        <w:rPr>
          <w:rFonts w:cs="Arial"/>
          <w:noProof/>
          <w:szCs w:val="18"/>
        </w:rPr>
        <w:t>(Pio and Salzano, 2018a)</w:t>
      </w:r>
      <w:r w:rsidRPr="00C16F39">
        <w:rPr>
          <w:rFonts w:cs="Arial"/>
          <w:szCs w:val="18"/>
        </w:rPr>
        <w:fldChar w:fldCharType="end"/>
      </w:r>
      <w:r w:rsidRPr="00C16F39">
        <w:rPr>
          <w:rFonts w:cs="Arial"/>
          <w:szCs w:val="18"/>
        </w:rPr>
        <w:t xml:space="preserve">. For these reasons, bearing in mind the turbine relevant operative conditions, IDT is often selected as a stand-alone parameter to evaluate the chemistry of bio-syngas combustion. Moreover, IDT has the intrinsic advantage to allow for the correlation of characteristic reaction time with flowing time scales, thus it is vital to design ancillary and connective devices and synchronize operating cycles. </w:t>
      </w:r>
    </w:p>
    <w:p w14:paraId="4C0C52E2" w14:textId="6A24B4F4" w:rsidR="00C16F39" w:rsidRPr="00C16F39" w:rsidRDefault="00C16F39" w:rsidP="005C0FE9">
      <w:pPr>
        <w:pStyle w:val="Paragrafoelenco"/>
        <w:ind w:left="0"/>
        <w:rPr>
          <w:rFonts w:cs="Arial"/>
          <w:szCs w:val="18"/>
        </w:rPr>
      </w:pPr>
      <w:r w:rsidRPr="00C16F39">
        <w:rPr>
          <w:rFonts w:cs="Arial"/>
          <w:szCs w:val="18"/>
        </w:rPr>
        <w:t xml:space="preserve">The IDT, as defined in the European Standard EN 14522:2005 </w:t>
      </w:r>
      <w:r w:rsidRPr="00C16F39">
        <w:rPr>
          <w:rFonts w:cs="Arial"/>
          <w:szCs w:val="18"/>
        </w:rPr>
        <w:fldChar w:fldCharType="begin" w:fldLock="1"/>
      </w:r>
      <w:r w:rsidRPr="00C16F39">
        <w:rPr>
          <w:rFonts w:cs="Arial"/>
          <w:szCs w:val="18"/>
        </w:rPr>
        <w:instrText>ADDIN CSL_CITATION {"citationItems":[{"id":"ITEM-1","itemData":{"author":[{"dropping-particle":"","family":"EN 14522:2005","given":"","non-dropping-particle":"","parse-names":false,"suffix":""}],"id":"ITEM-1","issued":{"date-parts":[["2005"]]},"title":"Determination of the auto ignition temperature of gases and vapour","type":"legislation"},"uris":["http://www.mendeley.com/documents/?uuid=3d9148a9-7d80-452c-9510-94e19f2bcada"]}],"mendeley":{"formattedCitation":"(EN 14522:2005, 2005)","plainTextFormattedCitation":"(EN 14522:2005, 2005)","previouslyFormattedCitation":"(EN 14522:2005, 2005)"},"properties":{"noteIndex":0},"schema":"https://github.com/citation-style-language/schema/raw/master/csl-citation.json"}</w:instrText>
      </w:r>
      <w:r w:rsidRPr="00C16F39">
        <w:rPr>
          <w:rFonts w:cs="Arial"/>
          <w:szCs w:val="18"/>
        </w:rPr>
        <w:fldChar w:fldCharType="separate"/>
      </w:r>
      <w:r w:rsidRPr="00C16F39">
        <w:rPr>
          <w:rFonts w:cs="Arial"/>
          <w:noProof/>
          <w:szCs w:val="18"/>
        </w:rPr>
        <w:t>(EN 14522:2005, 2005)</w:t>
      </w:r>
      <w:r w:rsidRPr="00C16F39">
        <w:rPr>
          <w:rFonts w:cs="Arial"/>
          <w:szCs w:val="18"/>
        </w:rPr>
        <w:fldChar w:fldCharType="end"/>
      </w:r>
      <w:r w:rsidRPr="00C16F39">
        <w:rPr>
          <w:rFonts w:cs="Arial"/>
          <w:szCs w:val="18"/>
        </w:rPr>
        <w:t>, represents the time interval between the injection of the flammable substance and the ignition itself. It represents the induction time of the system, accounting for heating, diffusion, mixing of reactants and formation of radicals involved in the flame reactions (e.g. H·, OH</w:t>
      </w:r>
      <w:r w:rsidR="00AA5ACC">
        <w:rPr>
          <w:rFonts w:cs="Arial"/>
          <w:szCs w:val="18"/>
        </w:rPr>
        <w:t>,</w:t>
      </w:r>
      <w:r w:rsidRPr="00C16F39">
        <w:rPr>
          <w:rFonts w:cs="Arial"/>
          <w:szCs w:val="18"/>
        </w:rPr>
        <w:t xml:space="preserve"> and O) characteristic time scales. These phenomena result in rapid depletion of reactants and gain in gaseous temperature and pressure due to adiabatic and isochoric conditions. Hence, the maximum heat release rate, maximum temperature gradient, maximum concentration of </w:t>
      </w:r>
      <w:proofErr w:type="spellStart"/>
      <w:r w:rsidRPr="00C16F39">
        <w:rPr>
          <w:rFonts w:cs="Arial"/>
          <w:szCs w:val="18"/>
        </w:rPr>
        <w:t>OH·or</w:t>
      </w:r>
      <w:proofErr w:type="spellEnd"/>
      <w:r w:rsidRPr="00C16F39">
        <w:rPr>
          <w:rFonts w:cs="Arial"/>
          <w:szCs w:val="18"/>
        </w:rPr>
        <w:t xml:space="preserve"> CH radicals can be adopted as ignition criteria for the direct measurements of IDT, without effects on the resulting data. On the other hand, the layout and constituting materials of real apparatuses adopted for the experimental purpose can influence the collected data. Indeed, the adoption of standardized procedures and systems </w:t>
      </w:r>
      <w:r w:rsidRPr="00C16F39">
        <w:rPr>
          <w:rFonts w:cs="Arial"/>
          <w:szCs w:val="18"/>
        </w:rPr>
        <w:fldChar w:fldCharType="begin" w:fldLock="1"/>
      </w:r>
      <w:r w:rsidRPr="00C16F39">
        <w:rPr>
          <w:rFonts w:cs="Arial"/>
          <w:szCs w:val="18"/>
        </w:rPr>
        <w:instrText>ADDIN CSL_CITATION {"citationItems":[{"id":"ITEM-1","itemData":{"DOI":"10.1520/D7170-14.2.","ISBN":"1759-5002","ISSN":"0006-3002","abstract":"Ischaemic heart disease, stroke, and other cardiovascular diseases (CVDs) lead to 17.5 million deaths worldwide per year. Taking into account population ageing, CVD death rates are decreasing steadily both in regions with reliable trend data and globally. The declines in high-income countries and some Latin American countries have been ongoing for decades without slowing. These positive trends have broadly coincided with, and benefited from, declines in smoking and physiological risk factors, such as blood pressure and serum cholesterol levels. These declines have also coincided with, and benefited from, improvements in medical care, including primary prevention, diagnosis, and treatment of acute CVDs, as well as post-hospital care, especially in the past 40 years. These variables, however, explain neither why the decline began when it did, nor the similarities and differences in the start time and rate of the decline between countries and sexes. In Russia and some other former Soviet countries, changes in volume and patterns of alcohol consumption have caused sharp rises in CVD mortality since the early 1990s. An important challenge in reaching firm conclusions about the drivers of these remarkable international trends is the paucity of time-trend data on CVD incidence, risk factors throughout the life-course, and clinical care.","author":[{"dropping-particle":"","family":"ASTM D6890-13a","given":"","non-dropping-particle":"","parse-names":false,"suffix":""}],"container-title":"ASTM International","id":"ITEM-1","issued":{"date-parts":[["2013"]]},"title":"Standard Test Method for Determination of Ignition Delay and Derived Cetane Number ( DCN ) of Diesel Fuel Oils by Combustion in a Constant Volume Chamber Method","type":"article-journal"},"uris":["http://www.mendeley.com/documents/?uuid=e329e72d-429d-4828-b459-2be4d94403e2"]}],"mendeley":{"formattedCitation":"(ASTM D6890-13a, 2013)","manualFormatting":"(e.g. ASTM D6890-13a, 2013)","plainTextFormattedCitation":"(ASTM D6890-13a, 2013)","previouslyFormattedCitation":"(ASTM D6890-13a, 2013)"},"properties":{"noteIndex":0},"schema":"https://github.com/citation-style-language/schema/raw/master/csl-citation.json"}</w:instrText>
      </w:r>
      <w:r w:rsidRPr="00C16F39">
        <w:rPr>
          <w:rFonts w:cs="Arial"/>
          <w:szCs w:val="18"/>
        </w:rPr>
        <w:fldChar w:fldCharType="separate"/>
      </w:r>
      <w:r w:rsidRPr="00C16F39">
        <w:rPr>
          <w:rFonts w:cs="Arial"/>
          <w:noProof/>
          <w:szCs w:val="18"/>
        </w:rPr>
        <w:t>(e.g. ASTM D6890-13a, 2013)</w:t>
      </w:r>
      <w:r w:rsidRPr="00C16F39">
        <w:rPr>
          <w:rFonts w:cs="Arial"/>
          <w:szCs w:val="18"/>
        </w:rPr>
        <w:fldChar w:fldCharType="end"/>
      </w:r>
      <w:r w:rsidRPr="00C16F39">
        <w:rPr>
          <w:rFonts w:cs="Arial"/>
          <w:szCs w:val="18"/>
        </w:rPr>
        <w:t xml:space="preserve"> is strongly encouraged to limit the effect of systematic errors and obtain consistent, comparable, and significant data. In this light, a brief description of some of the most common apparatuses utilized in the last decades for the characterization of IDT, i.e. continuous flow systems (CFS), shock tube (ST), and rapid compression machine (RCM), was given. CFS is fed with the reacting mixture at the given flow rate, temperature, and pressure. The temperature profile is monitored along the reactor. If the ignition does not occur, i.e. if a negligible rise in temperature is observed, the initial conditions are changed, commonly the initial temperature is increased. This procedure is repeated until the mixture ignites. </w:t>
      </w:r>
    </w:p>
    <w:p w14:paraId="0FD4840B" w14:textId="5C97E97B" w:rsidR="00C16F39" w:rsidRPr="00C16F39" w:rsidRDefault="00C16F39" w:rsidP="005C0FE9">
      <w:pPr>
        <w:pStyle w:val="Paragrafoelenco"/>
        <w:ind w:left="0"/>
        <w:rPr>
          <w:rFonts w:cs="Arial"/>
          <w:szCs w:val="18"/>
        </w:rPr>
      </w:pPr>
      <w:r w:rsidRPr="00C16F39">
        <w:rPr>
          <w:rFonts w:cs="Arial"/>
          <w:szCs w:val="18"/>
        </w:rPr>
        <w:t xml:space="preserve">The ignition delay times are computed as the time required to reach the flame front from the feeding point, knowing the feeding velocity. This configuration was intended to simulate the plug flow reactor to minimize non-homogeneities and disregard non-chemical phenomena, thus the feeding section should be carefully designed to reduce the risk of downstream recirculation zones and unwanted concentration gradients. However, the utilization of continuous-flow devices for ignition characterization is inherently limited at medium temperature, because of the use of electrical resistance-type air heaters. The ST is commonly adopted for kinetic evaluation because of its versatility, simplicity and high repeatability of test conditions, as already reported in the early study of Belford and </w:t>
      </w:r>
      <w:proofErr w:type="spellStart"/>
      <w:r w:rsidRPr="00C16F39">
        <w:rPr>
          <w:rFonts w:cs="Arial"/>
          <w:szCs w:val="18"/>
        </w:rPr>
        <w:t>Strehlow</w:t>
      </w:r>
      <w:proofErr w:type="spellEnd"/>
      <w:r w:rsidRPr="00C16F39">
        <w:rPr>
          <w:rFonts w:cs="Arial"/>
          <w:szCs w:val="18"/>
        </w:rPr>
        <w:t xml:space="preserve"> </w:t>
      </w:r>
      <w:r w:rsidRPr="00C16F39">
        <w:rPr>
          <w:rFonts w:cs="Arial"/>
          <w:szCs w:val="18"/>
        </w:rPr>
        <w:fldChar w:fldCharType="begin" w:fldLock="1"/>
      </w:r>
      <w:r w:rsidRPr="00C16F39">
        <w:rPr>
          <w:rFonts w:cs="Arial"/>
          <w:szCs w:val="18"/>
        </w:rPr>
        <w:instrText>ADDIN CSL_CITATION {"citationItems":[{"id":"ITEM-1","itemData":{"DOI":"10.1146/annurev.pc.41.100190.003015","ISSN":"0066-426X","abstract":"SCOPE AND PURPOSE In the past 4 years, since the last review in this series (1) , the volume of shock tube literature has increased so markedly that in this limited space it is not even possible to mention most of the important papers. In fact, the range of problems studied by shock techniques is so great that most of the chemical results are best discussed not in technique-oriented but rather in problem-oriented reviews such as the Gas Kinetics series (2, 3). Moreov er, recent significant advances in technique include a number of studies on nonidealities in shock tube flow which have finally placed the design, opera­ tion, and interpretation of shock experiments on a reasonably rigorous and quantitative basis. Unfortunately, many chemists using the shock tube have paid scanty attention to these nonidealities although the field has, in fact, matured to such an extent tha t there is now little need to present data which ' have been reduced without consideration of nonideal behavior. Accordingly, this article will attempt to provide the following services to chemical kineticists interested in shock tube work: (a) a guide to recent reviews of shock tube chemistry; (b) a reasonably comprehensive summary of real shock tube behavior and a discussion of design and analysis points one ought to consider; and (c) brief comments on some examples of impor­ tant recent chemical studies.","author":[{"dropping-particle":"","family":"Belford","given":"Linn","non-dropping-particle":"","parse-names":false,"suffix":""},{"dropping-particle":"","family":"Strehlow","given":"Roger A.","non-dropping-particle":"","parse-names":false,"suffix":""}],"container-title":"Annual review of physical chemistry","id":"ITEM-1","issued":{"date-parts":[["1969"]]},"title":"Shock tube technique in chemical kinetics","type":"article-journal"},"uris":["http://www.mendeley.com/documents/?uuid=ba8dfdcf-46c3-4c57-88a5-37a32624eec9"]}],"mendeley":{"formattedCitation":"(Belford and Strehlow, 1969)","plainTextFormattedCitation":"(Belford and Strehlow, 1969)","previouslyFormattedCitation":"(Belford and Strehlow, 1969)"},"properties":{"noteIndex":0},"schema":"https://github.com/citation-style-language/schema/raw/master/csl-citation.json"}</w:instrText>
      </w:r>
      <w:r w:rsidRPr="00C16F39">
        <w:rPr>
          <w:rFonts w:cs="Arial"/>
          <w:szCs w:val="18"/>
        </w:rPr>
        <w:fldChar w:fldCharType="separate"/>
      </w:r>
      <w:r w:rsidRPr="00C16F39">
        <w:rPr>
          <w:rFonts w:cs="Arial"/>
          <w:noProof/>
          <w:szCs w:val="18"/>
        </w:rPr>
        <w:t>(Belford and Strehlow, 1969)</w:t>
      </w:r>
      <w:r w:rsidRPr="00C16F39">
        <w:rPr>
          <w:rFonts w:cs="Arial"/>
          <w:szCs w:val="18"/>
        </w:rPr>
        <w:fldChar w:fldCharType="end"/>
      </w:r>
      <w:r w:rsidRPr="00C16F39">
        <w:rPr>
          <w:rFonts w:cs="Arial"/>
          <w:szCs w:val="18"/>
        </w:rPr>
        <w:t xml:space="preserve"> and, more recently, critically </w:t>
      </w:r>
      <w:proofErr w:type="spellStart"/>
      <w:r w:rsidRPr="00C16F39">
        <w:rPr>
          <w:rFonts w:cs="Arial"/>
          <w:szCs w:val="18"/>
        </w:rPr>
        <w:t>analyzed</w:t>
      </w:r>
      <w:proofErr w:type="spellEnd"/>
      <w:r w:rsidRPr="00C16F39">
        <w:rPr>
          <w:rFonts w:cs="Arial"/>
          <w:szCs w:val="18"/>
        </w:rPr>
        <w:t xml:space="preserve"> by </w:t>
      </w:r>
      <w:proofErr w:type="spellStart"/>
      <w:r w:rsidRPr="00C16F39">
        <w:rPr>
          <w:rFonts w:cs="Arial"/>
          <w:szCs w:val="18"/>
        </w:rPr>
        <w:t>Bhaskaran</w:t>
      </w:r>
      <w:proofErr w:type="spellEnd"/>
      <w:r w:rsidRPr="00C16F39">
        <w:rPr>
          <w:rFonts w:cs="Arial"/>
          <w:szCs w:val="18"/>
        </w:rPr>
        <w:t xml:space="preserve"> and Roth </w:t>
      </w:r>
      <w:r w:rsidRPr="00C16F39">
        <w:rPr>
          <w:rFonts w:cs="Arial"/>
          <w:szCs w:val="18"/>
        </w:rPr>
        <w:fldChar w:fldCharType="begin" w:fldLock="1"/>
      </w:r>
      <w:r w:rsidRPr="00C16F39">
        <w:rPr>
          <w:rFonts w:cs="Arial"/>
          <w:szCs w:val="18"/>
        </w:rPr>
        <w:instrText>ADDIN CSL_CITATION {"citationItems":[{"id":"ITEM-1","itemData":{"DOI":"10.1007/BF00758138","ISBN":"1492033793087","ISSN":"0091150X","abstract":"Several important reviews of shock tube kinetics have appeared earlier, prominent among them being ‘Shock Tube Technique in Chemical Kinetics’ by Belford and Strehlow [Ann Rev Phys Chem 20 (1969) 247], ‘Chemical Reaction of Shock Waves’ by Wagner [Proceedings of the Eighth International Shock Tube Symposium (1971) 4/1], ‘Shock Tube and Shock Wave Research’ by Bauer and Lewis [Proceedings of the 11th International Symposium on Shock Tubes and Waves (1977) 269], ‘Shock Waves in Chemistry’ edited by Assa Lifshitz [Shock Waves in Chemistry, 1981] and ‘Shock Tube Techniques in Chemical Kinetics’ by Wing Tsang and Assa Lifshitz [Annu Rev Phys Chem 41 (1990) 559]. A critical analysis of the different shock tube techniques, their limitations and suggestions to improve the accuracy of the data produced are contained in these reviews. The purpose of this article is to present the current status of kinetic research with emphasis on the diagnostic techniques. Selected studies on homogeneous and dispersed systems are presented to bring out the versatility of the shock tube technique. The use of the shock tube as high temperature wave reactor for gas phase material synthesis is also highlighted.","author":[{"dropping-particle":"","family":"Bhaskaran","given":"K.A.","non-dropping-particle":"","parse-names":false,"suffix":""},{"dropping-particle":"","family":"Roth","given":"P.","non-dropping-particle":"","parse-names":false,"suffix":""}],"container-title":"Progress in Energy and Combustion Science","id":"ITEM-1","issued":{"date-parts":[["2002"]]},"page":"151-192","title":"The shock tube as wave reactor for kinetic studies and material systems","type":"article-journal","volume":"28"},"uris":["http://www.mendeley.com/documents/?uuid=6e0a4812-2983-42df-ae18-13ff17967bfa"]}],"mendeley":{"formattedCitation":"(Bhaskaran and Roth, 2002)","plainTextFormattedCitation":"(Bhaskaran and Roth, 2002)","previouslyFormattedCitation":"(Bhaskaran and Roth, 2002)"},"properties":{"noteIndex":0},"schema":"https://github.com/citation-style-language/schema/raw/master/csl-citation.json"}</w:instrText>
      </w:r>
      <w:r w:rsidRPr="00C16F39">
        <w:rPr>
          <w:rFonts w:cs="Arial"/>
          <w:szCs w:val="18"/>
        </w:rPr>
        <w:fldChar w:fldCharType="separate"/>
      </w:r>
      <w:r w:rsidRPr="00C16F39">
        <w:rPr>
          <w:rFonts w:cs="Arial"/>
          <w:noProof/>
          <w:szCs w:val="18"/>
        </w:rPr>
        <w:t>(Bhaskaran and Roth, 2002)</w:t>
      </w:r>
      <w:r w:rsidRPr="00C16F39">
        <w:rPr>
          <w:rFonts w:cs="Arial"/>
          <w:szCs w:val="18"/>
        </w:rPr>
        <w:fldChar w:fldCharType="end"/>
      </w:r>
      <w:r w:rsidRPr="00C16F39">
        <w:rPr>
          <w:rFonts w:cs="Arial"/>
          <w:szCs w:val="18"/>
        </w:rPr>
        <w:t xml:space="preserve">. The apparatus core consists of a rectangular or circular cross-section tube equipped with a diaphragm separating low-pressure gas (even a partial vacuum), referred to as driven gas, and commonly a low molecular weight gas (e.g. helium), by high-pressure gas, referred as driver gas. Two monitoring points are conveniently located along the tube by placing likewise measuring systems, depending on the selected criteria (e.g. pressure transducer in case of pressure rise as IDT criterion). Bursting diaphragm generates a shock wave, resulting in increased driven gas temperature and pressure. The time required for the shock wave to traverse the distance between the two monitoring points is collected and related to the IDT </w:t>
      </w:r>
      <w:r w:rsidRPr="00C16F39">
        <w:rPr>
          <w:rFonts w:cs="Arial"/>
          <w:szCs w:val="18"/>
        </w:rPr>
        <w:fldChar w:fldCharType="begin" w:fldLock="1"/>
      </w:r>
      <w:r w:rsidRPr="00C16F39">
        <w:rPr>
          <w:rFonts w:cs="Arial"/>
          <w:szCs w:val="18"/>
        </w:rPr>
        <w:instrText>ADDIN CSL_CITATION {"citationItems":[{"id":"ITEM-1","itemData":{"DOI":"10.1007/BF00758138","ISBN":"1492033793087","ISSN":"0091150X","abstract":"Several important reviews of shock tube kinetics have appeared earlier, prominent among them being ‘Shock Tube Technique in Chemical Kinetics’ by Belford and Strehlow [Ann Rev Phys Chem 20 (1969) 247], ‘Chemical Reaction of Shock Waves’ by Wagner [Proceedings of the Eighth International Shock Tube Symposium (1971) 4/1], ‘Shock Tube and Shock Wave Research’ by Bauer and Lewis [Proceedings of the 11th International Symposium on Shock Tubes and Waves (1977) 269], ‘Shock Waves in Chemistry’ edited by Assa Lifshitz [Shock Waves in Chemistry, 1981] and ‘Shock Tube Techniques in Chemical Kinetics’ by Wing Tsang and Assa Lifshitz [Annu Rev Phys Chem 41 (1990) 559]. A critical analysis of the different shock tube techniques, their limitations and suggestions to improve the accuracy of the data produced are contained in these reviews. The purpose of this article is to present the current status of kinetic research with emphasis on the diagnostic techniques. Selected studies on homogeneous and dispersed systems are presented to bring out the versatility of the shock tube technique. The use of the shock tube as high temperature wave reactor for gas phase material synthesis is also highlighted.","author":[{"dropping-particle":"","family":"Bhaskaran","given":"K.A.","non-dropping-particle":"","parse-names":false,"suffix":""},{"dropping-particle":"","family":"Roth","given":"P.","non-dropping-particle":"","parse-names":false,"suffix":""}],"container-title":"Progress in Energy and Combustion Science","id":"ITEM-1","issued":{"date-parts":[["2002"]]},"page":"151-192","title":"The shock tube as wave reactor for kinetic studies and material systems","type":"article-journal","volume":"28"},"uris":["http://www.mendeley.com/documents/?uuid=6e0a4812-2983-42df-ae18-13ff17967bfa"]}],"mendeley":{"formattedCitation":"(Bhaskaran and Roth, 2002)","plainTextFormattedCitation":"(Bhaskaran and Roth, 2002)","previouslyFormattedCitation":"(Bhaskaran and Roth, 2002)"},"properties":{"noteIndex":0},"schema":"https://github.com/citation-style-language/schema/raw/master/csl-citation.json"}</w:instrText>
      </w:r>
      <w:r w:rsidRPr="00C16F39">
        <w:rPr>
          <w:rFonts w:cs="Arial"/>
          <w:szCs w:val="18"/>
        </w:rPr>
        <w:fldChar w:fldCharType="separate"/>
      </w:r>
      <w:r w:rsidRPr="00C16F39">
        <w:rPr>
          <w:rFonts w:cs="Arial"/>
          <w:noProof/>
          <w:szCs w:val="18"/>
        </w:rPr>
        <w:t>(Bhaskaran and Roth, 2002)</w:t>
      </w:r>
      <w:r w:rsidRPr="00C16F39">
        <w:rPr>
          <w:rFonts w:cs="Arial"/>
          <w:szCs w:val="18"/>
        </w:rPr>
        <w:fldChar w:fldCharType="end"/>
      </w:r>
      <w:r w:rsidRPr="00C16F39">
        <w:rPr>
          <w:rFonts w:cs="Arial"/>
          <w:szCs w:val="18"/>
        </w:rPr>
        <w:t xml:space="preserve">. Recently the temperature range within ST has been adopted has been considerably broadened, since it is suitable for the evaluation of IDT from </w:t>
      </w:r>
      <w:proofErr w:type="spellStart"/>
      <w:r w:rsidRPr="00C16F39">
        <w:rPr>
          <w:rFonts w:cs="Arial"/>
          <w:szCs w:val="18"/>
        </w:rPr>
        <w:t>μs</w:t>
      </w:r>
      <w:proofErr w:type="spellEnd"/>
      <w:r w:rsidRPr="00C16F39">
        <w:rPr>
          <w:rFonts w:cs="Arial"/>
          <w:szCs w:val="18"/>
        </w:rPr>
        <w:t xml:space="preserve"> to 10 </w:t>
      </w:r>
      <w:proofErr w:type="spellStart"/>
      <w:r w:rsidRPr="00C16F39">
        <w:rPr>
          <w:rFonts w:cs="Arial"/>
          <w:szCs w:val="18"/>
        </w:rPr>
        <w:t>ms</w:t>
      </w:r>
      <w:proofErr w:type="spellEnd"/>
      <w:r w:rsidRPr="00C16F39">
        <w:rPr>
          <w:rFonts w:cs="Arial"/>
          <w:szCs w:val="18"/>
        </w:rPr>
        <w:t xml:space="preserve"> </w:t>
      </w:r>
      <w:r w:rsidRPr="00C16F39">
        <w:rPr>
          <w:rFonts w:cs="Arial"/>
          <w:szCs w:val="18"/>
        </w:rPr>
        <w:fldChar w:fldCharType="begin" w:fldLock="1"/>
      </w:r>
      <w:r w:rsidRPr="00C16F39">
        <w:rPr>
          <w:rFonts w:cs="Arial"/>
          <w:szCs w:val="18"/>
        </w:rPr>
        <w:instrText>ADDIN CSL_CITATION {"citationItems":[{"id":"ITEM-1","itemData":{"DOI":"10.1016/j.pecs.2014.04.001","ISBN":"0360-1285","ISSN":"03601285","abstract":"Rapid compression machines (RCMs) are used to simulate a single compression stroke of an internal combustion engine without some of the complicated swirl bowl geometry, cycle-to-cycle variation, residual gas, and other complications associated with engine operating conditions. RCMs are primarily used to measure ignition delay times as a function of temperature, pressure, and fuel/oxygen/diluent ratio; further they can be equipped with diagnostics to determine the temperature and flow fields inside the reaction chamber and to measure the concentrations of reactant, intermediate, and product species produced during combustion. This paper first discusses the operational principles and design features of RCMs, including the use of creviced pistons, which is an important feature in order to suppress the boundary layer, preventing it from becoming entrained into the reaction chamber via a roll-up vortex. The paper then discusses methods by which experiments performed in RCMs are interpreted and simulated. Furthermore, differences in measured ignition delays from RCMs and shock tube facilities are discussed, with the apparent initial gross disagreement being explained by facility effects in both types of experiments. Finally, future directions for using RCMs in chemical kinetics studies are also discussed. © 2014 Elsevier Ltd. All rights reserved.","author":[{"dropping-particle":"","family":"Sung","given":"Chih Jen","non-dropping-particle":"","parse-names":false,"suffix":""},{"dropping-particle":"","family":"Curran","given":"Henry J.","non-dropping-particle":"","parse-names":false,"suffix":""}],"container-title":"Progress in Energy and Combustion Science","id":"ITEM-1","issued":{"date-parts":[["2014"]]},"page":"1-18","publisher":"Elsevier Ltd","title":"Using rapid compression machines for chemical kinetics studies","type":"article-journal","volume":"44"},"uris":["http://www.mendeley.com/documents/?uuid=a6c05449-86b5-406d-9068-31113a438bd6"]}],"mendeley":{"formattedCitation":"(Sung and Curran, 2014)","plainTextFormattedCitation":"(Sung and Curran, 2014)","previouslyFormattedCitation":"(Sung and Curran, 2014)"},"properties":{"noteIndex":0},"schema":"https://github.com/citation-style-language/schema/raw/master/csl-citation.json"}</w:instrText>
      </w:r>
      <w:r w:rsidRPr="00C16F39">
        <w:rPr>
          <w:rFonts w:cs="Arial"/>
          <w:szCs w:val="18"/>
        </w:rPr>
        <w:fldChar w:fldCharType="separate"/>
      </w:r>
      <w:r w:rsidRPr="00C16F39">
        <w:rPr>
          <w:rFonts w:cs="Arial"/>
          <w:noProof/>
          <w:szCs w:val="18"/>
        </w:rPr>
        <w:t>(Sung and Curran, 2014)</w:t>
      </w:r>
      <w:r w:rsidRPr="00C16F39">
        <w:rPr>
          <w:rFonts w:cs="Arial"/>
          <w:szCs w:val="18"/>
        </w:rPr>
        <w:fldChar w:fldCharType="end"/>
      </w:r>
      <w:r w:rsidRPr="00C16F39">
        <w:rPr>
          <w:rFonts w:cs="Arial"/>
          <w:szCs w:val="18"/>
        </w:rPr>
        <w:t xml:space="preserve">. Notwithstanding that, limitations for the application of ST at intermediate and the low temperature still exist. On the contrary, IDT measurable by using RCMs may variate within 2 – 150 </w:t>
      </w:r>
      <w:proofErr w:type="spellStart"/>
      <w:r w:rsidRPr="00C16F39">
        <w:rPr>
          <w:rFonts w:cs="Arial"/>
          <w:szCs w:val="18"/>
        </w:rPr>
        <w:t>ms</w:t>
      </w:r>
      <w:proofErr w:type="spellEnd"/>
      <w:r w:rsidRPr="00C16F39">
        <w:rPr>
          <w:rFonts w:cs="Arial"/>
          <w:szCs w:val="18"/>
        </w:rPr>
        <w:t xml:space="preserve"> </w:t>
      </w:r>
      <w:r w:rsidRPr="00C16F39">
        <w:rPr>
          <w:rFonts w:cs="Arial"/>
          <w:szCs w:val="18"/>
        </w:rPr>
        <w:fldChar w:fldCharType="begin" w:fldLock="1"/>
      </w:r>
      <w:r w:rsidRPr="00C16F39">
        <w:rPr>
          <w:rFonts w:cs="Arial"/>
          <w:szCs w:val="18"/>
        </w:rPr>
        <w:instrText>ADDIN CSL_CITATION {"citationItems":[{"id":"ITEM-1","itemData":{"DOI":"10.1016/j.pecs.2017.05.002","ISBN":"0360-1285","ISSN":"03601285","abstract":"Rapid compression machines (RCMs) are widely used to acquire experimental insights into fuel autoignition and pollutant formation chemistry, especially at conditions relevant to current and future combustion technologies. RCM studies emphasize important experimental regimes, characterized by low- to intermediate-temperatures (600–1200 K) and moderate to high pressures (5–80 bar). At these conditions, which are directly relevant to modern combustion schemes including low temperature combustion (LTC) for internal combustion engines and dry low emissions (DLE) for gas turbine engines, combustion chemistry exhibits complex and experimentally challenging behaviors such as the chemistry attributed to cool flame behavior and the negative temperature coefficient regime. Challenges for studying this regime include that experimental observations can be more sensitive to coupled physical-chemical processes leading to phenomena such as mixed deflagrative/autoignitive combustion. Experimental strategies which leverage the strengths of RCMs have been developed in recent years to make RCMs particularly well suited for elucidating LTC and DLE chemistry, as well as convolved physical-chemical processes. Specifically, this work presents a review of experimental and computational efforts applying RCMs to study autoignition phenomena, and the insights gained through these efforts. A brief history of RCM development is presented towards the steady improvement in design, characterization, instrumentation and data analysis. Novel experimental approaches and measurement techniques, coordinated with computational methods are described which have expanded the utility of RCMs beyond empirical studies of explosion limits to increasingly detailed understanding of autoignition chemistry and the role of physical-chemical interactions. Fundamental insight into the autoignition chemistry of specific fuels is described, demonstrating the extent of knowledge of low-temperature chemistry derived from RCM studies, from simple hydrocarbons to multi-component blends and full-boiling range fuels. Emerging needs and further opportunities are suggested, including investigations of under-explored fuels and the implementation of increasingly higher fidelity diagnostics.","author":[{"dropping-particle":"","family":"Goldsborough","given":"S. Scott","non-dropping-particle":"","parse-names":false,"suffix":""},{"dropping-particle":"","family":"Hochgreb","given":"Simone","non-dropping-particle":"","parse-names":false,"suffix":""},{"dropping-particle":"","family":"Vanhove","given":"Guillaume","non-dropping-particle":"","parse-names":false,"suffix":""},{"dropping-particle":"","family":"Wooldridge","given":"Margaret S.","non-dropping-particle":"","parse-names":false,"suffix":""},{"dropping-particle":"","family":"Curran","given":"Henry J.","non-dropping-particle":"","parse-names":false,"suffix":""},{"dropping-particle":"","family":"Sung","given":"Chih Jen","non-dropping-particle":"","parse-names":false,"suffix":""}],"container-title":"Progress in Energy and Combustion Science","id":"ITEM-1","issued":{"date-parts":[["2017"]]},"page":"1-78","publisher":"Elsevier Ltd","title":"Advances in rapid compression machine studies of low- and intermediate-temperature autoignition phenomena","type":"article-journal","volume":"63"},"uris":["http://www.mendeley.com/documents/?uuid=fef18139-0135-4610-9dcf-f847ebe36f10"]}],"mendeley":{"formattedCitation":"(Goldsborough et al., 2017)","plainTextFormattedCitation":"(Goldsborough et al., 2017)","previouslyFormattedCitation":"(Goldsborough et al., 2017)"},"properties":{"noteIndex":0},"schema":"https://github.com/citation-style-language/schema/raw/master/csl-citation.json"}</w:instrText>
      </w:r>
      <w:r w:rsidRPr="00C16F39">
        <w:rPr>
          <w:rFonts w:cs="Arial"/>
          <w:szCs w:val="18"/>
        </w:rPr>
        <w:fldChar w:fldCharType="separate"/>
      </w:r>
      <w:r w:rsidRPr="00C16F39">
        <w:rPr>
          <w:rFonts w:cs="Arial"/>
          <w:noProof/>
          <w:szCs w:val="18"/>
        </w:rPr>
        <w:t>(Goldsborough et al., 2017)</w:t>
      </w:r>
      <w:r w:rsidRPr="00C16F39">
        <w:rPr>
          <w:rFonts w:cs="Arial"/>
          <w:szCs w:val="18"/>
        </w:rPr>
        <w:fldChar w:fldCharType="end"/>
      </w:r>
      <w:r w:rsidRPr="00C16F39">
        <w:rPr>
          <w:rFonts w:cs="Arial"/>
          <w:szCs w:val="18"/>
        </w:rPr>
        <w:t xml:space="preserve">, Indeed, RCM is widely adopted for the characterization of </w:t>
      </w:r>
      <w:proofErr w:type="spellStart"/>
      <w:r w:rsidRPr="00C16F39">
        <w:rPr>
          <w:rFonts w:cs="Arial"/>
          <w:szCs w:val="18"/>
        </w:rPr>
        <w:t>autoignition</w:t>
      </w:r>
      <w:proofErr w:type="spellEnd"/>
      <w:r w:rsidRPr="00C16F39">
        <w:rPr>
          <w:rFonts w:cs="Arial"/>
          <w:szCs w:val="18"/>
        </w:rPr>
        <w:t xml:space="preserve"> </w:t>
      </w:r>
      <w:proofErr w:type="spellStart"/>
      <w:r w:rsidRPr="00C16F39">
        <w:rPr>
          <w:rFonts w:cs="Arial"/>
          <w:szCs w:val="18"/>
        </w:rPr>
        <w:t>behavior</w:t>
      </w:r>
      <w:proofErr w:type="spellEnd"/>
      <w:r w:rsidRPr="00C16F39">
        <w:rPr>
          <w:rFonts w:cs="Arial"/>
          <w:szCs w:val="18"/>
        </w:rPr>
        <w:t xml:space="preserve"> at intermediate temperature (within the range 600 K – 1400 K), i.e. for the characterization of the negative temperature coefficient region, where tailored and well-designed procedures and apparatuses are essential for the development of accurate models accounting for physical-chemical aspects, for the sake of studying combustion occurring at turbines conditions </w:t>
      </w:r>
      <w:r w:rsidRPr="00C16F39">
        <w:rPr>
          <w:rFonts w:cs="Arial"/>
          <w:szCs w:val="18"/>
        </w:rPr>
        <w:fldChar w:fldCharType="begin" w:fldLock="1"/>
      </w:r>
      <w:r w:rsidRPr="00C16F39">
        <w:rPr>
          <w:rFonts w:cs="Arial"/>
          <w:szCs w:val="18"/>
        </w:rPr>
        <w:instrText>ADDIN CSL_CITATION {"citationItems":[{"id":"ITEM-1","itemData":{"DOI":"10.1016/j.combustflame.2014.12.001","ISBN":"0010-2180","ISSN":"15562921","abstract":"A large set of experimental data was accumulated for syngas combustion: ignition studies in shock tubes (732 data points in 62 datasets) and in rapid compression machines (492/47), flame velocity determinations (2116/217) and species concentration measurements from flow reactors (1104/58), shock tubes (436/21) and jet-stirred reactors (90/3). In total, 4970 data points in 408 datasets from 52 publications were collected covering wide ranges of temperature T, pressure p, equivalence ratio ϕ, CO/H2 ratio and diluent concentration Xdil. 16 recent syngas combustion mechanisms were tested against these experimental data, and the dependence of their predictions on the types of experiment and the experimental conditions was investigated. Several clear trends were found. Ignition delay times measured in rapid compression machines (RCM) and in shock tubes (ST) at temperatures below 1000K could not be well-predicted. Particularly for shock tubes, facility effects at temperatures below 1000K could not be excluded. The accuracy of the reproduction of ignition delay times did not change significantly with pressure. The agreement of measured and simulated laminar flame velocities is better at low initial (i.e. cold side) temperatures, at fuel-lean conditions, for CO-rich and highly diluted mixtures. The reproduction of the experimental flame velocities is better when these were measured using the heat flux method or the counterflow twin-flame technique, compared to the flame cone method and the outwardly propagating spherical flame approach. With respect to all data used in this comparison, five mechanisms were identified that reproduce the experimental data similarly well. These are the NUIG-NGM-2010, Kéromnès-2013, Davis-2005, Li-2007 and USC-II-2007 mechanisms, in decreasing order of their overall performance. The influence of poorly reproduced experiments and weighting on the performance of the mechanisms was investigated. Furthermore, an analysis of local sensitivity coefficients was carried out to determine the influence of selected reactions at the given experimental conditions and to identify those reactions that require more attention in future development of syngas combustion models.","author":[{"dropping-particle":"","family":"Olm","given":"Carsten","non-dropping-particle":"","parse-names":false,"suffix":""},{"dropping-particle":"","family":"Zsély","given":"István Gy","non-dropping-particle":"","parse-names":false,"suffix":""},{"dropping-particle":"","family":"Varga","given":"Tamás","non-dropping-particle":"","parse-names":false,"suffix":""},{"dropping-particle":"","family":"Curran","given":"Henry J.","non-dropping-particle":"","parse-names":false,"suffix":""},{"dropping-particle":"","family":"Turányi","given":"Tamás","non-dropping-particle":"","parse-names":false,"suffix":""}],"container-title":"Combustion and Flame","id":"ITEM-1","issue":"5","issued":{"date-parts":[["2015"]]},"page":"1793-1812","publisher":"The Combustion Institute","title":"Comparison of the performance of several recent syngas combustion mechanisms","type":"article-journal","volume":"162"},"uris":["http://www.mendeley.com/documents/?uuid=eb0654a5-e145-45f8-8df6-741202ee186d"]}],"mendeley":{"formattedCitation":"(Olm et al., 2015)","plainTextFormattedCitation":"(Olm et al., 2015)","previouslyFormattedCitation":"(Olm et al., 2015)"},"properties":{"noteIndex":0},"schema":"https://github.com/citation-style-language/schema/raw/master/csl-citation.json"}</w:instrText>
      </w:r>
      <w:r w:rsidRPr="00C16F39">
        <w:rPr>
          <w:rFonts w:cs="Arial"/>
          <w:szCs w:val="18"/>
        </w:rPr>
        <w:fldChar w:fldCharType="separate"/>
      </w:r>
      <w:r w:rsidRPr="00C16F39">
        <w:rPr>
          <w:rFonts w:cs="Arial"/>
          <w:noProof/>
          <w:szCs w:val="18"/>
        </w:rPr>
        <w:t>(Olm et al., 2015)</w:t>
      </w:r>
      <w:r w:rsidRPr="00C16F39">
        <w:rPr>
          <w:rFonts w:cs="Arial"/>
          <w:szCs w:val="18"/>
        </w:rPr>
        <w:fldChar w:fldCharType="end"/>
      </w:r>
      <w:r w:rsidRPr="00C16F39">
        <w:rPr>
          <w:rFonts w:cs="Arial"/>
          <w:szCs w:val="18"/>
        </w:rPr>
        <w:t xml:space="preserve">. This apparatus simulates a single compression stroke of an engine by rapidly compressing the premixed mixture fed in an almost adiabatic combustion chamber and evaluate the IDT by monitoring the pressure evolution along the test time. More recently, the constant volume spray combustion chamber (CVSCC) has been adopted for the measurement of spray ignition delay time for conventional and alternative fuels at intermediate temperature (i.e. ranging from 600 K to 850 K) </w:t>
      </w:r>
      <w:r w:rsidRPr="00C16F39">
        <w:rPr>
          <w:rFonts w:cs="Arial"/>
          <w:szCs w:val="18"/>
        </w:rPr>
        <w:fldChar w:fldCharType="begin" w:fldLock="1"/>
      </w:r>
      <w:r w:rsidRPr="00C16F39">
        <w:rPr>
          <w:rFonts w:cs="Arial"/>
          <w:szCs w:val="18"/>
        </w:rPr>
        <w:instrText>ADDIN CSL_CITATION {"citationItems":[{"id":"ITEM-1","itemData":{"DOI":"10.1016/j.pecs.2017.05.002","ISBN":"0360-1285","ISSN":"03601285","abstract":"Rapid compression machines (RCMs) are widely used to acquire experimental insights into fuel autoignition and pollutant formation chemistry, especially at conditions relevant to current and future combustion technologies. RCM studies emphasize important experimental regimes, characterized by low- to intermediate-temperatures (600–1200 K) and moderate to high pressures (5–80 bar). At these conditions, which are directly relevant to modern combustion schemes including low temperature combustion (LTC) for internal combustion engines and dry low emissions (DLE) for gas turbine engines, combustion chemistry exhibits complex and experimentally challenging behaviors such as the chemistry attributed to cool flame behavior and the negative temperature coefficient regime. Challenges for studying this regime include that experimental observations can be more sensitive to coupled physical-chemical processes leading to phenomena such as mixed deflagrative/autoignitive combustion. Experimental strategies which leverage the strengths of RCMs have been developed in recent years to make RCMs particularly well suited for elucidating LTC and DLE chemistry, as well as convolved physical-chemical processes. Specifically, this work presents a review of experimental and computational efforts applying RCMs to study autoignition phenomena, and the insights gained through these efforts. A brief history of RCM development is presented towards the steady improvement in design, characterization, instrumentation and data analysis. Novel experimental approaches and measurement techniques, coordinated with computational methods are described which have expanded the utility of RCMs beyond empirical studies of explosion limits to increasingly detailed understanding of autoignition chemistry and the role of physical-chemical interactions. Fundamental insight into the autoignition chemistry of specific fuels is described, demonstrating the extent of knowledge of low-temperature chemistry derived from RCM studies, from simple hydrocarbons to multi-component blends and full-boiling range fuels. Emerging needs and further opportunities are suggested, including investigations of under-explored fuels and the implementation of increasingly higher fidelity diagnostics.","author":[{"dropping-particle":"","family":"Goldsborough","given":"S. Scott","non-dropping-particle":"","parse-names":false,"suffix":""},{"dropping-particle":"","family":"Hochgreb","given":"Simone","non-dropping-particle":"","parse-names":false,"suffix":""},{"dropping-particle":"","family":"Vanhove","given":"Guillaume","non-dropping-particle":"","parse-names":false,"suffix":""},{"dropping-particle":"","family":"Wooldridge","given":"Margaret S.","non-dropping-particle":"","parse-names":false,"suffix":""},{"dropping-particle":"","family":"Curran","given":"Henry J.","non-dropping-particle":"","parse-names":false,"suffix":""},{"dropping-particle":"","family":"Sung","given":"Chih Jen","non-dropping-particle":"","parse-names":false,"suffix":""}],"container-title":"Progress in Energy and Combustion Science","id":"ITEM-1","issued":{"date-parts":[["2017"]]},"page":"1-78","publisher":"Elsevier Ltd","title":"Advances in rapid compression machine studies of low- and intermediate-temperature autoignition phenomena","type":"article-journal","volume":"63"},"uris":["http://www.mendeley.com/documents/?uuid=fef18139-0135-4610-9dcf-f847ebe36f10"]}],"mendeley":{"formattedCitation":"(Goldsborough et al., 2017)","plainTextFormattedCitation":"(Goldsborough et al., 2017)","previouslyFormattedCitation":"(Goldsborough et al., 2017)"},"properties":{"noteIndex":0},"schema":"https://github.com/citation-style-language/schema/raw/master/csl-citation.json"}</w:instrText>
      </w:r>
      <w:r w:rsidRPr="00C16F39">
        <w:rPr>
          <w:rFonts w:cs="Arial"/>
          <w:szCs w:val="18"/>
        </w:rPr>
        <w:fldChar w:fldCharType="separate"/>
      </w:r>
      <w:r w:rsidRPr="00C16F39">
        <w:rPr>
          <w:rFonts w:cs="Arial"/>
          <w:noProof/>
          <w:szCs w:val="18"/>
        </w:rPr>
        <w:t>(Goldsborough et al., 2017)</w:t>
      </w:r>
      <w:r w:rsidRPr="00C16F39">
        <w:rPr>
          <w:rFonts w:cs="Arial"/>
          <w:szCs w:val="18"/>
        </w:rPr>
        <w:fldChar w:fldCharType="end"/>
      </w:r>
      <w:r w:rsidRPr="00C16F39">
        <w:rPr>
          <w:rFonts w:cs="Arial"/>
          <w:szCs w:val="18"/>
        </w:rPr>
        <w:fldChar w:fldCharType="begin" w:fldLock="1"/>
      </w:r>
      <w:r w:rsidRPr="00C16F39">
        <w:rPr>
          <w:rFonts w:cs="Arial"/>
          <w:szCs w:val="18"/>
        </w:rPr>
        <w:instrText>ADDIN CSL_CITATION {"citationItems":[{"id":"ITEM-1","itemData":{"DOI":"10.1016/j.fuel.2018.01.113","ISSN":"00162361","abstract":"Ignition delay times for conventional and alternative jet and diesel fuels were measured in a constant volume spray combustion chamber and a shock tube in homogenous gas-phase reflected shock experiments. Experiments were performed in the spray environment for injection of liquid fuel sprays into hot air at 1.0, 2.14, and 4.0 MPa and 620–830 K. Shock tube experiments were performed for homogenous stoichiometric fuel/air mixtures at pressures around 2, 4, and 8 MPa and for 660–1310 K. These experiments characterize relative fuel reactivity, the dependence of reactivity on temperature and pressure, and allow for correlation of reactivity under spray and homogenous gas-phase conditions. Important results include the observation of three temperature regimes for reactivity in the shock tube experiments: high- and low-temperature regimes with positive overall activation energy connected by a negative-temperature-coefficient (NTC) regime. While increasing pressure was shown to result in decreasing ignition delay in all regimes, pressure was shown to have an appreciably larger influence in the NTC regime. Spray ignition experiments exhibited decreasing temperature dependence with increasing temperature from the low-temperature regime towards the entrance to the NTC. Fuel reactivity trends from spray ignition experiments, quantified using the derived cetane number (DCN), were found to correlate via a power law relationship with ignition delay times measured in the shock tube at NTC conditions, suggesting that DCN is primarily sensitive to NTC gas-phase chemical kinetic reactivity. The extensive experimental database reported here for jet and diesel fuels at high-pressure engine-like combustion conditions should be valuable for the future development of real fuel chemical kinetic modeling.","author":[{"dropping-particle":"","family":"Burden","given":"Sean","non-dropping-particle":"","parse-names":false,"suffix":""},{"dropping-particle":"","family":"Tekawade","given":"Aniket","non-dropping-particle":"","parse-names":false,"suffix":""},{"dropping-particle":"","family":"Oehlschlaeger","given":"Matthew A.","non-dropping-particle":"","parse-names":false,"suffix":""}],"container-title":"Fuel","id":"ITEM-1","issue":"November 2017","issued":{"date-parts":[["2018"]]},"page":"312-319","publisher":"Elsevier","title":"Ignition delay times for jet and diesel fuels: Constant volume spray and gas-phase shock tube measurements","type":"article-journal","volume":"219"},"uris":["http://www.mendeley.com/documents/?uuid=e875c084-6c7a-4988-8873-fe9eacfeee9d"]}],"mendeley":{"formattedCitation":"(Burden et al., 2018)","plainTextFormattedCitation":"(Burden et al., 2018)","previouslyFormattedCitation":"(Burden et al., 2018)"},"properties":{"noteIndex":0},"schema":"https://github.com/citation-style-language/schema/raw/master/csl-citation.json"}</w:instrText>
      </w:r>
      <w:r w:rsidRPr="00C16F39">
        <w:rPr>
          <w:rFonts w:cs="Arial"/>
          <w:szCs w:val="18"/>
        </w:rPr>
        <w:fldChar w:fldCharType="end"/>
      </w:r>
      <w:r w:rsidRPr="00C16F39">
        <w:rPr>
          <w:rFonts w:cs="Arial"/>
          <w:szCs w:val="18"/>
        </w:rPr>
        <w:t xml:space="preserve">(Burden et al., 2018), whereas experimental systems to collect IDT data at a lower temperature are scarcely adopted. For the sake of clarity, from now on elevated temperature will be intended as above 1400 K, low temperature as below 600 K, and intermediate temperature as the resulting interval in between of the abovementioned ranges. </w:t>
      </w:r>
    </w:p>
    <w:p w14:paraId="677EBFF0" w14:textId="5B6FF63A" w:rsidR="00600535" w:rsidRPr="00B57B36" w:rsidRDefault="00C16F39" w:rsidP="005C0FE9">
      <w:pPr>
        <w:pStyle w:val="CETHeading1"/>
        <w:numPr>
          <w:ilvl w:val="1"/>
          <w:numId w:val="22"/>
        </w:numPr>
        <w:spacing w:line="264" w:lineRule="auto"/>
      </w:pPr>
      <w:r>
        <w:lastRenderedPageBreak/>
        <w:t>Methodology</w:t>
      </w:r>
    </w:p>
    <w:p w14:paraId="252EEA08" w14:textId="0BBE9D1C" w:rsidR="00C16F39" w:rsidRDefault="00C16F39" w:rsidP="005C0FE9">
      <w:pPr>
        <w:pStyle w:val="Paragrafoelenco"/>
        <w:ind w:left="0"/>
        <w:rPr>
          <w:rFonts w:cs="Arial"/>
          <w:szCs w:val="18"/>
        </w:rPr>
      </w:pPr>
      <w:r w:rsidRPr="00C16F39">
        <w:rPr>
          <w:rFonts w:cs="Arial"/>
          <w:szCs w:val="18"/>
        </w:rPr>
        <w:t xml:space="preserve">In this work, the IDT was evaluated at different fuel compositions, representative of bio-syngas mixtures, and stoichiometries, ranging from ultra-lean to stoichiometric with respect to the combustion reaction. More specifically, the effect of fuel composition was evaluated by </w:t>
      </w:r>
      <w:proofErr w:type="spellStart"/>
      <w:r w:rsidRPr="00C16F39">
        <w:rPr>
          <w:rFonts w:cs="Arial"/>
          <w:szCs w:val="18"/>
        </w:rPr>
        <w:t>analyzing</w:t>
      </w:r>
      <w:proofErr w:type="spellEnd"/>
      <w:r w:rsidRPr="00C16F39">
        <w:rPr>
          <w:rFonts w:cs="Arial"/>
          <w:szCs w:val="18"/>
        </w:rPr>
        <w:t xml:space="preserve"> binary fuel mixtures, at first. For the sake of clarity, the equivalence ratio (</w:t>
      </w:r>
      <m:oMath>
        <m:r>
          <w:rPr>
            <w:rFonts w:ascii="Cambria Math" w:hAnsi="Cambria Math" w:cs="Arial"/>
            <w:szCs w:val="24"/>
          </w:rPr>
          <m:t>φ</m:t>
        </m:r>
      </m:oMath>
      <w:r w:rsidRPr="00C16F39">
        <w:rPr>
          <w:rFonts w:cs="Arial"/>
          <w:szCs w:val="18"/>
        </w:rPr>
        <w:t>) and content of generic i-th species in the fuel mixture (R</w:t>
      </w:r>
      <w:r w:rsidRPr="00C16F39">
        <w:rPr>
          <w:rFonts w:cs="Arial"/>
          <w:szCs w:val="18"/>
          <w:vertAlign w:val="subscript"/>
        </w:rPr>
        <w:t>i</w:t>
      </w:r>
      <w:r w:rsidRPr="00C16F39">
        <w:rPr>
          <w:rFonts w:cs="Arial"/>
          <w:szCs w:val="18"/>
        </w:rPr>
        <w:t>) were adopted to specify initial composition, as defined in the following:</w:t>
      </w:r>
    </w:p>
    <w:p w14:paraId="13D501DC" w14:textId="77777777" w:rsidR="00C16F39" w:rsidRPr="00C16F39" w:rsidRDefault="00C16F39" w:rsidP="005C0FE9">
      <w:pPr>
        <w:tabs>
          <w:tab w:val="clear" w:pos="7100"/>
          <w:tab w:val="right" w:pos="8647"/>
          <w:tab w:val="right" w:pos="9923"/>
        </w:tabs>
        <w:rPr>
          <w:rFonts w:cs="Arial"/>
          <w:szCs w:val="18"/>
        </w:rPr>
      </w:pPr>
      <m:oMath>
        <m:r>
          <w:rPr>
            <w:rFonts w:ascii="Cambria Math" w:hAnsi="Cambria Math" w:cs="Arial"/>
            <w:szCs w:val="18"/>
          </w:rPr>
          <m:t>φ=</m:t>
        </m:r>
        <m:nary>
          <m:naryPr>
            <m:chr m:val="∑"/>
            <m:limLoc m:val="undOvr"/>
            <m:subHide m:val="1"/>
            <m:supHide m:val="1"/>
            <m:ctrlPr>
              <w:rPr>
                <w:rFonts w:ascii="Cambria Math" w:hAnsi="Cambria Math" w:cs="Arial"/>
                <w:i/>
                <w:szCs w:val="18"/>
              </w:rPr>
            </m:ctrlPr>
          </m:naryPr>
          <m:sub/>
          <m:sup/>
          <m:e>
            <m:f>
              <m:fPr>
                <m:ctrlPr>
                  <w:rPr>
                    <w:rFonts w:ascii="Cambria Math" w:hAnsi="Cambria Math" w:cs="Arial"/>
                    <w:i/>
                    <w:szCs w:val="18"/>
                  </w:rPr>
                </m:ctrlPr>
              </m:fPr>
              <m:num>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f</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ox</m:t>
                    </m:r>
                  </m:sub>
                </m:sSub>
              </m:num>
              <m:den>
                <m:sSub>
                  <m:sSubPr>
                    <m:ctrlPr>
                      <w:rPr>
                        <w:rFonts w:ascii="Cambria Math" w:hAnsi="Cambria Math" w:cs="Arial"/>
                        <w:i/>
                        <w:szCs w:val="18"/>
                      </w:rPr>
                    </m:ctrlPr>
                  </m:sSubPr>
                  <m:e>
                    <m:d>
                      <m:dPr>
                        <m:ctrlPr>
                          <w:rPr>
                            <w:rFonts w:ascii="Cambria Math" w:hAnsi="Cambria Math" w:cs="Arial"/>
                            <w:i/>
                            <w:szCs w:val="18"/>
                          </w:rPr>
                        </m:ctrlPr>
                      </m:dPr>
                      <m:e>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f</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ox</m:t>
                            </m:r>
                          </m:sub>
                        </m:sSub>
                      </m:e>
                    </m:d>
                  </m:e>
                  <m:sub>
                    <m:r>
                      <w:rPr>
                        <w:rFonts w:ascii="Cambria Math" w:hAnsi="Cambria Math" w:cs="Arial"/>
                        <w:szCs w:val="18"/>
                      </w:rPr>
                      <m:t>st</m:t>
                    </m:r>
                  </m:sub>
                </m:sSub>
              </m:den>
            </m:f>
          </m:e>
        </m:nary>
      </m:oMath>
      <w:r w:rsidRPr="00C16F39">
        <w:rPr>
          <w:rFonts w:cs="Arial"/>
          <w:i/>
          <w:szCs w:val="18"/>
        </w:rPr>
        <w:tab/>
      </w:r>
      <w:r w:rsidRPr="00C16F39">
        <w:rPr>
          <w:rFonts w:cs="Arial"/>
          <w:szCs w:val="18"/>
        </w:rPr>
        <w:t>(1)</w:t>
      </w:r>
    </w:p>
    <w:p w14:paraId="6DB51D4D" w14:textId="77777777" w:rsidR="00C16F39" w:rsidRPr="00C16F39" w:rsidRDefault="0065472F" w:rsidP="005C0FE9">
      <w:pPr>
        <w:tabs>
          <w:tab w:val="clear" w:pos="7100"/>
          <w:tab w:val="right" w:pos="8647"/>
          <w:tab w:val="right" w:pos="9923"/>
        </w:tabs>
        <w:rPr>
          <w:rFonts w:cs="Arial"/>
          <w:szCs w:val="18"/>
        </w:rPr>
      </w:pPr>
      <m:oMath>
        <m:sSub>
          <m:sSubPr>
            <m:ctrlPr>
              <w:rPr>
                <w:rFonts w:ascii="Cambria Math" w:hAnsi="Cambria Math" w:cs="Arial"/>
                <w:i/>
                <w:szCs w:val="18"/>
              </w:rPr>
            </m:ctrlPr>
          </m:sSubPr>
          <m:e>
            <m:r>
              <w:rPr>
                <w:rFonts w:ascii="Cambria Math" w:hAnsi="Cambria Math" w:cs="Arial"/>
                <w:szCs w:val="18"/>
              </w:rPr>
              <m:t>R</m:t>
            </m:r>
          </m:e>
          <m:sub>
            <m:r>
              <w:rPr>
                <w:rFonts w:ascii="Cambria Math" w:hAnsi="Cambria Math" w:cs="Arial"/>
                <w:szCs w:val="18"/>
              </w:rPr>
              <m:t>i</m:t>
            </m:r>
          </m:sub>
        </m:sSub>
        <m:r>
          <w:rPr>
            <w:rFonts w:ascii="Cambria Math" w:hAnsi="Cambria Math" w:cs="Arial"/>
            <w:szCs w:val="18"/>
          </w:rPr>
          <m:t xml:space="preserve">= </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i</m:t>
            </m:r>
          </m:sub>
        </m:sSub>
        <m:r>
          <w:rPr>
            <w:rFonts w:ascii="Cambria Math" w:hAnsi="Cambria Math" w:cs="Arial"/>
            <w:szCs w:val="18"/>
          </w:rPr>
          <m:t>/</m:t>
        </m:r>
        <m:sSub>
          <m:sSubPr>
            <m:ctrlPr>
              <w:rPr>
                <w:rFonts w:ascii="Cambria Math" w:hAnsi="Cambria Math" w:cs="Arial"/>
                <w:i/>
                <w:szCs w:val="18"/>
              </w:rPr>
            </m:ctrlPr>
          </m:sSubPr>
          <m:e>
            <m:r>
              <w:rPr>
                <w:rFonts w:ascii="Cambria Math" w:hAnsi="Cambria Math" w:cs="Arial"/>
                <w:szCs w:val="18"/>
              </w:rPr>
              <m:t>m</m:t>
            </m:r>
          </m:e>
          <m:sub>
            <m:r>
              <w:rPr>
                <w:rFonts w:ascii="Cambria Math" w:hAnsi="Cambria Math" w:cs="Arial"/>
                <w:szCs w:val="18"/>
              </w:rPr>
              <m:t>f</m:t>
            </m:r>
          </m:sub>
        </m:sSub>
      </m:oMath>
      <w:r w:rsidR="00C16F39" w:rsidRPr="00C16F39">
        <w:rPr>
          <w:rFonts w:cs="Arial"/>
          <w:szCs w:val="18"/>
        </w:rPr>
        <w:tab/>
        <w:t>(2)</w:t>
      </w:r>
    </w:p>
    <w:p w14:paraId="0CB8BD04" w14:textId="77777777" w:rsidR="005C0FE9" w:rsidRDefault="005C0FE9" w:rsidP="005C0FE9">
      <w:pPr>
        <w:pStyle w:val="Paragrafoelenco"/>
        <w:ind w:left="0"/>
        <w:rPr>
          <w:rFonts w:cs="Arial"/>
          <w:szCs w:val="18"/>
        </w:rPr>
      </w:pPr>
    </w:p>
    <w:p w14:paraId="1102DA88" w14:textId="4DF8C4D6" w:rsidR="00C16F39" w:rsidRDefault="00C16F39" w:rsidP="005C0FE9">
      <w:pPr>
        <w:pStyle w:val="Paragrafoelenco"/>
        <w:ind w:left="0"/>
        <w:rPr>
          <w:rFonts w:cs="Arial"/>
          <w:szCs w:val="18"/>
        </w:rPr>
      </w:pPr>
      <w:bookmarkStart w:id="1" w:name="_GoBack"/>
      <w:bookmarkEnd w:id="1"/>
      <w:r w:rsidRPr="00C16F39">
        <w:rPr>
          <w:rFonts w:cs="Arial"/>
          <w:szCs w:val="18"/>
        </w:rPr>
        <w:t xml:space="preserve">where </w:t>
      </w:r>
      <w:r w:rsidRPr="00C16F39">
        <w:rPr>
          <w:rFonts w:cs="Arial"/>
          <w:i/>
          <w:iCs/>
          <w:szCs w:val="18"/>
        </w:rPr>
        <w:t>m</w:t>
      </w:r>
      <w:r w:rsidRPr="00C16F39">
        <w:rPr>
          <w:rFonts w:cs="Arial"/>
          <w:szCs w:val="18"/>
        </w:rPr>
        <w:t xml:space="preserve"> stands for mole, the subscripts </w:t>
      </w:r>
      <w:r w:rsidRPr="00C16F39">
        <w:rPr>
          <w:rFonts w:cs="Arial"/>
          <w:i/>
          <w:iCs/>
          <w:szCs w:val="18"/>
        </w:rPr>
        <w:t>f</w:t>
      </w:r>
      <w:r w:rsidRPr="00C16F39">
        <w:rPr>
          <w:rFonts w:cs="Arial"/>
          <w:szCs w:val="18"/>
        </w:rPr>
        <w:t xml:space="preserve">, </w:t>
      </w:r>
      <w:r w:rsidRPr="00C16F39">
        <w:rPr>
          <w:rFonts w:cs="Arial"/>
          <w:i/>
          <w:iCs/>
          <w:szCs w:val="18"/>
        </w:rPr>
        <w:t>ox,</w:t>
      </w:r>
      <w:r w:rsidRPr="00C16F39">
        <w:rPr>
          <w:rFonts w:cs="Arial"/>
          <w:szCs w:val="18"/>
        </w:rPr>
        <w:t xml:space="preserve"> and </w:t>
      </w:r>
      <w:proofErr w:type="spellStart"/>
      <w:r w:rsidRPr="00C16F39">
        <w:rPr>
          <w:rFonts w:cs="Arial"/>
          <w:i/>
          <w:iCs/>
          <w:szCs w:val="18"/>
        </w:rPr>
        <w:t>st</w:t>
      </w:r>
      <w:proofErr w:type="spellEnd"/>
      <w:r w:rsidRPr="00C16F39">
        <w:rPr>
          <w:rFonts w:cs="Arial"/>
          <w:szCs w:val="18"/>
        </w:rPr>
        <w:t xml:space="preserve"> are fuel, oxidant agent, and stoichiometric conditions with respect to the reaction of complete oxidation, respectively. The presence of inert agents was specified if different from the nitrogen contained in the air. Numerical simulations were carried out by means of open-source Cantera suite </w:t>
      </w:r>
      <w:r w:rsidRPr="00C16F39">
        <w:rPr>
          <w:rFonts w:cs="Arial"/>
          <w:szCs w:val="18"/>
        </w:rPr>
        <w:fldChar w:fldCharType="begin" w:fldLock="1"/>
      </w:r>
      <w:r w:rsidRPr="00C16F39">
        <w:rPr>
          <w:rFonts w:cs="Arial"/>
          <w:szCs w:val="18"/>
        </w:rPr>
        <w:instrText>ADDIN CSL_CITATION {"citationItems":[{"id":"ITEM-1","itemData":{"ISBN":"1566773784","abstract":"Numerical simulation has come to play a central role alongside experiment in CVD research, and, like experiment, requires sophisticated tools in order to be used most effectively. In this paper, a suite of open-source, freely-available software tools for problems involving coupled kinetic and transport processes is discussed. The suite, known as Cantera, is designed to efficiently simulate problems with large elementary reaction mechanisms, and includes tools to model stirred reactor networks and stagna- tion flows with surface chemistry, to compute chemical equilibrium, and to generate reaction path diagrams automatically, among many others. It can be used on all com- mon platforms, and interfaces are provided for MATLAB, Python, Fortran 90, and C++. INTRODUCTION","author":[{"dropping-particle":"","family":"Goodwin","given":"David G","non-dropping-particle":"","parse-names":false,"suffix":""}],"container-title":"Interfaces","id":"ITEM-1","issue":"626","issued":{"date-parts":[["2003"]]},"number-of-pages":"1-9","title":"An Open Source, Extensible Software Suite FOR CVD Process Simulation","type":"report"},"uris":["http://www.mendeley.com/documents/?uuid=4956a1e8-f21c-47d2-9f81-dc0716faa416"]}],"mendeley":{"formattedCitation":"(Goodwin, 2003)","plainTextFormattedCitation":"(Goodwin, 2003)","previouslyFormattedCitation":"(Goodwin, 2003)"},"properties":{"noteIndex":0},"schema":"https://github.com/citation-style-language/schema/raw/master/csl-citation.json"}</w:instrText>
      </w:r>
      <w:r w:rsidRPr="00C16F39">
        <w:rPr>
          <w:rFonts w:cs="Arial"/>
          <w:szCs w:val="18"/>
        </w:rPr>
        <w:fldChar w:fldCharType="separate"/>
      </w:r>
      <w:r w:rsidRPr="00C16F39">
        <w:rPr>
          <w:rFonts w:cs="Arial"/>
          <w:noProof/>
          <w:szCs w:val="18"/>
        </w:rPr>
        <w:t>(Goodwin, 2003)</w:t>
      </w:r>
      <w:r w:rsidRPr="00C16F39">
        <w:rPr>
          <w:rFonts w:cs="Arial"/>
          <w:szCs w:val="18"/>
        </w:rPr>
        <w:fldChar w:fldCharType="end"/>
      </w:r>
      <w:r w:rsidRPr="00C16F39">
        <w:rPr>
          <w:rFonts w:cs="Arial"/>
          <w:szCs w:val="18"/>
          <w:lang w:val="en-US"/>
        </w:rPr>
        <w:t xml:space="preserve"> </w:t>
      </w:r>
      <w:r w:rsidRPr="00C16F39">
        <w:rPr>
          <w:rFonts w:cs="Arial"/>
          <w:szCs w:val="18"/>
        </w:rPr>
        <w:t>and detailed kinetic mechanism developed at the University of Bologna (</w:t>
      </w:r>
      <w:proofErr w:type="spellStart"/>
      <w:r w:rsidRPr="00C16F39">
        <w:rPr>
          <w:rFonts w:cs="Arial"/>
          <w:szCs w:val="18"/>
        </w:rPr>
        <w:t>KiBo</w:t>
      </w:r>
      <w:proofErr w:type="spellEnd"/>
      <w:r w:rsidRPr="00C16F39">
        <w:rPr>
          <w:rFonts w:cs="Arial"/>
          <w:szCs w:val="18"/>
        </w:rPr>
        <w:t xml:space="preserve">) </w:t>
      </w:r>
      <w:r w:rsidRPr="00C16F39">
        <w:rPr>
          <w:rFonts w:cs="Arial"/>
          <w:szCs w:val="18"/>
        </w:rPr>
        <w:fldChar w:fldCharType="begin" w:fldLock="1"/>
      </w:r>
      <w:r w:rsidRPr="00C16F39">
        <w:rPr>
          <w:rFonts w:cs="Arial"/>
          <w:szCs w:val="18"/>
        </w:rPr>
        <w:instrText>ADDIN CSL_CITATION {"citationItems":[{"id":"ITEM-1","itemData":{"DOI":"10.1080/00102202.2018.1564746","ISSN":"1563521X","author":[{"dropping-particle":"","family":"Pio","given":"G.","non-dropping-particle":"","parse-names":false,"suffix":""},{"dropping-particle":"","family":"Barba","given":"D.","non-dropping-particle":"","parse-names":false,"suffix":""},{"dropping-particle":"","family":"Palma","given":"V.","non-dropping-particle":"","parse-names":false,"suffix":""},{"dropping-particle":"","family":"Salzano","given":"E.","non-dropping-particle":"","parse-names":false,"suffix":""}],"container-title":"Combustion Science and Technology","id":"ITEM-1","issued":{"date-parts":[["2019"]]},"page":"1541–1557","publisher":"Taylor &amp; Francis","title":"A Numerical Study on the Effect of Temperature and Composition on the Flammability of Methane–Hydrogen Sulfide Mixtures","type":"article-journal","volume":"191"},"uris":["http://www.mendeley.com/documents/?uuid=44bcb148-2909-4cf7-ad0a-8075db616170"]}],"mendeley":{"formattedCitation":"(G. Pio et al., 2019)","plainTextFormattedCitation":"(G. Pio et al., 2019)","previouslyFormattedCitation":"(G. Pio et al., 2019)"},"properties":{"noteIndex":0},"schema":"https://github.com/citation-style-language/schema/raw/master/csl-citation.json"}</w:instrText>
      </w:r>
      <w:r w:rsidRPr="00C16F39">
        <w:rPr>
          <w:rFonts w:cs="Arial"/>
          <w:szCs w:val="18"/>
        </w:rPr>
        <w:fldChar w:fldCharType="separate"/>
      </w:r>
      <w:r w:rsidRPr="00C16F39">
        <w:rPr>
          <w:rFonts w:cs="Arial"/>
          <w:noProof/>
          <w:szCs w:val="18"/>
        </w:rPr>
        <w:t>(G. Pio et al., 2019)</w:t>
      </w:r>
      <w:r w:rsidRPr="00C16F39">
        <w:rPr>
          <w:rFonts w:cs="Arial"/>
          <w:szCs w:val="18"/>
        </w:rPr>
        <w:fldChar w:fldCharType="end"/>
      </w:r>
      <w:r w:rsidRPr="00C16F39">
        <w:rPr>
          <w:rFonts w:cs="Arial"/>
          <w:szCs w:val="18"/>
        </w:rPr>
        <w:t xml:space="preserve">. This mechanism represents a collection of thermodynamic and kinetic properties of about 120 species and 600 reactions, conveniently selected to represent chemical aspects of light species under </w:t>
      </w:r>
      <w:r w:rsidR="00AA5ACC">
        <w:rPr>
          <w:rFonts w:cs="Arial"/>
          <w:szCs w:val="18"/>
        </w:rPr>
        <w:t xml:space="preserve">an </w:t>
      </w:r>
      <w:r w:rsidRPr="00C16F39">
        <w:rPr>
          <w:rFonts w:cs="Arial"/>
          <w:szCs w:val="18"/>
        </w:rPr>
        <w:t xml:space="preserve">oxidative environment in a wide range of conditions. </w:t>
      </w:r>
      <w:r w:rsidRPr="00C16F39">
        <w:rPr>
          <w:rFonts w:cs="Arial"/>
          <w:szCs w:val="18"/>
        </w:rPr>
        <w:fldChar w:fldCharType="begin" w:fldLock="1"/>
      </w:r>
      <w:r w:rsidRPr="00C16F39">
        <w:rPr>
          <w:rFonts w:cs="Arial"/>
          <w:szCs w:val="18"/>
        </w:rPr>
        <w:instrText>ADDIN CSL_CITATION {"citationItems":[{"id":"ITEM-1","itemData":{"DOI":"10.1016/j.psep.2018.07.024","ISSN":"09575820","abstract":"The oxidation of light alkenes is the core of the modern chemical industry and a pivotal point for several environmental and safety considerations. However, few works have dealt with the prediction of fire and explosion parameters for the definition of process conditions, for the design and safe handling of such reactive substances. In this work, flammability parameters for light alkenes (ethylene, propylene and the three butylene isomers) have been calculated by adopting the detailed kinetic mechanisms of the University of California, San Diego, integrated with C4reactions by the Lawrence Livermore National Laboratory mechanism. The new model has been adopted for the definition of flammability limits, adiabatic flame pressure and temperature, maximum rate of pressure rise, gas deflagration index (KG), auto-ignition temperature and minimum oxygen concentration. Flammability regions for nitrogen and carbon dioxide dilution have also been reported.","author":[{"dropping-particle":"","family":"Pio","given":"Gianmaria","non-dropping-particle":"","parse-names":false,"suffix":""},{"dropping-particle":"","family":"Salzano","given":"Ernesto","non-dropping-particle":"","parse-names":false,"suffix":""}],"container-title":"Process Safety and Environmental Protection","id":"ITEM-1","issued":{"date-parts":[["2018"]]},"page":"131-137","publisher":"Institution of Chemical Engineers","title":"Evaluation of safety parameters of light alkenes by means of detailed kinetic models","type":"article-journal","volume":"119"},"uris":["http://www.mendeley.com/documents/?uuid=341baf09-9aee-43b3-b8d2-0cdfeebde624"]}],"mendeley":{"formattedCitation":"(Pio and Salzano, 2018b)","plainTextFormattedCitation":"(Pio and Salzano, 2018b)","previouslyFormattedCitation":"(Pio and Salzano, 2018b)"},"properties":{"noteIndex":0},"schema":"https://github.com/citation-style-language/schema/raw/master/csl-citation.json"}</w:instrText>
      </w:r>
      <w:r w:rsidRPr="00C16F39">
        <w:rPr>
          <w:rFonts w:cs="Arial"/>
          <w:szCs w:val="18"/>
        </w:rPr>
        <w:fldChar w:fldCharType="separate"/>
      </w:r>
      <w:r w:rsidRPr="00C16F39">
        <w:rPr>
          <w:rFonts w:cs="Arial"/>
          <w:noProof/>
          <w:szCs w:val="18"/>
        </w:rPr>
        <w:t>(Pio and Salzano, 2018b)</w:t>
      </w:r>
      <w:r w:rsidRPr="00C16F39">
        <w:rPr>
          <w:rFonts w:cs="Arial"/>
          <w:szCs w:val="18"/>
        </w:rPr>
        <w:fldChar w:fldCharType="end"/>
      </w:r>
      <w:r w:rsidRPr="00C16F39">
        <w:rPr>
          <w:rFonts w:cs="Arial"/>
          <w:szCs w:val="18"/>
        </w:rPr>
        <w:t>. Indeed, previous studies have demonstrated elevated accuracy in the description of the oxidation of C</w:t>
      </w:r>
      <w:r w:rsidRPr="00C16F39">
        <w:rPr>
          <w:rFonts w:cs="Arial"/>
          <w:szCs w:val="18"/>
          <w:vertAlign w:val="subscript"/>
        </w:rPr>
        <w:t>4</w:t>
      </w:r>
      <w:r w:rsidRPr="00C16F39">
        <w:rPr>
          <w:rFonts w:cs="Arial"/>
          <w:szCs w:val="18"/>
        </w:rPr>
        <w:t xml:space="preserve"> or lighter species </w:t>
      </w:r>
      <w:r w:rsidRPr="00C16F39">
        <w:rPr>
          <w:rFonts w:cs="Arial"/>
          <w:szCs w:val="18"/>
        </w:rPr>
        <w:fldChar w:fldCharType="begin" w:fldLock="1"/>
      </w:r>
      <w:r w:rsidRPr="00C16F39">
        <w:rPr>
          <w:rFonts w:cs="Arial"/>
          <w:szCs w:val="18"/>
        </w:rPr>
        <w:instrText>ADDIN CSL_CITATION {"citationItems":[{"id":"ITEM-1","itemData":{"DOI":"10.1016/j.jhazmat.2018.09.018","ISSN":"03043894","author":[{"dropping-particle":"","family":"Pio","given":"Gianmaria","non-dropping-particle":"","parse-names":false,"suffix":""},{"dropping-particle":"","family":"Salzano","given":"Ernesto","non-dropping-particle":"","parse-names":false,"suffix":""}],"container-title":"Journal of Hazardous Materials","id":"ITEM-1","issued":{"date-parts":[["2019"]]},"page":"224-229","title":"The effect of ultra-low temperature on the flammability limits of a methane/air/diluent mixtures","type":"article-journal","volume":"362"},"uris":["http://www.mendeley.com/documents/?uuid=9115e7f8-9474-340a-9a29-aa298322a9d2"]}],"mendeley":{"formattedCitation":"(Pio and Salzano, 2019)","plainTextFormattedCitation":"(Pio and Salzano, 2019)","previouslyFormattedCitation":"(Pio and Salzano, 2019)"},"properties":{"noteIndex":0},"schema":"https://github.com/citation-style-language/schema/raw/master/csl-citation.json"}</w:instrText>
      </w:r>
      <w:r w:rsidRPr="00C16F39">
        <w:rPr>
          <w:rFonts w:cs="Arial"/>
          <w:szCs w:val="18"/>
        </w:rPr>
        <w:fldChar w:fldCharType="separate"/>
      </w:r>
      <w:r w:rsidRPr="00C16F39">
        <w:rPr>
          <w:rFonts w:cs="Arial"/>
          <w:noProof/>
          <w:szCs w:val="18"/>
        </w:rPr>
        <w:t>(Pio and Salzano, 2019)</w:t>
      </w:r>
      <w:r w:rsidRPr="00C16F39">
        <w:rPr>
          <w:rFonts w:cs="Arial"/>
          <w:szCs w:val="18"/>
        </w:rPr>
        <w:fldChar w:fldCharType="end"/>
      </w:r>
      <w:r w:rsidRPr="00C16F39">
        <w:rPr>
          <w:rFonts w:cs="Arial"/>
          <w:szCs w:val="18"/>
        </w:rPr>
        <w:fldChar w:fldCharType="begin" w:fldLock="1"/>
      </w:r>
      <w:r w:rsidRPr="00C16F39">
        <w:rPr>
          <w:rFonts w:cs="Arial"/>
          <w:szCs w:val="18"/>
        </w:rPr>
        <w:instrText>ADDIN CSL_CITATION {"citationItems":[{"id":"ITEM-1","itemData":{"author":[{"dropping-particle":"","family":"Pio","given":"Gianmaria","non-dropping-particle":"","parse-names":false,"suffix":""},{"dropping-particle":"","family":"Ricca","given":"Antonio","non-dropping-particle":"","parse-names":false,"suffix":""},{"dropping-particle":"","family":"Palma","given":"Vincenzo","non-dropping-particle":"","parse-names":false,"suffix":""},{"dropping-particle":"","family":"Salzano","given":"Ernesto","non-dropping-particle":"","parse-names":false,"suffix":""}],"container-title":"Fuel","id":"ITEM-1","issued":{"date-parts":[["2019"]]},"title":"Low temperature combustion of methane/alkenes mixtures","type":"article-journal","volume":"254"},"uris":["http://www.mendeley.com/documents/?uuid=1d617d7c-c35a-461f-9bbc-5c9a043e449c"]}],"mendeley":{"formattedCitation":"(Gianmaria Pio et al., 2019)","manualFormatting":"(Pio et al., 2019)","plainTextFormattedCitation":"(Gianmaria Pio et al., 2019)","previouslyFormattedCitation":"(Gianmaria Pio et al., 2019)"},"properties":{"noteIndex":0},"schema":"https://github.com/citation-style-language/schema/raw/master/csl-citation.json"}</w:instrText>
      </w:r>
      <w:r w:rsidRPr="00C16F39">
        <w:rPr>
          <w:rFonts w:cs="Arial"/>
          <w:szCs w:val="18"/>
        </w:rPr>
        <w:fldChar w:fldCharType="separate"/>
      </w:r>
      <w:r w:rsidRPr="00C16F39">
        <w:rPr>
          <w:rFonts w:cs="Arial"/>
          <w:noProof/>
          <w:szCs w:val="18"/>
        </w:rPr>
        <w:t>(Pio et al., 2019)</w:t>
      </w:r>
      <w:r w:rsidRPr="00C16F39">
        <w:rPr>
          <w:rFonts w:cs="Arial"/>
          <w:szCs w:val="18"/>
        </w:rPr>
        <w:fldChar w:fldCharType="end"/>
      </w:r>
      <w:r w:rsidRPr="00C16F39">
        <w:rPr>
          <w:rFonts w:cs="Arial"/>
          <w:szCs w:val="18"/>
        </w:rPr>
        <w:t xml:space="preserve">. Perfectly adiabatic, the zero-dimensional stirred reactor was </w:t>
      </w:r>
      <w:proofErr w:type="spellStart"/>
      <w:r w:rsidRPr="00C16F39">
        <w:rPr>
          <w:rFonts w:cs="Arial"/>
          <w:szCs w:val="18"/>
        </w:rPr>
        <w:t>modeled</w:t>
      </w:r>
      <w:proofErr w:type="spellEnd"/>
      <w:r w:rsidRPr="00C16F39">
        <w:rPr>
          <w:rFonts w:cs="Arial"/>
          <w:szCs w:val="18"/>
        </w:rPr>
        <w:t xml:space="preserve">, in accordance with the procedure detailed described in previous work </w:t>
      </w:r>
      <w:r w:rsidRPr="00C16F39">
        <w:rPr>
          <w:rFonts w:cs="Arial"/>
          <w:szCs w:val="18"/>
        </w:rPr>
        <w:fldChar w:fldCharType="begin" w:fldLock="1"/>
      </w:r>
      <w:r w:rsidRPr="00C16F39">
        <w:rPr>
          <w:rFonts w:cs="Arial"/>
          <w:szCs w:val="18"/>
        </w:rPr>
        <w:instrText>ADDIN CSL_CITATION {"citationItems":[{"id":"ITEM-1","itemData":{"author":[{"dropping-particle":"","family":"Pio","given":"Gianmaria","non-dropping-particle":"","parse-names":false,"suffix":""},{"dropping-particle":"","family":"Palma","given":"Vincenzo","non-dropping-particle":"","parse-names":false,"suffix":""},{"dropping-particle":"","family":"Salzano","given":"Ernesto","non-dropping-particle":"","parse-names":false,"suffix":""}],"container-title":"Ind. Eng. Chem. Res.","id":"ITEM-1","issued":{"date-parts":[["2018"]]},"page":"7130-7135","title":"Comparison and validation of detailed kinetic models for the oxidation of light alkenes","type":"article-journal","volume":"57"},"uris":["http://www.mendeley.com/documents/?uuid=8802e080-40e8-4730-9486-bc40eeea2a96"]}],"mendeley":{"formattedCitation":"(Pio et al., 2018)","plainTextFormattedCitation":"(Pio et al., 2018)","previouslyFormattedCitation":"(Pio et al., 2018)"},"properties":{"noteIndex":0},"schema":"https://github.com/citation-style-language/schema/raw/master/csl-citation.json"}</w:instrText>
      </w:r>
      <w:r w:rsidRPr="00C16F39">
        <w:rPr>
          <w:rFonts w:cs="Arial"/>
          <w:szCs w:val="18"/>
        </w:rPr>
        <w:fldChar w:fldCharType="separate"/>
      </w:r>
      <w:r w:rsidRPr="00C16F39">
        <w:rPr>
          <w:rFonts w:cs="Arial"/>
          <w:noProof/>
          <w:szCs w:val="18"/>
        </w:rPr>
        <w:t>(Pio et al., 2018)</w:t>
      </w:r>
      <w:r w:rsidRPr="00C16F39">
        <w:rPr>
          <w:rFonts w:cs="Arial"/>
          <w:szCs w:val="18"/>
        </w:rPr>
        <w:fldChar w:fldCharType="end"/>
      </w:r>
      <w:r w:rsidRPr="00C16F39">
        <w:rPr>
          <w:rFonts w:cs="Arial"/>
          <w:szCs w:val="18"/>
        </w:rPr>
        <w:t>. Temperature, OH concentration, and release heat profiles with respect to simulated time were monitored and considered as ignition criteria, being the achievement of maximum values of these quantities often adopted in the literature (Merchant et al., 2015). IDT of pure flammable species composing bio-syngas mixtures in the air was obtained at first for the sake of model validation, because of the abundances of either experimental data. Then, binary, tertiary, and more complex mixtures, included in the composition ranges reported in Table 1, were considered for further analyses. Several conditions have been tested. More specifically, the temperature from 800 K to 1400 K, equivalence ratio from 0.4 to 2 and pressure from 1 bar to 50 bar were considered.</w:t>
      </w:r>
    </w:p>
    <w:p w14:paraId="34894627" w14:textId="5652F29B" w:rsidR="00C16F39" w:rsidRPr="00B57B36" w:rsidRDefault="00C16F39" w:rsidP="005C0FE9">
      <w:pPr>
        <w:pStyle w:val="CETTabletitle"/>
        <w:spacing w:line="264" w:lineRule="auto"/>
      </w:pPr>
      <w:r w:rsidRPr="00B57B36">
        <w:t xml:space="preserve">Table 1: </w:t>
      </w:r>
      <w:r w:rsidRPr="00C16F39">
        <w:t xml:space="preserve">The range of compositions </w:t>
      </w:r>
      <w:proofErr w:type="spellStart"/>
      <w:r w:rsidRPr="00C16F39">
        <w:t>analyzed</w:t>
      </w:r>
      <w:proofErr w:type="spellEnd"/>
      <w:r w:rsidRPr="00C16F39">
        <w:t xml:space="preserve"> in this work as a representative for bio-syngas mixtures.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11"/>
        <w:gridCol w:w="2911"/>
        <w:gridCol w:w="2911"/>
      </w:tblGrid>
      <w:tr w:rsidR="00C16F39" w:rsidRPr="00B57B36" w14:paraId="0D2D4DCE" w14:textId="77777777" w:rsidTr="00C16F39">
        <w:trPr>
          <w:trHeight w:val="267"/>
        </w:trPr>
        <w:tc>
          <w:tcPr>
            <w:tcW w:w="2911" w:type="dxa"/>
            <w:tcBorders>
              <w:top w:val="single" w:sz="12" w:space="0" w:color="008000"/>
              <w:bottom w:val="single" w:sz="6" w:space="0" w:color="008000"/>
            </w:tcBorders>
            <w:shd w:val="clear" w:color="auto" w:fill="FFFFFF"/>
          </w:tcPr>
          <w:p w14:paraId="7A7580BA" w14:textId="1ADE4377" w:rsidR="00C16F39" w:rsidRPr="00B57B36" w:rsidRDefault="00C16F39" w:rsidP="005C0FE9">
            <w:pPr>
              <w:pStyle w:val="CETBodytext"/>
              <w:rPr>
                <w:lang w:val="en-GB"/>
              </w:rPr>
            </w:pPr>
            <w:r w:rsidRPr="009E1D77">
              <w:rPr>
                <w:rFonts w:cs="Arial"/>
                <w:szCs w:val="18"/>
              </w:rPr>
              <w:t>Species</w:t>
            </w:r>
          </w:p>
        </w:tc>
        <w:tc>
          <w:tcPr>
            <w:tcW w:w="2911" w:type="dxa"/>
            <w:tcBorders>
              <w:top w:val="single" w:sz="12" w:space="0" w:color="008000"/>
              <w:bottom w:val="single" w:sz="6" w:space="0" w:color="008000"/>
            </w:tcBorders>
            <w:shd w:val="clear" w:color="auto" w:fill="FFFFFF"/>
          </w:tcPr>
          <w:p w14:paraId="08D84F11" w14:textId="2BA52634" w:rsidR="00C16F39" w:rsidRPr="00B57B36" w:rsidRDefault="00C16F39" w:rsidP="005C0FE9">
            <w:pPr>
              <w:pStyle w:val="CETBodytext"/>
              <w:rPr>
                <w:lang w:val="en-GB"/>
              </w:rPr>
            </w:pPr>
            <w:r w:rsidRPr="009E1D77">
              <w:rPr>
                <w:rFonts w:cs="Arial"/>
                <w:szCs w:val="18"/>
              </w:rPr>
              <w:t>Minimum, if present [%v/v]</w:t>
            </w:r>
          </w:p>
        </w:tc>
        <w:tc>
          <w:tcPr>
            <w:tcW w:w="2911" w:type="dxa"/>
            <w:tcBorders>
              <w:top w:val="single" w:sz="12" w:space="0" w:color="008000"/>
              <w:bottom w:val="single" w:sz="6" w:space="0" w:color="008000"/>
            </w:tcBorders>
            <w:shd w:val="clear" w:color="auto" w:fill="FFFFFF"/>
          </w:tcPr>
          <w:p w14:paraId="6D5DFD70" w14:textId="08F67871" w:rsidR="00C16F39" w:rsidRPr="00B57B36" w:rsidRDefault="00C16F39" w:rsidP="005C0FE9">
            <w:pPr>
              <w:pStyle w:val="CETBodytext"/>
              <w:rPr>
                <w:lang w:val="en-GB"/>
              </w:rPr>
            </w:pPr>
            <w:r w:rsidRPr="009E1D77">
              <w:rPr>
                <w:rFonts w:cs="Arial"/>
                <w:szCs w:val="18"/>
              </w:rPr>
              <w:t>Maximum [%v/v]</w:t>
            </w:r>
          </w:p>
        </w:tc>
      </w:tr>
      <w:tr w:rsidR="00C16F39" w:rsidRPr="00B57B36" w14:paraId="38405686" w14:textId="77777777" w:rsidTr="00C16F39">
        <w:trPr>
          <w:trHeight w:val="267"/>
        </w:trPr>
        <w:tc>
          <w:tcPr>
            <w:tcW w:w="2911" w:type="dxa"/>
            <w:shd w:val="clear" w:color="auto" w:fill="FFFFFF"/>
          </w:tcPr>
          <w:p w14:paraId="1E0E92F5" w14:textId="0C8DE48F" w:rsidR="00C16F39" w:rsidRPr="00B57B36" w:rsidRDefault="00C16F39" w:rsidP="005C0FE9">
            <w:pPr>
              <w:pStyle w:val="CETBodytext"/>
              <w:rPr>
                <w:lang w:val="en-GB"/>
              </w:rPr>
            </w:pPr>
            <w:r w:rsidRPr="009E1D77">
              <w:rPr>
                <w:rFonts w:cs="Arial"/>
                <w:szCs w:val="18"/>
              </w:rPr>
              <w:t>CH</w:t>
            </w:r>
            <w:r w:rsidRPr="009E1D77">
              <w:rPr>
                <w:rFonts w:cs="Arial"/>
                <w:szCs w:val="18"/>
                <w:vertAlign w:val="subscript"/>
              </w:rPr>
              <w:t>4</w:t>
            </w:r>
          </w:p>
        </w:tc>
        <w:tc>
          <w:tcPr>
            <w:tcW w:w="2911" w:type="dxa"/>
            <w:shd w:val="clear" w:color="auto" w:fill="FFFFFF"/>
          </w:tcPr>
          <w:p w14:paraId="3028808B" w14:textId="26EA1EEC" w:rsidR="00C16F39" w:rsidRPr="00B57B36" w:rsidRDefault="00AA5ACC" w:rsidP="005C0FE9">
            <w:pPr>
              <w:pStyle w:val="CETBodytext"/>
              <w:rPr>
                <w:lang w:val="en-GB"/>
              </w:rPr>
            </w:pPr>
            <w:r>
              <w:t>30</w:t>
            </w:r>
          </w:p>
        </w:tc>
        <w:tc>
          <w:tcPr>
            <w:tcW w:w="2911" w:type="dxa"/>
            <w:shd w:val="clear" w:color="auto" w:fill="FFFFFF"/>
          </w:tcPr>
          <w:p w14:paraId="1CD82F89" w14:textId="4352A3AC" w:rsidR="00C16F39" w:rsidRPr="00B57B36" w:rsidRDefault="00C16F39" w:rsidP="005C0FE9">
            <w:pPr>
              <w:pStyle w:val="CETBodytext"/>
              <w:rPr>
                <w:lang w:val="en-GB"/>
              </w:rPr>
            </w:pPr>
            <w:r>
              <w:rPr>
                <w:rFonts w:cs="Arial"/>
                <w:szCs w:val="18"/>
              </w:rPr>
              <w:t>100</w:t>
            </w:r>
          </w:p>
        </w:tc>
      </w:tr>
      <w:tr w:rsidR="00C16F39" w:rsidRPr="00B57B36" w14:paraId="15881C7D" w14:textId="77777777" w:rsidTr="00C16F39">
        <w:trPr>
          <w:trHeight w:val="267"/>
        </w:trPr>
        <w:tc>
          <w:tcPr>
            <w:tcW w:w="2911" w:type="dxa"/>
            <w:shd w:val="clear" w:color="auto" w:fill="FFFFFF"/>
          </w:tcPr>
          <w:p w14:paraId="28A07DEF" w14:textId="545DC783" w:rsidR="00C16F39" w:rsidRPr="00B57B36" w:rsidRDefault="00C16F39" w:rsidP="005C0FE9">
            <w:pPr>
              <w:pStyle w:val="CETBodytext"/>
              <w:rPr>
                <w:lang w:val="en-GB"/>
              </w:rPr>
            </w:pPr>
            <w:r w:rsidRPr="009E1D77">
              <w:rPr>
                <w:rFonts w:cs="Arial"/>
                <w:szCs w:val="18"/>
              </w:rPr>
              <w:t>CO</w:t>
            </w:r>
          </w:p>
        </w:tc>
        <w:tc>
          <w:tcPr>
            <w:tcW w:w="2911" w:type="dxa"/>
            <w:shd w:val="clear" w:color="auto" w:fill="FFFFFF"/>
          </w:tcPr>
          <w:p w14:paraId="300C068D" w14:textId="2CBBD81D" w:rsidR="00C16F39" w:rsidRPr="00B57B36" w:rsidRDefault="00C16F39" w:rsidP="005C0FE9">
            <w:pPr>
              <w:pStyle w:val="CETBodytext"/>
              <w:rPr>
                <w:lang w:val="en-GB"/>
              </w:rPr>
            </w:pPr>
            <w:r w:rsidRPr="009E1D77">
              <w:rPr>
                <w:rFonts w:cs="Arial"/>
                <w:szCs w:val="18"/>
              </w:rPr>
              <w:t>20</w:t>
            </w:r>
          </w:p>
        </w:tc>
        <w:tc>
          <w:tcPr>
            <w:tcW w:w="2911" w:type="dxa"/>
            <w:shd w:val="clear" w:color="auto" w:fill="FFFFFF"/>
          </w:tcPr>
          <w:p w14:paraId="5864290F" w14:textId="3D5E9D1D" w:rsidR="00C16F39" w:rsidRPr="00B57B36" w:rsidRDefault="00C16F39" w:rsidP="005C0FE9">
            <w:pPr>
              <w:pStyle w:val="CETBodytext"/>
              <w:rPr>
                <w:lang w:val="en-GB"/>
              </w:rPr>
            </w:pPr>
            <w:r w:rsidRPr="009E1D77">
              <w:rPr>
                <w:rFonts w:cs="Arial"/>
                <w:szCs w:val="18"/>
              </w:rPr>
              <w:t>35</w:t>
            </w:r>
          </w:p>
        </w:tc>
      </w:tr>
      <w:tr w:rsidR="00C16F39" w:rsidRPr="00B57B36" w14:paraId="3E3E177D" w14:textId="77777777" w:rsidTr="00C16F39">
        <w:trPr>
          <w:trHeight w:val="267"/>
        </w:trPr>
        <w:tc>
          <w:tcPr>
            <w:tcW w:w="2911" w:type="dxa"/>
            <w:shd w:val="clear" w:color="auto" w:fill="FFFFFF"/>
          </w:tcPr>
          <w:p w14:paraId="391DB8D1" w14:textId="71BE2D6F" w:rsidR="00C16F39" w:rsidRPr="00B57B36" w:rsidRDefault="00C16F39" w:rsidP="005C0FE9">
            <w:pPr>
              <w:pStyle w:val="CETBodytext"/>
              <w:rPr>
                <w:lang w:val="en-GB"/>
              </w:rPr>
            </w:pPr>
            <w:r w:rsidRPr="009E1D77">
              <w:rPr>
                <w:rFonts w:cs="Arial"/>
                <w:szCs w:val="18"/>
              </w:rPr>
              <w:t>CO</w:t>
            </w:r>
            <w:r w:rsidRPr="009E1D77">
              <w:rPr>
                <w:rFonts w:cs="Arial"/>
                <w:szCs w:val="18"/>
                <w:vertAlign w:val="subscript"/>
              </w:rPr>
              <w:t>2</w:t>
            </w:r>
          </w:p>
        </w:tc>
        <w:tc>
          <w:tcPr>
            <w:tcW w:w="2911" w:type="dxa"/>
            <w:shd w:val="clear" w:color="auto" w:fill="FFFFFF"/>
          </w:tcPr>
          <w:p w14:paraId="44480ACF" w14:textId="27E1FB9A" w:rsidR="00C16F39" w:rsidRPr="00B57B36" w:rsidRDefault="00C16F39" w:rsidP="005C0FE9">
            <w:pPr>
              <w:pStyle w:val="CETBodytext"/>
              <w:rPr>
                <w:lang w:val="en-GB"/>
              </w:rPr>
            </w:pPr>
            <w:r w:rsidRPr="009E1D77">
              <w:rPr>
                <w:rFonts w:cs="Arial"/>
                <w:szCs w:val="18"/>
              </w:rPr>
              <w:t>50</w:t>
            </w:r>
          </w:p>
        </w:tc>
        <w:tc>
          <w:tcPr>
            <w:tcW w:w="2911" w:type="dxa"/>
            <w:shd w:val="clear" w:color="auto" w:fill="FFFFFF"/>
          </w:tcPr>
          <w:p w14:paraId="1AD37BB9" w14:textId="237E1B96" w:rsidR="00C16F39" w:rsidRPr="00B57B36" w:rsidRDefault="00C16F39" w:rsidP="005C0FE9">
            <w:pPr>
              <w:pStyle w:val="CETBodytext"/>
              <w:rPr>
                <w:lang w:val="en-GB"/>
              </w:rPr>
            </w:pPr>
            <w:r w:rsidRPr="009E1D77">
              <w:rPr>
                <w:rFonts w:cs="Arial"/>
                <w:szCs w:val="18"/>
              </w:rPr>
              <w:t>70</w:t>
            </w:r>
          </w:p>
        </w:tc>
      </w:tr>
      <w:tr w:rsidR="00C16F39" w:rsidRPr="00B57B36" w14:paraId="71EC3533" w14:textId="77777777" w:rsidTr="00C16F39">
        <w:trPr>
          <w:trHeight w:val="267"/>
        </w:trPr>
        <w:tc>
          <w:tcPr>
            <w:tcW w:w="2911" w:type="dxa"/>
            <w:shd w:val="clear" w:color="auto" w:fill="FFFFFF"/>
          </w:tcPr>
          <w:p w14:paraId="039DEE30" w14:textId="37F51EC3" w:rsidR="00C16F39" w:rsidRPr="00B57B36" w:rsidRDefault="00C16F39" w:rsidP="005C0FE9">
            <w:pPr>
              <w:pStyle w:val="CETBodytext"/>
              <w:rPr>
                <w:lang w:val="en-GB"/>
              </w:rPr>
            </w:pPr>
            <w:r w:rsidRPr="009E1D77">
              <w:rPr>
                <w:rFonts w:cs="Arial"/>
                <w:szCs w:val="18"/>
              </w:rPr>
              <w:t>H</w:t>
            </w:r>
            <w:r w:rsidRPr="009E1D77">
              <w:rPr>
                <w:rFonts w:cs="Arial"/>
                <w:szCs w:val="18"/>
                <w:vertAlign w:val="subscript"/>
              </w:rPr>
              <w:t>2</w:t>
            </w:r>
          </w:p>
        </w:tc>
        <w:tc>
          <w:tcPr>
            <w:tcW w:w="2911" w:type="dxa"/>
            <w:shd w:val="clear" w:color="auto" w:fill="FFFFFF"/>
          </w:tcPr>
          <w:p w14:paraId="5CC76AF2" w14:textId="51A9ED70" w:rsidR="00C16F39" w:rsidRPr="00B57B36" w:rsidRDefault="00C16F39" w:rsidP="005C0FE9">
            <w:pPr>
              <w:pStyle w:val="CETBodytext"/>
              <w:rPr>
                <w:lang w:val="en-GB"/>
              </w:rPr>
            </w:pPr>
            <w:r w:rsidRPr="009E1D77">
              <w:rPr>
                <w:rFonts w:cs="Arial"/>
                <w:szCs w:val="18"/>
              </w:rPr>
              <w:t>1</w:t>
            </w:r>
          </w:p>
        </w:tc>
        <w:tc>
          <w:tcPr>
            <w:tcW w:w="2911" w:type="dxa"/>
            <w:shd w:val="clear" w:color="auto" w:fill="FFFFFF"/>
          </w:tcPr>
          <w:p w14:paraId="695EB900" w14:textId="7F06D047" w:rsidR="00C16F39" w:rsidRPr="00B57B36" w:rsidRDefault="00C16F39" w:rsidP="005C0FE9">
            <w:pPr>
              <w:pStyle w:val="CETBodytext"/>
              <w:rPr>
                <w:lang w:val="en-GB"/>
              </w:rPr>
            </w:pPr>
            <w:r w:rsidRPr="009E1D77">
              <w:rPr>
                <w:rFonts w:cs="Arial"/>
                <w:szCs w:val="18"/>
              </w:rPr>
              <w:t>10</w:t>
            </w:r>
          </w:p>
        </w:tc>
      </w:tr>
      <w:tr w:rsidR="00C16F39" w:rsidRPr="00B57B36" w14:paraId="411ECC46" w14:textId="77777777" w:rsidTr="00C16F39">
        <w:trPr>
          <w:trHeight w:val="285"/>
        </w:trPr>
        <w:tc>
          <w:tcPr>
            <w:tcW w:w="2911" w:type="dxa"/>
            <w:shd w:val="clear" w:color="auto" w:fill="FFFFFF"/>
          </w:tcPr>
          <w:p w14:paraId="174432D1" w14:textId="437137E4" w:rsidR="00C16F39" w:rsidRPr="00B57B36" w:rsidRDefault="00C16F39" w:rsidP="005C0FE9">
            <w:pPr>
              <w:pStyle w:val="CETBodytext"/>
              <w:ind w:right="-1"/>
              <w:rPr>
                <w:rFonts w:cs="Arial"/>
                <w:szCs w:val="18"/>
                <w:lang w:val="en-GB"/>
              </w:rPr>
            </w:pPr>
            <w:r w:rsidRPr="009E1D77">
              <w:rPr>
                <w:rFonts w:cs="Arial"/>
                <w:szCs w:val="18"/>
              </w:rPr>
              <w:t>C</w:t>
            </w:r>
            <w:r w:rsidRPr="009E1D77">
              <w:rPr>
                <w:rFonts w:cs="Arial"/>
                <w:szCs w:val="18"/>
                <w:vertAlign w:val="subscript"/>
              </w:rPr>
              <w:t>2</w:t>
            </w:r>
            <w:r w:rsidRPr="009E1D77">
              <w:rPr>
                <w:rFonts w:cs="Arial"/>
                <w:szCs w:val="18"/>
              </w:rPr>
              <w:t>H</w:t>
            </w:r>
            <w:r w:rsidRPr="009E1D77">
              <w:rPr>
                <w:rFonts w:cs="Arial"/>
                <w:szCs w:val="18"/>
                <w:vertAlign w:val="subscript"/>
              </w:rPr>
              <w:t>6</w:t>
            </w:r>
          </w:p>
        </w:tc>
        <w:tc>
          <w:tcPr>
            <w:tcW w:w="2911" w:type="dxa"/>
            <w:shd w:val="clear" w:color="auto" w:fill="FFFFFF"/>
          </w:tcPr>
          <w:p w14:paraId="2E5E3120" w14:textId="697A08A8" w:rsidR="00C16F39" w:rsidRPr="00B57B36" w:rsidRDefault="00C16F39" w:rsidP="005C0FE9">
            <w:pPr>
              <w:pStyle w:val="CETBodytext"/>
              <w:ind w:right="-1"/>
              <w:rPr>
                <w:rFonts w:cs="Arial"/>
                <w:szCs w:val="18"/>
                <w:lang w:val="en-GB"/>
              </w:rPr>
            </w:pPr>
            <w:r w:rsidRPr="009E1D77">
              <w:rPr>
                <w:rFonts w:cs="Arial"/>
                <w:szCs w:val="18"/>
              </w:rPr>
              <w:t>1</w:t>
            </w:r>
          </w:p>
        </w:tc>
        <w:tc>
          <w:tcPr>
            <w:tcW w:w="2911" w:type="dxa"/>
            <w:shd w:val="clear" w:color="auto" w:fill="FFFFFF"/>
          </w:tcPr>
          <w:p w14:paraId="6E8F711D" w14:textId="09AB0547" w:rsidR="00C16F39" w:rsidRPr="00B57B36" w:rsidRDefault="00C16F39" w:rsidP="005C0FE9">
            <w:pPr>
              <w:pStyle w:val="CETBodytext"/>
              <w:ind w:right="-1"/>
              <w:rPr>
                <w:rFonts w:cs="Arial"/>
                <w:szCs w:val="18"/>
                <w:lang w:val="en-GB"/>
              </w:rPr>
            </w:pPr>
            <w:r w:rsidRPr="009E1D77">
              <w:rPr>
                <w:rFonts w:cs="Arial"/>
                <w:szCs w:val="18"/>
              </w:rPr>
              <w:t>5</w:t>
            </w:r>
          </w:p>
        </w:tc>
      </w:tr>
    </w:tbl>
    <w:p w14:paraId="7BAF0965" w14:textId="77777777" w:rsidR="00C16F39" w:rsidRPr="00C16F39" w:rsidRDefault="00C16F39" w:rsidP="005C0FE9">
      <w:pPr>
        <w:pStyle w:val="Paragrafoelenco"/>
        <w:ind w:left="0"/>
        <w:rPr>
          <w:rFonts w:cs="Arial"/>
          <w:szCs w:val="18"/>
        </w:rPr>
      </w:pPr>
    </w:p>
    <w:p w14:paraId="6C1C3177" w14:textId="5D88573D" w:rsidR="00C16F39" w:rsidRDefault="00C16F39" w:rsidP="005C0FE9">
      <w:pPr>
        <w:pStyle w:val="Paragrafoelenco"/>
        <w:ind w:left="0"/>
        <w:rPr>
          <w:rFonts w:cs="Arial"/>
          <w:szCs w:val="18"/>
        </w:rPr>
      </w:pPr>
      <w:r w:rsidRPr="00C16F39">
        <w:rPr>
          <w:rFonts w:cs="Arial"/>
          <w:szCs w:val="18"/>
        </w:rPr>
        <w:t xml:space="preserve">In order to understand the effects of initial parameters such as initial temperature, pressure, and fuel composition, the estimated ignition delay time </w:t>
      </w:r>
      <m:oMath>
        <m:r>
          <w:rPr>
            <w:rFonts w:ascii="Cambria Math"/>
            <w:szCs w:val="18"/>
          </w:rPr>
          <m:t>τ</m:t>
        </m:r>
      </m:oMath>
      <w:r w:rsidRPr="00C16F39">
        <w:rPr>
          <w:rFonts w:cs="Arial"/>
          <w:szCs w:val="18"/>
        </w:rPr>
        <w:t xml:space="preserve"> has been correlated to the Arrhenius-like equation as in the following equation:</w:t>
      </w:r>
    </w:p>
    <w:p w14:paraId="10A28271" w14:textId="77777777" w:rsidR="00C16F39" w:rsidRPr="00C16F39" w:rsidRDefault="00C16F39" w:rsidP="005C0FE9">
      <w:pPr>
        <w:pStyle w:val="Paragrafoelenco"/>
        <w:tabs>
          <w:tab w:val="clear" w:pos="7100"/>
          <w:tab w:val="right" w:pos="8647"/>
          <w:tab w:val="right" w:pos="9923"/>
        </w:tabs>
        <w:ind w:left="0"/>
        <w:rPr>
          <w:rFonts w:cs="Arial"/>
          <w:szCs w:val="18"/>
        </w:rPr>
      </w:pPr>
      <m:oMath>
        <m:r>
          <w:rPr>
            <w:rFonts w:ascii="Cambria Math" w:hAnsi="Cambria Math"/>
          </w:rPr>
          <m:t>τ</m:t>
        </m:r>
        <m:r>
          <w:rPr>
            <w:rFonts w:ascii="Cambria Math"/>
          </w:rPr>
          <m:t>=A</m:t>
        </m:r>
        <m:r>
          <w:rPr>
            <w:rFonts w:ascii="Cambria Math" w:hAnsi="Cambria Math"/>
          </w:rPr>
          <m:t>∙</m:t>
        </m:r>
        <m:sSup>
          <m:sSupPr>
            <m:ctrlPr>
              <w:rPr>
                <w:rFonts w:ascii="Cambria Math" w:hAnsi="Cambria Math"/>
                <w:i/>
              </w:rPr>
            </m:ctrlPr>
          </m:sSupPr>
          <m:e>
            <m:r>
              <w:rPr>
                <w:rFonts w:ascii="Cambria Math" w:hAnsi="Cambria Math"/>
              </w:rPr>
              <m:t>P</m:t>
            </m:r>
          </m:e>
          <m:sup>
            <m:r>
              <w:rPr>
                <w:rFonts w:ascii="Cambria Math" w:hAnsi="Cambria Math"/>
              </w:rPr>
              <m:t>-β</m:t>
            </m:r>
          </m:sup>
        </m:sSup>
        <m:r>
          <w:rPr>
            <w:rFonts w:ascii="Cambria Math" w:hAnsi="Cambria Math"/>
          </w:rPr>
          <m:t>∙</m:t>
        </m:r>
        <m:sSup>
          <m:sSupPr>
            <m:ctrlPr>
              <w:rPr>
                <w:rFonts w:ascii="Cambria Math" w:hAnsi="Cambria Math"/>
                <w:i/>
              </w:rPr>
            </m:ctrlPr>
          </m:sSupPr>
          <m:e>
            <m:r>
              <w:rPr>
                <w:rFonts w:ascii="Cambria Math" w:hAnsi="Cambria Math"/>
              </w:rPr>
              <m:t>e</m:t>
            </m:r>
          </m:e>
          <m:sup>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rPr>
                      <m:t>E</m:t>
                    </m:r>
                  </m:e>
                  <m:sub>
                    <m:r>
                      <w:rPr>
                        <w:rFonts w:ascii="Cambria Math"/>
                      </w:rPr>
                      <m:t>a</m:t>
                    </m:r>
                  </m:sub>
                </m:sSub>
                <m:ctrlPr>
                  <w:rPr>
                    <w:rFonts w:ascii="Cambria Math" w:hAnsi="Cambria Math"/>
                  </w:rPr>
                </m:ctrlPr>
              </m:num>
              <m:den>
                <m:r>
                  <m:rPr>
                    <m:nor/>
                  </m:rPr>
                  <w:rPr>
                    <w:rFonts w:ascii="Cambria Math"/>
                  </w:rPr>
                  <m:t>RT</m:t>
                </m:r>
                <m:ctrlPr>
                  <w:rPr>
                    <w:rFonts w:ascii="Cambria Math" w:hAnsi="Cambria Math"/>
                  </w:rPr>
                </m:ctrlPr>
              </m:den>
            </m:f>
          </m:sup>
        </m:sSup>
        <m:r>
          <w:rPr>
            <w:rFonts w:ascii="Cambria Math" w:hAnsi="Cambria Math"/>
          </w:rPr>
          <m:t>∙</m:t>
        </m:r>
        <m:nary>
          <m:naryPr>
            <m:chr m:val="∏"/>
            <m:limLoc m:val="undOvr"/>
            <m:subHide m:val="1"/>
            <m:supHide m:val="1"/>
            <m:ctrlPr>
              <w:rPr>
                <w:rFonts w:ascii="Cambria Math" w:hAnsi="Cambria Math"/>
                <w:i/>
              </w:rPr>
            </m:ctrlPr>
          </m:naryPr>
          <m:sub/>
          <m:sup/>
          <m:e>
            <m:sSup>
              <m:sSupPr>
                <m:ctrlPr>
                  <w:rPr>
                    <w:rFonts w:ascii="Cambria Math" w:hAnsi="Cambria Math"/>
                    <w:i/>
                  </w:rPr>
                </m:ctrlPr>
              </m:sSupPr>
              <m:e>
                <m:sSub>
                  <m:sSubPr>
                    <m:ctrlPr>
                      <w:rPr>
                        <w:rFonts w:ascii="Cambria Math" w:hAnsi="Cambria Math"/>
                        <w:i/>
                      </w:rPr>
                    </m:ctrlPr>
                  </m:sSubPr>
                  <m:e>
                    <m:r>
                      <w:rPr>
                        <w:rFonts w:ascii="Cambria Math"/>
                      </w:rPr>
                      <m:t>y</m:t>
                    </m:r>
                  </m:e>
                  <m:sub>
                    <m:r>
                      <w:rPr>
                        <w:rFonts w:ascii="Cambria Math"/>
                      </w:rPr>
                      <m:t>i</m:t>
                    </m:r>
                  </m:sub>
                </m:sSub>
              </m:e>
              <m:sup>
                <m:sSub>
                  <m:sSubPr>
                    <m:ctrlPr>
                      <w:rPr>
                        <w:rFonts w:ascii="Cambria Math" w:hAnsi="Cambria Math"/>
                        <w:i/>
                      </w:rPr>
                    </m:ctrlPr>
                  </m:sSubPr>
                  <m:e>
                    <m:r>
                      <w:rPr>
                        <w:rFonts w:ascii="Cambria Math" w:hAnsi="Cambria Math"/>
                      </w:rPr>
                      <m:t>α</m:t>
                    </m:r>
                  </m:e>
                  <m:sub>
                    <m:r>
                      <w:rPr>
                        <w:rFonts w:ascii="Cambria Math"/>
                      </w:rPr>
                      <m:t>i</m:t>
                    </m:r>
                  </m:sub>
                </m:sSub>
              </m:sup>
            </m:sSup>
          </m:e>
        </m:nary>
      </m:oMath>
      <w:r w:rsidRPr="00C16F39">
        <w:rPr>
          <w:rFonts w:cs="Arial"/>
          <w:i/>
          <w:szCs w:val="18"/>
        </w:rPr>
        <w:tab/>
      </w:r>
      <w:r w:rsidRPr="00C16F39">
        <w:rPr>
          <w:rFonts w:cs="Arial"/>
          <w:szCs w:val="18"/>
        </w:rPr>
        <w:t>(3)</w:t>
      </w:r>
    </w:p>
    <w:p w14:paraId="4572E538" w14:textId="77777777" w:rsidR="00C16F39" w:rsidRPr="00C16F39" w:rsidRDefault="00C16F39" w:rsidP="005C0FE9">
      <w:pPr>
        <w:pStyle w:val="Paragrafoelenco"/>
        <w:tabs>
          <w:tab w:val="right" w:pos="9923"/>
        </w:tabs>
        <w:ind w:left="0"/>
        <w:rPr>
          <w:rFonts w:cs="Arial"/>
          <w:szCs w:val="18"/>
        </w:rPr>
      </w:pPr>
    </w:p>
    <w:p w14:paraId="63D069B6" w14:textId="392A6DF9" w:rsidR="00C16F39" w:rsidRDefault="00C16F39" w:rsidP="005C0FE9">
      <w:pPr>
        <w:pStyle w:val="Paragrafoelenco"/>
        <w:tabs>
          <w:tab w:val="left" w:pos="9214"/>
        </w:tabs>
        <w:ind w:left="0"/>
        <w:rPr>
          <w:rFonts w:cs="Arial"/>
          <w:szCs w:val="18"/>
        </w:rPr>
      </w:pPr>
      <w:r w:rsidRPr="00C16F39">
        <w:rPr>
          <w:rFonts w:cs="Arial"/>
          <w:szCs w:val="18"/>
        </w:rPr>
        <w:t xml:space="preserve">where A is the frequency factor, R the universal gas constant, </w:t>
      </w:r>
      <m:oMath>
        <m:sSub>
          <m:sSubPr>
            <m:ctrlPr>
              <w:rPr>
                <w:rFonts w:ascii="Cambria Math" w:hAnsi="Cambria Math"/>
                <w:i/>
                <w:szCs w:val="18"/>
              </w:rPr>
            </m:ctrlPr>
          </m:sSubPr>
          <m:e>
            <m:r>
              <w:rPr>
                <w:rFonts w:ascii="Cambria Math"/>
                <w:szCs w:val="18"/>
              </w:rPr>
              <m:t>E</m:t>
            </m:r>
          </m:e>
          <m:sub>
            <m:r>
              <m:rPr>
                <m:nor/>
              </m:rPr>
              <w:rPr>
                <w:rFonts w:ascii="Cambria Math"/>
                <w:szCs w:val="18"/>
              </w:rPr>
              <m:t>a</m:t>
            </m:r>
            <m:ctrlPr>
              <w:rPr>
                <w:rFonts w:ascii="Cambria Math" w:hAnsi="Cambria Math"/>
                <w:szCs w:val="18"/>
              </w:rPr>
            </m:ctrlPr>
          </m:sub>
        </m:sSub>
      </m:oMath>
      <w:r w:rsidRPr="00C16F39">
        <w:rPr>
          <w:rFonts w:cs="Arial"/>
          <w:szCs w:val="18"/>
        </w:rPr>
        <w:t xml:space="preserve"> is the overall activation energy in J mol</w:t>
      </w:r>
      <w:r w:rsidRPr="00C16F39">
        <w:rPr>
          <w:rFonts w:cs="Arial"/>
          <w:b/>
          <w:bCs/>
          <w:szCs w:val="18"/>
          <w:vertAlign w:val="superscript"/>
        </w:rPr>
        <w:t>-1</w:t>
      </w:r>
      <w:r w:rsidRPr="00C16F39">
        <w:rPr>
          <w:rFonts w:cs="Arial"/>
          <w:szCs w:val="18"/>
        </w:rPr>
        <w:t xml:space="preserve">, P and T are the initial pressure expressed in bar and temperature in Kelvin, and </w:t>
      </w:r>
      <m:oMath>
        <m:sSub>
          <m:sSubPr>
            <m:ctrlPr>
              <w:rPr>
                <w:rFonts w:ascii="Cambria Math" w:hAnsi="Cambria Math"/>
                <w:i/>
                <w:szCs w:val="18"/>
              </w:rPr>
            </m:ctrlPr>
          </m:sSubPr>
          <m:e>
            <m:r>
              <w:rPr>
                <w:rFonts w:ascii="Cambria Math" w:hAnsi="Cambria Math"/>
                <w:szCs w:val="18"/>
              </w:rPr>
              <m:t>α</m:t>
            </m:r>
          </m:e>
          <m:sub>
            <m:r>
              <w:rPr>
                <w:rFonts w:ascii="Cambria Math"/>
                <w:szCs w:val="18"/>
              </w:rPr>
              <m:t>i</m:t>
            </m:r>
          </m:sub>
        </m:sSub>
      </m:oMath>
      <w:r w:rsidRPr="00C16F39">
        <w:rPr>
          <w:rFonts w:cs="Arial"/>
          <w:szCs w:val="18"/>
        </w:rPr>
        <w:t xml:space="preserve"> are the exponential coefficient (order of reaction) for the generic mole fraction of reactant </w:t>
      </w:r>
      <m:oMath>
        <m:sSub>
          <m:sSubPr>
            <m:ctrlPr>
              <w:rPr>
                <w:rFonts w:ascii="Cambria Math" w:hAnsi="Cambria Math"/>
                <w:i/>
                <w:szCs w:val="18"/>
              </w:rPr>
            </m:ctrlPr>
          </m:sSubPr>
          <m:e>
            <m:r>
              <w:rPr>
                <w:rFonts w:ascii="Cambria Math" w:hAnsi="Cambria Math"/>
                <w:szCs w:val="18"/>
              </w:rPr>
              <m:t>y</m:t>
            </m:r>
          </m:e>
          <m:sub>
            <m:r>
              <w:rPr>
                <w:rFonts w:ascii="Cambria Math"/>
                <w:szCs w:val="18"/>
              </w:rPr>
              <m:t>i</m:t>
            </m:r>
          </m:sub>
        </m:sSub>
      </m:oMath>
      <w:r w:rsidRPr="00C16F39">
        <w:rPr>
          <w:rFonts w:cs="Arial"/>
          <w:szCs w:val="18"/>
        </w:rPr>
        <w:t xml:space="preserve">. In order to describe quantitatively the effects of each parameter on </w:t>
      </w:r>
      <m:oMath>
        <m:r>
          <w:rPr>
            <w:rFonts w:ascii="Cambria Math"/>
            <w:szCs w:val="18"/>
          </w:rPr>
          <m:t>τ</m:t>
        </m:r>
      </m:oMath>
      <w:r w:rsidRPr="00C16F39">
        <w:rPr>
          <w:rFonts w:cs="Arial"/>
          <w:szCs w:val="18"/>
        </w:rPr>
        <w:t>, the rate of change (CR) is defined as:</w:t>
      </w:r>
    </w:p>
    <w:p w14:paraId="4D745930" w14:textId="77777777" w:rsidR="00C16F39" w:rsidRPr="00C16F39" w:rsidRDefault="00C16F39" w:rsidP="005C0FE9">
      <w:pPr>
        <w:pStyle w:val="Paragrafoelenco"/>
        <w:tabs>
          <w:tab w:val="clear" w:pos="7100"/>
          <w:tab w:val="right" w:pos="8647"/>
          <w:tab w:val="right" w:pos="9923"/>
        </w:tabs>
        <w:ind w:left="0"/>
        <w:rPr>
          <w:rFonts w:cs="Arial"/>
          <w:szCs w:val="18"/>
        </w:rPr>
      </w:pPr>
      <m:oMath>
        <m:r>
          <m:rPr>
            <m:nor/>
          </m:rPr>
          <w:rPr>
            <w:rFonts w:ascii="Cambria Math"/>
          </w:rPr>
          <m:t>CR =</m:t>
        </m:r>
        <m:d>
          <m:dPr>
            <m:begChr m:val="["/>
            <m:endChr m:val="]"/>
            <m:ctrlPr>
              <w:rPr>
                <w:rFonts w:ascii="Cambria Math" w:hAnsi="Cambria Math"/>
                <w:i/>
              </w:rPr>
            </m:ctrlPr>
          </m:dPr>
          <m:e>
            <m:f>
              <m:fPr>
                <m:ctrlPr>
                  <w:rPr>
                    <w:rFonts w:ascii="Cambria Math" w:hAnsi="Cambria Math"/>
                    <w:i/>
                  </w:rPr>
                </m:ctrlPr>
              </m:fPr>
              <m:num>
                <m:sSub>
                  <m:sSubPr>
                    <m:ctrlPr>
                      <w:rPr>
                        <w:rFonts w:ascii="Cambria Math" w:hAnsi="Cambria Math"/>
                        <w:i/>
                      </w:rPr>
                    </m:ctrlPr>
                  </m:sSubPr>
                  <m:e>
                    <m:r>
                      <w:rPr>
                        <w:rFonts w:ascii="Cambria Math"/>
                      </w:rPr>
                      <m:t>τ</m:t>
                    </m:r>
                  </m:e>
                  <m:sub>
                    <m:r>
                      <m:rPr>
                        <m:nor/>
                      </m:rPr>
                      <w:rPr>
                        <w:rFonts w:ascii="Cambria Math"/>
                      </w:rPr>
                      <m:t>max</m:t>
                    </m:r>
                    <m:ctrlPr>
                      <w:rPr>
                        <w:rFonts w:ascii="Cambria Math" w:hAnsi="Cambria Math"/>
                      </w:rPr>
                    </m:ctrlPr>
                  </m:sub>
                </m:sSub>
                <m:r>
                  <m:rPr>
                    <m:nor/>
                  </m:rPr>
                  <w:rPr>
                    <w:rFonts w:ascii="Cambria Math"/>
                  </w:rPr>
                  <m:t>-</m:t>
                </m:r>
                <m:r>
                  <m:rPr>
                    <m:nor/>
                  </m:rPr>
                  <w:rPr>
                    <w:rFonts w:ascii="Cambria Math"/>
                  </w:rPr>
                  <m:t>τ</m:t>
                </m:r>
                <m:ctrlPr>
                  <w:rPr>
                    <w:rFonts w:ascii="Cambria Math" w:hAnsi="Cambria Math"/>
                  </w:rPr>
                </m:ctrlPr>
              </m:num>
              <m:den>
                <m:sSub>
                  <m:sSubPr>
                    <m:ctrlPr>
                      <w:rPr>
                        <w:rFonts w:ascii="Cambria Math" w:hAnsi="Cambria Math"/>
                        <w:i/>
                      </w:rPr>
                    </m:ctrlPr>
                  </m:sSubPr>
                  <m:e>
                    <m:r>
                      <w:rPr>
                        <w:rFonts w:ascii="Cambria Math"/>
                      </w:rPr>
                      <m:t>τ</m:t>
                    </m:r>
                  </m:e>
                  <m:sub>
                    <m:r>
                      <m:rPr>
                        <m:nor/>
                      </m:rPr>
                      <w:rPr>
                        <w:rFonts w:ascii="Cambria Math"/>
                      </w:rPr>
                      <m:t>max</m:t>
                    </m:r>
                    <m:ctrlPr>
                      <w:rPr>
                        <w:rFonts w:ascii="Cambria Math" w:hAnsi="Cambria Math"/>
                      </w:rPr>
                    </m:ctrlPr>
                  </m:sub>
                </m:sSub>
              </m:den>
            </m:f>
          </m:e>
        </m:d>
        <m:r>
          <w:rPr>
            <w:rFonts w:ascii="Cambria Math" w:hAnsi="Cambria Math"/>
          </w:rPr>
          <m:t>∙100%</m:t>
        </m:r>
      </m:oMath>
      <w:r w:rsidRPr="00C16F39">
        <w:rPr>
          <w:rFonts w:cs="Arial"/>
          <w:i/>
          <w:szCs w:val="18"/>
        </w:rPr>
        <w:tab/>
      </w:r>
      <w:r w:rsidRPr="00C16F39">
        <w:rPr>
          <w:rFonts w:cs="Arial"/>
          <w:szCs w:val="18"/>
        </w:rPr>
        <w:t>(4)</w:t>
      </w:r>
    </w:p>
    <w:p w14:paraId="038E59C3" w14:textId="77777777" w:rsidR="00C16F39" w:rsidRPr="00C16F39" w:rsidRDefault="00C16F39" w:rsidP="005C0FE9">
      <w:pPr>
        <w:pStyle w:val="Paragrafoelenco"/>
        <w:tabs>
          <w:tab w:val="right" w:pos="9923"/>
        </w:tabs>
        <w:ind w:left="0"/>
        <w:rPr>
          <w:rFonts w:cs="Arial"/>
          <w:szCs w:val="18"/>
        </w:rPr>
      </w:pPr>
    </w:p>
    <w:p w14:paraId="071640B8" w14:textId="77777777" w:rsidR="00C16F39" w:rsidRPr="00C16F39" w:rsidRDefault="00C16F39" w:rsidP="005C0FE9">
      <w:pPr>
        <w:pStyle w:val="Paragrafoelenco"/>
        <w:ind w:left="0"/>
        <w:rPr>
          <w:rFonts w:cs="Arial"/>
          <w:szCs w:val="18"/>
        </w:rPr>
      </w:pPr>
      <w:r w:rsidRPr="00C16F39">
        <w:rPr>
          <w:rFonts w:cs="Arial"/>
          <w:szCs w:val="18"/>
        </w:rPr>
        <w:t xml:space="preserve">where </w:t>
      </w:r>
      <m:oMath>
        <m:sSub>
          <m:sSubPr>
            <m:ctrlPr>
              <w:rPr>
                <w:rFonts w:ascii="Cambria Math" w:hAnsi="Cambria Math"/>
                <w:i/>
                <w:szCs w:val="18"/>
              </w:rPr>
            </m:ctrlPr>
          </m:sSubPr>
          <m:e>
            <m:r>
              <w:rPr>
                <w:rFonts w:ascii="Cambria Math"/>
                <w:szCs w:val="18"/>
              </w:rPr>
              <m:t>τ</m:t>
            </m:r>
          </m:e>
          <m:sub>
            <m:r>
              <w:rPr>
                <w:rFonts w:ascii="Cambria Math"/>
                <w:szCs w:val="18"/>
              </w:rPr>
              <m:t>max</m:t>
            </m:r>
          </m:sub>
        </m:sSub>
        <m:r>
          <w:rPr>
            <w:rFonts w:ascii="Cambria Math"/>
            <w:szCs w:val="18"/>
          </w:rPr>
          <m:t xml:space="preserve"> </m:t>
        </m:r>
      </m:oMath>
      <w:r w:rsidRPr="00C16F39">
        <w:rPr>
          <w:rFonts w:cs="Arial"/>
          <w:szCs w:val="18"/>
        </w:rPr>
        <w:t>indicates the maximum value estimated for the ignition delay time of each investigated mixture, i.e., the IDT corresponding to the minimum temperature and pressure considered in this analysis.</w:t>
      </w:r>
    </w:p>
    <w:p w14:paraId="1F96CA21" w14:textId="5566C078" w:rsidR="00600535" w:rsidRDefault="00465C86" w:rsidP="005C0FE9">
      <w:pPr>
        <w:pStyle w:val="CETHeading1"/>
        <w:numPr>
          <w:ilvl w:val="1"/>
          <w:numId w:val="22"/>
        </w:numPr>
        <w:spacing w:line="264" w:lineRule="auto"/>
      </w:pPr>
      <w:r>
        <w:t>Results and discussion</w:t>
      </w:r>
    </w:p>
    <w:p w14:paraId="5B54EE0E" w14:textId="2A2C9801" w:rsidR="00465C86" w:rsidRDefault="00465C86" w:rsidP="005C0FE9">
      <w:pPr>
        <w:pStyle w:val="Paragrafoelenco"/>
        <w:ind w:left="0"/>
        <w:rPr>
          <w:rFonts w:cs="Arial"/>
          <w:szCs w:val="18"/>
        </w:rPr>
      </w:pPr>
      <w:r w:rsidRPr="00465C86">
        <w:rPr>
          <w:rFonts w:cs="Arial"/>
          <w:szCs w:val="18"/>
        </w:rPr>
        <w:t xml:space="preserve">A preliminary analysis was devoted to the validation of the adopted procedure and model by comparing numerical estimation obtained in this work with experimental data of pure fuels (Figure 1, left) and mixtures </w:t>
      </w:r>
      <w:r w:rsidRPr="00465C86">
        <w:rPr>
          <w:rFonts w:cs="Arial"/>
          <w:szCs w:val="18"/>
        </w:rPr>
        <w:lastRenderedPageBreak/>
        <w:t xml:space="preserve">(Figure 1, right) retrieved in the literature </w:t>
      </w:r>
      <w:bookmarkStart w:id="2" w:name="_ENREF_1"/>
      <w:bookmarkStart w:id="3" w:name="_ENREF_12"/>
      <w:bookmarkStart w:id="4" w:name="_ENREF_20"/>
      <w:bookmarkStart w:id="5" w:name="_ENREF_11"/>
      <w:bookmarkStart w:id="6" w:name="_ENREF_18"/>
      <w:bookmarkStart w:id="7" w:name="_ENREF_23"/>
      <w:bookmarkStart w:id="8" w:name="_ENREF_4"/>
      <w:bookmarkStart w:id="9" w:name="_ENREF_22"/>
      <w:bookmarkStart w:id="10" w:name="_ENREF_5"/>
      <w:bookmarkStart w:id="11" w:name="_ENREF_3"/>
      <w:bookmarkStart w:id="12" w:name="_ENREF_9"/>
      <w:bookmarkStart w:id="13" w:name="_ENREF_21"/>
      <w:bookmarkStart w:id="14" w:name="_ENREF_8"/>
      <w:bookmarkStart w:id="15" w:name="_ENREF_15"/>
      <w:bookmarkStart w:id="16" w:name="_ENREF_17"/>
      <w:bookmarkStart w:id="17" w:name="_ENREF_24"/>
      <w:bookmarkStart w:id="18" w:name="_ENREF_25"/>
      <w:bookmarkStart w:id="19" w:name="_ENREF_26"/>
      <w:bookmarkStart w:id="20" w:name="_ENREF_2"/>
      <w:bookmarkStart w:id="21" w:name="_ENREF_16"/>
      <w:bookmarkStart w:id="22" w:name="_ENREF_14"/>
      <w:bookmarkStart w:id="23" w:name="_ENREF_19"/>
      <w:bookmarkStart w:id="24" w:name="_ENREF_13"/>
      <w:bookmarkStart w:id="25" w:name="_ENREF_6"/>
      <w:bookmarkStart w:id="26" w:name="_ENREF_7"/>
      <w:bookmarkStart w:id="27" w:name="_ENREF_1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r w:rsidRPr="00465C86">
        <w:rPr>
          <w:rFonts w:cs="Arial"/>
          <w:szCs w:val="18"/>
        </w:rPr>
        <w:fldChar w:fldCharType="begin" w:fldLock="1"/>
      </w:r>
      <w:r w:rsidRPr="00465C86">
        <w:rPr>
          <w:rFonts w:cs="Arial"/>
          <w:szCs w:val="18"/>
        </w:rPr>
        <w:instrText>ADDIN CSL_CITATION {"citationItems":[{"id":"ITEM-1","itemData":{"DOI":"10.1115/1.2720543","ISBN":"0-7918-4725-X","ISSN":"07424795","abstract":"Shock-tube experiments and chemical kinetics modeling were performed to further understand the ignition and oxidation kinetics of lean methane-based fuel blends at gas turbine pressures. Such data are required because the likelihood of gas turbine engines operating on CH4-based fuel blends with significant (&amp;gt;10%) amounts of hydrogen, ethane, and other hydrocarbons is very high. Ignition delay times were obtained behind reflected shock waves for fuel mixtures consisting of CH4, CH4∕H2, CH4∕C2H6, and CH4∕C3H8 in ratios ranging from 90/10% to 60/40%. Lean fuel/air equivalence ratios (ϕ=0.5) were utilized, and the test pressures ranged from 0.54 to 30.0atm. The test temperatures were from 1090K to 2001K. Significant reductions in ignition delay time were seen with the fuel blends relative to the CH4-only mixtures at all conditions. However, the temperature dependence (i.e., activation energy) of the ignition times was little affected by the additives for the range of mixtures and temperatures of this study. In general, the activation energy of ignition for all mixtures except the CH4∕C3H8 one was smaller at temperatures below approximately1300K(</w:instrText>
      </w:r>
      <w:r w:rsidRPr="00465C86">
        <w:rPr>
          <w:rFonts w:ascii="Cambria Math" w:hAnsi="Cambria Math" w:cs="Cambria Math"/>
          <w:szCs w:val="18"/>
        </w:rPr>
        <w:instrText>∼</w:instrText>
      </w:r>
      <w:r w:rsidRPr="00465C86">
        <w:rPr>
          <w:rFonts w:cs="Arial"/>
          <w:szCs w:val="18"/>
        </w:rPr>
        <w:instrText>27kcal∕mol) than at temperatures above this value (</w:instrText>
      </w:r>
      <w:r w:rsidRPr="00465C86">
        <w:rPr>
          <w:rFonts w:ascii="Cambria Math" w:hAnsi="Cambria Math" w:cs="Cambria Math"/>
          <w:szCs w:val="18"/>
        </w:rPr>
        <w:instrText>∼</w:instrText>
      </w:r>
      <w:r w:rsidRPr="00465C86">
        <w:rPr>
          <w:rFonts w:cs="Arial"/>
          <w:szCs w:val="18"/>
        </w:rPr>
        <w:instrText>41kcal∕mol). A methane/hydrocarbon–oxidation chemical kinetics mechanism developed in a recent study was able to reproduce the high-pressure, fuel-lean data for the fuel/air mixtures. The results herein extend the ignition delay time database for lean methane blends to higher pressures (30atm) and lower temperatures (1100K) than considered previously and represent a major step toward understanding the oxidation chemistry of such mixtures at gas turbine pressures. Extrapolation of the results to gas turbine premixer conditions at temperatures less than 800K should be avoided however because the temperature dependence of the ignition time may change dramatically from that obtained herein.","author":[{"dropping-particle":"","family":"Petersen","given":"Eric L.","non-dropping-particle":"","parse-names":false,"suffix":""},{"dropping-particle":"","family":"Hall","given":"Joel M.","non-dropping-particle":"","parse-names":false,"suffix":""},{"dropping-particle":"","family":"Smith","given":"Schuyler D.","non-dropping-particle":"","parse-names":false,"suffix":""},{"dropping-particle":"","family":"Vries","given":"Jaap","non-dropping-particle":"de","parse-names":false,"suffix":""},{"dropping-particle":"","family":"Amadio","given":"Anthony R.","non-dropping-particle":"","parse-names":false,"suffix":""},{"dropping-particle":"","family":"Crofton","given":"Mark W.","non-dropping-particle":"","parse-names":false,"suffix":""}],"container-title":"Journal of Engineering for Gas Turbines and Power","id":"ITEM-1","issue":"4","issued":{"date-parts":[["2007"]]},"page":"937","title":"Ignition of Lean Methane-Based Fuel Blends at Gas Turbine Pressures","type":"article-journal","volume":"129"},"uris":["http://www.mendeley.com/documents/?uuid=dcea7ac6-a5a4-4be3-b2f1-e7a3b7779fcd"]}],"mendeley":{"formattedCitation":"(Petersen et al., 2007)","plainTextFormattedCitation":"(Petersen et al., 2007)","previouslyFormattedCitation":"(Petersen et al., 2007)"},"properties":{"noteIndex":0},"schema":"https://github.com/citation-style-language/schema/raw/master/csl-citation.json"}</w:instrText>
      </w:r>
      <w:r w:rsidRPr="00465C86">
        <w:rPr>
          <w:rFonts w:cs="Arial"/>
          <w:szCs w:val="18"/>
        </w:rPr>
        <w:fldChar w:fldCharType="separate"/>
      </w:r>
      <w:r w:rsidRPr="00465C86">
        <w:rPr>
          <w:rFonts w:cs="Arial"/>
          <w:noProof/>
          <w:szCs w:val="18"/>
        </w:rPr>
        <w:t>(Petersen et al., 2007)</w:t>
      </w:r>
      <w:r w:rsidRPr="00465C86">
        <w:rPr>
          <w:rFonts w:cs="Arial"/>
          <w:szCs w:val="18"/>
        </w:rPr>
        <w:fldChar w:fldCharType="end"/>
      </w:r>
      <w:r w:rsidRPr="00465C86">
        <w:rPr>
          <w:rFonts w:cs="Arial"/>
          <w:szCs w:val="18"/>
        </w:rPr>
        <w:fldChar w:fldCharType="begin" w:fldLock="1"/>
      </w:r>
      <w:r w:rsidRPr="00465C86">
        <w:rPr>
          <w:rFonts w:cs="Arial"/>
          <w:szCs w:val="18"/>
        </w:rPr>
        <w:instrText>ADDIN CSL_CITATION {"citationItems":[{"id":"ITEM-1","itemData":{"DOI":"10.1016/j.combustflame.2005.06.013","ISBN":"0010-2180","ISSN":"00102180","abstract":"The ignition delay of homogeneous methane/air mixtures enriched with small fractions of ethane/propane was measured using the reflected-shock technique at temperatures from 900 to 1400 K and pressures from 16 to 40 bar. The results show complex effects of ethane/propane on the ignition of methane, but a common trend observed with both hydrocarbons is an increased promotion effect for temperatures below 1100 K. A detailed kinetic mechanism was used to investigate the interaction between ethane/propane and the ignition chemistry of methane under the above conditions. It was found that at relatively low temperatures, the reactions between ethane/propane and methylperoxy (CH3O2) lead to an enhanced rate of formation of OH radicals in the initiation phase of the ignition. By systematically applying the quasi-steady-state assumptions to the intermediate species involved in the main reaction path identified, we have achieved an analytical description of the ignition process in the transitional temperature regime. The analytical solutions agree reasonably well with the detailed kinetic model and the experimental results for both ignition delay and concentrations of major intermediate species. © 2005 The Combustion Institute. Published by Elsevier Inc. All rights reserved.","author":[{"dropping-particle":"","family":"Huang","given":"J.","non-dropping-particle":"","parse-names":false,"suffix":""},{"dropping-particle":"","family":"Bushe","given":"W. K.","non-dropping-particle":"","parse-names":false,"suffix":""}],"container-title":"Combustion and Flame","id":"ITEM-1","issue":"1-2","issued":{"date-parts":[["2006"]]},"page":"74-88","title":"Experimental and kinetic study of autoignition in methane/ethane/air and methane/propane/air mixtures under engine-relevant conditions","type":"article-journal","volume":"144"},"uris":["http://www.mendeley.com/documents/?uuid=a344163e-4616-4b86-93c7-b6bc3035bab4"]}],"mendeley":{"formattedCitation":"(Huang and Bushe, 2006)","plainTextFormattedCitation":"(Huang and Bushe, 2006)","previouslyFormattedCitation":"(Huang and Bushe, 2006)"},"properties":{"noteIndex":0},"schema":"https://github.com/citation-style-language/schema/raw/master/csl-citation.json"}</w:instrText>
      </w:r>
      <w:r w:rsidRPr="00465C86">
        <w:rPr>
          <w:rFonts w:cs="Arial"/>
          <w:szCs w:val="18"/>
        </w:rPr>
        <w:fldChar w:fldCharType="separate"/>
      </w:r>
      <w:r w:rsidRPr="00465C86">
        <w:rPr>
          <w:rFonts w:cs="Arial"/>
          <w:noProof/>
          <w:szCs w:val="18"/>
        </w:rPr>
        <w:t>(Huang and Bushe, 2006)</w:t>
      </w:r>
      <w:r w:rsidRPr="00465C86">
        <w:rPr>
          <w:rFonts w:cs="Arial"/>
          <w:szCs w:val="18"/>
        </w:rPr>
        <w:fldChar w:fldCharType="end"/>
      </w:r>
      <w:r w:rsidRPr="00465C86">
        <w:rPr>
          <w:rFonts w:cs="Arial"/>
          <w:szCs w:val="18"/>
        </w:rPr>
        <w:fldChar w:fldCharType="begin" w:fldLock="1"/>
      </w:r>
      <w:r w:rsidRPr="00465C86">
        <w:rPr>
          <w:rFonts w:cs="Arial"/>
          <w:szCs w:val="18"/>
        </w:rPr>
        <w:instrText>ADDIN CSL_CITATION {"citationItems":[{"id":"ITEM-1","itemData":{"DOI":"10.1016/j.combustflame.2012.06.021","ISSN":"00102180","abstract":"Autoignition delay times of stoichiometric and fuel-lean (=0.5) H2, H2/CO, CH4, CH4/CO, CH4/H2and CH4/CO/H2mixtures have been measured in an Rapid Compression Machine at pressures ranging from 20 to 80bar and in the temperature range 900-1100K. The effects of CO addition on the ignition of H2, to 50% CO in the fuel, and CH4, to 20% CO in the fuel, are observed to be negligible both experimentally and computationally for the conditions studied here. The addition of syngas to methane results in ignition behavior that resembles an equivalent methane/hydrogen fuel mixture with the same hydrogen fraction. In contrast to results previous presented in the literature, we thus observe no inhibiting effect from CO for the conditions in our experiments. © 2012 The Combustion Institute.","author":[{"dropping-particle":"","family":"Gersen","given":"Sander","non-dropping-particle":"","parse-names":false,"suffix":""},{"dropping-particle":"","family":"Darmeveil","given":"Harry","non-dropping-particle":"","parse-names":false,"suffix":""},{"dropping-particle":"","family":"Levinsky","given":"Howard","non-dropping-particle":"","parse-names":false,"suffix":""}],"container-title":"Combustion and Flame","id":"ITEM-1","issue":"12","issued":{"date-parts":[["2012"]]},"page":"3472-3475","publisher":"The Combustion Institute.","title":"The effects of CO addition on the autoignition of H2, CH4and CH4/H2fuels at high pressure in an RCM","type":"article-journal","volume":"159"},"uris":["http://www.mendeley.com/documents/?uuid=384f1607-19ac-4d60-b3f8-43688e232e96"]}],"mendeley":{"formattedCitation":"(Gersen et al., 2012)","plainTextFormattedCitation":"(Gersen et al., 2012)","previouslyFormattedCitation":"(Gersen et al., 2012)"},"properties":{"noteIndex":0},"schema":"https://github.com/citation-style-language/schema/raw/master/csl-citation.json"}</w:instrText>
      </w:r>
      <w:r w:rsidRPr="00465C86">
        <w:rPr>
          <w:rFonts w:cs="Arial"/>
          <w:szCs w:val="18"/>
        </w:rPr>
        <w:fldChar w:fldCharType="separate"/>
      </w:r>
      <w:r w:rsidRPr="00465C86">
        <w:rPr>
          <w:rFonts w:cs="Arial"/>
          <w:noProof/>
          <w:szCs w:val="18"/>
        </w:rPr>
        <w:t>(Gersen et al., 2012)</w:t>
      </w:r>
      <w:r w:rsidRPr="00465C86">
        <w:rPr>
          <w:rFonts w:cs="Arial"/>
          <w:szCs w:val="18"/>
        </w:rPr>
        <w:fldChar w:fldCharType="end"/>
      </w:r>
      <w:r w:rsidRPr="00465C86">
        <w:rPr>
          <w:rFonts w:cs="Arial"/>
          <w:szCs w:val="18"/>
        </w:rPr>
        <w:t xml:space="preserve"> under the operative conditions reported in the methodological section.</w:t>
      </w:r>
    </w:p>
    <w:p w14:paraId="0BD01EA8" w14:textId="77777777" w:rsidR="0086704F" w:rsidRDefault="0086704F" w:rsidP="005C0FE9">
      <w:pPr>
        <w:pStyle w:val="Paragrafoelenco"/>
        <w:ind w:left="0"/>
        <w:rPr>
          <w:rFonts w:cs="Arial"/>
          <w:szCs w:val="18"/>
        </w:rPr>
      </w:pPr>
    </w:p>
    <w:p w14:paraId="643D8432" w14:textId="77777777" w:rsidR="00465C86" w:rsidRPr="009E1D77" w:rsidRDefault="00465C86" w:rsidP="005C0FE9">
      <w:pPr>
        <w:pStyle w:val="Didascalia"/>
        <w:tabs>
          <w:tab w:val="clear" w:pos="7100"/>
          <w:tab w:val="right" w:pos="8787"/>
        </w:tabs>
        <w:spacing w:line="264" w:lineRule="auto"/>
        <w:rPr>
          <w:rFonts w:cs="Arial"/>
          <w:color w:val="auto"/>
        </w:rPr>
      </w:pPr>
      <w:r w:rsidRPr="009E1D77">
        <w:rPr>
          <w:rFonts w:cs="Arial"/>
          <w:noProof/>
          <w:color w:val="auto"/>
          <w:lang w:val="it-IT" w:eastAsia="it-IT"/>
        </w:rPr>
        <w:drawing>
          <wp:inline distT="0" distB="0" distL="0" distR="0" wp14:anchorId="3BB50F9D" wp14:editId="4E11B03B">
            <wp:extent cx="2790000" cy="2169452"/>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1" cstate="print">
                      <a:extLst>
                        <a:ext uri="{28A0092B-C50C-407E-A947-70E740481C1C}">
                          <a14:useLocalDpi xmlns:a14="http://schemas.microsoft.com/office/drawing/2010/main" val="0"/>
                        </a:ext>
                      </a:extLst>
                    </a:blip>
                    <a:srcRect l="5716" t="5157" r="5837" b="6791"/>
                    <a:stretch/>
                  </pic:blipFill>
                  <pic:spPr bwMode="auto">
                    <a:xfrm>
                      <a:off x="0" y="0"/>
                      <a:ext cx="2790000" cy="2169452"/>
                    </a:xfrm>
                    <a:prstGeom prst="rect">
                      <a:avLst/>
                    </a:prstGeom>
                    <a:ln>
                      <a:noFill/>
                    </a:ln>
                    <a:extLst>
                      <a:ext uri="{53640926-AAD7-44D8-BBD7-CCE9431645EC}">
                        <a14:shadowObscured xmlns:a14="http://schemas.microsoft.com/office/drawing/2010/main"/>
                      </a:ext>
                    </a:extLst>
                  </pic:spPr>
                </pic:pic>
              </a:graphicData>
            </a:graphic>
          </wp:inline>
        </w:drawing>
      </w:r>
      <w:r w:rsidRPr="009E1D77">
        <w:rPr>
          <w:rFonts w:cs="Arial"/>
          <w:noProof/>
          <w:color w:val="auto"/>
          <w:lang w:val="it-IT" w:eastAsia="it-IT"/>
        </w:rPr>
        <w:drawing>
          <wp:inline distT="0" distB="0" distL="0" distR="0" wp14:anchorId="1AAD77E3" wp14:editId="6B52DAC7">
            <wp:extent cx="2790000" cy="2205420"/>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rotWithShape="1">
                    <a:blip r:embed="rId12" cstate="print">
                      <a:extLst>
                        <a:ext uri="{28A0092B-C50C-407E-A947-70E740481C1C}">
                          <a14:useLocalDpi xmlns:a14="http://schemas.microsoft.com/office/drawing/2010/main" val="0"/>
                        </a:ext>
                      </a:extLst>
                    </a:blip>
                    <a:srcRect l="5415" t="3650" r="5536" b="6800"/>
                    <a:stretch/>
                  </pic:blipFill>
                  <pic:spPr bwMode="auto">
                    <a:xfrm>
                      <a:off x="0" y="0"/>
                      <a:ext cx="2790000" cy="2205420"/>
                    </a:xfrm>
                    <a:prstGeom prst="rect">
                      <a:avLst/>
                    </a:prstGeom>
                    <a:ln>
                      <a:noFill/>
                    </a:ln>
                    <a:extLst>
                      <a:ext uri="{53640926-AAD7-44D8-BBD7-CCE9431645EC}">
                        <a14:shadowObscured xmlns:a14="http://schemas.microsoft.com/office/drawing/2010/main"/>
                      </a:ext>
                    </a:extLst>
                  </pic:spPr>
                </pic:pic>
              </a:graphicData>
            </a:graphic>
          </wp:inline>
        </w:drawing>
      </w:r>
    </w:p>
    <w:p w14:paraId="27056EB2" w14:textId="77777777" w:rsidR="00465C86" w:rsidRPr="00465C86" w:rsidRDefault="00465C86" w:rsidP="005C0FE9">
      <w:pPr>
        <w:pStyle w:val="Didascalia"/>
        <w:spacing w:line="264" w:lineRule="auto"/>
        <w:rPr>
          <w:b w:val="0"/>
          <w:bCs w:val="0"/>
          <w:i/>
          <w:color w:val="auto"/>
          <w:szCs w:val="20"/>
        </w:rPr>
      </w:pPr>
      <w:r w:rsidRPr="00465C86">
        <w:rPr>
          <w:b w:val="0"/>
          <w:bCs w:val="0"/>
          <w:i/>
          <w:color w:val="auto"/>
          <w:szCs w:val="20"/>
        </w:rPr>
        <w:t xml:space="preserve">Figure </w:t>
      </w:r>
      <w:r w:rsidRPr="00465C86">
        <w:rPr>
          <w:b w:val="0"/>
          <w:bCs w:val="0"/>
          <w:i/>
          <w:color w:val="auto"/>
          <w:szCs w:val="20"/>
        </w:rPr>
        <w:fldChar w:fldCharType="begin"/>
      </w:r>
      <w:r w:rsidRPr="00465C86">
        <w:rPr>
          <w:b w:val="0"/>
          <w:bCs w:val="0"/>
          <w:i/>
          <w:color w:val="auto"/>
          <w:szCs w:val="20"/>
        </w:rPr>
        <w:instrText xml:space="preserve"> SEQ Figure \* ARABIC </w:instrText>
      </w:r>
      <w:r w:rsidRPr="00465C86">
        <w:rPr>
          <w:b w:val="0"/>
          <w:bCs w:val="0"/>
          <w:i/>
          <w:color w:val="auto"/>
          <w:szCs w:val="20"/>
        </w:rPr>
        <w:fldChar w:fldCharType="separate"/>
      </w:r>
      <w:r w:rsidRPr="00465C86">
        <w:rPr>
          <w:b w:val="0"/>
          <w:bCs w:val="0"/>
          <w:i/>
          <w:color w:val="auto"/>
          <w:szCs w:val="20"/>
        </w:rPr>
        <w:t>1</w:t>
      </w:r>
      <w:r w:rsidRPr="00465C86">
        <w:rPr>
          <w:b w:val="0"/>
          <w:bCs w:val="0"/>
          <w:i/>
          <w:color w:val="auto"/>
          <w:szCs w:val="20"/>
        </w:rPr>
        <w:fldChar w:fldCharType="end"/>
      </w:r>
      <w:r w:rsidRPr="00465C86">
        <w:rPr>
          <w:b w:val="0"/>
          <w:bCs w:val="0"/>
          <w:i/>
          <w:color w:val="auto"/>
          <w:szCs w:val="20"/>
        </w:rPr>
        <w:t xml:space="preserve">:  Comparison of ignition delay time data retrieved in the literature and estimated values for a wide range of conditions for pure methane, ethane, or hydrogen (left) and for bio-syngas representative mixtures (right). </w:t>
      </w:r>
    </w:p>
    <w:p w14:paraId="16747829" w14:textId="576800C1" w:rsidR="00465C86" w:rsidRDefault="00465C86" w:rsidP="005C0FE9">
      <w:pPr>
        <w:pStyle w:val="Paragrafoelenco"/>
        <w:ind w:left="0"/>
      </w:pPr>
    </w:p>
    <w:p w14:paraId="0D327A0A" w14:textId="77777777" w:rsidR="00465C86" w:rsidRPr="00465C86" w:rsidRDefault="00465C86" w:rsidP="005C0FE9">
      <w:pPr>
        <w:pStyle w:val="CETBodytext"/>
      </w:pPr>
      <w:r w:rsidRPr="00465C86">
        <w:t xml:space="preserve">It is worth noting that, excluding some of the ethane data at elevated temperature, i.e. low IDT, numerical estimations are fairly in agreement with the literature data presented in this work for pure species combustion in air. Confirming that the combustion core model included in </w:t>
      </w:r>
      <w:proofErr w:type="spellStart"/>
      <w:r w:rsidRPr="00465C86">
        <w:t>KiBo</w:t>
      </w:r>
      <w:proofErr w:type="spellEnd"/>
      <w:r w:rsidRPr="00465C86">
        <w:t xml:space="preserve"> is suitable to reproduce the chemistry of small radicals (i.e., C</w:t>
      </w:r>
      <w:r w:rsidRPr="00465C86">
        <w:rPr>
          <w:vertAlign w:val="subscript"/>
        </w:rPr>
        <w:t>0</w:t>
      </w:r>
      <w:r w:rsidRPr="00465C86">
        <w:t xml:space="preserve"> – C</w:t>
      </w:r>
      <w:r w:rsidRPr="00465C86">
        <w:rPr>
          <w:vertAlign w:val="subscript"/>
        </w:rPr>
        <w:t>1</w:t>
      </w:r>
      <w:r w:rsidRPr="00465C86">
        <w:t>) at the investigated conditions, as well. However, some discrepancies can be observed in the case of hydrogen and carbon monoxide additions at a temperature lower than 900 K at stoichiometric conditions, i.e., for high values of IDT. Under the studied conditions, it has been found that the addition of hydrogen and carbon monoxide to methane premixed flames at low temperatures increased ignition delay times in comparison with the pure methane case at the stoichiometric condition. On the other hand, almost negligible effects can be observed at high temperature, when more reactive compounds are added to methane. For these reasons, it is possible to conclude that hydrogen and carbon monoxide have a significant impact on the reaction pathway leading to the ignition of methane at low temperatures, exclusively.</w:t>
      </w:r>
    </w:p>
    <w:p w14:paraId="4372E79F" w14:textId="43EFF58D" w:rsidR="0086704F" w:rsidRDefault="00465C86" w:rsidP="005C0FE9">
      <w:pPr>
        <w:pStyle w:val="CETBodytext"/>
      </w:pPr>
      <w:r w:rsidRPr="00465C86">
        <w:t>The proven accuracy of the detailed kinetic mechanism promotes the adoption of this model for further evaluation of the effect of the initial composition of bio-syngas mixtures on the overall reactivity. Starting from pure methane the empirical correlations calculated for the studied mixtures were reported in Table 2.</w:t>
      </w:r>
    </w:p>
    <w:p w14:paraId="15AACDBD" w14:textId="0E2C41A9" w:rsidR="00465C86" w:rsidRPr="00B57B36" w:rsidRDefault="00465C86" w:rsidP="005C0FE9">
      <w:pPr>
        <w:pStyle w:val="CETTabletitle"/>
        <w:spacing w:line="264" w:lineRule="auto"/>
      </w:pPr>
      <w:r w:rsidRPr="00B57B36">
        <w:t xml:space="preserve">Table </w:t>
      </w:r>
      <w:r>
        <w:t>2</w:t>
      </w:r>
      <w:r w:rsidRPr="00B57B36">
        <w:t xml:space="preserve">: </w:t>
      </w:r>
      <w:r w:rsidRPr="00C16F39">
        <w:t xml:space="preserve">The range of compositions </w:t>
      </w:r>
      <w:proofErr w:type="spellStart"/>
      <w:r w:rsidRPr="00C16F39">
        <w:t>analyzed</w:t>
      </w:r>
      <w:proofErr w:type="spellEnd"/>
      <w:r w:rsidRPr="00C16F39">
        <w:t xml:space="preserve"> in this work as a representative for bio-syngas mixtures.</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51"/>
        <w:gridCol w:w="1553"/>
        <w:gridCol w:w="1553"/>
        <w:gridCol w:w="1915"/>
        <w:gridCol w:w="1915"/>
      </w:tblGrid>
      <w:tr w:rsidR="002B53C9" w:rsidRPr="00B57B36" w14:paraId="723B0B48" w14:textId="77777777" w:rsidTr="002B53C9">
        <w:trPr>
          <w:trHeight w:val="267"/>
        </w:trPr>
        <w:tc>
          <w:tcPr>
            <w:tcW w:w="1851" w:type="dxa"/>
            <w:tcBorders>
              <w:top w:val="single" w:sz="12" w:space="0" w:color="008000"/>
              <w:bottom w:val="single" w:sz="6" w:space="0" w:color="008000"/>
            </w:tcBorders>
            <w:shd w:val="clear" w:color="auto" w:fill="FFFFFF"/>
          </w:tcPr>
          <w:p w14:paraId="54A38F65" w14:textId="0679E46C" w:rsidR="002B53C9" w:rsidRPr="00B57B36" w:rsidRDefault="002B53C9" w:rsidP="005C0FE9">
            <w:pPr>
              <w:pStyle w:val="CETBodytext"/>
              <w:rPr>
                <w:lang w:val="en-GB"/>
              </w:rPr>
            </w:pPr>
            <w:r w:rsidRPr="009E1D77">
              <w:rPr>
                <w:rFonts w:cs="Arial"/>
                <w:szCs w:val="18"/>
              </w:rPr>
              <w:t xml:space="preserve">Blends </w:t>
            </w:r>
          </w:p>
        </w:tc>
        <w:tc>
          <w:tcPr>
            <w:tcW w:w="1553" w:type="dxa"/>
            <w:tcBorders>
              <w:top w:val="single" w:sz="12" w:space="0" w:color="008000"/>
              <w:bottom w:val="single" w:sz="6" w:space="0" w:color="008000"/>
            </w:tcBorders>
            <w:shd w:val="clear" w:color="auto" w:fill="FFFFFF"/>
          </w:tcPr>
          <w:p w14:paraId="07A731BA" w14:textId="0D3CB930" w:rsidR="002B53C9" w:rsidRPr="009E1D77" w:rsidRDefault="002B53C9" w:rsidP="005C0FE9">
            <w:pPr>
              <w:pStyle w:val="CETBodytext"/>
              <w:rPr>
                <w:rFonts w:cs="Arial"/>
                <w:szCs w:val="18"/>
              </w:rPr>
            </w:pPr>
            <w:r w:rsidRPr="0007170D">
              <w:rPr>
                <w:rFonts w:cs="Arial"/>
                <w:szCs w:val="18"/>
              </w:rPr>
              <w:t>β</w:t>
            </w:r>
          </w:p>
        </w:tc>
        <w:tc>
          <w:tcPr>
            <w:tcW w:w="1553" w:type="dxa"/>
            <w:tcBorders>
              <w:top w:val="single" w:sz="12" w:space="0" w:color="008000"/>
              <w:bottom w:val="single" w:sz="6" w:space="0" w:color="008000"/>
            </w:tcBorders>
            <w:shd w:val="clear" w:color="auto" w:fill="FFFFFF"/>
          </w:tcPr>
          <w:p w14:paraId="49F63DF9" w14:textId="6D991185" w:rsidR="002B53C9" w:rsidRPr="009E1D77" w:rsidRDefault="002B53C9" w:rsidP="005C0FE9">
            <w:pPr>
              <w:pStyle w:val="CETBodytext"/>
              <w:rPr>
                <w:rFonts w:cs="Arial"/>
                <w:szCs w:val="18"/>
              </w:rPr>
            </w:pPr>
            <w:r w:rsidRPr="009E1D77">
              <w:rPr>
                <w:rFonts w:cs="Arial"/>
                <w:szCs w:val="18"/>
              </w:rPr>
              <w:t>α</w:t>
            </w:r>
          </w:p>
        </w:tc>
        <w:tc>
          <w:tcPr>
            <w:tcW w:w="1915" w:type="dxa"/>
            <w:tcBorders>
              <w:top w:val="single" w:sz="12" w:space="0" w:color="008000"/>
              <w:bottom w:val="single" w:sz="6" w:space="0" w:color="008000"/>
            </w:tcBorders>
            <w:shd w:val="clear" w:color="auto" w:fill="FFFFFF"/>
          </w:tcPr>
          <w:p w14:paraId="21C0F753" w14:textId="13F35400" w:rsidR="002B53C9" w:rsidRPr="00B57B36" w:rsidRDefault="002B53C9" w:rsidP="005C0FE9">
            <w:pPr>
              <w:pStyle w:val="CETBodytext"/>
              <w:rPr>
                <w:lang w:val="en-GB"/>
              </w:rPr>
            </w:pPr>
            <w:r w:rsidRPr="009E1D77">
              <w:rPr>
                <w:rFonts w:cs="Arial"/>
                <w:szCs w:val="18"/>
              </w:rPr>
              <w:t>A</w:t>
            </w:r>
            <w:r>
              <w:rPr>
                <w:rFonts w:cs="Arial"/>
                <w:szCs w:val="18"/>
              </w:rPr>
              <w:t xml:space="preserve"> [</w:t>
            </w:r>
            <w:r w:rsidRPr="009E1D77">
              <w:rPr>
                <w:rFonts w:cs="Arial"/>
                <w:szCs w:val="18"/>
              </w:rPr>
              <w:t>s</w:t>
            </w:r>
            <w:r>
              <w:rPr>
                <w:rFonts w:cs="Arial"/>
                <w:szCs w:val="18"/>
              </w:rPr>
              <w:t>]</w:t>
            </w:r>
          </w:p>
        </w:tc>
        <w:tc>
          <w:tcPr>
            <w:tcW w:w="1915" w:type="dxa"/>
            <w:tcBorders>
              <w:top w:val="single" w:sz="12" w:space="0" w:color="008000"/>
              <w:bottom w:val="single" w:sz="6" w:space="0" w:color="008000"/>
            </w:tcBorders>
            <w:shd w:val="clear" w:color="auto" w:fill="FFFFFF"/>
          </w:tcPr>
          <w:p w14:paraId="02DCF8A2" w14:textId="4C2E3731" w:rsidR="002B53C9" w:rsidRPr="00B57B36" w:rsidRDefault="002B53C9" w:rsidP="005C0FE9">
            <w:pPr>
              <w:pStyle w:val="CETBodytext"/>
              <w:rPr>
                <w:lang w:val="en-GB"/>
              </w:rPr>
            </w:pPr>
            <w:proofErr w:type="spellStart"/>
            <w:r w:rsidRPr="009E1D77">
              <w:rPr>
                <w:rFonts w:cs="Arial"/>
                <w:szCs w:val="18"/>
              </w:rPr>
              <w:t>Ea</w:t>
            </w:r>
            <w:proofErr w:type="spellEnd"/>
            <w:r w:rsidRPr="009E1D77">
              <w:rPr>
                <w:rFonts w:cs="Arial"/>
                <w:szCs w:val="18"/>
              </w:rPr>
              <w:t xml:space="preserve"> </w:t>
            </w:r>
            <w:r>
              <w:rPr>
                <w:rFonts w:cs="Arial"/>
                <w:szCs w:val="18"/>
              </w:rPr>
              <w:t>[</w:t>
            </w:r>
            <w:r w:rsidRPr="009E1D77">
              <w:rPr>
                <w:rFonts w:cs="Arial"/>
                <w:szCs w:val="18"/>
              </w:rPr>
              <w:t>J</w:t>
            </w:r>
            <w:r>
              <w:rPr>
                <w:rFonts w:cs="Arial"/>
                <w:szCs w:val="18"/>
              </w:rPr>
              <w:t xml:space="preserve"> </w:t>
            </w:r>
            <w:r w:rsidRPr="009E1D77">
              <w:rPr>
                <w:rFonts w:cs="Arial"/>
                <w:szCs w:val="18"/>
              </w:rPr>
              <w:t>mol</w:t>
            </w:r>
            <w:r w:rsidRPr="009E1D77">
              <w:rPr>
                <w:rFonts w:cs="Arial"/>
                <w:szCs w:val="18"/>
                <w:vertAlign w:val="superscript"/>
              </w:rPr>
              <w:t>-1</w:t>
            </w:r>
            <w:r>
              <w:rPr>
                <w:rFonts w:cs="Arial"/>
                <w:szCs w:val="18"/>
                <w:vertAlign w:val="superscript"/>
              </w:rPr>
              <w:t xml:space="preserve"> </w:t>
            </w:r>
            <w:r w:rsidRPr="009E1D77">
              <w:rPr>
                <w:rFonts w:cs="Arial"/>
                <w:szCs w:val="18"/>
              </w:rPr>
              <w:t>K</w:t>
            </w:r>
            <w:r w:rsidRPr="009E1D77">
              <w:rPr>
                <w:rFonts w:cs="Arial"/>
                <w:szCs w:val="18"/>
                <w:vertAlign w:val="superscript"/>
              </w:rPr>
              <w:t>1</w:t>
            </w:r>
            <w:r>
              <w:rPr>
                <w:rFonts w:cs="Arial"/>
                <w:szCs w:val="18"/>
              </w:rPr>
              <w:t>]</w:t>
            </w:r>
          </w:p>
        </w:tc>
      </w:tr>
      <w:tr w:rsidR="002B53C9" w:rsidRPr="00B57B36" w14:paraId="39166311" w14:textId="77777777" w:rsidTr="002B53C9">
        <w:trPr>
          <w:trHeight w:val="267"/>
        </w:trPr>
        <w:tc>
          <w:tcPr>
            <w:tcW w:w="1851" w:type="dxa"/>
            <w:shd w:val="clear" w:color="auto" w:fill="FFFFFF"/>
          </w:tcPr>
          <w:p w14:paraId="5E2CBE58" w14:textId="7F7DC0F4" w:rsidR="002B53C9" w:rsidRPr="00B57B36" w:rsidRDefault="002B53C9" w:rsidP="005C0FE9">
            <w:pPr>
              <w:pStyle w:val="CETBodytext"/>
              <w:rPr>
                <w:lang w:val="en-GB"/>
              </w:rPr>
            </w:pPr>
            <w:r w:rsidRPr="009E1D77">
              <w:rPr>
                <w:rFonts w:cs="Arial"/>
                <w:szCs w:val="18"/>
              </w:rPr>
              <w:t>CH</w:t>
            </w:r>
            <w:r w:rsidRPr="009E1D77">
              <w:rPr>
                <w:rFonts w:cs="Arial"/>
                <w:szCs w:val="18"/>
                <w:vertAlign w:val="subscript"/>
              </w:rPr>
              <w:t>4</w:t>
            </w:r>
          </w:p>
        </w:tc>
        <w:tc>
          <w:tcPr>
            <w:tcW w:w="1553" w:type="dxa"/>
            <w:shd w:val="clear" w:color="auto" w:fill="FFFFFF"/>
          </w:tcPr>
          <w:p w14:paraId="0032D0F9" w14:textId="1660490E" w:rsidR="002B53C9" w:rsidRPr="0007170D" w:rsidRDefault="002B53C9" w:rsidP="005C0FE9">
            <w:pPr>
              <w:pStyle w:val="CETBodytext"/>
              <w:rPr>
                <w:rFonts w:cs="Arial"/>
                <w:szCs w:val="18"/>
              </w:rPr>
            </w:pPr>
            <w:r w:rsidRPr="009E1D77">
              <w:rPr>
                <w:rFonts w:cs="Arial"/>
                <w:szCs w:val="18"/>
              </w:rPr>
              <w:t>0.1</w:t>
            </w:r>
            <w:r>
              <w:rPr>
                <w:rFonts w:cs="Arial"/>
                <w:szCs w:val="18"/>
              </w:rPr>
              <w:t>5</w:t>
            </w:r>
          </w:p>
        </w:tc>
        <w:tc>
          <w:tcPr>
            <w:tcW w:w="1553" w:type="dxa"/>
            <w:shd w:val="clear" w:color="auto" w:fill="FFFFFF"/>
          </w:tcPr>
          <w:p w14:paraId="4CC1953E" w14:textId="06DF4DAB" w:rsidR="002B53C9" w:rsidRPr="0007170D" w:rsidRDefault="002B53C9" w:rsidP="005C0FE9">
            <w:pPr>
              <w:pStyle w:val="CETBodytext"/>
              <w:rPr>
                <w:rFonts w:cs="Arial"/>
                <w:szCs w:val="18"/>
              </w:rPr>
            </w:pPr>
            <w:r w:rsidRPr="009E1D77">
              <w:rPr>
                <w:rFonts w:cs="Arial"/>
                <w:szCs w:val="18"/>
              </w:rPr>
              <w:t>0.31</w:t>
            </w:r>
          </w:p>
        </w:tc>
        <w:tc>
          <w:tcPr>
            <w:tcW w:w="1915" w:type="dxa"/>
            <w:shd w:val="clear" w:color="auto" w:fill="FFFFFF"/>
          </w:tcPr>
          <w:p w14:paraId="758F2A2E" w14:textId="5E85649F" w:rsidR="002B53C9" w:rsidRPr="00B57B36" w:rsidRDefault="002B53C9" w:rsidP="005C0FE9">
            <w:pPr>
              <w:pStyle w:val="CETBodytext"/>
              <w:rPr>
                <w:lang w:val="en-GB"/>
              </w:rPr>
            </w:pPr>
            <w:r w:rsidRPr="009E1D77">
              <w:rPr>
                <w:rFonts w:cs="Arial"/>
                <w:szCs w:val="18"/>
              </w:rPr>
              <w:t>2.37x10</w:t>
            </w:r>
            <w:r w:rsidRPr="009E1D77">
              <w:rPr>
                <w:rFonts w:cs="Arial"/>
                <w:szCs w:val="18"/>
                <w:vertAlign w:val="superscript"/>
              </w:rPr>
              <w:t>-3</w:t>
            </w:r>
          </w:p>
        </w:tc>
        <w:tc>
          <w:tcPr>
            <w:tcW w:w="1915" w:type="dxa"/>
            <w:shd w:val="clear" w:color="auto" w:fill="FFFFFF"/>
          </w:tcPr>
          <w:p w14:paraId="10521C5A" w14:textId="37CB1613" w:rsidR="002B53C9" w:rsidRPr="00B57B36" w:rsidRDefault="002B53C9" w:rsidP="005C0FE9">
            <w:pPr>
              <w:pStyle w:val="CETBodytext"/>
              <w:rPr>
                <w:lang w:val="en-GB"/>
              </w:rPr>
            </w:pPr>
            <w:r w:rsidRPr="009E1D77">
              <w:rPr>
                <w:rFonts w:cs="Arial"/>
                <w:szCs w:val="18"/>
              </w:rPr>
              <w:t>180.7</w:t>
            </w:r>
            <w:r>
              <w:rPr>
                <w:rFonts w:cs="Arial"/>
                <w:szCs w:val="18"/>
              </w:rPr>
              <w:t>0</w:t>
            </w:r>
          </w:p>
        </w:tc>
      </w:tr>
      <w:tr w:rsidR="002B53C9" w:rsidRPr="00B57B36" w14:paraId="57F8A891" w14:textId="77777777" w:rsidTr="002B53C9">
        <w:trPr>
          <w:trHeight w:val="267"/>
        </w:trPr>
        <w:tc>
          <w:tcPr>
            <w:tcW w:w="1851" w:type="dxa"/>
            <w:shd w:val="clear" w:color="auto" w:fill="FFFFFF"/>
          </w:tcPr>
          <w:p w14:paraId="2AE349C3" w14:textId="697FF746" w:rsidR="002B53C9" w:rsidRPr="00B57B36" w:rsidRDefault="002B53C9" w:rsidP="005C0FE9">
            <w:pPr>
              <w:pStyle w:val="CETBodytext"/>
              <w:rPr>
                <w:lang w:val="en-GB"/>
              </w:rPr>
            </w:pPr>
            <w:r w:rsidRPr="009E1D77">
              <w:rPr>
                <w:rFonts w:cs="Arial"/>
                <w:szCs w:val="18"/>
              </w:rPr>
              <w:t>CH</w:t>
            </w:r>
            <w:r w:rsidRPr="009E1D77">
              <w:rPr>
                <w:rFonts w:cs="Arial"/>
                <w:szCs w:val="18"/>
                <w:vertAlign w:val="subscript"/>
              </w:rPr>
              <w:t>4</w:t>
            </w:r>
            <w:r w:rsidRPr="009E1D77">
              <w:rPr>
                <w:rFonts w:cs="Arial"/>
                <w:szCs w:val="18"/>
              </w:rPr>
              <w:t>/H</w:t>
            </w:r>
            <w:r w:rsidRPr="009E1D77">
              <w:rPr>
                <w:rFonts w:cs="Arial"/>
                <w:szCs w:val="18"/>
                <w:vertAlign w:val="subscript"/>
              </w:rPr>
              <w:t>2</w:t>
            </w:r>
          </w:p>
        </w:tc>
        <w:tc>
          <w:tcPr>
            <w:tcW w:w="1553" w:type="dxa"/>
            <w:shd w:val="clear" w:color="auto" w:fill="FFFFFF"/>
          </w:tcPr>
          <w:p w14:paraId="450F2051" w14:textId="6D3E2E37" w:rsidR="002B53C9" w:rsidRPr="009E1D77" w:rsidRDefault="002B53C9" w:rsidP="005C0FE9">
            <w:pPr>
              <w:pStyle w:val="CETBodytext"/>
              <w:rPr>
                <w:rFonts w:cs="Arial"/>
                <w:szCs w:val="18"/>
              </w:rPr>
            </w:pPr>
            <w:r w:rsidRPr="009E1D77">
              <w:rPr>
                <w:rFonts w:cs="Arial"/>
                <w:szCs w:val="18"/>
              </w:rPr>
              <w:t>0.2</w:t>
            </w:r>
            <w:r>
              <w:rPr>
                <w:rFonts w:cs="Arial"/>
                <w:szCs w:val="18"/>
              </w:rPr>
              <w:t>9</w:t>
            </w:r>
          </w:p>
        </w:tc>
        <w:tc>
          <w:tcPr>
            <w:tcW w:w="1553" w:type="dxa"/>
            <w:shd w:val="clear" w:color="auto" w:fill="FFFFFF"/>
          </w:tcPr>
          <w:p w14:paraId="13E1C4F4" w14:textId="057FE281" w:rsidR="002B53C9" w:rsidRPr="009E1D77" w:rsidRDefault="002B53C9" w:rsidP="005C0FE9">
            <w:pPr>
              <w:pStyle w:val="CETBodytext"/>
              <w:rPr>
                <w:rFonts w:cs="Arial"/>
                <w:szCs w:val="18"/>
              </w:rPr>
            </w:pPr>
            <w:r w:rsidRPr="009E1D77">
              <w:rPr>
                <w:rFonts w:cs="Arial"/>
                <w:szCs w:val="18"/>
              </w:rPr>
              <w:t>0.3</w:t>
            </w:r>
            <w:r>
              <w:rPr>
                <w:rFonts w:cs="Arial"/>
                <w:szCs w:val="18"/>
              </w:rPr>
              <w:t>2</w:t>
            </w:r>
          </w:p>
        </w:tc>
        <w:tc>
          <w:tcPr>
            <w:tcW w:w="1915" w:type="dxa"/>
            <w:shd w:val="clear" w:color="auto" w:fill="FFFFFF"/>
          </w:tcPr>
          <w:p w14:paraId="6C91755C" w14:textId="0FBC3A74" w:rsidR="002B53C9" w:rsidRPr="00B57B36" w:rsidRDefault="002B53C9" w:rsidP="005C0FE9">
            <w:pPr>
              <w:pStyle w:val="CETBodytext"/>
              <w:rPr>
                <w:lang w:val="en-GB"/>
              </w:rPr>
            </w:pPr>
            <w:r w:rsidRPr="009E1D77">
              <w:rPr>
                <w:rFonts w:cs="Arial"/>
                <w:szCs w:val="18"/>
              </w:rPr>
              <w:t>4.64x10</w:t>
            </w:r>
            <w:r w:rsidRPr="009E1D77">
              <w:rPr>
                <w:rFonts w:cs="Arial"/>
                <w:szCs w:val="18"/>
                <w:vertAlign w:val="superscript"/>
              </w:rPr>
              <w:t>-1</w:t>
            </w:r>
          </w:p>
        </w:tc>
        <w:tc>
          <w:tcPr>
            <w:tcW w:w="1915" w:type="dxa"/>
            <w:shd w:val="clear" w:color="auto" w:fill="FFFFFF"/>
          </w:tcPr>
          <w:p w14:paraId="23503B1E" w14:textId="056F5731" w:rsidR="002B53C9" w:rsidRPr="00B57B36" w:rsidRDefault="002B53C9" w:rsidP="005C0FE9">
            <w:pPr>
              <w:pStyle w:val="CETBodytext"/>
              <w:rPr>
                <w:lang w:val="en-GB"/>
              </w:rPr>
            </w:pPr>
            <w:r w:rsidRPr="009E1D77">
              <w:rPr>
                <w:rFonts w:cs="Arial"/>
                <w:szCs w:val="18"/>
              </w:rPr>
              <w:t>120.3</w:t>
            </w:r>
            <w:r>
              <w:rPr>
                <w:rFonts w:cs="Arial"/>
                <w:szCs w:val="18"/>
              </w:rPr>
              <w:t>0</w:t>
            </w:r>
          </w:p>
        </w:tc>
      </w:tr>
      <w:tr w:rsidR="002B53C9" w:rsidRPr="00B57B36" w14:paraId="5391515E" w14:textId="77777777" w:rsidTr="002B53C9">
        <w:trPr>
          <w:trHeight w:val="267"/>
        </w:trPr>
        <w:tc>
          <w:tcPr>
            <w:tcW w:w="1851" w:type="dxa"/>
            <w:shd w:val="clear" w:color="auto" w:fill="FFFFFF"/>
          </w:tcPr>
          <w:p w14:paraId="7967A521" w14:textId="4D682F4A" w:rsidR="002B53C9" w:rsidRPr="00B57B36" w:rsidRDefault="002B53C9" w:rsidP="005C0FE9">
            <w:pPr>
              <w:pStyle w:val="CETBodytext"/>
              <w:rPr>
                <w:lang w:val="en-GB"/>
              </w:rPr>
            </w:pPr>
            <w:r w:rsidRPr="009E1D77">
              <w:rPr>
                <w:rFonts w:cs="Arial"/>
                <w:szCs w:val="18"/>
              </w:rPr>
              <w:t>CH</w:t>
            </w:r>
            <w:r w:rsidRPr="009E1D77">
              <w:rPr>
                <w:rFonts w:cs="Arial"/>
                <w:szCs w:val="18"/>
                <w:vertAlign w:val="subscript"/>
              </w:rPr>
              <w:t>4</w:t>
            </w:r>
            <w:r w:rsidRPr="009E1D77">
              <w:rPr>
                <w:rFonts w:cs="Arial"/>
                <w:szCs w:val="18"/>
              </w:rPr>
              <w:t>/C</w:t>
            </w:r>
            <w:r w:rsidRPr="009E1D77">
              <w:rPr>
                <w:rFonts w:cs="Arial"/>
                <w:szCs w:val="18"/>
                <w:vertAlign w:val="subscript"/>
              </w:rPr>
              <w:t>2</w:t>
            </w:r>
            <w:r w:rsidRPr="009E1D77">
              <w:rPr>
                <w:rFonts w:cs="Arial"/>
                <w:szCs w:val="18"/>
              </w:rPr>
              <w:t>H</w:t>
            </w:r>
            <w:r w:rsidRPr="009E1D77">
              <w:rPr>
                <w:rFonts w:cs="Arial"/>
                <w:szCs w:val="18"/>
                <w:vertAlign w:val="subscript"/>
              </w:rPr>
              <w:t>6</w:t>
            </w:r>
          </w:p>
        </w:tc>
        <w:tc>
          <w:tcPr>
            <w:tcW w:w="1553" w:type="dxa"/>
            <w:shd w:val="clear" w:color="auto" w:fill="FFFFFF"/>
          </w:tcPr>
          <w:p w14:paraId="6AB4FCD5" w14:textId="30EB0C91" w:rsidR="002B53C9" w:rsidRPr="009E1D77" w:rsidRDefault="002B53C9" w:rsidP="005C0FE9">
            <w:pPr>
              <w:pStyle w:val="CETBodytext"/>
              <w:rPr>
                <w:rFonts w:cs="Arial"/>
                <w:szCs w:val="18"/>
              </w:rPr>
            </w:pPr>
            <w:r w:rsidRPr="009E1D77">
              <w:rPr>
                <w:rFonts w:cs="Arial"/>
                <w:szCs w:val="18"/>
              </w:rPr>
              <w:t>-4.</w:t>
            </w:r>
            <w:r>
              <w:rPr>
                <w:rFonts w:cs="Arial"/>
                <w:szCs w:val="18"/>
              </w:rPr>
              <w:t>80</w:t>
            </w:r>
          </w:p>
        </w:tc>
        <w:tc>
          <w:tcPr>
            <w:tcW w:w="1553" w:type="dxa"/>
            <w:shd w:val="clear" w:color="auto" w:fill="FFFFFF"/>
          </w:tcPr>
          <w:p w14:paraId="5408716C" w14:textId="444DD29E" w:rsidR="002B53C9" w:rsidRPr="009E1D77" w:rsidRDefault="002B53C9" w:rsidP="005C0FE9">
            <w:pPr>
              <w:pStyle w:val="CETBodytext"/>
              <w:rPr>
                <w:rFonts w:cs="Arial"/>
                <w:szCs w:val="18"/>
              </w:rPr>
            </w:pPr>
            <w:r w:rsidRPr="009E1D77">
              <w:rPr>
                <w:rFonts w:cs="Arial"/>
                <w:szCs w:val="18"/>
              </w:rPr>
              <w:t>-0.58</w:t>
            </w:r>
          </w:p>
        </w:tc>
        <w:tc>
          <w:tcPr>
            <w:tcW w:w="1915" w:type="dxa"/>
            <w:shd w:val="clear" w:color="auto" w:fill="FFFFFF"/>
          </w:tcPr>
          <w:p w14:paraId="1836D6C1" w14:textId="2854CE24" w:rsidR="002B53C9" w:rsidRPr="00B57B36" w:rsidRDefault="002B53C9" w:rsidP="005C0FE9">
            <w:pPr>
              <w:pStyle w:val="CETBodytext"/>
              <w:rPr>
                <w:lang w:val="en-GB"/>
              </w:rPr>
            </w:pPr>
            <w:r w:rsidRPr="009E1D77">
              <w:rPr>
                <w:rFonts w:cs="Arial"/>
                <w:szCs w:val="18"/>
              </w:rPr>
              <w:t>2.31x10</w:t>
            </w:r>
            <w:r w:rsidRPr="009E1D77">
              <w:rPr>
                <w:rFonts w:cs="Arial"/>
                <w:szCs w:val="18"/>
                <w:vertAlign w:val="superscript"/>
              </w:rPr>
              <w:t>-3</w:t>
            </w:r>
          </w:p>
        </w:tc>
        <w:tc>
          <w:tcPr>
            <w:tcW w:w="1915" w:type="dxa"/>
            <w:shd w:val="clear" w:color="auto" w:fill="FFFFFF"/>
          </w:tcPr>
          <w:p w14:paraId="0AD97605" w14:textId="1D90D9FA" w:rsidR="002B53C9" w:rsidRPr="00B57B36" w:rsidRDefault="002B53C9" w:rsidP="005C0FE9">
            <w:pPr>
              <w:pStyle w:val="CETBodytext"/>
              <w:rPr>
                <w:lang w:val="en-GB"/>
              </w:rPr>
            </w:pPr>
            <w:r w:rsidRPr="009E1D77">
              <w:rPr>
                <w:rFonts w:cs="Arial"/>
                <w:szCs w:val="18"/>
              </w:rPr>
              <w:t>139.1</w:t>
            </w:r>
            <w:r>
              <w:rPr>
                <w:rFonts w:cs="Arial"/>
                <w:szCs w:val="18"/>
              </w:rPr>
              <w:t>0</w:t>
            </w:r>
          </w:p>
        </w:tc>
      </w:tr>
      <w:tr w:rsidR="002B53C9" w:rsidRPr="00B57B36" w14:paraId="2F2DB14C" w14:textId="77777777" w:rsidTr="002B53C9">
        <w:trPr>
          <w:trHeight w:val="267"/>
        </w:trPr>
        <w:tc>
          <w:tcPr>
            <w:tcW w:w="1851" w:type="dxa"/>
            <w:shd w:val="clear" w:color="auto" w:fill="FFFFFF"/>
          </w:tcPr>
          <w:p w14:paraId="08EB5BCB" w14:textId="00AFE7EB" w:rsidR="002B53C9" w:rsidRPr="00B57B36" w:rsidRDefault="002B53C9" w:rsidP="005C0FE9">
            <w:pPr>
              <w:pStyle w:val="CETBodytext"/>
              <w:rPr>
                <w:lang w:val="en-GB"/>
              </w:rPr>
            </w:pPr>
            <w:r w:rsidRPr="009E1D77">
              <w:rPr>
                <w:rFonts w:cs="Arial"/>
                <w:szCs w:val="18"/>
              </w:rPr>
              <w:t>CH</w:t>
            </w:r>
            <w:r w:rsidRPr="009E1D77">
              <w:rPr>
                <w:rFonts w:cs="Arial"/>
                <w:szCs w:val="18"/>
                <w:vertAlign w:val="subscript"/>
              </w:rPr>
              <w:t>4</w:t>
            </w:r>
            <w:r w:rsidRPr="009E1D77">
              <w:rPr>
                <w:rFonts w:cs="Arial"/>
                <w:szCs w:val="18"/>
              </w:rPr>
              <w:t>/CO</w:t>
            </w:r>
          </w:p>
        </w:tc>
        <w:tc>
          <w:tcPr>
            <w:tcW w:w="1553" w:type="dxa"/>
            <w:shd w:val="clear" w:color="auto" w:fill="FFFFFF"/>
          </w:tcPr>
          <w:p w14:paraId="0C91026E" w14:textId="7760CEA7" w:rsidR="002B53C9" w:rsidRPr="009E1D77" w:rsidRDefault="002B53C9" w:rsidP="005C0FE9">
            <w:pPr>
              <w:pStyle w:val="CETBodytext"/>
              <w:rPr>
                <w:rFonts w:cs="Arial"/>
                <w:szCs w:val="18"/>
              </w:rPr>
            </w:pPr>
            <w:r w:rsidRPr="009E1D77">
              <w:rPr>
                <w:rFonts w:cs="Arial"/>
                <w:szCs w:val="18"/>
              </w:rPr>
              <w:t>1.03</w:t>
            </w:r>
          </w:p>
        </w:tc>
        <w:tc>
          <w:tcPr>
            <w:tcW w:w="1553" w:type="dxa"/>
            <w:shd w:val="clear" w:color="auto" w:fill="FFFFFF"/>
          </w:tcPr>
          <w:p w14:paraId="479E187B" w14:textId="57E4C3EB" w:rsidR="002B53C9" w:rsidRPr="009E1D77" w:rsidRDefault="002B53C9" w:rsidP="005C0FE9">
            <w:pPr>
              <w:pStyle w:val="CETBodytext"/>
              <w:rPr>
                <w:rFonts w:cs="Arial"/>
                <w:szCs w:val="18"/>
              </w:rPr>
            </w:pPr>
            <w:r w:rsidRPr="009E1D77">
              <w:rPr>
                <w:rFonts w:cs="Arial"/>
                <w:szCs w:val="18"/>
              </w:rPr>
              <w:t>-0.60</w:t>
            </w:r>
          </w:p>
        </w:tc>
        <w:tc>
          <w:tcPr>
            <w:tcW w:w="1915" w:type="dxa"/>
            <w:shd w:val="clear" w:color="auto" w:fill="FFFFFF"/>
          </w:tcPr>
          <w:p w14:paraId="482D29A7" w14:textId="051A8976" w:rsidR="002B53C9" w:rsidRPr="00B57B36" w:rsidRDefault="002B53C9" w:rsidP="005C0FE9">
            <w:pPr>
              <w:pStyle w:val="CETBodytext"/>
              <w:rPr>
                <w:lang w:val="en-GB"/>
              </w:rPr>
            </w:pPr>
            <w:r w:rsidRPr="009E1D77">
              <w:rPr>
                <w:rFonts w:cs="Arial"/>
                <w:szCs w:val="18"/>
              </w:rPr>
              <w:t>7.23x10</w:t>
            </w:r>
            <w:r w:rsidRPr="009E1D77">
              <w:rPr>
                <w:rFonts w:cs="Arial"/>
                <w:szCs w:val="18"/>
                <w:vertAlign w:val="superscript"/>
              </w:rPr>
              <w:t>-2</w:t>
            </w:r>
          </w:p>
        </w:tc>
        <w:tc>
          <w:tcPr>
            <w:tcW w:w="1915" w:type="dxa"/>
            <w:shd w:val="clear" w:color="auto" w:fill="FFFFFF"/>
          </w:tcPr>
          <w:p w14:paraId="07A3BA46" w14:textId="472032D9" w:rsidR="002B53C9" w:rsidRPr="00B57B36" w:rsidRDefault="002B53C9" w:rsidP="005C0FE9">
            <w:pPr>
              <w:pStyle w:val="CETBodytext"/>
              <w:rPr>
                <w:lang w:val="en-GB"/>
              </w:rPr>
            </w:pPr>
            <w:r w:rsidRPr="009E1D77">
              <w:rPr>
                <w:rFonts w:cs="Arial"/>
                <w:szCs w:val="18"/>
              </w:rPr>
              <w:t>143.1</w:t>
            </w:r>
            <w:r>
              <w:rPr>
                <w:rFonts w:cs="Arial"/>
                <w:szCs w:val="18"/>
              </w:rPr>
              <w:t>0</w:t>
            </w:r>
          </w:p>
        </w:tc>
      </w:tr>
      <w:tr w:rsidR="002B53C9" w:rsidRPr="00B57B36" w14:paraId="09761265" w14:textId="77777777" w:rsidTr="002B53C9">
        <w:trPr>
          <w:trHeight w:val="285"/>
        </w:trPr>
        <w:tc>
          <w:tcPr>
            <w:tcW w:w="1851" w:type="dxa"/>
            <w:shd w:val="clear" w:color="auto" w:fill="FFFFFF"/>
          </w:tcPr>
          <w:p w14:paraId="06F78E59" w14:textId="229BB697" w:rsidR="002B53C9" w:rsidRPr="00B57B36" w:rsidRDefault="002B53C9" w:rsidP="005C0FE9">
            <w:pPr>
              <w:pStyle w:val="CETBodytext"/>
              <w:ind w:right="-1"/>
              <w:rPr>
                <w:rFonts w:cs="Arial"/>
                <w:szCs w:val="18"/>
                <w:lang w:val="en-GB"/>
              </w:rPr>
            </w:pPr>
            <w:r w:rsidRPr="009E1D77">
              <w:rPr>
                <w:rFonts w:cs="Arial"/>
                <w:szCs w:val="18"/>
              </w:rPr>
              <w:t>CH</w:t>
            </w:r>
            <w:r w:rsidRPr="009E1D77">
              <w:rPr>
                <w:rFonts w:cs="Arial"/>
                <w:szCs w:val="18"/>
                <w:vertAlign w:val="subscript"/>
              </w:rPr>
              <w:t>4</w:t>
            </w:r>
            <w:r w:rsidRPr="009E1D77">
              <w:rPr>
                <w:rFonts w:cs="Arial"/>
                <w:szCs w:val="18"/>
              </w:rPr>
              <w:t>/CO</w:t>
            </w:r>
            <w:r w:rsidRPr="009E1D77">
              <w:rPr>
                <w:rFonts w:cs="Arial"/>
                <w:szCs w:val="18"/>
                <w:vertAlign w:val="subscript"/>
              </w:rPr>
              <w:t>2</w:t>
            </w:r>
          </w:p>
        </w:tc>
        <w:tc>
          <w:tcPr>
            <w:tcW w:w="1553" w:type="dxa"/>
            <w:shd w:val="clear" w:color="auto" w:fill="FFFFFF"/>
          </w:tcPr>
          <w:p w14:paraId="338D84CB" w14:textId="4AB873D4" w:rsidR="002B53C9" w:rsidRPr="009E1D77" w:rsidRDefault="002B53C9" w:rsidP="005C0FE9">
            <w:pPr>
              <w:pStyle w:val="CETBodytext"/>
              <w:ind w:right="-1"/>
              <w:rPr>
                <w:rFonts w:cs="Arial"/>
                <w:szCs w:val="18"/>
              </w:rPr>
            </w:pPr>
            <w:r w:rsidRPr="009E1D77">
              <w:rPr>
                <w:rFonts w:cs="Arial"/>
                <w:szCs w:val="18"/>
              </w:rPr>
              <w:t>-0.1</w:t>
            </w:r>
            <w:r>
              <w:rPr>
                <w:rFonts w:cs="Arial"/>
                <w:szCs w:val="18"/>
              </w:rPr>
              <w:t>2</w:t>
            </w:r>
          </w:p>
        </w:tc>
        <w:tc>
          <w:tcPr>
            <w:tcW w:w="1553" w:type="dxa"/>
            <w:shd w:val="clear" w:color="auto" w:fill="FFFFFF"/>
          </w:tcPr>
          <w:p w14:paraId="762EF907" w14:textId="214075F7" w:rsidR="002B53C9" w:rsidRPr="009E1D77" w:rsidRDefault="002B53C9" w:rsidP="005C0FE9">
            <w:pPr>
              <w:pStyle w:val="CETBodytext"/>
              <w:ind w:right="-1"/>
              <w:rPr>
                <w:rFonts w:cs="Arial"/>
                <w:szCs w:val="18"/>
              </w:rPr>
            </w:pPr>
            <w:r w:rsidRPr="009E1D77">
              <w:rPr>
                <w:rFonts w:cs="Arial"/>
                <w:szCs w:val="18"/>
              </w:rPr>
              <w:t>-0.02</w:t>
            </w:r>
          </w:p>
        </w:tc>
        <w:tc>
          <w:tcPr>
            <w:tcW w:w="1915" w:type="dxa"/>
            <w:shd w:val="clear" w:color="auto" w:fill="FFFFFF"/>
          </w:tcPr>
          <w:p w14:paraId="621CA8B9" w14:textId="5F1F2350" w:rsidR="002B53C9" w:rsidRPr="00B57B36" w:rsidRDefault="002B53C9" w:rsidP="005C0FE9">
            <w:pPr>
              <w:pStyle w:val="CETBodytext"/>
              <w:ind w:right="-1"/>
              <w:rPr>
                <w:rFonts w:cs="Arial"/>
                <w:szCs w:val="18"/>
                <w:lang w:val="en-GB"/>
              </w:rPr>
            </w:pPr>
            <w:r w:rsidRPr="009E1D77">
              <w:rPr>
                <w:rFonts w:cs="Arial"/>
                <w:szCs w:val="18"/>
              </w:rPr>
              <w:t>1.14x10</w:t>
            </w:r>
            <w:r w:rsidRPr="009E1D77">
              <w:rPr>
                <w:rFonts w:cs="Arial"/>
                <w:szCs w:val="18"/>
                <w:vertAlign w:val="superscript"/>
              </w:rPr>
              <w:t>-1</w:t>
            </w:r>
          </w:p>
        </w:tc>
        <w:tc>
          <w:tcPr>
            <w:tcW w:w="1915" w:type="dxa"/>
            <w:shd w:val="clear" w:color="auto" w:fill="FFFFFF"/>
          </w:tcPr>
          <w:p w14:paraId="0081AA7C" w14:textId="70D773D2" w:rsidR="002B53C9" w:rsidRPr="00B57B36" w:rsidRDefault="002B53C9" w:rsidP="005C0FE9">
            <w:pPr>
              <w:pStyle w:val="CETBodytext"/>
              <w:ind w:right="-1"/>
              <w:rPr>
                <w:rFonts w:cs="Arial"/>
                <w:szCs w:val="18"/>
                <w:lang w:val="en-GB"/>
              </w:rPr>
            </w:pPr>
            <w:r w:rsidRPr="009E1D77">
              <w:rPr>
                <w:rFonts w:cs="Arial"/>
                <w:szCs w:val="18"/>
              </w:rPr>
              <w:t>108.6</w:t>
            </w:r>
            <w:r>
              <w:rPr>
                <w:rFonts w:cs="Arial"/>
                <w:szCs w:val="18"/>
              </w:rPr>
              <w:t>0</w:t>
            </w:r>
          </w:p>
        </w:tc>
      </w:tr>
    </w:tbl>
    <w:p w14:paraId="11AC5AC7" w14:textId="77777777" w:rsidR="00465C86" w:rsidRPr="00C16F39" w:rsidRDefault="00465C86" w:rsidP="005C0FE9">
      <w:pPr>
        <w:pStyle w:val="Paragrafoelenco"/>
        <w:ind w:left="0"/>
        <w:rPr>
          <w:rFonts w:cs="Arial"/>
          <w:szCs w:val="18"/>
        </w:rPr>
      </w:pPr>
    </w:p>
    <w:p w14:paraId="1656418F" w14:textId="5F44924E" w:rsidR="002B53C9" w:rsidRDefault="002B53C9" w:rsidP="005C0FE9">
      <w:pPr>
        <w:pStyle w:val="CETBodytext"/>
      </w:pPr>
      <w:r w:rsidRPr="009E1D77">
        <w:t>Figure</w:t>
      </w:r>
      <w:r w:rsidRPr="009E1D77">
        <w:rPr>
          <w:iCs/>
        </w:rPr>
        <w:t xml:space="preserve"> 2 shows the CR values with respect to temperature for different equivalent ratios and fuel compositions. R</w:t>
      </w:r>
      <w:r w:rsidRPr="009E1D77">
        <w:t xml:space="preserve">egardless of the equivalence ratio considered, similar trends can be observed. More specifically, either at </w:t>
      </w:r>
      <w:r>
        <w:t xml:space="preserve">a </w:t>
      </w:r>
      <w:r w:rsidRPr="009E1D77">
        <w:t>stoichiometric concentration (</w:t>
      </w:r>
      <m:oMath>
        <m:r>
          <w:rPr>
            <w:rFonts w:ascii="Cambria Math" w:hAnsi="Cambria Math"/>
          </w:rPr>
          <m:t>φ=1.0</m:t>
        </m:r>
      </m:oMath>
      <w:r w:rsidRPr="009E1D77">
        <w:t>) or at lean fuel mixtures (</w:t>
      </w:r>
      <m:oMath>
        <m:r>
          <w:rPr>
            <w:rFonts w:ascii="Cambria Math" w:hAnsi="Cambria Math"/>
          </w:rPr>
          <m:t>φ=0.5</m:t>
        </m:r>
      </m:oMath>
      <w:r w:rsidRPr="009E1D77">
        <w:t xml:space="preserve">) a very steep increase of CR with respect to the temperature up to values around 80% is first observed. In other words, the IDT is initially very sensitive to even </w:t>
      </w:r>
      <w:r>
        <w:t xml:space="preserve">a </w:t>
      </w:r>
      <w:r w:rsidRPr="009E1D77">
        <w:t>small variation of temperature towards lower values. This initial trend is then followed – again for both equivalence ratios – to a smoother increase, with less than a linear trend, for higher temperature</w:t>
      </w:r>
      <w:r>
        <w:t>s</w:t>
      </w:r>
      <w:r w:rsidRPr="009E1D77">
        <w:t>. This variation with respect to the temperature can be attributed to the migration from low temperature to high</w:t>
      </w:r>
      <w:r>
        <w:t>-</w:t>
      </w:r>
      <w:r w:rsidRPr="009E1D77">
        <w:t xml:space="preserve">temperature chemistry and is particularly relevant if considering the limited negative temperature coefficient behavior of methane-based mixture. </w:t>
      </w:r>
    </w:p>
    <w:p w14:paraId="64ADA5B5" w14:textId="77777777" w:rsidR="0086704F" w:rsidRDefault="0086704F" w:rsidP="005C0FE9">
      <w:pPr>
        <w:pStyle w:val="CETListbullets"/>
        <w:ind w:left="0" w:firstLine="0"/>
        <w:rPr>
          <w:rFonts w:cs="Arial"/>
          <w:szCs w:val="18"/>
        </w:rPr>
      </w:pPr>
    </w:p>
    <w:p w14:paraId="404154B3" w14:textId="77777777" w:rsidR="002B53C9" w:rsidRPr="009E1D77" w:rsidRDefault="002B53C9" w:rsidP="005C0FE9">
      <w:pPr>
        <w:keepNext/>
      </w:pPr>
      <w:r w:rsidRPr="009E1D77">
        <w:rPr>
          <w:noProof/>
          <w:lang w:val="it-IT" w:eastAsia="it-IT"/>
        </w:rPr>
        <w:lastRenderedPageBreak/>
        <w:drawing>
          <wp:inline distT="0" distB="0" distL="0" distR="0" wp14:anchorId="6946C6BC" wp14:editId="5B430C90">
            <wp:extent cx="4206185" cy="3143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1.em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10295" cy="3146321"/>
                    </a:xfrm>
                    <a:prstGeom prst="rect">
                      <a:avLst/>
                    </a:prstGeom>
                  </pic:spPr>
                </pic:pic>
              </a:graphicData>
            </a:graphic>
          </wp:inline>
        </w:drawing>
      </w:r>
    </w:p>
    <w:p w14:paraId="255B20AF" w14:textId="365B1515" w:rsidR="002B53C9" w:rsidRPr="002B53C9" w:rsidRDefault="002B53C9" w:rsidP="005C0FE9">
      <w:pPr>
        <w:pStyle w:val="Didascalia"/>
        <w:spacing w:line="264" w:lineRule="auto"/>
        <w:rPr>
          <w:b w:val="0"/>
          <w:bCs w:val="0"/>
          <w:i/>
          <w:color w:val="auto"/>
          <w:szCs w:val="20"/>
        </w:rPr>
      </w:pPr>
      <w:r w:rsidRPr="002B53C9">
        <w:rPr>
          <w:b w:val="0"/>
          <w:bCs w:val="0"/>
          <w:i/>
          <w:color w:val="auto"/>
          <w:szCs w:val="20"/>
        </w:rPr>
        <w:t xml:space="preserve">Figure </w:t>
      </w:r>
      <w:r w:rsidRPr="002B53C9">
        <w:rPr>
          <w:b w:val="0"/>
          <w:bCs w:val="0"/>
          <w:i/>
          <w:color w:val="auto"/>
          <w:szCs w:val="20"/>
        </w:rPr>
        <w:fldChar w:fldCharType="begin"/>
      </w:r>
      <w:r w:rsidRPr="002B53C9">
        <w:rPr>
          <w:b w:val="0"/>
          <w:bCs w:val="0"/>
          <w:i/>
          <w:color w:val="auto"/>
          <w:szCs w:val="20"/>
        </w:rPr>
        <w:instrText xml:space="preserve"> SEQ Figure \* ARABIC </w:instrText>
      </w:r>
      <w:r w:rsidRPr="002B53C9">
        <w:rPr>
          <w:b w:val="0"/>
          <w:bCs w:val="0"/>
          <w:i/>
          <w:color w:val="auto"/>
          <w:szCs w:val="20"/>
        </w:rPr>
        <w:fldChar w:fldCharType="separate"/>
      </w:r>
      <w:r w:rsidRPr="002B53C9">
        <w:rPr>
          <w:b w:val="0"/>
          <w:bCs w:val="0"/>
          <w:i/>
          <w:color w:val="auto"/>
          <w:szCs w:val="20"/>
        </w:rPr>
        <w:t>2</w:t>
      </w:r>
      <w:r w:rsidRPr="002B53C9">
        <w:rPr>
          <w:b w:val="0"/>
          <w:bCs w:val="0"/>
          <w:i/>
          <w:color w:val="auto"/>
          <w:szCs w:val="20"/>
        </w:rPr>
        <w:fldChar w:fldCharType="end"/>
      </w:r>
      <w:r w:rsidRPr="002B53C9">
        <w:rPr>
          <w:b w:val="0"/>
          <w:bCs w:val="0"/>
          <w:i/>
          <w:color w:val="auto"/>
          <w:szCs w:val="20"/>
        </w:rPr>
        <w:t xml:space="preserve">: The effect of initial temperature on the changing rate (CR) of IDT for </w:t>
      </w:r>
      <w:r>
        <w:rPr>
          <w:b w:val="0"/>
          <w:bCs w:val="0"/>
          <w:i/>
          <w:color w:val="auto"/>
          <w:szCs w:val="20"/>
        </w:rPr>
        <w:t xml:space="preserve">lean </w:t>
      </w:r>
      <w:r w:rsidRPr="002B53C9">
        <w:rPr>
          <w:b w:val="0"/>
          <w:bCs w:val="0"/>
          <w:i/>
          <w:color w:val="auto"/>
          <w:szCs w:val="20"/>
        </w:rPr>
        <w:t>(</w:t>
      </w:r>
      <m:oMath>
        <m:r>
          <m:rPr>
            <m:sty m:val="bi"/>
          </m:rPr>
          <w:rPr>
            <w:rFonts w:ascii="Cambria Math" w:hAnsi="Cambria Math"/>
            <w:color w:val="auto"/>
            <w:szCs w:val="20"/>
          </w:rPr>
          <m:t>φ=0.5</m:t>
        </m:r>
      </m:oMath>
      <w:r>
        <w:rPr>
          <w:b w:val="0"/>
          <w:bCs w:val="0"/>
          <w:i/>
          <w:color w:val="auto"/>
          <w:szCs w:val="20"/>
        </w:rPr>
        <w:t>) and stoichiometric (</w:t>
      </w:r>
      <m:oMath>
        <m:r>
          <m:rPr>
            <m:sty m:val="bi"/>
          </m:rPr>
          <w:rPr>
            <w:rFonts w:ascii="Cambria Math" w:hAnsi="Cambria Math"/>
            <w:color w:val="auto"/>
            <w:szCs w:val="20"/>
          </w:rPr>
          <m:t>φ=1.0</m:t>
        </m:r>
      </m:oMath>
      <w:r>
        <w:rPr>
          <w:b w:val="0"/>
          <w:bCs w:val="0"/>
          <w:i/>
          <w:color w:val="auto"/>
          <w:szCs w:val="20"/>
        </w:rPr>
        <w:t>) composition</w:t>
      </w:r>
      <w:r w:rsidR="0086704F">
        <w:rPr>
          <w:b w:val="0"/>
          <w:bCs w:val="0"/>
          <w:i/>
          <w:color w:val="auto"/>
          <w:szCs w:val="20"/>
        </w:rPr>
        <w:t>s</w:t>
      </w:r>
      <w:r>
        <w:rPr>
          <w:b w:val="0"/>
          <w:bCs w:val="0"/>
          <w:i/>
          <w:color w:val="auto"/>
          <w:szCs w:val="20"/>
        </w:rPr>
        <w:t xml:space="preserve"> </w:t>
      </w:r>
      <w:r w:rsidRPr="002B53C9">
        <w:rPr>
          <w:b w:val="0"/>
          <w:bCs w:val="0"/>
          <w:i/>
          <w:color w:val="auto"/>
          <w:szCs w:val="20"/>
        </w:rPr>
        <w:t xml:space="preserve">of premixed methane-air mixture added with hydrogen, ethane and carbon monoxide, as calculated by </w:t>
      </w:r>
      <w:proofErr w:type="spellStart"/>
      <w:r w:rsidRPr="002B53C9">
        <w:rPr>
          <w:b w:val="0"/>
          <w:bCs w:val="0"/>
          <w:i/>
          <w:color w:val="auto"/>
          <w:szCs w:val="20"/>
        </w:rPr>
        <w:t>KiBo</w:t>
      </w:r>
      <w:proofErr w:type="spellEnd"/>
      <w:r w:rsidRPr="002B53C9">
        <w:rPr>
          <w:b w:val="0"/>
          <w:bCs w:val="0"/>
          <w:i/>
          <w:color w:val="auto"/>
          <w:szCs w:val="20"/>
        </w:rPr>
        <w:t xml:space="preserve">. </w:t>
      </w:r>
    </w:p>
    <w:p w14:paraId="3401A241" w14:textId="77777777" w:rsidR="002B53C9" w:rsidRPr="00194045" w:rsidRDefault="002B53C9" w:rsidP="005C0FE9"/>
    <w:p w14:paraId="137ACE3D" w14:textId="46A1B029" w:rsidR="002B53C9" w:rsidRPr="009E1D77" w:rsidRDefault="002B53C9" w:rsidP="005C0FE9">
      <w:pPr>
        <w:pStyle w:val="CETBodytext"/>
      </w:pPr>
      <w:r w:rsidRPr="009E1D77">
        <w:t xml:space="preserve">In this view, from Figure 2, few observations can be drawn. First, the addition of </w:t>
      </w:r>
      <w:r>
        <w:t xml:space="preserve">a </w:t>
      </w:r>
      <w:r w:rsidRPr="009E1D77">
        <w:t xml:space="preserve">relevant amount of ethane to methane </w:t>
      </w:r>
      <w:r>
        <w:t xml:space="preserve">slightly </w:t>
      </w:r>
      <w:r w:rsidRPr="009E1D77">
        <w:t xml:space="preserve">anticipates the transition from low- to high- temperature regimes for lean, premixed methane-air flames. </w:t>
      </w:r>
      <w:r>
        <w:t>Besides</w:t>
      </w:r>
      <w:r w:rsidRPr="009E1D77">
        <w:t xml:space="preserve">, the addition of hydrogen and carbon monoxide components at stoichiometric conditions results </w:t>
      </w:r>
      <w:r>
        <w:t xml:space="preserve">in considerably faster ignition at low temperatures than pure methane, and </w:t>
      </w:r>
      <w:r w:rsidRPr="009E1D77">
        <w:t>in similar values of CR</w:t>
      </w:r>
      <w:r>
        <w:t xml:space="preserve"> when compared to each other</w:t>
      </w:r>
      <w:r w:rsidRPr="009E1D77">
        <w:t xml:space="preserve">. This phenomenon can be attributed to the similarity in composition and flame temperature for the two mixtures, which results in comparable ignition phenomena, together with the methane tendency to depreciate the addition of more reactive species up to 50% v/v </w:t>
      </w:r>
      <w:r>
        <w:t xml:space="preserve">when the elevated flame temperature is reached </w:t>
      </w:r>
      <w:r w:rsidRPr="009E1D77">
        <w:fldChar w:fldCharType="begin" w:fldLock="1"/>
      </w:r>
      <w:r>
        <w:instrText>ADDIN CSL_CITATION {"citationItems":[{"id":"ITEM-1","itemData":{"DOI":"10.1016/j.ijhydene.2019.10.207","ISSN":"0360-3199","author":[{"dropping-particle":"","family":"Pio","given":"Gianmaria","non-dropping-particle":"","parse-names":false,"suffix":""},{"dropping-particle":"","family":"Ricca","given":"Antonio","non-dropping-particle":"","parse-names":false,"suffix":""},{"dropping-particle":"","family":"Palma","given":"Vincenzo","non-dropping-particle":"","parse-names":false,"suffix":""},{"dropping-particle":"","family":"Salzano","given":"Ernesto","non-dropping-particle":"","parse-names":false,"suffix":""}],"container-title":"International Journal of Hydrogen Energy","id":"ITEM-1","issue":"1","issued":{"date-parts":[["2020"]]},"page":"1084-1095","publisher":"Elsevier Ltd","title":"Experimental and numerical evaluation of low-temperature combustion of bio-syngas","type":"article-journal","volume":"45"},"uris":["http://www.mendeley.com/documents/?uuid=e3f66f76-8cfd-4aa6-89d3-c99d754075e7"]}],"mendeley":{"formattedCitation":"(Pio et al., 2020)","plainTextFormattedCitation":"(Pio et al., 2020)","previouslyFormattedCitation":"(Pio et al., 2020)"},"properties":{"noteIndex":0},"schema":"https://github.com/citation-style-language/schema/raw/master/csl-citation.json"}</w:instrText>
      </w:r>
      <w:r w:rsidRPr="009E1D77">
        <w:fldChar w:fldCharType="separate"/>
      </w:r>
      <w:r w:rsidRPr="009E1D77">
        <w:rPr>
          <w:noProof/>
        </w:rPr>
        <w:t>(Pio et al., 2020)</w:t>
      </w:r>
      <w:r w:rsidRPr="009E1D77">
        <w:fldChar w:fldCharType="end"/>
      </w:r>
      <w:r w:rsidRPr="009E1D77">
        <w:t xml:space="preserve">. </w:t>
      </w:r>
      <w:r>
        <w:t xml:space="preserve">Eventually, in contrast with the previous observation, </w:t>
      </w:r>
      <w:r w:rsidRPr="009E1D77">
        <w:t xml:space="preserve">the addition of hydrogen to the lean premixed methane-air mixture </w:t>
      </w:r>
      <w:r>
        <w:t>has a limited impact on CR</w:t>
      </w:r>
      <w:r w:rsidRPr="009E1D77">
        <w:t xml:space="preserve">. </w:t>
      </w:r>
      <w:r>
        <w:t xml:space="preserve">In the light of the renewed interests toward low-temperature combustion, the addition of hydrogen can be considered for engine optimization, in accordance with the suggestions proposed in the literature </w:t>
      </w:r>
      <w:r>
        <w:fldChar w:fldCharType="begin" w:fldLock="1"/>
      </w:r>
      <w:r>
        <w:instrText>ADDIN CSL_CITATION {"citationItems":[{"id":"ITEM-1","itemData":{"DOI":"10.3303/CET1974051","ISSN":"22839216","abstract":"Gaseous fuel utilisation reduces pollutant emissions and makes energy systems less dependent from oil. Their carbon content is low, which means a reduction in CO2 emissions per unit of energy in comparison with liquid fossil fuels. The use of biogases (BG) and/or natural gas (NG) in internal combustion engines (ICE) is very attractive. To increase the efficiency of NG engines hydrogen can be added to natural gas, and innovative BG containing hydrogen can be conveniently used. Hydrogen has a high combustion speed, providing a reduction of the combustion duration when mixed with methane. Consequently higher temperatures are attained in the combustion chamber and thus engines fuelled with NG/H2 blends increase the NOx emissions. NG and BG are generally adopted as fuel in positive ignition ICEs; however they are also suitable for fuelling Controlled Auto Ignition (CAI) engines. The authors investigated combustion in CAI ICE by means of numerical simulations. Starting with pure CH4, the fuel was subsequently enriched with H2, comparing engine performance and exhaust emissions. CAI systems are indirectly controlled with varying air-fuel ratio, boost pressure and charge temperature. Charge temperature depends on the residual gas content, which has an impact on the combustion process as the burning mixture composition consequently changes. The authors investigated the effect of exhaust gas recirculation on the in-cylinder gas temperature and reaction mechanism, with main focus on NOx emissions. Hydrogen addition reduces the intake temperature requirement for the autoignition, which means less EGR. Hydrogen enriched fuels also require lower boost pressure than CH4 to deliver the reference imep while engine efficiency does not change significantly between tested fuels. Hydrogen also helps in reducing NOx emissions due to lower boost pressure and EGR rates.","author":[{"dropping-particle":"","family":"Mariani","given":"Antonio","non-dropping-particle":"","parse-names":false,"suffix":""},{"dropping-particle":"","family":"Unich","given":"Andrea","non-dropping-particle":"","parse-names":false,"suffix":""},{"dropping-particle":"","family":"Minale","given":"Mario","non-dropping-particle":"","parse-names":false,"suffix":""}],"container-title":"Chemical Engineering Transactions","id":"ITEM-1","issued":{"date-parts":[["2019"]]},"title":"Methane/hydrogen blends in controlled auto ignition engines with EGR: Evaluation of NOx emissions","type":"article-journal"},"uris":["http://www.mendeley.com/documents/?uuid=4d319bb5-9423-437b-b2d5-c5c3765a7418"]}],"mendeley":{"formattedCitation":"(Mariani et al., 2019)","plainTextFormattedCitation":"(Mariani et al., 2019)","previouslyFormattedCitation":"(Mariani et al., 2019)"},"properties":{"noteIndex":0},"schema":"https://github.com/citation-style-language/schema/raw/master/csl-citation.json"}</w:instrText>
      </w:r>
      <w:r>
        <w:fldChar w:fldCharType="separate"/>
      </w:r>
      <w:r w:rsidRPr="002A10DD">
        <w:rPr>
          <w:noProof/>
        </w:rPr>
        <w:t>(Mariani et al., 2019)</w:t>
      </w:r>
      <w:r>
        <w:fldChar w:fldCharType="end"/>
      </w:r>
      <w:r>
        <w:t>. However, it should be carefully evaluated in turbines and combustor systems operating under lean compositions.</w:t>
      </w:r>
    </w:p>
    <w:p w14:paraId="7382C781" w14:textId="6B5D36D9" w:rsidR="00600535" w:rsidRPr="00B57B36" w:rsidRDefault="00465C86" w:rsidP="005C0FE9">
      <w:pPr>
        <w:pStyle w:val="CETHeading1"/>
        <w:numPr>
          <w:ilvl w:val="1"/>
          <w:numId w:val="22"/>
        </w:numPr>
        <w:spacing w:line="264" w:lineRule="auto"/>
      </w:pPr>
      <w:r>
        <w:t>Conclusions</w:t>
      </w:r>
    </w:p>
    <w:p w14:paraId="3EBE5F81" w14:textId="1121EE58" w:rsidR="002B53C9" w:rsidRPr="002B53C9" w:rsidRDefault="002B53C9" w:rsidP="005C0FE9">
      <w:pPr>
        <w:pStyle w:val="CETBodytext"/>
      </w:pPr>
      <w:r w:rsidRPr="002B53C9">
        <w:t>This work evaluates the effect of initial conditions on the overall reactivity of biomass-derived gaseous fuel combustion by means of a detailed kinetic mechanism in terms of the Ignition Delay Time, which is an essential parameter for the design of combustion system. The proven accuracy with respect to experimental data from literature guarantees the correctness of the adopted approach for the bio-syngas mixtures containing elevated percentages of non-hydrocarbon species, as well. Hence, the adopted model allows for the accurate design, safety, and environmental analyses of power plants.</w:t>
      </w:r>
    </w:p>
    <w:p w14:paraId="4F1327F8" w14:textId="2E25C953" w:rsidR="00600535" w:rsidRPr="00B57B36" w:rsidRDefault="00600535" w:rsidP="005C0FE9">
      <w:pPr>
        <w:pStyle w:val="CETReference"/>
        <w:spacing w:line="264" w:lineRule="auto"/>
      </w:pPr>
      <w:r w:rsidRPr="00B57B36">
        <w:t>References</w:t>
      </w:r>
    </w:p>
    <w:p w14:paraId="2E982420" w14:textId="5DC150D4" w:rsidR="002B53C9" w:rsidRPr="005421A4" w:rsidRDefault="002B53C9" w:rsidP="005C0FE9">
      <w:pPr>
        <w:pStyle w:val="CETReferencetext"/>
        <w:rPr>
          <w:noProof/>
        </w:rPr>
      </w:pPr>
      <w:r w:rsidRPr="005421A4">
        <w:rPr>
          <w:noProof/>
        </w:rPr>
        <w:t>Agarwal, A.K., Singh, A.P., Maurya, R.K., 2017. Evolution, challenges</w:t>
      </w:r>
      <w:r w:rsidR="00106662">
        <w:rPr>
          <w:noProof/>
        </w:rPr>
        <w:t>,</w:t>
      </w:r>
      <w:r w:rsidRPr="005421A4">
        <w:rPr>
          <w:noProof/>
        </w:rPr>
        <w:t xml:space="preserve"> and path forward for low temperature combustion engines. Prog. Energy Combust. Sci. 61, 1–56. https://doi.org/10.1016/j.pecs.2017.02.001</w:t>
      </w:r>
    </w:p>
    <w:p w14:paraId="1DAE9D85" w14:textId="77777777" w:rsidR="002B53C9" w:rsidRPr="005421A4" w:rsidRDefault="002B53C9" w:rsidP="005C0FE9">
      <w:pPr>
        <w:pStyle w:val="CETReferencetext"/>
        <w:rPr>
          <w:noProof/>
        </w:rPr>
      </w:pPr>
      <w:r w:rsidRPr="005421A4">
        <w:rPr>
          <w:noProof/>
        </w:rPr>
        <w:t>ASTM D6890-13a, 2013. Standard Test Method for Determination of Ignition Delay and Derived Cetane Number ( DCN ) of Diesel Fuel Oils by Combustion in a Constant Volume Chamber Method. ASTM Int. https://doi.org/10.1520/D7170-14.2.</w:t>
      </w:r>
    </w:p>
    <w:p w14:paraId="4EDDAC24" w14:textId="77777777" w:rsidR="002B53C9" w:rsidRPr="005421A4" w:rsidRDefault="002B53C9" w:rsidP="005C0FE9">
      <w:pPr>
        <w:pStyle w:val="CETReferencetext"/>
        <w:rPr>
          <w:noProof/>
        </w:rPr>
      </w:pPr>
      <w:r w:rsidRPr="005421A4">
        <w:rPr>
          <w:noProof/>
        </w:rPr>
        <w:t>Belford, L., Strehlow, R.A., 1969. Shock tube technique in chemical kinetics. Annu. Rev. Phys. Chem. https://doi.org/10.1146/annurev.pc.41.100190.003015</w:t>
      </w:r>
    </w:p>
    <w:p w14:paraId="2921BD17" w14:textId="77777777" w:rsidR="002B53C9" w:rsidRPr="005421A4" w:rsidRDefault="002B53C9" w:rsidP="005C0FE9">
      <w:pPr>
        <w:pStyle w:val="CETReferencetext"/>
        <w:rPr>
          <w:noProof/>
        </w:rPr>
      </w:pPr>
      <w:r w:rsidRPr="005421A4">
        <w:rPr>
          <w:noProof/>
        </w:rPr>
        <w:t>Bhaskaran, K.A., Roth, P., 2002. The shock tube as wave reactor for kinetic studies and material systems. Prog. Energy Combust. Sci. 28, 151–192. https://doi.org/10.1007/BF00758138</w:t>
      </w:r>
    </w:p>
    <w:p w14:paraId="0E5FF74C" w14:textId="77777777" w:rsidR="002B53C9" w:rsidRPr="005421A4" w:rsidRDefault="002B53C9" w:rsidP="005C0FE9">
      <w:pPr>
        <w:pStyle w:val="CETReferencetext"/>
        <w:rPr>
          <w:noProof/>
        </w:rPr>
      </w:pPr>
      <w:r w:rsidRPr="005421A4">
        <w:rPr>
          <w:noProof/>
        </w:rPr>
        <w:lastRenderedPageBreak/>
        <w:t>Boyce, M.P., 2012. Gas Turbine Engineering Handbook, 4th ed, Gas Turbine Engineering Handbook. Elsevier B.V. https://doi.org/10.1016/B978-0-7506-7846-9.X5000-7</w:t>
      </w:r>
    </w:p>
    <w:p w14:paraId="129ECD38" w14:textId="77777777" w:rsidR="002B53C9" w:rsidRPr="005421A4" w:rsidRDefault="002B53C9" w:rsidP="005C0FE9">
      <w:pPr>
        <w:pStyle w:val="CETReferencetext"/>
        <w:rPr>
          <w:noProof/>
        </w:rPr>
      </w:pPr>
      <w:r w:rsidRPr="005421A4">
        <w:rPr>
          <w:noProof/>
        </w:rPr>
        <w:t>Burden, S., Tekawade, A., Oehlschlaeger, M.A., 2018. Ignition delay times for jet and diesel fuels: Constant volume spray and gas-phase shock tube measurements. Fuel 219, 312–319. https://doi.org/10.1016/j.fuel.2018.01.113</w:t>
      </w:r>
    </w:p>
    <w:p w14:paraId="71339011" w14:textId="77777777" w:rsidR="002B53C9" w:rsidRPr="005421A4" w:rsidRDefault="002B53C9" w:rsidP="005C0FE9">
      <w:pPr>
        <w:pStyle w:val="CETReferencetext"/>
        <w:rPr>
          <w:noProof/>
        </w:rPr>
      </w:pPr>
      <w:r w:rsidRPr="005421A4">
        <w:rPr>
          <w:noProof/>
        </w:rPr>
        <w:t>EN 14522:2005, 2005. Determination of the auto ignition temperature of gases and vapour.</w:t>
      </w:r>
    </w:p>
    <w:p w14:paraId="622ADB41" w14:textId="77777777" w:rsidR="002B53C9" w:rsidRPr="005421A4" w:rsidRDefault="002B53C9" w:rsidP="005C0FE9">
      <w:pPr>
        <w:pStyle w:val="CETReferencetext"/>
        <w:rPr>
          <w:noProof/>
        </w:rPr>
      </w:pPr>
      <w:r w:rsidRPr="005421A4">
        <w:rPr>
          <w:noProof/>
        </w:rPr>
        <w:t>Fischer, M., Jiang, X., 2016. A chemical kinetic modelling study of the combustion of CH4-CO-H2-CO2 fuel mixtures. Combust. Flame 167, 274–293. https://doi.org/10.1016/j.combustflame.2016.02.001</w:t>
      </w:r>
    </w:p>
    <w:p w14:paraId="212A28DA" w14:textId="77777777" w:rsidR="002B53C9" w:rsidRPr="005421A4" w:rsidRDefault="002B53C9" w:rsidP="005C0FE9">
      <w:pPr>
        <w:pStyle w:val="CETReferencetext"/>
        <w:rPr>
          <w:noProof/>
        </w:rPr>
      </w:pPr>
      <w:r w:rsidRPr="005421A4">
        <w:rPr>
          <w:noProof/>
        </w:rPr>
        <w:t>Gabel, D., Krause, U., 2019. Minimum ignition temperature of hybrid mixtures. Chem. Eng. Trans. https://doi.org/10.3303/CET1977032</w:t>
      </w:r>
    </w:p>
    <w:p w14:paraId="696DFDAC" w14:textId="77777777" w:rsidR="002B53C9" w:rsidRPr="005421A4" w:rsidRDefault="002B53C9" w:rsidP="005C0FE9">
      <w:pPr>
        <w:pStyle w:val="CETReferencetext"/>
        <w:rPr>
          <w:noProof/>
        </w:rPr>
      </w:pPr>
      <w:r w:rsidRPr="005421A4">
        <w:rPr>
          <w:noProof/>
        </w:rPr>
        <w:t>Gersen, S., Darmeveil, H., Levinsky, H., 2012. The effects of CO addition on the autoignition of H2, CH4and CH4/H2fuels at high pressure in an RCM. Combust. Flame 159, 3472–3475. https://doi.org/10.1016/j.combustflame.2012.06.021</w:t>
      </w:r>
    </w:p>
    <w:p w14:paraId="3BA99E74" w14:textId="77777777" w:rsidR="002B53C9" w:rsidRPr="005421A4" w:rsidRDefault="002B53C9" w:rsidP="005C0FE9">
      <w:pPr>
        <w:pStyle w:val="CETReferencetext"/>
        <w:rPr>
          <w:noProof/>
        </w:rPr>
      </w:pPr>
      <w:r w:rsidRPr="005421A4">
        <w:rPr>
          <w:noProof/>
        </w:rPr>
        <w:t>Goldsborough, S.S., Hochgreb, S., Vanhove, G., Wooldridge, M.S., Curran, H.J., Sung, C.J., 2017. Advances in rapid compression machine studies of low- and intermediate-temperature autoignition phenomena. Prog. Energy Combust. Sci. 63, 1–78. https://doi.org/10.1016/j.pecs.2017.05.002</w:t>
      </w:r>
    </w:p>
    <w:p w14:paraId="7530A25A" w14:textId="77777777" w:rsidR="002B53C9" w:rsidRPr="005421A4" w:rsidRDefault="002B53C9" w:rsidP="005C0FE9">
      <w:pPr>
        <w:pStyle w:val="CETReferencetext"/>
        <w:rPr>
          <w:noProof/>
        </w:rPr>
      </w:pPr>
      <w:r w:rsidRPr="005421A4">
        <w:rPr>
          <w:noProof/>
        </w:rPr>
        <w:t>Goodwin, D.G., 2003. An Open Source, Extensible Software Suite FOR CVD Process Simulation, Interfaces.</w:t>
      </w:r>
    </w:p>
    <w:p w14:paraId="65D14B35" w14:textId="77777777" w:rsidR="002B53C9" w:rsidRPr="005421A4" w:rsidRDefault="002B53C9" w:rsidP="005C0FE9">
      <w:pPr>
        <w:pStyle w:val="CETReferencetext"/>
        <w:rPr>
          <w:noProof/>
        </w:rPr>
      </w:pPr>
      <w:r w:rsidRPr="005421A4">
        <w:rPr>
          <w:noProof/>
        </w:rPr>
        <w:t>Huang, J., Bushe, W.K., 2006. Experimental and kinetic study of autoignition in methane/ethane/air and methane/propane/air mixtures under engine-relevant conditions. Combust. Flame 144, 74–88. https://doi.org/10.1016/j.combustflame.2005.06.013</w:t>
      </w:r>
    </w:p>
    <w:p w14:paraId="293F1B7A" w14:textId="77777777" w:rsidR="002B53C9" w:rsidRPr="005421A4" w:rsidRDefault="002B53C9" w:rsidP="005C0FE9">
      <w:pPr>
        <w:pStyle w:val="CETReferencetext"/>
        <w:rPr>
          <w:noProof/>
        </w:rPr>
      </w:pPr>
      <w:r w:rsidRPr="005421A4">
        <w:rPr>
          <w:noProof/>
        </w:rPr>
        <w:t>Indrawan, N., Thapa, S., Bhoi, P.R., Huhnke, R.L., Kumar, A., 2018. Electricity power generation from co-gasification of municipal solid wastes and biomass: Generation and emission performance. Energy. https://doi.org/10.1016/j.energy.2018.07.169</w:t>
      </w:r>
    </w:p>
    <w:p w14:paraId="750DEE62" w14:textId="77777777" w:rsidR="002B53C9" w:rsidRPr="005421A4" w:rsidRDefault="002B53C9" w:rsidP="005C0FE9">
      <w:pPr>
        <w:pStyle w:val="CETReferencetext"/>
        <w:rPr>
          <w:noProof/>
          <w:lang w:val="it-IT"/>
        </w:rPr>
      </w:pPr>
      <w:r w:rsidRPr="005421A4">
        <w:rPr>
          <w:noProof/>
        </w:rPr>
        <w:t xml:space="preserve">Kalghatgi, G., Levinsky, H., Colket, M., 2018. Future transportation fuels. Prog. Energy Combust. </w:t>
      </w:r>
      <w:r w:rsidRPr="005421A4">
        <w:rPr>
          <w:noProof/>
          <w:lang w:val="it-IT"/>
        </w:rPr>
        <w:t>Sci. 69, 103–105. https://doi.org/10.1016/j.pecs.2018.06.003</w:t>
      </w:r>
    </w:p>
    <w:p w14:paraId="327F285A" w14:textId="77777777" w:rsidR="002B53C9" w:rsidRPr="005421A4" w:rsidRDefault="002B53C9" w:rsidP="005C0FE9">
      <w:pPr>
        <w:pStyle w:val="CETReferencetext"/>
        <w:rPr>
          <w:noProof/>
        </w:rPr>
      </w:pPr>
      <w:r w:rsidRPr="005421A4">
        <w:rPr>
          <w:noProof/>
          <w:lang w:val="it-IT"/>
        </w:rPr>
        <w:t xml:space="preserve">Knothe, G., Razon, L.F., 2017. </w:t>
      </w:r>
      <w:r w:rsidRPr="005421A4">
        <w:rPr>
          <w:noProof/>
        </w:rPr>
        <w:t>Biodiesel fuels. Prog. Energy Combust. Sci. 58, 36–59. https://doi.org/10.1016/j.pecs.2016.08.001</w:t>
      </w:r>
    </w:p>
    <w:p w14:paraId="533BDD2F" w14:textId="77777777" w:rsidR="002B53C9" w:rsidRPr="005421A4" w:rsidRDefault="002B53C9" w:rsidP="005C0FE9">
      <w:pPr>
        <w:pStyle w:val="CETReferencetext"/>
        <w:rPr>
          <w:noProof/>
        </w:rPr>
      </w:pPr>
      <w:r w:rsidRPr="005421A4">
        <w:rPr>
          <w:noProof/>
        </w:rPr>
        <w:t>Lee, H.C., Jiang, L.Y., Mohamad, A.A., 2014. A review on the laminar flame speed and ignition delay time of Syngas mixtures. Int. J. Hydrogen Energy 39, 1105–1121. https://doi.org/10.1016/j.ijhydene.2013.10.068</w:t>
      </w:r>
    </w:p>
    <w:p w14:paraId="3AA141C5" w14:textId="77777777" w:rsidR="002B53C9" w:rsidRPr="005421A4" w:rsidRDefault="002B53C9" w:rsidP="005C0FE9">
      <w:pPr>
        <w:pStyle w:val="CETReferencetext"/>
        <w:rPr>
          <w:noProof/>
        </w:rPr>
      </w:pPr>
      <w:r w:rsidRPr="005421A4">
        <w:rPr>
          <w:noProof/>
        </w:rPr>
        <w:t>Mariani, A., Unich, A., Minale, M., 2019. Methane/hydrogen blends in controlled auto ignition engines with EGR: Evaluation of NOx emissions. Chem. Eng. Trans. https://doi.org/10.3303/CET1974051</w:t>
      </w:r>
    </w:p>
    <w:p w14:paraId="5764F968" w14:textId="77777777" w:rsidR="002B53C9" w:rsidRPr="005421A4" w:rsidRDefault="002B53C9" w:rsidP="005C0FE9">
      <w:pPr>
        <w:pStyle w:val="CETReferencetext"/>
        <w:rPr>
          <w:noProof/>
        </w:rPr>
      </w:pPr>
      <w:r w:rsidRPr="005421A4">
        <w:rPr>
          <w:noProof/>
        </w:rPr>
        <w:t>Olm, C., Zsély, I.G., Varga, T., Curran, H.J., Turányi, T., 2015. Comparison of the performance of several recent syngas combustion mechanisms. Combust. Flame 162, 1793–1812. https://doi.org/10.1016/j.combustflame.2014.12.001</w:t>
      </w:r>
    </w:p>
    <w:p w14:paraId="57C0F8A0" w14:textId="77777777" w:rsidR="002B53C9" w:rsidRPr="005421A4" w:rsidRDefault="002B53C9" w:rsidP="005C0FE9">
      <w:pPr>
        <w:pStyle w:val="CETReferencetext"/>
        <w:rPr>
          <w:noProof/>
        </w:rPr>
      </w:pPr>
      <w:r w:rsidRPr="005421A4">
        <w:rPr>
          <w:noProof/>
        </w:rPr>
        <w:t>Petersen, E.L., Hall, J.M., Smith, S.D., de Vries, J., Amadio, A.R., Crofton, M.W., 2007. Ignition of Lean Methane-Based Fuel Blends at Gas Turbine Pressures. J. Eng. Gas Turbines Power 129, 937. https://doi.org/10.1115/1.2720543</w:t>
      </w:r>
    </w:p>
    <w:p w14:paraId="210EF6E8" w14:textId="77777777" w:rsidR="002B53C9" w:rsidRPr="005421A4" w:rsidRDefault="002B53C9" w:rsidP="005C0FE9">
      <w:pPr>
        <w:pStyle w:val="CETReferencetext"/>
        <w:rPr>
          <w:noProof/>
          <w:lang w:val="it-IT"/>
        </w:rPr>
      </w:pPr>
      <w:r w:rsidRPr="005421A4">
        <w:rPr>
          <w:noProof/>
        </w:rPr>
        <w:t xml:space="preserve">Pio, G., Barba, D., Palma, V., Salzano, E., 2019. A Numerical Study on the Effect of Temperature and Composition on the Flammability of Methane–Hydrogen Sulfide Mixtures. </w:t>
      </w:r>
      <w:r w:rsidRPr="005421A4">
        <w:rPr>
          <w:noProof/>
          <w:lang w:val="it-IT"/>
        </w:rPr>
        <w:t>Combust. Sci. Technol. 191, 1541–1557. https://doi.org/10.1080/00102202.2018.1564746</w:t>
      </w:r>
    </w:p>
    <w:p w14:paraId="5622E185" w14:textId="77777777" w:rsidR="002B53C9" w:rsidRPr="005421A4" w:rsidRDefault="002B53C9" w:rsidP="005C0FE9">
      <w:pPr>
        <w:pStyle w:val="CETReferencetext"/>
        <w:rPr>
          <w:noProof/>
          <w:lang w:val="it-IT"/>
        </w:rPr>
      </w:pPr>
      <w:r w:rsidRPr="005421A4">
        <w:rPr>
          <w:noProof/>
          <w:lang w:val="it-IT"/>
        </w:rPr>
        <w:t xml:space="preserve">Pio, G., Palma, V., Salzano, E., 2018. </w:t>
      </w:r>
      <w:r w:rsidRPr="005421A4">
        <w:rPr>
          <w:noProof/>
        </w:rPr>
        <w:t xml:space="preserve">Comparison and validation of detailed kinetic models for the oxidation of light alkenes. </w:t>
      </w:r>
      <w:r w:rsidRPr="005421A4">
        <w:rPr>
          <w:noProof/>
          <w:lang w:val="it-IT"/>
        </w:rPr>
        <w:t>Ind. Eng. Chem. Res. 57, 7130–7135.</w:t>
      </w:r>
    </w:p>
    <w:p w14:paraId="133290D9" w14:textId="77777777" w:rsidR="002B53C9" w:rsidRPr="005421A4" w:rsidRDefault="002B53C9" w:rsidP="005C0FE9">
      <w:pPr>
        <w:pStyle w:val="CETReferencetext"/>
        <w:rPr>
          <w:noProof/>
          <w:lang w:val="it-IT"/>
        </w:rPr>
      </w:pPr>
      <w:r w:rsidRPr="005421A4">
        <w:rPr>
          <w:noProof/>
          <w:lang w:val="it-IT"/>
        </w:rPr>
        <w:t xml:space="preserve">Pio, G., Ricca, A., Palma, V., Salzano, E., 2020. </w:t>
      </w:r>
      <w:r w:rsidRPr="005421A4">
        <w:rPr>
          <w:noProof/>
        </w:rPr>
        <w:t xml:space="preserve">Experimental and numerical evaluation of low-temperature combustion of bio-syngas. </w:t>
      </w:r>
      <w:r w:rsidRPr="005421A4">
        <w:rPr>
          <w:noProof/>
          <w:lang w:val="it-IT"/>
        </w:rPr>
        <w:t>Int. J. Hydrogen Energy 45, 1084–1095. https://doi.org/10.1016/j.ijhydene.2019.10.207</w:t>
      </w:r>
    </w:p>
    <w:p w14:paraId="15EB8D08" w14:textId="77777777" w:rsidR="002B53C9" w:rsidRPr="005421A4" w:rsidRDefault="002B53C9" w:rsidP="005C0FE9">
      <w:pPr>
        <w:pStyle w:val="CETReferencetext"/>
        <w:rPr>
          <w:noProof/>
        </w:rPr>
      </w:pPr>
      <w:r w:rsidRPr="005421A4">
        <w:rPr>
          <w:noProof/>
          <w:lang w:val="it-IT"/>
        </w:rPr>
        <w:t xml:space="preserve">Pio, Gianmaria, Ricca, A., Palma, V., Salzano, E., 2019. </w:t>
      </w:r>
      <w:r w:rsidRPr="005421A4">
        <w:rPr>
          <w:noProof/>
        </w:rPr>
        <w:t>Low temperature combustion of methane/alkenes mixtures. Fuel 254.</w:t>
      </w:r>
    </w:p>
    <w:p w14:paraId="088E283A" w14:textId="77777777" w:rsidR="002B53C9" w:rsidRPr="005421A4" w:rsidRDefault="002B53C9" w:rsidP="005C0FE9">
      <w:pPr>
        <w:pStyle w:val="CETReferencetext"/>
        <w:rPr>
          <w:noProof/>
        </w:rPr>
      </w:pPr>
      <w:r w:rsidRPr="005421A4">
        <w:rPr>
          <w:noProof/>
        </w:rPr>
        <w:t>Pio, G., Salzano, E., 2019. The effect of ultra-low temperature on the flammability limits of a methane/air/diluent mixtures. J. Hazard. Mater. 362, 224–229. https://doi.org/10.1016/j.jhazmat.2018.09.018</w:t>
      </w:r>
    </w:p>
    <w:p w14:paraId="50A9F503" w14:textId="77777777" w:rsidR="002B53C9" w:rsidRPr="005421A4" w:rsidRDefault="002B53C9" w:rsidP="005C0FE9">
      <w:pPr>
        <w:pStyle w:val="CETReferencetext"/>
        <w:rPr>
          <w:noProof/>
        </w:rPr>
      </w:pPr>
      <w:r w:rsidRPr="005421A4">
        <w:rPr>
          <w:noProof/>
        </w:rPr>
        <w:t>Pio, G., Salzano, E., 2018a. Laminar Burning Velocity of Methane, Hydrogen, and Their Mixtures at Extremely Low-Temperature Conditions. Energy &amp; Fuels 32, 8830–8836. https://doi.org/10.1021/acs.energyfuels.8b01796</w:t>
      </w:r>
    </w:p>
    <w:p w14:paraId="232959EB" w14:textId="77777777" w:rsidR="002B53C9" w:rsidRPr="005421A4" w:rsidRDefault="002B53C9" w:rsidP="005C0FE9">
      <w:pPr>
        <w:pStyle w:val="CETReferencetext"/>
        <w:rPr>
          <w:noProof/>
        </w:rPr>
      </w:pPr>
      <w:r w:rsidRPr="005421A4">
        <w:rPr>
          <w:noProof/>
        </w:rPr>
        <w:t>Pio, G., Salzano, E., 2018b. Evaluation of safety parameters of light alkenes by means of detailed kinetic models. Process Saf. Environ. Prot. 119, 131–137. https://doi.org/10.1016/j.psep.2018.07.024</w:t>
      </w:r>
    </w:p>
    <w:p w14:paraId="046B6072" w14:textId="77777777" w:rsidR="002B53C9" w:rsidRPr="005421A4" w:rsidRDefault="002B53C9" w:rsidP="005C0FE9">
      <w:pPr>
        <w:pStyle w:val="CETReferencetext"/>
        <w:rPr>
          <w:noProof/>
        </w:rPr>
      </w:pPr>
      <w:r w:rsidRPr="005421A4">
        <w:rPr>
          <w:noProof/>
        </w:rPr>
        <w:t>Salzano, E., Pio, G., Ricca, A., Palma, V., 2018. The effect of a hydrogen addition to the premixed flame structure of light alkanes. Fuel 234, 1064–1070. https://doi.org/10.1016/j.fuel.2018.07.110</w:t>
      </w:r>
    </w:p>
    <w:p w14:paraId="265FA140" w14:textId="77777777" w:rsidR="002B53C9" w:rsidRPr="002B53C9" w:rsidRDefault="002B53C9" w:rsidP="005C0FE9">
      <w:pPr>
        <w:pStyle w:val="CETReferencetext"/>
      </w:pPr>
      <w:r w:rsidRPr="005421A4">
        <w:rPr>
          <w:noProof/>
        </w:rPr>
        <w:t>Sung, C.J., Curran, H.J., 2014. Using rapid compression machines for chemical kinetics studies. Prog. Energy Combust. Sci. 44, 1–18. https://doi.org/10.1016/j.pecs.2014.04.001</w:t>
      </w:r>
    </w:p>
    <w:sectPr w:rsidR="002B53C9" w:rsidRPr="002B53C9"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7CF5C5" w14:textId="77777777" w:rsidR="0065472F" w:rsidRDefault="0065472F" w:rsidP="004F5E36">
      <w:r>
        <w:separator/>
      </w:r>
    </w:p>
  </w:endnote>
  <w:endnote w:type="continuationSeparator" w:id="0">
    <w:p w14:paraId="37197620" w14:textId="77777777" w:rsidR="0065472F" w:rsidRDefault="0065472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C3D88" w14:textId="77777777" w:rsidR="0065472F" w:rsidRDefault="0065472F" w:rsidP="004F5E36">
      <w:r>
        <w:separator/>
      </w:r>
    </w:p>
  </w:footnote>
  <w:footnote w:type="continuationSeparator" w:id="0">
    <w:p w14:paraId="60F162B7" w14:textId="77777777" w:rsidR="0065472F" w:rsidRDefault="0065472F"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D95296E0"/>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19"/>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kwNKgFAGpv5ZwtAAAA"/>
  </w:docVars>
  <w:rsids>
    <w:rsidRoot w:val="000E414A"/>
    <w:rsid w:val="000027C0"/>
    <w:rsid w:val="000052FB"/>
    <w:rsid w:val="000117CB"/>
    <w:rsid w:val="0003148D"/>
    <w:rsid w:val="00051566"/>
    <w:rsid w:val="00062A9A"/>
    <w:rsid w:val="00065058"/>
    <w:rsid w:val="00086C39"/>
    <w:rsid w:val="000A03B2"/>
    <w:rsid w:val="000D0268"/>
    <w:rsid w:val="000D34BE"/>
    <w:rsid w:val="000E102F"/>
    <w:rsid w:val="000E36F1"/>
    <w:rsid w:val="000E3A73"/>
    <w:rsid w:val="000E414A"/>
    <w:rsid w:val="000F093C"/>
    <w:rsid w:val="000F787B"/>
    <w:rsid w:val="00106662"/>
    <w:rsid w:val="0012091F"/>
    <w:rsid w:val="00126BC2"/>
    <w:rsid w:val="001308B6"/>
    <w:rsid w:val="0013121F"/>
    <w:rsid w:val="00131FE6"/>
    <w:rsid w:val="0013263F"/>
    <w:rsid w:val="00134DE4"/>
    <w:rsid w:val="0014034D"/>
    <w:rsid w:val="00150E59"/>
    <w:rsid w:val="00152DE3"/>
    <w:rsid w:val="00164CF9"/>
    <w:rsid w:val="001667A6"/>
    <w:rsid w:val="00184AD6"/>
    <w:rsid w:val="001A4AF7"/>
    <w:rsid w:val="001B0349"/>
    <w:rsid w:val="001B65C1"/>
    <w:rsid w:val="001C684B"/>
    <w:rsid w:val="001D53FC"/>
    <w:rsid w:val="001F42A5"/>
    <w:rsid w:val="001F7B9D"/>
    <w:rsid w:val="002224B4"/>
    <w:rsid w:val="002447EF"/>
    <w:rsid w:val="00251550"/>
    <w:rsid w:val="00263B05"/>
    <w:rsid w:val="0027221A"/>
    <w:rsid w:val="00275B61"/>
    <w:rsid w:val="00282656"/>
    <w:rsid w:val="00296B83"/>
    <w:rsid w:val="002B53C9"/>
    <w:rsid w:val="002B78CE"/>
    <w:rsid w:val="002C2FB6"/>
    <w:rsid w:val="002F3309"/>
    <w:rsid w:val="003009B7"/>
    <w:rsid w:val="00300E56"/>
    <w:rsid w:val="0030469C"/>
    <w:rsid w:val="00321CA6"/>
    <w:rsid w:val="00334C09"/>
    <w:rsid w:val="003723D4"/>
    <w:rsid w:val="00381905"/>
    <w:rsid w:val="00384CC8"/>
    <w:rsid w:val="003871FD"/>
    <w:rsid w:val="003A1E30"/>
    <w:rsid w:val="003A7D1C"/>
    <w:rsid w:val="003B304B"/>
    <w:rsid w:val="003B3146"/>
    <w:rsid w:val="003F015E"/>
    <w:rsid w:val="00400414"/>
    <w:rsid w:val="0041446B"/>
    <w:rsid w:val="0044329C"/>
    <w:rsid w:val="004577FE"/>
    <w:rsid w:val="00457B9C"/>
    <w:rsid w:val="0046164A"/>
    <w:rsid w:val="004628D2"/>
    <w:rsid w:val="00462DCD"/>
    <w:rsid w:val="004648AD"/>
    <w:rsid w:val="00465C86"/>
    <w:rsid w:val="004703A9"/>
    <w:rsid w:val="004760DE"/>
    <w:rsid w:val="004763D7"/>
    <w:rsid w:val="004939CD"/>
    <w:rsid w:val="004A004E"/>
    <w:rsid w:val="004A1B17"/>
    <w:rsid w:val="004A24CF"/>
    <w:rsid w:val="004C3D1D"/>
    <w:rsid w:val="004C7913"/>
    <w:rsid w:val="004E4DD6"/>
    <w:rsid w:val="004F5E36"/>
    <w:rsid w:val="00507B47"/>
    <w:rsid w:val="00507BEF"/>
    <w:rsid w:val="00507CC9"/>
    <w:rsid w:val="005119A5"/>
    <w:rsid w:val="005278B7"/>
    <w:rsid w:val="00532016"/>
    <w:rsid w:val="005346C8"/>
    <w:rsid w:val="00543E7D"/>
    <w:rsid w:val="00547A68"/>
    <w:rsid w:val="005531C9"/>
    <w:rsid w:val="00570C43"/>
    <w:rsid w:val="005B2110"/>
    <w:rsid w:val="005B61E6"/>
    <w:rsid w:val="005C0FE9"/>
    <w:rsid w:val="005C77E1"/>
    <w:rsid w:val="005D6A2F"/>
    <w:rsid w:val="005E1A82"/>
    <w:rsid w:val="005E6988"/>
    <w:rsid w:val="005E794C"/>
    <w:rsid w:val="005F0A28"/>
    <w:rsid w:val="005F0E5E"/>
    <w:rsid w:val="00600535"/>
    <w:rsid w:val="00610CD6"/>
    <w:rsid w:val="00620DEE"/>
    <w:rsid w:val="00621F92"/>
    <w:rsid w:val="0062280A"/>
    <w:rsid w:val="00625639"/>
    <w:rsid w:val="00631B33"/>
    <w:rsid w:val="0064184D"/>
    <w:rsid w:val="006422CC"/>
    <w:rsid w:val="0065472F"/>
    <w:rsid w:val="00660E3E"/>
    <w:rsid w:val="00662E74"/>
    <w:rsid w:val="00680C23"/>
    <w:rsid w:val="00693766"/>
    <w:rsid w:val="006A3281"/>
    <w:rsid w:val="006B4888"/>
    <w:rsid w:val="006C2E45"/>
    <w:rsid w:val="006C359C"/>
    <w:rsid w:val="006C5579"/>
    <w:rsid w:val="006D6E8B"/>
    <w:rsid w:val="006E737D"/>
    <w:rsid w:val="00720A24"/>
    <w:rsid w:val="00732386"/>
    <w:rsid w:val="0073514D"/>
    <w:rsid w:val="007447F3"/>
    <w:rsid w:val="0075499F"/>
    <w:rsid w:val="007661C8"/>
    <w:rsid w:val="0077098D"/>
    <w:rsid w:val="007931FA"/>
    <w:rsid w:val="007A4861"/>
    <w:rsid w:val="007A7BBA"/>
    <w:rsid w:val="007B0C50"/>
    <w:rsid w:val="007C1A43"/>
    <w:rsid w:val="0080013E"/>
    <w:rsid w:val="00813288"/>
    <w:rsid w:val="008168FC"/>
    <w:rsid w:val="00830996"/>
    <w:rsid w:val="008345F1"/>
    <w:rsid w:val="00865B07"/>
    <w:rsid w:val="008667EA"/>
    <w:rsid w:val="0086704F"/>
    <w:rsid w:val="0087637F"/>
    <w:rsid w:val="00892AD5"/>
    <w:rsid w:val="008A1512"/>
    <w:rsid w:val="008D32B9"/>
    <w:rsid w:val="008D433B"/>
    <w:rsid w:val="008E566E"/>
    <w:rsid w:val="0090161A"/>
    <w:rsid w:val="00901EB6"/>
    <w:rsid w:val="00904C62"/>
    <w:rsid w:val="00922BA8"/>
    <w:rsid w:val="00924DAC"/>
    <w:rsid w:val="00927058"/>
    <w:rsid w:val="00942750"/>
    <w:rsid w:val="009450CE"/>
    <w:rsid w:val="00947179"/>
    <w:rsid w:val="0095164B"/>
    <w:rsid w:val="00954090"/>
    <w:rsid w:val="009573E7"/>
    <w:rsid w:val="00963E05"/>
    <w:rsid w:val="00967D54"/>
    <w:rsid w:val="00971028"/>
    <w:rsid w:val="00996483"/>
    <w:rsid w:val="00996F5A"/>
    <w:rsid w:val="009B041A"/>
    <w:rsid w:val="009C37C3"/>
    <w:rsid w:val="009C7C86"/>
    <w:rsid w:val="009D2FF7"/>
    <w:rsid w:val="009E7884"/>
    <w:rsid w:val="009E788A"/>
    <w:rsid w:val="009F0E08"/>
    <w:rsid w:val="00A1763D"/>
    <w:rsid w:val="00A17CEC"/>
    <w:rsid w:val="00A27EF0"/>
    <w:rsid w:val="00A50B20"/>
    <w:rsid w:val="00A51390"/>
    <w:rsid w:val="00A60D13"/>
    <w:rsid w:val="00A72745"/>
    <w:rsid w:val="00A76EFC"/>
    <w:rsid w:val="00A91010"/>
    <w:rsid w:val="00A97F29"/>
    <w:rsid w:val="00AA5ACC"/>
    <w:rsid w:val="00AA702E"/>
    <w:rsid w:val="00AB0964"/>
    <w:rsid w:val="00AB5011"/>
    <w:rsid w:val="00AC7368"/>
    <w:rsid w:val="00AD16B9"/>
    <w:rsid w:val="00AE377D"/>
    <w:rsid w:val="00AF0EBA"/>
    <w:rsid w:val="00B02C8A"/>
    <w:rsid w:val="00B061D2"/>
    <w:rsid w:val="00B17FBD"/>
    <w:rsid w:val="00B315A6"/>
    <w:rsid w:val="00B31813"/>
    <w:rsid w:val="00B33365"/>
    <w:rsid w:val="00B57B36"/>
    <w:rsid w:val="00B8686D"/>
    <w:rsid w:val="00B87070"/>
    <w:rsid w:val="00BA7CF9"/>
    <w:rsid w:val="00BB1DDC"/>
    <w:rsid w:val="00BC30C9"/>
    <w:rsid w:val="00BE3E58"/>
    <w:rsid w:val="00C01616"/>
    <w:rsid w:val="00C0162B"/>
    <w:rsid w:val="00C068ED"/>
    <w:rsid w:val="00C16F39"/>
    <w:rsid w:val="00C345B1"/>
    <w:rsid w:val="00C40142"/>
    <w:rsid w:val="00C57182"/>
    <w:rsid w:val="00C57863"/>
    <w:rsid w:val="00C655FD"/>
    <w:rsid w:val="00C75407"/>
    <w:rsid w:val="00C870A8"/>
    <w:rsid w:val="00C94434"/>
    <w:rsid w:val="00CA0D75"/>
    <w:rsid w:val="00CA1C95"/>
    <w:rsid w:val="00CA5A9C"/>
    <w:rsid w:val="00CC1DC1"/>
    <w:rsid w:val="00CC4C20"/>
    <w:rsid w:val="00CD3517"/>
    <w:rsid w:val="00CD5FE2"/>
    <w:rsid w:val="00CE7C68"/>
    <w:rsid w:val="00D02B4C"/>
    <w:rsid w:val="00D040C4"/>
    <w:rsid w:val="00D57C84"/>
    <w:rsid w:val="00D6057D"/>
    <w:rsid w:val="00D836C5"/>
    <w:rsid w:val="00D84576"/>
    <w:rsid w:val="00DA1399"/>
    <w:rsid w:val="00DA24C6"/>
    <w:rsid w:val="00DA4D7B"/>
    <w:rsid w:val="00DE264A"/>
    <w:rsid w:val="00DF5072"/>
    <w:rsid w:val="00E02D18"/>
    <w:rsid w:val="00E041E7"/>
    <w:rsid w:val="00E23CA1"/>
    <w:rsid w:val="00E409A8"/>
    <w:rsid w:val="00E50C12"/>
    <w:rsid w:val="00E65B91"/>
    <w:rsid w:val="00E7209D"/>
    <w:rsid w:val="00E77223"/>
    <w:rsid w:val="00E8528B"/>
    <w:rsid w:val="00E85B94"/>
    <w:rsid w:val="00E978D0"/>
    <w:rsid w:val="00EA4613"/>
    <w:rsid w:val="00EA7F91"/>
    <w:rsid w:val="00EB1523"/>
    <w:rsid w:val="00EC0E49"/>
    <w:rsid w:val="00EC101F"/>
    <w:rsid w:val="00EC1D9F"/>
    <w:rsid w:val="00EE0131"/>
    <w:rsid w:val="00EE17B0"/>
    <w:rsid w:val="00EF06D9"/>
    <w:rsid w:val="00F20BB6"/>
    <w:rsid w:val="00F30C64"/>
    <w:rsid w:val="00F32CDB"/>
    <w:rsid w:val="00F565FE"/>
    <w:rsid w:val="00F63A70"/>
    <w:rsid w:val="00FA21D0"/>
    <w:rsid w:val="00FA5F5F"/>
    <w:rsid w:val="00FB730C"/>
    <w:rsid w:val="00FC2695"/>
    <w:rsid w:val="00FC3E03"/>
    <w:rsid w:val="00FC3FC1"/>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qFormat="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qFormat/>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C16F39"/>
    <w:pPr>
      <w:ind w:left="720"/>
      <w:contextualSpacing/>
    </w:pPr>
  </w:style>
  <w:style w:type="table" w:customStyle="1" w:styleId="PlainTable4">
    <w:name w:val="Plain Table 4"/>
    <w:basedOn w:val="Tabellanormale"/>
    <w:uiPriority w:val="44"/>
    <w:rsid w:val="00C16F39"/>
    <w:pPr>
      <w:spacing w:after="0" w:line="240" w:lineRule="auto"/>
    </w:pPr>
    <w:rPr>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Carpredefinitoparagrafo"/>
    <w:uiPriority w:val="99"/>
    <w:semiHidden/>
    <w:unhideWhenUsed/>
    <w:rsid w:val="002B53C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qFormat="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qFormat/>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C16F39"/>
    <w:pPr>
      <w:ind w:left="720"/>
      <w:contextualSpacing/>
    </w:pPr>
  </w:style>
  <w:style w:type="table" w:customStyle="1" w:styleId="PlainTable4">
    <w:name w:val="Plain Table 4"/>
    <w:basedOn w:val="Tabellanormale"/>
    <w:uiPriority w:val="44"/>
    <w:rsid w:val="00C16F39"/>
    <w:pPr>
      <w:spacing w:after="0" w:line="240" w:lineRule="auto"/>
    </w:pPr>
    <w:rPr>
      <w:sz w:val="20"/>
      <w:szCs w:val="20"/>
      <w:lang w:val="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
    <w:name w:val="Unresolved Mention"/>
    <w:basedOn w:val="Carpredefinitoparagrafo"/>
    <w:uiPriority w:val="99"/>
    <w:semiHidden/>
    <w:unhideWhenUsed/>
    <w:rsid w:val="002B53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5727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F6156-3A9E-4079-8945-929A2A6865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6</Pages>
  <Words>15295</Words>
  <Characters>87184</Characters>
  <Application>Microsoft Office Word</Application>
  <DocSecurity>0</DocSecurity>
  <Lines>726</Lines>
  <Paragraphs>204</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Dipartimento CMIC - Politecnico di Milano</Company>
  <LinksUpToDate>false</LinksUpToDate>
  <CharactersWithSpaces>102275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11</cp:revision>
  <cp:lastPrinted>2015-05-12T18:31:00Z</cp:lastPrinted>
  <dcterms:created xsi:type="dcterms:W3CDTF">2020-06-09T07:28:00Z</dcterms:created>
  <dcterms:modified xsi:type="dcterms:W3CDTF">2020-08-31T09:49:00Z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