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DC3467" w14:paraId="585578D4" w14:textId="77777777" w:rsidTr="00DC3467">
        <w:trPr>
          <w:trHeight w:val="852"/>
          <w:jc w:val="center"/>
        </w:trPr>
        <w:tc>
          <w:tcPr>
            <w:tcW w:w="6946" w:type="dxa"/>
            <w:vMerge w:val="restart"/>
            <w:tcBorders>
              <w:top w:val="nil"/>
              <w:left w:val="nil"/>
              <w:bottom w:val="nil"/>
              <w:right w:val="single" w:sz="4" w:space="0" w:color="auto"/>
            </w:tcBorders>
            <w:hideMark/>
          </w:tcPr>
          <w:p w14:paraId="47AB8A65" w14:textId="31BC1619" w:rsidR="00DC3467" w:rsidRDefault="00DC3467">
            <w:pPr>
              <w:tabs>
                <w:tab w:val="left" w:pos="-108"/>
              </w:tabs>
              <w:ind w:left="-108"/>
              <w:jc w:val="left"/>
              <w:rPr>
                <w:rFonts w:cs="Arial"/>
                <w:b/>
                <w:bCs/>
                <w:i/>
                <w:iCs/>
                <w:color w:val="000066"/>
                <w:sz w:val="12"/>
                <w:szCs w:val="12"/>
                <w:lang w:eastAsia="it-IT"/>
              </w:rPr>
            </w:pPr>
            <w:r>
              <w:rPr>
                <w:rFonts w:ascii="AdvP6960" w:hAnsi="AdvP6960" w:cs="AdvP6960"/>
                <w:noProof/>
                <w:color w:val="241F20"/>
                <w:szCs w:val="18"/>
                <w:lang w:val="it-IT" w:eastAsia="it-IT"/>
              </w:rPr>
              <w:drawing>
                <wp:inline distT="0" distB="0" distL="0" distR="0" wp14:anchorId="0D1C8D97" wp14:editId="71DC7687">
                  <wp:extent cx="638175" cy="371475"/>
                  <wp:effectExtent l="0" t="0" r="9525" b="9525"/>
                  <wp:docPr id="10" name="Immagine 10"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a:noFill/>
                          </a:ln>
                        </pic:spPr>
                      </pic:pic>
                    </a:graphicData>
                  </a:graphic>
                </wp:inline>
              </w:drawing>
            </w:r>
            <w:r>
              <w:rPr>
                <w:rFonts w:ascii="AdvP6960" w:hAnsi="AdvP6960" w:cs="AdvP6960"/>
                <w:color w:val="241F20"/>
                <w:szCs w:val="18"/>
                <w:lang w:eastAsia="it-IT"/>
              </w:rPr>
              <w:t xml:space="preserve"> </w:t>
            </w:r>
            <w:r>
              <w:rPr>
                <w:rFonts w:cs="Arial"/>
                <w:b/>
                <w:bCs/>
                <w:i/>
                <w:iCs/>
                <w:color w:val="000066"/>
                <w:sz w:val="24"/>
                <w:szCs w:val="24"/>
                <w:lang w:eastAsia="it-IT"/>
              </w:rPr>
              <w:t>CHEMICAL ENGINEERING</w:t>
            </w:r>
            <w:r>
              <w:rPr>
                <w:rFonts w:cs="Arial"/>
                <w:b/>
                <w:bCs/>
                <w:i/>
                <w:iCs/>
                <w:color w:val="0033FF"/>
                <w:sz w:val="24"/>
                <w:szCs w:val="24"/>
                <w:lang w:eastAsia="it-IT"/>
              </w:rPr>
              <w:t xml:space="preserve"> </w:t>
            </w:r>
            <w:r>
              <w:rPr>
                <w:rFonts w:cs="Arial"/>
                <w:b/>
                <w:bCs/>
                <w:i/>
                <w:iCs/>
                <w:color w:val="666666"/>
                <w:sz w:val="24"/>
                <w:szCs w:val="24"/>
                <w:lang w:eastAsia="it-IT"/>
              </w:rPr>
              <w:t>TRANSACTIONS</w:t>
            </w:r>
            <w:r>
              <w:rPr>
                <w:color w:val="333333"/>
                <w:sz w:val="24"/>
                <w:szCs w:val="24"/>
                <w:lang w:eastAsia="it-IT"/>
              </w:rPr>
              <w:t xml:space="preserve"> </w:t>
            </w:r>
            <w:r>
              <w:rPr>
                <w:rFonts w:cs="Arial"/>
                <w:b/>
                <w:bCs/>
                <w:i/>
                <w:iCs/>
                <w:color w:val="000066"/>
                <w:sz w:val="27"/>
                <w:szCs w:val="27"/>
                <w:lang w:eastAsia="it-IT"/>
              </w:rPr>
              <w:br/>
            </w:r>
          </w:p>
          <w:p w14:paraId="1AE92C05" w14:textId="77777777" w:rsidR="00DC3467" w:rsidRDefault="00DC3467">
            <w:pPr>
              <w:tabs>
                <w:tab w:val="left" w:pos="-108"/>
              </w:tabs>
              <w:ind w:left="-108"/>
              <w:rPr>
                <w:rFonts w:cs="Arial"/>
                <w:b/>
                <w:bCs/>
                <w:i/>
                <w:iCs/>
                <w:color w:val="000066"/>
                <w:sz w:val="22"/>
                <w:szCs w:val="22"/>
                <w:lang w:eastAsia="it-IT"/>
              </w:rPr>
            </w:pPr>
            <w:r>
              <w:rPr>
                <w:rFonts w:cs="Arial"/>
                <w:b/>
                <w:bCs/>
                <w:i/>
                <w:iCs/>
                <w:color w:val="000066"/>
                <w:sz w:val="22"/>
                <w:szCs w:val="22"/>
                <w:lang w:eastAsia="it-IT"/>
              </w:rPr>
              <w:t>VOL. 82, 2020</w:t>
            </w:r>
          </w:p>
        </w:tc>
        <w:tc>
          <w:tcPr>
            <w:tcW w:w="1843" w:type="dxa"/>
            <w:tcBorders>
              <w:top w:val="nil"/>
              <w:left w:val="single" w:sz="4" w:space="0" w:color="auto"/>
              <w:bottom w:val="nil"/>
              <w:right w:val="single" w:sz="4" w:space="0" w:color="auto"/>
            </w:tcBorders>
            <w:hideMark/>
          </w:tcPr>
          <w:p w14:paraId="7E4A81CC" w14:textId="77777777" w:rsidR="00DC3467" w:rsidRDefault="00DC3467">
            <w:pPr>
              <w:spacing w:line="140" w:lineRule="atLeast"/>
              <w:jc w:val="right"/>
              <w:rPr>
                <w:rFonts w:cs="Arial"/>
                <w:sz w:val="14"/>
                <w:szCs w:val="14"/>
              </w:rPr>
            </w:pPr>
            <w:r>
              <w:rPr>
                <w:rFonts w:cs="Arial"/>
                <w:sz w:val="14"/>
                <w:szCs w:val="14"/>
              </w:rPr>
              <w:t>A publication of</w:t>
            </w:r>
          </w:p>
          <w:p w14:paraId="0B6261FA" w14:textId="17F171F3" w:rsidR="00DC3467" w:rsidRDefault="00DC3467">
            <w:pPr>
              <w:jc w:val="right"/>
            </w:pPr>
            <w:r>
              <w:rPr>
                <w:noProof/>
                <w:lang w:val="it-IT" w:eastAsia="it-IT"/>
              </w:rPr>
              <w:drawing>
                <wp:inline distT="0" distB="0" distL="0" distR="0" wp14:anchorId="1B708BAF" wp14:editId="5B604986">
                  <wp:extent cx="666750" cy="361950"/>
                  <wp:effectExtent l="0" t="0" r="0" b="0"/>
                  <wp:docPr id="1" name="Immagine 1"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aidiclogo_gran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361950"/>
                          </a:xfrm>
                          <a:prstGeom prst="rect">
                            <a:avLst/>
                          </a:prstGeom>
                          <a:noFill/>
                          <a:ln>
                            <a:noFill/>
                          </a:ln>
                        </pic:spPr>
                      </pic:pic>
                    </a:graphicData>
                  </a:graphic>
                </wp:inline>
              </w:drawing>
            </w:r>
          </w:p>
        </w:tc>
      </w:tr>
      <w:tr w:rsidR="00DC3467" w14:paraId="0B698E8D" w14:textId="77777777" w:rsidTr="00DC3467">
        <w:trPr>
          <w:trHeight w:val="567"/>
          <w:jc w:val="center"/>
        </w:trPr>
        <w:tc>
          <w:tcPr>
            <w:tcW w:w="0" w:type="auto"/>
            <w:vMerge/>
            <w:tcBorders>
              <w:top w:val="nil"/>
              <w:left w:val="nil"/>
              <w:bottom w:val="nil"/>
              <w:right w:val="single" w:sz="4" w:space="0" w:color="auto"/>
            </w:tcBorders>
            <w:vAlign w:val="center"/>
            <w:hideMark/>
          </w:tcPr>
          <w:p w14:paraId="62094204" w14:textId="77777777" w:rsidR="00DC3467" w:rsidRDefault="00DC3467">
            <w:pPr>
              <w:tabs>
                <w:tab w:val="clear" w:pos="7100"/>
              </w:tabs>
              <w:spacing w:line="276" w:lineRule="auto"/>
              <w:jc w:val="left"/>
              <w:rPr>
                <w:rFonts w:cs="Arial"/>
                <w:b/>
                <w:bCs/>
                <w:i/>
                <w:iCs/>
                <w:color w:val="000066"/>
                <w:sz w:val="22"/>
                <w:szCs w:val="22"/>
                <w:lang w:eastAsia="it-IT"/>
              </w:rPr>
            </w:pPr>
          </w:p>
        </w:tc>
        <w:tc>
          <w:tcPr>
            <w:tcW w:w="1843" w:type="dxa"/>
            <w:tcBorders>
              <w:top w:val="nil"/>
              <w:left w:val="single" w:sz="4" w:space="0" w:color="auto"/>
              <w:bottom w:val="nil"/>
              <w:right w:val="single" w:sz="4" w:space="0" w:color="auto"/>
            </w:tcBorders>
            <w:hideMark/>
          </w:tcPr>
          <w:p w14:paraId="18368DF7" w14:textId="77777777" w:rsidR="00DC3467" w:rsidRDefault="00DC3467">
            <w:pPr>
              <w:spacing w:line="140" w:lineRule="atLeast"/>
              <w:jc w:val="right"/>
              <w:rPr>
                <w:rFonts w:cs="Arial"/>
                <w:sz w:val="14"/>
                <w:szCs w:val="14"/>
              </w:rPr>
            </w:pPr>
            <w:r>
              <w:rPr>
                <w:rFonts w:cs="Arial"/>
                <w:sz w:val="14"/>
                <w:szCs w:val="14"/>
              </w:rPr>
              <w:t>The Italian Association</w:t>
            </w:r>
          </w:p>
          <w:p w14:paraId="7FF0EF87" w14:textId="77777777" w:rsidR="00DC3467" w:rsidRDefault="00DC3467">
            <w:pPr>
              <w:spacing w:line="140" w:lineRule="atLeast"/>
              <w:jc w:val="right"/>
              <w:rPr>
                <w:rFonts w:cs="Arial"/>
                <w:sz w:val="14"/>
                <w:szCs w:val="14"/>
              </w:rPr>
            </w:pPr>
            <w:r>
              <w:rPr>
                <w:rFonts w:cs="Arial"/>
                <w:sz w:val="14"/>
                <w:szCs w:val="14"/>
              </w:rPr>
              <w:t>of Chemical Engineering</w:t>
            </w:r>
          </w:p>
          <w:p w14:paraId="59221417" w14:textId="77777777" w:rsidR="00DC3467" w:rsidRDefault="00DC3467">
            <w:pPr>
              <w:spacing w:line="140" w:lineRule="atLeast"/>
              <w:jc w:val="right"/>
              <w:rPr>
                <w:rFonts w:cs="Arial"/>
                <w:sz w:val="13"/>
                <w:szCs w:val="13"/>
              </w:rPr>
            </w:pPr>
            <w:r>
              <w:rPr>
                <w:rFonts w:cs="Arial"/>
                <w:sz w:val="13"/>
                <w:szCs w:val="13"/>
              </w:rPr>
              <w:t>Online at www.cetjournal.it</w:t>
            </w:r>
          </w:p>
        </w:tc>
      </w:tr>
      <w:tr w:rsidR="00DC3467" w14:paraId="708B3830" w14:textId="77777777" w:rsidTr="00DC3467">
        <w:trPr>
          <w:trHeight w:val="68"/>
          <w:jc w:val="center"/>
        </w:trPr>
        <w:tc>
          <w:tcPr>
            <w:tcW w:w="8789" w:type="dxa"/>
            <w:gridSpan w:val="2"/>
            <w:tcBorders>
              <w:top w:val="nil"/>
              <w:left w:val="nil"/>
              <w:bottom w:val="single" w:sz="4" w:space="0" w:color="auto"/>
              <w:right w:val="nil"/>
            </w:tcBorders>
            <w:hideMark/>
          </w:tcPr>
          <w:p w14:paraId="6B8E62AE" w14:textId="77777777" w:rsidR="00DC3467" w:rsidRDefault="00DC3467">
            <w:pPr>
              <w:ind w:left="-107"/>
              <w:rPr>
                <w:rFonts w:ascii="Times New Roman" w:hAnsi="Times New Roman"/>
                <w:sz w:val="24"/>
                <w:szCs w:val="24"/>
                <w:lang w:val="en-US" w:eastAsia="it-IT"/>
              </w:rPr>
            </w:pPr>
            <w:r>
              <w:rPr>
                <w:rFonts w:ascii="Tahoma" w:hAnsi="Tahoma" w:cs="Tahoma"/>
                <w:iCs/>
                <w:color w:val="333333"/>
                <w:sz w:val="14"/>
                <w:szCs w:val="14"/>
                <w:lang w:eastAsia="it-IT"/>
              </w:rPr>
              <w:t xml:space="preserve">Guest Editors: Bruno Fabiano, Valerio </w:t>
            </w:r>
            <w:proofErr w:type="spellStart"/>
            <w:r>
              <w:rPr>
                <w:rFonts w:ascii="Tahoma" w:hAnsi="Tahoma" w:cs="Tahoma"/>
                <w:iCs/>
                <w:color w:val="333333"/>
                <w:sz w:val="14"/>
                <w:szCs w:val="14"/>
                <w:lang w:eastAsia="it-IT"/>
              </w:rPr>
              <w:t>Cozzani</w:t>
            </w:r>
            <w:proofErr w:type="spellEnd"/>
            <w:r>
              <w:rPr>
                <w:rFonts w:ascii="Tahoma" w:hAnsi="Tahoma" w:cs="Tahoma"/>
                <w:iCs/>
                <w:color w:val="333333"/>
                <w:sz w:val="14"/>
                <w:szCs w:val="14"/>
                <w:lang w:eastAsia="it-IT"/>
              </w:rPr>
              <w:t xml:space="preserve">, </w:t>
            </w:r>
            <w:proofErr w:type="spellStart"/>
            <w:r>
              <w:rPr>
                <w:rFonts w:ascii="Tahoma" w:hAnsi="Tahoma" w:cs="Tahoma"/>
                <w:color w:val="4B4942"/>
                <w:sz w:val="14"/>
                <w:szCs w:val="14"/>
              </w:rPr>
              <w:t>Genserik</w:t>
            </w:r>
            <w:proofErr w:type="spellEnd"/>
            <w:r>
              <w:rPr>
                <w:rFonts w:ascii="Tahoma" w:hAnsi="Tahoma" w:cs="Tahoma"/>
                <w:color w:val="4B4942"/>
                <w:sz w:val="14"/>
                <w:szCs w:val="14"/>
              </w:rPr>
              <w:t xml:space="preserve"> </w:t>
            </w:r>
            <w:proofErr w:type="spellStart"/>
            <w:r>
              <w:rPr>
                <w:rFonts w:ascii="Tahoma" w:hAnsi="Tahoma" w:cs="Tahoma"/>
                <w:color w:val="4B4942"/>
                <w:sz w:val="14"/>
                <w:szCs w:val="14"/>
              </w:rPr>
              <w:t>Reniers</w:t>
            </w:r>
            <w:proofErr w:type="spellEnd"/>
          </w:p>
          <w:p w14:paraId="506C9489" w14:textId="77777777" w:rsidR="00DC3467" w:rsidRDefault="00DC3467">
            <w:pPr>
              <w:tabs>
                <w:tab w:val="left" w:pos="-108"/>
              </w:tabs>
              <w:spacing w:line="140" w:lineRule="atLeast"/>
              <w:ind w:left="-107"/>
              <w:jc w:val="left"/>
            </w:pPr>
            <w:r>
              <w:rPr>
                <w:rFonts w:ascii="Tahoma" w:hAnsi="Tahoma" w:cs="Tahoma"/>
                <w:iCs/>
                <w:color w:val="333333"/>
                <w:sz w:val="14"/>
                <w:szCs w:val="14"/>
                <w:lang w:eastAsia="it-IT"/>
              </w:rPr>
              <w:t xml:space="preserve">Copyright © 2020, AIDIC </w:t>
            </w:r>
            <w:proofErr w:type="spellStart"/>
            <w:r>
              <w:rPr>
                <w:rFonts w:ascii="Tahoma" w:hAnsi="Tahoma" w:cs="Tahoma"/>
                <w:iCs/>
                <w:color w:val="333333"/>
                <w:sz w:val="14"/>
                <w:szCs w:val="14"/>
                <w:lang w:eastAsia="it-IT"/>
              </w:rPr>
              <w:t>Servizi</w:t>
            </w:r>
            <w:proofErr w:type="spellEnd"/>
            <w:r>
              <w:rPr>
                <w:rFonts w:ascii="Tahoma" w:hAnsi="Tahoma" w:cs="Tahoma"/>
                <w:iCs/>
                <w:color w:val="333333"/>
                <w:sz w:val="14"/>
                <w:szCs w:val="14"/>
                <w:lang w:eastAsia="it-IT"/>
              </w:rPr>
              <w:t xml:space="preserve"> </w:t>
            </w:r>
            <w:proofErr w:type="spellStart"/>
            <w:r>
              <w:rPr>
                <w:rFonts w:ascii="Tahoma" w:hAnsi="Tahoma" w:cs="Tahoma"/>
                <w:iCs/>
                <w:color w:val="333333"/>
                <w:sz w:val="14"/>
                <w:szCs w:val="14"/>
                <w:lang w:eastAsia="it-IT"/>
              </w:rPr>
              <w:t>S.r.l</w:t>
            </w:r>
            <w:proofErr w:type="spellEnd"/>
            <w:r>
              <w:rPr>
                <w:rFonts w:ascii="Tahoma" w:hAnsi="Tahoma" w:cs="Tahoma"/>
                <w:iCs/>
                <w:color w:val="333333"/>
                <w:sz w:val="14"/>
                <w:szCs w:val="14"/>
                <w:lang w:eastAsia="it-IT"/>
              </w:rPr>
              <w:t>.</w:t>
            </w:r>
            <w:r>
              <w:rPr>
                <w:rFonts w:ascii="Tahoma" w:hAnsi="Tahoma" w:cs="Tahoma"/>
                <w:iCs/>
                <w:color w:val="333333"/>
                <w:sz w:val="14"/>
                <w:szCs w:val="14"/>
                <w:lang w:eastAsia="it-IT"/>
              </w:rPr>
              <w:br/>
            </w:r>
            <w:r>
              <w:rPr>
                <w:rFonts w:ascii="Tahoma" w:hAnsi="Tahoma" w:cs="Tahoma"/>
                <w:b/>
                <w:iCs/>
                <w:color w:val="000000"/>
                <w:sz w:val="14"/>
                <w:szCs w:val="14"/>
                <w:lang w:eastAsia="it-IT"/>
              </w:rPr>
              <w:t>ISBN</w:t>
            </w:r>
            <w:r>
              <w:rPr>
                <w:rFonts w:ascii="Tahoma" w:hAnsi="Tahoma" w:cs="Tahoma"/>
                <w:iCs/>
                <w:color w:val="000000"/>
                <w:sz w:val="14"/>
                <w:szCs w:val="14"/>
                <w:lang w:eastAsia="it-IT"/>
              </w:rPr>
              <w:t xml:space="preserve"> </w:t>
            </w:r>
            <w:r>
              <w:rPr>
                <w:rFonts w:ascii="Tahoma" w:hAnsi="Tahoma" w:cs="Tahoma"/>
                <w:sz w:val="14"/>
                <w:szCs w:val="14"/>
              </w:rPr>
              <w:t>978-88-95608-80-8</w:t>
            </w:r>
            <w:r>
              <w:rPr>
                <w:rFonts w:ascii="Tahoma" w:hAnsi="Tahoma" w:cs="Tahoma"/>
                <w:iCs/>
                <w:color w:val="333333"/>
                <w:sz w:val="14"/>
                <w:szCs w:val="14"/>
                <w:lang w:eastAsia="it-IT"/>
              </w:rPr>
              <w:t xml:space="preserve">; </w:t>
            </w:r>
            <w:r>
              <w:rPr>
                <w:rFonts w:ascii="Tahoma" w:hAnsi="Tahoma" w:cs="Tahoma"/>
                <w:b/>
                <w:iCs/>
                <w:color w:val="333333"/>
                <w:sz w:val="14"/>
                <w:szCs w:val="14"/>
                <w:lang w:eastAsia="it-IT"/>
              </w:rPr>
              <w:t>ISSN</w:t>
            </w:r>
            <w:r>
              <w:rPr>
                <w:rFonts w:ascii="Tahoma" w:hAnsi="Tahoma" w:cs="Tahoma"/>
                <w:iCs/>
                <w:color w:val="333333"/>
                <w:sz w:val="14"/>
                <w:szCs w:val="14"/>
                <w:lang w:eastAsia="it-IT"/>
              </w:rPr>
              <w:t xml:space="preserve"> 2283-9216</w:t>
            </w:r>
          </w:p>
        </w:tc>
      </w:tr>
    </w:tbl>
    <w:p w14:paraId="10DAA130" w14:textId="77777777" w:rsidR="000A03B2" w:rsidRPr="00B57B36" w:rsidRDefault="000A03B2" w:rsidP="000A03B2">
      <w:pPr>
        <w:pStyle w:val="CETAuthors"/>
        <w:sectPr w:rsidR="000A03B2" w:rsidRPr="00B57B36" w:rsidSect="008B32D8">
          <w:type w:val="continuous"/>
          <w:pgSz w:w="11906" w:h="16838" w:code="9"/>
          <w:pgMar w:top="1701" w:right="1418" w:bottom="1701" w:left="1701" w:header="1701" w:footer="0" w:gutter="0"/>
          <w:cols w:space="708"/>
          <w:titlePg/>
          <w:docGrid w:linePitch="360"/>
        </w:sectPr>
      </w:pPr>
    </w:p>
    <w:p w14:paraId="2E667253" w14:textId="716DA3FE" w:rsidR="00E978D0" w:rsidRPr="00B57B36" w:rsidRDefault="00755147" w:rsidP="00E978D0">
      <w:pPr>
        <w:pStyle w:val="CETTitle"/>
      </w:pPr>
      <w:r>
        <w:lastRenderedPageBreak/>
        <w:t>A Data Driven Model for Ozone Concentration Prediction in a Coastal Urban A</w:t>
      </w:r>
      <w:r w:rsidR="00893FDC" w:rsidRPr="00893FDC">
        <w:t>rea</w:t>
      </w:r>
    </w:p>
    <w:p w14:paraId="2B3CA35C" w14:textId="6F22A374" w:rsidR="00E978D0" w:rsidRPr="00893FDC" w:rsidRDefault="00893FDC" w:rsidP="00AB5011">
      <w:pPr>
        <w:pStyle w:val="CETAuthors"/>
        <w:rPr>
          <w:lang w:val="it-IT"/>
        </w:rPr>
      </w:pPr>
      <w:r w:rsidRPr="00893FDC">
        <w:rPr>
          <w:lang w:val="it-IT"/>
        </w:rPr>
        <w:t>Tomaso Vairo</w:t>
      </w:r>
      <w:r w:rsidRPr="00893FDC">
        <w:rPr>
          <w:vertAlign w:val="superscript"/>
          <w:lang w:val="it-IT"/>
        </w:rPr>
        <w:t>a,c</w:t>
      </w:r>
      <w:r w:rsidR="001548FD">
        <w:rPr>
          <w:vertAlign w:val="superscript"/>
          <w:lang w:val="it-IT"/>
        </w:rPr>
        <w:t xml:space="preserve"> </w:t>
      </w:r>
      <w:r w:rsidRPr="00893FDC">
        <w:rPr>
          <w:lang w:val="it-IT"/>
        </w:rPr>
        <w:t>*, Andrea Rapuzzi</w:t>
      </w:r>
      <w:r w:rsidRPr="00893FDC">
        <w:rPr>
          <w:vertAlign w:val="superscript"/>
          <w:lang w:val="it-IT"/>
        </w:rPr>
        <w:t>b</w:t>
      </w:r>
      <w:r w:rsidRPr="00893FDC">
        <w:rPr>
          <w:lang w:val="it-IT"/>
        </w:rPr>
        <w:t>, Mario Lecca</w:t>
      </w:r>
      <w:r w:rsidRPr="00893FDC">
        <w:rPr>
          <w:vertAlign w:val="superscript"/>
          <w:lang w:val="it-IT"/>
        </w:rPr>
        <w:t>c</w:t>
      </w:r>
      <w:r w:rsidRPr="00893FDC">
        <w:rPr>
          <w:lang w:val="it-IT"/>
        </w:rPr>
        <w:t>, Bruno Fabiano</w:t>
      </w:r>
      <w:r w:rsidRPr="00893FDC">
        <w:rPr>
          <w:vertAlign w:val="superscript"/>
          <w:lang w:val="it-IT"/>
        </w:rPr>
        <w:t>a</w:t>
      </w:r>
    </w:p>
    <w:p w14:paraId="102A1BF0" w14:textId="5B01103E" w:rsidR="00893FDC" w:rsidRPr="00893FDC" w:rsidRDefault="00893FDC" w:rsidP="00893FDC">
      <w:pPr>
        <w:pStyle w:val="CETAddress"/>
        <w:rPr>
          <w:lang w:val="it-IT"/>
        </w:rPr>
      </w:pPr>
      <w:r w:rsidRPr="00893FDC">
        <w:rPr>
          <w:vertAlign w:val="superscript"/>
          <w:lang w:val="it-IT"/>
        </w:rPr>
        <w:t xml:space="preserve">a </w:t>
      </w:r>
      <w:r w:rsidRPr="00893FDC">
        <w:rPr>
          <w:lang w:val="it-IT"/>
        </w:rPr>
        <w:t>DICCA - Civil, Chemical and Environmental Engineering Dept. – Genoa University, via Opera Pia 15 - 16145 Genoa, Italy</w:t>
      </w:r>
    </w:p>
    <w:p w14:paraId="3A7E8FFE" w14:textId="77777777" w:rsidR="00893FDC" w:rsidRPr="00893FDC" w:rsidRDefault="00893FDC" w:rsidP="00893FDC">
      <w:pPr>
        <w:pStyle w:val="CETAddress"/>
        <w:rPr>
          <w:lang w:val="it-IT"/>
        </w:rPr>
      </w:pPr>
      <w:r w:rsidRPr="00893FDC">
        <w:rPr>
          <w:vertAlign w:val="superscript"/>
          <w:lang w:val="it-IT"/>
        </w:rPr>
        <w:t xml:space="preserve">b </w:t>
      </w:r>
      <w:r w:rsidRPr="00893FDC">
        <w:rPr>
          <w:lang w:val="it-IT"/>
        </w:rPr>
        <w:t>A-SIGN S.r.l - via XXV Aprile 10/3a - 16121 Genoa, Italy</w:t>
      </w:r>
    </w:p>
    <w:p w14:paraId="2466D9E4" w14:textId="77777777" w:rsidR="00893FDC" w:rsidRPr="00893FDC" w:rsidRDefault="00893FDC" w:rsidP="00893FDC">
      <w:pPr>
        <w:pStyle w:val="CETAddress"/>
        <w:rPr>
          <w:lang w:val="it-IT"/>
        </w:rPr>
      </w:pPr>
      <w:r w:rsidRPr="00893FDC">
        <w:rPr>
          <w:vertAlign w:val="superscript"/>
          <w:lang w:val="it-IT"/>
        </w:rPr>
        <w:t xml:space="preserve">c </w:t>
      </w:r>
      <w:r w:rsidRPr="00893FDC">
        <w:rPr>
          <w:lang w:val="it-IT"/>
        </w:rPr>
        <w:t>ARPAL, via Bombrini 8 - 16149 Genoa Italy</w:t>
      </w:r>
    </w:p>
    <w:p w14:paraId="0127A28D" w14:textId="1D023AD5" w:rsidR="00E978D0" w:rsidRPr="004E4621" w:rsidRDefault="00893FDC" w:rsidP="00E978D0">
      <w:pPr>
        <w:pStyle w:val="CETemail"/>
      </w:pPr>
      <w:r w:rsidRPr="00C03841">
        <w:rPr>
          <w:lang w:val="it-IT"/>
        </w:rPr>
        <w:t xml:space="preserve"> </w:t>
      </w:r>
      <w:r w:rsidRPr="004E4621">
        <w:t>tomaso.vairo@edu.unige.it</w:t>
      </w:r>
    </w:p>
    <w:p w14:paraId="37A61FCE" w14:textId="5C728323" w:rsidR="00DA24C6" w:rsidRDefault="00976B78" w:rsidP="008F3438">
      <w:pPr>
        <w:pStyle w:val="CETBodytext"/>
      </w:pPr>
      <w:r w:rsidRPr="00D8654E">
        <w:t xml:space="preserve">As amply known, ozone concentration in the coastal area of study is well relevant in connection with “photochemical smog”, due to high levels of solar radiation and temperature values and possible photochemical oxidation of volatile organic compounds (VOCs) in the presence of nitrogen oxides (NOx). </w:t>
      </w:r>
      <w:r w:rsidR="00493843" w:rsidRPr="00493843">
        <w:t xml:space="preserve">In this paper, </w:t>
      </w:r>
      <w:r w:rsidR="0039630B">
        <w:t>a framework</w:t>
      </w:r>
      <w:r w:rsidR="00493843">
        <w:t xml:space="preserve"> for predicting ozone </w:t>
      </w:r>
      <w:r w:rsidR="00493843" w:rsidRPr="00493843">
        <w:t>concentration</w:t>
      </w:r>
      <w:r w:rsidR="00493843">
        <w:t xml:space="preserve"> in urban </w:t>
      </w:r>
      <w:r w:rsidR="00EA5100">
        <w:t xml:space="preserve">area </w:t>
      </w:r>
      <w:r w:rsidR="0039630B">
        <w:t>is presented, relying a</w:t>
      </w:r>
      <w:r w:rsidR="00493843">
        <w:t xml:space="preserve"> </w:t>
      </w:r>
      <w:proofErr w:type="spellStart"/>
      <w:r w:rsidR="00493843" w:rsidRPr="00A1043C">
        <w:rPr>
          <w:i/>
        </w:rPr>
        <w:t>LightGBM</w:t>
      </w:r>
      <w:proofErr w:type="spellEnd"/>
      <w:r w:rsidR="00493843">
        <w:t xml:space="preserve"> </w:t>
      </w:r>
      <w:r w:rsidR="00893FDC" w:rsidRPr="00893FDC">
        <w:t>algorithm for gradient boosting on decision trees</w:t>
      </w:r>
      <w:r w:rsidR="00493843">
        <w:t xml:space="preserve">. </w:t>
      </w:r>
      <w:r w:rsidR="00893FDC" w:rsidRPr="00893FDC">
        <w:t xml:space="preserve">The system represents a pragmatic and scientifically credible approach to data driven modelling applied to complex and </w:t>
      </w:r>
      <w:r w:rsidR="00BB600C">
        <w:t>u</w:t>
      </w:r>
      <w:r w:rsidR="00893FDC" w:rsidRPr="00893FDC">
        <w:t xml:space="preserve">ncertain situations. </w:t>
      </w:r>
      <w:r w:rsidR="002B3D26">
        <w:t>T</w:t>
      </w:r>
      <w:r w:rsidR="00893FDC" w:rsidRPr="00893FDC">
        <w:t xml:space="preserve">he </w:t>
      </w:r>
      <w:r w:rsidR="002B3D26">
        <w:t>study</w:t>
      </w:r>
      <w:r w:rsidR="00893FDC" w:rsidRPr="00893FDC">
        <w:t xml:space="preserve"> concerns the application of data analytic standard methodologies to air quality analysis, which includes the pre-treatment of data, the choice of a suitable configuration of the learning algorithm, the identifica</w:t>
      </w:r>
      <w:r w:rsidR="00B029B0">
        <w:t>tion of the fitting parameters</w:t>
      </w:r>
      <w:r w:rsidR="00893FDC" w:rsidRPr="00893FDC">
        <w:t xml:space="preserve"> </w:t>
      </w:r>
      <w:r w:rsidR="00B029B0">
        <w:t>and error</w:t>
      </w:r>
      <w:r w:rsidR="00893FDC" w:rsidRPr="00893FDC">
        <w:t xml:space="preserve"> </w:t>
      </w:r>
      <w:r w:rsidR="00B029B0">
        <w:t>minimization.</w:t>
      </w:r>
      <w:r w:rsidR="00893FDC" w:rsidRPr="00893FDC">
        <w:t xml:space="preserve"> </w:t>
      </w:r>
      <w:r w:rsidR="002B3D26">
        <w:t xml:space="preserve">Training and verification </w:t>
      </w:r>
      <w:r w:rsidR="00893FDC" w:rsidRPr="00893FDC">
        <w:t xml:space="preserve">data are significant statistical time-series </w:t>
      </w:r>
      <w:r w:rsidR="00D11CE2">
        <w:t>over</w:t>
      </w:r>
      <w:r w:rsidR="00893FDC" w:rsidRPr="00893FDC">
        <w:t xml:space="preserve"> the past years </w:t>
      </w:r>
      <w:r w:rsidR="006B78AD">
        <w:t xml:space="preserve">validated </w:t>
      </w:r>
      <w:r w:rsidR="00893FDC" w:rsidRPr="00893FDC">
        <w:t>from the air quality monitoring ne</w:t>
      </w:r>
      <w:r w:rsidR="00097B94">
        <w:t>twork in the urban area of Geno</w:t>
      </w:r>
      <w:r w:rsidR="00893FDC" w:rsidRPr="00893FDC">
        <w:t>a</w:t>
      </w:r>
      <w:r w:rsidR="00097B94">
        <w:t xml:space="preserve"> (Italy)</w:t>
      </w:r>
      <w:r w:rsidR="00893FDC" w:rsidRPr="00893FDC">
        <w:t xml:space="preserve">. </w:t>
      </w:r>
    </w:p>
    <w:p w14:paraId="5660EBF4" w14:textId="77777777" w:rsidR="00893FDC" w:rsidRDefault="00893FDC" w:rsidP="00145A48">
      <w:pPr>
        <w:pStyle w:val="CETnumberingbullets"/>
        <w:numPr>
          <w:ilvl w:val="0"/>
          <w:numId w:val="0"/>
        </w:numPr>
      </w:pPr>
    </w:p>
    <w:p w14:paraId="582CC9D3" w14:textId="7997C229" w:rsidR="00893FDC" w:rsidRPr="00145A48" w:rsidRDefault="00893FDC" w:rsidP="00145A48">
      <w:pPr>
        <w:pStyle w:val="CETnumberingbullets"/>
        <w:numPr>
          <w:ilvl w:val="0"/>
          <w:numId w:val="0"/>
        </w:numPr>
      </w:pPr>
      <w:r w:rsidRPr="00145A48">
        <w:t xml:space="preserve">Keywords: </w:t>
      </w:r>
      <w:r w:rsidR="004964C5" w:rsidRPr="00145A48">
        <w:t xml:space="preserve">air quality, </w:t>
      </w:r>
      <w:r w:rsidRPr="00145A48">
        <w:t xml:space="preserve">data </w:t>
      </w:r>
      <w:r w:rsidR="004964C5" w:rsidRPr="00145A48">
        <w:t xml:space="preserve">driven model, machine learning, </w:t>
      </w:r>
      <w:r w:rsidRPr="00145A48">
        <w:t>ozone</w:t>
      </w:r>
      <w:r w:rsidR="00C03841" w:rsidRPr="00145A48">
        <w:t>, environmental quality</w:t>
      </w:r>
      <w:r w:rsidRPr="00145A48">
        <w:t>.</w:t>
      </w:r>
    </w:p>
    <w:p w14:paraId="476B2F2E" w14:textId="77777777" w:rsidR="00600535" w:rsidRPr="00145A48" w:rsidRDefault="00600535" w:rsidP="00145A48">
      <w:pPr>
        <w:pStyle w:val="CETHeading1"/>
        <w:ind w:left="0"/>
      </w:pPr>
      <w:r w:rsidRPr="00145A48">
        <w:t>Introduction</w:t>
      </w:r>
    </w:p>
    <w:p w14:paraId="3C560425" w14:textId="258DA9BA" w:rsidR="00B029B0" w:rsidRDefault="00893FDC" w:rsidP="00EA0E42">
      <w:pPr>
        <w:pStyle w:val="CETnumberingbullets"/>
        <w:numPr>
          <w:ilvl w:val="0"/>
          <w:numId w:val="0"/>
        </w:numPr>
        <w:jc w:val="both"/>
      </w:pPr>
      <w:r>
        <w:t xml:space="preserve">The protection of air quality from pollution and the reduction of greenhouse gas emissions are essential goals </w:t>
      </w:r>
      <w:r w:rsidR="00B029B0">
        <w:t>gaining increasing attention in international and</w:t>
      </w:r>
      <w:r>
        <w:t xml:space="preserve"> national </w:t>
      </w:r>
      <w:r w:rsidR="005E7924">
        <w:t>strategies and policies.</w:t>
      </w:r>
      <w:r w:rsidR="002C1C13">
        <w:t xml:space="preserve"> </w:t>
      </w:r>
      <w:r w:rsidR="00C03841">
        <w:t>In this context, m</w:t>
      </w:r>
      <w:r w:rsidR="002C1C13" w:rsidRPr="002C1C13">
        <w:t>any</w:t>
      </w:r>
      <w:r w:rsidR="002C1C13">
        <w:t xml:space="preserve"> </w:t>
      </w:r>
      <w:r w:rsidR="002C1C13" w:rsidRPr="002C1C13">
        <w:t>attributes</w:t>
      </w:r>
      <w:r w:rsidR="002C1C13">
        <w:t xml:space="preserve"> </w:t>
      </w:r>
      <w:r w:rsidR="002C1C13" w:rsidRPr="002C1C13">
        <w:t>(such</w:t>
      </w:r>
      <w:r w:rsidR="002C1C13">
        <w:t xml:space="preserve"> </w:t>
      </w:r>
      <w:r w:rsidR="002C1C13" w:rsidRPr="002C1C13">
        <w:t>as</w:t>
      </w:r>
      <w:r w:rsidR="002C1C13">
        <w:t xml:space="preserve"> safety, </w:t>
      </w:r>
      <w:r w:rsidR="002C1C13" w:rsidRPr="002C1C13">
        <w:t>environment,</w:t>
      </w:r>
      <w:r w:rsidR="002C1C13">
        <w:t xml:space="preserve"> </w:t>
      </w:r>
      <w:r w:rsidR="002C1C13" w:rsidRPr="002C1C13">
        <w:t>reputation,</w:t>
      </w:r>
      <w:r w:rsidR="002C1C13">
        <w:t xml:space="preserve"> </w:t>
      </w:r>
      <w:r w:rsidR="002C1C13" w:rsidRPr="002C1C13">
        <w:t>policy,</w:t>
      </w:r>
      <w:r w:rsidR="002C1C13">
        <w:t xml:space="preserve"> </w:t>
      </w:r>
      <w:r w:rsidR="002C1C13" w:rsidRPr="002C1C13">
        <w:t>costs,</w:t>
      </w:r>
      <w:r w:rsidR="002C1C13">
        <w:t xml:space="preserve"> </w:t>
      </w:r>
      <w:r w:rsidR="002C1C13" w:rsidRPr="002C1C13">
        <w:t>etc.)</w:t>
      </w:r>
      <w:r w:rsidR="002C1C13">
        <w:t xml:space="preserve"> </w:t>
      </w:r>
      <w:r w:rsidR="002C1C13" w:rsidRPr="002C1C13">
        <w:t>need</w:t>
      </w:r>
      <w:r w:rsidR="002C1C13">
        <w:t xml:space="preserve"> </w:t>
      </w:r>
      <w:r w:rsidR="002C1C13" w:rsidRPr="002C1C13">
        <w:t>to</w:t>
      </w:r>
      <w:r w:rsidR="002C1C13">
        <w:t xml:space="preserve"> b</w:t>
      </w:r>
      <w:r w:rsidR="002C1C13" w:rsidRPr="002C1C13">
        <w:t>e</w:t>
      </w:r>
      <w:r w:rsidR="002C1C13">
        <w:t xml:space="preserve"> properly </w:t>
      </w:r>
      <w:r w:rsidR="002C1C13" w:rsidRPr="002C1C13">
        <w:t>taken</w:t>
      </w:r>
      <w:r w:rsidR="002C1C13">
        <w:t xml:space="preserve"> </w:t>
      </w:r>
      <w:r w:rsidR="002C1C13" w:rsidRPr="002C1C13">
        <w:t>into</w:t>
      </w:r>
      <w:r w:rsidR="002C1C13">
        <w:t xml:space="preserve"> </w:t>
      </w:r>
      <w:r w:rsidR="002C1C13" w:rsidRPr="002C1C13">
        <w:t>consideration</w:t>
      </w:r>
      <w:r w:rsidR="002C1C13">
        <w:t xml:space="preserve"> </w:t>
      </w:r>
      <w:r w:rsidR="002C1C13" w:rsidRPr="002C1C13">
        <w:t>when</w:t>
      </w:r>
      <w:r w:rsidR="002C1C13">
        <w:t xml:space="preserve"> </w:t>
      </w:r>
      <w:r w:rsidR="002C1C13" w:rsidRPr="002C1C13">
        <w:t>prioritising</w:t>
      </w:r>
      <w:r w:rsidR="002C1C13">
        <w:t xml:space="preserve"> </w:t>
      </w:r>
      <w:r w:rsidR="002C1C13" w:rsidRPr="002C1C13">
        <w:t>safety</w:t>
      </w:r>
      <w:r w:rsidR="002C1C13">
        <w:t xml:space="preserve"> </w:t>
      </w:r>
      <w:r w:rsidR="00C03841">
        <w:t xml:space="preserve">plant/industry </w:t>
      </w:r>
      <w:r w:rsidR="002C1C13" w:rsidRPr="002C1C13">
        <w:t>investments</w:t>
      </w:r>
      <w:r w:rsidR="002C1C13">
        <w:t xml:space="preserve"> (Abrahamsen et al., 2020). </w:t>
      </w:r>
      <w:r w:rsidR="001C7A65">
        <w:t>The transition to low-carbon economy and the ambit</w:t>
      </w:r>
      <w:r w:rsidR="00B029B0">
        <w:t>ion to reach net zero emissions</w:t>
      </w:r>
      <w:r w:rsidR="001C7A65">
        <w:t xml:space="preserve"> offers research challenges </w:t>
      </w:r>
      <w:r w:rsidR="00384481">
        <w:t>addressing pollution prevention, e.g.</w:t>
      </w:r>
      <w:r w:rsidR="001C7A65">
        <w:t xml:space="preserve"> by </w:t>
      </w:r>
      <w:r w:rsidR="00384481">
        <w:t>advanced pyrolysis processes r</w:t>
      </w:r>
      <w:r w:rsidR="001C7A65" w:rsidRPr="001C7A65">
        <w:t>ecover</w:t>
      </w:r>
      <w:r w:rsidR="001C7A65">
        <w:t xml:space="preserve">ing </w:t>
      </w:r>
      <w:r w:rsidR="00384481">
        <w:t xml:space="preserve">mass and </w:t>
      </w:r>
      <w:r w:rsidR="001C7A65" w:rsidRPr="001C7A65">
        <w:t>ene</w:t>
      </w:r>
      <w:r w:rsidR="00384481">
        <w:t>rgy (</w:t>
      </w:r>
      <w:proofErr w:type="spellStart"/>
      <w:r w:rsidR="00384481">
        <w:t>Chiarioni</w:t>
      </w:r>
      <w:proofErr w:type="spellEnd"/>
      <w:r w:rsidR="00384481">
        <w:t xml:space="preserve"> et al., 2006). </w:t>
      </w:r>
      <w:r w:rsidR="00BF4496">
        <w:t xml:space="preserve">Further to emission reduction process, the enhancement of climate change resilience requires </w:t>
      </w:r>
      <w:r w:rsidR="00EA0E42">
        <w:t>advanced pollution modelling forecasting for both emergency situations (Fabiano et al., 2017) and conventional environmental risk assessment</w:t>
      </w:r>
      <w:r w:rsidR="00444523">
        <w:t xml:space="preserve"> (</w:t>
      </w:r>
      <w:proofErr w:type="spellStart"/>
      <w:r w:rsidR="00444523">
        <w:t>Sikorova</w:t>
      </w:r>
      <w:proofErr w:type="spellEnd"/>
      <w:r w:rsidR="00444523">
        <w:t xml:space="preserve"> et al., 2017)</w:t>
      </w:r>
      <w:r w:rsidR="00EA0E42">
        <w:t>.</w:t>
      </w:r>
      <w:r w:rsidR="00023498">
        <w:t xml:space="preserve"> </w:t>
      </w:r>
      <w:r w:rsidR="00EA0E42">
        <w:t xml:space="preserve"> </w:t>
      </w:r>
      <w:r w:rsidR="003053A3">
        <w:t>T</w:t>
      </w:r>
      <w:r w:rsidR="003053A3" w:rsidRPr="003053A3">
        <w:t>wo different approaches</w:t>
      </w:r>
      <w:r w:rsidR="003053A3">
        <w:t xml:space="preserve"> can be sorted in air pollution modelling: the former relies on atmospheric dispersion modelling of</w:t>
      </w:r>
      <w:r w:rsidR="003053A3" w:rsidRPr="003053A3">
        <w:t xml:space="preserve"> pollutants </w:t>
      </w:r>
      <w:r w:rsidR="003053A3">
        <w:t>by simulating diffusive and transport mechanism</w:t>
      </w:r>
      <w:r w:rsidR="00B96ABC">
        <w:t xml:space="preserve"> (e.g. </w:t>
      </w:r>
      <w:proofErr w:type="spellStart"/>
      <w:r w:rsidR="00B96ABC">
        <w:t>Vairo</w:t>
      </w:r>
      <w:proofErr w:type="spellEnd"/>
      <w:r w:rsidR="00B96ABC">
        <w:t xml:space="preserve"> et al., 2014) and</w:t>
      </w:r>
      <w:r w:rsidR="003053A3">
        <w:t xml:space="preserve"> </w:t>
      </w:r>
      <w:r w:rsidR="000542D8">
        <w:t xml:space="preserve">once </w:t>
      </w:r>
      <w:r w:rsidR="00B96ABC">
        <w:t xml:space="preserve">correctly </w:t>
      </w:r>
      <w:r w:rsidR="000542D8">
        <w:t>defined source terms</w:t>
      </w:r>
      <w:r w:rsidR="003053A3">
        <w:t xml:space="preserve"> and </w:t>
      </w:r>
      <w:r w:rsidR="000542D8">
        <w:t>c</w:t>
      </w:r>
      <w:r w:rsidR="00B96ABC">
        <w:t>hemical processes involved, can be properly applied also to non-stationary sources (</w:t>
      </w:r>
      <w:proofErr w:type="spellStart"/>
      <w:r w:rsidR="00B96ABC">
        <w:t>Vairo</w:t>
      </w:r>
      <w:proofErr w:type="spellEnd"/>
      <w:r w:rsidR="00B96ABC">
        <w:t xml:space="preserve"> et al., 201</w:t>
      </w:r>
      <w:r w:rsidR="006E6C18">
        <w:t>7).</w:t>
      </w:r>
      <w:r w:rsidR="003053A3">
        <w:t xml:space="preserve"> The latter is based on </w:t>
      </w:r>
      <w:r w:rsidR="003053A3" w:rsidRPr="003053A3">
        <w:t>advanced statistical models, such as</w:t>
      </w:r>
      <w:r w:rsidR="000542D8">
        <w:t xml:space="preserve"> machine learning methodologies, e.g.</w:t>
      </w:r>
      <w:r w:rsidR="003053A3">
        <w:t xml:space="preserve"> </w:t>
      </w:r>
      <w:r w:rsidR="000542D8">
        <w:t xml:space="preserve">relying </w:t>
      </w:r>
      <w:r w:rsidR="005E7924">
        <w:t xml:space="preserve">on </w:t>
      </w:r>
      <w:r w:rsidR="000542D8">
        <w:t>statistical data elaboration from air monitoring networks.</w:t>
      </w:r>
      <w:r w:rsidR="005E7924">
        <w:t xml:space="preserve"> </w:t>
      </w:r>
    </w:p>
    <w:p w14:paraId="636779B7" w14:textId="73A6C43A" w:rsidR="00893FDC" w:rsidRPr="00B57B36" w:rsidRDefault="00893FDC" w:rsidP="00893FDC">
      <w:pPr>
        <w:pStyle w:val="CETTabletitle"/>
      </w:pPr>
      <w:r w:rsidRPr="00B57B36">
        <w:t xml:space="preserve">Table 1: </w:t>
      </w:r>
      <w:r w:rsidR="00200246">
        <w:t>Ozone</w:t>
      </w:r>
      <w:r w:rsidR="00505F21">
        <w:t xml:space="preserve"> </w:t>
      </w:r>
      <w:r w:rsidR="00D73C2F">
        <w:t>(O</w:t>
      </w:r>
      <w:r w:rsidR="00D73C2F" w:rsidRPr="00D73C2F">
        <w:rPr>
          <w:vertAlign w:val="subscript"/>
        </w:rPr>
        <w:t>3</w:t>
      </w:r>
      <w:r w:rsidR="00D73C2F">
        <w:t>)</w:t>
      </w:r>
      <w:r w:rsidR="00200246">
        <w:t xml:space="preserve"> reference values set down by</w:t>
      </w:r>
      <w:r w:rsidRPr="00893FDC">
        <w:t xml:space="preserve"> Italian legislation</w:t>
      </w:r>
      <w:r w:rsidR="00E305CA">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544"/>
        <w:gridCol w:w="5243"/>
      </w:tblGrid>
      <w:tr w:rsidR="00893FDC" w:rsidRPr="00B57B36" w14:paraId="11B19D1C" w14:textId="77777777" w:rsidTr="00E305CA">
        <w:tc>
          <w:tcPr>
            <w:tcW w:w="3544" w:type="dxa"/>
            <w:tcBorders>
              <w:top w:val="single" w:sz="12" w:space="0" w:color="008000"/>
              <w:bottom w:val="single" w:sz="6" w:space="0" w:color="008000"/>
            </w:tcBorders>
            <w:shd w:val="clear" w:color="auto" w:fill="FFFFFF"/>
          </w:tcPr>
          <w:p w14:paraId="13B54F41" w14:textId="58461A4F" w:rsidR="00893FDC" w:rsidRPr="00B57B36" w:rsidRDefault="00893FDC" w:rsidP="006B2D0C">
            <w:pPr>
              <w:pStyle w:val="CETBodytext"/>
              <w:rPr>
                <w:lang w:val="en-GB"/>
              </w:rPr>
            </w:pPr>
            <w:r>
              <w:rPr>
                <w:lang w:val="en-GB"/>
              </w:rPr>
              <w:t>Reference</w:t>
            </w:r>
            <w:r w:rsidRPr="00B57B36">
              <w:rPr>
                <w:lang w:val="en-GB"/>
              </w:rPr>
              <w:t xml:space="preserve"> </w:t>
            </w:r>
          </w:p>
        </w:tc>
        <w:tc>
          <w:tcPr>
            <w:tcW w:w="5243" w:type="dxa"/>
            <w:tcBorders>
              <w:top w:val="single" w:sz="12" w:space="0" w:color="008000"/>
              <w:bottom w:val="single" w:sz="6" w:space="0" w:color="008000"/>
            </w:tcBorders>
            <w:shd w:val="clear" w:color="auto" w:fill="FFFFFF"/>
          </w:tcPr>
          <w:p w14:paraId="2DAE2810" w14:textId="5580E9B9" w:rsidR="00893FDC" w:rsidRPr="00B57B36" w:rsidRDefault="00D73C2F" w:rsidP="00D73C2F">
            <w:pPr>
              <w:pStyle w:val="CETBodytext"/>
              <w:jc w:val="left"/>
              <w:rPr>
                <w:lang w:val="en-GB"/>
              </w:rPr>
            </w:pPr>
            <w:r>
              <w:rPr>
                <w:lang w:val="en-GB"/>
              </w:rPr>
              <w:t xml:space="preserve"> Ozone c</w:t>
            </w:r>
            <w:r w:rsidR="00893FDC">
              <w:rPr>
                <w:lang w:val="en-GB"/>
              </w:rPr>
              <w:t>oncentration</w:t>
            </w:r>
          </w:p>
        </w:tc>
      </w:tr>
      <w:tr w:rsidR="00893FDC" w:rsidRPr="00B57B36" w14:paraId="5CB01AC0" w14:textId="77777777" w:rsidTr="00E305CA">
        <w:tc>
          <w:tcPr>
            <w:tcW w:w="3544" w:type="dxa"/>
            <w:shd w:val="clear" w:color="auto" w:fill="FFFFFF"/>
          </w:tcPr>
          <w:p w14:paraId="65E4FC35" w14:textId="76B60A96" w:rsidR="00893FDC" w:rsidRPr="00B57B36" w:rsidRDefault="00893FDC" w:rsidP="00893FDC">
            <w:pPr>
              <w:pStyle w:val="CETBodytext"/>
              <w:rPr>
                <w:lang w:val="en-GB"/>
              </w:rPr>
            </w:pPr>
            <w:r w:rsidRPr="00893FDC">
              <w:rPr>
                <w:lang w:val="en-GB"/>
              </w:rPr>
              <w:t xml:space="preserve">Information </w:t>
            </w:r>
            <w:r>
              <w:rPr>
                <w:lang w:val="en-GB"/>
              </w:rPr>
              <w:t>threshold on the hourly average</w:t>
            </w:r>
          </w:p>
        </w:tc>
        <w:tc>
          <w:tcPr>
            <w:tcW w:w="5243" w:type="dxa"/>
            <w:shd w:val="clear" w:color="auto" w:fill="FFFFFF"/>
          </w:tcPr>
          <w:p w14:paraId="1CAC7092" w14:textId="61A2C947" w:rsidR="00893FDC" w:rsidRPr="00B57B36" w:rsidRDefault="00893FDC" w:rsidP="007345DC">
            <w:pPr>
              <w:pStyle w:val="CETBodytext"/>
              <w:jc w:val="left"/>
              <w:rPr>
                <w:lang w:val="en-GB"/>
              </w:rPr>
            </w:pPr>
            <w:r w:rsidRPr="00893FDC">
              <w:rPr>
                <w:lang w:val="en-GB"/>
              </w:rPr>
              <w:t xml:space="preserve">180 </w:t>
            </w:r>
            <w:proofErr w:type="spellStart"/>
            <w:r w:rsidRPr="00893FDC">
              <w:rPr>
                <w:lang w:val="en-GB"/>
              </w:rPr>
              <w:t>μg</w:t>
            </w:r>
            <w:proofErr w:type="spellEnd"/>
            <w:r w:rsidRPr="00893FDC">
              <w:rPr>
                <w:lang w:val="en-GB"/>
              </w:rPr>
              <w:t xml:space="preserve"> / m</w:t>
            </w:r>
            <w:r w:rsidRPr="00893FDC">
              <w:rPr>
                <w:vertAlign w:val="superscript"/>
                <w:lang w:val="en-GB"/>
              </w:rPr>
              <w:t>3</w:t>
            </w:r>
          </w:p>
        </w:tc>
      </w:tr>
      <w:tr w:rsidR="00893FDC" w:rsidRPr="00B57B36" w14:paraId="715FB1EE" w14:textId="77777777" w:rsidTr="00E305CA">
        <w:tc>
          <w:tcPr>
            <w:tcW w:w="3544" w:type="dxa"/>
            <w:shd w:val="clear" w:color="auto" w:fill="FFFFFF"/>
          </w:tcPr>
          <w:p w14:paraId="6F766B3B" w14:textId="68667BC5" w:rsidR="00893FDC" w:rsidRPr="00893FDC" w:rsidRDefault="00893FDC" w:rsidP="00893FDC">
            <w:pPr>
              <w:pStyle w:val="CETBodytext"/>
              <w:rPr>
                <w:lang w:val="en-GB"/>
              </w:rPr>
            </w:pPr>
            <w:r w:rsidRPr="00E367B7">
              <w:rPr>
                <w:lang w:val="en-GB"/>
              </w:rPr>
              <w:t>Alarm threshold on the hourly average</w:t>
            </w:r>
          </w:p>
        </w:tc>
        <w:tc>
          <w:tcPr>
            <w:tcW w:w="5243" w:type="dxa"/>
            <w:shd w:val="clear" w:color="auto" w:fill="FFFFFF"/>
          </w:tcPr>
          <w:p w14:paraId="2CFC97FE" w14:textId="7F39DC50" w:rsidR="00893FDC" w:rsidRPr="00893FDC" w:rsidRDefault="00893FDC" w:rsidP="007345DC">
            <w:pPr>
              <w:pStyle w:val="CETBodytext"/>
              <w:jc w:val="left"/>
              <w:rPr>
                <w:lang w:val="en-GB"/>
              </w:rPr>
            </w:pPr>
            <w:r w:rsidRPr="00893FDC">
              <w:rPr>
                <w:lang w:val="en-GB"/>
              </w:rPr>
              <w:t xml:space="preserve">240 </w:t>
            </w:r>
            <w:proofErr w:type="spellStart"/>
            <w:r w:rsidRPr="00893FDC">
              <w:rPr>
                <w:lang w:val="en-GB"/>
              </w:rPr>
              <w:t>μg</w:t>
            </w:r>
            <w:proofErr w:type="spellEnd"/>
            <w:r w:rsidRPr="00893FDC">
              <w:rPr>
                <w:lang w:val="en-GB"/>
              </w:rPr>
              <w:t xml:space="preserve"> / m</w:t>
            </w:r>
            <w:r w:rsidRPr="00893FDC">
              <w:rPr>
                <w:vertAlign w:val="superscript"/>
                <w:lang w:val="en-GB"/>
              </w:rPr>
              <w:t>3</w:t>
            </w:r>
            <w:r w:rsidRPr="00893FDC">
              <w:rPr>
                <w:lang w:val="en-GB"/>
              </w:rPr>
              <w:t xml:space="preserve"> for 3 consecutive hours</w:t>
            </w:r>
          </w:p>
        </w:tc>
      </w:tr>
      <w:tr w:rsidR="00893FDC" w:rsidRPr="00B57B36" w14:paraId="0E33AF7B" w14:textId="77777777" w:rsidTr="00E305CA">
        <w:tc>
          <w:tcPr>
            <w:tcW w:w="3544" w:type="dxa"/>
            <w:shd w:val="clear" w:color="auto" w:fill="FFFFFF"/>
          </w:tcPr>
          <w:p w14:paraId="5DAB3B90" w14:textId="60C8863C" w:rsidR="00893FDC" w:rsidRPr="00893FDC" w:rsidRDefault="00893FDC" w:rsidP="00893FDC">
            <w:pPr>
              <w:pStyle w:val="CETBodytext"/>
              <w:rPr>
                <w:lang w:val="en-GB"/>
              </w:rPr>
            </w:pPr>
            <w:r w:rsidRPr="00E367B7">
              <w:rPr>
                <w:lang w:val="en-GB"/>
              </w:rPr>
              <w:t>Target value</w:t>
            </w:r>
            <w:r w:rsidR="00E305CA">
              <w:rPr>
                <w:lang w:val="en-GB"/>
              </w:rPr>
              <w:t xml:space="preserve"> on </w:t>
            </w:r>
            <w:r w:rsidR="00EA5100">
              <w:rPr>
                <w:lang w:val="en-GB"/>
              </w:rPr>
              <w:t>8-hour</w:t>
            </w:r>
            <w:r w:rsidR="00E305CA">
              <w:rPr>
                <w:lang w:val="en-GB"/>
              </w:rPr>
              <w:t xml:space="preserve"> average</w:t>
            </w:r>
          </w:p>
        </w:tc>
        <w:tc>
          <w:tcPr>
            <w:tcW w:w="5243" w:type="dxa"/>
            <w:shd w:val="clear" w:color="auto" w:fill="FFFFFF"/>
          </w:tcPr>
          <w:p w14:paraId="0D18DF1A" w14:textId="570A4AC7" w:rsidR="00893FDC" w:rsidRPr="00893FDC" w:rsidRDefault="00893FDC" w:rsidP="007345DC">
            <w:pPr>
              <w:pStyle w:val="CETBodytext"/>
              <w:jc w:val="left"/>
              <w:rPr>
                <w:lang w:val="en-GB"/>
              </w:rPr>
            </w:pPr>
            <w:r w:rsidRPr="00893FDC">
              <w:rPr>
                <w:lang w:val="en-GB"/>
              </w:rPr>
              <w:t xml:space="preserve">120 </w:t>
            </w:r>
            <w:proofErr w:type="spellStart"/>
            <w:r w:rsidRPr="00893FDC">
              <w:rPr>
                <w:lang w:val="en-GB"/>
              </w:rPr>
              <w:t>μg</w:t>
            </w:r>
            <w:proofErr w:type="spellEnd"/>
            <w:r w:rsidRPr="00893FDC">
              <w:rPr>
                <w:lang w:val="en-GB"/>
              </w:rPr>
              <w:t xml:space="preserve"> / m</w:t>
            </w:r>
            <w:r w:rsidRPr="00893FDC">
              <w:rPr>
                <w:vertAlign w:val="superscript"/>
                <w:lang w:val="en-GB"/>
              </w:rPr>
              <w:t>3</w:t>
            </w:r>
            <w:r w:rsidR="00E305CA">
              <w:rPr>
                <w:lang w:val="en-GB"/>
              </w:rPr>
              <w:t xml:space="preserve"> as daily</w:t>
            </w:r>
            <w:r w:rsidRPr="00893FDC">
              <w:rPr>
                <w:lang w:val="en-GB"/>
              </w:rPr>
              <w:t>, not to be exceeded more than 25 times/y</w:t>
            </w:r>
          </w:p>
        </w:tc>
      </w:tr>
      <w:tr w:rsidR="00893FDC" w:rsidRPr="00B57B36" w14:paraId="002FF4E8" w14:textId="77777777" w:rsidTr="00E305CA">
        <w:tc>
          <w:tcPr>
            <w:tcW w:w="3544" w:type="dxa"/>
            <w:shd w:val="clear" w:color="auto" w:fill="FFFFFF"/>
          </w:tcPr>
          <w:p w14:paraId="51B3E17E" w14:textId="339F8167" w:rsidR="00893FDC" w:rsidRPr="00893FDC" w:rsidRDefault="00893FDC" w:rsidP="00893FDC">
            <w:pPr>
              <w:pStyle w:val="CETBodytext"/>
              <w:rPr>
                <w:lang w:val="en-GB"/>
              </w:rPr>
            </w:pPr>
            <w:r w:rsidRPr="00E367B7">
              <w:rPr>
                <w:lang w:val="en-GB"/>
              </w:rPr>
              <w:t>Long-term target value</w:t>
            </w:r>
            <w:r w:rsidR="00E305CA">
              <w:rPr>
                <w:lang w:val="en-GB"/>
              </w:rPr>
              <w:t xml:space="preserve"> on </w:t>
            </w:r>
            <w:r w:rsidR="00EA5100">
              <w:rPr>
                <w:lang w:val="en-GB"/>
              </w:rPr>
              <w:t>8-hour</w:t>
            </w:r>
            <w:r w:rsidR="00E305CA">
              <w:rPr>
                <w:lang w:val="en-GB"/>
              </w:rPr>
              <w:t xml:space="preserve"> </w:t>
            </w:r>
            <w:r w:rsidR="008A68E8">
              <w:rPr>
                <w:lang w:val="en-GB"/>
              </w:rPr>
              <w:t>a</w:t>
            </w:r>
            <w:r w:rsidR="00E305CA">
              <w:rPr>
                <w:lang w:val="en-GB"/>
              </w:rPr>
              <w:t>verage</w:t>
            </w:r>
          </w:p>
        </w:tc>
        <w:tc>
          <w:tcPr>
            <w:tcW w:w="5243" w:type="dxa"/>
            <w:shd w:val="clear" w:color="auto" w:fill="FFFFFF"/>
          </w:tcPr>
          <w:p w14:paraId="7CDE88B8" w14:textId="683E76CC" w:rsidR="00893FDC" w:rsidRPr="00893FDC" w:rsidRDefault="00893FDC" w:rsidP="007345DC">
            <w:pPr>
              <w:pStyle w:val="CETBodytext"/>
              <w:jc w:val="left"/>
              <w:rPr>
                <w:lang w:val="en-GB"/>
              </w:rPr>
            </w:pPr>
            <w:r w:rsidRPr="00893FDC">
              <w:rPr>
                <w:lang w:val="en-GB"/>
              </w:rPr>
              <w:t xml:space="preserve">20 </w:t>
            </w:r>
            <w:proofErr w:type="spellStart"/>
            <w:r w:rsidRPr="00893FDC">
              <w:rPr>
                <w:lang w:val="en-GB"/>
              </w:rPr>
              <w:t>μg</w:t>
            </w:r>
            <w:proofErr w:type="spellEnd"/>
            <w:r w:rsidRPr="00893FDC">
              <w:rPr>
                <w:lang w:val="en-GB"/>
              </w:rPr>
              <w:t xml:space="preserve"> / m</w:t>
            </w:r>
            <w:r w:rsidRPr="00893FDC">
              <w:rPr>
                <w:vertAlign w:val="superscript"/>
                <w:lang w:val="en-GB"/>
              </w:rPr>
              <w:t>3</w:t>
            </w:r>
            <w:r w:rsidR="00E305CA">
              <w:rPr>
                <w:lang w:val="en-GB"/>
              </w:rPr>
              <w:t xml:space="preserve"> as daily average</w:t>
            </w:r>
          </w:p>
        </w:tc>
      </w:tr>
    </w:tbl>
    <w:p w14:paraId="0D2D12B0" w14:textId="0439DD44" w:rsidR="00B73429" w:rsidRDefault="002C1C13" w:rsidP="00857C8F">
      <w:pPr>
        <w:pStyle w:val="CETnumberingbullets"/>
        <w:numPr>
          <w:ilvl w:val="0"/>
          <w:numId w:val="0"/>
        </w:numPr>
        <w:jc w:val="both"/>
      </w:pPr>
      <w:r>
        <w:lastRenderedPageBreak/>
        <w:t xml:space="preserve">As a matter of fact, analogously to the risk assessment domain, main improvement challenges are based on the application of machine learning techniques and big data exploitation (De </w:t>
      </w:r>
      <w:proofErr w:type="spellStart"/>
      <w:r>
        <w:t>Rademaeker</w:t>
      </w:r>
      <w:proofErr w:type="spellEnd"/>
      <w:r>
        <w:t xml:space="preserve"> et al., 2014). </w:t>
      </w:r>
      <w:r w:rsidR="000F74E8">
        <w:t>In this regard, predicting ability is strictly connected to spatial and time interpolation schemes, such as Multiple</w:t>
      </w:r>
      <w:r w:rsidR="000F74E8" w:rsidRPr="000542D8">
        <w:t xml:space="preserve"> Linear </w:t>
      </w:r>
      <w:r w:rsidR="000F74E8">
        <w:t xml:space="preserve">Regression (MLR), or Artificial Neural Network (ANN) for non-linear problems (e.g. Wand &amp; Quian, 2018). </w:t>
      </w:r>
      <w:r w:rsidR="00B029B0" w:rsidRPr="00B029B0">
        <w:t>Air pollution increases the risk o</w:t>
      </w:r>
      <w:r w:rsidR="00B029B0">
        <w:t>f respiratory and heart disease,</w:t>
      </w:r>
      <w:r w:rsidR="00B029B0" w:rsidRPr="00B029B0">
        <w:t xml:space="preserve"> </w:t>
      </w:r>
      <w:r w:rsidR="00B029B0">
        <w:t>being</w:t>
      </w:r>
      <w:r w:rsidR="00B029B0" w:rsidRPr="00B029B0">
        <w:t xml:space="preserve"> recognized as a major environmental and health risk. </w:t>
      </w:r>
      <w:r w:rsidR="00B029B0">
        <w:t xml:space="preserve">As amply known, </w:t>
      </w:r>
      <w:r w:rsidR="00D73C2F">
        <w:t>t</w:t>
      </w:r>
      <w:r w:rsidR="00B029B0" w:rsidRPr="00B029B0">
        <w:t>ropospheric ozone</w:t>
      </w:r>
      <w:r w:rsidR="00D73C2F">
        <w:t xml:space="preserve"> </w:t>
      </w:r>
      <w:r w:rsidR="00B029B0" w:rsidRPr="00B029B0">
        <w:t xml:space="preserve"> is a secondary pollutant, formed as a result of chemical reactions occurring in the atmosphere starting from the precursors (nitrogen oxides and volatile organic compounds), under high solar radiation level and elevated temperature conditions. </w:t>
      </w:r>
      <w:r w:rsidR="00D73C2F">
        <w:t>Ozone</w:t>
      </w:r>
      <w:r w:rsidR="00B73429">
        <w:t xml:space="preserve"> pollution is </w:t>
      </w:r>
      <w:r w:rsidR="00B029B0">
        <w:t xml:space="preserve">a </w:t>
      </w:r>
      <w:r w:rsidR="00B73429">
        <w:t>well relevant a</w:t>
      </w:r>
      <w:r w:rsidR="00B029B0">
        <w:t>nd</w:t>
      </w:r>
      <w:r w:rsidR="00B73429">
        <w:t xml:space="preserve"> characteristic phenomenon of the summer period</w:t>
      </w:r>
      <w:r w:rsidR="00B029B0">
        <w:t>, with t</w:t>
      </w:r>
      <w:r w:rsidR="00B73429">
        <w:t xml:space="preserve">he highest concentrations usually recorded </w:t>
      </w:r>
      <w:r w:rsidR="00D73C2F">
        <w:t>in the afternoon,</w:t>
      </w:r>
      <w:r w:rsidR="00B73429">
        <w:t xml:space="preserve"> in suburban areas placed leeward with respect to the main urban areas. The forecasting ability of well-developed data driven model can outperform the predictions attained by mechanistic models due to inherent approximations and uncertainties in the emission source estimation (</w:t>
      </w:r>
      <w:proofErr w:type="spellStart"/>
      <w:r w:rsidR="00B73429">
        <w:t>Cobourn</w:t>
      </w:r>
      <w:proofErr w:type="spellEnd"/>
      <w:r w:rsidR="00B73429">
        <w:t xml:space="preserve"> et al., 2010).</w:t>
      </w:r>
    </w:p>
    <w:p w14:paraId="4C73FE6D" w14:textId="35E2470F" w:rsidR="001548FD" w:rsidRPr="00B57B36" w:rsidRDefault="001548FD" w:rsidP="001548FD">
      <w:pPr>
        <w:pStyle w:val="CETTabletitle"/>
      </w:pPr>
      <w:r w:rsidRPr="00B57B36">
        <w:t xml:space="preserve">Table </w:t>
      </w:r>
      <w:r>
        <w:t>2</w:t>
      </w:r>
      <w:r w:rsidRPr="00B57B36">
        <w:t xml:space="preserve">: </w:t>
      </w:r>
      <w:r w:rsidR="00200246">
        <w:t>Exceeda</w:t>
      </w:r>
      <w:r w:rsidR="00E305CA">
        <w:t>nces of the target and long-term target values set out by legislation in the year 2018.</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60"/>
        <w:gridCol w:w="3118"/>
        <w:gridCol w:w="3827"/>
      </w:tblGrid>
      <w:tr w:rsidR="001548FD" w:rsidRPr="00B57B36" w14:paraId="7D7255D1" w14:textId="0413ECBD" w:rsidTr="001548FD">
        <w:tc>
          <w:tcPr>
            <w:tcW w:w="1560" w:type="dxa"/>
            <w:tcBorders>
              <w:top w:val="single" w:sz="12" w:space="0" w:color="008000"/>
              <w:bottom w:val="single" w:sz="6" w:space="0" w:color="008000"/>
            </w:tcBorders>
            <w:shd w:val="clear" w:color="auto" w:fill="FFFFFF"/>
          </w:tcPr>
          <w:p w14:paraId="18F4889F" w14:textId="23F1E7BB" w:rsidR="001548FD" w:rsidRPr="00B57B36" w:rsidRDefault="001548FD" w:rsidP="001548FD">
            <w:pPr>
              <w:pStyle w:val="CETBodytext"/>
              <w:rPr>
                <w:lang w:val="en-GB"/>
              </w:rPr>
            </w:pPr>
            <w:r>
              <w:t>Urban station</w:t>
            </w:r>
          </w:p>
        </w:tc>
        <w:tc>
          <w:tcPr>
            <w:tcW w:w="3118" w:type="dxa"/>
            <w:tcBorders>
              <w:top w:val="single" w:sz="12" w:space="0" w:color="008000"/>
              <w:bottom w:val="single" w:sz="6" w:space="0" w:color="008000"/>
            </w:tcBorders>
            <w:shd w:val="clear" w:color="auto" w:fill="FFFFFF"/>
          </w:tcPr>
          <w:p w14:paraId="7829FA40" w14:textId="462F4DC4" w:rsidR="001548FD" w:rsidRPr="00B57B36" w:rsidRDefault="00EA5100" w:rsidP="007345DC">
            <w:pPr>
              <w:pStyle w:val="CETBodytext"/>
              <w:jc w:val="center"/>
              <w:rPr>
                <w:lang w:val="en-GB"/>
              </w:rPr>
            </w:pPr>
            <w:r>
              <w:t>Target value</w:t>
            </w:r>
            <w:r w:rsidR="00E305CA">
              <w:t xml:space="preserve"> </w:t>
            </w:r>
            <w:r>
              <w:t>exceedances</w:t>
            </w:r>
            <w:r w:rsidR="00E305CA">
              <w:t xml:space="preserve"> [day]</w:t>
            </w:r>
          </w:p>
        </w:tc>
        <w:tc>
          <w:tcPr>
            <w:tcW w:w="3827" w:type="dxa"/>
            <w:tcBorders>
              <w:top w:val="single" w:sz="12" w:space="0" w:color="008000"/>
              <w:bottom w:val="single" w:sz="6" w:space="0" w:color="008000"/>
            </w:tcBorders>
            <w:shd w:val="clear" w:color="auto" w:fill="FFFFFF"/>
          </w:tcPr>
          <w:p w14:paraId="0B6DC97B" w14:textId="076EA4A5" w:rsidR="00E305CA" w:rsidRDefault="00E305CA" w:rsidP="007345DC">
            <w:pPr>
              <w:pStyle w:val="CETBodytext"/>
              <w:jc w:val="center"/>
              <w:rPr>
                <w:lang w:val="en-GB"/>
              </w:rPr>
            </w:pPr>
            <w:r>
              <w:t>L</w:t>
            </w:r>
            <w:r w:rsidR="001548FD">
              <w:t>ong-term target value</w:t>
            </w:r>
            <w:r>
              <w:t xml:space="preserve"> </w:t>
            </w:r>
            <w:r w:rsidR="00C03841">
              <w:t>exceeda</w:t>
            </w:r>
            <w:r w:rsidR="00EA5100">
              <w:t>nces</w:t>
            </w:r>
            <w:r>
              <w:t xml:space="preserve"> [day]</w:t>
            </w:r>
          </w:p>
        </w:tc>
      </w:tr>
      <w:tr w:rsidR="001548FD" w:rsidRPr="00B57B36" w14:paraId="14971F81" w14:textId="0DD73DB7" w:rsidTr="001548FD">
        <w:tc>
          <w:tcPr>
            <w:tcW w:w="1560" w:type="dxa"/>
            <w:shd w:val="clear" w:color="auto" w:fill="FFFFFF"/>
          </w:tcPr>
          <w:p w14:paraId="26533AC6" w14:textId="03AC04B7" w:rsidR="001548FD" w:rsidRPr="00B57B36" w:rsidRDefault="001548FD" w:rsidP="001548FD">
            <w:pPr>
              <w:pStyle w:val="CETBodytext"/>
              <w:rPr>
                <w:lang w:val="en-GB"/>
              </w:rPr>
            </w:pPr>
            <w:r>
              <w:t>Quarto</w:t>
            </w:r>
          </w:p>
        </w:tc>
        <w:tc>
          <w:tcPr>
            <w:tcW w:w="3118" w:type="dxa"/>
            <w:shd w:val="clear" w:color="auto" w:fill="FFFFFF"/>
          </w:tcPr>
          <w:p w14:paraId="62027D8B" w14:textId="2BE7840F" w:rsidR="001548FD" w:rsidRPr="00B57B36" w:rsidRDefault="001548FD" w:rsidP="007345DC">
            <w:pPr>
              <w:pStyle w:val="CETBodytext"/>
              <w:jc w:val="center"/>
              <w:rPr>
                <w:lang w:val="en-GB"/>
              </w:rPr>
            </w:pPr>
            <w:r>
              <w:t>69</w:t>
            </w:r>
          </w:p>
        </w:tc>
        <w:tc>
          <w:tcPr>
            <w:tcW w:w="3827" w:type="dxa"/>
            <w:shd w:val="clear" w:color="auto" w:fill="FFFFFF"/>
          </w:tcPr>
          <w:p w14:paraId="15675AA4" w14:textId="13589FCB" w:rsidR="001548FD" w:rsidRPr="00893FDC" w:rsidRDefault="001548FD" w:rsidP="007345DC">
            <w:pPr>
              <w:pStyle w:val="CETBodytext"/>
              <w:jc w:val="center"/>
              <w:rPr>
                <w:lang w:val="en-GB"/>
              </w:rPr>
            </w:pPr>
            <w:r>
              <w:t>6</w:t>
            </w:r>
          </w:p>
        </w:tc>
      </w:tr>
      <w:tr w:rsidR="001548FD" w:rsidRPr="00B57B36" w14:paraId="72BC0661" w14:textId="390D1228" w:rsidTr="001548FD">
        <w:tc>
          <w:tcPr>
            <w:tcW w:w="1560" w:type="dxa"/>
            <w:shd w:val="clear" w:color="auto" w:fill="FFFFFF"/>
          </w:tcPr>
          <w:p w14:paraId="04A061D2" w14:textId="0F73A0E3" w:rsidR="001548FD" w:rsidRPr="00893FDC" w:rsidRDefault="001548FD" w:rsidP="001548FD">
            <w:pPr>
              <w:pStyle w:val="CETBodytext"/>
              <w:rPr>
                <w:lang w:val="en-GB"/>
              </w:rPr>
            </w:pPr>
            <w:r>
              <w:t>Corso Firenze</w:t>
            </w:r>
          </w:p>
        </w:tc>
        <w:tc>
          <w:tcPr>
            <w:tcW w:w="3118" w:type="dxa"/>
            <w:shd w:val="clear" w:color="auto" w:fill="FFFFFF"/>
          </w:tcPr>
          <w:p w14:paraId="17D5737B" w14:textId="0E56A3A1" w:rsidR="001548FD" w:rsidRPr="00893FDC" w:rsidRDefault="001548FD" w:rsidP="007345DC">
            <w:pPr>
              <w:pStyle w:val="CETBodytext"/>
              <w:jc w:val="center"/>
              <w:rPr>
                <w:lang w:val="en-GB"/>
              </w:rPr>
            </w:pPr>
            <w:r>
              <w:t>52</w:t>
            </w:r>
          </w:p>
        </w:tc>
        <w:tc>
          <w:tcPr>
            <w:tcW w:w="3827" w:type="dxa"/>
            <w:shd w:val="clear" w:color="auto" w:fill="FFFFFF"/>
          </w:tcPr>
          <w:p w14:paraId="457E546F" w14:textId="49F6FCD2" w:rsidR="001548FD" w:rsidRPr="00893FDC" w:rsidRDefault="001548FD" w:rsidP="007345DC">
            <w:pPr>
              <w:pStyle w:val="CETBodytext"/>
              <w:jc w:val="center"/>
              <w:rPr>
                <w:lang w:val="en-GB"/>
              </w:rPr>
            </w:pPr>
            <w:r>
              <w:t>9</w:t>
            </w:r>
          </w:p>
        </w:tc>
      </w:tr>
      <w:tr w:rsidR="001548FD" w:rsidRPr="00B57B36" w14:paraId="010E007C" w14:textId="1A7A003E" w:rsidTr="001548FD">
        <w:tc>
          <w:tcPr>
            <w:tcW w:w="1560" w:type="dxa"/>
            <w:shd w:val="clear" w:color="auto" w:fill="FFFFFF"/>
          </w:tcPr>
          <w:p w14:paraId="324DA921" w14:textId="4CEDBFAD" w:rsidR="001548FD" w:rsidRPr="00893FDC" w:rsidRDefault="001548FD" w:rsidP="001548FD">
            <w:pPr>
              <w:pStyle w:val="CETBodytext"/>
              <w:rPr>
                <w:lang w:val="en-GB"/>
              </w:rPr>
            </w:pPr>
            <w:r>
              <w:t xml:space="preserve">Parco </w:t>
            </w:r>
            <w:proofErr w:type="spellStart"/>
            <w:r>
              <w:t>Acquasola</w:t>
            </w:r>
            <w:proofErr w:type="spellEnd"/>
          </w:p>
        </w:tc>
        <w:tc>
          <w:tcPr>
            <w:tcW w:w="3118" w:type="dxa"/>
            <w:shd w:val="clear" w:color="auto" w:fill="FFFFFF"/>
          </w:tcPr>
          <w:p w14:paraId="685E346C" w14:textId="42980A8B" w:rsidR="001548FD" w:rsidRPr="00893FDC" w:rsidRDefault="001548FD" w:rsidP="007345DC">
            <w:pPr>
              <w:pStyle w:val="CETBodytext"/>
              <w:jc w:val="center"/>
              <w:rPr>
                <w:lang w:val="en-GB"/>
              </w:rPr>
            </w:pPr>
            <w:r>
              <w:t>108</w:t>
            </w:r>
          </w:p>
        </w:tc>
        <w:tc>
          <w:tcPr>
            <w:tcW w:w="3827" w:type="dxa"/>
            <w:shd w:val="clear" w:color="auto" w:fill="FFFFFF"/>
          </w:tcPr>
          <w:p w14:paraId="5567FCCD" w14:textId="234DE878" w:rsidR="001548FD" w:rsidRPr="00893FDC" w:rsidRDefault="001548FD" w:rsidP="007345DC">
            <w:pPr>
              <w:pStyle w:val="CETBodytext"/>
              <w:jc w:val="center"/>
              <w:rPr>
                <w:lang w:val="en-GB"/>
              </w:rPr>
            </w:pPr>
            <w:r>
              <w:t>89</w:t>
            </w:r>
          </w:p>
        </w:tc>
      </w:tr>
    </w:tbl>
    <w:p w14:paraId="3EEE0649" w14:textId="77777777" w:rsidR="001548FD" w:rsidRDefault="001548FD" w:rsidP="00893FDC">
      <w:pPr>
        <w:pStyle w:val="CETnumberingbullets"/>
        <w:numPr>
          <w:ilvl w:val="0"/>
          <w:numId w:val="0"/>
        </w:numPr>
        <w:ind w:left="113"/>
      </w:pPr>
    </w:p>
    <w:p w14:paraId="31822276" w14:textId="0FD545AC" w:rsidR="001548FD" w:rsidRPr="002A0ED1" w:rsidRDefault="00490F14" w:rsidP="00FB77A8">
      <w:pPr>
        <w:pStyle w:val="CETnumberingbullets"/>
        <w:numPr>
          <w:ilvl w:val="0"/>
          <w:numId w:val="0"/>
        </w:numPr>
        <w:jc w:val="both"/>
      </w:pPr>
      <w:r w:rsidRPr="00490F14">
        <w:t xml:space="preserve">The legislative reference values for health protection in the Italian legislation, in terms of non-compliance limits are summarized in Table 1. </w:t>
      </w:r>
      <w:r w:rsidR="00D3063E">
        <w:t>T</w:t>
      </w:r>
      <w:r w:rsidR="00D3063E" w:rsidRPr="00893FDC">
        <w:t>able</w:t>
      </w:r>
      <w:r w:rsidR="00D3063E">
        <w:t xml:space="preserve"> 2 summarizes</w:t>
      </w:r>
      <w:r w:rsidR="00D3063E" w:rsidRPr="00893FDC">
        <w:t xml:space="preserve"> the number of days of</w:t>
      </w:r>
      <w:r w:rsidR="00D3063E">
        <w:t xml:space="preserve"> the year 2018</w:t>
      </w:r>
      <w:r w:rsidR="00D3063E" w:rsidRPr="00893FDC">
        <w:t xml:space="preserve"> exceeding the target value and the long-term target </w:t>
      </w:r>
      <w:r w:rsidR="00D3063E">
        <w:t>value, experimentally obtained by the monitoring network (</w:t>
      </w:r>
      <w:proofErr w:type="spellStart"/>
      <w:r w:rsidR="00D3063E">
        <w:t>Regione</w:t>
      </w:r>
      <w:proofErr w:type="spellEnd"/>
      <w:r w:rsidR="00D3063E">
        <w:t xml:space="preserve"> Liguria, 2018).</w:t>
      </w:r>
      <w:r w:rsidR="00B73429">
        <w:t xml:space="preserve"> </w:t>
      </w:r>
      <w:r w:rsidR="001548FD">
        <w:t>The main operational tools for air quality planning are monitoring systems and the regional inventory of emissions with indications on the regulatory framework. In order to plan useful actions for achieving environmental objectives, it is important to have reliable forecasting tools. The focus of this work is to evaluate</w:t>
      </w:r>
      <w:r w:rsidR="00D87768">
        <w:t xml:space="preserve"> the results that advanced</w:t>
      </w:r>
      <w:r w:rsidR="001548FD">
        <w:t xml:space="preserve"> data analysis techniques (i.e. proper regulariz</w:t>
      </w:r>
      <w:r w:rsidR="00CC418F">
        <w:t xml:space="preserve">ation, data </w:t>
      </w:r>
      <w:r w:rsidR="00D3063E">
        <w:t>pre-treatments</w:t>
      </w:r>
      <w:r w:rsidR="00CC418F">
        <w:t>)</w:t>
      </w:r>
      <w:r w:rsidR="001548FD">
        <w:t xml:space="preserve"> </w:t>
      </w:r>
      <w:r w:rsidR="00CC418F">
        <w:t>coupled with a learning algorithm framework can</w:t>
      </w:r>
      <w:r w:rsidR="001548FD">
        <w:t xml:space="preserve"> achieve </w:t>
      </w:r>
      <w:r w:rsidR="00CC418F">
        <w:t>in</w:t>
      </w:r>
      <w:r w:rsidR="001548FD">
        <w:t xml:space="preserve"> reliable forecasting </w:t>
      </w:r>
      <w:r w:rsidR="00632274">
        <w:t>ozone concentrations.</w:t>
      </w:r>
      <w:r w:rsidR="00D87768">
        <w:t xml:space="preserve"> Focusing on trend forecasting, the rem</w:t>
      </w:r>
      <w:r w:rsidR="00D73C2F">
        <w:t>a</w:t>
      </w:r>
      <w:r w:rsidR="00D87768">
        <w:t xml:space="preserve">inder of this paper is as follows. Section 2 describes the methodology </w:t>
      </w:r>
      <w:r w:rsidR="002B3D26">
        <w:t xml:space="preserve">including modelling dataset and learning model, </w:t>
      </w:r>
      <w:r w:rsidR="00D87768">
        <w:t>Section 3</w:t>
      </w:r>
      <w:r w:rsidR="002B3D26">
        <w:t xml:space="preserve"> </w:t>
      </w:r>
      <w:r w:rsidR="00D87768">
        <w:t>presents the data</w:t>
      </w:r>
      <w:r w:rsidR="002C1C13">
        <w:t xml:space="preserve"> statistics</w:t>
      </w:r>
      <w:r w:rsidR="00D87768">
        <w:t xml:space="preserve"> and the forecasting results</w:t>
      </w:r>
      <w:r w:rsidR="002A0ED1" w:rsidRPr="002A0ED1">
        <w:t xml:space="preserve"> with descriptions of contributions made</w:t>
      </w:r>
      <w:r w:rsidR="002B3D26">
        <w:t xml:space="preserve">, while </w:t>
      </w:r>
      <w:r w:rsidR="002A0ED1">
        <w:t xml:space="preserve">in Section 4 </w:t>
      </w:r>
      <w:r w:rsidR="002B3D26">
        <w:t>conclusions are drawn</w:t>
      </w:r>
      <w:r w:rsidR="002C1C13">
        <w:t>,</w:t>
      </w:r>
      <w:r w:rsidR="002A0ED1">
        <w:t xml:space="preserve"> with </w:t>
      </w:r>
      <w:r w:rsidR="002A0ED1" w:rsidRPr="002A0ED1">
        <w:t>the strengths of</w:t>
      </w:r>
      <w:r w:rsidR="002A0ED1">
        <w:t xml:space="preserve"> </w:t>
      </w:r>
      <w:r w:rsidR="002A0ED1" w:rsidRPr="002A0ED1">
        <w:t>the proposed technique and future work.</w:t>
      </w:r>
    </w:p>
    <w:p w14:paraId="4396BE03" w14:textId="34A2C4BE" w:rsidR="001548FD" w:rsidRPr="001548FD" w:rsidRDefault="001548FD" w:rsidP="00145A48">
      <w:pPr>
        <w:pStyle w:val="CETHeading1"/>
        <w:ind w:left="0"/>
      </w:pPr>
      <w:r w:rsidRPr="001548FD">
        <w:t>Methodology</w:t>
      </w:r>
    </w:p>
    <w:p w14:paraId="4BD91002" w14:textId="5BB83B6C" w:rsidR="001548FD" w:rsidRDefault="001548FD" w:rsidP="00D87768">
      <w:pPr>
        <w:pStyle w:val="CETheadingx"/>
      </w:pPr>
      <w:r w:rsidRPr="001548FD">
        <w:t>Data collection and preprocessing</w:t>
      </w:r>
    </w:p>
    <w:p w14:paraId="05B0E415" w14:textId="500C4FB7" w:rsidR="001548FD" w:rsidRDefault="004A3934" w:rsidP="008077A2">
      <w:pPr>
        <w:pStyle w:val="CETnumberingbullets"/>
        <w:numPr>
          <w:ilvl w:val="0"/>
          <w:numId w:val="0"/>
        </w:numPr>
        <w:jc w:val="both"/>
      </w:pPr>
      <w:r>
        <w:t xml:space="preserve">In this paper, </w:t>
      </w:r>
      <w:r w:rsidR="00D73C2F">
        <w:t xml:space="preserve">we consider </w:t>
      </w:r>
      <w:r>
        <w:t xml:space="preserve">air quality and meteorological data measured in the urban area of the town of </w:t>
      </w:r>
      <w:r w:rsidR="00EA5100">
        <w:t>Genoa</w:t>
      </w:r>
      <w:r>
        <w:t xml:space="preserve"> (Italy) </w:t>
      </w:r>
      <w:r w:rsidR="00D73C2F">
        <w:t>over</w:t>
      </w:r>
      <w:r>
        <w:t xml:space="preserve"> the time span </w:t>
      </w:r>
      <w:r w:rsidR="00D73C2F">
        <w:t xml:space="preserve">May 2015- December </w:t>
      </w:r>
      <w:r w:rsidR="001548FD">
        <w:t>2018</w:t>
      </w:r>
      <w:r>
        <w:t>. Raw data were</w:t>
      </w:r>
      <w:r w:rsidR="001548FD">
        <w:t xml:space="preserve"> obtained for the </w:t>
      </w:r>
      <w:r w:rsidR="00D3063E">
        <w:t>three</w:t>
      </w:r>
      <w:r w:rsidR="001548FD">
        <w:t xml:space="preserve"> metropolitan zones</w:t>
      </w:r>
      <w:r w:rsidR="00CF42E2">
        <w:t xml:space="preserve"> of Genoa (Italy)</w:t>
      </w:r>
      <w:r w:rsidR="004C61C2">
        <w:t xml:space="preserve">, i.e.: </w:t>
      </w:r>
      <w:r w:rsidR="001548FD">
        <w:t>Quarto,</w:t>
      </w:r>
      <w:r w:rsidR="004C61C2">
        <w:t xml:space="preserve"> Corso Firenze, </w:t>
      </w:r>
      <w:r w:rsidR="00EA5100">
        <w:t xml:space="preserve">Parco </w:t>
      </w:r>
      <w:proofErr w:type="spellStart"/>
      <w:r w:rsidR="00EA5100">
        <w:t>Acquasola</w:t>
      </w:r>
      <w:proofErr w:type="spellEnd"/>
      <w:r w:rsidR="00EA5100">
        <w:t>,</w:t>
      </w:r>
      <w:r w:rsidR="001548FD">
        <w:t xml:space="preserve"> </w:t>
      </w:r>
      <w:r>
        <w:t>r</w:t>
      </w:r>
      <w:r w:rsidR="001548FD">
        <w:t xml:space="preserve">espectively. </w:t>
      </w:r>
      <w:r>
        <w:t>Upon validation, d</w:t>
      </w:r>
      <w:r w:rsidR="001548FD">
        <w:t xml:space="preserve">ata have been </w:t>
      </w:r>
      <w:r>
        <w:t xml:space="preserve">statistical elaborated </w:t>
      </w:r>
      <w:r w:rsidR="003E2E38">
        <w:t xml:space="preserve">on a </w:t>
      </w:r>
      <w:r w:rsidR="00EA5100">
        <w:t>daily</w:t>
      </w:r>
      <w:r w:rsidR="001548FD">
        <w:t xml:space="preserve"> </w:t>
      </w:r>
      <w:r w:rsidR="003E2E38">
        <w:t xml:space="preserve">basis. </w:t>
      </w:r>
      <w:r w:rsidR="00AD7956">
        <w:t>(</w:t>
      </w:r>
      <w:proofErr w:type="spellStart"/>
      <w:r w:rsidR="00AD7956">
        <w:t>Garcìa</w:t>
      </w:r>
      <w:proofErr w:type="spellEnd"/>
      <w:r w:rsidR="00AD7956">
        <w:t xml:space="preserve"> et al. 2011</w:t>
      </w:r>
      <w:r w:rsidR="001548FD">
        <w:t>). The following input variables has been considered:</w:t>
      </w:r>
    </w:p>
    <w:p w14:paraId="6E2A9EDE" w14:textId="3A904130" w:rsidR="001548FD" w:rsidRDefault="00256313" w:rsidP="008077A2">
      <w:pPr>
        <w:pStyle w:val="CETnumberingbullets"/>
        <w:numPr>
          <w:ilvl w:val="0"/>
          <w:numId w:val="25"/>
        </w:numPr>
        <w:ind w:left="426" w:hanging="284"/>
        <w:jc w:val="both"/>
      </w:pPr>
      <w:r>
        <w:t>Time</w:t>
      </w:r>
      <w:r w:rsidR="001548FD">
        <w:t xml:space="preserve"> variables: day of the year (</w:t>
      </w:r>
      <w:proofErr w:type="spellStart"/>
      <w:r w:rsidR="001548FD">
        <w:t>doy</w:t>
      </w:r>
      <w:proofErr w:type="spellEnd"/>
      <w:r w:rsidR="001548FD">
        <w:t>), day of the week (</w:t>
      </w:r>
      <w:proofErr w:type="spellStart"/>
      <w:r w:rsidR="001548FD">
        <w:t>dow</w:t>
      </w:r>
      <w:proofErr w:type="spellEnd"/>
      <w:r w:rsidR="001548FD">
        <w:t xml:space="preserve">), month. </w:t>
      </w:r>
    </w:p>
    <w:p w14:paraId="741D8F0D" w14:textId="65559C8F" w:rsidR="001548FD" w:rsidRDefault="00256313" w:rsidP="008077A2">
      <w:pPr>
        <w:pStyle w:val="CETnumberingbullets"/>
        <w:numPr>
          <w:ilvl w:val="0"/>
          <w:numId w:val="25"/>
        </w:numPr>
        <w:ind w:left="426" w:hanging="284"/>
        <w:jc w:val="both"/>
      </w:pPr>
      <w:r>
        <w:t>Meteorological</w:t>
      </w:r>
      <w:r w:rsidR="001548FD">
        <w:t xml:space="preserve"> variables (daily aggregate): mean sea level pressure (MSLP), solar radiation (SLHR, SSHR), temperature (TEMP), wind direction and speed (UWIND, VWIND, MOD) humidity (HUM) and rain (RAIN).</w:t>
      </w:r>
    </w:p>
    <w:p w14:paraId="2D05CED9" w14:textId="36E82E68" w:rsidR="001548FD" w:rsidRDefault="00256313" w:rsidP="008077A2">
      <w:pPr>
        <w:pStyle w:val="CETnumberingbullets"/>
        <w:numPr>
          <w:ilvl w:val="0"/>
          <w:numId w:val="25"/>
        </w:numPr>
        <w:ind w:left="426" w:hanging="284"/>
        <w:jc w:val="both"/>
      </w:pPr>
      <w:r>
        <w:t>Pollutants</w:t>
      </w:r>
      <w:r w:rsidR="001548FD">
        <w:t xml:space="preserve"> (daily aggregate): ozone (O</w:t>
      </w:r>
      <w:r w:rsidR="001548FD" w:rsidRPr="00656583">
        <w:rPr>
          <w:vertAlign w:val="subscript"/>
        </w:rPr>
        <w:t>3</w:t>
      </w:r>
      <w:r w:rsidR="001548FD">
        <w:t>) daily mean.</w:t>
      </w:r>
    </w:p>
    <w:p w14:paraId="52DD2EAD" w14:textId="6E4E6984" w:rsidR="001548FD" w:rsidRDefault="00256313" w:rsidP="008077A2">
      <w:pPr>
        <w:pStyle w:val="CETnumberingbullets"/>
        <w:numPr>
          <w:ilvl w:val="0"/>
          <w:numId w:val="25"/>
        </w:numPr>
        <w:ind w:left="426" w:hanging="284"/>
        <w:jc w:val="both"/>
      </w:pPr>
      <w:r>
        <w:t>Bank</w:t>
      </w:r>
      <w:r w:rsidR="001548FD">
        <w:t xml:space="preserve"> holiday information for each day (true or false) to consider the influence of holidays on </w:t>
      </w:r>
      <w:r w:rsidR="00B44F7C">
        <w:t>ozone</w:t>
      </w:r>
      <w:r w:rsidR="001548FD">
        <w:t xml:space="preserve"> concentration.</w:t>
      </w:r>
    </w:p>
    <w:p w14:paraId="45CC79B9" w14:textId="68ECE706" w:rsidR="001548FD" w:rsidRPr="001548FD" w:rsidRDefault="00D87768" w:rsidP="008077A2">
      <w:pPr>
        <w:pStyle w:val="CETnumberingbullets"/>
        <w:numPr>
          <w:ilvl w:val="0"/>
          <w:numId w:val="0"/>
        </w:numPr>
        <w:jc w:val="both"/>
      </w:pPr>
      <w:r>
        <w:t>As suggested by</w:t>
      </w:r>
      <w:r w:rsidR="00656583">
        <w:t xml:space="preserve"> </w:t>
      </w:r>
      <w:proofErr w:type="spellStart"/>
      <w:r w:rsidR="00656583">
        <w:t>Eapi</w:t>
      </w:r>
      <w:proofErr w:type="spellEnd"/>
      <w:r w:rsidR="00656583">
        <w:t xml:space="preserve"> et al. (2013</w:t>
      </w:r>
      <w:r>
        <w:t>,</w:t>
      </w:r>
      <w:r w:rsidR="00656583">
        <w:t xml:space="preserve">) </w:t>
      </w:r>
      <w:r w:rsidR="001548FD">
        <w:t>time variables</w:t>
      </w:r>
      <w:r w:rsidR="00F53782">
        <w:t xml:space="preserve"> </w:t>
      </w:r>
      <w:r w:rsidR="00490F14">
        <w:t>under heading</w:t>
      </w:r>
      <w:r w:rsidR="00AA6122">
        <w:t xml:space="preserve"> 1</w:t>
      </w:r>
      <w:r w:rsidR="00F53782">
        <w:t xml:space="preserve"> we</w:t>
      </w:r>
      <w:r w:rsidR="001548FD">
        <w:t>re assimilated via trigonometric functions</w:t>
      </w:r>
      <w:r w:rsidR="00490F14">
        <w:t>,</w:t>
      </w:r>
      <w:r w:rsidR="001548FD">
        <w:t xml:space="preserve"> in order to account for the cyclic nature of their impact.</w:t>
      </w:r>
      <w:r w:rsidR="00646E00">
        <w:t xml:space="preserve"> </w:t>
      </w:r>
      <w:r w:rsidR="001548FD">
        <w:t>The</w:t>
      </w:r>
      <w:r w:rsidR="00F53782">
        <w:t xml:space="preserve"> meteorological variables </w:t>
      </w:r>
      <w:r w:rsidR="00490F14">
        <w:t>under heading</w:t>
      </w:r>
      <w:r w:rsidR="00AA6122">
        <w:t xml:space="preserve"> 2</w:t>
      </w:r>
      <w:r w:rsidR="001548FD">
        <w:t xml:space="preserve"> have been summarized on a daily frequency </w:t>
      </w:r>
      <w:r w:rsidR="00490F14">
        <w:t>utilizing minimum, maximum</w:t>
      </w:r>
      <w:r w:rsidR="001548FD">
        <w:t>, average an</w:t>
      </w:r>
      <w:r>
        <w:t>d standard deviation functions.</w:t>
      </w:r>
      <w:r w:rsidR="00840C7D">
        <w:t xml:space="preserve"> </w:t>
      </w:r>
      <w:r w:rsidR="00F53782">
        <w:t>Additionally</w:t>
      </w:r>
      <w:r w:rsidR="001548FD">
        <w:t xml:space="preserve">, </w:t>
      </w:r>
      <w:r w:rsidR="00F53782">
        <w:t>in order to improve the prediction accuracy when forecasting ozone concentration by information correlation</w:t>
      </w:r>
      <w:r w:rsidR="001548FD">
        <w:t xml:space="preserve">, we have added redundant values to each row related to previous </w:t>
      </w:r>
      <w:r w:rsidR="00F53782">
        <w:t>time span</w:t>
      </w:r>
      <w:r w:rsidR="001548FD">
        <w:t xml:space="preserve"> (e.g. meteorological values from one day before or for one year before).</w:t>
      </w:r>
    </w:p>
    <w:p w14:paraId="7D906AC6" w14:textId="1AEC8A0C" w:rsidR="00DB3B80" w:rsidRDefault="00DB3B80" w:rsidP="008077A2">
      <w:pPr>
        <w:pStyle w:val="CETheadingx"/>
        <w:jc w:val="both"/>
      </w:pPr>
      <w:r>
        <w:t>Validation strategy</w:t>
      </w:r>
    </w:p>
    <w:p w14:paraId="69714D89" w14:textId="2D7DE98F" w:rsidR="00DB3B80" w:rsidRDefault="00256313" w:rsidP="00DB3B80">
      <w:pPr>
        <w:pStyle w:val="CETBodytext"/>
      </w:pPr>
      <w:r>
        <w:tab/>
      </w:r>
      <w:r w:rsidR="00DB3B80">
        <w:t>In accordance to the best practices for time series validation, we have cross validated</w:t>
      </w:r>
      <w:r w:rsidR="00E16F19">
        <w:t xml:space="preserve"> the</w:t>
      </w:r>
      <w:r w:rsidR="00DB3B80">
        <w:t xml:space="preserve"> </w:t>
      </w:r>
      <w:r w:rsidR="00490F14">
        <w:t xml:space="preserve">obtained </w:t>
      </w:r>
      <w:r w:rsidR="00DB3B80">
        <w:t>results</w:t>
      </w:r>
      <w:r w:rsidR="00AD53A1">
        <w:t>,</w:t>
      </w:r>
      <w:r w:rsidR="00DB3B80">
        <w:t xml:space="preserve"> </w:t>
      </w:r>
      <w:r w:rsidR="00490F14">
        <w:t>according to a customized</w:t>
      </w:r>
      <w:r w:rsidR="00DB3B80">
        <w:t xml:space="preserve"> a</w:t>
      </w:r>
      <w:r w:rsidR="00490F14">
        <w:t>nd accurate</w:t>
      </w:r>
      <w:r w:rsidR="00DB3B80">
        <w:t xml:space="preserve"> Walk-Forward approach</w:t>
      </w:r>
      <w:r w:rsidR="000D30DB">
        <w:t xml:space="preserve"> (Cao et al. 2003)</w:t>
      </w:r>
      <w:r w:rsidR="00E16F19">
        <w:t xml:space="preserve"> as detailed in the following.</w:t>
      </w:r>
    </w:p>
    <w:p w14:paraId="2CBCCD28" w14:textId="77777777" w:rsidR="00857C8F" w:rsidRPr="001548FD" w:rsidRDefault="00857C8F" w:rsidP="00857C8F">
      <w:pPr>
        <w:pStyle w:val="CETnumberingbullets"/>
        <w:numPr>
          <w:ilvl w:val="0"/>
          <w:numId w:val="0"/>
        </w:numPr>
        <w:ind w:left="340"/>
      </w:pPr>
    </w:p>
    <w:p w14:paraId="32561BEE" w14:textId="342E6A4E" w:rsidR="00DB3B80" w:rsidRDefault="00F47BDA" w:rsidP="008143FF">
      <w:pPr>
        <w:pStyle w:val="CETnumberingbullets"/>
        <w:keepNext/>
        <w:numPr>
          <w:ilvl w:val="0"/>
          <w:numId w:val="0"/>
        </w:numPr>
        <w:ind w:left="340" w:hanging="227"/>
      </w:pPr>
      <w:r>
        <w:object w:dxaOrig="9757" w:dyaOrig="5232" w14:anchorId="633FC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69.8pt" o:ole="">
            <v:imagedata r:id="rId11" o:title=""/>
          </v:shape>
          <o:OLEObject Type="Embed" ProgID="Visio.Drawing.15" ShapeID="_x0000_i1025" DrawAspect="Content" ObjectID="_1660378558" r:id="rId12"/>
        </w:object>
      </w:r>
    </w:p>
    <w:p w14:paraId="7F78B7DC" w14:textId="406CF7FB" w:rsidR="00DB3B80" w:rsidRDefault="00DB3B80" w:rsidP="008143FF">
      <w:pPr>
        <w:pStyle w:val="Didascalia"/>
        <w:spacing w:before="240" w:after="240"/>
        <w:jc w:val="left"/>
        <w:rPr>
          <w:b w:val="0"/>
          <w:bCs w:val="0"/>
          <w:i/>
          <w:color w:val="auto"/>
          <w:szCs w:val="20"/>
        </w:rPr>
      </w:pPr>
      <w:r w:rsidRPr="00DB3B80">
        <w:rPr>
          <w:b w:val="0"/>
          <w:bCs w:val="0"/>
          <w:i/>
          <w:color w:val="auto"/>
          <w:szCs w:val="20"/>
        </w:rPr>
        <w:t xml:space="preserve">Figure </w:t>
      </w:r>
      <w:r w:rsidR="009C484A">
        <w:rPr>
          <w:b w:val="0"/>
          <w:bCs w:val="0"/>
          <w:i/>
          <w:color w:val="auto"/>
          <w:szCs w:val="20"/>
        </w:rPr>
        <w:t>1</w:t>
      </w:r>
      <w:r w:rsidRPr="00DB3B80">
        <w:rPr>
          <w:b w:val="0"/>
          <w:bCs w:val="0"/>
          <w:i/>
          <w:color w:val="auto"/>
          <w:szCs w:val="20"/>
        </w:rPr>
        <w:t>: Validation</w:t>
      </w:r>
      <w:r w:rsidR="00F6026D">
        <w:rPr>
          <w:b w:val="0"/>
          <w:bCs w:val="0"/>
          <w:i/>
          <w:color w:val="auto"/>
          <w:szCs w:val="20"/>
        </w:rPr>
        <w:t xml:space="preserve"> results based on</w:t>
      </w:r>
      <w:r>
        <w:rPr>
          <w:b w:val="0"/>
          <w:bCs w:val="0"/>
          <w:i/>
          <w:color w:val="auto"/>
          <w:szCs w:val="20"/>
        </w:rPr>
        <w:t xml:space="preserve"> </w:t>
      </w:r>
      <w:r w:rsidR="009C484A">
        <w:rPr>
          <w:b w:val="0"/>
          <w:bCs w:val="0"/>
          <w:i/>
          <w:color w:val="auto"/>
          <w:szCs w:val="20"/>
        </w:rPr>
        <w:t xml:space="preserve">a </w:t>
      </w:r>
      <w:r w:rsidR="00F178E6" w:rsidRPr="00DB3B80">
        <w:rPr>
          <w:b w:val="0"/>
          <w:bCs w:val="0"/>
          <w:i/>
          <w:color w:val="auto"/>
          <w:szCs w:val="20"/>
        </w:rPr>
        <w:t xml:space="preserve">Walk-Forward </w:t>
      </w:r>
      <w:r w:rsidR="00F178E6">
        <w:rPr>
          <w:b w:val="0"/>
          <w:bCs w:val="0"/>
          <w:i/>
          <w:color w:val="auto"/>
          <w:szCs w:val="20"/>
        </w:rPr>
        <w:t>approach A.</w:t>
      </w:r>
    </w:p>
    <w:p w14:paraId="32025848" w14:textId="77777777" w:rsidR="009C484A" w:rsidRDefault="009C484A" w:rsidP="009C484A"/>
    <w:p w14:paraId="1F018405" w14:textId="66221A93" w:rsidR="009C484A" w:rsidRDefault="00F47BDA" w:rsidP="009C484A">
      <w:r w:rsidRPr="009C484A">
        <w:object w:dxaOrig="9757" w:dyaOrig="5232" w14:anchorId="6DFC500E">
          <v:shape id="_x0000_i1026" type="#_x0000_t75" style="width:319.8pt;height:170.4pt" o:ole="">
            <v:imagedata r:id="rId13" o:title=""/>
          </v:shape>
          <o:OLEObject Type="Embed" ProgID="Visio.Drawing.15" ShapeID="_x0000_i1026" DrawAspect="Content" ObjectID="_1660378559" r:id="rId14"/>
        </w:object>
      </w:r>
    </w:p>
    <w:p w14:paraId="183280B2" w14:textId="77777777" w:rsidR="009C484A" w:rsidRDefault="009C484A" w:rsidP="009C484A"/>
    <w:p w14:paraId="2D7DB6A9" w14:textId="306D467F" w:rsidR="009C484A" w:rsidRPr="00DB3B80" w:rsidRDefault="009C484A" w:rsidP="009C484A">
      <w:pPr>
        <w:pStyle w:val="Didascalia"/>
        <w:spacing w:before="240" w:after="240"/>
        <w:jc w:val="left"/>
        <w:rPr>
          <w:b w:val="0"/>
          <w:bCs w:val="0"/>
          <w:i/>
          <w:color w:val="auto"/>
          <w:szCs w:val="20"/>
        </w:rPr>
      </w:pPr>
      <w:r w:rsidRPr="00DB3B80">
        <w:rPr>
          <w:b w:val="0"/>
          <w:bCs w:val="0"/>
          <w:i/>
          <w:color w:val="auto"/>
          <w:szCs w:val="20"/>
        </w:rPr>
        <w:t xml:space="preserve">Figure </w:t>
      </w:r>
      <w:r w:rsidR="00EA5100">
        <w:rPr>
          <w:b w:val="0"/>
          <w:bCs w:val="0"/>
          <w:i/>
          <w:color w:val="auto"/>
          <w:szCs w:val="20"/>
        </w:rPr>
        <w:t>2</w:t>
      </w:r>
      <w:r w:rsidRPr="00DB3B80">
        <w:rPr>
          <w:b w:val="0"/>
          <w:bCs w:val="0"/>
          <w:i/>
          <w:color w:val="auto"/>
          <w:szCs w:val="20"/>
        </w:rPr>
        <w:t xml:space="preserve">: </w:t>
      </w:r>
      <w:r>
        <w:rPr>
          <w:b w:val="0"/>
          <w:bCs w:val="0"/>
          <w:i/>
          <w:color w:val="auto"/>
          <w:szCs w:val="20"/>
        </w:rPr>
        <w:t xml:space="preserve">Validation results based on a </w:t>
      </w:r>
      <w:r w:rsidRPr="00DB3B80">
        <w:rPr>
          <w:b w:val="0"/>
          <w:bCs w:val="0"/>
          <w:i/>
          <w:color w:val="auto"/>
          <w:szCs w:val="20"/>
        </w:rPr>
        <w:t xml:space="preserve">Walk-Forward </w:t>
      </w:r>
      <w:r>
        <w:rPr>
          <w:b w:val="0"/>
          <w:bCs w:val="0"/>
          <w:i/>
          <w:color w:val="auto"/>
          <w:szCs w:val="20"/>
        </w:rPr>
        <w:t>approach B.</w:t>
      </w:r>
    </w:p>
    <w:p w14:paraId="72ADB7D3" w14:textId="685320B4" w:rsidR="00F47BDA" w:rsidRDefault="002C1C13" w:rsidP="00F47BDA">
      <w:pPr>
        <w:pStyle w:val="CETBodytext"/>
      </w:pPr>
      <w:r w:rsidRPr="002C1C13">
        <w:t>This is an approach that allows achieving a robust estimation of the model performances, without leaking information from the training to the validation set shown as a general example in Fig</w:t>
      </w:r>
      <w:r w:rsidR="00145A48">
        <w:t>ure</w:t>
      </w:r>
      <w:r w:rsidRPr="002C1C13">
        <w:t xml:space="preserve"> 1</w:t>
      </w:r>
      <w:r w:rsidR="00505F21">
        <w:t xml:space="preserve">. </w:t>
      </w:r>
      <w:r w:rsidR="00F47BDA">
        <w:t>Each fold consists of the following sub-sets:</w:t>
      </w:r>
    </w:p>
    <w:p w14:paraId="0D71FC69" w14:textId="77777777" w:rsidR="00F47BDA" w:rsidRDefault="00F47BDA" w:rsidP="00F47BDA">
      <w:pPr>
        <w:pStyle w:val="CETnumberingbullets"/>
      </w:pPr>
      <w:r>
        <w:t>Training: contains data points belonging to the time interval from T</w:t>
      </w:r>
      <w:r w:rsidRPr="00DB3B80">
        <w:rPr>
          <w:vertAlign w:val="subscript"/>
        </w:rPr>
        <w:t>0</w:t>
      </w:r>
      <w:r>
        <w:t xml:space="preserve"> to T</w:t>
      </w:r>
      <w:r w:rsidRPr="00DB3B80">
        <w:rPr>
          <w:vertAlign w:val="subscript"/>
        </w:rPr>
        <w:t>t</w:t>
      </w:r>
      <w:r>
        <w:t xml:space="preserve"> (included), where T</w:t>
      </w:r>
      <w:r w:rsidRPr="00DB3B80">
        <w:rPr>
          <w:vertAlign w:val="subscript"/>
        </w:rPr>
        <w:t>0</w:t>
      </w:r>
      <w:r>
        <w:t xml:space="preserve">  is the oldest available data point and T</w:t>
      </w:r>
      <w:r w:rsidRPr="00DB3B80">
        <w:rPr>
          <w:vertAlign w:val="subscript"/>
        </w:rPr>
        <w:t xml:space="preserve">t </w:t>
      </w:r>
      <w:r>
        <w:t>– T</w:t>
      </w:r>
      <w:r w:rsidRPr="00DB3B80">
        <w:rPr>
          <w:vertAlign w:val="subscript"/>
        </w:rPr>
        <w:t>0</w:t>
      </w:r>
      <w:r>
        <w:t xml:space="preserve"> is a sufficient time interval to train the model on the problem</w:t>
      </w:r>
    </w:p>
    <w:p w14:paraId="68ED0B34" w14:textId="77777777" w:rsidR="00F47BDA" w:rsidRPr="00DB3B80" w:rsidRDefault="00F47BDA" w:rsidP="00F47BDA">
      <w:pPr>
        <w:pStyle w:val="CETnumberingbullets"/>
      </w:pPr>
      <w:r>
        <w:t>Validation: contains data points belonging to T</w:t>
      </w:r>
      <w:r w:rsidRPr="00DB3B80">
        <w:rPr>
          <w:vertAlign w:val="subscript"/>
        </w:rPr>
        <w:t>t+1</w:t>
      </w:r>
    </w:p>
    <w:p w14:paraId="68D3B988" w14:textId="77777777" w:rsidR="00F47BDA" w:rsidRPr="00DB3B80" w:rsidRDefault="00F47BDA" w:rsidP="00F47BDA">
      <w:pPr>
        <w:pStyle w:val="CETnumberingbullets"/>
      </w:pPr>
      <w:r>
        <w:t>Test: contains data points belonging to T</w:t>
      </w:r>
      <w:r>
        <w:rPr>
          <w:vertAlign w:val="subscript"/>
        </w:rPr>
        <w:t>t+2</w:t>
      </w:r>
    </w:p>
    <w:p w14:paraId="1D8188F9" w14:textId="77777777" w:rsidR="00F47BDA" w:rsidRPr="00857C8F" w:rsidRDefault="00F47BDA" w:rsidP="00F47BDA">
      <w:pPr>
        <w:pStyle w:val="CETnumberingbullets"/>
      </w:pPr>
      <w:r>
        <w:t>Unused: contains data points belonging to a time more recent than T</w:t>
      </w:r>
      <w:r w:rsidRPr="00DB3B80">
        <w:rPr>
          <w:vertAlign w:val="subscript"/>
        </w:rPr>
        <w:t>t+2</w:t>
      </w:r>
    </w:p>
    <w:p w14:paraId="32C02562" w14:textId="3B2D0BE8" w:rsidR="00490F14" w:rsidRDefault="00490F14" w:rsidP="008143FF">
      <w:r>
        <w:t xml:space="preserve">Validation data is used to perform early stopping of the learning process to identify when the model starts to overfit. When we use a single day to select the validation </w:t>
      </w:r>
      <w:r w:rsidR="00EA5100">
        <w:t>interval,</w:t>
      </w:r>
      <w:r>
        <w:t xml:space="preserve"> we have an increased variance due to, among other factors, a premature stopping of the training for an initial (random) fitness of the model to the small validation data.</w:t>
      </w:r>
      <w:r w:rsidR="00F178E6">
        <w:t xml:space="preserve"> </w:t>
      </w:r>
      <w:r>
        <w:t>In order to limit noise in the early stopping process (introduced by random good initial fit on such a small validation set) we tested two</w:t>
      </w:r>
      <w:r w:rsidR="00AA6122">
        <w:t xml:space="preserve"> strategy</w:t>
      </w:r>
      <w:r>
        <w:t xml:space="preserve"> implemen</w:t>
      </w:r>
      <w:r w:rsidR="00AA6122">
        <w:t>tations</w:t>
      </w:r>
      <w:r w:rsidR="00F178E6">
        <w:t>, as follows.</w:t>
      </w:r>
      <w:r w:rsidR="00CF408D">
        <w:t xml:space="preserve"> </w:t>
      </w:r>
      <w:r w:rsidR="00F178E6">
        <w:t xml:space="preserve">A validation scheme based on the selection of </w:t>
      </w:r>
      <w:r>
        <w:t>7 days interval for the validation set</w:t>
      </w:r>
      <w:r w:rsidR="00F178E6">
        <w:t>. As evidenced in Fi</w:t>
      </w:r>
      <w:r w:rsidR="00965379">
        <w:t>g. 1</w:t>
      </w:r>
      <w:r w:rsidR="00F178E6">
        <w:t>, s</w:t>
      </w:r>
      <w:r>
        <w:t>ince the model final performances are measured on the test set (whose interval is kept one-day long), we can introduce a small data leakage between the training and validation</w:t>
      </w:r>
      <w:r w:rsidR="00132915">
        <w:t>,</w:t>
      </w:r>
      <w:r w:rsidR="00F178E6">
        <w:t xml:space="preserve"> in order</w:t>
      </w:r>
      <w:r>
        <w:t xml:space="preserve"> to stabilize the validation score and the early stopping strategy.</w:t>
      </w:r>
      <w:r w:rsidR="00CF408D">
        <w:t xml:space="preserve"> </w:t>
      </w:r>
      <w:r>
        <w:tab/>
        <w:t>B.</w:t>
      </w:r>
      <w:r w:rsidR="00F178E6">
        <w:t xml:space="preserve"> validation scheme based on r</w:t>
      </w:r>
      <w:r>
        <w:t>unning a small number of training epochs without early stopping before the full training process</w:t>
      </w:r>
      <w:r w:rsidR="00132915">
        <w:t xml:space="preserve">. </w:t>
      </w:r>
      <w:r w:rsidR="00965379">
        <w:t>In this case, the resulting</w:t>
      </w:r>
      <w:r w:rsidR="00132915">
        <w:t xml:space="preserve"> trend </w:t>
      </w:r>
      <w:r w:rsidR="00965379">
        <w:t>will evidence a</w:t>
      </w:r>
      <w:r w:rsidR="00132915">
        <w:t xml:space="preserve"> “warm-up” step</w:t>
      </w:r>
      <w:r w:rsidR="00857C8F">
        <w:t xml:space="preserve"> (see F</w:t>
      </w:r>
      <w:r w:rsidR="00145A48">
        <w:t xml:space="preserve">igure </w:t>
      </w:r>
      <w:r w:rsidR="00965379">
        <w:t>2).</w:t>
      </w:r>
    </w:p>
    <w:p w14:paraId="56996EB9" w14:textId="6C6D3247" w:rsidR="001548FD" w:rsidRDefault="00DB3B80" w:rsidP="008143FF">
      <w:pPr>
        <w:pStyle w:val="CETheadingx"/>
        <w:spacing w:line="264" w:lineRule="auto"/>
      </w:pPr>
      <w:r>
        <w:lastRenderedPageBreak/>
        <w:t>Learning algorithm</w:t>
      </w:r>
    </w:p>
    <w:p w14:paraId="1A620FEF" w14:textId="1A6684C0" w:rsidR="002E26F6" w:rsidRPr="00490F14" w:rsidRDefault="00DB3B80" w:rsidP="002E26F6">
      <w:r>
        <w:t xml:space="preserve">We </w:t>
      </w:r>
      <w:r w:rsidR="00D87768">
        <w:t>selecte</w:t>
      </w:r>
      <w:r>
        <w:t xml:space="preserve">d a </w:t>
      </w:r>
      <w:r w:rsidR="00EA5100" w:rsidRPr="00DB3B80">
        <w:rPr>
          <w:i/>
        </w:rPr>
        <w:t>Light</w:t>
      </w:r>
      <w:r w:rsidR="00E16F19">
        <w:rPr>
          <w:i/>
        </w:rPr>
        <w:t xml:space="preserve"> </w:t>
      </w:r>
      <w:r w:rsidR="00EA5100" w:rsidRPr="00DB3B80">
        <w:rPr>
          <w:i/>
        </w:rPr>
        <w:t>GBM</w:t>
      </w:r>
      <w:r w:rsidR="00EA5100">
        <w:t xml:space="preserve"> model </w:t>
      </w:r>
      <w:r w:rsidR="00EA5100" w:rsidRPr="00D87768">
        <w:t>learning method</w:t>
      </w:r>
      <w:r w:rsidR="00D87768" w:rsidRPr="00D87768">
        <w:t xml:space="preserve"> mainly based on the Decis</w:t>
      </w:r>
      <w:r w:rsidR="00D87768">
        <w:t xml:space="preserve">ion Tree algorithm, </w:t>
      </w:r>
      <w:r w:rsidR="00EA5100">
        <w:t>and</w:t>
      </w:r>
      <w:r w:rsidR="00D87768" w:rsidRPr="00D87768">
        <w:t xml:space="preserve"> </w:t>
      </w:r>
      <w:r w:rsidR="00EA5100" w:rsidRPr="00D87768">
        <w:t>frequent</w:t>
      </w:r>
      <w:r w:rsidR="00EA5100">
        <w:t>ly used</w:t>
      </w:r>
      <w:r w:rsidR="00D87768">
        <w:t xml:space="preserve"> in classification tasks.</w:t>
      </w:r>
      <w:r w:rsidR="000D30DB">
        <w:t xml:space="preserve"> (Zhang et al.</w:t>
      </w:r>
      <w:r w:rsidR="00A47B38">
        <w:t>,</w:t>
      </w:r>
      <w:r w:rsidR="000D30DB">
        <w:t xml:space="preserve"> 2019)</w:t>
      </w:r>
      <w:r>
        <w:t xml:space="preserve">. </w:t>
      </w:r>
      <w:r w:rsidRPr="00DB3B80">
        <w:rPr>
          <w:i/>
        </w:rPr>
        <w:t>Light</w:t>
      </w:r>
      <w:r w:rsidR="00E16F19">
        <w:rPr>
          <w:i/>
        </w:rPr>
        <w:t xml:space="preserve"> </w:t>
      </w:r>
      <w:r w:rsidRPr="00DB3B80">
        <w:rPr>
          <w:i/>
        </w:rPr>
        <w:t>GBM</w:t>
      </w:r>
      <w:r>
        <w:t xml:space="preserve"> </w:t>
      </w:r>
      <w:r w:rsidR="00D87768">
        <w:t>is based on</w:t>
      </w:r>
      <w:r>
        <w:t xml:space="preserve"> a highly optimized library that performs very well </w:t>
      </w:r>
      <w:r w:rsidR="00EA5100">
        <w:t>in structured</w:t>
      </w:r>
      <w:r>
        <w:t xml:space="preserve">/tabular data problems, capable of </w:t>
      </w:r>
      <w:r w:rsidR="00EA5100">
        <w:t>gracefully managing</w:t>
      </w:r>
      <w:r>
        <w:t xml:space="preserve"> a mix of scalar and categorical variables</w:t>
      </w:r>
      <w:r w:rsidR="000D30DB">
        <w:t xml:space="preserve"> (</w:t>
      </w:r>
      <w:proofErr w:type="spellStart"/>
      <w:r w:rsidR="000D30DB">
        <w:t>Ke</w:t>
      </w:r>
      <w:proofErr w:type="spellEnd"/>
      <w:r w:rsidR="000D30DB">
        <w:t xml:space="preserve"> et al.</w:t>
      </w:r>
      <w:r w:rsidR="00A47B38">
        <w:t>,</w:t>
      </w:r>
      <w:r w:rsidR="000D30DB">
        <w:t xml:space="preserve"> 2017)</w:t>
      </w:r>
      <w:r>
        <w:t>.</w:t>
      </w:r>
      <w:r w:rsidR="00CC418F">
        <w:t xml:space="preserve"> </w:t>
      </w:r>
      <w:r w:rsidR="00CC418F" w:rsidRPr="00CC418F">
        <w:t xml:space="preserve">However, research on </w:t>
      </w:r>
      <w:r w:rsidR="00CC418F" w:rsidRPr="00A12EB4">
        <w:rPr>
          <w:i/>
        </w:rPr>
        <w:t>Light</w:t>
      </w:r>
      <w:r w:rsidR="00E16F19">
        <w:rPr>
          <w:i/>
        </w:rPr>
        <w:t xml:space="preserve"> </w:t>
      </w:r>
      <w:r w:rsidR="00CC418F" w:rsidRPr="00A12EB4">
        <w:rPr>
          <w:i/>
        </w:rPr>
        <w:t>GBM</w:t>
      </w:r>
      <w:r w:rsidR="00CC418F">
        <w:t xml:space="preserve"> application for</w:t>
      </w:r>
      <w:r w:rsidR="00CC418F" w:rsidRPr="00CC418F">
        <w:t xml:space="preserve"> spatial forecasting ability in the field of air quality is limited.</w:t>
      </w:r>
      <w:r w:rsidR="00097B94">
        <w:t xml:space="preserve"> It is noteworthy</w:t>
      </w:r>
      <w:r w:rsidR="00D87768">
        <w:t>,</w:t>
      </w:r>
      <w:r w:rsidR="00097B94">
        <w:t xml:space="preserve"> noting that t</w:t>
      </w:r>
      <w:r w:rsidR="00097B94" w:rsidRPr="00097B94">
        <w:t>he system used for data assimilation, construction and network learning, testing and validation, is completely based on an open source statistical processing software.</w:t>
      </w:r>
      <w:r w:rsidR="002E26F6">
        <w:t xml:space="preserve"> In the next chapter, the application of the validation schemes is thoroughly discussed</w:t>
      </w:r>
      <w:r w:rsidR="00E16F19">
        <w:t>,</w:t>
      </w:r>
      <w:r w:rsidR="002E26F6">
        <w:t xml:space="preserve"> </w:t>
      </w:r>
      <w:r w:rsidR="00E16F19">
        <w:t xml:space="preserve">in order to evidence </w:t>
      </w:r>
      <w:r w:rsidR="002E26F6">
        <w:t xml:space="preserve">how the newly built model reflects better fitting effect and predictive data feature. </w:t>
      </w:r>
    </w:p>
    <w:p w14:paraId="68D26B83" w14:textId="1682273D" w:rsidR="00600535" w:rsidRPr="00B57B36" w:rsidRDefault="00CF4215" w:rsidP="00145A48">
      <w:pPr>
        <w:pStyle w:val="CETHeading1"/>
        <w:ind w:left="0"/>
      </w:pPr>
      <w:r>
        <w:t>Results and discussion</w:t>
      </w:r>
    </w:p>
    <w:p w14:paraId="6B736956" w14:textId="649C0BBD" w:rsidR="00600535" w:rsidRDefault="00CF4215" w:rsidP="00CF4215">
      <w:pPr>
        <w:pStyle w:val="CETBodytext"/>
        <w:rPr>
          <w:lang w:val="en-GB"/>
        </w:rPr>
      </w:pPr>
      <w:r>
        <w:rPr>
          <w:lang w:val="en-GB"/>
        </w:rPr>
        <w:t>Several</w:t>
      </w:r>
      <w:r w:rsidRPr="00CF4215">
        <w:rPr>
          <w:lang w:val="en-GB"/>
        </w:rPr>
        <w:t xml:space="preserve"> run tests</w:t>
      </w:r>
      <w:r>
        <w:rPr>
          <w:lang w:val="en-GB"/>
        </w:rPr>
        <w:t xml:space="preserve"> were </w:t>
      </w:r>
      <w:r w:rsidR="00F53782">
        <w:rPr>
          <w:lang w:val="en-GB"/>
        </w:rPr>
        <w:t>performed</w:t>
      </w:r>
      <w:r w:rsidRPr="00CF4215">
        <w:rPr>
          <w:lang w:val="en-GB"/>
        </w:rPr>
        <w:t xml:space="preserve"> </w:t>
      </w:r>
      <w:r w:rsidR="00F53782">
        <w:rPr>
          <w:lang w:val="en-GB"/>
        </w:rPr>
        <w:t>according to a</w:t>
      </w:r>
      <w:r w:rsidRPr="00CF4215">
        <w:rPr>
          <w:lang w:val="en-GB"/>
        </w:rPr>
        <w:t xml:space="preserve"> wide Walk-Forward window </w:t>
      </w:r>
      <w:r w:rsidR="00F53782">
        <w:rPr>
          <w:lang w:val="en-GB"/>
        </w:rPr>
        <w:t xml:space="preserve">in order </w:t>
      </w:r>
      <w:r w:rsidRPr="00CF4215">
        <w:rPr>
          <w:lang w:val="en-GB"/>
        </w:rPr>
        <w:t>to test the model convergence and its dependence on the training data dimension.</w:t>
      </w:r>
      <w:r w:rsidR="00646E00">
        <w:rPr>
          <w:lang w:val="en-GB"/>
        </w:rPr>
        <w:t xml:space="preserve"> </w:t>
      </w:r>
      <w:r w:rsidRPr="00CF4215">
        <w:rPr>
          <w:lang w:val="en-GB"/>
        </w:rPr>
        <w:t xml:space="preserve">As </w:t>
      </w:r>
      <w:r w:rsidR="00AC221A">
        <w:rPr>
          <w:lang w:val="en-GB"/>
        </w:rPr>
        <w:t xml:space="preserve">clearly </w:t>
      </w:r>
      <w:r w:rsidRPr="00CF4215">
        <w:rPr>
          <w:lang w:val="en-GB"/>
        </w:rPr>
        <w:t>depicted in Figure 3</w:t>
      </w:r>
      <w:r w:rsidR="006C16FF">
        <w:rPr>
          <w:lang w:val="en-GB"/>
        </w:rPr>
        <w:t xml:space="preserve"> a</w:t>
      </w:r>
      <w:r w:rsidRPr="00CF4215">
        <w:rPr>
          <w:lang w:val="en-GB"/>
        </w:rPr>
        <w:t>, higher folds use a progressively smaller training</w:t>
      </w:r>
      <w:r w:rsidR="006C16FF">
        <w:rPr>
          <w:lang w:val="en-GB"/>
        </w:rPr>
        <w:t xml:space="preserve"> set: it provides an example of the performances in terms of Mean Absolute Error</w:t>
      </w:r>
      <w:r w:rsidRPr="00CF4215">
        <w:rPr>
          <w:lang w:val="en-GB"/>
        </w:rPr>
        <w:t xml:space="preserve"> on the validation and test sets across 300 folds. Validation and test data are quite noisy, but their average (in the interval Fold 0, Fold </w:t>
      </w:r>
      <w:proofErr w:type="spellStart"/>
      <w:r w:rsidRPr="00CF4215">
        <w:rPr>
          <w:lang w:val="en-GB"/>
        </w:rPr>
        <w:t>i</w:t>
      </w:r>
      <w:proofErr w:type="spellEnd"/>
      <w:r w:rsidRPr="00CF4215">
        <w:rPr>
          <w:lang w:val="en-GB"/>
        </w:rPr>
        <w:t>)</w:t>
      </w:r>
      <w:r w:rsidR="00F6026D">
        <w:rPr>
          <w:lang w:val="en-GB"/>
        </w:rPr>
        <w:t xml:space="preserve"> tends to converge. After nearly</w:t>
      </w:r>
      <w:r w:rsidRPr="00CF4215">
        <w:rPr>
          <w:lang w:val="en-GB"/>
        </w:rPr>
        <w:t xml:space="preserve"> 130 folds the model performances degrade slowly.</w:t>
      </w:r>
      <w:r w:rsidR="00F53782">
        <w:rPr>
          <w:lang w:val="en-GB"/>
        </w:rPr>
        <w:t xml:space="preserve"> The trend</w:t>
      </w:r>
      <w:r w:rsidRPr="00CF4215">
        <w:rPr>
          <w:lang w:val="en-GB"/>
        </w:rPr>
        <w:t xml:space="preserve"> is even more evident considering the Validation and Test moving averages (across the 20 Folds) for the same </w:t>
      </w:r>
      <w:r w:rsidR="006C16FF">
        <w:rPr>
          <w:lang w:val="en-GB"/>
        </w:rPr>
        <w:t>experiment depicted in Figure 3 b,</w:t>
      </w:r>
      <w:r w:rsidR="00D87768">
        <w:rPr>
          <w:lang w:val="en-GB"/>
        </w:rPr>
        <w:t xml:space="preserve"> evidencing that </w:t>
      </w:r>
      <w:r w:rsidRPr="00CF4215">
        <w:rPr>
          <w:lang w:val="en-GB"/>
        </w:rPr>
        <w:t xml:space="preserve">the model needs to be </w:t>
      </w:r>
      <w:r w:rsidR="00F178E6">
        <w:rPr>
          <w:lang w:val="en-GB"/>
        </w:rPr>
        <w:t xml:space="preserve">adequately </w:t>
      </w:r>
      <w:r w:rsidRPr="00CF4215">
        <w:rPr>
          <w:lang w:val="en-GB"/>
        </w:rPr>
        <w:t xml:space="preserve">trained with </w:t>
      </w:r>
      <w:r w:rsidR="00D87768" w:rsidRPr="00F6026D">
        <w:rPr>
          <w:lang w:val="en-GB"/>
        </w:rPr>
        <w:t>nearly 80%</w:t>
      </w:r>
      <w:r w:rsidR="00D87768" w:rsidRPr="00D87768">
        <w:rPr>
          <w:color w:val="FF0000"/>
          <w:lang w:val="en-GB"/>
        </w:rPr>
        <w:t xml:space="preserve"> </w:t>
      </w:r>
      <w:r w:rsidRPr="00D87768">
        <w:rPr>
          <w:color w:val="FF0000"/>
          <w:lang w:val="en-GB"/>
        </w:rPr>
        <w:t xml:space="preserve"> </w:t>
      </w:r>
      <w:r w:rsidRPr="00CF4215">
        <w:rPr>
          <w:lang w:val="en-GB"/>
        </w:rPr>
        <w:t>of the available data to reach top performances.</w:t>
      </w:r>
    </w:p>
    <w:p w14:paraId="6F4B4261" w14:textId="2D0E277B" w:rsidR="00CF4215" w:rsidRDefault="00CF4215" w:rsidP="00CF4215">
      <w:pPr>
        <w:pStyle w:val="CETBodytext"/>
        <w:keepNext/>
      </w:pPr>
      <w:r>
        <w:rPr>
          <w:noProof/>
          <w:lang w:val="it-IT" w:eastAsia="it-IT"/>
        </w:rPr>
        <w:drawing>
          <wp:inline distT="0" distB="0" distL="0" distR="0" wp14:anchorId="3E87AEF1" wp14:editId="63A57145">
            <wp:extent cx="2758440" cy="1842078"/>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6970" cy="1847774"/>
                    </a:xfrm>
                    <a:prstGeom prst="rect">
                      <a:avLst/>
                    </a:prstGeom>
                    <a:noFill/>
                    <a:ln>
                      <a:noFill/>
                    </a:ln>
                  </pic:spPr>
                </pic:pic>
              </a:graphicData>
            </a:graphic>
          </wp:inline>
        </w:drawing>
      </w:r>
      <w:r w:rsidR="006C16FF">
        <w:rPr>
          <w:noProof/>
          <w:lang w:val="it-IT" w:eastAsia="it-IT"/>
        </w:rPr>
        <w:drawing>
          <wp:inline distT="0" distB="0" distL="0" distR="0" wp14:anchorId="130D607E" wp14:editId="190825AA">
            <wp:extent cx="2772792" cy="1851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6010" cy="1853809"/>
                    </a:xfrm>
                    <a:prstGeom prst="rect">
                      <a:avLst/>
                    </a:prstGeom>
                    <a:noFill/>
                    <a:ln>
                      <a:noFill/>
                    </a:ln>
                  </pic:spPr>
                </pic:pic>
              </a:graphicData>
            </a:graphic>
          </wp:inline>
        </w:drawing>
      </w:r>
    </w:p>
    <w:p w14:paraId="536D945D" w14:textId="087005D5" w:rsidR="00CF4215" w:rsidRPr="00CF4215" w:rsidRDefault="00CF4215" w:rsidP="008143FF">
      <w:pPr>
        <w:pStyle w:val="Didascalia"/>
        <w:spacing w:before="240" w:after="240"/>
        <w:jc w:val="left"/>
        <w:rPr>
          <w:b w:val="0"/>
          <w:bCs w:val="0"/>
          <w:i/>
          <w:color w:val="auto"/>
          <w:szCs w:val="20"/>
        </w:rPr>
      </w:pPr>
      <w:r w:rsidRPr="00CF4215">
        <w:rPr>
          <w:b w:val="0"/>
          <w:bCs w:val="0"/>
          <w:i/>
          <w:color w:val="auto"/>
          <w:szCs w:val="20"/>
        </w:rPr>
        <w:t xml:space="preserve">Figure </w:t>
      </w:r>
      <w:r w:rsidRPr="00CF4215">
        <w:rPr>
          <w:b w:val="0"/>
          <w:bCs w:val="0"/>
          <w:i/>
          <w:color w:val="auto"/>
          <w:szCs w:val="20"/>
        </w:rPr>
        <w:fldChar w:fldCharType="begin"/>
      </w:r>
      <w:r w:rsidRPr="00CF4215">
        <w:rPr>
          <w:b w:val="0"/>
          <w:bCs w:val="0"/>
          <w:i/>
          <w:color w:val="auto"/>
          <w:szCs w:val="20"/>
        </w:rPr>
        <w:instrText xml:space="preserve"> SEQ Figure \* ARABIC </w:instrText>
      </w:r>
      <w:r w:rsidRPr="00CF4215">
        <w:rPr>
          <w:b w:val="0"/>
          <w:bCs w:val="0"/>
          <w:i/>
          <w:color w:val="auto"/>
          <w:szCs w:val="20"/>
        </w:rPr>
        <w:fldChar w:fldCharType="separate"/>
      </w:r>
      <w:r w:rsidR="00FF52ED">
        <w:rPr>
          <w:b w:val="0"/>
          <w:bCs w:val="0"/>
          <w:i/>
          <w:noProof/>
          <w:color w:val="auto"/>
          <w:szCs w:val="20"/>
        </w:rPr>
        <w:t>3</w:t>
      </w:r>
      <w:r w:rsidRPr="00CF4215">
        <w:rPr>
          <w:b w:val="0"/>
          <w:bCs w:val="0"/>
          <w:i/>
          <w:color w:val="auto"/>
          <w:szCs w:val="20"/>
        </w:rPr>
        <w:fldChar w:fldCharType="end"/>
      </w:r>
      <w:r w:rsidRPr="00CF4215">
        <w:rPr>
          <w:b w:val="0"/>
          <w:bCs w:val="0"/>
          <w:i/>
          <w:color w:val="auto"/>
          <w:szCs w:val="20"/>
        </w:rPr>
        <w:t xml:space="preserve">: </w:t>
      </w:r>
      <w:r w:rsidR="006C16FF">
        <w:rPr>
          <w:b w:val="0"/>
          <w:bCs w:val="0"/>
          <w:i/>
          <w:color w:val="auto"/>
          <w:szCs w:val="20"/>
        </w:rPr>
        <w:t xml:space="preserve">(a) </w:t>
      </w:r>
      <w:r w:rsidRPr="00CF4215">
        <w:rPr>
          <w:b w:val="0"/>
          <w:bCs w:val="0"/>
          <w:i/>
          <w:color w:val="auto"/>
          <w:szCs w:val="20"/>
        </w:rPr>
        <w:t xml:space="preserve">Model Performance by Fold </w:t>
      </w:r>
      <w:r w:rsidR="00A47B38" w:rsidRPr="00CF4215">
        <w:rPr>
          <w:b w:val="0"/>
          <w:bCs w:val="0"/>
          <w:i/>
          <w:color w:val="auto"/>
          <w:szCs w:val="20"/>
        </w:rPr>
        <w:t>Id</w:t>
      </w:r>
      <w:r w:rsidR="00A47B38">
        <w:rPr>
          <w:b w:val="0"/>
          <w:bCs w:val="0"/>
          <w:i/>
          <w:color w:val="auto"/>
          <w:szCs w:val="20"/>
        </w:rPr>
        <w:t>;</w:t>
      </w:r>
      <w:r w:rsidR="00AD53A1">
        <w:rPr>
          <w:b w:val="0"/>
          <w:bCs w:val="0"/>
          <w:i/>
          <w:color w:val="auto"/>
          <w:szCs w:val="20"/>
        </w:rPr>
        <w:t xml:space="preserve">                    </w:t>
      </w:r>
      <w:r w:rsidR="006C16FF">
        <w:rPr>
          <w:b w:val="0"/>
          <w:bCs w:val="0"/>
          <w:i/>
          <w:color w:val="auto"/>
          <w:szCs w:val="20"/>
        </w:rPr>
        <w:t xml:space="preserve"> (b)</w:t>
      </w:r>
      <w:r w:rsidRPr="00CF4215">
        <w:rPr>
          <w:b w:val="0"/>
          <w:bCs w:val="0"/>
          <w:i/>
          <w:color w:val="auto"/>
          <w:szCs w:val="20"/>
        </w:rPr>
        <w:t xml:space="preserve"> Model Performance by Fold Id - Moving Averages</w:t>
      </w:r>
    </w:p>
    <w:p w14:paraId="2DE19664" w14:textId="77777777" w:rsidR="00CF4215" w:rsidRDefault="00CF4215" w:rsidP="00CF4215">
      <w:pPr>
        <w:pStyle w:val="CETBodytext"/>
        <w:rPr>
          <w:lang w:val="en-GB"/>
        </w:rPr>
      </w:pPr>
    </w:p>
    <w:p w14:paraId="7EE02DBF" w14:textId="7ACFAE9A" w:rsidR="00646E00" w:rsidRDefault="00CF4215" w:rsidP="00B96ABC">
      <w:pPr>
        <w:pStyle w:val="CETBodytext"/>
        <w:rPr>
          <w:lang w:val="en-GB"/>
        </w:rPr>
      </w:pPr>
      <w:r w:rsidRPr="00CF4215">
        <w:rPr>
          <w:lang w:val="en-GB"/>
        </w:rPr>
        <w:t xml:space="preserve">The variation </w:t>
      </w:r>
      <w:r w:rsidR="00A47B38" w:rsidRPr="00CF4215">
        <w:rPr>
          <w:lang w:val="en-GB"/>
        </w:rPr>
        <w:t>a</w:t>
      </w:r>
      <w:r w:rsidRPr="00CF4215">
        <w:rPr>
          <w:lang w:val="en-GB"/>
        </w:rPr>
        <w:t xml:space="preserve"> </w:t>
      </w:r>
      <w:r w:rsidR="006C16FF">
        <w:rPr>
          <w:lang w:val="en-GB"/>
        </w:rPr>
        <w:t>in relation with</w:t>
      </w:r>
      <w:r w:rsidRPr="00CF4215">
        <w:rPr>
          <w:lang w:val="en-GB"/>
        </w:rPr>
        <w:t xml:space="preserve"> the </w:t>
      </w:r>
      <w:r w:rsidR="008143FF">
        <w:rPr>
          <w:lang w:val="en-GB"/>
        </w:rPr>
        <w:t>7 days-</w:t>
      </w:r>
      <w:r w:rsidRPr="00CF4215">
        <w:rPr>
          <w:lang w:val="en-GB"/>
        </w:rPr>
        <w:t xml:space="preserve">validation strategy </w:t>
      </w:r>
      <w:r w:rsidR="00085C96">
        <w:rPr>
          <w:lang w:val="en-GB"/>
        </w:rPr>
        <w:t>above</w:t>
      </w:r>
      <w:r w:rsidR="006C16FF">
        <w:rPr>
          <w:lang w:val="en-GB"/>
        </w:rPr>
        <w:t xml:space="preserve"> </w:t>
      </w:r>
      <w:r w:rsidRPr="00CF4215">
        <w:rPr>
          <w:lang w:val="en-GB"/>
        </w:rPr>
        <w:t xml:space="preserve">described </w:t>
      </w:r>
      <w:r w:rsidR="006C16FF">
        <w:rPr>
          <w:lang w:val="en-GB"/>
        </w:rPr>
        <w:t>allowed</w:t>
      </w:r>
      <w:r w:rsidRPr="00CF4215">
        <w:rPr>
          <w:lang w:val="en-GB"/>
        </w:rPr>
        <w:t xml:space="preserve"> stabilizing the</w:t>
      </w:r>
      <w:r w:rsidR="006C16FF">
        <w:rPr>
          <w:lang w:val="en-GB"/>
        </w:rPr>
        <w:t xml:space="preserve"> validation score</w:t>
      </w:r>
      <w:r w:rsidRPr="00CF4215">
        <w:rPr>
          <w:lang w:val="en-GB"/>
        </w:rPr>
        <w:t xml:space="preserve"> and increasing the test performance</w:t>
      </w:r>
      <w:r w:rsidR="00085C96">
        <w:rPr>
          <w:lang w:val="en-GB"/>
        </w:rPr>
        <w:t>, as shown in Fig</w:t>
      </w:r>
      <w:r w:rsidR="00145A48">
        <w:rPr>
          <w:lang w:val="en-GB"/>
        </w:rPr>
        <w:t>ure</w:t>
      </w:r>
      <w:r w:rsidR="00085C96">
        <w:rPr>
          <w:lang w:val="en-GB"/>
        </w:rPr>
        <w:t xml:space="preserve"> 4</w:t>
      </w:r>
      <w:r w:rsidR="006C16FF">
        <w:rPr>
          <w:lang w:val="en-GB"/>
        </w:rPr>
        <w:t xml:space="preserve"> a</w:t>
      </w:r>
      <w:r w:rsidR="00A47B38">
        <w:rPr>
          <w:lang w:val="en-GB"/>
        </w:rPr>
        <w:t>.</w:t>
      </w:r>
      <w:r w:rsidR="006C16FF" w:rsidRPr="006C16FF">
        <w:t xml:space="preserve"> </w:t>
      </w:r>
      <w:r w:rsidR="006C16FF">
        <w:t xml:space="preserve">Conversely, </w:t>
      </w:r>
      <w:r w:rsidR="00085C96">
        <w:t>t</w:t>
      </w:r>
      <w:r w:rsidR="006C16FF">
        <w:t xml:space="preserve">he variation B </w:t>
      </w:r>
      <w:r w:rsidR="00085C96">
        <w:t>according to</w:t>
      </w:r>
      <w:r w:rsidR="006C16FF">
        <w:t xml:space="preserve"> the validation </w:t>
      </w:r>
      <w:r w:rsidR="00EA5100">
        <w:t>strategy based</w:t>
      </w:r>
      <w:r w:rsidR="006C16FF">
        <w:t xml:space="preserve"> on a small training pre-run approach </w:t>
      </w:r>
      <w:r w:rsidR="00085C96">
        <w:t>previously outlined,</w:t>
      </w:r>
      <w:r w:rsidR="006C16FF">
        <w:t xml:space="preserve"> </w:t>
      </w:r>
      <w:r w:rsidR="00085C96">
        <w:t>was un-effective in</w:t>
      </w:r>
      <w:r w:rsidR="006C16FF">
        <w:t xml:space="preserve"> stabilizing the validation score but has provided the best overall test performance</w:t>
      </w:r>
      <w:r w:rsidR="00085C96">
        <w:t xml:space="preserve"> (see Fig. 4 b)</w:t>
      </w:r>
      <w:r w:rsidR="00B96ABC">
        <w:t>.</w:t>
      </w:r>
      <w:r w:rsidR="00B96ABC" w:rsidRPr="00B96ABC">
        <w:rPr>
          <w:lang w:val="en-GB"/>
        </w:rPr>
        <w:t xml:space="preserve"> </w:t>
      </w:r>
      <w:r w:rsidR="00F47BDA">
        <w:rPr>
          <w:lang w:val="en-GB"/>
        </w:rPr>
        <w:t>The model is sensitive to modelling data size and its performance degrades when data are too few. In order t</w:t>
      </w:r>
      <w:r w:rsidR="00F47BDA" w:rsidRPr="00CF4215">
        <w:rPr>
          <w:lang w:val="en-GB"/>
        </w:rPr>
        <w:t>o provide a reference point a naïve prediction has been performed using previous-day value as a prediction.</w:t>
      </w:r>
    </w:p>
    <w:p w14:paraId="14918C92" w14:textId="0E434E9F" w:rsidR="00CF4215" w:rsidRDefault="00CF4215" w:rsidP="00CF4215">
      <w:pPr>
        <w:pStyle w:val="CETBodytext"/>
        <w:keepNext/>
      </w:pPr>
      <w:r>
        <w:rPr>
          <w:noProof/>
          <w:lang w:val="it-IT" w:eastAsia="it-IT"/>
        </w:rPr>
        <w:drawing>
          <wp:inline distT="0" distB="0" distL="0" distR="0" wp14:anchorId="7C78F680" wp14:editId="6EA240C6">
            <wp:extent cx="2758440" cy="1842077"/>
            <wp:effectExtent l="0" t="0" r="381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0758" cy="1850303"/>
                    </a:xfrm>
                    <a:prstGeom prst="rect">
                      <a:avLst/>
                    </a:prstGeom>
                    <a:noFill/>
                    <a:ln>
                      <a:noFill/>
                    </a:ln>
                  </pic:spPr>
                </pic:pic>
              </a:graphicData>
            </a:graphic>
          </wp:inline>
        </w:drawing>
      </w:r>
      <w:r w:rsidR="006C16FF">
        <w:rPr>
          <w:noProof/>
          <w:lang w:val="it-IT" w:eastAsia="it-IT"/>
        </w:rPr>
        <w:drawing>
          <wp:inline distT="0" distB="0" distL="0" distR="0" wp14:anchorId="472BDCCA" wp14:editId="4B2FE5AA">
            <wp:extent cx="2804160" cy="18726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4160" cy="1872609"/>
                    </a:xfrm>
                    <a:prstGeom prst="rect">
                      <a:avLst/>
                    </a:prstGeom>
                    <a:noFill/>
                    <a:ln>
                      <a:noFill/>
                    </a:ln>
                  </pic:spPr>
                </pic:pic>
              </a:graphicData>
            </a:graphic>
          </wp:inline>
        </w:drawing>
      </w:r>
    </w:p>
    <w:p w14:paraId="517628D0" w14:textId="297EAA98" w:rsidR="006C16FF" w:rsidRDefault="00CF4215" w:rsidP="008143FF">
      <w:pPr>
        <w:pStyle w:val="Didascalia"/>
        <w:spacing w:before="240" w:after="240"/>
        <w:jc w:val="left"/>
        <w:rPr>
          <w:b w:val="0"/>
          <w:bCs w:val="0"/>
          <w:i/>
          <w:color w:val="auto"/>
          <w:szCs w:val="20"/>
        </w:rPr>
      </w:pPr>
      <w:r w:rsidRPr="00CF4215">
        <w:rPr>
          <w:b w:val="0"/>
          <w:bCs w:val="0"/>
          <w:i/>
          <w:color w:val="auto"/>
          <w:szCs w:val="20"/>
        </w:rPr>
        <w:t xml:space="preserve">Figure </w:t>
      </w:r>
      <w:r w:rsidR="00085C96">
        <w:rPr>
          <w:b w:val="0"/>
          <w:bCs w:val="0"/>
          <w:i/>
          <w:color w:val="auto"/>
          <w:szCs w:val="20"/>
        </w:rPr>
        <w:t>4</w:t>
      </w:r>
      <w:r w:rsidRPr="00CF4215">
        <w:rPr>
          <w:b w:val="0"/>
          <w:bCs w:val="0"/>
          <w:i/>
          <w:color w:val="auto"/>
          <w:szCs w:val="20"/>
        </w:rPr>
        <w:t xml:space="preserve">: </w:t>
      </w:r>
      <w:r w:rsidR="006C16FF">
        <w:rPr>
          <w:b w:val="0"/>
          <w:bCs w:val="0"/>
          <w:i/>
          <w:color w:val="auto"/>
          <w:szCs w:val="20"/>
        </w:rPr>
        <w:t xml:space="preserve">(a) </w:t>
      </w:r>
      <w:r w:rsidRPr="00CF4215">
        <w:rPr>
          <w:b w:val="0"/>
          <w:bCs w:val="0"/>
          <w:i/>
          <w:color w:val="auto"/>
          <w:szCs w:val="20"/>
        </w:rPr>
        <w:t>Validation Performance - Variation A</w:t>
      </w:r>
      <w:r w:rsidR="006C16FF">
        <w:rPr>
          <w:b w:val="0"/>
          <w:bCs w:val="0"/>
          <w:i/>
          <w:color w:val="auto"/>
          <w:szCs w:val="20"/>
        </w:rPr>
        <w:t xml:space="preserve">; </w:t>
      </w:r>
      <w:r w:rsidR="00A47B38">
        <w:rPr>
          <w:b w:val="0"/>
          <w:bCs w:val="0"/>
          <w:i/>
          <w:color w:val="auto"/>
          <w:szCs w:val="20"/>
        </w:rPr>
        <w:t xml:space="preserve"> </w:t>
      </w:r>
      <w:r w:rsidR="00AD53A1">
        <w:rPr>
          <w:b w:val="0"/>
          <w:bCs w:val="0"/>
          <w:i/>
          <w:color w:val="auto"/>
          <w:szCs w:val="20"/>
        </w:rPr>
        <w:t xml:space="preserve">         </w:t>
      </w:r>
      <w:r w:rsidR="006C16FF">
        <w:rPr>
          <w:b w:val="0"/>
          <w:bCs w:val="0"/>
          <w:i/>
          <w:color w:val="auto"/>
          <w:szCs w:val="20"/>
        </w:rPr>
        <w:t xml:space="preserve">(b) </w:t>
      </w:r>
      <w:r w:rsidR="006C16FF" w:rsidRPr="00CF4215">
        <w:rPr>
          <w:b w:val="0"/>
          <w:bCs w:val="0"/>
          <w:i/>
          <w:color w:val="auto"/>
          <w:szCs w:val="20"/>
        </w:rPr>
        <w:t>Validation Performance - Variation B</w:t>
      </w:r>
      <w:r w:rsidR="00AD53A1">
        <w:rPr>
          <w:b w:val="0"/>
          <w:bCs w:val="0"/>
          <w:i/>
          <w:color w:val="auto"/>
          <w:szCs w:val="20"/>
        </w:rPr>
        <w:t>.</w:t>
      </w:r>
    </w:p>
    <w:p w14:paraId="1A590A5A" w14:textId="6ED04C44" w:rsidR="00CF4215" w:rsidRPr="00B57B36" w:rsidRDefault="00CF4215" w:rsidP="00CF4215">
      <w:pPr>
        <w:pStyle w:val="CETTabletitle"/>
      </w:pPr>
      <w:r w:rsidRPr="00B57B36">
        <w:lastRenderedPageBreak/>
        <w:t xml:space="preserve">Table </w:t>
      </w:r>
      <w:r>
        <w:t>3</w:t>
      </w:r>
      <w:r w:rsidRPr="001548FD">
        <w:t xml:space="preserve">: </w:t>
      </w:r>
      <w:r>
        <w:t>Model scores</w:t>
      </w:r>
      <w:r w:rsidR="00A5190D">
        <w:t xml:space="preserve"> on validation and testing.</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119"/>
        <w:gridCol w:w="2268"/>
        <w:gridCol w:w="1701"/>
      </w:tblGrid>
      <w:tr w:rsidR="00CF4215" w:rsidRPr="00493843" w14:paraId="4CB1F758" w14:textId="77777777" w:rsidTr="009C484A">
        <w:tc>
          <w:tcPr>
            <w:tcW w:w="3119" w:type="dxa"/>
            <w:tcBorders>
              <w:top w:val="single" w:sz="12" w:space="0" w:color="008000"/>
              <w:bottom w:val="single" w:sz="6" w:space="0" w:color="008000"/>
            </w:tcBorders>
            <w:shd w:val="clear" w:color="auto" w:fill="FFFFFF"/>
          </w:tcPr>
          <w:p w14:paraId="64EEEA25" w14:textId="47CE4A02" w:rsidR="00CF4215" w:rsidRPr="00493843" w:rsidRDefault="00CF4215" w:rsidP="00CF4215">
            <w:pPr>
              <w:pStyle w:val="CETBodytext"/>
              <w:rPr>
                <w:szCs w:val="18"/>
                <w:lang w:val="en-GB"/>
              </w:rPr>
            </w:pPr>
          </w:p>
        </w:tc>
        <w:tc>
          <w:tcPr>
            <w:tcW w:w="2268" w:type="dxa"/>
            <w:tcBorders>
              <w:top w:val="single" w:sz="12" w:space="0" w:color="008000"/>
              <w:bottom w:val="single" w:sz="6" w:space="0" w:color="008000"/>
            </w:tcBorders>
            <w:shd w:val="clear" w:color="auto" w:fill="FFFFFF"/>
          </w:tcPr>
          <w:p w14:paraId="3C998A46" w14:textId="4D87C8B9" w:rsidR="00CF4215" w:rsidRPr="00493843" w:rsidRDefault="00CF4215" w:rsidP="00A5190D">
            <w:pPr>
              <w:pStyle w:val="CETBodytext"/>
              <w:jc w:val="center"/>
              <w:rPr>
                <w:szCs w:val="18"/>
                <w:lang w:val="en-GB"/>
              </w:rPr>
            </w:pPr>
            <w:r w:rsidRPr="00493843">
              <w:rPr>
                <w:szCs w:val="18"/>
              </w:rPr>
              <w:t>Validation mean score</w:t>
            </w:r>
          </w:p>
        </w:tc>
        <w:tc>
          <w:tcPr>
            <w:tcW w:w="1701" w:type="dxa"/>
            <w:tcBorders>
              <w:top w:val="single" w:sz="12" w:space="0" w:color="008000"/>
              <w:bottom w:val="single" w:sz="6" w:space="0" w:color="008000"/>
            </w:tcBorders>
            <w:shd w:val="clear" w:color="auto" w:fill="FFFFFF"/>
          </w:tcPr>
          <w:p w14:paraId="695A6A6E" w14:textId="56E495E1" w:rsidR="00CF4215" w:rsidRPr="00493843" w:rsidRDefault="00CF4215" w:rsidP="00A5190D">
            <w:pPr>
              <w:pStyle w:val="CETBodytext"/>
              <w:jc w:val="center"/>
              <w:rPr>
                <w:szCs w:val="18"/>
                <w:lang w:val="en-GB"/>
              </w:rPr>
            </w:pPr>
            <w:r w:rsidRPr="00493843">
              <w:rPr>
                <w:szCs w:val="18"/>
              </w:rPr>
              <w:t>Test mean score</w:t>
            </w:r>
          </w:p>
        </w:tc>
      </w:tr>
      <w:tr w:rsidR="00CF4215" w:rsidRPr="00A5190D" w14:paraId="49FB2668" w14:textId="77777777" w:rsidTr="009C484A">
        <w:tc>
          <w:tcPr>
            <w:tcW w:w="3119" w:type="dxa"/>
            <w:shd w:val="clear" w:color="auto" w:fill="FFFFFF"/>
          </w:tcPr>
          <w:p w14:paraId="626ACEB2" w14:textId="4F392146" w:rsidR="00CF4215" w:rsidRPr="00A5190D" w:rsidRDefault="00CF4215" w:rsidP="00CF4215">
            <w:pPr>
              <w:pStyle w:val="CETBodytext"/>
              <w:rPr>
                <w:rFonts w:cs="Arial"/>
                <w:szCs w:val="18"/>
              </w:rPr>
            </w:pPr>
            <w:r w:rsidRPr="00493843">
              <w:rPr>
                <w:rFonts w:cs="Arial"/>
                <w:szCs w:val="18"/>
              </w:rPr>
              <w:t>Naïve prediction</w:t>
            </w:r>
          </w:p>
        </w:tc>
        <w:tc>
          <w:tcPr>
            <w:tcW w:w="2268" w:type="dxa"/>
            <w:shd w:val="clear" w:color="auto" w:fill="FFFFFF"/>
          </w:tcPr>
          <w:p w14:paraId="368879CD" w14:textId="2ADB86CB" w:rsidR="00CF4215" w:rsidRPr="00A5190D" w:rsidRDefault="00CF4215" w:rsidP="00A5190D">
            <w:pPr>
              <w:pStyle w:val="CETBodytext"/>
              <w:jc w:val="center"/>
              <w:rPr>
                <w:rFonts w:cs="Arial"/>
                <w:szCs w:val="18"/>
              </w:rPr>
            </w:pPr>
            <w:r w:rsidRPr="00493843">
              <w:rPr>
                <w:rFonts w:cs="Arial"/>
                <w:szCs w:val="18"/>
              </w:rPr>
              <w:t>NA</w:t>
            </w:r>
          </w:p>
        </w:tc>
        <w:tc>
          <w:tcPr>
            <w:tcW w:w="1701" w:type="dxa"/>
            <w:shd w:val="clear" w:color="auto" w:fill="FFFFFF"/>
          </w:tcPr>
          <w:p w14:paraId="2CB57FF8" w14:textId="73C1F666" w:rsidR="00CF4215" w:rsidRPr="00A5190D" w:rsidRDefault="00CF4215" w:rsidP="00A5190D">
            <w:pPr>
              <w:pStyle w:val="CETBodytext"/>
              <w:jc w:val="center"/>
              <w:rPr>
                <w:rFonts w:cs="Arial"/>
                <w:szCs w:val="18"/>
              </w:rPr>
            </w:pPr>
            <w:r w:rsidRPr="00493843">
              <w:rPr>
                <w:rFonts w:cs="Arial"/>
                <w:szCs w:val="18"/>
              </w:rPr>
              <w:t>14.011</w:t>
            </w:r>
          </w:p>
        </w:tc>
      </w:tr>
      <w:tr w:rsidR="00CF4215" w:rsidRPr="00A5190D" w14:paraId="22035D3D" w14:textId="77777777" w:rsidTr="009C484A">
        <w:tc>
          <w:tcPr>
            <w:tcW w:w="3119" w:type="dxa"/>
            <w:shd w:val="clear" w:color="auto" w:fill="FFFFFF"/>
          </w:tcPr>
          <w:p w14:paraId="42FD5167" w14:textId="6D1205F0" w:rsidR="00CF4215" w:rsidRPr="00A5190D" w:rsidRDefault="00CF4215" w:rsidP="00CF4215">
            <w:pPr>
              <w:pStyle w:val="CETBodytext"/>
              <w:rPr>
                <w:rFonts w:cs="Arial"/>
                <w:szCs w:val="18"/>
              </w:rPr>
            </w:pPr>
            <w:r w:rsidRPr="00493843">
              <w:rPr>
                <w:rFonts w:cs="Arial"/>
                <w:szCs w:val="18"/>
              </w:rPr>
              <w:t>Walk-Forward</w:t>
            </w:r>
          </w:p>
        </w:tc>
        <w:tc>
          <w:tcPr>
            <w:tcW w:w="2268" w:type="dxa"/>
            <w:shd w:val="clear" w:color="auto" w:fill="FFFFFF"/>
          </w:tcPr>
          <w:p w14:paraId="0B28AC4C" w14:textId="17FEF7B1" w:rsidR="00CF4215" w:rsidRPr="00A5190D" w:rsidRDefault="00CF4215" w:rsidP="00A5190D">
            <w:pPr>
              <w:pStyle w:val="CETBodytext"/>
              <w:jc w:val="center"/>
              <w:rPr>
                <w:rFonts w:cs="Arial"/>
                <w:szCs w:val="18"/>
              </w:rPr>
            </w:pPr>
            <w:r w:rsidRPr="00493843">
              <w:rPr>
                <w:rFonts w:cs="Arial"/>
                <w:szCs w:val="18"/>
              </w:rPr>
              <w:t>6.509</w:t>
            </w:r>
          </w:p>
        </w:tc>
        <w:tc>
          <w:tcPr>
            <w:tcW w:w="1701" w:type="dxa"/>
            <w:shd w:val="clear" w:color="auto" w:fill="FFFFFF"/>
          </w:tcPr>
          <w:p w14:paraId="326684DA" w14:textId="45805324" w:rsidR="00CF4215" w:rsidRPr="00A5190D" w:rsidRDefault="00CF4215" w:rsidP="00A5190D">
            <w:pPr>
              <w:pStyle w:val="CETBodytext"/>
              <w:jc w:val="center"/>
              <w:rPr>
                <w:rFonts w:cs="Arial"/>
                <w:szCs w:val="18"/>
              </w:rPr>
            </w:pPr>
            <w:r w:rsidRPr="00493843">
              <w:rPr>
                <w:rFonts w:cs="Arial"/>
                <w:szCs w:val="18"/>
              </w:rPr>
              <w:t>9.456</w:t>
            </w:r>
          </w:p>
        </w:tc>
      </w:tr>
      <w:tr w:rsidR="00CF4215" w:rsidRPr="00A5190D" w14:paraId="2D6A5FE4" w14:textId="77777777" w:rsidTr="009C484A">
        <w:tc>
          <w:tcPr>
            <w:tcW w:w="3119" w:type="dxa"/>
            <w:shd w:val="clear" w:color="auto" w:fill="FFFFFF"/>
          </w:tcPr>
          <w:p w14:paraId="761CAFEB" w14:textId="5DA36B00" w:rsidR="00CF4215" w:rsidRPr="00A5190D" w:rsidRDefault="00CF4215" w:rsidP="00A5190D">
            <w:pPr>
              <w:pStyle w:val="CETBodytext"/>
              <w:rPr>
                <w:rFonts w:cs="Arial"/>
                <w:szCs w:val="18"/>
              </w:rPr>
            </w:pPr>
            <w:r w:rsidRPr="00493843">
              <w:rPr>
                <w:rFonts w:cs="Arial"/>
                <w:szCs w:val="18"/>
              </w:rPr>
              <w:t>A - Walk-Forward 7-day validation</w:t>
            </w:r>
          </w:p>
        </w:tc>
        <w:tc>
          <w:tcPr>
            <w:tcW w:w="2268" w:type="dxa"/>
            <w:shd w:val="clear" w:color="auto" w:fill="FFFFFF"/>
          </w:tcPr>
          <w:p w14:paraId="4595C481" w14:textId="2BB8366F" w:rsidR="00CF4215" w:rsidRPr="00A5190D" w:rsidRDefault="00CF4215" w:rsidP="00A5190D">
            <w:pPr>
              <w:pStyle w:val="CETBodytext"/>
              <w:jc w:val="center"/>
              <w:rPr>
                <w:rFonts w:cs="Arial"/>
                <w:szCs w:val="18"/>
              </w:rPr>
            </w:pPr>
            <w:r w:rsidRPr="00493843">
              <w:rPr>
                <w:rFonts w:cs="Arial"/>
                <w:szCs w:val="18"/>
              </w:rPr>
              <w:t>8.593</w:t>
            </w:r>
          </w:p>
        </w:tc>
        <w:tc>
          <w:tcPr>
            <w:tcW w:w="1701" w:type="dxa"/>
            <w:shd w:val="clear" w:color="auto" w:fill="FFFFFF"/>
          </w:tcPr>
          <w:p w14:paraId="1DA065B4" w14:textId="641222C3" w:rsidR="00CF4215" w:rsidRPr="00A5190D" w:rsidRDefault="00CF4215" w:rsidP="00A5190D">
            <w:pPr>
              <w:pStyle w:val="CETBodytext"/>
              <w:jc w:val="center"/>
              <w:rPr>
                <w:rFonts w:cs="Arial"/>
                <w:szCs w:val="18"/>
              </w:rPr>
            </w:pPr>
            <w:r w:rsidRPr="00493843">
              <w:rPr>
                <w:rFonts w:cs="Arial"/>
                <w:szCs w:val="18"/>
              </w:rPr>
              <w:t>9.066</w:t>
            </w:r>
          </w:p>
        </w:tc>
      </w:tr>
      <w:tr w:rsidR="00CF4215" w:rsidRPr="00A5190D" w14:paraId="44DD2D42" w14:textId="77777777" w:rsidTr="009C484A">
        <w:tc>
          <w:tcPr>
            <w:tcW w:w="3119" w:type="dxa"/>
            <w:shd w:val="clear" w:color="auto" w:fill="FFFFFF"/>
          </w:tcPr>
          <w:p w14:paraId="474FED6C" w14:textId="1606D65D" w:rsidR="00CF4215" w:rsidRPr="00493843" w:rsidRDefault="00CF4215" w:rsidP="00A5190D">
            <w:pPr>
              <w:pStyle w:val="CETBodytext"/>
              <w:rPr>
                <w:rFonts w:cs="Arial"/>
                <w:szCs w:val="18"/>
              </w:rPr>
            </w:pPr>
            <w:r w:rsidRPr="00493843">
              <w:rPr>
                <w:rFonts w:cs="Arial"/>
                <w:szCs w:val="18"/>
              </w:rPr>
              <w:t>B - Walk-Forward pre run</w:t>
            </w:r>
          </w:p>
        </w:tc>
        <w:tc>
          <w:tcPr>
            <w:tcW w:w="2268" w:type="dxa"/>
            <w:shd w:val="clear" w:color="auto" w:fill="FFFFFF"/>
          </w:tcPr>
          <w:p w14:paraId="60541988" w14:textId="550D143E" w:rsidR="00CF4215" w:rsidRPr="00A5190D" w:rsidRDefault="00CF4215" w:rsidP="00A5190D">
            <w:pPr>
              <w:pStyle w:val="CETBodytext"/>
              <w:jc w:val="center"/>
              <w:rPr>
                <w:rFonts w:cs="Arial"/>
                <w:szCs w:val="18"/>
              </w:rPr>
            </w:pPr>
            <w:r w:rsidRPr="00493843">
              <w:rPr>
                <w:rFonts w:cs="Arial"/>
                <w:szCs w:val="18"/>
              </w:rPr>
              <w:t>8.320</w:t>
            </w:r>
          </w:p>
        </w:tc>
        <w:tc>
          <w:tcPr>
            <w:tcW w:w="1701" w:type="dxa"/>
            <w:shd w:val="clear" w:color="auto" w:fill="FFFFFF"/>
          </w:tcPr>
          <w:p w14:paraId="15645352" w14:textId="26CC85B5" w:rsidR="00CF4215" w:rsidRPr="00A5190D" w:rsidRDefault="00CF4215" w:rsidP="00A5190D">
            <w:pPr>
              <w:pStyle w:val="CETBodytext"/>
              <w:jc w:val="center"/>
              <w:rPr>
                <w:rFonts w:cs="Arial"/>
                <w:szCs w:val="18"/>
              </w:rPr>
            </w:pPr>
            <w:r w:rsidRPr="00A5190D">
              <w:rPr>
                <w:rFonts w:cs="Arial"/>
                <w:szCs w:val="18"/>
              </w:rPr>
              <w:t>8.875</w:t>
            </w:r>
          </w:p>
        </w:tc>
      </w:tr>
    </w:tbl>
    <w:p w14:paraId="64ED7BD4" w14:textId="77777777" w:rsidR="00CF4215" w:rsidRDefault="00CF4215" w:rsidP="00CF4215">
      <w:pPr>
        <w:pStyle w:val="CETnumberingbullets"/>
        <w:numPr>
          <w:ilvl w:val="0"/>
          <w:numId w:val="0"/>
        </w:numPr>
        <w:ind w:left="113"/>
      </w:pPr>
    </w:p>
    <w:p w14:paraId="48DBBB6B" w14:textId="301DC4D6" w:rsidR="00FF52ED" w:rsidRDefault="00F47BDA" w:rsidP="00F47BDA">
      <w:pPr>
        <w:pStyle w:val="CETBodytext"/>
      </w:pPr>
      <w:r>
        <w:rPr>
          <w:lang w:val="en-GB"/>
        </w:rPr>
        <w:t>In Table 3, the model performance on validation and testing scores are summarized</w:t>
      </w:r>
      <w:r w:rsidR="006B78AD">
        <w:rPr>
          <w:lang w:val="en-GB"/>
        </w:rPr>
        <w:t>,</w:t>
      </w:r>
      <w:r>
        <w:rPr>
          <w:lang w:val="en-GB"/>
        </w:rPr>
        <w:t xml:space="preserve"> by considering the different configurations previously outlined. </w:t>
      </w:r>
      <w:r w:rsidR="00AA71A1">
        <w:t>The comparison</w:t>
      </w:r>
      <w:r w:rsidR="00FF52ED" w:rsidRPr="00FF52ED">
        <w:t xml:space="preserve"> </w:t>
      </w:r>
      <w:r w:rsidR="00AA71A1">
        <w:t xml:space="preserve">of Ozone concentrations [ppm] </w:t>
      </w:r>
      <w:r w:rsidR="005D22CB">
        <w:t>experimentally observed (</w:t>
      </w:r>
      <w:r w:rsidR="00FF52ED" w:rsidRPr="00FF52ED">
        <w:t>ground truth</w:t>
      </w:r>
      <w:r w:rsidR="005D22CB">
        <w:t>)</w:t>
      </w:r>
      <w:r w:rsidR="00FF52ED" w:rsidRPr="00FF52ED">
        <w:t xml:space="preserve"> and the </w:t>
      </w:r>
      <w:r w:rsidR="00AA71A1">
        <w:t xml:space="preserve">model </w:t>
      </w:r>
      <w:r w:rsidR="00FF52ED" w:rsidRPr="00FF52ED">
        <w:t>prediction</w:t>
      </w:r>
      <w:r w:rsidR="00AA71A1">
        <w:t xml:space="preserve"> </w:t>
      </w:r>
      <w:r w:rsidR="00085C96">
        <w:t>is depicted in Figure 5</w:t>
      </w:r>
      <w:r w:rsidR="00FF52ED" w:rsidRPr="00FF52ED">
        <w:t>.</w:t>
      </w:r>
    </w:p>
    <w:p w14:paraId="36036AE3" w14:textId="77777777" w:rsidR="00FF52ED" w:rsidRDefault="00FF52ED" w:rsidP="00F47BDA">
      <w:pPr>
        <w:pStyle w:val="CETnumberingbullets"/>
        <w:keepNext/>
        <w:numPr>
          <w:ilvl w:val="0"/>
          <w:numId w:val="0"/>
        </w:numPr>
        <w:ind w:left="113"/>
      </w:pPr>
      <w:r>
        <w:rPr>
          <w:noProof/>
          <w:lang w:val="it-IT" w:eastAsia="it-IT"/>
        </w:rPr>
        <w:drawing>
          <wp:inline distT="0" distB="0" distL="0" distR="0" wp14:anchorId="31D64F0A" wp14:editId="3A13688F">
            <wp:extent cx="4142069" cy="2766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0790" cy="2805274"/>
                    </a:xfrm>
                    <a:prstGeom prst="rect">
                      <a:avLst/>
                    </a:prstGeom>
                    <a:noFill/>
                    <a:ln>
                      <a:noFill/>
                    </a:ln>
                  </pic:spPr>
                </pic:pic>
              </a:graphicData>
            </a:graphic>
          </wp:inline>
        </w:drawing>
      </w:r>
    </w:p>
    <w:p w14:paraId="431A68C6" w14:textId="10396090" w:rsidR="00FF52ED" w:rsidRPr="00AA71A1" w:rsidRDefault="00FF52ED" w:rsidP="00F47BDA">
      <w:pPr>
        <w:pStyle w:val="Didascalia"/>
        <w:spacing w:before="120" w:after="240"/>
        <w:jc w:val="left"/>
        <w:rPr>
          <w:b w:val="0"/>
          <w:bCs w:val="0"/>
          <w:i/>
          <w:color w:val="auto"/>
          <w:szCs w:val="20"/>
        </w:rPr>
      </w:pPr>
      <w:r w:rsidRPr="00AA71A1">
        <w:rPr>
          <w:b w:val="0"/>
          <w:bCs w:val="0"/>
          <w:i/>
          <w:color w:val="auto"/>
          <w:szCs w:val="20"/>
        </w:rPr>
        <w:t xml:space="preserve">Figure </w:t>
      </w:r>
      <w:r w:rsidR="00085C96" w:rsidRPr="00AA71A1">
        <w:rPr>
          <w:b w:val="0"/>
          <w:bCs w:val="0"/>
          <w:i/>
          <w:color w:val="auto"/>
          <w:szCs w:val="20"/>
        </w:rPr>
        <w:t>5</w:t>
      </w:r>
      <w:r w:rsidR="00AA71A1">
        <w:rPr>
          <w:b w:val="0"/>
          <w:bCs w:val="0"/>
          <w:i/>
          <w:color w:val="auto"/>
          <w:szCs w:val="20"/>
        </w:rPr>
        <w:t>: Predicted</w:t>
      </w:r>
      <w:r w:rsidRPr="00AA71A1">
        <w:rPr>
          <w:b w:val="0"/>
          <w:bCs w:val="0"/>
          <w:i/>
          <w:color w:val="auto"/>
          <w:szCs w:val="20"/>
        </w:rPr>
        <w:t xml:space="preserve"> </w:t>
      </w:r>
      <w:r w:rsidR="00AA71A1">
        <w:rPr>
          <w:b w:val="0"/>
          <w:bCs w:val="0"/>
          <w:i/>
          <w:color w:val="auto"/>
          <w:szCs w:val="20"/>
        </w:rPr>
        <w:t xml:space="preserve">Ozone concentration [ppm] </w:t>
      </w:r>
      <w:r w:rsidRPr="00AA71A1">
        <w:rPr>
          <w:b w:val="0"/>
          <w:bCs w:val="0"/>
          <w:i/>
          <w:color w:val="auto"/>
          <w:szCs w:val="20"/>
        </w:rPr>
        <w:t xml:space="preserve">vs </w:t>
      </w:r>
      <w:r w:rsidR="00AA71A1">
        <w:rPr>
          <w:b w:val="0"/>
          <w:bCs w:val="0"/>
          <w:i/>
          <w:color w:val="auto"/>
          <w:szCs w:val="20"/>
        </w:rPr>
        <w:t>experimental values [ppm] (</w:t>
      </w:r>
      <w:r w:rsidR="00AA71A1" w:rsidRPr="00AA71A1">
        <w:rPr>
          <w:b w:val="0"/>
          <w:bCs w:val="0"/>
          <w:i/>
          <w:color w:val="auto"/>
          <w:szCs w:val="20"/>
        </w:rPr>
        <w:t>Ground Truth</w:t>
      </w:r>
      <w:r w:rsidR="00AA71A1">
        <w:rPr>
          <w:b w:val="0"/>
          <w:bCs w:val="0"/>
          <w:i/>
          <w:color w:val="auto"/>
          <w:szCs w:val="20"/>
        </w:rPr>
        <w:t>)</w:t>
      </w:r>
      <w:r w:rsidR="00F47BDA">
        <w:rPr>
          <w:b w:val="0"/>
          <w:bCs w:val="0"/>
          <w:i/>
          <w:color w:val="auto"/>
          <w:szCs w:val="20"/>
        </w:rPr>
        <w:t>.</w:t>
      </w:r>
    </w:p>
    <w:p w14:paraId="32B22186" w14:textId="3419A006" w:rsidR="00FF52ED" w:rsidRDefault="00085C96" w:rsidP="00CF4215">
      <w:pPr>
        <w:pStyle w:val="CETBodytext"/>
        <w:rPr>
          <w:lang w:val="en-GB"/>
        </w:rPr>
      </w:pPr>
      <w:r>
        <w:rPr>
          <w:lang w:val="en-GB"/>
        </w:rPr>
        <w:t>Figure 6</w:t>
      </w:r>
      <w:r w:rsidR="00FF52ED" w:rsidRPr="00FF52ED">
        <w:rPr>
          <w:lang w:val="en-GB"/>
        </w:rPr>
        <w:t xml:space="preserve"> shows the </w:t>
      </w:r>
      <w:r w:rsidR="005D22CB">
        <w:rPr>
          <w:lang w:val="en-GB"/>
        </w:rPr>
        <w:t xml:space="preserve">comparison of </w:t>
      </w:r>
      <w:r w:rsidR="005D22CB">
        <w:t>Ozone concentrations [ppm] experimentally observed (</w:t>
      </w:r>
      <w:r w:rsidR="005D22CB" w:rsidRPr="00FF52ED">
        <w:t>ground truth</w:t>
      </w:r>
      <w:r w:rsidR="005D22CB">
        <w:t>)</w:t>
      </w:r>
      <w:r w:rsidR="005D22CB" w:rsidRPr="00FF52ED">
        <w:t xml:space="preserve"> </w:t>
      </w:r>
      <w:r w:rsidR="00FF52ED" w:rsidRPr="00FF52ED">
        <w:rPr>
          <w:lang w:val="en-GB"/>
        </w:rPr>
        <w:t>to the naïve prediction</w:t>
      </w:r>
      <w:r w:rsidR="006B78AD">
        <w:rPr>
          <w:lang w:val="en-GB"/>
        </w:rPr>
        <w:t xml:space="preserve">: results reveal that the model yields </w:t>
      </w:r>
      <w:r w:rsidR="00273E3D">
        <w:rPr>
          <w:lang w:val="en-GB"/>
        </w:rPr>
        <w:t xml:space="preserve">again </w:t>
      </w:r>
      <w:r w:rsidR="006B78AD">
        <w:rPr>
          <w:lang w:val="en-GB"/>
        </w:rPr>
        <w:t xml:space="preserve">satisfactory predictions </w:t>
      </w:r>
      <w:r w:rsidR="00FF52ED" w:rsidRPr="00FF52ED">
        <w:rPr>
          <w:lang w:val="en-GB"/>
        </w:rPr>
        <w:t>evidently less clu</w:t>
      </w:r>
      <w:r w:rsidR="005D22CB">
        <w:rPr>
          <w:lang w:val="en-GB"/>
        </w:rPr>
        <w:t>stered around the identity line.</w:t>
      </w:r>
      <w:r w:rsidR="005D22CB" w:rsidRPr="005D22CB">
        <w:t xml:space="preserve"> </w:t>
      </w:r>
      <w:r w:rsidR="005D22CB" w:rsidRPr="008077A2">
        <w:t xml:space="preserve">Because of its predicting ability, this method can not only be used to </w:t>
      </w:r>
      <w:r w:rsidR="00273E3D">
        <w:t xml:space="preserve">forecast </w:t>
      </w:r>
      <w:r w:rsidR="005D22CB" w:rsidRPr="008077A2">
        <w:t>surface ozone concentrations, but also be used to</w:t>
      </w:r>
      <w:r w:rsidR="005D22CB">
        <w:t xml:space="preserve"> </w:t>
      </w:r>
      <w:r w:rsidR="005D22CB" w:rsidRPr="008077A2">
        <w:t>make predictions of other air pollutants, upon proper refinement</w:t>
      </w:r>
    </w:p>
    <w:p w14:paraId="10463751" w14:textId="77777777" w:rsidR="00FF52ED" w:rsidRDefault="00FF52ED" w:rsidP="00FF52ED">
      <w:pPr>
        <w:pStyle w:val="CETBodytext"/>
        <w:keepNext/>
      </w:pPr>
      <w:r>
        <w:rPr>
          <w:noProof/>
          <w:lang w:val="it-IT" w:eastAsia="it-IT"/>
        </w:rPr>
        <w:drawing>
          <wp:inline distT="0" distB="0" distL="0" distR="0" wp14:anchorId="756E10FC" wp14:editId="7D8FF77B">
            <wp:extent cx="4324639" cy="28879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8356" cy="2903818"/>
                    </a:xfrm>
                    <a:prstGeom prst="rect">
                      <a:avLst/>
                    </a:prstGeom>
                    <a:noFill/>
                    <a:ln>
                      <a:noFill/>
                    </a:ln>
                  </pic:spPr>
                </pic:pic>
              </a:graphicData>
            </a:graphic>
          </wp:inline>
        </w:drawing>
      </w:r>
    </w:p>
    <w:p w14:paraId="029B8649" w14:textId="77777777" w:rsidR="00AA71A1" w:rsidRPr="00AA71A1" w:rsidRDefault="00FF52ED" w:rsidP="00F47BDA">
      <w:pPr>
        <w:pStyle w:val="Didascalia"/>
        <w:spacing w:before="120"/>
        <w:jc w:val="left"/>
        <w:rPr>
          <w:b w:val="0"/>
          <w:bCs w:val="0"/>
          <w:i/>
          <w:color w:val="auto"/>
          <w:szCs w:val="20"/>
        </w:rPr>
      </w:pPr>
      <w:r w:rsidRPr="00AA71A1">
        <w:rPr>
          <w:b w:val="0"/>
          <w:bCs w:val="0"/>
          <w:i/>
          <w:color w:val="auto"/>
          <w:szCs w:val="20"/>
        </w:rPr>
        <w:t xml:space="preserve">Figure </w:t>
      </w:r>
      <w:r w:rsidR="00085C96" w:rsidRPr="00AA71A1">
        <w:rPr>
          <w:b w:val="0"/>
          <w:bCs w:val="0"/>
          <w:i/>
          <w:color w:val="auto"/>
          <w:szCs w:val="20"/>
        </w:rPr>
        <w:t>6</w:t>
      </w:r>
      <w:r w:rsidRPr="00AA71A1">
        <w:rPr>
          <w:b w:val="0"/>
          <w:bCs w:val="0"/>
          <w:i/>
          <w:color w:val="auto"/>
          <w:szCs w:val="20"/>
        </w:rPr>
        <w:t xml:space="preserve">: </w:t>
      </w:r>
      <w:r w:rsidR="00AA71A1">
        <w:rPr>
          <w:b w:val="0"/>
          <w:bCs w:val="0"/>
          <w:i/>
          <w:color w:val="auto"/>
          <w:szCs w:val="20"/>
        </w:rPr>
        <w:t>Predicted</w:t>
      </w:r>
      <w:r w:rsidR="00AA71A1" w:rsidRPr="00AA71A1">
        <w:rPr>
          <w:b w:val="0"/>
          <w:bCs w:val="0"/>
          <w:i/>
          <w:color w:val="auto"/>
          <w:szCs w:val="20"/>
        </w:rPr>
        <w:t xml:space="preserve"> </w:t>
      </w:r>
      <w:r w:rsidR="00AA71A1">
        <w:rPr>
          <w:b w:val="0"/>
          <w:bCs w:val="0"/>
          <w:i/>
          <w:color w:val="auto"/>
          <w:szCs w:val="20"/>
        </w:rPr>
        <w:t xml:space="preserve">Ozone concentration [ppm] </w:t>
      </w:r>
      <w:r w:rsidR="00AA71A1" w:rsidRPr="00AA71A1">
        <w:rPr>
          <w:b w:val="0"/>
          <w:bCs w:val="0"/>
          <w:i/>
          <w:color w:val="auto"/>
          <w:szCs w:val="20"/>
        </w:rPr>
        <w:t xml:space="preserve">vs </w:t>
      </w:r>
      <w:r w:rsidR="00AA71A1">
        <w:rPr>
          <w:b w:val="0"/>
          <w:bCs w:val="0"/>
          <w:i/>
          <w:color w:val="auto"/>
          <w:szCs w:val="20"/>
        </w:rPr>
        <w:t>experimental values [ppm] (</w:t>
      </w:r>
      <w:r w:rsidR="00AA71A1" w:rsidRPr="00AA71A1">
        <w:rPr>
          <w:b w:val="0"/>
          <w:bCs w:val="0"/>
          <w:i/>
          <w:color w:val="auto"/>
          <w:szCs w:val="20"/>
        </w:rPr>
        <w:t>Ground Truth</w:t>
      </w:r>
      <w:r w:rsidR="00AA71A1">
        <w:rPr>
          <w:b w:val="0"/>
          <w:bCs w:val="0"/>
          <w:i/>
          <w:color w:val="auto"/>
          <w:szCs w:val="20"/>
        </w:rPr>
        <w:t>)</w:t>
      </w:r>
    </w:p>
    <w:p w14:paraId="5F0519A0" w14:textId="159F02C1" w:rsidR="00FF52ED" w:rsidRPr="00AA71A1" w:rsidRDefault="00AA71A1" w:rsidP="00DE709A">
      <w:pPr>
        <w:pStyle w:val="Didascalia"/>
        <w:spacing w:after="240"/>
        <w:jc w:val="left"/>
        <w:rPr>
          <w:b w:val="0"/>
          <w:bCs w:val="0"/>
          <w:i/>
          <w:color w:val="auto"/>
          <w:szCs w:val="20"/>
        </w:rPr>
      </w:pPr>
      <w:r>
        <w:rPr>
          <w:b w:val="0"/>
          <w:bCs w:val="0"/>
          <w:i/>
          <w:color w:val="auto"/>
          <w:szCs w:val="20"/>
        </w:rPr>
        <w:t xml:space="preserve">and </w:t>
      </w:r>
      <w:r w:rsidR="00FF52ED" w:rsidRPr="00AA71A1">
        <w:rPr>
          <w:b w:val="0"/>
          <w:bCs w:val="0"/>
          <w:i/>
          <w:color w:val="auto"/>
          <w:szCs w:val="20"/>
        </w:rPr>
        <w:t>Naive Prediction</w:t>
      </w:r>
      <w:r w:rsidR="00F47BDA">
        <w:rPr>
          <w:b w:val="0"/>
          <w:bCs w:val="0"/>
          <w:i/>
          <w:color w:val="auto"/>
          <w:szCs w:val="20"/>
        </w:rPr>
        <w:t>.</w:t>
      </w:r>
    </w:p>
    <w:p w14:paraId="756A6AE4" w14:textId="46F9D180" w:rsidR="00FF52ED" w:rsidRPr="001548FD" w:rsidRDefault="00FF52ED" w:rsidP="00145A48">
      <w:pPr>
        <w:pStyle w:val="CETHeading1"/>
        <w:ind w:left="0"/>
      </w:pPr>
      <w:r>
        <w:lastRenderedPageBreak/>
        <w:t>Conclusions</w:t>
      </w:r>
    </w:p>
    <w:p w14:paraId="1DA5B226" w14:textId="0C31F7B9" w:rsidR="00FF52ED" w:rsidRPr="00B57B36" w:rsidRDefault="00632274" w:rsidP="00B022A5">
      <w:pPr>
        <w:pStyle w:val="CETBodytext"/>
        <w:rPr>
          <w:lang w:val="en-GB"/>
        </w:rPr>
      </w:pPr>
      <w:r>
        <w:t>The work presented in this study aims to examine the feasibility of</w:t>
      </w:r>
      <w:r w:rsidR="00085C96">
        <w:t xml:space="preserve"> </w:t>
      </w:r>
      <w:r>
        <w:t>applying a machine learning algorithm based on gradient boosting techniques to predict the concentration of O</w:t>
      </w:r>
      <w:r w:rsidRPr="00B022A5">
        <w:rPr>
          <w:vertAlign w:val="subscript"/>
        </w:rPr>
        <w:t>3</w:t>
      </w:r>
      <w:r>
        <w:t xml:space="preserve"> in the metropolitan area of ​​the city of Genoa.</w:t>
      </w:r>
      <w:r w:rsidR="00085C96" w:rsidRPr="00085C96">
        <w:t xml:space="preserve"> </w:t>
      </w:r>
      <w:r w:rsidR="00F178E6">
        <w:t>The model is based on a relative novel</w:t>
      </w:r>
      <w:r w:rsidR="00085C96">
        <w:t xml:space="preserve"> algorithm used in many different kinds of data mining tasks, such as classification, regression and ordering</w:t>
      </w:r>
      <w:r w:rsidR="00C640CF">
        <w:t xml:space="preserve">, while its </w:t>
      </w:r>
      <w:r w:rsidR="00F178E6">
        <w:t>appli</w:t>
      </w:r>
      <w:r w:rsidR="00085C96">
        <w:t xml:space="preserve">cation in the given </w:t>
      </w:r>
      <w:r w:rsidR="005D04E9">
        <w:t xml:space="preserve">urban </w:t>
      </w:r>
      <w:r w:rsidR="00085C96">
        <w:t xml:space="preserve">context </w:t>
      </w:r>
      <w:r w:rsidR="00C640CF">
        <w:t>is still rather limited.</w:t>
      </w:r>
      <w:r w:rsidR="00085C96">
        <w:t xml:space="preserve"> </w:t>
      </w:r>
      <w:r w:rsidR="00B022A5">
        <w:t>The predictive model was trained with meteorological data, ozone measurements in three urban areas, and time variables, all suitably pretreated as described above.</w:t>
      </w:r>
      <w:r w:rsidR="00085C96">
        <w:t xml:space="preserve"> </w:t>
      </w:r>
      <w:r w:rsidR="00B022A5">
        <w:t>The best cross-validation strategy was therefore selected, in order to balance bias and var</w:t>
      </w:r>
      <w:r w:rsidR="00C640CF">
        <w:t>iance in the prediction results</w:t>
      </w:r>
      <w:r w:rsidR="00B022A5">
        <w:t xml:space="preserve"> and thus avoid situations of under-specification and over-specification. The model thus built showed excellent results.</w:t>
      </w:r>
      <w:r w:rsidR="00F93F10">
        <w:t xml:space="preserve"> </w:t>
      </w:r>
      <w:r w:rsidR="00B022A5">
        <w:t>This work complements and improves the previous predictive model developed for PM10 prediction (</w:t>
      </w:r>
      <w:proofErr w:type="spellStart"/>
      <w:r w:rsidR="00B022A5">
        <w:t>Vairo</w:t>
      </w:r>
      <w:proofErr w:type="spellEnd"/>
      <w:r w:rsidR="00B022A5">
        <w:t xml:space="preserve"> et al. 2019), which </w:t>
      </w:r>
      <w:r w:rsidR="00F93F10">
        <w:t>was develop</w:t>
      </w:r>
      <w:r w:rsidR="00F47BDA">
        <w:t xml:space="preserve">ed </w:t>
      </w:r>
      <w:r w:rsidR="00F93F10">
        <w:t>by a</w:t>
      </w:r>
      <w:r w:rsidR="00B022A5">
        <w:t xml:space="preserve"> Bayesian inference</w:t>
      </w:r>
      <w:r w:rsidR="00F93F10">
        <w:t xml:space="preserve"> approach</w:t>
      </w:r>
      <w:r w:rsidR="00B022A5">
        <w:t xml:space="preserve">. As a further </w:t>
      </w:r>
      <w:r w:rsidR="008077A2">
        <w:t xml:space="preserve">refinement and extension of the </w:t>
      </w:r>
      <w:r w:rsidR="00F47BDA">
        <w:t>study</w:t>
      </w:r>
      <w:r w:rsidR="008077A2">
        <w:t>,</w:t>
      </w:r>
      <w:r w:rsidR="00B022A5">
        <w:t xml:space="preserve"> it seems interesting to </w:t>
      </w:r>
      <w:r w:rsidR="00AA71A1">
        <w:t>extend</w:t>
      </w:r>
      <w:r w:rsidR="008077A2">
        <w:t xml:space="preserve"> the framework </w:t>
      </w:r>
      <w:r w:rsidR="00A47B38">
        <w:t xml:space="preserve">to </w:t>
      </w:r>
      <w:r w:rsidR="00722C62">
        <w:t>cover nitrogen oxides concentration too</w:t>
      </w:r>
      <w:r w:rsidR="00B022A5">
        <w:t xml:space="preserve">, in order to </w:t>
      </w:r>
      <w:r w:rsidR="00AA71A1">
        <w:t xml:space="preserve">develop </w:t>
      </w:r>
      <w:r w:rsidR="00B022A5">
        <w:t>a</w:t>
      </w:r>
      <w:r w:rsidR="00AA71A1">
        <w:t>n overall</w:t>
      </w:r>
      <w:r w:rsidR="00B022A5">
        <w:t xml:space="preserve"> predictive system </w:t>
      </w:r>
      <w:r w:rsidR="00DF321F">
        <w:t>of</w:t>
      </w:r>
      <w:r w:rsidR="00B022A5">
        <w:t xml:space="preserve"> the main pollutants </w:t>
      </w:r>
      <w:r w:rsidR="00085C96">
        <w:t>relevant</w:t>
      </w:r>
      <w:r w:rsidR="008077A2">
        <w:t xml:space="preserve"> for</w:t>
      </w:r>
      <w:r w:rsidR="00B022A5">
        <w:t xml:space="preserve"> </w:t>
      </w:r>
      <w:r w:rsidR="00085C96">
        <w:t>photochemical pollution</w:t>
      </w:r>
      <w:r w:rsidR="00722C62">
        <w:t xml:space="preserve"> and their environmental synergistic impact</w:t>
      </w:r>
      <w:r w:rsidR="008077A2">
        <w:t>.</w:t>
      </w:r>
    </w:p>
    <w:p w14:paraId="4F1327F8" w14:textId="77777777" w:rsidR="00600535" w:rsidRPr="00145A48" w:rsidRDefault="00600535" w:rsidP="00145A48">
      <w:pPr>
        <w:pStyle w:val="CETReference"/>
      </w:pPr>
      <w:r w:rsidRPr="00145A48">
        <w:t>References</w:t>
      </w:r>
    </w:p>
    <w:p w14:paraId="16EA5EB6" w14:textId="5C101A0F" w:rsidR="002C1C13" w:rsidRPr="00145A48" w:rsidRDefault="00A12EB4" w:rsidP="00145A48">
      <w:pPr>
        <w:pStyle w:val="CETReferencetext"/>
      </w:pPr>
      <w:bookmarkStart w:id="0" w:name="_GoBack"/>
      <w:r w:rsidRPr="00145A48">
        <w:t>Abrahamsen</w:t>
      </w:r>
      <w:r w:rsidR="002C1C13" w:rsidRPr="00145A48">
        <w:t xml:space="preserve"> E.B., </w:t>
      </w:r>
      <w:proofErr w:type="spellStart"/>
      <w:r w:rsidR="004E4621" w:rsidRPr="00145A48">
        <w:t>Milazzo</w:t>
      </w:r>
      <w:proofErr w:type="spellEnd"/>
      <w:r w:rsidR="002C1C13" w:rsidRPr="00145A48">
        <w:t xml:space="preserve"> M.F., </w:t>
      </w:r>
      <w:proofErr w:type="spellStart"/>
      <w:r w:rsidR="00A1043C" w:rsidRPr="00145A48">
        <w:t>Selvika</w:t>
      </w:r>
      <w:proofErr w:type="spellEnd"/>
      <w:r w:rsidR="00A1043C" w:rsidRPr="00145A48">
        <w:t xml:space="preserve"> J.T., </w:t>
      </w:r>
      <w:proofErr w:type="spellStart"/>
      <w:r w:rsidR="00A1043C" w:rsidRPr="00145A48">
        <w:t>Asche</w:t>
      </w:r>
      <w:proofErr w:type="spellEnd"/>
      <w:r w:rsidR="004E4621" w:rsidRPr="00145A48">
        <w:t xml:space="preserve"> F., Abrahamsen</w:t>
      </w:r>
      <w:r w:rsidR="002C1C13" w:rsidRPr="00145A48">
        <w:t xml:space="preserve"> H.B., 2020, Prioritising investments in safety measures in the chemical industry by using the Analytic Hierarchy Process, Reliability Engineering &amp; System Safety, 198, </w:t>
      </w:r>
      <w:r w:rsidR="004E4621" w:rsidRPr="00145A48">
        <w:t xml:space="preserve">article </w:t>
      </w:r>
      <w:r w:rsidR="002C1C13" w:rsidRPr="00145A48">
        <w:t>106811</w:t>
      </w:r>
      <w:r w:rsidR="004E4621" w:rsidRPr="00145A48">
        <w:t>.</w:t>
      </w:r>
    </w:p>
    <w:p w14:paraId="57EC0EA3" w14:textId="2FD673EC" w:rsidR="00B73429" w:rsidRPr="00145A48" w:rsidRDefault="00A47B38" w:rsidP="00145A48">
      <w:pPr>
        <w:pStyle w:val="CETReferencetext"/>
      </w:pPr>
      <w:r w:rsidRPr="00145A48">
        <w:t>Cao</w:t>
      </w:r>
      <w:r w:rsidR="00C124BC" w:rsidRPr="00145A48">
        <w:t xml:space="preserve"> L.J., </w:t>
      </w:r>
      <w:proofErr w:type="spellStart"/>
      <w:r w:rsidRPr="00145A48">
        <w:t>Tay</w:t>
      </w:r>
      <w:proofErr w:type="spellEnd"/>
      <w:r w:rsidR="00C124BC" w:rsidRPr="00145A48">
        <w:t xml:space="preserve"> F., 2003. Support vector machine with adaptive parameters in financial time series forecasting. Neural Networks, </w:t>
      </w:r>
      <w:r w:rsidR="00B73429" w:rsidRPr="00145A48">
        <w:t>IEEE Transactions on Neural Networks 14(6), 1506-1518</w:t>
      </w:r>
      <w:r w:rsidR="00C124BC" w:rsidRPr="00145A48">
        <w:t>.</w:t>
      </w:r>
      <w:r w:rsidR="00B73429" w:rsidRPr="00145A48">
        <w:t xml:space="preserve"> </w:t>
      </w:r>
    </w:p>
    <w:p w14:paraId="74C36493" w14:textId="3D796455" w:rsidR="00C640CF" w:rsidRPr="00145A48" w:rsidRDefault="00A47B38" w:rsidP="00145A48">
      <w:pPr>
        <w:pStyle w:val="CETReferencetext"/>
      </w:pPr>
      <w:proofErr w:type="spellStart"/>
      <w:r w:rsidRPr="00145A48">
        <w:t>Cobourn</w:t>
      </w:r>
      <w:proofErr w:type="spellEnd"/>
      <w:r w:rsidRPr="00145A48">
        <w:t xml:space="preserve"> W.G., </w:t>
      </w:r>
      <w:proofErr w:type="spellStart"/>
      <w:r w:rsidRPr="00145A48">
        <w:t>Dolcine</w:t>
      </w:r>
      <w:proofErr w:type="spellEnd"/>
      <w:r w:rsidRPr="00145A48">
        <w:t xml:space="preserve"> L., </w:t>
      </w:r>
      <w:proofErr w:type="spellStart"/>
      <w:r w:rsidRPr="00145A48">
        <w:t>French,M</w:t>
      </w:r>
      <w:proofErr w:type="spellEnd"/>
      <w:r w:rsidRPr="00145A48">
        <w:t>., Hubbard</w:t>
      </w:r>
      <w:r w:rsidR="00B73429" w:rsidRPr="00145A48">
        <w:t xml:space="preserve"> M.C., 2000. A comparison of nonlinear regression and neural network models for ground-level ozone forecasting. J. Ai</w:t>
      </w:r>
      <w:r w:rsidR="00C640CF" w:rsidRPr="00145A48">
        <w:t>r Waste Manage. Assoc. 50, 1999-</w:t>
      </w:r>
      <w:r w:rsidR="00B73429" w:rsidRPr="00145A48">
        <w:t>2009.</w:t>
      </w:r>
      <w:r w:rsidR="00C640CF" w:rsidRPr="00145A48">
        <w:t xml:space="preserve"> </w:t>
      </w:r>
    </w:p>
    <w:p w14:paraId="12735AFE" w14:textId="7C20FE7A" w:rsidR="00384481" w:rsidRPr="00145A48" w:rsidRDefault="00384481" w:rsidP="00145A48">
      <w:pPr>
        <w:pStyle w:val="CETReferencetext"/>
      </w:pPr>
      <w:proofErr w:type="spellStart"/>
      <w:r w:rsidRPr="00145A48">
        <w:t>Chiarioni</w:t>
      </w:r>
      <w:proofErr w:type="spellEnd"/>
      <w:r w:rsidRPr="00145A48">
        <w:t xml:space="preserve"> A., </w:t>
      </w:r>
      <w:proofErr w:type="spellStart"/>
      <w:r w:rsidRPr="00145A48">
        <w:t>Reverberi</w:t>
      </w:r>
      <w:proofErr w:type="spellEnd"/>
      <w:r w:rsidRPr="00145A48">
        <w:t xml:space="preserve"> A.P., Fabiano B., </w:t>
      </w:r>
      <w:proofErr w:type="spellStart"/>
      <w:r w:rsidRPr="00145A48">
        <w:t>Dovì</w:t>
      </w:r>
      <w:proofErr w:type="spellEnd"/>
      <w:r w:rsidRPr="00145A48">
        <w:t xml:space="preserve"> V.G., 2006, An improved model of an ASR pyrolysis reactor for energy recovery, Energy 31, 2460-2468.</w:t>
      </w:r>
    </w:p>
    <w:p w14:paraId="2466A7DA" w14:textId="06F6607B" w:rsidR="00C124BC" w:rsidRPr="00145A48" w:rsidRDefault="00C640CF" w:rsidP="00145A48">
      <w:pPr>
        <w:pStyle w:val="CETReferencetext"/>
      </w:pPr>
      <w:r w:rsidRPr="00145A48">
        <w:t xml:space="preserve">De </w:t>
      </w:r>
      <w:proofErr w:type="spellStart"/>
      <w:r w:rsidRPr="00145A48">
        <w:t>Rademaeker</w:t>
      </w:r>
      <w:proofErr w:type="spellEnd"/>
      <w:r w:rsidRPr="00145A48">
        <w:t xml:space="preserve">, E., Suter, G., </w:t>
      </w:r>
      <w:proofErr w:type="spellStart"/>
      <w:r w:rsidRPr="00145A48">
        <w:t>Pasman</w:t>
      </w:r>
      <w:proofErr w:type="spellEnd"/>
      <w:r w:rsidRPr="00145A48">
        <w:t>, H.J., Fabiano, B. 2014. A review of the past, present and future of the European Loss Prevention and Safety Promotion in the Process Industries. Process Safety and Environmental Protection 92, 280-291.</w:t>
      </w:r>
    </w:p>
    <w:p w14:paraId="11420D7F" w14:textId="3D25DB4B" w:rsidR="00C124BC" w:rsidRPr="00145A48" w:rsidRDefault="00D504A1" w:rsidP="00145A48">
      <w:pPr>
        <w:pStyle w:val="CETReferencetext"/>
      </w:pPr>
      <w:proofErr w:type="spellStart"/>
      <w:r w:rsidRPr="00145A48">
        <w:t>Eapi</w:t>
      </w:r>
      <w:proofErr w:type="spellEnd"/>
      <w:r w:rsidRPr="00145A48">
        <w:t xml:space="preserve"> G.R., Sattler M., </w:t>
      </w:r>
      <w:proofErr w:type="spellStart"/>
      <w:r w:rsidRPr="00145A48">
        <w:t>Manry</w:t>
      </w:r>
      <w:proofErr w:type="spellEnd"/>
      <w:r w:rsidR="00C124BC" w:rsidRPr="00145A48">
        <w:t xml:space="preserve"> M.T., 2013, Comprehensive </w:t>
      </w:r>
      <w:r w:rsidRPr="00145A48">
        <w:t>o</w:t>
      </w:r>
      <w:r w:rsidR="00C124BC" w:rsidRPr="00145A48">
        <w:t xml:space="preserve">zone </w:t>
      </w:r>
      <w:r w:rsidRPr="00145A48">
        <w:t>f</w:t>
      </w:r>
      <w:r w:rsidR="00C124BC" w:rsidRPr="00145A48">
        <w:t xml:space="preserve">orecasting </w:t>
      </w:r>
      <w:r w:rsidRPr="00145A48">
        <w:t>m</w:t>
      </w:r>
      <w:r w:rsidR="00C124BC" w:rsidRPr="00145A48">
        <w:t xml:space="preserve">odel using </w:t>
      </w:r>
      <w:r w:rsidRPr="00145A48">
        <w:t>n</w:t>
      </w:r>
      <w:r w:rsidR="00C124BC" w:rsidRPr="00145A48">
        <w:t xml:space="preserve">eural </w:t>
      </w:r>
      <w:r w:rsidRPr="00145A48">
        <w:t>n</w:t>
      </w:r>
      <w:r w:rsidR="00C124BC" w:rsidRPr="00145A48">
        <w:t xml:space="preserve">etworks, Conference paper. </w:t>
      </w:r>
      <w:hyperlink r:id="rId21" w:history="1">
        <w:r w:rsidR="00C124BC" w:rsidRPr="00145A48">
          <w:t>https://www.researchgate.net/publication/280026476</w:t>
        </w:r>
      </w:hyperlink>
      <w:r w:rsidR="00C124BC" w:rsidRPr="00145A48">
        <w:t>.</w:t>
      </w:r>
    </w:p>
    <w:p w14:paraId="3522B719" w14:textId="4909E4C5" w:rsidR="00EA0E42" w:rsidRPr="00145A48" w:rsidRDefault="00EA0E42" w:rsidP="00145A48">
      <w:pPr>
        <w:pStyle w:val="CETReferencetext"/>
      </w:pPr>
      <w:r w:rsidRPr="00145A48">
        <w:t xml:space="preserve">Fabiano B., </w:t>
      </w:r>
      <w:proofErr w:type="spellStart"/>
      <w:r w:rsidRPr="00145A48">
        <w:t>Vianello</w:t>
      </w:r>
      <w:proofErr w:type="spellEnd"/>
      <w:r w:rsidRPr="00145A48">
        <w:t xml:space="preserve"> C., </w:t>
      </w:r>
      <w:proofErr w:type="spellStart"/>
      <w:r w:rsidRPr="00145A48">
        <w:t>Reverberi</w:t>
      </w:r>
      <w:proofErr w:type="spellEnd"/>
      <w:r w:rsidRPr="00145A48">
        <w:t xml:space="preserve"> A.P., </w:t>
      </w:r>
      <w:proofErr w:type="spellStart"/>
      <w:r w:rsidRPr="00145A48">
        <w:t>Lunghi</w:t>
      </w:r>
      <w:proofErr w:type="spellEnd"/>
      <w:r w:rsidRPr="00145A48">
        <w:t xml:space="preserve"> E., </w:t>
      </w:r>
      <w:proofErr w:type="spellStart"/>
      <w:r w:rsidRPr="00145A48">
        <w:t>Maschio</w:t>
      </w:r>
      <w:proofErr w:type="spellEnd"/>
      <w:r w:rsidRPr="00145A48">
        <w:t xml:space="preserve"> G., 2018, A perspective on Seveso accident based on cause-consequences analysis by three different methods, Journal of Loss Prevention in the Process Industries, 49, 18-35.</w:t>
      </w:r>
    </w:p>
    <w:p w14:paraId="2E0C7690" w14:textId="77777777" w:rsidR="00C124BC" w:rsidRPr="00145A48" w:rsidRDefault="00C124BC" w:rsidP="00145A48">
      <w:pPr>
        <w:pStyle w:val="CETReferencetext"/>
      </w:pPr>
      <w:proofErr w:type="spellStart"/>
      <w:r w:rsidRPr="00145A48">
        <w:t>García</w:t>
      </w:r>
      <w:proofErr w:type="spellEnd"/>
      <w:r w:rsidRPr="00145A48">
        <w:t>, I., Rodríguez, J.G.,</w:t>
      </w:r>
      <w:proofErr w:type="spellStart"/>
      <w:r w:rsidRPr="00145A48">
        <w:t>Tenorio</w:t>
      </w:r>
      <w:proofErr w:type="spellEnd"/>
      <w:r w:rsidRPr="00145A48">
        <w:t xml:space="preserve">, Y.M., 2011, Artificial Neural Network Models for prediction of ozone concentrations in Guadalajara, Mexico, Air Quality-Models and Applications, </w:t>
      </w:r>
      <w:proofErr w:type="spellStart"/>
      <w:r w:rsidRPr="00145A48">
        <w:t>InTechOpen</w:t>
      </w:r>
      <w:proofErr w:type="spellEnd"/>
      <w:r w:rsidRPr="00145A48">
        <w:t xml:space="preserve"> 2011.</w:t>
      </w:r>
    </w:p>
    <w:p w14:paraId="2F2D3959" w14:textId="2FCFC473" w:rsidR="00C124BC" w:rsidRPr="00145A48" w:rsidRDefault="00A47B38" w:rsidP="00145A48">
      <w:pPr>
        <w:pStyle w:val="CETReferencetext"/>
      </w:pPr>
      <w:proofErr w:type="spellStart"/>
      <w:r w:rsidRPr="00145A48">
        <w:t>Ke</w:t>
      </w:r>
      <w:proofErr w:type="spellEnd"/>
      <w:r w:rsidRPr="00145A48">
        <w:t xml:space="preserve"> G., </w:t>
      </w:r>
      <w:proofErr w:type="spellStart"/>
      <w:r w:rsidRPr="00145A48">
        <w:t>Meng</w:t>
      </w:r>
      <w:proofErr w:type="spellEnd"/>
      <w:r w:rsidRPr="00145A48">
        <w:t xml:space="preserve"> Q., Finley T., Wang T., Chen W., Ma W., Ye Q., Liu T.</w:t>
      </w:r>
      <w:r w:rsidR="00D504A1" w:rsidRPr="00145A48">
        <w:t>,</w:t>
      </w:r>
      <w:r w:rsidR="00C124BC" w:rsidRPr="00145A48">
        <w:t xml:space="preserve"> 2017, </w:t>
      </w:r>
      <w:hyperlink r:id="rId22" w:history="1">
        <w:proofErr w:type="spellStart"/>
        <w:r w:rsidR="005D33E8" w:rsidRPr="00145A48">
          <w:t>LightGBM</w:t>
        </w:r>
        <w:proofErr w:type="spellEnd"/>
        <w:r w:rsidR="005D33E8" w:rsidRPr="00145A48">
          <w:t>: A highly efficient gradient boosting decision t</w:t>
        </w:r>
        <w:r w:rsidR="00C124BC" w:rsidRPr="00145A48">
          <w:t>ree</w:t>
        </w:r>
      </w:hyperlink>
      <w:r w:rsidR="00C124BC" w:rsidRPr="00145A48">
        <w:t>. Advances in Neural Inf</w:t>
      </w:r>
      <w:r w:rsidR="005D33E8" w:rsidRPr="00145A48">
        <w:t>ormation Processing Systems 30, 3146-3154.</w:t>
      </w:r>
    </w:p>
    <w:p w14:paraId="74FDC64C" w14:textId="77777777" w:rsidR="00C124BC" w:rsidRPr="00145A48" w:rsidRDefault="00C124BC" w:rsidP="00145A48">
      <w:pPr>
        <w:pStyle w:val="CETReferencetext"/>
      </w:pPr>
      <w:proofErr w:type="spellStart"/>
      <w:r w:rsidRPr="00145A48">
        <w:t>Regione</w:t>
      </w:r>
      <w:proofErr w:type="spellEnd"/>
      <w:r w:rsidRPr="00145A48">
        <w:t xml:space="preserve"> Liguria, ARPAL, </w:t>
      </w:r>
      <w:proofErr w:type="spellStart"/>
      <w:r w:rsidRPr="00145A48">
        <w:t>Valutazione</w:t>
      </w:r>
      <w:proofErr w:type="spellEnd"/>
      <w:r w:rsidRPr="00145A48">
        <w:t xml:space="preserve"> </w:t>
      </w:r>
      <w:proofErr w:type="spellStart"/>
      <w:r w:rsidRPr="00145A48">
        <w:t>annuali</w:t>
      </w:r>
      <w:proofErr w:type="spellEnd"/>
      <w:r w:rsidRPr="00145A48">
        <w:t xml:space="preserve"> di </w:t>
      </w:r>
      <w:proofErr w:type="spellStart"/>
      <w:r w:rsidRPr="00145A48">
        <w:t>qualità</w:t>
      </w:r>
      <w:proofErr w:type="spellEnd"/>
      <w:r w:rsidRPr="00145A48">
        <w:t xml:space="preserve"> </w:t>
      </w:r>
      <w:proofErr w:type="spellStart"/>
      <w:r w:rsidRPr="00145A48">
        <w:t>dell’aria</w:t>
      </w:r>
      <w:proofErr w:type="spellEnd"/>
      <w:r w:rsidRPr="00145A48">
        <w:t xml:space="preserve">, 2018, Regional annual air quality report, </w:t>
      </w:r>
      <w:hyperlink r:id="rId23" w:history="1">
        <w:r w:rsidRPr="00145A48">
          <w:t>http://www.ambienteinliguria.it/eco3/DTS_GENERALE/20191014/ValutazioneAnnuale_2018.pdf</w:t>
        </w:r>
      </w:hyperlink>
    </w:p>
    <w:p w14:paraId="788B52F8" w14:textId="575457CC" w:rsidR="00B676EF" w:rsidRPr="00145A48" w:rsidRDefault="00B676EF" w:rsidP="00145A48">
      <w:pPr>
        <w:pStyle w:val="CETReferencetext"/>
      </w:pPr>
      <w:proofErr w:type="spellStart"/>
      <w:r w:rsidRPr="00145A48">
        <w:t>Sikorova</w:t>
      </w:r>
      <w:proofErr w:type="spellEnd"/>
      <w:r w:rsidRPr="00145A48">
        <w:t xml:space="preserve"> K., </w:t>
      </w:r>
      <w:proofErr w:type="spellStart"/>
      <w:r w:rsidRPr="00145A48">
        <w:t>Bernatik</w:t>
      </w:r>
      <w:proofErr w:type="spellEnd"/>
      <w:r w:rsidRPr="00145A48">
        <w:t xml:space="preserve"> A., </w:t>
      </w:r>
      <w:proofErr w:type="spellStart"/>
      <w:r w:rsidRPr="00145A48">
        <w:t>Lunghi</w:t>
      </w:r>
      <w:proofErr w:type="spellEnd"/>
      <w:r w:rsidRPr="00145A48">
        <w:t xml:space="preserve"> E., Fabiano, B., 2017, Lessons learned from environmental risk assessment within the framework of Seveso Directive in Czech Republic and Italy, Journal of Loss Prevention in the Process Industries, 49, 47-60.</w:t>
      </w:r>
    </w:p>
    <w:p w14:paraId="46AD4FF0" w14:textId="43EDA5D4" w:rsidR="00C124BC" w:rsidRPr="00145A48" w:rsidRDefault="00C124BC" w:rsidP="00145A48">
      <w:pPr>
        <w:pStyle w:val="CETReferencetext"/>
      </w:pPr>
      <w:proofErr w:type="spellStart"/>
      <w:r w:rsidRPr="00145A48">
        <w:t>Vairo</w:t>
      </w:r>
      <w:proofErr w:type="spellEnd"/>
      <w:r w:rsidRPr="00145A48">
        <w:t xml:space="preserve"> T., </w:t>
      </w:r>
      <w:proofErr w:type="spellStart"/>
      <w:r w:rsidRPr="00145A48">
        <w:t>Currò</w:t>
      </w:r>
      <w:proofErr w:type="spellEnd"/>
      <w:r w:rsidRPr="00145A48">
        <w:t xml:space="preserve">, F., </w:t>
      </w:r>
      <w:proofErr w:type="spellStart"/>
      <w:r w:rsidRPr="00145A48">
        <w:t>Scarselli</w:t>
      </w:r>
      <w:proofErr w:type="spellEnd"/>
      <w:r w:rsidRPr="00145A48">
        <w:t>, S., Fabiano, B., 2014. Atmospheric emissions from a fossil fuel power station: dispersion modelling a</w:t>
      </w:r>
      <w:r w:rsidR="007345DC" w:rsidRPr="00145A48">
        <w:t>nd experimental comparison. Chemical</w:t>
      </w:r>
      <w:r w:rsidRPr="00145A48">
        <w:t xml:space="preserve"> Eng</w:t>
      </w:r>
      <w:r w:rsidR="007345DC" w:rsidRPr="00145A48">
        <w:t>ineering</w:t>
      </w:r>
      <w:r w:rsidRPr="00145A48">
        <w:t xml:space="preserve"> Trans</w:t>
      </w:r>
      <w:r w:rsidR="007345DC" w:rsidRPr="00145A48">
        <w:t>actions</w:t>
      </w:r>
      <w:r w:rsidRPr="00145A48">
        <w:t xml:space="preserve"> 36, 295-300, DOI:10.3303/CET1436050</w:t>
      </w:r>
    </w:p>
    <w:p w14:paraId="2E438134" w14:textId="6C9A8220" w:rsidR="006E6C18" w:rsidRPr="00145A48" w:rsidRDefault="006E6C18" w:rsidP="00145A48">
      <w:pPr>
        <w:pStyle w:val="CETReferencetext"/>
      </w:pPr>
      <w:proofErr w:type="spellStart"/>
      <w:r w:rsidRPr="00145A48">
        <w:t>Vairo</w:t>
      </w:r>
      <w:proofErr w:type="spellEnd"/>
      <w:r w:rsidRPr="00145A48">
        <w:t xml:space="preserve"> T., Del </w:t>
      </w:r>
      <w:proofErr w:type="spellStart"/>
      <w:r w:rsidRPr="00145A48">
        <w:t>Giudice</w:t>
      </w:r>
      <w:proofErr w:type="spellEnd"/>
      <w:r w:rsidRPr="00145A48">
        <w:t xml:space="preserve"> T., </w:t>
      </w:r>
      <w:proofErr w:type="spellStart"/>
      <w:r w:rsidRPr="00145A48">
        <w:t>Quagliati</w:t>
      </w:r>
      <w:proofErr w:type="spellEnd"/>
      <w:r w:rsidRPr="00145A48">
        <w:t xml:space="preserve"> M., </w:t>
      </w:r>
      <w:proofErr w:type="spellStart"/>
      <w:r w:rsidRPr="00145A48">
        <w:t>Barbucci</w:t>
      </w:r>
      <w:proofErr w:type="spellEnd"/>
      <w:r w:rsidRPr="00145A48">
        <w:t xml:space="preserve"> A., Fabiano B., 2017, From land- to water-use-planning: A </w:t>
      </w:r>
      <w:r w:rsidR="00EA5100" w:rsidRPr="00145A48">
        <w:t>consequence-based</w:t>
      </w:r>
      <w:r w:rsidRPr="00145A48">
        <w:t xml:space="preserve"> case-study related to cruise ship risk, Safety Science 97, 120-133.</w:t>
      </w:r>
    </w:p>
    <w:p w14:paraId="7596E073" w14:textId="77777777" w:rsidR="006E6C18" w:rsidRPr="00145A48" w:rsidRDefault="006E6C18" w:rsidP="00145A48">
      <w:pPr>
        <w:pStyle w:val="CETReferencetext"/>
      </w:pPr>
      <w:proofErr w:type="spellStart"/>
      <w:r w:rsidRPr="00145A48">
        <w:t>Vairo</w:t>
      </w:r>
      <w:proofErr w:type="spellEnd"/>
      <w:r w:rsidRPr="00145A48">
        <w:t xml:space="preserve"> T., </w:t>
      </w:r>
      <w:proofErr w:type="spellStart"/>
      <w:r w:rsidRPr="00145A48">
        <w:t>Lecca</w:t>
      </w:r>
      <w:proofErr w:type="spellEnd"/>
      <w:r w:rsidRPr="00145A48">
        <w:t xml:space="preserve"> M., </w:t>
      </w:r>
      <w:proofErr w:type="spellStart"/>
      <w:r w:rsidRPr="00145A48">
        <w:t>Trovatore</w:t>
      </w:r>
      <w:proofErr w:type="spellEnd"/>
      <w:r w:rsidRPr="00145A48">
        <w:t xml:space="preserve"> E., </w:t>
      </w:r>
      <w:proofErr w:type="spellStart"/>
      <w:r w:rsidRPr="00145A48">
        <w:t>Reverberi</w:t>
      </w:r>
      <w:proofErr w:type="spellEnd"/>
      <w:r w:rsidRPr="00145A48">
        <w:t xml:space="preserve"> A., Fabiano B., 2019, A Bayesian Belief Network for local air quality forecasting, Chemical Engineering Transactions, 74, 271-276 DOI:10.3303/CET1974046</w:t>
      </w:r>
    </w:p>
    <w:p w14:paraId="1EA5C1AA" w14:textId="7025C891" w:rsidR="00C124BC" w:rsidRPr="00145A48" w:rsidRDefault="00C124BC" w:rsidP="00145A48">
      <w:pPr>
        <w:pStyle w:val="CETReferencetext"/>
      </w:pPr>
      <w:r w:rsidRPr="00145A48">
        <w:t xml:space="preserve">Wang B., </w:t>
      </w:r>
      <w:proofErr w:type="spellStart"/>
      <w:r w:rsidRPr="00145A48">
        <w:t>Quian</w:t>
      </w:r>
      <w:proofErr w:type="spellEnd"/>
      <w:r w:rsidRPr="00145A48">
        <w:t xml:space="preserve"> F. 2018. </w:t>
      </w:r>
      <w:r w:rsidR="00EA5100" w:rsidRPr="00145A48">
        <w:t>Three-dimensional</w:t>
      </w:r>
      <w:r w:rsidRPr="00145A48">
        <w:t xml:space="preserve"> gas dispersion </w:t>
      </w:r>
      <w:proofErr w:type="spellStart"/>
      <w:r w:rsidRPr="00145A48">
        <w:t>modeling</w:t>
      </w:r>
      <w:proofErr w:type="spellEnd"/>
      <w:r w:rsidRPr="00145A48">
        <w:t xml:space="preserve"> using cellular automata and artificial neural network in urban environment. Process Safety and Enviro</w:t>
      </w:r>
      <w:r w:rsidR="005D33E8" w:rsidRPr="00145A48">
        <w:t>nmental Protection</w:t>
      </w:r>
      <w:r w:rsidR="00722C62" w:rsidRPr="00145A48">
        <w:t>,</w:t>
      </w:r>
      <w:r w:rsidR="005D33E8" w:rsidRPr="00145A48">
        <w:t xml:space="preserve"> </w:t>
      </w:r>
      <w:r w:rsidR="00EA5100" w:rsidRPr="00145A48">
        <w:t>120, 286</w:t>
      </w:r>
      <w:r w:rsidR="005D33E8" w:rsidRPr="00145A48">
        <w:t>-30</w:t>
      </w:r>
      <w:r w:rsidR="004E4621" w:rsidRPr="00145A48">
        <w:t>.</w:t>
      </w:r>
    </w:p>
    <w:p w14:paraId="089A95F2" w14:textId="283E5742" w:rsidR="00C124BC" w:rsidRPr="00145A48" w:rsidRDefault="00D504A1" w:rsidP="00145A48">
      <w:pPr>
        <w:pStyle w:val="CETReferencetext"/>
      </w:pPr>
      <w:r w:rsidRPr="00145A48">
        <w:t>Zhang</w:t>
      </w:r>
      <w:r w:rsidR="00C124BC" w:rsidRPr="00145A48">
        <w:t xml:space="preserve"> Y.,</w:t>
      </w:r>
      <w:r w:rsidRPr="00145A48">
        <w:t xml:space="preserve"> Wang</w:t>
      </w:r>
      <w:r w:rsidR="00C124BC" w:rsidRPr="00145A48">
        <w:t xml:space="preserve"> Y., G</w:t>
      </w:r>
      <w:r w:rsidRPr="00145A48">
        <w:t>ao</w:t>
      </w:r>
      <w:r w:rsidR="00C124BC" w:rsidRPr="00145A48">
        <w:t xml:space="preserve"> M., </w:t>
      </w:r>
      <w:r w:rsidRPr="00145A48">
        <w:t>Ma</w:t>
      </w:r>
      <w:r w:rsidR="00C124BC" w:rsidRPr="00145A48">
        <w:t xml:space="preserve"> Q., </w:t>
      </w:r>
      <w:r w:rsidRPr="00145A48">
        <w:t>Zhao</w:t>
      </w:r>
      <w:r w:rsidR="00C124BC" w:rsidRPr="00145A48">
        <w:t xml:space="preserve"> J.,</w:t>
      </w:r>
      <w:r w:rsidRPr="00145A48">
        <w:t xml:space="preserve"> Zhang</w:t>
      </w:r>
      <w:r w:rsidR="00C124BC" w:rsidRPr="00145A48">
        <w:t xml:space="preserve"> R.,</w:t>
      </w:r>
      <w:r w:rsidRPr="00145A48">
        <w:t xml:space="preserve"> Wang</w:t>
      </w:r>
      <w:r w:rsidR="00C124BC" w:rsidRPr="00145A48">
        <w:t xml:space="preserve"> Q.,</w:t>
      </w:r>
      <w:r w:rsidRPr="00145A48">
        <w:t xml:space="preserve"> Huang</w:t>
      </w:r>
      <w:r w:rsidR="00C124BC" w:rsidRPr="00145A48">
        <w:t xml:space="preserve"> </w:t>
      </w:r>
      <w:r w:rsidR="00EA5100" w:rsidRPr="00145A48">
        <w:t>L,</w:t>
      </w:r>
      <w:r w:rsidR="00C124BC" w:rsidRPr="00145A48">
        <w:t xml:space="preserve"> 2019. A </w:t>
      </w:r>
      <w:r w:rsidRPr="00145A48">
        <w:t>p</w:t>
      </w:r>
      <w:r w:rsidR="00C124BC" w:rsidRPr="00145A48">
        <w:t xml:space="preserve">redictive </w:t>
      </w:r>
      <w:r w:rsidRPr="00145A48">
        <w:t>d</w:t>
      </w:r>
      <w:r w:rsidR="00C124BC" w:rsidRPr="00145A48">
        <w:t xml:space="preserve">ata </w:t>
      </w:r>
      <w:r w:rsidRPr="00145A48">
        <w:t>f</w:t>
      </w:r>
      <w:r w:rsidR="00C124BC" w:rsidRPr="00145A48">
        <w:t xml:space="preserve">eature </w:t>
      </w:r>
      <w:r w:rsidRPr="00145A48">
        <w:t>e</w:t>
      </w:r>
      <w:r w:rsidR="00C124BC" w:rsidRPr="00145A48">
        <w:t>xploration-</w:t>
      </w:r>
      <w:r w:rsidRPr="00145A48">
        <w:t>b</w:t>
      </w:r>
      <w:r w:rsidR="00C124BC" w:rsidRPr="00145A48">
        <w:t xml:space="preserve">ased </w:t>
      </w:r>
      <w:r w:rsidRPr="00145A48">
        <w:t>a</w:t>
      </w:r>
      <w:r w:rsidR="00C124BC" w:rsidRPr="00145A48">
        <w:t xml:space="preserve">ir </w:t>
      </w:r>
      <w:r w:rsidRPr="00145A48">
        <w:t>q</w:t>
      </w:r>
      <w:r w:rsidR="00C124BC" w:rsidRPr="00145A48">
        <w:t xml:space="preserve">uality </w:t>
      </w:r>
      <w:r w:rsidRPr="00145A48">
        <w:t>p</w:t>
      </w:r>
      <w:r w:rsidR="00C640CF" w:rsidRPr="00145A48">
        <w:t xml:space="preserve">rediction </w:t>
      </w:r>
      <w:r w:rsidRPr="00145A48">
        <w:t>a</w:t>
      </w:r>
      <w:r w:rsidR="00C640CF" w:rsidRPr="00145A48">
        <w:t>pproach. IEEE Access 7,</w:t>
      </w:r>
      <w:r w:rsidR="00C124BC" w:rsidRPr="00145A48">
        <w:t xml:space="preserve"> </w:t>
      </w:r>
      <w:r w:rsidR="00C640CF" w:rsidRPr="00145A48">
        <w:t>30732-30743.</w:t>
      </w:r>
    </w:p>
    <w:p w14:paraId="2D771C10" w14:textId="77777777" w:rsidR="00C124BC" w:rsidRPr="00145A48" w:rsidRDefault="00C124BC" w:rsidP="00145A48">
      <w:pPr>
        <w:pStyle w:val="CETReferencetext"/>
      </w:pPr>
    </w:p>
    <w:p w14:paraId="24B844AC" w14:textId="77777777" w:rsidR="00D87768" w:rsidRPr="00145A48" w:rsidRDefault="00D87768" w:rsidP="00145A48">
      <w:pPr>
        <w:pStyle w:val="CETReferencetext"/>
      </w:pPr>
    </w:p>
    <w:p w14:paraId="47CBE113" w14:textId="77777777" w:rsidR="00661D97" w:rsidRPr="00145A48" w:rsidRDefault="00661D97" w:rsidP="00145A48">
      <w:pPr>
        <w:pStyle w:val="CETReferencetext"/>
      </w:pPr>
    </w:p>
    <w:bookmarkEnd w:id="0"/>
    <w:p w14:paraId="6D072248" w14:textId="77777777" w:rsidR="00C124BC" w:rsidRPr="00145A48" w:rsidRDefault="00C124BC" w:rsidP="00145A48">
      <w:pPr>
        <w:pStyle w:val="CETReferencetext"/>
      </w:pPr>
    </w:p>
    <w:sectPr w:rsidR="00C124BC" w:rsidRPr="00145A48"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1419F" w14:textId="77777777" w:rsidR="004D2994" w:rsidRDefault="004D2994" w:rsidP="004F5E36">
      <w:r>
        <w:separator/>
      </w:r>
    </w:p>
  </w:endnote>
  <w:endnote w:type="continuationSeparator" w:id="0">
    <w:p w14:paraId="4EEB1342" w14:textId="77777777" w:rsidR="004D2994" w:rsidRDefault="004D299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B48BC" w14:textId="77777777" w:rsidR="004D2994" w:rsidRDefault="004D2994" w:rsidP="004F5E36">
      <w:r>
        <w:separator/>
      </w:r>
    </w:p>
  </w:footnote>
  <w:footnote w:type="continuationSeparator" w:id="0">
    <w:p w14:paraId="4C3E6D4C" w14:textId="77777777" w:rsidR="004D2994" w:rsidRDefault="004D2994"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18F76D4A"/>
    <w:multiLevelType w:val="hybridMultilevel"/>
    <w:tmpl w:val="DD6AD054"/>
    <w:lvl w:ilvl="0" w:tplc="0410000F">
      <w:start w:val="1"/>
      <w:numFmt w:val="decimal"/>
      <w:lvlText w:val="%1."/>
      <w:lvlJc w:val="left"/>
      <w:pPr>
        <w:ind w:left="1021" w:hanging="227"/>
      </w:pPr>
      <w:rPr>
        <w:rFonts w:hint="default"/>
      </w:rPr>
    </w:lvl>
    <w:lvl w:ilvl="1" w:tplc="04100003" w:tentative="1">
      <w:start w:val="1"/>
      <w:numFmt w:val="bullet"/>
      <w:lvlText w:val="o"/>
      <w:lvlJc w:val="left"/>
      <w:pPr>
        <w:ind w:left="2121" w:hanging="360"/>
      </w:pPr>
      <w:rPr>
        <w:rFonts w:ascii="Courier New" w:hAnsi="Courier New" w:cs="Courier New" w:hint="default"/>
      </w:rPr>
    </w:lvl>
    <w:lvl w:ilvl="2" w:tplc="04100005" w:tentative="1">
      <w:start w:val="1"/>
      <w:numFmt w:val="bullet"/>
      <w:lvlText w:val=""/>
      <w:lvlJc w:val="left"/>
      <w:pPr>
        <w:ind w:left="2841" w:hanging="360"/>
      </w:pPr>
      <w:rPr>
        <w:rFonts w:ascii="Wingdings" w:hAnsi="Wingdings" w:hint="default"/>
      </w:rPr>
    </w:lvl>
    <w:lvl w:ilvl="3" w:tplc="04100001" w:tentative="1">
      <w:start w:val="1"/>
      <w:numFmt w:val="bullet"/>
      <w:lvlText w:val=""/>
      <w:lvlJc w:val="left"/>
      <w:pPr>
        <w:ind w:left="3561" w:hanging="360"/>
      </w:pPr>
      <w:rPr>
        <w:rFonts w:ascii="Symbol" w:hAnsi="Symbol" w:hint="default"/>
      </w:rPr>
    </w:lvl>
    <w:lvl w:ilvl="4" w:tplc="04100003" w:tentative="1">
      <w:start w:val="1"/>
      <w:numFmt w:val="bullet"/>
      <w:lvlText w:val="o"/>
      <w:lvlJc w:val="left"/>
      <w:pPr>
        <w:ind w:left="4281" w:hanging="360"/>
      </w:pPr>
      <w:rPr>
        <w:rFonts w:ascii="Courier New" w:hAnsi="Courier New" w:cs="Courier New" w:hint="default"/>
      </w:rPr>
    </w:lvl>
    <w:lvl w:ilvl="5" w:tplc="04100005" w:tentative="1">
      <w:start w:val="1"/>
      <w:numFmt w:val="bullet"/>
      <w:lvlText w:val=""/>
      <w:lvlJc w:val="left"/>
      <w:pPr>
        <w:ind w:left="5001" w:hanging="360"/>
      </w:pPr>
      <w:rPr>
        <w:rFonts w:ascii="Wingdings" w:hAnsi="Wingdings" w:hint="default"/>
      </w:rPr>
    </w:lvl>
    <w:lvl w:ilvl="6" w:tplc="04100001" w:tentative="1">
      <w:start w:val="1"/>
      <w:numFmt w:val="bullet"/>
      <w:lvlText w:val=""/>
      <w:lvlJc w:val="left"/>
      <w:pPr>
        <w:ind w:left="5721" w:hanging="360"/>
      </w:pPr>
      <w:rPr>
        <w:rFonts w:ascii="Symbol" w:hAnsi="Symbol" w:hint="default"/>
      </w:rPr>
    </w:lvl>
    <w:lvl w:ilvl="7" w:tplc="04100003" w:tentative="1">
      <w:start w:val="1"/>
      <w:numFmt w:val="bullet"/>
      <w:lvlText w:val="o"/>
      <w:lvlJc w:val="left"/>
      <w:pPr>
        <w:ind w:left="6441" w:hanging="360"/>
      </w:pPr>
      <w:rPr>
        <w:rFonts w:ascii="Courier New" w:hAnsi="Courier New" w:cs="Courier New" w:hint="default"/>
      </w:rPr>
    </w:lvl>
    <w:lvl w:ilvl="8" w:tplc="04100005" w:tentative="1">
      <w:start w:val="1"/>
      <w:numFmt w:val="bullet"/>
      <w:lvlText w:val=""/>
      <w:lvlJc w:val="left"/>
      <w:pPr>
        <w:ind w:left="7161" w:hanging="360"/>
      </w:pPr>
      <w:rPr>
        <w:rFonts w:ascii="Wingdings" w:hAnsi="Wingdings" w:hint="default"/>
      </w:rPr>
    </w:lvl>
  </w:abstractNum>
  <w:abstractNum w:abstractNumId="11">
    <w:nsid w:val="2438217E"/>
    <w:multiLevelType w:val="multilevel"/>
    <w:tmpl w:val="F7C4CAFA"/>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51E0394"/>
    <w:multiLevelType w:val="hybridMultilevel"/>
    <w:tmpl w:val="F0FCAE34"/>
    <w:lvl w:ilvl="0" w:tplc="14B0F7A8">
      <w:start w:val="1"/>
      <w:numFmt w:val="bullet"/>
      <w:pStyle w:val="CETnumberingbullets"/>
      <w:lvlText w:val=""/>
      <w:lvlJc w:val="left"/>
      <w:pPr>
        <w:ind w:left="340" w:hanging="227"/>
      </w:pPr>
      <w:rPr>
        <w:rFonts w:ascii="Symbol" w:hAnsi="Symbol" w:hint="default"/>
      </w:rPr>
    </w:lvl>
    <w:lvl w:ilvl="1" w:tplc="6EE6E460">
      <w:numFmt w:val="bullet"/>
      <w:lvlText w:val="-"/>
      <w:lvlJc w:val="left"/>
      <w:pPr>
        <w:ind w:left="1665" w:hanging="585"/>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1057968"/>
    <w:multiLevelType w:val="multilevel"/>
    <w:tmpl w:val="9A1A490E"/>
    <w:lvl w:ilvl="0">
      <w:start w:val="1"/>
      <w:numFmt w:val="decimal"/>
      <w:lvlText w:val="%1."/>
      <w:lvlJc w:val="left"/>
      <w:pPr>
        <w:ind w:left="113" w:firstLine="0"/>
      </w:pPr>
      <w:rPr>
        <w:rFonts w:hint="default"/>
      </w:rPr>
    </w:lvl>
    <w:lvl w:ilvl="1">
      <w:start w:val="1"/>
      <w:numFmt w:val="decimal"/>
      <w:suff w:val="space"/>
      <w:lvlText w:val="%2."/>
      <w:lvlJc w:val="left"/>
      <w:pPr>
        <w:ind w:left="113" w:firstLine="0"/>
      </w:pPr>
      <w:rPr>
        <w:rFonts w:hint="default"/>
      </w:rPr>
    </w:lvl>
    <w:lvl w:ilvl="2">
      <w:start w:val="1"/>
      <w:numFmt w:val="decimal"/>
      <w:suff w:val="space"/>
      <w:lvlText w:val="%2.%3"/>
      <w:lvlJc w:val="left"/>
      <w:pPr>
        <w:ind w:left="113" w:firstLine="0"/>
      </w:pPr>
      <w:rPr>
        <w:rFonts w:hint="default"/>
      </w:rPr>
    </w:lvl>
    <w:lvl w:ilvl="3">
      <w:start w:val="1"/>
      <w:numFmt w:val="decimal"/>
      <w:suff w:val="space"/>
      <w:lvlText w:val="%2.%3.%4."/>
      <w:lvlJc w:val="left"/>
      <w:pPr>
        <w:ind w:left="113" w:firstLine="0"/>
      </w:pPr>
      <w:rPr>
        <w:rFonts w:hint="default"/>
      </w:rPr>
    </w:lvl>
    <w:lvl w:ilvl="4">
      <w:start w:val="1"/>
      <w:numFmt w:val="decimal"/>
      <w:suff w:val="space"/>
      <w:lvlText w:val="%1.%2.%3.%4.%5."/>
      <w:lvlJc w:val="left"/>
      <w:pPr>
        <w:ind w:left="113" w:firstLine="0"/>
      </w:pPr>
      <w:rPr>
        <w:rFonts w:hint="default"/>
      </w:rPr>
    </w:lvl>
    <w:lvl w:ilvl="5">
      <w:start w:val="1"/>
      <w:numFmt w:val="decimal"/>
      <w:suff w:val="space"/>
      <w:lvlText w:val="%1.%2.%3.%4.%5.%6."/>
      <w:lvlJc w:val="left"/>
      <w:pPr>
        <w:ind w:left="113" w:firstLine="0"/>
      </w:pPr>
      <w:rPr>
        <w:rFonts w:hint="default"/>
      </w:rPr>
    </w:lvl>
    <w:lvl w:ilvl="6">
      <w:start w:val="1"/>
      <w:numFmt w:val="decimal"/>
      <w:suff w:val="space"/>
      <w:lvlText w:val="%1.%2.%3.%4.%5.%6.%7."/>
      <w:lvlJc w:val="left"/>
      <w:pPr>
        <w:ind w:left="113" w:firstLine="0"/>
      </w:pPr>
      <w:rPr>
        <w:rFonts w:hint="default"/>
      </w:rPr>
    </w:lvl>
    <w:lvl w:ilvl="7">
      <w:start w:val="1"/>
      <w:numFmt w:val="decimal"/>
      <w:suff w:val="space"/>
      <w:lvlText w:val="%1.%2.%3.%4.%5.%6.%7.%8."/>
      <w:lvlJc w:val="left"/>
      <w:pPr>
        <w:ind w:left="113" w:firstLine="0"/>
      </w:pPr>
      <w:rPr>
        <w:rFonts w:hint="default"/>
      </w:rPr>
    </w:lvl>
    <w:lvl w:ilvl="8">
      <w:start w:val="1"/>
      <w:numFmt w:val="decimal"/>
      <w:suff w:val="space"/>
      <w:lvlText w:val="%1..%3.%4.%5.%6.%7.%8.%9."/>
      <w:lvlJc w:val="left"/>
      <w:pPr>
        <w:ind w:left="113" w:firstLine="0"/>
      </w:pPr>
      <w:rPr>
        <w:rFonts w:hint="default"/>
      </w:rPr>
    </w:lvl>
  </w:abstractNum>
  <w:abstractNum w:abstractNumId="17">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672784A"/>
    <w:multiLevelType w:val="hybridMultilevel"/>
    <w:tmpl w:val="57585F42"/>
    <w:lvl w:ilvl="0" w:tplc="7E6EC8D0">
      <w:start w:val="1"/>
      <w:numFmt w:val="upp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22">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B2B7E54"/>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142"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2"/>
  </w:num>
  <w:num w:numId="16">
    <w:abstractNumId w:val="20"/>
  </w:num>
  <w:num w:numId="17">
    <w:abstractNumId w:val="12"/>
  </w:num>
  <w:num w:numId="18">
    <w:abstractNumId w:val="13"/>
    <w:lvlOverride w:ilvl="0">
      <w:startOverride w:val="1"/>
    </w:lvlOverride>
  </w:num>
  <w:num w:numId="19">
    <w:abstractNumId w:val="17"/>
  </w:num>
  <w:num w:numId="20">
    <w:abstractNumId w:val="15"/>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6"/>
  </w:num>
  <w:num w:numId="25">
    <w:abstractNumId w:val="10"/>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23498"/>
    <w:rsid w:val="0003148D"/>
    <w:rsid w:val="00051566"/>
    <w:rsid w:val="000542D8"/>
    <w:rsid w:val="00062A9A"/>
    <w:rsid w:val="00065058"/>
    <w:rsid w:val="00085C96"/>
    <w:rsid w:val="00086C39"/>
    <w:rsid w:val="00097B94"/>
    <w:rsid w:val="000A03B2"/>
    <w:rsid w:val="000D0268"/>
    <w:rsid w:val="000D30DB"/>
    <w:rsid w:val="000D34BE"/>
    <w:rsid w:val="000E102F"/>
    <w:rsid w:val="000E36F1"/>
    <w:rsid w:val="000E3A73"/>
    <w:rsid w:val="000E414A"/>
    <w:rsid w:val="000F093C"/>
    <w:rsid w:val="000F74E8"/>
    <w:rsid w:val="000F787B"/>
    <w:rsid w:val="00100833"/>
    <w:rsid w:val="0012091F"/>
    <w:rsid w:val="00126BC2"/>
    <w:rsid w:val="00127A2D"/>
    <w:rsid w:val="001308B6"/>
    <w:rsid w:val="0013121F"/>
    <w:rsid w:val="00131FE6"/>
    <w:rsid w:val="0013263F"/>
    <w:rsid w:val="00132915"/>
    <w:rsid w:val="00134DE4"/>
    <w:rsid w:val="0014034D"/>
    <w:rsid w:val="00145A48"/>
    <w:rsid w:val="00150E59"/>
    <w:rsid w:val="00152DE3"/>
    <w:rsid w:val="001548FD"/>
    <w:rsid w:val="00164CF9"/>
    <w:rsid w:val="001667A6"/>
    <w:rsid w:val="00184AD6"/>
    <w:rsid w:val="001A4AF7"/>
    <w:rsid w:val="001B0349"/>
    <w:rsid w:val="001B65C1"/>
    <w:rsid w:val="001C684B"/>
    <w:rsid w:val="001C7A65"/>
    <w:rsid w:val="001D53FC"/>
    <w:rsid w:val="001F42A5"/>
    <w:rsid w:val="001F7B9D"/>
    <w:rsid w:val="00200246"/>
    <w:rsid w:val="002224B4"/>
    <w:rsid w:val="00230433"/>
    <w:rsid w:val="002447EF"/>
    <w:rsid w:val="00251550"/>
    <w:rsid w:val="00254A1A"/>
    <w:rsid w:val="00256313"/>
    <w:rsid w:val="00263B05"/>
    <w:rsid w:val="0027221A"/>
    <w:rsid w:val="00273E3D"/>
    <w:rsid w:val="00275B61"/>
    <w:rsid w:val="00282656"/>
    <w:rsid w:val="002946FD"/>
    <w:rsid w:val="00296B83"/>
    <w:rsid w:val="002A0ED1"/>
    <w:rsid w:val="002B146C"/>
    <w:rsid w:val="002B3D26"/>
    <w:rsid w:val="002B78CE"/>
    <w:rsid w:val="002C1C13"/>
    <w:rsid w:val="002C2FB6"/>
    <w:rsid w:val="002E26F6"/>
    <w:rsid w:val="002F3309"/>
    <w:rsid w:val="003009B7"/>
    <w:rsid w:val="00300E56"/>
    <w:rsid w:val="0030469C"/>
    <w:rsid w:val="003053A3"/>
    <w:rsid w:val="00321CA6"/>
    <w:rsid w:val="00334C09"/>
    <w:rsid w:val="003723D4"/>
    <w:rsid w:val="00381905"/>
    <w:rsid w:val="00384481"/>
    <w:rsid w:val="00384CC8"/>
    <w:rsid w:val="003871FD"/>
    <w:rsid w:val="0039630B"/>
    <w:rsid w:val="003A1E30"/>
    <w:rsid w:val="003A7D1C"/>
    <w:rsid w:val="003B304B"/>
    <w:rsid w:val="003B3146"/>
    <w:rsid w:val="003B4D3C"/>
    <w:rsid w:val="003E2E38"/>
    <w:rsid w:val="003F015E"/>
    <w:rsid w:val="00400414"/>
    <w:rsid w:val="0041446B"/>
    <w:rsid w:val="0044329C"/>
    <w:rsid w:val="00444523"/>
    <w:rsid w:val="004577FE"/>
    <w:rsid w:val="00457B9C"/>
    <w:rsid w:val="0046164A"/>
    <w:rsid w:val="004626F7"/>
    <w:rsid w:val="004628D2"/>
    <w:rsid w:val="00462DCD"/>
    <w:rsid w:val="004648AD"/>
    <w:rsid w:val="004703A9"/>
    <w:rsid w:val="004760DE"/>
    <w:rsid w:val="004763D7"/>
    <w:rsid w:val="00490F14"/>
    <w:rsid w:val="00493843"/>
    <w:rsid w:val="004964C5"/>
    <w:rsid w:val="004A004E"/>
    <w:rsid w:val="004A24CF"/>
    <w:rsid w:val="004A3934"/>
    <w:rsid w:val="004C3D1D"/>
    <w:rsid w:val="004C61C2"/>
    <w:rsid w:val="004C7913"/>
    <w:rsid w:val="004D2994"/>
    <w:rsid w:val="004E4621"/>
    <w:rsid w:val="004E4DD6"/>
    <w:rsid w:val="004F5E36"/>
    <w:rsid w:val="00505F21"/>
    <w:rsid w:val="00507B47"/>
    <w:rsid w:val="00507BEF"/>
    <w:rsid w:val="00507CC9"/>
    <w:rsid w:val="005119A5"/>
    <w:rsid w:val="005278B7"/>
    <w:rsid w:val="00532016"/>
    <w:rsid w:val="005346C8"/>
    <w:rsid w:val="00543E7D"/>
    <w:rsid w:val="00547A68"/>
    <w:rsid w:val="00550EA8"/>
    <w:rsid w:val="005531C9"/>
    <w:rsid w:val="00555AB8"/>
    <w:rsid w:val="00570C43"/>
    <w:rsid w:val="00594108"/>
    <w:rsid w:val="005B2110"/>
    <w:rsid w:val="005B61E6"/>
    <w:rsid w:val="005C77E1"/>
    <w:rsid w:val="005D04E9"/>
    <w:rsid w:val="005D22CB"/>
    <w:rsid w:val="005D33E8"/>
    <w:rsid w:val="005D6A2F"/>
    <w:rsid w:val="005E1A82"/>
    <w:rsid w:val="005E7924"/>
    <w:rsid w:val="005E794C"/>
    <w:rsid w:val="005F0A28"/>
    <w:rsid w:val="005F0E5E"/>
    <w:rsid w:val="00600535"/>
    <w:rsid w:val="00610CD6"/>
    <w:rsid w:val="00620DEE"/>
    <w:rsid w:val="00621F92"/>
    <w:rsid w:val="0062280A"/>
    <w:rsid w:val="00625639"/>
    <w:rsid w:val="00631099"/>
    <w:rsid w:val="00631B33"/>
    <w:rsid w:val="00632274"/>
    <w:rsid w:val="0064184D"/>
    <w:rsid w:val="006422CC"/>
    <w:rsid w:val="00646E00"/>
    <w:rsid w:val="00656583"/>
    <w:rsid w:val="00656D70"/>
    <w:rsid w:val="00657EC5"/>
    <w:rsid w:val="00660E3E"/>
    <w:rsid w:val="00661D97"/>
    <w:rsid w:val="00662E74"/>
    <w:rsid w:val="00680C23"/>
    <w:rsid w:val="00693766"/>
    <w:rsid w:val="006A3281"/>
    <w:rsid w:val="006A6B2E"/>
    <w:rsid w:val="006B4888"/>
    <w:rsid w:val="006B78AD"/>
    <w:rsid w:val="006C16FF"/>
    <w:rsid w:val="006C2E45"/>
    <w:rsid w:val="006C359C"/>
    <w:rsid w:val="006C5579"/>
    <w:rsid w:val="006E6C18"/>
    <w:rsid w:val="006E737D"/>
    <w:rsid w:val="006F69BB"/>
    <w:rsid w:val="00720A24"/>
    <w:rsid w:val="00722C62"/>
    <w:rsid w:val="00732386"/>
    <w:rsid w:val="007345DC"/>
    <w:rsid w:val="0073514D"/>
    <w:rsid w:val="007447F3"/>
    <w:rsid w:val="0075499F"/>
    <w:rsid w:val="00755147"/>
    <w:rsid w:val="007661C8"/>
    <w:rsid w:val="0077098D"/>
    <w:rsid w:val="007931FA"/>
    <w:rsid w:val="007A4861"/>
    <w:rsid w:val="007A7BBA"/>
    <w:rsid w:val="007B0C50"/>
    <w:rsid w:val="007C1A43"/>
    <w:rsid w:val="007F1580"/>
    <w:rsid w:val="0080013E"/>
    <w:rsid w:val="008077A2"/>
    <w:rsid w:val="00813288"/>
    <w:rsid w:val="008143FF"/>
    <w:rsid w:val="008168FC"/>
    <w:rsid w:val="00830996"/>
    <w:rsid w:val="008315C3"/>
    <w:rsid w:val="00833201"/>
    <w:rsid w:val="008345F1"/>
    <w:rsid w:val="00840C7D"/>
    <w:rsid w:val="00846950"/>
    <w:rsid w:val="00857C8F"/>
    <w:rsid w:val="00865B07"/>
    <w:rsid w:val="008667EA"/>
    <w:rsid w:val="0087637F"/>
    <w:rsid w:val="00892AD5"/>
    <w:rsid w:val="00893FDC"/>
    <w:rsid w:val="008A1512"/>
    <w:rsid w:val="008A68E8"/>
    <w:rsid w:val="008B32D8"/>
    <w:rsid w:val="008C71C1"/>
    <w:rsid w:val="008D32B9"/>
    <w:rsid w:val="008D433B"/>
    <w:rsid w:val="008E566E"/>
    <w:rsid w:val="008F3438"/>
    <w:rsid w:val="0090161A"/>
    <w:rsid w:val="00901EB6"/>
    <w:rsid w:val="00904C62"/>
    <w:rsid w:val="00922BA8"/>
    <w:rsid w:val="00924DAC"/>
    <w:rsid w:val="00927058"/>
    <w:rsid w:val="00942750"/>
    <w:rsid w:val="009450CE"/>
    <w:rsid w:val="00947179"/>
    <w:rsid w:val="0095164B"/>
    <w:rsid w:val="00954090"/>
    <w:rsid w:val="009573E7"/>
    <w:rsid w:val="00963E05"/>
    <w:rsid w:val="00965379"/>
    <w:rsid w:val="00967D54"/>
    <w:rsid w:val="00971028"/>
    <w:rsid w:val="00972B61"/>
    <w:rsid w:val="00976B78"/>
    <w:rsid w:val="00996483"/>
    <w:rsid w:val="00996F5A"/>
    <w:rsid w:val="009B041A"/>
    <w:rsid w:val="009C37C3"/>
    <w:rsid w:val="009C484A"/>
    <w:rsid w:val="009C7C86"/>
    <w:rsid w:val="009D2FF7"/>
    <w:rsid w:val="009E7884"/>
    <w:rsid w:val="009E788A"/>
    <w:rsid w:val="009F0E08"/>
    <w:rsid w:val="00A1043C"/>
    <w:rsid w:val="00A12EB4"/>
    <w:rsid w:val="00A1763D"/>
    <w:rsid w:val="00A17CEC"/>
    <w:rsid w:val="00A27EF0"/>
    <w:rsid w:val="00A47B38"/>
    <w:rsid w:val="00A50B20"/>
    <w:rsid w:val="00A51390"/>
    <w:rsid w:val="00A5190D"/>
    <w:rsid w:val="00A60D13"/>
    <w:rsid w:val="00A72745"/>
    <w:rsid w:val="00A76EFC"/>
    <w:rsid w:val="00A91010"/>
    <w:rsid w:val="00A97F29"/>
    <w:rsid w:val="00AA6122"/>
    <w:rsid w:val="00AA702E"/>
    <w:rsid w:val="00AA71A1"/>
    <w:rsid w:val="00AB0964"/>
    <w:rsid w:val="00AB5011"/>
    <w:rsid w:val="00AC221A"/>
    <w:rsid w:val="00AC7368"/>
    <w:rsid w:val="00AD16B9"/>
    <w:rsid w:val="00AD53A1"/>
    <w:rsid w:val="00AD7956"/>
    <w:rsid w:val="00AE377D"/>
    <w:rsid w:val="00B022A5"/>
    <w:rsid w:val="00B029B0"/>
    <w:rsid w:val="00B02C8A"/>
    <w:rsid w:val="00B159EC"/>
    <w:rsid w:val="00B17B8F"/>
    <w:rsid w:val="00B17FBD"/>
    <w:rsid w:val="00B315A6"/>
    <w:rsid w:val="00B31813"/>
    <w:rsid w:val="00B33365"/>
    <w:rsid w:val="00B37EC2"/>
    <w:rsid w:val="00B4446D"/>
    <w:rsid w:val="00B44F7C"/>
    <w:rsid w:val="00B57B36"/>
    <w:rsid w:val="00B676EF"/>
    <w:rsid w:val="00B73429"/>
    <w:rsid w:val="00B8686D"/>
    <w:rsid w:val="00B96ABC"/>
    <w:rsid w:val="00BB1DDC"/>
    <w:rsid w:val="00BB600C"/>
    <w:rsid w:val="00BC30C9"/>
    <w:rsid w:val="00BE3E58"/>
    <w:rsid w:val="00BF4496"/>
    <w:rsid w:val="00C01616"/>
    <w:rsid w:val="00C0162B"/>
    <w:rsid w:val="00C03841"/>
    <w:rsid w:val="00C068ED"/>
    <w:rsid w:val="00C124BC"/>
    <w:rsid w:val="00C345B1"/>
    <w:rsid w:val="00C40142"/>
    <w:rsid w:val="00C57182"/>
    <w:rsid w:val="00C57863"/>
    <w:rsid w:val="00C640CF"/>
    <w:rsid w:val="00C655FD"/>
    <w:rsid w:val="00C72117"/>
    <w:rsid w:val="00C75407"/>
    <w:rsid w:val="00C870A8"/>
    <w:rsid w:val="00C87C49"/>
    <w:rsid w:val="00C94434"/>
    <w:rsid w:val="00CA0D75"/>
    <w:rsid w:val="00CA1C95"/>
    <w:rsid w:val="00CA5A9C"/>
    <w:rsid w:val="00CC418F"/>
    <w:rsid w:val="00CC4C20"/>
    <w:rsid w:val="00CD3517"/>
    <w:rsid w:val="00CD5FE2"/>
    <w:rsid w:val="00CE7C68"/>
    <w:rsid w:val="00CF408D"/>
    <w:rsid w:val="00CF4215"/>
    <w:rsid w:val="00CF42E2"/>
    <w:rsid w:val="00D02B4C"/>
    <w:rsid w:val="00D040C4"/>
    <w:rsid w:val="00D11CE2"/>
    <w:rsid w:val="00D3063E"/>
    <w:rsid w:val="00D504A1"/>
    <w:rsid w:val="00D579C6"/>
    <w:rsid w:val="00D57C84"/>
    <w:rsid w:val="00D6057D"/>
    <w:rsid w:val="00D73C2F"/>
    <w:rsid w:val="00D836C5"/>
    <w:rsid w:val="00D84576"/>
    <w:rsid w:val="00D8654E"/>
    <w:rsid w:val="00D87768"/>
    <w:rsid w:val="00DA1399"/>
    <w:rsid w:val="00DA24C6"/>
    <w:rsid w:val="00DA4D7B"/>
    <w:rsid w:val="00DB3B80"/>
    <w:rsid w:val="00DC3467"/>
    <w:rsid w:val="00DD7B81"/>
    <w:rsid w:val="00DE264A"/>
    <w:rsid w:val="00DE6553"/>
    <w:rsid w:val="00DE709A"/>
    <w:rsid w:val="00DF321F"/>
    <w:rsid w:val="00DF5072"/>
    <w:rsid w:val="00E02D18"/>
    <w:rsid w:val="00E041E7"/>
    <w:rsid w:val="00E16F19"/>
    <w:rsid w:val="00E23CA1"/>
    <w:rsid w:val="00E305CA"/>
    <w:rsid w:val="00E409A8"/>
    <w:rsid w:val="00E50C12"/>
    <w:rsid w:val="00E52313"/>
    <w:rsid w:val="00E65B91"/>
    <w:rsid w:val="00E7209D"/>
    <w:rsid w:val="00E77223"/>
    <w:rsid w:val="00E8528B"/>
    <w:rsid w:val="00E85B94"/>
    <w:rsid w:val="00E978D0"/>
    <w:rsid w:val="00EA0E42"/>
    <w:rsid w:val="00EA21BE"/>
    <w:rsid w:val="00EA4613"/>
    <w:rsid w:val="00EA5100"/>
    <w:rsid w:val="00EA7F91"/>
    <w:rsid w:val="00EB1523"/>
    <w:rsid w:val="00EB2F28"/>
    <w:rsid w:val="00EB4319"/>
    <w:rsid w:val="00EC0E49"/>
    <w:rsid w:val="00EC101F"/>
    <w:rsid w:val="00EE0131"/>
    <w:rsid w:val="00EE17B0"/>
    <w:rsid w:val="00EF06D9"/>
    <w:rsid w:val="00EF39B0"/>
    <w:rsid w:val="00F178E6"/>
    <w:rsid w:val="00F30C64"/>
    <w:rsid w:val="00F32CDB"/>
    <w:rsid w:val="00F47BDA"/>
    <w:rsid w:val="00F53782"/>
    <w:rsid w:val="00F6026D"/>
    <w:rsid w:val="00F63A70"/>
    <w:rsid w:val="00F874D2"/>
    <w:rsid w:val="00F93F10"/>
    <w:rsid w:val="00FA21D0"/>
    <w:rsid w:val="00FA5F5F"/>
    <w:rsid w:val="00FB730C"/>
    <w:rsid w:val="00FC2695"/>
    <w:rsid w:val="00FC3E03"/>
    <w:rsid w:val="00FC3FC1"/>
    <w:rsid w:val="00FD3409"/>
    <w:rsid w:val="00FE579C"/>
    <w:rsid w:val="00FF52ED"/>
    <w:rsid w:val="00FF66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23"/>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23"/>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23"/>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character" w:customStyle="1" w:styleId="MTEquationSection">
    <w:name w:val="MTEquationSection"/>
    <w:basedOn w:val="Carpredefinitoparagrafo"/>
    <w:qFormat/>
    <w:rsid w:val="00CF4215"/>
    <w:rPr>
      <w:vanish/>
      <w:color w:val="FF0000"/>
    </w:rPr>
  </w:style>
  <w:style w:type="paragraph" w:customStyle="1" w:styleId="Els-body-text">
    <w:name w:val="Els-body-text"/>
    <w:qFormat/>
    <w:rsid w:val="00CF4215"/>
    <w:pPr>
      <w:spacing w:after="0" w:line="240" w:lineRule="auto"/>
      <w:jc w:val="both"/>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23"/>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23"/>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23"/>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character" w:customStyle="1" w:styleId="MTEquationSection">
    <w:name w:val="MTEquationSection"/>
    <w:basedOn w:val="Carpredefinitoparagrafo"/>
    <w:qFormat/>
    <w:rsid w:val="00CF4215"/>
    <w:rPr>
      <w:vanish/>
      <w:color w:val="FF0000"/>
    </w:rPr>
  </w:style>
  <w:style w:type="paragraph" w:customStyle="1" w:styleId="Els-body-text">
    <w:name w:val="Els-body-text"/>
    <w:qFormat/>
    <w:rsid w:val="00CF4215"/>
    <w:pPr>
      <w:spacing w:after="0" w:line="240" w:lineRule="auto"/>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1295">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427104">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www.researchgate.net/publication/280026476" TargetMode="External"/><Relationship Id="rId7" Type="http://schemas.openxmlformats.org/officeDocument/2006/relationships/footnotes" Target="footnotes.xml"/><Relationship Id="rId12" Type="http://schemas.openxmlformats.org/officeDocument/2006/relationships/package" Target="embeddings/Microsoft_Visio_Drawing122222222211111111111.vsdx"/><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www.ambienteinliguria.it/eco3/DTS_GENERALE/20191014/ValutazioneAnnuale_2018.pdf" TargetMode="External"/><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package" Target="embeddings/Microsoft_Visio_Drawing11111111122222222222.vsdx"/><Relationship Id="rId22" Type="http://schemas.openxmlformats.org/officeDocument/2006/relationships/hyperlink" Target="https://papers.nips.cc/paper/6907-lightgbm-a-highly-efficient-gradient-boosting-decision-tre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8EF3-86EA-4918-91E1-E5A60EB0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2809</Words>
  <Characters>16016</Characters>
  <Application>Microsoft Office Word</Application>
  <DocSecurity>0</DocSecurity>
  <Lines>133</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raffaella</cp:lastModifiedBy>
  <cp:revision>37</cp:revision>
  <cp:lastPrinted>2015-05-12T18:31:00Z</cp:lastPrinted>
  <dcterms:created xsi:type="dcterms:W3CDTF">2020-06-21T09:56:00Z</dcterms:created>
  <dcterms:modified xsi:type="dcterms:W3CDTF">2020-08-31T09:29:00Z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