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F653F5" w14:paraId="53DEA284" w14:textId="77777777" w:rsidTr="00F653F5">
        <w:trPr>
          <w:trHeight w:val="852"/>
          <w:jc w:val="center"/>
        </w:trPr>
        <w:tc>
          <w:tcPr>
            <w:tcW w:w="6946" w:type="dxa"/>
            <w:vMerge w:val="restart"/>
            <w:tcBorders>
              <w:top w:val="nil"/>
              <w:left w:val="nil"/>
              <w:bottom w:val="nil"/>
              <w:right w:val="single" w:sz="4" w:space="0" w:color="auto"/>
            </w:tcBorders>
            <w:hideMark/>
          </w:tcPr>
          <w:p w14:paraId="21CB453D" w14:textId="003E5943" w:rsidR="00F653F5" w:rsidRDefault="00F653F5">
            <w:pPr>
              <w:tabs>
                <w:tab w:val="left" w:pos="-108"/>
              </w:tabs>
              <w:ind w:left="-108"/>
              <w:jc w:val="left"/>
              <w:rPr>
                <w:rFonts w:cs="Arial"/>
                <w:b/>
                <w:bCs/>
                <w:i/>
                <w:iCs/>
                <w:color w:val="000066"/>
                <w:sz w:val="12"/>
                <w:szCs w:val="12"/>
                <w:lang w:eastAsia="it-IT"/>
              </w:rPr>
            </w:pPr>
            <w:bookmarkStart w:id="0" w:name="_Hlk37412902"/>
            <w:r>
              <w:rPr>
                <w:rFonts w:ascii="AdvP6960" w:hAnsi="AdvP6960" w:cs="AdvP6960"/>
                <w:noProof/>
                <w:color w:val="241F20"/>
                <w:szCs w:val="18"/>
                <w:lang w:val="it-IT" w:eastAsia="it-IT"/>
              </w:rPr>
              <w:drawing>
                <wp:inline distT="0" distB="0" distL="0" distR="0" wp14:anchorId="22FE2F1B" wp14:editId="11AEF6CA">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0E2BF8C9" w14:textId="77777777" w:rsidR="00F653F5" w:rsidRDefault="00F653F5">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47F3FB04" w14:textId="77777777" w:rsidR="00F653F5" w:rsidRDefault="00F653F5">
            <w:pPr>
              <w:spacing w:line="140" w:lineRule="atLeast"/>
              <w:jc w:val="right"/>
              <w:rPr>
                <w:rFonts w:cs="Arial"/>
                <w:sz w:val="14"/>
                <w:szCs w:val="14"/>
              </w:rPr>
            </w:pPr>
            <w:r>
              <w:rPr>
                <w:rFonts w:cs="Arial"/>
                <w:sz w:val="14"/>
                <w:szCs w:val="14"/>
              </w:rPr>
              <w:t>A publication of</w:t>
            </w:r>
          </w:p>
          <w:p w14:paraId="75F1AF4A" w14:textId="68B90A1F" w:rsidR="00F653F5" w:rsidRDefault="00F653F5">
            <w:pPr>
              <w:jc w:val="right"/>
            </w:pPr>
            <w:r>
              <w:rPr>
                <w:noProof/>
                <w:lang w:val="it-IT" w:eastAsia="it-IT"/>
              </w:rPr>
              <w:drawing>
                <wp:inline distT="0" distB="0" distL="0" distR="0" wp14:anchorId="0C61DF96" wp14:editId="71085BDC">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F653F5" w14:paraId="3544DC8F" w14:textId="77777777" w:rsidTr="00F653F5">
        <w:trPr>
          <w:trHeight w:val="567"/>
          <w:jc w:val="center"/>
        </w:trPr>
        <w:tc>
          <w:tcPr>
            <w:tcW w:w="0" w:type="auto"/>
            <w:vMerge/>
            <w:tcBorders>
              <w:top w:val="nil"/>
              <w:left w:val="nil"/>
              <w:bottom w:val="nil"/>
              <w:right w:val="single" w:sz="4" w:space="0" w:color="auto"/>
            </w:tcBorders>
            <w:vAlign w:val="center"/>
            <w:hideMark/>
          </w:tcPr>
          <w:p w14:paraId="1F0D8CE1" w14:textId="77777777" w:rsidR="00F653F5" w:rsidRDefault="00F653F5">
            <w:pPr>
              <w:tabs>
                <w:tab w:val="clear" w:pos="7100"/>
              </w:tabs>
              <w:spacing w:line="276" w:lineRule="auto"/>
              <w:jc w:val="left"/>
              <w:rPr>
                <w:rFonts w:cs="Arial"/>
                <w:b/>
                <w:bCs/>
                <w:i/>
                <w:iCs/>
                <w:color w:val="000066"/>
                <w:sz w:val="22"/>
                <w:szCs w:val="22"/>
                <w:lang w:eastAsia="it-IT"/>
              </w:rPr>
            </w:pPr>
          </w:p>
        </w:tc>
        <w:tc>
          <w:tcPr>
            <w:tcW w:w="1843" w:type="dxa"/>
            <w:tcBorders>
              <w:top w:val="nil"/>
              <w:left w:val="single" w:sz="4" w:space="0" w:color="auto"/>
              <w:bottom w:val="nil"/>
              <w:right w:val="single" w:sz="4" w:space="0" w:color="auto"/>
            </w:tcBorders>
            <w:hideMark/>
          </w:tcPr>
          <w:p w14:paraId="65E24EEE" w14:textId="77777777" w:rsidR="00F653F5" w:rsidRDefault="00F653F5">
            <w:pPr>
              <w:spacing w:line="140" w:lineRule="atLeast"/>
              <w:jc w:val="right"/>
              <w:rPr>
                <w:rFonts w:cs="Arial"/>
                <w:sz w:val="14"/>
                <w:szCs w:val="14"/>
              </w:rPr>
            </w:pPr>
            <w:r>
              <w:rPr>
                <w:rFonts w:cs="Arial"/>
                <w:sz w:val="14"/>
                <w:szCs w:val="14"/>
              </w:rPr>
              <w:t>The Italian Association</w:t>
            </w:r>
          </w:p>
          <w:p w14:paraId="35FAED55" w14:textId="77777777" w:rsidR="00F653F5" w:rsidRDefault="00F653F5">
            <w:pPr>
              <w:spacing w:line="140" w:lineRule="atLeast"/>
              <w:jc w:val="right"/>
              <w:rPr>
                <w:rFonts w:cs="Arial"/>
                <w:sz w:val="14"/>
                <w:szCs w:val="14"/>
              </w:rPr>
            </w:pPr>
            <w:r>
              <w:rPr>
                <w:rFonts w:cs="Arial"/>
                <w:sz w:val="14"/>
                <w:szCs w:val="14"/>
              </w:rPr>
              <w:t>of Chemical Engineering</w:t>
            </w:r>
          </w:p>
          <w:p w14:paraId="766FACCB" w14:textId="77777777" w:rsidR="00F653F5" w:rsidRDefault="00F653F5">
            <w:pPr>
              <w:spacing w:line="140" w:lineRule="atLeast"/>
              <w:jc w:val="right"/>
              <w:rPr>
                <w:rFonts w:cs="Arial"/>
                <w:sz w:val="13"/>
                <w:szCs w:val="13"/>
              </w:rPr>
            </w:pPr>
            <w:r>
              <w:rPr>
                <w:rFonts w:cs="Arial"/>
                <w:sz w:val="13"/>
                <w:szCs w:val="13"/>
              </w:rPr>
              <w:t>Online at www.cetjournal.it</w:t>
            </w:r>
          </w:p>
        </w:tc>
      </w:tr>
      <w:tr w:rsidR="00F653F5" w14:paraId="3FFB666B" w14:textId="77777777" w:rsidTr="00F653F5">
        <w:trPr>
          <w:trHeight w:val="68"/>
          <w:jc w:val="center"/>
        </w:trPr>
        <w:tc>
          <w:tcPr>
            <w:tcW w:w="8789" w:type="dxa"/>
            <w:gridSpan w:val="2"/>
            <w:tcBorders>
              <w:top w:val="nil"/>
              <w:left w:val="nil"/>
              <w:bottom w:val="single" w:sz="4" w:space="0" w:color="auto"/>
              <w:right w:val="nil"/>
            </w:tcBorders>
            <w:hideMark/>
          </w:tcPr>
          <w:p w14:paraId="2DCE3AAF" w14:textId="77777777" w:rsidR="00F653F5" w:rsidRDefault="00F653F5">
            <w:pPr>
              <w:ind w:left="-107"/>
              <w:rPr>
                <w:rFonts w:ascii="Times New Roman" w:hAnsi="Times New Roman"/>
                <w:sz w:val="24"/>
                <w:szCs w:val="24"/>
                <w:lang w:val="en-US"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5BAE1228" w14:textId="77777777" w:rsidR="00F653F5" w:rsidRDefault="00F653F5">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32F6F8B8" w14:textId="388D7A08" w:rsidR="003140FB" w:rsidRPr="00CB717D" w:rsidRDefault="003140FB" w:rsidP="00CB717D">
      <w:pPr>
        <w:pStyle w:val="CETTitle"/>
      </w:pPr>
      <w:r w:rsidRPr="00CB717D">
        <w:lastRenderedPageBreak/>
        <w:t xml:space="preserve">Comparison </w:t>
      </w:r>
      <w:r w:rsidR="00CB717D">
        <w:t>o</w:t>
      </w:r>
      <w:r w:rsidR="00CB717D" w:rsidRPr="00CB717D">
        <w:t xml:space="preserve">f Risk-Based </w:t>
      </w:r>
      <w:r w:rsidR="00CB717D">
        <w:t>Maintenance Approaches Applied to a Natural Gas Regulating a</w:t>
      </w:r>
      <w:r w:rsidR="00CB717D" w:rsidRPr="00CB717D">
        <w:t>nd Metering Station</w:t>
      </w:r>
    </w:p>
    <w:p w14:paraId="2B3CA35C" w14:textId="5869E7CA" w:rsidR="00E978D0" w:rsidRPr="00F70DB7" w:rsidRDefault="003140FB" w:rsidP="00AB5011">
      <w:pPr>
        <w:pStyle w:val="CETAuthors"/>
        <w:rPr>
          <w:lang w:val="it-IT"/>
        </w:rPr>
      </w:pPr>
      <w:r w:rsidRPr="00F70DB7">
        <w:rPr>
          <w:lang w:val="it-IT"/>
        </w:rPr>
        <w:t>Leonardo Leoni</w:t>
      </w:r>
      <w:r w:rsidR="00600535" w:rsidRPr="00F70DB7">
        <w:rPr>
          <w:vertAlign w:val="superscript"/>
          <w:lang w:val="it-IT"/>
        </w:rPr>
        <w:t>a</w:t>
      </w:r>
      <w:r w:rsidRPr="00F70DB7">
        <w:rPr>
          <w:vertAlign w:val="superscript"/>
          <w:lang w:val="it-IT"/>
        </w:rPr>
        <w:t>,b</w:t>
      </w:r>
      <w:r w:rsidR="00600535" w:rsidRPr="00F70DB7">
        <w:rPr>
          <w:lang w:val="it-IT"/>
        </w:rPr>
        <w:t xml:space="preserve">, </w:t>
      </w:r>
      <w:r w:rsidRPr="00F70DB7">
        <w:rPr>
          <w:lang w:val="it-IT"/>
        </w:rPr>
        <w:t>Filippo De Carlo</w:t>
      </w:r>
      <w:r w:rsidRPr="00F70DB7">
        <w:rPr>
          <w:vertAlign w:val="superscript"/>
          <w:lang w:val="it-IT"/>
        </w:rPr>
        <w:t>a</w:t>
      </w:r>
      <w:r w:rsidR="00600535" w:rsidRPr="00F70DB7">
        <w:rPr>
          <w:vertAlign w:val="superscript"/>
          <w:lang w:val="it-IT"/>
        </w:rPr>
        <w:t>,</w:t>
      </w:r>
      <w:r w:rsidR="00600535" w:rsidRPr="00F70DB7">
        <w:rPr>
          <w:lang w:val="it-IT"/>
        </w:rPr>
        <w:t xml:space="preserve">*, </w:t>
      </w:r>
      <w:r w:rsidRPr="00F70DB7">
        <w:rPr>
          <w:lang w:val="it-IT"/>
        </w:rPr>
        <w:t>Fabio Sgarbossa</w:t>
      </w:r>
      <w:r w:rsidRPr="00F70DB7">
        <w:rPr>
          <w:vertAlign w:val="superscript"/>
          <w:lang w:val="it-IT"/>
        </w:rPr>
        <w:t>b</w:t>
      </w:r>
      <w:r w:rsidRPr="00F70DB7">
        <w:rPr>
          <w:lang w:val="it-IT"/>
        </w:rPr>
        <w:t>, Nicola Paltrinieri</w:t>
      </w:r>
      <w:r w:rsidRPr="00F70DB7">
        <w:rPr>
          <w:vertAlign w:val="superscript"/>
          <w:lang w:val="it-IT"/>
        </w:rPr>
        <w:t>b</w:t>
      </w:r>
    </w:p>
    <w:p w14:paraId="5053C5A8" w14:textId="3C74D052" w:rsidR="00E978D0" w:rsidRPr="00CB717D" w:rsidRDefault="00E978D0" w:rsidP="00CB717D">
      <w:pPr>
        <w:pStyle w:val="CETAuthors"/>
        <w:spacing w:after="0"/>
        <w:rPr>
          <w:rFonts w:cs="Arial"/>
          <w:sz w:val="16"/>
          <w:szCs w:val="16"/>
        </w:rPr>
      </w:pPr>
      <w:r w:rsidRPr="00CB717D">
        <w:rPr>
          <w:rFonts w:cs="Arial"/>
          <w:sz w:val="16"/>
          <w:szCs w:val="16"/>
          <w:vertAlign w:val="superscript"/>
        </w:rPr>
        <w:t>a</w:t>
      </w:r>
      <w:r w:rsidR="00CB717D">
        <w:rPr>
          <w:rFonts w:cs="Arial"/>
          <w:sz w:val="16"/>
          <w:szCs w:val="16"/>
          <w:vertAlign w:val="superscript"/>
        </w:rPr>
        <w:t xml:space="preserve"> </w:t>
      </w:r>
      <w:r w:rsidR="003140FB" w:rsidRPr="00CB717D">
        <w:rPr>
          <w:rFonts w:cs="Arial"/>
          <w:sz w:val="16"/>
          <w:szCs w:val="16"/>
        </w:rPr>
        <w:t>Department of Industrial Engineering (DIEF), University of Florence, Florence, Italy</w:t>
      </w:r>
    </w:p>
    <w:p w14:paraId="38D29194" w14:textId="302CA9A4" w:rsidR="00E978D0" w:rsidRPr="00CB717D" w:rsidRDefault="00E978D0" w:rsidP="00CB717D">
      <w:pPr>
        <w:pStyle w:val="CETAuthors"/>
        <w:spacing w:after="0"/>
        <w:rPr>
          <w:rFonts w:cs="Arial"/>
          <w:sz w:val="16"/>
          <w:szCs w:val="16"/>
        </w:rPr>
      </w:pPr>
      <w:r w:rsidRPr="00CB717D">
        <w:rPr>
          <w:rFonts w:cs="Arial"/>
          <w:sz w:val="16"/>
          <w:szCs w:val="16"/>
          <w:vertAlign w:val="superscript"/>
        </w:rPr>
        <w:t>b</w:t>
      </w:r>
      <w:r w:rsidR="00CB717D">
        <w:rPr>
          <w:rFonts w:cs="Arial"/>
          <w:sz w:val="16"/>
          <w:szCs w:val="16"/>
          <w:vertAlign w:val="superscript"/>
        </w:rPr>
        <w:t xml:space="preserve"> </w:t>
      </w:r>
      <w:r w:rsidR="003140FB" w:rsidRPr="00CB717D">
        <w:rPr>
          <w:rFonts w:cs="Arial"/>
          <w:sz w:val="16"/>
          <w:szCs w:val="16"/>
        </w:rPr>
        <w:t xml:space="preserve">Department of Mechanical and Industrial Engineering, Norwegian University of Science and Technology – NTNU, Trondheim, Norway </w:t>
      </w:r>
    </w:p>
    <w:p w14:paraId="0127A28D" w14:textId="684813CE" w:rsidR="00E978D0" w:rsidRPr="00CB717D" w:rsidRDefault="00333430" w:rsidP="00CB717D">
      <w:pPr>
        <w:pStyle w:val="CETemail"/>
      </w:pPr>
      <w:hyperlink r:id="rId14" w:history="1">
        <w:r w:rsidR="005D286C" w:rsidRPr="00CB717D">
          <w:rPr>
            <w:rStyle w:val="Collegamentoipertestuale"/>
            <w:color w:val="auto"/>
            <w:u w:val="none"/>
          </w:rPr>
          <w:t>filippo.decarlo@unifi.it</w:t>
        </w:r>
      </w:hyperlink>
    </w:p>
    <w:p w14:paraId="7F070D5E" w14:textId="7E75535B" w:rsidR="003140FB" w:rsidRPr="0009163D" w:rsidRDefault="0027714D" w:rsidP="003140FB">
      <w:pPr>
        <w:pStyle w:val="CETBodytext"/>
      </w:pPr>
      <w:r w:rsidRPr="003140FB">
        <w:t>In the last decades</w:t>
      </w:r>
      <w:r w:rsidR="00084C9B">
        <w:t>,</w:t>
      </w:r>
      <w:r w:rsidRPr="003140FB">
        <w:t xml:space="preserve"> many researchers have directed their efforts towards </w:t>
      </w:r>
      <w:r w:rsidR="00084C9B">
        <w:t xml:space="preserve">the </w:t>
      </w:r>
      <w:r w:rsidRPr="003140FB">
        <w:t>safety improvement of plants where hazardous substances are processed or handled. This attitude has led to develop</w:t>
      </w:r>
      <w:r w:rsidR="00084C9B">
        <w:t>ing</w:t>
      </w:r>
      <w:r w:rsidRPr="003140FB">
        <w:t xml:space="preserve"> strategic plans for minimizing risk and costs arising from the operations. Accidents related to hazardous substances can indeed pose a threat</w:t>
      </w:r>
      <w:r w:rsidR="00D23AD8">
        <w:t xml:space="preserve"> </w:t>
      </w:r>
      <w:r w:rsidR="00084C9B">
        <w:t>to</w:t>
      </w:r>
      <w:r w:rsidR="00084C9B" w:rsidRPr="003140FB">
        <w:t xml:space="preserve"> </w:t>
      </w:r>
      <w:r w:rsidRPr="003140FB">
        <w:t>human beings and the surrounding environment, therefore a reliable tool for engineering maintenance is required. This paper presents</w:t>
      </w:r>
      <w:r w:rsidR="00D23AD8">
        <w:t xml:space="preserve"> </w:t>
      </w:r>
      <w:r w:rsidR="00084C9B">
        <w:t>a</w:t>
      </w:r>
      <w:r w:rsidR="00084C9B" w:rsidRPr="003140FB">
        <w:t xml:space="preserve"> </w:t>
      </w:r>
      <w:r w:rsidRPr="00806BDB">
        <w:t xml:space="preserve">comparison </w:t>
      </w:r>
      <w:r w:rsidRPr="00297D0D">
        <w:rPr>
          <w:color w:val="000000" w:themeColor="text1"/>
        </w:rPr>
        <w:t>of</w:t>
      </w:r>
      <w:r w:rsidRPr="00806BDB">
        <w:t xml:space="preserve"> </w:t>
      </w:r>
      <w:r w:rsidR="007C20E5">
        <w:rPr>
          <w:color w:val="000000" w:themeColor="text1"/>
        </w:rPr>
        <w:t>two</w:t>
      </w:r>
      <w:r w:rsidRPr="00806BDB">
        <w:t xml:space="preserve"> different Risk</w:t>
      </w:r>
      <w:r w:rsidRPr="003140FB">
        <w:t xml:space="preserve">-Based Maintenance (RBM) approaches for prioritizing maintenance actions. The </w:t>
      </w:r>
      <w:r>
        <w:t>firs</w:t>
      </w:r>
      <w:r w:rsidR="0067227F">
        <w:t>t</w:t>
      </w:r>
      <w:r w:rsidRPr="003140FB">
        <w:t xml:space="preserve"> approach consists</w:t>
      </w:r>
      <w:r w:rsidR="00EB3D30">
        <w:t xml:space="preserve"> </w:t>
      </w:r>
      <w:r w:rsidR="00084C9B" w:rsidRPr="003140FB">
        <w:t>o</w:t>
      </w:r>
      <w:r w:rsidR="00084C9B">
        <w:t>f</w:t>
      </w:r>
      <w:r w:rsidR="00084C9B" w:rsidRPr="003140FB">
        <w:t xml:space="preserve"> </w:t>
      </w:r>
      <w:r w:rsidRPr="003140FB">
        <w:t>a classic Quantitative Risk Analysis (QRA), where standard probabilities from literature are exploited for the modeling of the different scenarios. In this study</w:t>
      </w:r>
      <w:r w:rsidR="00084C9B">
        <w:t>,</w:t>
      </w:r>
      <w:r w:rsidRPr="003140FB">
        <w:t xml:space="preserve"> the catastrophic rupture and three sizes of leakage have been chosen as reference scenarios for each component. The analysis is carried out through a software named </w:t>
      </w:r>
      <w:proofErr w:type="spellStart"/>
      <w:r w:rsidRPr="003140FB">
        <w:t>Safeti</w:t>
      </w:r>
      <w:proofErr w:type="spellEnd"/>
      <w:r w:rsidRPr="003140FB">
        <w:t xml:space="preserve"> (by Den Norske Veritas – German Lloyds DNV-GL), which performs calculations based on standard source, dispersion and consequence models. </w:t>
      </w:r>
      <w:proofErr w:type="spellStart"/>
      <w:r w:rsidRPr="003140FB">
        <w:t>Safeti</w:t>
      </w:r>
      <w:proofErr w:type="spellEnd"/>
      <w:r w:rsidRPr="003140FB">
        <w:t xml:space="preserve"> provides a </w:t>
      </w:r>
      <w:r w:rsidR="007C20E5">
        <w:t xml:space="preserve">ranking </w:t>
      </w:r>
      <w:r w:rsidRPr="003140FB">
        <w:t xml:space="preserve">of </w:t>
      </w:r>
      <w:r w:rsidR="007C20E5">
        <w:t xml:space="preserve">the </w:t>
      </w:r>
      <w:r w:rsidRPr="003140FB">
        <w:t>components</w:t>
      </w:r>
      <w:r w:rsidR="007C20E5">
        <w:t xml:space="preserve"> based on</w:t>
      </w:r>
      <w:r w:rsidRPr="003140FB">
        <w:t xml:space="preserve"> their </w:t>
      </w:r>
      <w:r w:rsidRPr="00297D0D">
        <w:t>criticalit</w:t>
      </w:r>
      <w:r w:rsidR="007C20E5">
        <w:t>ies</w:t>
      </w:r>
      <w:r w:rsidR="007C20E5" w:rsidRPr="00297D0D">
        <w:t xml:space="preserve">. </w:t>
      </w:r>
      <w:r w:rsidRPr="003140FB">
        <w:t xml:space="preserve">In the </w:t>
      </w:r>
      <w:r>
        <w:t>second</w:t>
      </w:r>
      <w:r w:rsidRPr="003140FB">
        <w:t xml:space="preserve"> technique, Hierarchical Bayesian Network (HBN) is adopted to estimate the probability of failure components, while the severity is assessed via Failure, Mode, Effects and Criticality Analysis (FMECA). Subsequently costs related to each component are evaluated and a Cost Risk Priority Number (</w:t>
      </w:r>
      <w:r w:rsidR="00724F53">
        <w:t>CRPN</w:t>
      </w:r>
      <w:r w:rsidRPr="003140FB">
        <w:t xml:space="preserve">) is obtained. This comprehensive review can help maintenance engineers to reduce risks resulting from operations </w:t>
      </w:r>
      <w:r w:rsidRPr="00297D0D">
        <w:t>and pinpoint the most critical components</w:t>
      </w:r>
      <w:r w:rsidRPr="003140FB">
        <w:t xml:space="preserve">, by using the </w:t>
      </w:r>
      <w:r w:rsidR="00A65B25">
        <w:t>approach</w:t>
      </w:r>
      <w:r w:rsidRPr="003140FB">
        <w:t xml:space="preserve"> that is more suitable for their case. To demonstrate the</w:t>
      </w:r>
      <w:r w:rsidR="007C20E5">
        <w:rPr>
          <w:color w:val="FF0000"/>
        </w:rPr>
        <w:t xml:space="preserve"> </w:t>
      </w:r>
      <w:r w:rsidR="007C20E5" w:rsidRPr="00297D0D">
        <w:rPr>
          <w:color w:val="000000" w:themeColor="text1"/>
        </w:rPr>
        <w:t>two d</w:t>
      </w:r>
      <w:r w:rsidRPr="00297D0D">
        <w:rPr>
          <w:color w:val="000000" w:themeColor="text1"/>
        </w:rPr>
        <w:t xml:space="preserve">ifferent </w:t>
      </w:r>
      <w:r w:rsidR="00A65B25" w:rsidRPr="00806BDB">
        <w:t>approaches</w:t>
      </w:r>
      <w:r w:rsidRPr="00806BDB">
        <w:t xml:space="preserve"> and </w:t>
      </w:r>
      <w:r w:rsidRPr="003140FB">
        <w:t xml:space="preserve">compare their results a Natural Gas Regulating and Metering Station (NGRMS) is considered as case of study. The results show that </w:t>
      </w:r>
      <w:r w:rsidRPr="00806BDB">
        <w:t>applying the</w:t>
      </w:r>
      <w:r w:rsidRPr="00297D0D">
        <w:rPr>
          <w:color w:val="000000" w:themeColor="text1"/>
        </w:rPr>
        <w:t xml:space="preserve"> </w:t>
      </w:r>
      <w:r w:rsidR="007D1CC9" w:rsidRPr="00297D0D">
        <w:rPr>
          <w:color w:val="000000" w:themeColor="text1"/>
        </w:rPr>
        <w:t>two</w:t>
      </w:r>
      <w:r w:rsidR="00310408" w:rsidRPr="00297D0D">
        <w:rPr>
          <w:color w:val="000000" w:themeColor="text1"/>
        </w:rPr>
        <w:t xml:space="preserve"> </w:t>
      </w:r>
      <w:r w:rsidRPr="00806BDB">
        <w:t xml:space="preserve">methods </w:t>
      </w:r>
      <w:r w:rsidRPr="003140FB">
        <w:t>to the same plant gives different component rankings, due to their different sensitivities and settings.</w:t>
      </w:r>
    </w:p>
    <w:p w14:paraId="6029AF6F" w14:textId="53F77144" w:rsidR="001B5F85" w:rsidRDefault="001B5F85" w:rsidP="00C17EFC">
      <w:pPr>
        <w:pStyle w:val="CETHeading1"/>
      </w:pPr>
      <w:r w:rsidRPr="001B5F85">
        <w:t>Introduction</w:t>
      </w:r>
    </w:p>
    <w:p w14:paraId="099A13BE" w14:textId="3FDA2C33" w:rsidR="00F81CB7" w:rsidRDefault="00064D24" w:rsidP="003140FB">
      <w:pPr>
        <w:pStyle w:val="CETBodytext"/>
        <w:rPr>
          <w:lang w:val="en-GB"/>
        </w:rPr>
      </w:pPr>
      <w:r>
        <w:rPr>
          <w:lang w:val="en-GB"/>
        </w:rPr>
        <w:t>Natural gas is deemed as a hazardous substance due to its flammability, indeed leakages or catastrophic ruptures of devices process</w:t>
      </w:r>
      <w:r w:rsidR="00B17D04">
        <w:rPr>
          <w:lang w:val="en-GB"/>
        </w:rPr>
        <w:t>ing</w:t>
      </w:r>
      <w:r>
        <w:rPr>
          <w:lang w:val="en-GB"/>
        </w:rPr>
        <w:t xml:space="preserve"> natural gas can lead to dangerous </w:t>
      </w:r>
      <w:r w:rsidR="00B17D04">
        <w:rPr>
          <w:lang w:val="en-GB"/>
        </w:rPr>
        <w:t xml:space="preserve">events </w:t>
      </w:r>
      <w:r>
        <w:rPr>
          <w:lang w:val="en-GB"/>
        </w:rPr>
        <w:t>such as jet fire</w:t>
      </w:r>
      <w:r w:rsidR="00B17D04">
        <w:rPr>
          <w:lang w:val="en-GB"/>
        </w:rPr>
        <w:t>s</w:t>
      </w:r>
      <w:r>
        <w:rPr>
          <w:lang w:val="en-GB"/>
        </w:rPr>
        <w:t>, pool fire</w:t>
      </w:r>
      <w:r w:rsidR="00B17D04">
        <w:rPr>
          <w:lang w:val="en-GB"/>
        </w:rPr>
        <w:t>s</w:t>
      </w:r>
      <w:r w:rsidR="00706B9F">
        <w:rPr>
          <w:lang w:val="en-GB"/>
        </w:rPr>
        <w:t>,</w:t>
      </w:r>
      <w:r>
        <w:rPr>
          <w:lang w:val="en-GB"/>
        </w:rPr>
        <w:t xml:space="preserve"> fireball</w:t>
      </w:r>
      <w:r w:rsidR="00B17D04">
        <w:rPr>
          <w:lang w:val="en-GB"/>
        </w:rPr>
        <w:t>s</w:t>
      </w:r>
      <w:r w:rsidR="00706B9F">
        <w:rPr>
          <w:lang w:val="en-GB"/>
        </w:rPr>
        <w:t xml:space="preserve"> or Vapor Cloud Explosion</w:t>
      </w:r>
      <w:r w:rsidR="00B17D04">
        <w:rPr>
          <w:lang w:val="en-GB"/>
        </w:rPr>
        <w:t>s</w:t>
      </w:r>
      <w:r w:rsidR="00706B9F">
        <w:rPr>
          <w:lang w:val="en-GB"/>
        </w:rPr>
        <w:t xml:space="preserve"> (VCE). </w:t>
      </w:r>
      <w:r w:rsidR="006A37CB">
        <w:rPr>
          <w:lang w:val="en-GB"/>
        </w:rPr>
        <w:t>Besides</w:t>
      </w:r>
      <w:r w:rsidR="00B17D04">
        <w:rPr>
          <w:lang w:val="en-GB"/>
        </w:rPr>
        <w:t>,</w:t>
      </w:r>
      <w:r w:rsidR="006A37CB">
        <w:rPr>
          <w:lang w:val="en-GB"/>
        </w:rPr>
        <w:t xml:space="preserve"> due to the complexity of </w:t>
      </w:r>
      <w:r w:rsidR="00084C9B">
        <w:rPr>
          <w:lang w:val="en-GB"/>
        </w:rPr>
        <w:t xml:space="preserve">a </w:t>
      </w:r>
      <w:r w:rsidR="006A37CB">
        <w:rPr>
          <w:lang w:val="en-GB"/>
        </w:rPr>
        <w:t xml:space="preserve">natural gas distribution system and its vicinity to urban areas, accidents related to the network can generate fatalities and domino effects </w:t>
      </w:r>
      <w:r w:rsidR="006A37CB">
        <w:rPr>
          <w:lang w:val="en-GB"/>
        </w:rPr>
        <w:fldChar w:fldCharType="begin"/>
      </w:r>
      <w:r w:rsidR="006A37CB">
        <w:rPr>
          <w:lang w:val="en-GB"/>
        </w:rPr>
        <w:instrText xml:space="preserve"> ADDIN EN.CITE &lt;EndNote&gt;&lt;Cite&gt;&lt;Author&gt;Han&lt;/Author&gt;&lt;Year&gt;2011&lt;/Year&gt;&lt;RecNum&gt;5&lt;/RecNum&gt;&lt;DisplayText&gt;(Han and Weng, 2011)&lt;/DisplayText&gt;&lt;record&gt;&lt;rec-number&gt;5&lt;/rec-number&gt;&lt;foreign-keys&gt;&lt;key app="EN" db-id="r5psfpswwr55zfeavpcppe555p09s0xsf5fp" timestamp="1580898223"&gt;5&lt;/key&gt;&lt;/foreign-keys&gt;&lt;ref-type name="Journal Article"&gt;17&lt;/ref-type&gt;&lt;contributors&gt;&lt;authors&gt;&lt;author&gt;Han, ZY&lt;/author&gt;&lt;author&gt;Weng, WG&lt;/author&gt;&lt;/authors&gt;&lt;/contributors&gt;&lt;titles&gt;&lt;title&gt;Comparison study on qualitative and quantitative risk assessment methods for urban natural gas pipeline network&lt;/title&gt;&lt;secondary-title&gt;Journal of hazardous materials&lt;/secondary-title&gt;&lt;/titles&gt;&lt;periodical&gt;&lt;full-title&gt;Journal of hazardous materials&lt;/full-title&gt;&lt;/periodical&gt;&lt;pages&gt;509-518&lt;/pages&gt;&lt;volume&gt;189&lt;/volume&gt;&lt;number&gt;1-2&lt;/number&gt;&lt;dates&gt;&lt;year&gt;2011&lt;/year&gt;&lt;/dates&gt;&lt;isbn&gt;0304-3894&lt;/isbn&gt;&lt;urls&gt;&lt;/urls&gt;&lt;/record&gt;&lt;/Cite&gt;&lt;/EndNote&gt;</w:instrText>
      </w:r>
      <w:r w:rsidR="006A37CB">
        <w:rPr>
          <w:lang w:val="en-GB"/>
        </w:rPr>
        <w:fldChar w:fldCharType="separate"/>
      </w:r>
      <w:r w:rsidR="006A37CB">
        <w:rPr>
          <w:noProof/>
          <w:lang w:val="en-GB"/>
        </w:rPr>
        <w:t>(Han and Weng, 2011)</w:t>
      </w:r>
      <w:r w:rsidR="006A37CB">
        <w:rPr>
          <w:lang w:val="en-GB"/>
        </w:rPr>
        <w:fldChar w:fldCharType="end"/>
      </w:r>
      <w:r w:rsidR="006A37CB">
        <w:rPr>
          <w:lang w:val="en-GB"/>
        </w:rPr>
        <w:t xml:space="preserve">. </w:t>
      </w:r>
      <w:r w:rsidR="00706B9F">
        <w:rPr>
          <w:lang w:val="en-GB"/>
        </w:rPr>
        <w:t xml:space="preserve">Despite the development of renewable energy sources, the consumption of methane gas is still increasing in industrialized countries </w:t>
      </w:r>
      <w:r w:rsidR="00706B9F">
        <w:rPr>
          <w:lang w:val="en-GB"/>
        </w:rPr>
        <w:fldChar w:fldCharType="begin"/>
      </w:r>
      <w:r w:rsidR="00706B9F">
        <w:rPr>
          <w:lang w:val="en-GB"/>
        </w:rPr>
        <w:instrText xml:space="preserve"> ADDIN EN.CITE &lt;EndNote&gt;&lt;Cite&gt;&lt;Author&gt;Vianello&lt;/Author&gt;&lt;Year&gt;2014&lt;/Year&gt;&lt;RecNum&gt;25&lt;/RecNum&gt;&lt;DisplayText&gt;(Vianello and Maschio, 2014)&lt;/DisplayText&gt;&lt;record&gt;&lt;rec-number&gt;25&lt;/rec-number&gt;&lt;foreign-keys&gt;&lt;key app="EN" db-id="r5psfpswwr55zfeavpcppe555p09s0xsf5fp" timestamp="1580899711"&gt;25&lt;/key&gt;&lt;/foreign-keys&gt;&lt;ref-type name="Journal Article"&gt;17&lt;/ref-type&gt;&lt;contributors&gt;&lt;authors&gt;&lt;author&gt;Vianello, Chiara&lt;/author&gt;&lt;author&gt;Maschio, Giuseppe&lt;/author&gt;&lt;/authors&gt;&lt;/contributors&gt;&lt;titles&gt;&lt;title&gt;Quantitative risk assessment of the Italian gas distribution network&lt;/title&gt;&lt;secondary-title&gt;Journal of Loss Prevention in the Process Industries&lt;/secondary-title&gt;&lt;/titles&gt;&lt;periodical&gt;&lt;full-title&gt;Journal of Loss Prevention in the Process industries&lt;/full-title&gt;&lt;/periodical&gt;&lt;pages&gt;5-17&lt;/pages&gt;&lt;volume&gt;32&lt;/volume&gt;&lt;dates&gt;&lt;year&gt;2014&lt;/year&gt;&lt;/dates&gt;&lt;isbn&gt;0950-4230&lt;/isbn&gt;&lt;urls&gt;&lt;/urls&gt;&lt;/record&gt;&lt;/Cite&gt;&lt;/EndNote&gt;</w:instrText>
      </w:r>
      <w:r w:rsidR="00706B9F">
        <w:rPr>
          <w:lang w:val="en-GB"/>
        </w:rPr>
        <w:fldChar w:fldCharType="separate"/>
      </w:r>
      <w:r w:rsidR="00706B9F">
        <w:rPr>
          <w:noProof/>
          <w:lang w:val="en-GB"/>
        </w:rPr>
        <w:t>(Vianello and Maschio, 2014)</w:t>
      </w:r>
      <w:r w:rsidR="00706B9F">
        <w:rPr>
          <w:lang w:val="en-GB"/>
        </w:rPr>
        <w:fldChar w:fldCharType="end"/>
      </w:r>
      <w:r w:rsidR="006A37CB">
        <w:rPr>
          <w:lang w:val="en-GB"/>
        </w:rPr>
        <w:t xml:space="preserve"> and the more the network expands, the more the society relies on the safety of </w:t>
      </w:r>
      <w:r w:rsidR="00F22599">
        <w:rPr>
          <w:lang w:val="en-GB"/>
        </w:rPr>
        <w:t>its</w:t>
      </w:r>
      <w:r w:rsidR="006A37CB">
        <w:rPr>
          <w:lang w:val="en-GB"/>
        </w:rPr>
        <w:t xml:space="preserve"> operations</w:t>
      </w:r>
      <w:r w:rsidR="00C67DB4">
        <w:rPr>
          <w:lang w:val="en-GB"/>
        </w:rPr>
        <w:t xml:space="preserve"> </w:t>
      </w:r>
      <w:r w:rsidR="00C67DB4">
        <w:rPr>
          <w:lang w:val="en-GB"/>
        </w:rPr>
        <w:fldChar w:fldCharType="begin"/>
      </w:r>
      <w:r w:rsidR="001001F2">
        <w:rPr>
          <w:lang w:val="en-GB"/>
        </w:rPr>
        <w:instrText xml:space="preserve"> ADDIN EN.CITE &lt;EndNote&gt;&lt;Cite&gt;&lt;Author&gt;Dey&lt;/Author&gt;&lt;Year&gt;2002&lt;/Year&gt;&lt;RecNum&gt;61&lt;/RecNum&gt;&lt;DisplayText&gt;(P. K. Dey, 2002)&lt;/DisplayText&gt;&lt;record&gt;&lt;rec-number&gt;61&lt;/rec-number&gt;&lt;foreign-keys&gt;&lt;key app="EN" db-id="r5psfpswwr55zfeavpcppe555p09s0xsf5fp" timestamp="1584800507"&gt;61&lt;/key&gt;&lt;/foreign-keys&gt;&lt;ref-type name="Journal Article"&gt;17&lt;/ref-type&gt;&lt;contributors&gt;&lt;authors&gt;&lt;author&gt;Dey, Prasanta Kumar&lt;/author&gt;&lt;/authors&gt;&lt;/contributors&gt;&lt;titles&gt;&lt;title&gt;An integrated assessment model for cross-country pipelines&lt;/title&gt;&lt;secondary-title&gt;Environmental Impact Assessment Review&lt;/secondary-title&gt;&lt;/titles&gt;&lt;periodical&gt;&lt;full-title&gt;Environmental Impact Assessment Review&lt;/full-title&gt;&lt;/periodical&gt;&lt;pages&gt;703-721&lt;/pages&gt;&lt;volume&gt;22&lt;/volume&gt;&lt;number&gt;6&lt;/number&gt;&lt;dates&gt;&lt;year&gt;2002&lt;/year&gt;&lt;/dates&gt;&lt;isbn&gt;0195-9255&lt;/isbn&gt;&lt;urls&gt;&lt;/urls&gt;&lt;/record&gt;&lt;/Cite&gt;&lt;/EndNote&gt;</w:instrText>
      </w:r>
      <w:r w:rsidR="00C67DB4">
        <w:rPr>
          <w:lang w:val="en-GB"/>
        </w:rPr>
        <w:fldChar w:fldCharType="separate"/>
      </w:r>
      <w:r w:rsidR="001001F2">
        <w:rPr>
          <w:noProof/>
          <w:lang w:val="en-GB"/>
        </w:rPr>
        <w:t>(P. K. Dey, 2002)</w:t>
      </w:r>
      <w:r w:rsidR="00C67DB4">
        <w:rPr>
          <w:lang w:val="en-GB"/>
        </w:rPr>
        <w:fldChar w:fldCharType="end"/>
      </w:r>
      <w:r w:rsidR="00C67DB4">
        <w:rPr>
          <w:lang w:val="en-GB"/>
        </w:rPr>
        <w:t xml:space="preserve">. </w:t>
      </w:r>
      <w:r w:rsidR="008E7EAE">
        <w:rPr>
          <w:lang w:val="en-GB"/>
        </w:rPr>
        <w:t>Hence c</w:t>
      </w:r>
      <w:r w:rsidR="00706B9F">
        <w:rPr>
          <w:lang w:val="en-GB"/>
        </w:rPr>
        <w:t xml:space="preserve">omprehensive tools able to </w:t>
      </w:r>
      <w:r w:rsidR="00C67DB4">
        <w:rPr>
          <w:lang w:val="en-GB"/>
        </w:rPr>
        <w:t>mitigate</w:t>
      </w:r>
      <w:r w:rsidR="00706B9F">
        <w:rPr>
          <w:lang w:val="en-GB"/>
        </w:rPr>
        <w:t xml:space="preserve"> the risk arising from natural gas distribution system breakdown</w:t>
      </w:r>
      <w:r w:rsidR="00084C9B">
        <w:rPr>
          <w:lang w:val="en-GB"/>
        </w:rPr>
        <w:t>s</w:t>
      </w:r>
      <w:r w:rsidR="00706B9F">
        <w:rPr>
          <w:lang w:val="en-GB"/>
        </w:rPr>
        <w:t xml:space="preserve"> are </w:t>
      </w:r>
      <w:r w:rsidR="008E7EAE">
        <w:rPr>
          <w:lang w:val="en-GB"/>
        </w:rPr>
        <w:t>r</w:t>
      </w:r>
      <w:r w:rsidR="00706B9F">
        <w:rPr>
          <w:lang w:val="en-GB"/>
        </w:rPr>
        <w:t>equired to guarantee the safety of human being</w:t>
      </w:r>
      <w:r w:rsidR="00084C9B">
        <w:rPr>
          <w:lang w:val="en-GB"/>
        </w:rPr>
        <w:t>s</w:t>
      </w:r>
      <w:r w:rsidR="00706B9F">
        <w:rPr>
          <w:lang w:val="en-GB"/>
        </w:rPr>
        <w:t xml:space="preserve"> and environment. </w:t>
      </w:r>
    </w:p>
    <w:p w14:paraId="42FA9941" w14:textId="77777777" w:rsidR="00C17EFC" w:rsidRDefault="00C23CC9" w:rsidP="003140FB">
      <w:pPr>
        <w:pStyle w:val="CETBodytext"/>
        <w:rPr>
          <w:lang w:val="en-GB"/>
        </w:rPr>
      </w:pPr>
      <w:r>
        <w:rPr>
          <w:lang w:val="en-GB"/>
        </w:rPr>
        <w:t xml:space="preserve">Planning maintenance and inspection activities </w:t>
      </w:r>
      <w:r w:rsidR="00084C9B">
        <w:rPr>
          <w:lang w:val="en-GB"/>
        </w:rPr>
        <w:t xml:space="preserve">are </w:t>
      </w:r>
      <w:r>
        <w:rPr>
          <w:lang w:val="en-GB"/>
        </w:rPr>
        <w:t xml:space="preserve">among the most common techniques to avoid failures and </w:t>
      </w:r>
      <w:r w:rsidR="00084C9B">
        <w:rPr>
          <w:lang w:val="en-GB"/>
        </w:rPr>
        <w:t xml:space="preserve">maximize </w:t>
      </w:r>
      <w:r>
        <w:rPr>
          <w:lang w:val="en-GB"/>
        </w:rPr>
        <w:t>the equipment availability</w:t>
      </w:r>
      <w:r w:rsidR="00F22599">
        <w:rPr>
          <w:lang w:val="en-GB"/>
        </w:rPr>
        <w:t xml:space="preserve"> while </w:t>
      </w:r>
      <w:r w:rsidR="00084C9B">
        <w:rPr>
          <w:lang w:val="en-GB"/>
        </w:rPr>
        <w:t xml:space="preserve">minimizing </w:t>
      </w:r>
      <w:r w:rsidR="00F22599">
        <w:rPr>
          <w:lang w:val="en-GB"/>
        </w:rPr>
        <w:t xml:space="preserve">the total cost of the operations </w:t>
      </w:r>
      <w:r w:rsidR="00F22599">
        <w:rPr>
          <w:lang w:val="en-GB"/>
        </w:rPr>
        <w:fldChar w:fldCharType="begin"/>
      </w:r>
      <w:r w:rsidR="00F22599">
        <w:rPr>
          <w:lang w:val="en-GB"/>
        </w:rPr>
        <w:instrText xml:space="preserve"> ADDIN EN.CITE &lt;EndNote&gt;&lt;Cite&gt;&lt;Author&gt;Khan&lt;/Author&gt;&lt;Year&gt;2003&lt;/Year&gt;&lt;RecNum&gt;11&lt;/RecNum&gt;&lt;DisplayText&gt;(Khan and Haddara, 2003)&lt;/DisplayText&gt;&lt;record&gt;&lt;rec-number&gt;11&lt;/rec-number&gt;&lt;foreign-keys&gt;&lt;key app="EN" db-id="r5psfpswwr55zfeavpcppe555p09s0xsf5fp" timestamp="1580898505"&gt;11&lt;/key&gt;&lt;/foreign-keys&gt;&lt;ref-type name="Journal Article"&gt;17&lt;/ref-type&gt;&lt;contributors&gt;&lt;authors&gt;&lt;author&gt;Khan, Faisal I&lt;/author&gt;&lt;author&gt;Haddara, Mahmoud M&lt;/author&gt;&lt;/authors&gt;&lt;/contributors&gt;&lt;titles&gt;&lt;title&gt;Risk-based maintenance (RBM): a quantitative approach for maintenance/inspection scheduling and planning&lt;/title&gt;&lt;secondary-title&gt;Journal of loss prevention in the process industries&lt;/secondary-title&gt;&lt;/titles&gt;&lt;periodical&gt;&lt;full-title&gt;Journal of Loss Prevention in the Process industries&lt;/full-title&gt;&lt;/periodical&gt;&lt;pages&gt;561-573&lt;/pages&gt;&lt;volume&gt;16&lt;/volume&gt;&lt;number&gt;6&lt;/number&gt;&lt;dates&gt;&lt;year&gt;2003&lt;/year&gt;&lt;/dates&gt;&lt;isbn&gt;0950-4230&lt;/isbn&gt;&lt;urls&gt;&lt;/urls&gt;&lt;/record&gt;&lt;/Cite&gt;&lt;/EndNote&gt;</w:instrText>
      </w:r>
      <w:r w:rsidR="00F22599">
        <w:rPr>
          <w:lang w:val="en-GB"/>
        </w:rPr>
        <w:fldChar w:fldCharType="separate"/>
      </w:r>
      <w:r w:rsidR="00F22599">
        <w:rPr>
          <w:noProof/>
          <w:lang w:val="en-GB"/>
        </w:rPr>
        <w:t>(Khan and Haddara, 2003)</w:t>
      </w:r>
      <w:r w:rsidR="00F22599">
        <w:rPr>
          <w:lang w:val="en-GB"/>
        </w:rPr>
        <w:fldChar w:fldCharType="end"/>
      </w:r>
      <w:r>
        <w:rPr>
          <w:lang w:val="en-GB"/>
        </w:rPr>
        <w:t xml:space="preserve">. </w:t>
      </w:r>
      <w:r w:rsidR="00A32AFC">
        <w:rPr>
          <w:lang w:val="en-GB"/>
        </w:rPr>
        <w:t xml:space="preserve">An appropriate definition of maintenance is expressed by </w:t>
      </w:r>
      <w:r w:rsidR="00A32AFC">
        <w:rPr>
          <w:lang w:val="en-GB"/>
        </w:rPr>
        <w:fldChar w:fldCharType="begin"/>
      </w:r>
      <w:r w:rsidR="00A32AFC">
        <w:rPr>
          <w:lang w:val="en-GB"/>
        </w:rPr>
        <w:instrText xml:space="preserve"> ADDIN EN.CITE &lt;EndNote&gt;&lt;Cite AuthorYear="1"&gt;&lt;Author&gt;Dhillon&lt;/Author&gt;&lt;Year&gt;2002&lt;/Year&gt;&lt;RecNum&gt;54&lt;/RecNum&gt;&lt;DisplayText&gt;Dhillon (2002)&lt;/DisplayText&gt;&lt;record&gt;&lt;rec-number&gt;54&lt;/rec-number&gt;&lt;foreign-keys&gt;&lt;key app="EN" db-id="r5psfpswwr55zfeavpcppe555p09s0xsf5fp" timestamp="1584716840"&gt;54&lt;/key&gt;&lt;/foreign-keys&gt;&lt;ref-type name="Book"&gt;6&lt;/ref-type&gt;&lt;contributors&gt;&lt;authors&gt;&lt;author&gt;Dhillon, Balbir S&lt;/author&gt;&lt;/authors&gt;&lt;/contributors&gt;&lt;titles&gt;&lt;title&gt;Engineering maintenance: a modern approach&lt;/title&gt;&lt;/titles&gt;&lt;dates&gt;&lt;year&gt;2002&lt;/year&gt;&lt;/dates&gt;&lt;publisher&gt;cRc press&lt;/publisher&gt;&lt;isbn&gt;1420031848&lt;/isbn&gt;&lt;urls&gt;&lt;/urls&gt;&lt;/record&gt;&lt;/Cite&gt;&lt;/EndNote&gt;</w:instrText>
      </w:r>
      <w:r w:rsidR="00A32AFC">
        <w:rPr>
          <w:lang w:val="en-GB"/>
        </w:rPr>
        <w:fldChar w:fldCharType="separate"/>
      </w:r>
      <w:r w:rsidR="00A32AFC">
        <w:rPr>
          <w:noProof/>
          <w:lang w:val="en-GB"/>
        </w:rPr>
        <w:t>Dhillon (2002)</w:t>
      </w:r>
      <w:r w:rsidR="00A32AFC">
        <w:rPr>
          <w:lang w:val="en-GB"/>
        </w:rPr>
        <w:fldChar w:fldCharType="end"/>
      </w:r>
      <w:r w:rsidR="00A32AFC">
        <w:rPr>
          <w:lang w:val="en-GB"/>
        </w:rPr>
        <w:t xml:space="preserve"> who identifies maintenance as all the activities required to restore the </w:t>
      </w:r>
      <w:r w:rsidR="007E66B6">
        <w:rPr>
          <w:lang w:val="en-GB"/>
        </w:rPr>
        <w:t>function of an item a part or a component to a given condition. In literature</w:t>
      </w:r>
      <w:r w:rsidR="00084C9B">
        <w:rPr>
          <w:lang w:val="en-GB"/>
        </w:rPr>
        <w:t>,</w:t>
      </w:r>
      <w:r w:rsidR="007E66B6">
        <w:rPr>
          <w:lang w:val="en-GB"/>
        </w:rPr>
        <w:t xml:space="preserve"> several maintenance strategies are presented </w:t>
      </w:r>
      <w:r w:rsidR="001E0F7F">
        <w:rPr>
          <w:lang w:val="en-GB"/>
        </w:rPr>
        <w:fldChar w:fldCharType="begin"/>
      </w:r>
      <w:r w:rsidR="001E0F7F">
        <w:rPr>
          <w:lang w:val="en-GB"/>
        </w:rPr>
        <w:instrText xml:space="preserve"> ADDIN EN.CITE &lt;EndNote&gt;&lt;Cite&gt;&lt;Author&gt;Moubray&lt;/Author&gt;&lt;Year&gt;2001&lt;/Year&gt;&lt;RecNum&gt;58&lt;/RecNum&gt;&lt;DisplayText&gt;(Moubray, 2001)&lt;/DisplayText&gt;&lt;record&gt;&lt;rec-number&gt;58&lt;/rec-number&gt;&lt;foreign-keys&gt;&lt;key app="EN" db-id="r5psfpswwr55zfeavpcppe555p09s0xsf5fp" timestamp="1584717472"&gt;58&lt;/key&gt;&lt;/foreign-keys&gt;&lt;ref-type name="Book"&gt;6&lt;/ref-type&gt;&lt;contributors&gt;&lt;authors&gt;&lt;author&gt;Moubray, John&lt;/author&gt;&lt;/authors&gt;&lt;/contributors&gt;&lt;titles&gt;&lt;title&gt;Reliability-centered maintenance&lt;/title&gt;&lt;/titles&gt;&lt;dates&gt;&lt;year&gt;2001&lt;/year&gt;&lt;/dates&gt;&lt;publisher&gt;Industrial Press Inc.&lt;/publisher&gt;&lt;isbn&gt;0831131462&lt;/isbn&gt;&lt;urls&gt;&lt;/urls&gt;&lt;/record&gt;&lt;/Cite&gt;&lt;/EndNote&gt;</w:instrText>
      </w:r>
      <w:r w:rsidR="001E0F7F">
        <w:rPr>
          <w:lang w:val="en-GB"/>
        </w:rPr>
        <w:fldChar w:fldCharType="separate"/>
      </w:r>
      <w:r w:rsidR="001E0F7F">
        <w:rPr>
          <w:noProof/>
          <w:lang w:val="en-GB"/>
        </w:rPr>
        <w:t>(Moubray, 2001)</w:t>
      </w:r>
      <w:r w:rsidR="001E0F7F">
        <w:rPr>
          <w:lang w:val="en-GB"/>
        </w:rPr>
        <w:fldChar w:fldCharType="end"/>
      </w:r>
      <w:r w:rsidR="00F22599">
        <w:rPr>
          <w:lang w:val="en-GB"/>
        </w:rPr>
        <w:t xml:space="preserve">, indeed during the </w:t>
      </w:r>
      <w:r w:rsidR="007B237B">
        <w:rPr>
          <w:lang w:val="en-GB"/>
        </w:rPr>
        <w:t>past years</w:t>
      </w:r>
      <w:r w:rsidR="00F22599">
        <w:rPr>
          <w:lang w:val="en-GB"/>
        </w:rPr>
        <w:t xml:space="preserve"> maintenance </w:t>
      </w:r>
      <w:r w:rsidR="00084C9B">
        <w:rPr>
          <w:lang w:val="en-GB"/>
        </w:rPr>
        <w:t xml:space="preserve">has </w:t>
      </w:r>
      <w:r w:rsidR="00F22599">
        <w:rPr>
          <w:lang w:val="en-GB"/>
        </w:rPr>
        <w:t>been experienc</w:t>
      </w:r>
      <w:r w:rsidR="007B237B">
        <w:rPr>
          <w:lang w:val="en-GB"/>
        </w:rPr>
        <w:t>ing</w:t>
      </w:r>
      <w:r w:rsidR="00F22599">
        <w:rPr>
          <w:lang w:val="en-GB"/>
        </w:rPr>
        <w:t xml:space="preserve"> a drastic change from only time-based methodologies to condition and </w:t>
      </w:r>
      <w:r w:rsidR="00084C9B">
        <w:rPr>
          <w:lang w:val="en-GB"/>
        </w:rPr>
        <w:t>risk-</w:t>
      </w:r>
      <w:r w:rsidR="00F22599">
        <w:rPr>
          <w:lang w:val="en-GB"/>
        </w:rPr>
        <w:t>based approaches</w:t>
      </w:r>
      <w:r w:rsidR="007B237B">
        <w:rPr>
          <w:lang w:val="en-GB"/>
        </w:rPr>
        <w:t xml:space="preserve"> </w:t>
      </w:r>
      <w:r w:rsidR="007B237B">
        <w:rPr>
          <w:lang w:val="en-GB"/>
        </w:rPr>
        <w:fldChar w:fldCharType="begin"/>
      </w:r>
      <w:r w:rsidR="007B237B">
        <w:rPr>
          <w:lang w:val="en-GB"/>
        </w:rPr>
        <w:instrText xml:space="preserve"> ADDIN EN.CITE &lt;EndNote&gt;&lt;Cite&gt;&lt;Author&gt;Arunraj&lt;/Author&gt;&lt;Year&gt;2007&lt;/Year&gt;&lt;RecNum&gt;59&lt;/RecNum&gt;&lt;DisplayText&gt;(Arunraj and Maiti, 2007)&lt;/DisplayText&gt;&lt;record&gt;&lt;rec-number&gt;59&lt;/rec-number&gt;&lt;foreign-keys&gt;&lt;key app="EN" db-id="r5psfpswwr55zfeavpcppe555p09s0xsf5fp" timestamp="1584717829"&gt;59&lt;/key&gt;&lt;/foreign-keys&gt;&lt;ref-type name="Journal Article"&gt;17&lt;/ref-type&gt;&lt;contributors&gt;&lt;authors&gt;&lt;author&gt;Arunraj, NS&lt;/author&gt;&lt;author&gt;Maiti, J&lt;/author&gt;&lt;/authors&gt;&lt;/contributors&gt;&lt;titles&gt;&lt;title&gt;Risk-based maintenance—Techniques and applications&lt;/title&gt;&lt;secondary-title&gt;Journal of hazardous materials&lt;/secondary-title&gt;&lt;/titles&gt;&lt;periodical&gt;&lt;full-title&gt;Journal of hazardous materials&lt;/full-title&gt;&lt;/periodical&gt;&lt;pages&gt;653-661&lt;/pages&gt;&lt;volume&gt;142&lt;/volume&gt;&lt;number&gt;3&lt;/number&gt;&lt;dates&gt;&lt;year&gt;2007&lt;/year&gt;&lt;/dates&gt;&lt;isbn&gt;0304-3894&lt;/isbn&gt;&lt;urls&gt;&lt;/urls&gt;&lt;/record&gt;&lt;/Cite&gt;&lt;/EndNote&gt;</w:instrText>
      </w:r>
      <w:r w:rsidR="007B237B">
        <w:rPr>
          <w:lang w:val="en-GB"/>
        </w:rPr>
        <w:fldChar w:fldCharType="separate"/>
      </w:r>
      <w:r w:rsidR="007B237B">
        <w:rPr>
          <w:noProof/>
          <w:lang w:val="en-GB"/>
        </w:rPr>
        <w:t>(Arunraj and Maiti, 2007)</w:t>
      </w:r>
      <w:r w:rsidR="007B237B">
        <w:rPr>
          <w:lang w:val="en-GB"/>
        </w:rPr>
        <w:fldChar w:fldCharType="end"/>
      </w:r>
      <w:r w:rsidR="00277702">
        <w:rPr>
          <w:lang w:val="en-GB"/>
        </w:rPr>
        <w:t>.</w:t>
      </w:r>
      <w:r w:rsidR="00B50843">
        <w:rPr>
          <w:lang w:val="en-GB"/>
        </w:rPr>
        <w:t xml:space="preserve"> </w:t>
      </w:r>
    </w:p>
    <w:p w14:paraId="20F576B9" w14:textId="725BD2B3" w:rsidR="00B468AA" w:rsidRDefault="001E0F7F" w:rsidP="003140FB">
      <w:pPr>
        <w:pStyle w:val="CETBodytext"/>
        <w:rPr>
          <w:lang w:val="en-GB"/>
        </w:rPr>
      </w:pPr>
      <w:r>
        <w:rPr>
          <w:lang w:val="en-GB"/>
        </w:rPr>
        <w:lastRenderedPageBreak/>
        <w:t>R</w:t>
      </w:r>
      <w:r w:rsidR="007B237B">
        <w:rPr>
          <w:lang w:val="en-GB"/>
        </w:rPr>
        <w:t xml:space="preserve">isk-Based </w:t>
      </w:r>
      <w:r>
        <w:rPr>
          <w:lang w:val="en-GB"/>
        </w:rPr>
        <w:t>M</w:t>
      </w:r>
      <w:r w:rsidR="007B237B">
        <w:rPr>
          <w:lang w:val="en-GB"/>
        </w:rPr>
        <w:t xml:space="preserve">aintenance (RBM) </w:t>
      </w:r>
      <w:r>
        <w:rPr>
          <w:lang w:val="en-GB"/>
        </w:rPr>
        <w:t xml:space="preserve">integrates the consequences of failures into the maintenance plan, prioritizing the maintenance actions based on the level of risk of each component </w:t>
      </w:r>
      <w:r>
        <w:rPr>
          <w:lang w:val="en-GB"/>
        </w:rPr>
        <w:fldChar w:fldCharType="begin"/>
      </w:r>
      <w:r>
        <w:rPr>
          <w:lang w:val="en-GB"/>
        </w:rPr>
        <w:instrText xml:space="preserve"> ADDIN EN.CITE &lt;EndNote&gt;&lt;Cite&gt;&lt;Author&gt;Ambühl&lt;/Author&gt;&lt;Year&gt;2017&lt;/Year&gt;&lt;RecNum&gt;7&lt;/RecNum&gt;&lt;DisplayText&gt;(Ambühl and Sørensen, 2017)&lt;/DisplayText&gt;&lt;record&gt;&lt;rec-number&gt;7&lt;/rec-number&gt;&lt;foreign-keys&gt;&lt;key app="EN" db-id="r5psfpswwr55zfeavpcppe555p09s0xsf5fp" timestamp="1580898353"&gt;7&lt;/key&gt;&lt;/foreign-keys&gt;&lt;ref-type name="Journal Article"&gt;17&lt;/ref-type&gt;&lt;contributors&gt;&lt;authors&gt;&lt;author&gt;Ambühl, Simon&lt;/author&gt;&lt;author&gt;Sørensen, John Dalsgaard&lt;/author&gt;&lt;/authors&gt;&lt;/contributors&gt;&lt;titles&gt;&lt;title&gt;On Different Maintenance Strategies for Casted Components of Offshore Wind Turbines&lt;/title&gt;&lt;/titles&gt;&lt;dates&gt;&lt;year&gt;2017&lt;/year&gt;&lt;/dates&gt;&lt;isbn&gt;1901-726X&lt;/isbn&gt;&lt;urls&gt;&lt;/urls&gt;&lt;/record&gt;&lt;/Cite&gt;&lt;/EndNote&gt;</w:instrText>
      </w:r>
      <w:r>
        <w:rPr>
          <w:lang w:val="en-GB"/>
        </w:rPr>
        <w:fldChar w:fldCharType="separate"/>
      </w:r>
      <w:r>
        <w:rPr>
          <w:noProof/>
          <w:lang w:val="en-GB"/>
        </w:rPr>
        <w:t>(Ambühl and Sørensen, 2017)</w:t>
      </w:r>
      <w:r>
        <w:rPr>
          <w:lang w:val="en-GB"/>
        </w:rPr>
        <w:fldChar w:fldCharType="end"/>
      </w:r>
      <w:r>
        <w:rPr>
          <w:lang w:val="en-GB"/>
        </w:rPr>
        <w:t>. For its characteristics</w:t>
      </w:r>
      <w:r w:rsidR="00084C9B">
        <w:rPr>
          <w:lang w:val="en-GB"/>
        </w:rPr>
        <w:t>,</w:t>
      </w:r>
      <w:r>
        <w:rPr>
          <w:lang w:val="en-GB"/>
        </w:rPr>
        <w:t xml:space="preserve"> RBM has lured the attention of several researchers during the </w:t>
      </w:r>
      <w:r w:rsidR="007B237B">
        <w:rPr>
          <w:lang w:val="en-GB"/>
        </w:rPr>
        <w:t>last decades</w:t>
      </w:r>
      <w:r>
        <w:rPr>
          <w:lang w:val="en-GB"/>
        </w:rPr>
        <w:t xml:space="preserve">. </w:t>
      </w:r>
      <w:r w:rsidR="003C64C4">
        <w:rPr>
          <w:lang w:val="en-GB"/>
        </w:rPr>
        <w:t xml:space="preserve">To conduct RBM many tools have been adopted such as Fault-Tree </w:t>
      </w:r>
      <w:r w:rsidR="003C64C4">
        <w:rPr>
          <w:lang w:val="en-GB"/>
        </w:rPr>
        <w:fldChar w:fldCharType="begin"/>
      </w:r>
      <w:r w:rsidR="003C64C4">
        <w:rPr>
          <w:lang w:val="en-GB"/>
        </w:rPr>
        <w:instrText xml:space="preserve"> ADDIN EN.CITE &lt;EndNote&gt;&lt;Cite&gt;&lt;Author&gt;Krishnasamy&lt;/Author&gt;&lt;Year&gt;2005&lt;/Year&gt;&lt;RecNum&gt;14&lt;/RecNum&gt;&lt;DisplayText&gt;(Krishnasamy et al., 2005)&lt;/DisplayText&gt;&lt;record&gt;&lt;rec-number&gt;14&lt;/rec-number&gt;&lt;foreign-keys&gt;&lt;key app="EN" db-id="r5psfpswwr55zfeavpcppe555p09s0xsf5fp" timestamp="1580898661"&gt;14&lt;/key&gt;&lt;/foreign-keys&gt;&lt;ref-type name="Journal Article"&gt;17&lt;/ref-type&gt;&lt;contributors&gt;&lt;authors&gt;&lt;author&gt;Krishnasamy, Loganathan&lt;/author&gt;&lt;author&gt;Khan, Faisal&lt;/author&gt;&lt;author&gt;Haddara, Mahmoud&lt;/author&gt;&lt;/authors&gt;&lt;/contributors&gt;&lt;titles&gt;&lt;title&gt;Development of a risk-based maintenance (RBM) strategy for a power-generating plant&lt;/title&gt;&lt;secondary-title&gt;Journal of Loss Prevention in the process industries&lt;/secondary-title&gt;&lt;/titles&gt;&lt;periodical&gt;&lt;full-title&gt;Journal of Loss Prevention in the Process industries&lt;/full-title&gt;&lt;/periodical&gt;&lt;pages&gt;69-81&lt;/pages&gt;&lt;volume&gt;18&lt;/volume&gt;&lt;number&gt;2&lt;/number&gt;&lt;dates&gt;&lt;year&gt;2005&lt;/year&gt;&lt;/dates&gt;&lt;isbn&gt;0950-4230&lt;/isbn&gt;&lt;urls&gt;&lt;/urls&gt;&lt;/record&gt;&lt;/Cite&gt;&lt;/EndNote&gt;</w:instrText>
      </w:r>
      <w:r w:rsidR="003C64C4">
        <w:rPr>
          <w:lang w:val="en-GB"/>
        </w:rPr>
        <w:fldChar w:fldCharType="separate"/>
      </w:r>
      <w:r w:rsidR="003C64C4">
        <w:rPr>
          <w:noProof/>
          <w:lang w:val="en-GB"/>
        </w:rPr>
        <w:t>(Krishnasamy et al., 2005)</w:t>
      </w:r>
      <w:r w:rsidR="003C64C4">
        <w:rPr>
          <w:lang w:val="en-GB"/>
        </w:rPr>
        <w:fldChar w:fldCharType="end"/>
      </w:r>
      <w:r w:rsidR="003C64C4">
        <w:rPr>
          <w:lang w:val="en-GB"/>
        </w:rPr>
        <w:t xml:space="preserve">, Failure Mode and Effect Analysis </w:t>
      </w:r>
      <w:r w:rsidR="003C64C4">
        <w:rPr>
          <w:lang w:val="en-GB"/>
        </w:rPr>
        <w:fldChar w:fldCharType="begin"/>
      </w:r>
      <w:r w:rsidR="003C64C4">
        <w:rPr>
          <w:lang w:val="en-GB"/>
        </w:rPr>
        <w:instrText xml:space="preserve"> ADDIN EN.CITE &lt;EndNote&gt;&lt;Cite&gt;&lt;Author&gt;Wang&lt;/Author&gt;&lt;Year&gt;2012&lt;/Year&gt;&lt;RecNum&gt;16&lt;/RecNum&gt;&lt;DisplayText&gt;(Wang et al., 2012)&lt;/DisplayText&gt;&lt;record&gt;&lt;rec-number&gt;16&lt;/rec-number&gt;&lt;foreign-keys&gt;&lt;key app="EN" db-id="r5psfpswwr55zfeavpcppe555p09s0xsf5fp" timestamp="1580898731"&gt;16&lt;/key&gt;&lt;/foreign-keys&gt;&lt;ref-type name="Journal Article"&gt;17&lt;/ref-type&gt;&lt;contributors&gt;&lt;authors&gt;&lt;author&gt;Wang, Yuqiao&lt;/author&gt;&lt;author&gt;Cheng, Guangxu&lt;/author&gt;&lt;author&gt;Hu, Haijun&lt;/author&gt;&lt;author&gt;Wu, Wei&lt;/author&gt;&lt;/authors&gt;&lt;/contributors&gt;&lt;titles&gt;&lt;title&gt;Development of a risk-based maintenance strategy using FMEA for a continuous catalytic reforming plant&lt;/title&gt;&lt;secondary-title&gt;Journal of Loss Prevention in the Process Industries&lt;/secondary-title&gt;&lt;/titles&gt;&lt;periodical&gt;&lt;full-title&gt;Journal of Loss Prevention in the Process industries&lt;/full-title&gt;&lt;/periodical&gt;&lt;pages&gt;958-965&lt;/pages&gt;&lt;volume&gt;25&lt;/volume&gt;&lt;number&gt;6&lt;/number&gt;&lt;dates&gt;&lt;year&gt;2012&lt;/year&gt;&lt;/dates&gt;&lt;isbn&gt;0950-4230&lt;/isbn&gt;&lt;urls&gt;&lt;/urls&gt;&lt;/record&gt;&lt;/Cite&gt;&lt;/EndNote&gt;</w:instrText>
      </w:r>
      <w:r w:rsidR="003C64C4">
        <w:rPr>
          <w:lang w:val="en-GB"/>
        </w:rPr>
        <w:fldChar w:fldCharType="separate"/>
      </w:r>
      <w:r w:rsidR="003C64C4">
        <w:rPr>
          <w:noProof/>
          <w:lang w:val="en-GB"/>
        </w:rPr>
        <w:t>(Wang et al., 2012)</w:t>
      </w:r>
      <w:r w:rsidR="003C64C4">
        <w:rPr>
          <w:lang w:val="en-GB"/>
        </w:rPr>
        <w:fldChar w:fldCharType="end"/>
      </w:r>
      <w:r w:rsidR="003C64C4">
        <w:rPr>
          <w:lang w:val="en-GB"/>
        </w:rPr>
        <w:t xml:space="preserve">, Fuzzy-logic </w:t>
      </w:r>
      <w:r w:rsidR="003C64C4">
        <w:rPr>
          <w:lang w:val="en-GB"/>
        </w:rPr>
        <w:fldChar w:fldCharType="begin"/>
      </w:r>
      <w:r w:rsidR="003C64C4">
        <w:rPr>
          <w:lang w:val="en-GB"/>
        </w:rPr>
        <w:instrText xml:space="preserve"> ADDIN EN.CITE &lt;EndNote&gt;&lt;Cite&gt;&lt;Author&gt;Jamshidi&lt;/Author&gt;&lt;Year&gt;2013&lt;/Year&gt;&lt;RecNum&gt;34&lt;/RecNum&gt;&lt;DisplayText&gt;(Jamshidi et al., 2013)&lt;/DisplayText&gt;&lt;record&gt;&lt;rec-number&gt;34&lt;/rec-number&gt;&lt;foreign-keys&gt;&lt;key app="EN" db-id="r5psfpswwr55zfeavpcppe555p09s0xsf5fp" timestamp="1580911576"&gt;34&lt;/key&gt;&lt;/foreign-keys&gt;&lt;ref-type name="Journal Article"&gt;17&lt;/ref-type&gt;&lt;contributors&gt;&lt;authors&gt;&lt;author&gt;Jamshidi, Ali&lt;/author&gt;&lt;author&gt;Yazdani-Chamzini, Abdolreza&lt;/author&gt;&lt;author&gt;Yakhchali, Siamak Haji&lt;/author&gt;&lt;author&gt;Khaleghi, Sohrab&lt;/author&gt;&lt;/authors&gt;&lt;/contributors&gt;&lt;titles&gt;&lt;title&gt;Developing a new fuzzy inference system for pipeline risk assessment&lt;/title&gt;&lt;secondary-title&gt;Journal of loss prevention in the process industries&lt;/secondary-title&gt;&lt;/titles&gt;&lt;periodical&gt;&lt;full-title&gt;Journal of Loss Prevention in the Process industries&lt;/full-title&gt;&lt;/periodical&gt;&lt;pages&gt;197-208&lt;/pages&gt;&lt;volume&gt;26&lt;/volume&gt;&lt;number&gt;1&lt;/number&gt;&lt;dates&gt;&lt;year&gt;2013&lt;/year&gt;&lt;/dates&gt;&lt;isbn&gt;0950-4230&lt;/isbn&gt;&lt;urls&gt;&lt;/urls&gt;&lt;/record&gt;&lt;/Cite&gt;&lt;/EndNote&gt;</w:instrText>
      </w:r>
      <w:r w:rsidR="003C64C4">
        <w:rPr>
          <w:lang w:val="en-GB"/>
        </w:rPr>
        <w:fldChar w:fldCharType="separate"/>
      </w:r>
      <w:r w:rsidR="003C64C4">
        <w:rPr>
          <w:noProof/>
          <w:lang w:val="en-GB"/>
        </w:rPr>
        <w:t>(Jamshidi et al., 2013)</w:t>
      </w:r>
      <w:r w:rsidR="003C64C4">
        <w:rPr>
          <w:lang w:val="en-GB"/>
        </w:rPr>
        <w:fldChar w:fldCharType="end"/>
      </w:r>
      <w:r w:rsidR="003C64C4">
        <w:rPr>
          <w:lang w:val="en-GB"/>
        </w:rPr>
        <w:t xml:space="preserve"> or Bayesian Network </w:t>
      </w:r>
      <w:r w:rsidR="003C64C4">
        <w:rPr>
          <w:lang w:val="en-GB"/>
        </w:rPr>
        <w:fldChar w:fldCharType="begin"/>
      </w:r>
      <w:r w:rsidR="003C64C4">
        <w:rPr>
          <w:lang w:val="en-GB"/>
        </w:rPr>
        <w:instrText xml:space="preserve"> ADDIN EN.CITE &lt;EndNote&gt;&lt;Cite&gt;&lt;Author&gt;Leoni&lt;/Author&gt;&lt;Year&gt;2019&lt;/Year&gt;&lt;RecNum&gt;46&lt;/RecNum&gt;&lt;DisplayText&gt;(Leoni et al., 2019)&lt;/DisplayText&gt;&lt;record&gt;&lt;rec-number&gt;46&lt;/rec-number&gt;&lt;foreign-keys&gt;&lt;key app="EN" db-id="r5psfpswwr55zfeavpcppe555p09s0xsf5fp" timestamp="1580912412"&gt;46&lt;/key&gt;&lt;/foreign-keys&gt;&lt;ref-type name="Journal Article"&gt;17&lt;/ref-type&gt;&lt;contributors&gt;&lt;authors&gt;&lt;author&gt;Leoni, Leonardo&lt;/author&gt;&lt;author&gt;BahooToroody, Ahmad&lt;/author&gt;&lt;author&gt;De Carlo, Filippo&lt;/author&gt;&lt;author&gt;Paltrinieri, Nicola&lt;/author&gt;&lt;/authors&gt;&lt;/contributors&gt;&lt;titles&gt;&lt;title&gt;Developing a risk-based maintenance model for a Natural Gas Regulating and Metering Station using Bayesian Network&lt;/title&gt;&lt;secondary-title&gt;Journal of Loss Prevention in the Process Industries&lt;/secondary-title&gt;&lt;/titles&gt;&lt;periodical&gt;&lt;full-title&gt;Journal of Loss Prevention in the Process industries&lt;/full-title&gt;&lt;/periodical&gt;&lt;pages&gt;17-24&lt;/pages&gt;&lt;volume&gt;57&lt;/volume&gt;&lt;dates&gt;&lt;year&gt;2019&lt;/year&gt;&lt;/dates&gt;&lt;isbn&gt;0950-4230&lt;/isbn&gt;&lt;urls&gt;&lt;/urls&gt;&lt;/record&gt;&lt;/Cite&gt;&lt;/EndNote&gt;</w:instrText>
      </w:r>
      <w:r w:rsidR="003C64C4">
        <w:rPr>
          <w:lang w:val="en-GB"/>
        </w:rPr>
        <w:fldChar w:fldCharType="separate"/>
      </w:r>
      <w:r w:rsidR="003C64C4">
        <w:rPr>
          <w:noProof/>
          <w:lang w:val="en-GB"/>
        </w:rPr>
        <w:t>(Leoni et al., 2019)</w:t>
      </w:r>
      <w:r w:rsidR="003C64C4">
        <w:rPr>
          <w:lang w:val="en-GB"/>
        </w:rPr>
        <w:fldChar w:fldCharType="end"/>
      </w:r>
      <w:r w:rsidR="003C64C4">
        <w:rPr>
          <w:lang w:val="en-GB"/>
        </w:rPr>
        <w:t xml:space="preserve">. </w:t>
      </w:r>
      <w:r w:rsidR="00867D6E">
        <w:rPr>
          <w:lang w:val="en-GB"/>
        </w:rPr>
        <w:fldChar w:fldCharType="begin"/>
      </w:r>
      <w:r w:rsidR="00867D6E">
        <w:rPr>
          <w:lang w:val="en-GB"/>
        </w:rPr>
        <w:instrText xml:space="preserve"> ADDIN EN.CITE &lt;EndNote&gt;&lt;Cite AuthorYear="1"&gt;&lt;Author&gt;Bertolini&lt;/Author&gt;&lt;Year&gt;2009&lt;/Year&gt;&lt;RecNum&gt;64&lt;/RecNum&gt;&lt;DisplayText&gt;Bertolini et al. (2009)&lt;/DisplayText&gt;&lt;record&gt;&lt;rec-number&gt;64&lt;/rec-number&gt;&lt;foreign-keys&gt;&lt;key app="EN" db-id="r5psfpswwr55zfeavpcppe555p09s0xsf5fp" timestamp="1584811189"&gt;64&lt;/key&gt;&lt;/foreign-keys&gt;&lt;ref-type name="Journal Article"&gt;17&lt;/ref-type&gt;&lt;contributors&gt;&lt;authors&gt;&lt;author&gt;Bertolini, Massimo&lt;/author&gt;&lt;author&gt;Bevilacqua, Maurizio&lt;/author&gt;&lt;author&gt;Ciarapica, Filippo E&lt;/author&gt;&lt;author&gt;Giacchetta, G&lt;/author&gt;&lt;/authors&gt;&lt;/contributors&gt;&lt;titles&gt;&lt;title&gt;Development of risk-based inspection and maintenance procedures for an oil refinery&lt;/title&gt;&lt;secondary-title&gt;Journal of loss prevention in the process industries&lt;/secondary-title&gt;&lt;/titles&gt;&lt;periodical&gt;&lt;full-title&gt;Journal of Loss Prevention in the Process industries&lt;/full-title&gt;&lt;/periodical&gt;&lt;pages&gt;244-253&lt;/pages&gt;&lt;volume&gt;22&lt;/volume&gt;&lt;number&gt;2&lt;/number&gt;&lt;dates&gt;&lt;year&gt;2009&lt;/year&gt;&lt;/dates&gt;&lt;isbn&gt;0950-4230&lt;/isbn&gt;&lt;urls&gt;&lt;/urls&gt;&lt;/record&gt;&lt;/Cite&gt;&lt;/EndNote&gt;</w:instrText>
      </w:r>
      <w:r w:rsidR="00867D6E">
        <w:rPr>
          <w:lang w:val="en-GB"/>
        </w:rPr>
        <w:fldChar w:fldCharType="separate"/>
      </w:r>
      <w:r w:rsidR="00867D6E">
        <w:rPr>
          <w:noProof/>
          <w:lang w:val="en-GB"/>
        </w:rPr>
        <w:t>Bertolini et al. (2009)</w:t>
      </w:r>
      <w:r w:rsidR="00867D6E">
        <w:rPr>
          <w:lang w:val="en-GB"/>
        </w:rPr>
        <w:fldChar w:fldCharType="end"/>
      </w:r>
      <w:r w:rsidR="00B468AA">
        <w:rPr>
          <w:lang w:val="en-GB"/>
        </w:rPr>
        <w:t xml:space="preserve"> proposed another RBM approach where expert judgments and appropriate tables for severity and occurrence are exploited to identify the most critical items, events and work orders for an oil refinery. </w:t>
      </w:r>
      <w:r w:rsidR="002E7B79">
        <w:rPr>
          <w:lang w:val="en-GB"/>
        </w:rPr>
        <w:t>A significant amount of effort was directed towards developing RBM methodologies for oil and gas pipelines</w:t>
      </w:r>
      <w:r w:rsidR="0014410E">
        <w:rPr>
          <w:lang w:val="en-GB"/>
        </w:rPr>
        <w:t xml:space="preserve">. Dynamic Bayesian Network </w:t>
      </w:r>
      <w:r w:rsidR="00181B22">
        <w:rPr>
          <w:lang w:val="en-GB"/>
        </w:rPr>
        <w:t xml:space="preserve">(DBN) </w:t>
      </w:r>
      <w:r w:rsidR="0014410E">
        <w:rPr>
          <w:lang w:val="en-GB"/>
        </w:rPr>
        <w:t xml:space="preserve">and Influence Diagram </w:t>
      </w:r>
      <w:r w:rsidR="00181B22">
        <w:rPr>
          <w:lang w:val="en-GB"/>
        </w:rPr>
        <w:t xml:space="preserve">(ID) </w:t>
      </w:r>
      <w:r w:rsidR="00084C9B">
        <w:rPr>
          <w:lang w:val="en-GB"/>
        </w:rPr>
        <w:t>we</w:t>
      </w:r>
      <w:r w:rsidR="0014410E">
        <w:rPr>
          <w:lang w:val="en-GB"/>
        </w:rPr>
        <w:t xml:space="preserve">re adopted by </w:t>
      </w:r>
      <w:r w:rsidR="0014410E">
        <w:rPr>
          <w:lang w:val="en-GB"/>
        </w:rPr>
        <w:fldChar w:fldCharType="begin"/>
      </w:r>
      <w:r w:rsidR="0014410E">
        <w:rPr>
          <w:lang w:val="en-GB"/>
        </w:rPr>
        <w:instrText xml:space="preserve"> ADDIN EN.CITE &lt;EndNote&gt;&lt;Cite AuthorYear="1"&gt;&lt;Author&gt;Arzaghi&lt;/Author&gt;&lt;Year&gt;2017&lt;/Year&gt;&lt;RecNum&gt;66&lt;/RecNum&gt;&lt;DisplayText&gt;Arzaghi et al. (2017)&lt;/DisplayText&gt;&lt;record&gt;&lt;rec-number&gt;66&lt;/rec-number&gt;&lt;foreign-keys&gt;&lt;key app="EN" db-id="r5psfpswwr55zfeavpcppe555p09s0xsf5fp" timestamp="1584811858"&gt;66&lt;/key&gt;&lt;/foreign-keys&gt;&lt;ref-type name="Journal Article"&gt;17&lt;/ref-type&gt;&lt;contributors&gt;&lt;authors&gt;&lt;author&gt;Arzaghi, Ehsan&lt;/author&gt;&lt;author&gt;Abaei, Mohammad Mahdi&lt;/author&gt;&lt;author&gt;Abbassi, Rouzbeh&lt;/author&gt;&lt;author&gt;Garaniya, Vikram&lt;/author&gt;&lt;author&gt;Chin, Christopher&lt;/author&gt;&lt;author&gt;Khan, Faisal&lt;/author&gt;&lt;/authors&gt;&lt;/contributors&gt;&lt;titles&gt;&lt;title&gt;Risk-based maintenance planning of subsea pipelines through fatigue crack growth monitoring&lt;/title&gt;&lt;secondary-title&gt;Engineering Failure Analysis&lt;/secondary-title&gt;&lt;/titles&gt;&lt;periodical&gt;&lt;full-title&gt;Engineering Failure Analysis&lt;/full-title&gt;&lt;/periodical&gt;&lt;pages&gt;928-939&lt;/pages&gt;&lt;volume&gt;79&lt;/volume&gt;&lt;dates&gt;&lt;year&gt;2017&lt;/year&gt;&lt;/dates&gt;&lt;isbn&gt;1350-6307&lt;/isbn&gt;&lt;urls&gt;&lt;/urls&gt;&lt;/record&gt;&lt;/Cite&gt;&lt;/EndNote&gt;</w:instrText>
      </w:r>
      <w:r w:rsidR="0014410E">
        <w:rPr>
          <w:lang w:val="en-GB"/>
        </w:rPr>
        <w:fldChar w:fldCharType="separate"/>
      </w:r>
      <w:r w:rsidR="0014410E">
        <w:rPr>
          <w:noProof/>
          <w:lang w:val="en-GB"/>
        </w:rPr>
        <w:t>Arzaghi et al. (2017)</w:t>
      </w:r>
      <w:r w:rsidR="0014410E">
        <w:rPr>
          <w:lang w:val="en-GB"/>
        </w:rPr>
        <w:fldChar w:fldCharType="end"/>
      </w:r>
      <w:r w:rsidR="0014410E">
        <w:rPr>
          <w:lang w:val="en-GB"/>
        </w:rPr>
        <w:t xml:space="preserve"> to model the probabilistic deterioration process due to fatigue crack of a subsea pipeline</w:t>
      </w:r>
      <w:r w:rsidR="00BE48D5">
        <w:rPr>
          <w:lang w:val="en-GB"/>
        </w:rPr>
        <w:t xml:space="preserve"> and then schedule the maintenance activities</w:t>
      </w:r>
      <w:r w:rsidR="00213952">
        <w:rPr>
          <w:lang w:val="en-GB"/>
        </w:rPr>
        <w:t xml:space="preserve">. </w:t>
      </w:r>
      <w:r w:rsidR="001001F2">
        <w:rPr>
          <w:lang w:val="en-GB"/>
        </w:rPr>
        <w:t xml:space="preserve">Other works presented by </w:t>
      </w:r>
      <w:r w:rsidR="001001F2">
        <w:rPr>
          <w:lang w:val="en-GB"/>
        </w:rPr>
        <w:fldChar w:fldCharType="begin"/>
      </w:r>
      <w:r w:rsidR="0087476F">
        <w:rPr>
          <w:lang w:val="en-GB"/>
        </w:rPr>
        <w:instrText xml:space="preserve"> ADDIN EN.CITE &lt;EndNote&gt;&lt;Cite AuthorYear="1"&gt;&lt;Author&gt;Dey&lt;/Author&gt;&lt;Year&gt;2001&lt;/Year&gt;&lt;RecNum&gt;69&lt;/RecNum&gt;&lt;DisplayText&gt;P. Dey (2001)&lt;/DisplayText&gt;&lt;record&gt;&lt;rec-number&gt;69&lt;/rec-number&gt;&lt;foreign-keys&gt;&lt;key app="EN" db-id="r5psfpswwr55zfeavpcppe555p09s0xsf5fp" timestamp="1584815260"&gt;69&lt;/key&gt;&lt;/foreign-keys&gt;&lt;ref-type name="Journal Article"&gt;17&lt;/ref-type&gt;&lt;contributors&gt;&lt;authors&gt;&lt;author&gt;Dey, PK&lt;/author&gt;&lt;/authors&gt;&lt;/contributors&gt;&lt;titles&gt;&lt;title&gt;A risk</w:instrText>
      </w:r>
      <w:r w:rsidR="0087476F">
        <w:rPr>
          <w:rFonts w:ascii="Cambria Math" w:hAnsi="Cambria Math" w:cs="Cambria Math"/>
          <w:lang w:val="en-GB"/>
        </w:rPr>
        <w:instrText>‐</w:instrText>
      </w:r>
      <w:r w:rsidR="0087476F">
        <w:rPr>
          <w:lang w:val="en-GB"/>
        </w:rPr>
        <w:instrText>based model for inspection and maintenance of cross</w:instrText>
      </w:r>
      <w:r w:rsidR="0087476F">
        <w:rPr>
          <w:rFonts w:ascii="Cambria Math" w:hAnsi="Cambria Math" w:cs="Cambria Math"/>
          <w:lang w:val="en-GB"/>
        </w:rPr>
        <w:instrText>‐</w:instrText>
      </w:r>
      <w:r w:rsidR="0087476F">
        <w:rPr>
          <w:lang w:val="en-GB"/>
        </w:rPr>
        <w:instrText>country petroleum pipeline&lt;/title&gt;&lt;secondary-title&gt;Journal of Quality in Maintenance Engineering&lt;/secondary-title&gt;&lt;/titles&gt;&lt;periodical&gt;&lt;full-title&gt;Journal of Quality in Maintenance Engineering&lt;/full-title&gt;&lt;/periodical&gt;&lt;dates&gt;&lt;year&gt;2001&lt;/year&gt;&lt;/dates&gt;&lt;urls&gt;&lt;/urls&gt;&lt;/record&gt;&lt;/Cite&gt;&lt;/EndNote&gt;</w:instrText>
      </w:r>
      <w:r w:rsidR="001001F2">
        <w:rPr>
          <w:lang w:val="en-GB"/>
        </w:rPr>
        <w:fldChar w:fldCharType="separate"/>
      </w:r>
      <w:r w:rsidR="0087476F">
        <w:rPr>
          <w:noProof/>
          <w:lang w:val="en-GB"/>
        </w:rPr>
        <w:t>P. Dey (2001)</w:t>
      </w:r>
      <w:r w:rsidR="001001F2">
        <w:rPr>
          <w:lang w:val="en-GB"/>
        </w:rPr>
        <w:fldChar w:fldCharType="end"/>
      </w:r>
      <w:r w:rsidR="001001F2">
        <w:rPr>
          <w:lang w:val="en-GB"/>
        </w:rPr>
        <w:t xml:space="preserve"> and </w:t>
      </w:r>
      <w:r w:rsidR="001001F2">
        <w:rPr>
          <w:lang w:val="en-GB"/>
        </w:rPr>
        <w:fldChar w:fldCharType="begin"/>
      </w:r>
      <w:r w:rsidR="0087476F">
        <w:rPr>
          <w:lang w:val="en-GB"/>
        </w:rPr>
        <w:instrText xml:space="preserve"> ADDIN EN.CITE &lt;EndNote&gt;&lt;Cite AuthorYear="1"&gt;&lt;Author&gt;Al-Khalil&lt;/Author&gt;&lt;Year&gt;2005&lt;/Year&gt;&lt;RecNum&gt;67&lt;/RecNum&gt;&lt;DisplayText&gt;Al-Khalil et al. (2005)&lt;/DisplayText&gt;&lt;record&gt;&lt;rec-number&gt;67&lt;/rec-number&gt;&lt;foreign-keys&gt;&lt;key app="EN" db-id="r5psfpswwr55zfeavpcppe555p09s0xsf5fp" timestamp="1584811859"&gt;67&lt;/key&gt;&lt;/foreign-keys&gt;&lt;ref-type name="Journal Article"&gt;17&lt;/ref-type&gt;&lt;contributors&gt;&lt;authors&gt;&lt;author&gt;Al-Khalil, Mohammed&lt;/author&gt;&lt;author&gt;Assaf, Sadi&lt;/author&gt;&lt;author&gt;Al-Anazi, Fahad&lt;/author&gt;&lt;/authors&gt;&lt;/contributors&gt;&lt;titles&gt;&lt;title&gt;Risk-based maintenance planning of cross-country pipelines&lt;/title&gt;&lt;secondary-title&gt;Journal of performance of constructed facilities&lt;/secondary-title&gt;&lt;/titles&gt;&lt;periodical&gt;&lt;full-title&gt;Journal of performance of constructed facilities&lt;/full-title&gt;&lt;/periodical&gt;&lt;pages&gt;124-131&lt;/pages&gt;&lt;volume&gt;19&lt;/volume&gt;&lt;number&gt;2&lt;/number&gt;&lt;dates&gt;&lt;year&gt;2005&lt;/year&gt;&lt;/dates&gt;&lt;isbn&gt;0887-3828&lt;/isbn&gt;&lt;urls&gt;&lt;/urls&gt;&lt;/record&gt;&lt;/Cite&gt;&lt;/EndNote&gt;</w:instrText>
      </w:r>
      <w:r w:rsidR="001001F2">
        <w:rPr>
          <w:lang w:val="en-GB"/>
        </w:rPr>
        <w:fldChar w:fldCharType="separate"/>
      </w:r>
      <w:r w:rsidR="0087476F">
        <w:rPr>
          <w:noProof/>
          <w:lang w:val="en-GB"/>
        </w:rPr>
        <w:t>Al-Khalil et al. (2005)</w:t>
      </w:r>
      <w:r w:rsidR="001001F2">
        <w:rPr>
          <w:lang w:val="en-GB"/>
        </w:rPr>
        <w:fldChar w:fldCharType="end"/>
      </w:r>
      <w:r w:rsidR="001001F2">
        <w:rPr>
          <w:lang w:val="en-GB"/>
        </w:rPr>
        <w:t xml:space="preserve"> adopt an Analytical Hierarchy Process</w:t>
      </w:r>
      <w:r w:rsidR="00181B22">
        <w:rPr>
          <w:lang w:val="en-GB"/>
        </w:rPr>
        <w:t xml:space="preserve"> (AHP)</w:t>
      </w:r>
      <w:r w:rsidR="001001F2">
        <w:rPr>
          <w:lang w:val="en-GB"/>
        </w:rPr>
        <w:t xml:space="preserve"> to evaluate the probability of failure of a cross-country pipeline and subsequently estimate the costs arising from the failure. Through these </w:t>
      </w:r>
      <w:r w:rsidR="00084C9B">
        <w:rPr>
          <w:lang w:val="en-GB"/>
        </w:rPr>
        <w:t>approaches,</w:t>
      </w:r>
      <w:r w:rsidR="001001F2">
        <w:rPr>
          <w:lang w:val="en-GB"/>
        </w:rPr>
        <w:t xml:space="preserve"> the ranking of the most critical failure causes is obtained.</w:t>
      </w:r>
    </w:p>
    <w:p w14:paraId="5641757D" w14:textId="04BE8D61" w:rsidR="00D262D7" w:rsidRDefault="00181B22" w:rsidP="00D262D7">
      <w:r>
        <w:t>Although studies have been conducted to improve the safety of O</w:t>
      </w:r>
      <w:r w:rsidR="00BF6852">
        <w:t>i</w:t>
      </w:r>
      <w:r>
        <w:t>l &amp; Gas operations</w:t>
      </w:r>
      <w:r w:rsidR="00E04DD8">
        <w:t>,</w:t>
      </w:r>
      <w:r>
        <w:t xml:space="preserve"> there is still space for </w:t>
      </w:r>
      <w:r w:rsidR="00BF6852">
        <w:t>introducing methodologies able to prioritize maintenance actions based on the level of risk. Besides</w:t>
      </w:r>
      <w:r w:rsidR="00084C9B">
        <w:t>,</w:t>
      </w:r>
      <w:r w:rsidR="00BF6852">
        <w:t xml:space="preserve"> Natural Gas Regulating and Metering Station (NGRMS), which is a pivotal part of the gas network, is still less considered than the pipeline system. To this end</w:t>
      </w:r>
      <w:r w:rsidR="00084C9B">
        <w:t>,</w:t>
      </w:r>
      <w:r w:rsidR="00BF6852">
        <w:t xml:space="preserve"> </w:t>
      </w:r>
      <w:r w:rsidR="00BF6852" w:rsidRPr="004E4B41">
        <w:t xml:space="preserve">the main objective of this paper </w:t>
      </w:r>
      <w:r w:rsidR="00BF6852" w:rsidRPr="00297D0D">
        <w:rPr>
          <w:color w:val="000000" w:themeColor="text1"/>
        </w:rPr>
        <w:t>i</w:t>
      </w:r>
      <w:r w:rsidR="00D352FE" w:rsidRPr="00297D0D">
        <w:rPr>
          <w:color w:val="000000" w:themeColor="text1"/>
        </w:rPr>
        <w:t>s to compare</w:t>
      </w:r>
      <w:r w:rsidR="00084C9B" w:rsidRPr="00297D0D">
        <w:rPr>
          <w:color w:val="000000" w:themeColor="text1"/>
        </w:rPr>
        <w:t xml:space="preserve"> </w:t>
      </w:r>
      <w:r w:rsidR="00BF6852" w:rsidRPr="004E4B41">
        <w:t>t</w:t>
      </w:r>
      <w:r w:rsidR="0067227F" w:rsidRPr="004E4B41">
        <w:t>wo</w:t>
      </w:r>
      <w:r w:rsidR="00BF6852" w:rsidRPr="004E4B41">
        <w:t xml:space="preserve"> different RBM approaches capable of ranking the components based on their criticality. In the first </w:t>
      </w:r>
      <w:r w:rsidR="00A65B25" w:rsidRPr="004E4B41">
        <w:t>approach</w:t>
      </w:r>
      <w:r w:rsidR="00084C9B" w:rsidRPr="004E4B41">
        <w:t>,</w:t>
      </w:r>
      <w:r w:rsidR="00A65B25" w:rsidRPr="004E4B41">
        <w:t xml:space="preserve"> a QRA is implemented via </w:t>
      </w:r>
      <w:proofErr w:type="spellStart"/>
      <w:r w:rsidR="00A65B25" w:rsidRPr="004E4B41">
        <w:t>Safeti</w:t>
      </w:r>
      <w:proofErr w:type="spellEnd"/>
      <w:r w:rsidR="00A65B25" w:rsidRPr="004E4B41">
        <w:t xml:space="preserve"> adopting standard frequencies.</w:t>
      </w:r>
      <w:r w:rsidR="00BF6852" w:rsidRPr="004E4B41">
        <w:t xml:space="preserve"> </w:t>
      </w:r>
      <w:r w:rsidR="00A65B25" w:rsidRPr="004E4B41">
        <w:t>For the second technique</w:t>
      </w:r>
      <w:r w:rsidR="00084C9B" w:rsidRPr="004E4B41">
        <w:t>,</w:t>
      </w:r>
      <w:r w:rsidR="00A65B25" w:rsidRPr="004E4B41">
        <w:t xml:space="preserve"> </w:t>
      </w:r>
      <w:r w:rsidR="00D262D7" w:rsidRPr="004E4B41">
        <w:t>the probability analysis is conducted via</w:t>
      </w:r>
      <w:r w:rsidR="00BF6852" w:rsidRPr="004E4B41">
        <w:t xml:space="preserve"> Hierarchical Bayesian Network (HBM)</w:t>
      </w:r>
      <w:r w:rsidR="00D262D7" w:rsidRPr="004E4B41">
        <w:t xml:space="preserve">, while a </w:t>
      </w:r>
      <w:r w:rsidR="00BF6852" w:rsidRPr="004E4B41">
        <w:t xml:space="preserve">Failure Modes and Effects Criticality Analysis (FMECA) is </w:t>
      </w:r>
      <w:r w:rsidR="00D262D7" w:rsidRPr="004E4B41">
        <w:t>adopted</w:t>
      </w:r>
      <w:r w:rsidR="00BF6852" w:rsidRPr="004E4B41">
        <w:t xml:space="preserve"> to assess the severity</w:t>
      </w:r>
      <w:r w:rsidR="00D262D7" w:rsidRPr="004E4B41">
        <w:t xml:space="preserve"> of each component. Introducing</w:t>
      </w:r>
      <w:r w:rsidR="00D262D7" w:rsidRPr="00C95571">
        <w:t xml:space="preserve"> the failure costs the Cost Risk Priority Number (</w:t>
      </w:r>
      <w:r w:rsidR="00724F53">
        <w:t>CRPN</w:t>
      </w:r>
      <w:r w:rsidR="00D262D7" w:rsidRPr="00C95571">
        <w:t>) is calculated. The advance of such mo</w:t>
      </w:r>
      <w:r w:rsidR="00D262D7" w:rsidRPr="006F3BEB">
        <w:t>del</w:t>
      </w:r>
      <w:r w:rsidR="00D262D7">
        <w:t xml:space="preserve">s </w:t>
      </w:r>
      <w:r w:rsidR="00D262D7" w:rsidRPr="006F3BEB">
        <w:t xml:space="preserve">was verified on an actual example of </w:t>
      </w:r>
      <w:r w:rsidR="00084C9B">
        <w:t xml:space="preserve">the </w:t>
      </w:r>
      <w:r w:rsidR="00D262D7" w:rsidRPr="006F3BEB">
        <w:t>stochastic process of a Natural Gas Regulating and Metering Stations (NGRMS) near Florence, Italy.</w:t>
      </w:r>
      <w:r w:rsidR="0075020F">
        <w:t xml:space="preserve"> </w:t>
      </w:r>
    </w:p>
    <w:p w14:paraId="768573D3" w14:textId="698233BD" w:rsidR="000D75F9" w:rsidRPr="000D75F9" w:rsidRDefault="00D262D7" w:rsidP="00591306">
      <w:r w:rsidRPr="00D262D7">
        <w:t>In Section 2, the methodology utilized in this work has been described</w:t>
      </w:r>
      <w:r>
        <w:t>, while</w:t>
      </w:r>
      <w:r w:rsidRPr="00D262D7">
        <w:t xml:space="preserve"> in Section 3 the results </w:t>
      </w:r>
      <w:r>
        <w:t>are presented. At last in Section 4 the conclusions are discussed.</w:t>
      </w:r>
    </w:p>
    <w:p w14:paraId="61C5CFFF" w14:textId="43CF85EE" w:rsidR="00F178C9" w:rsidRDefault="00A91859" w:rsidP="00C17EFC">
      <w:pPr>
        <w:pStyle w:val="CETHeading1"/>
      </w:pPr>
      <w:r>
        <w:t>M</w:t>
      </w:r>
      <w:r w:rsidR="00F178C9">
        <w:t>ethodology</w:t>
      </w:r>
    </w:p>
    <w:p w14:paraId="2D83B2DF" w14:textId="674B0D00" w:rsidR="00385B42" w:rsidRPr="00B536B9" w:rsidRDefault="00385B42" w:rsidP="00385B42">
      <w:r w:rsidRPr="00717777">
        <w:t xml:space="preserve">During this </w:t>
      </w:r>
      <w:r w:rsidR="0044464C">
        <w:t>study</w:t>
      </w:r>
      <w:r w:rsidR="00313D12">
        <w:t>,</w:t>
      </w:r>
      <w:r w:rsidRPr="00717777">
        <w:t xml:space="preserve"> </w:t>
      </w:r>
      <w:r w:rsidR="00310408" w:rsidRPr="00717777">
        <w:t>t</w:t>
      </w:r>
      <w:r w:rsidR="00310408">
        <w:t>wo</w:t>
      </w:r>
      <w:r w:rsidR="00310408" w:rsidRPr="00717777">
        <w:t xml:space="preserve"> </w:t>
      </w:r>
      <w:r w:rsidRPr="00717777">
        <w:t>different RBM</w:t>
      </w:r>
      <w:r w:rsidRPr="00B536B9">
        <w:t xml:space="preserve"> </w:t>
      </w:r>
      <w:r w:rsidR="00A91859">
        <w:t>approaches</w:t>
      </w:r>
      <w:r w:rsidR="00A91859" w:rsidRPr="00B536B9">
        <w:t xml:space="preserve"> </w:t>
      </w:r>
      <w:r w:rsidRPr="00B536B9">
        <w:t xml:space="preserve">for prioritizing maintenance actions have been </w:t>
      </w:r>
      <w:r w:rsidRPr="00297D0D">
        <w:rPr>
          <w:color w:val="000000" w:themeColor="text1"/>
        </w:rPr>
        <w:t>developed</w:t>
      </w:r>
      <w:r w:rsidR="00C278A7" w:rsidRPr="00297D0D">
        <w:rPr>
          <w:color w:val="000000" w:themeColor="text1"/>
        </w:rPr>
        <w:t xml:space="preserve"> </w:t>
      </w:r>
      <w:r w:rsidR="00C278A7">
        <w:t>(</w:t>
      </w:r>
      <w:r w:rsidR="00D352FE">
        <w:t>F</w:t>
      </w:r>
      <w:r w:rsidR="00C278A7">
        <w:t>igure 1)</w:t>
      </w:r>
      <w:r w:rsidRPr="00B536B9">
        <w:t>.</w:t>
      </w:r>
      <w:r w:rsidR="00F178C9">
        <w:t xml:space="preserve"> </w:t>
      </w:r>
    </w:p>
    <w:p w14:paraId="086E30F5" w14:textId="42CD38DD" w:rsidR="00385B42" w:rsidRDefault="00385B42" w:rsidP="003140FB">
      <w:pPr>
        <w:pStyle w:val="CETBodytext"/>
        <w:rPr>
          <w:b/>
          <w:bCs/>
          <w:sz w:val="20"/>
          <w:szCs w:val="22"/>
          <w:lang w:val="en-GB"/>
        </w:rPr>
      </w:pPr>
    </w:p>
    <w:p w14:paraId="05E72D94" w14:textId="5A9582E4" w:rsidR="00DD3945" w:rsidRDefault="00C96269" w:rsidP="00DD3945">
      <w:pPr>
        <w:pStyle w:val="CETBodytext"/>
        <w:keepNext/>
      </w:pPr>
      <w:r>
        <w:rPr>
          <w:noProof/>
          <w:lang w:val="it-IT" w:eastAsia="it-IT"/>
        </w:rPr>
        <w:drawing>
          <wp:inline distT="0" distB="0" distL="0" distR="0" wp14:anchorId="02CDDE42" wp14:editId="2D7039BC">
            <wp:extent cx="2175934" cy="237290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8254" cy="2397249"/>
                    </a:xfrm>
                    <a:prstGeom prst="rect">
                      <a:avLst/>
                    </a:prstGeom>
                    <a:noFill/>
                  </pic:spPr>
                </pic:pic>
              </a:graphicData>
            </a:graphic>
          </wp:inline>
        </w:drawing>
      </w:r>
    </w:p>
    <w:p w14:paraId="7ACFC20F" w14:textId="7151A737" w:rsidR="00AD6BE7" w:rsidRPr="0088713D" w:rsidRDefault="00DD3945" w:rsidP="0088713D">
      <w:r w:rsidRPr="00DD3945">
        <w:rPr>
          <w:i/>
          <w:iCs/>
          <w:color w:val="000000" w:themeColor="text1"/>
        </w:rPr>
        <w:t xml:space="preserve">Figure </w:t>
      </w:r>
      <w:r w:rsidRPr="00DD3945">
        <w:rPr>
          <w:b/>
          <w:bCs/>
          <w:i/>
          <w:iCs/>
          <w:color w:val="000000" w:themeColor="text1"/>
        </w:rPr>
        <w:fldChar w:fldCharType="begin"/>
      </w:r>
      <w:r w:rsidRPr="00DD3945">
        <w:rPr>
          <w:i/>
          <w:iCs/>
          <w:color w:val="000000" w:themeColor="text1"/>
        </w:rPr>
        <w:instrText xml:space="preserve"> SEQ Figure \* ARABIC </w:instrText>
      </w:r>
      <w:r w:rsidRPr="00DD3945">
        <w:rPr>
          <w:b/>
          <w:bCs/>
          <w:i/>
          <w:iCs/>
          <w:color w:val="000000" w:themeColor="text1"/>
        </w:rPr>
        <w:fldChar w:fldCharType="separate"/>
      </w:r>
      <w:r w:rsidR="005B0C98">
        <w:rPr>
          <w:i/>
          <w:iCs/>
          <w:noProof/>
          <w:color w:val="000000" w:themeColor="text1"/>
        </w:rPr>
        <w:t>1</w:t>
      </w:r>
      <w:r w:rsidRPr="00DD3945">
        <w:rPr>
          <w:b/>
          <w:bCs/>
          <w:i/>
          <w:iCs/>
          <w:color w:val="000000" w:themeColor="text1"/>
        </w:rPr>
        <w:fldChar w:fldCharType="end"/>
      </w:r>
      <w:r w:rsidRPr="00DD3945">
        <w:rPr>
          <w:i/>
          <w:iCs/>
          <w:color w:val="000000" w:themeColor="text1"/>
        </w:rPr>
        <w:t>: Flow charts of the QRA methodology (a) and the HBM methodology (</w:t>
      </w:r>
      <w:r w:rsidR="0027714D">
        <w:rPr>
          <w:i/>
          <w:iCs/>
          <w:color w:val="000000" w:themeColor="text1"/>
        </w:rPr>
        <w:t>b</w:t>
      </w:r>
      <w:r w:rsidRPr="00DD3945">
        <w:rPr>
          <w:i/>
          <w:iCs/>
          <w:color w:val="000000" w:themeColor="text1"/>
        </w:rPr>
        <w:t>)</w:t>
      </w:r>
    </w:p>
    <w:p w14:paraId="1091A946" w14:textId="77777777" w:rsidR="009E45F8" w:rsidRDefault="009E45F8" w:rsidP="0088713D">
      <w:pPr>
        <w:pStyle w:val="Didascalia"/>
      </w:pPr>
    </w:p>
    <w:p w14:paraId="10896D37" w14:textId="7B4B3DE0" w:rsidR="00696617" w:rsidRDefault="00696617" w:rsidP="00C17EFC">
      <w:pPr>
        <w:pStyle w:val="CETheadingx"/>
        <w:numPr>
          <w:ilvl w:val="0"/>
          <w:numId w:val="0"/>
        </w:numPr>
      </w:pPr>
      <w:r w:rsidRPr="00696617">
        <w:t>2.</w:t>
      </w:r>
      <w:r>
        <w:t xml:space="preserve">1 Quantitative Risk Analysis </w:t>
      </w:r>
      <w:r w:rsidR="009A36A6">
        <w:t xml:space="preserve">through </w:t>
      </w:r>
      <w:proofErr w:type="spellStart"/>
      <w:r>
        <w:t>Safeti</w:t>
      </w:r>
      <w:proofErr w:type="spellEnd"/>
    </w:p>
    <w:p w14:paraId="3ABA5619" w14:textId="6473C8B2" w:rsidR="00BD7BFE" w:rsidRDefault="00B353EB" w:rsidP="00BD7BFE">
      <w:r w:rsidRPr="00285220">
        <w:t xml:space="preserve">Standard source, dispersion and consequence models are exploited by </w:t>
      </w:r>
      <w:proofErr w:type="spellStart"/>
      <w:r w:rsidRPr="00285220">
        <w:t>Safeti</w:t>
      </w:r>
      <w:proofErr w:type="spellEnd"/>
      <w:r w:rsidRPr="00285220">
        <w:t xml:space="preserve"> to conduct the QRA. </w:t>
      </w:r>
      <w:r w:rsidR="00AF6BCA" w:rsidRPr="00285220">
        <w:t xml:space="preserve">The system is defined and it is broken down into its most relevant components. </w:t>
      </w:r>
      <w:r w:rsidR="00F155A5">
        <w:t>T</w:t>
      </w:r>
      <w:r w:rsidR="00AF6BCA" w:rsidRPr="00285220">
        <w:t>he geographical location of the plant</w:t>
      </w:r>
      <w:r w:rsidR="00F155A5">
        <w:t xml:space="preserve"> handling </w:t>
      </w:r>
      <w:r w:rsidR="00313D12">
        <w:t xml:space="preserve">a </w:t>
      </w:r>
      <w:r w:rsidR="00F155A5">
        <w:t>hazardous substance</w:t>
      </w:r>
      <w:r w:rsidR="00AF6BCA" w:rsidRPr="00285220">
        <w:t xml:space="preserve"> and the plant layout are studied. For each component</w:t>
      </w:r>
      <w:r w:rsidR="00313D12">
        <w:t>,</w:t>
      </w:r>
      <w:r w:rsidR="00AF6BCA" w:rsidRPr="00285220">
        <w:t xml:space="preserve"> four different reference scenarios have been selected (the catastrophic rupture and three sizes of leakage), while their occurrence frequencies are found in </w:t>
      </w:r>
      <w:r w:rsidR="00313D12">
        <w:t xml:space="preserve">the </w:t>
      </w:r>
      <w:r w:rsidR="00AF6BCA" w:rsidRPr="00285220">
        <w:t>literature. During this phase</w:t>
      </w:r>
      <w:r w:rsidR="00313D12">
        <w:t>,</w:t>
      </w:r>
      <w:r w:rsidR="00AF6BCA" w:rsidRPr="00285220">
        <w:t xml:space="preserve"> the operating condition of each component is also assessed</w:t>
      </w:r>
      <w:r w:rsidRPr="00285220">
        <w:t xml:space="preserve"> to develop the Event Trees (ET). Simultaneously weather parameters such as </w:t>
      </w:r>
      <w:proofErr w:type="spellStart"/>
      <w:r w:rsidRPr="00285220">
        <w:t>Pasquill</w:t>
      </w:r>
      <w:proofErr w:type="spellEnd"/>
      <w:r w:rsidRPr="00285220">
        <w:t xml:space="preserve"> stability, temperature and data about wind are determined, as long </w:t>
      </w:r>
      <w:r w:rsidR="00313D12">
        <w:t>as</w:t>
      </w:r>
      <w:r w:rsidR="00313D12" w:rsidRPr="00285220">
        <w:t xml:space="preserve"> </w:t>
      </w:r>
      <w:r w:rsidRPr="00285220">
        <w:t xml:space="preserve">population density around the </w:t>
      </w:r>
      <w:r w:rsidRPr="00285220">
        <w:lastRenderedPageBreak/>
        <w:t>plant. At last</w:t>
      </w:r>
      <w:r w:rsidR="00A72D7C">
        <w:t>,</w:t>
      </w:r>
      <w:r w:rsidRPr="00285220">
        <w:t xml:space="preserve"> harm criteria,</w:t>
      </w:r>
      <w:r w:rsidR="00285220" w:rsidRPr="00285220">
        <w:t xml:space="preserve"> which are</w:t>
      </w:r>
      <w:r w:rsidRPr="00285220">
        <w:t xml:space="preserve"> required to estimate the risk </w:t>
      </w:r>
      <w:r w:rsidR="005A1617">
        <w:t xml:space="preserve">of each </w:t>
      </w:r>
      <w:r w:rsidRPr="00285220">
        <w:t>scenario</w:t>
      </w:r>
      <w:r w:rsidR="00285220" w:rsidRPr="00285220">
        <w:t>,</w:t>
      </w:r>
      <w:r w:rsidRPr="00285220">
        <w:t xml:space="preserve"> are chosen and the analysis via </w:t>
      </w:r>
      <w:proofErr w:type="spellStart"/>
      <w:r w:rsidRPr="00285220">
        <w:t>Safeti</w:t>
      </w:r>
      <w:proofErr w:type="spellEnd"/>
      <w:r w:rsidRPr="00285220">
        <w:t xml:space="preserve"> is conducted. </w:t>
      </w:r>
      <w:r w:rsidRPr="003A5F1D">
        <w:t>Based on the risk integral percentage</w:t>
      </w:r>
      <w:r w:rsidR="005A1617" w:rsidRPr="003A5F1D">
        <w:t xml:space="preserve"> </w:t>
      </w:r>
      <w:proofErr w:type="spellStart"/>
      <w:r w:rsidR="00B17418" w:rsidRPr="003A5F1D">
        <w:t>percentage</w:t>
      </w:r>
      <w:proofErr w:type="spellEnd"/>
      <w:r w:rsidR="00B17418">
        <w:t xml:space="preserve"> (i.e. the percentage of the total risk associated to a certain component)</w:t>
      </w:r>
      <w:r w:rsidR="00B17418" w:rsidRPr="003A5F1D">
        <w:t xml:space="preserve"> </w:t>
      </w:r>
      <w:r w:rsidR="005A1617" w:rsidRPr="003A5F1D">
        <w:t>arising from the calculation</w:t>
      </w:r>
      <w:r w:rsidRPr="003A5F1D">
        <w:t xml:space="preserve"> the components are ranked.</w:t>
      </w:r>
    </w:p>
    <w:p w14:paraId="4D0506F0" w14:textId="580E0B7A" w:rsidR="00696617" w:rsidRPr="00696617" w:rsidRDefault="00696617" w:rsidP="00C17EFC">
      <w:pPr>
        <w:pStyle w:val="CETheadingx"/>
        <w:numPr>
          <w:ilvl w:val="0"/>
          <w:numId w:val="0"/>
        </w:numPr>
        <w:rPr>
          <w:sz w:val="16"/>
          <w:szCs w:val="18"/>
        </w:rPr>
      </w:pPr>
      <w:r w:rsidRPr="00696617">
        <w:t>2.</w:t>
      </w:r>
      <w:r w:rsidR="0027714D">
        <w:t>2</w:t>
      </w:r>
      <w:r>
        <w:t xml:space="preserve"> Hierarchical Bayesian Modelling and Cost Risk Priority Number</w:t>
      </w:r>
    </w:p>
    <w:p w14:paraId="7F937325" w14:textId="7FA325DB" w:rsidR="0031178D" w:rsidRDefault="00F56229" w:rsidP="003140FB">
      <w:pPr>
        <w:pStyle w:val="CETBodytext"/>
        <w:rPr>
          <w:lang w:val="en-GB"/>
        </w:rPr>
      </w:pPr>
      <w:r>
        <w:rPr>
          <w:lang w:val="en-GB"/>
        </w:rPr>
        <w:t>During the first phase of this approach</w:t>
      </w:r>
      <w:r w:rsidR="00313D12">
        <w:rPr>
          <w:lang w:val="en-GB"/>
        </w:rPr>
        <w:t>,</w:t>
      </w:r>
      <w:r>
        <w:rPr>
          <w:lang w:val="en-GB"/>
        </w:rPr>
        <w:t xml:space="preserve"> the system involved in the RBM is determined, </w:t>
      </w:r>
      <w:r w:rsidR="00E120CF">
        <w:rPr>
          <w:lang w:val="en-GB"/>
        </w:rPr>
        <w:t>and</w:t>
      </w:r>
      <w:r w:rsidR="00313D12">
        <w:rPr>
          <w:lang w:val="en-GB"/>
        </w:rPr>
        <w:t xml:space="preserve"> </w:t>
      </w:r>
      <w:r>
        <w:rPr>
          <w:lang w:val="en-GB"/>
        </w:rPr>
        <w:t>its peculiar components and their relationships</w:t>
      </w:r>
      <w:r w:rsidR="00E120CF">
        <w:rPr>
          <w:lang w:val="en-GB"/>
        </w:rPr>
        <w:t xml:space="preserve"> are also identified</w:t>
      </w:r>
      <w:r>
        <w:rPr>
          <w:lang w:val="en-GB"/>
        </w:rPr>
        <w:t xml:space="preserve">. </w:t>
      </w:r>
      <w:r w:rsidR="003F0537">
        <w:rPr>
          <w:lang w:val="en-GB"/>
        </w:rPr>
        <w:t>Subsequently</w:t>
      </w:r>
      <w:r w:rsidR="00313D12">
        <w:rPr>
          <w:lang w:val="en-GB"/>
        </w:rPr>
        <w:t>,</w:t>
      </w:r>
      <w:r>
        <w:rPr>
          <w:lang w:val="en-GB"/>
        </w:rPr>
        <w:t xml:space="preserve"> </w:t>
      </w:r>
      <w:r w:rsidR="003F0537">
        <w:rPr>
          <w:lang w:val="en-GB"/>
        </w:rPr>
        <w:t xml:space="preserve">data about </w:t>
      </w:r>
      <w:r w:rsidR="00313D12">
        <w:rPr>
          <w:lang w:val="en-GB"/>
        </w:rPr>
        <w:t xml:space="preserve">the </w:t>
      </w:r>
      <w:r w:rsidR="003F0537">
        <w:rPr>
          <w:lang w:val="en-GB"/>
        </w:rPr>
        <w:t xml:space="preserve">number of failures that occurred during a certain timespan are collected. Exploiting these data HBM is implemented via a script in </w:t>
      </w:r>
      <w:proofErr w:type="spellStart"/>
      <w:r w:rsidR="003F0537">
        <w:rPr>
          <w:lang w:val="en-GB"/>
        </w:rPr>
        <w:t>OpenBugs</w:t>
      </w:r>
      <w:proofErr w:type="spellEnd"/>
      <w:r w:rsidR="003F0537">
        <w:rPr>
          <w:lang w:val="en-GB"/>
        </w:rPr>
        <w:t xml:space="preserve"> software. </w:t>
      </w:r>
      <w:r w:rsidR="0031178D">
        <w:rPr>
          <w:lang w:val="en-GB"/>
        </w:rPr>
        <w:t xml:space="preserve">HBM is defined by </w:t>
      </w:r>
      <w:r w:rsidR="0031178D">
        <w:rPr>
          <w:lang w:val="en-GB"/>
        </w:rPr>
        <w:fldChar w:fldCharType="begin"/>
      </w:r>
      <w:r w:rsidR="0031178D">
        <w:rPr>
          <w:lang w:val="en-GB"/>
        </w:rPr>
        <w:instrText xml:space="preserve"> ADDIN EN.CITE &lt;EndNote&gt;&lt;Cite AuthorYear="1"&gt;&lt;Author&gt;El-Gheriani&lt;/Author&gt;&lt;Year&gt;2017&lt;/Year&gt;&lt;RecNum&gt;49&lt;/RecNum&gt;&lt;DisplayText&gt;El-Gheriani et al. (2017)&lt;/DisplayText&gt;&lt;record&gt;&lt;rec-number&gt;49&lt;/rec-number&gt;&lt;foreign-keys&gt;&lt;key app="EN" db-id="r5psfpswwr55zfeavpcppe555p09s0xsf5fp" timestamp="1580912805"&gt;49&lt;/key&gt;&lt;/foreign-keys&gt;&lt;ref-type name="Journal Article"&gt;17&lt;/ref-type&gt;&lt;contributors&gt;&lt;authors&gt;&lt;author&gt;El-Gheriani, Malak&lt;/author&gt;&lt;author&gt;Khan, Faisal&lt;/author&gt;&lt;author&gt;Chen, Dan&lt;/author&gt;&lt;author&gt;Abbassi, Rouzbeh&lt;/author&gt;&lt;/authors&gt;&lt;/contributors&gt;&lt;titles&gt;&lt;title&gt;Major accident modelling using spare data&lt;/title&gt;&lt;secondary-title&gt;Process Safety and Environmental Protection&lt;/secondary-title&gt;&lt;/titles&gt;&lt;periodical&gt;&lt;full-title&gt;Process Safety and Environmental Protection&lt;/full-title&gt;&lt;/periodical&gt;&lt;pages&gt;52-59&lt;/pages&gt;&lt;volume&gt;106&lt;/volume&gt;&lt;dates&gt;&lt;year&gt;2017&lt;/year&gt;&lt;/dates&gt;&lt;isbn&gt;0957-5820&lt;/isbn&gt;&lt;urls&gt;&lt;/urls&gt;&lt;/record&gt;&lt;/Cite&gt;&lt;/EndNote&gt;</w:instrText>
      </w:r>
      <w:r w:rsidR="0031178D">
        <w:rPr>
          <w:lang w:val="en-GB"/>
        </w:rPr>
        <w:fldChar w:fldCharType="separate"/>
      </w:r>
      <w:r w:rsidR="0031178D">
        <w:rPr>
          <w:noProof/>
          <w:lang w:val="en-GB"/>
        </w:rPr>
        <w:t>El-Gheriani et al. (2017)</w:t>
      </w:r>
      <w:r w:rsidR="0031178D">
        <w:rPr>
          <w:lang w:val="en-GB"/>
        </w:rPr>
        <w:fldChar w:fldCharType="end"/>
      </w:r>
      <w:r w:rsidR="0031178D">
        <w:rPr>
          <w:lang w:val="en-GB"/>
        </w:rPr>
        <w:t xml:space="preserve"> as an advanced probabilistic tool able to conduct inference based on </w:t>
      </w:r>
      <w:r w:rsidR="004C621F">
        <w:rPr>
          <w:lang w:val="en-GB"/>
        </w:rPr>
        <w:t>real-</w:t>
      </w:r>
      <w:r w:rsidR="0031178D">
        <w:rPr>
          <w:lang w:val="en-GB"/>
        </w:rPr>
        <w:t>wor</w:t>
      </w:r>
      <w:r w:rsidR="00313D12">
        <w:rPr>
          <w:lang w:val="en-GB"/>
        </w:rPr>
        <w:t>l</w:t>
      </w:r>
      <w:r w:rsidR="0031178D">
        <w:rPr>
          <w:lang w:val="en-GB"/>
        </w:rPr>
        <w:t>d observation</w:t>
      </w:r>
      <w:r w:rsidR="005A1617">
        <w:rPr>
          <w:lang w:val="en-GB"/>
        </w:rPr>
        <w:t>. HBM perform</w:t>
      </w:r>
      <w:r w:rsidR="008E3E3A">
        <w:rPr>
          <w:lang w:val="en-GB"/>
        </w:rPr>
        <w:t>s</w:t>
      </w:r>
      <w:r w:rsidR="005A1617">
        <w:rPr>
          <w:lang w:val="en-GB"/>
        </w:rPr>
        <w:t xml:space="preserve"> inference by applying</w:t>
      </w:r>
      <w:r w:rsidR="0031178D">
        <w:rPr>
          <w:lang w:val="en-GB"/>
        </w:rPr>
        <w:t xml:space="preserve"> the Bayes’ theorem, given by </w:t>
      </w:r>
      <w:proofErr w:type="spellStart"/>
      <w:r w:rsidR="0031178D">
        <w:rPr>
          <w:lang w:val="en-GB"/>
        </w:rPr>
        <w:t>Eq</w:t>
      </w:r>
      <w:proofErr w:type="spellEnd"/>
      <w:r w:rsidR="0031178D">
        <w:rPr>
          <w:lang w:val="en-GB"/>
        </w:rPr>
        <w:t>(1)</w:t>
      </w:r>
      <w:r w:rsidR="005A1617">
        <w:rPr>
          <w:lang w:val="en-GB"/>
        </w:rPr>
        <w:t>.</w:t>
      </w:r>
      <w:r w:rsidR="0031178D">
        <w:rPr>
          <w:lang w:val="en-GB"/>
        </w:rPr>
        <w:t xml:space="preserve"> </w:t>
      </w:r>
    </w:p>
    <w:tbl>
      <w:tblPr>
        <w:tblW w:w="5000" w:type="pct"/>
        <w:tblLook w:val="04A0" w:firstRow="1" w:lastRow="0" w:firstColumn="1" w:lastColumn="0" w:noHBand="0" w:noVBand="1"/>
      </w:tblPr>
      <w:tblGrid>
        <w:gridCol w:w="8179"/>
        <w:gridCol w:w="824"/>
      </w:tblGrid>
      <w:tr w:rsidR="005A1617" w:rsidRPr="001B7656" w14:paraId="5EE9422D" w14:textId="77777777" w:rsidTr="005A1617">
        <w:tc>
          <w:tcPr>
            <w:tcW w:w="8179" w:type="dxa"/>
            <w:shd w:val="clear" w:color="auto" w:fill="auto"/>
            <w:vAlign w:val="center"/>
          </w:tcPr>
          <w:p w14:paraId="4FBD051C" w14:textId="20597680" w:rsidR="005A1617" w:rsidRPr="006A0F71" w:rsidRDefault="00333430" w:rsidP="00AA082C">
            <w:pPr>
              <w:pStyle w:val="CETEquation"/>
              <w:keepNext/>
            </w:pPr>
            <m:oMath>
              <m:sSub>
                <m:sSubPr>
                  <m:ctrlPr>
                    <w:rPr>
                      <w:rFonts w:ascii="Cambria Math" w:hAnsi="Cambria Math"/>
                      <w:i/>
                      <w:szCs w:val="18"/>
                    </w:rPr>
                  </m:ctrlPr>
                </m:sSubPr>
                <m:e>
                  <m:r>
                    <w:rPr>
                      <w:rFonts w:ascii="Cambria Math" w:hAnsi="Cambria Math"/>
                      <w:szCs w:val="18"/>
                    </w:rPr>
                    <m:t>π</m:t>
                  </m:r>
                </m:e>
                <m:sub>
                  <m:r>
                    <w:rPr>
                      <w:rFonts w:ascii="Cambria Math" w:hAnsi="Cambria Math"/>
                      <w:szCs w:val="18"/>
                    </w:rPr>
                    <m:t>1</m:t>
                  </m:r>
                </m:sub>
              </m:sSub>
              <m:d>
                <m:dPr>
                  <m:ctrlPr>
                    <w:rPr>
                      <w:rFonts w:ascii="Cambria Math" w:hAnsi="Cambria Math"/>
                      <w:i/>
                      <w:szCs w:val="18"/>
                    </w:rPr>
                  </m:ctrlPr>
                </m:dPr>
                <m:e>
                  <m:r>
                    <w:rPr>
                      <w:rFonts w:ascii="Cambria Math" w:hAnsi="Cambria Math"/>
                      <w:szCs w:val="18"/>
                    </w:rPr>
                    <m:t>θ</m:t>
                  </m:r>
                </m:e>
                <m:e>
                  <m:r>
                    <w:rPr>
                      <w:rFonts w:ascii="Cambria Math" w:hAnsi="Cambria Math"/>
                      <w:szCs w:val="18"/>
                    </w:rPr>
                    <m:t>x</m:t>
                  </m:r>
                </m:e>
              </m:d>
              <m:r>
                <w:rPr>
                  <w:rFonts w:ascii="Cambria Math" w:hAnsi="Cambria Math"/>
                  <w:szCs w:val="18"/>
                </w:rPr>
                <m:t>=</m:t>
              </m:r>
              <m:f>
                <m:fPr>
                  <m:ctrlPr>
                    <w:rPr>
                      <w:rFonts w:ascii="Cambria Math" w:hAnsi="Cambria Math"/>
                      <w:i/>
                      <w:szCs w:val="18"/>
                    </w:rPr>
                  </m:ctrlPr>
                </m:fPr>
                <m:num>
                  <m:r>
                    <w:rPr>
                      <w:rFonts w:ascii="Cambria Math" w:hAnsi="Cambria Math"/>
                      <w:szCs w:val="18"/>
                    </w:rPr>
                    <m:t>f(x|θ)</m:t>
                  </m:r>
                  <m:sSub>
                    <m:sSubPr>
                      <m:ctrlPr>
                        <w:rPr>
                          <w:rFonts w:ascii="Cambria Math" w:hAnsi="Cambria Math"/>
                          <w:i/>
                          <w:szCs w:val="18"/>
                        </w:rPr>
                      </m:ctrlPr>
                    </m:sSubPr>
                    <m:e>
                      <m:r>
                        <w:rPr>
                          <w:rFonts w:ascii="Cambria Math" w:hAnsi="Cambria Math"/>
                          <w:szCs w:val="18"/>
                        </w:rPr>
                        <m:t>π</m:t>
                      </m:r>
                    </m:e>
                    <m:sub>
                      <m:r>
                        <w:rPr>
                          <w:rFonts w:ascii="Cambria Math" w:hAnsi="Cambria Math"/>
                          <w:szCs w:val="18"/>
                        </w:rPr>
                        <m:t>0</m:t>
                      </m:r>
                    </m:sub>
                  </m:sSub>
                  <m:r>
                    <w:rPr>
                      <w:rFonts w:ascii="Cambria Math" w:hAnsi="Cambria Math"/>
                      <w:szCs w:val="18"/>
                    </w:rPr>
                    <m:t>(θ)</m:t>
                  </m:r>
                </m:num>
                <m:den>
                  <m:nary>
                    <m:naryPr>
                      <m:limLoc m:val="subSup"/>
                      <m:supHide m:val="1"/>
                      <m:ctrlPr>
                        <w:rPr>
                          <w:rFonts w:ascii="Cambria Math" w:hAnsi="Cambria Math"/>
                          <w:i/>
                          <w:szCs w:val="18"/>
                        </w:rPr>
                      </m:ctrlPr>
                    </m:naryPr>
                    <m:sub>
                      <m:r>
                        <w:rPr>
                          <w:rFonts w:ascii="Cambria Math" w:hAnsi="Cambria Math"/>
                          <w:szCs w:val="18"/>
                        </w:rPr>
                        <m:t>θ</m:t>
                      </m:r>
                    </m:sub>
                    <m:sup/>
                    <m:e>
                      <m:r>
                        <w:rPr>
                          <w:rFonts w:ascii="Cambria Math" w:hAnsi="Cambria Math"/>
                          <w:szCs w:val="18"/>
                        </w:rPr>
                        <m:t>f(x|θ)</m:t>
                      </m:r>
                      <m:sSub>
                        <m:sSubPr>
                          <m:ctrlPr>
                            <w:rPr>
                              <w:rFonts w:ascii="Cambria Math" w:hAnsi="Cambria Math"/>
                              <w:i/>
                              <w:szCs w:val="18"/>
                            </w:rPr>
                          </m:ctrlPr>
                        </m:sSubPr>
                        <m:e>
                          <m:r>
                            <w:rPr>
                              <w:rFonts w:ascii="Cambria Math" w:hAnsi="Cambria Math"/>
                              <w:szCs w:val="18"/>
                            </w:rPr>
                            <m:t>π</m:t>
                          </m:r>
                        </m:e>
                        <m:sub>
                          <m:r>
                            <w:rPr>
                              <w:rFonts w:ascii="Cambria Math" w:hAnsi="Cambria Math"/>
                              <w:szCs w:val="18"/>
                            </w:rPr>
                            <m:t>0</m:t>
                          </m:r>
                        </m:sub>
                      </m:sSub>
                      <m:d>
                        <m:dPr>
                          <m:ctrlPr>
                            <w:rPr>
                              <w:rFonts w:ascii="Cambria Math" w:hAnsi="Cambria Math"/>
                              <w:i/>
                              <w:szCs w:val="18"/>
                            </w:rPr>
                          </m:ctrlPr>
                        </m:dPr>
                        <m:e>
                          <m:r>
                            <w:rPr>
                              <w:rFonts w:ascii="Cambria Math" w:hAnsi="Cambria Math"/>
                              <w:szCs w:val="18"/>
                            </w:rPr>
                            <m:t>θ</m:t>
                          </m:r>
                        </m:e>
                      </m:d>
                      <m:r>
                        <w:rPr>
                          <w:rFonts w:ascii="Cambria Math" w:hAnsi="Cambria Math"/>
                          <w:szCs w:val="18"/>
                        </w:rPr>
                        <m:t>dθ</m:t>
                      </m:r>
                    </m:e>
                  </m:nary>
                </m:den>
              </m:f>
            </m:oMath>
            <w:r w:rsidR="005A1617" w:rsidRPr="005A1617">
              <w:rPr>
                <w:rFonts w:ascii="Times New Roman" w:eastAsiaTheme="minorEastAsia" w:hAnsi="Times New Roman"/>
                <w:szCs w:val="18"/>
              </w:rPr>
              <w:t xml:space="preserve"> </w:t>
            </w:r>
          </w:p>
        </w:tc>
        <w:tc>
          <w:tcPr>
            <w:tcW w:w="824" w:type="dxa"/>
            <w:shd w:val="clear" w:color="auto" w:fill="auto"/>
            <w:vAlign w:val="center"/>
          </w:tcPr>
          <w:p w14:paraId="2179F644" w14:textId="137ECD2F" w:rsidR="005A1617" w:rsidRPr="001B7656" w:rsidRDefault="005A1617" w:rsidP="00AA082C">
            <w:pPr>
              <w:pStyle w:val="CETEquation"/>
              <w:jc w:val="right"/>
            </w:pPr>
            <w:r w:rsidRPr="001B7656">
              <w:t>(</w:t>
            </w:r>
            <w:r>
              <w:t>1</w:t>
            </w:r>
            <w:r w:rsidRPr="001B7656">
              <w:t>)</w:t>
            </w:r>
          </w:p>
        </w:tc>
      </w:tr>
    </w:tbl>
    <w:p w14:paraId="65CEBA1A" w14:textId="2BEB2B42" w:rsidR="005A1617" w:rsidRPr="005A1617" w:rsidRDefault="008E1184" w:rsidP="005A1617">
      <w:pPr>
        <w:pStyle w:val="CETBodytext"/>
      </w:pPr>
      <w:r>
        <w:t>where</w:t>
      </w:r>
      <w:r w:rsidR="005A1617" w:rsidRPr="005A1617">
        <w:t xml:space="preserve"> </w:t>
      </w:r>
      <m:oMath>
        <m:r>
          <w:rPr>
            <w:rFonts w:ascii="Cambria Math" w:hAnsi="Cambria Math"/>
          </w:rPr>
          <m:t>θ</m:t>
        </m:r>
      </m:oMath>
      <w:r>
        <w:t xml:space="preserve"> represents the unknown parameter of interest,</w:t>
      </w:r>
      <w:r w:rsidR="005A1617" w:rsidRPr="005A1617">
        <w:t xml:space="preserve"> while </w:t>
      </w:r>
      <m:oMath>
        <m:r>
          <w:rPr>
            <w:rFonts w:ascii="Cambria Math" w:hAnsi="Cambria Math"/>
          </w:rPr>
          <m:t>f</m:t>
        </m:r>
        <m:d>
          <m:dPr>
            <m:ctrlPr>
              <w:rPr>
                <w:rFonts w:ascii="Cambria Math" w:hAnsi="Cambria Math"/>
                <w:i/>
              </w:rPr>
            </m:ctrlPr>
          </m:dPr>
          <m:e>
            <m:r>
              <w:rPr>
                <w:rFonts w:ascii="Cambria Math" w:hAnsi="Cambria Math"/>
              </w:rPr>
              <m:t>x</m:t>
            </m:r>
          </m:e>
          <m:e>
            <m:r>
              <w:rPr>
                <w:rFonts w:ascii="Cambria Math" w:hAnsi="Cambria Math"/>
              </w:rPr>
              <m:t>θ</m:t>
            </m:r>
          </m:e>
        </m:d>
      </m:oMath>
      <w:r w:rsidR="005A1617" w:rsidRPr="005A1617">
        <w:t xml:space="preserve"> is called </w:t>
      </w:r>
      <w:r w:rsidR="004C621F">
        <w:t xml:space="preserve">the </w:t>
      </w:r>
      <w:r w:rsidR="005A1617" w:rsidRPr="005A1617">
        <w:t xml:space="preserve">likelihood function. </w:t>
      </w:r>
      <m:oMath>
        <m:sSub>
          <m:sSubPr>
            <m:ctrlPr>
              <w:rPr>
                <w:rFonts w:ascii="Cambria Math" w:hAnsi="Cambria Math"/>
                <w:i/>
              </w:rPr>
            </m:ctrlPr>
          </m:sSubPr>
          <m:e>
            <m:r>
              <w:rPr>
                <w:rFonts w:ascii="Cambria Math" w:hAnsi="Cambria Math"/>
              </w:rPr>
              <m:t>π</m:t>
            </m:r>
          </m:e>
          <m:sub>
            <m:r>
              <w:rPr>
                <w:rFonts w:ascii="Cambria Math" w:hAnsi="Cambria Math"/>
              </w:rPr>
              <m:t>0</m:t>
            </m:r>
          </m:sub>
        </m:sSub>
        <m:d>
          <m:dPr>
            <m:ctrlPr>
              <w:rPr>
                <w:rFonts w:ascii="Cambria Math" w:hAnsi="Cambria Math"/>
                <w:i/>
              </w:rPr>
            </m:ctrlPr>
          </m:dPr>
          <m:e>
            <m:r>
              <w:rPr>
                <w:rFonts w:ascii="Cambria Math" w:hAnsi="Cambria Math"/>
              </w:rPr>
              <m:t>θ</m:t>
            </m:r>
          </m:e>
        </m:d>
      </m:oMath>
      <w:r>
        <w:t xml:space="preserve"> is addressed as</w:t>
      </w:r>
      <w:r w:rsidR="005A1617" w:rsidRPr="005A1617">
        <w:t xml:space="preserve"> the prior distribution of </w:t>
      </w:r>
      <m:oMath>
        <m:r>
          <w:rPr>
            <w:rFonts w:ascii="Cambria Math" w:hAnsi="Cambria Math"/>
          </w:rPr>
          <m:t>θ</m:t>
        </m:r>
      </m:oMath>
      <w:r w:rsidR="005A1617" w:rsidRPr="005A1617">
        <w:t xml:space="preserve"> and </w:t>
      </w:r>
      <m:oMath>
        <m:sSub>
          <m:sSubPr>
            <m:ctrlPr>
              <w:rPr>
                <w:rFonts w:ascii="Cambria Math" w:hAnsi="Cambria Math"/>
                <w:i/>
              </w:rPr>
            </m:ctrlPr>
          </m:sSubPr>
          <m:e>
            <m:r>
              <w:rPr>
                <w:rFonts w:ascii="Cambria Math" w:hAnsi="Cambria Math"/>
              </w:rPr>
              <m:t>π</m:t>
            </m:r>
          </m:e>
          <m:sub>
            <m:r>
              <w:rPr>
                <w:rFonts w:ascii="Cambria Math" w:hAnsi="Cambria Math"/>
              </w:rPr>
              <m:t>1</m:t>
            </m:r>
          </m:sub>
        </m:sSub>
        <m:d>
          <m:dPr>
            <m:ctrlPr>
              <w:rPr>
                <w:rFonts w:ascii="Cambria Math" w:hAnsi="Cambria Math"/>
                <w:i/>
              </w:rPr>
            </m:ctrlPr>
          </m:dPr>
          <m:e>
            <m:r>
              <w:rPr>
                <w:rFonts w:ascii="Cambria Math" w:hAnsi="Cambria Math"/>
              </w:rPr>
              <m:t>θ</m:t>
            </m:r>
          </m:e>
        </m:d>
      </m:oMath>
      <w:r w:rsidR="005A1617" w:rsidRPr="005A1617">
        <w:t xml:space="preserve"> </w:t>
      </w:r>
      <w:r>
        <w:t>denoted the</w:t>
      </w:r>
      <w:r w:rsidR="005A1617" w:rsidRPr="005A1617">
        <w:t xml:space="preserve"> posterior distribution of </w:t>
      </w:r>
      <m:oMath>
        <m:r>
          <w:rPr>
            <w:rFonts w:ascii="Cambria Math" w:hAnsi="Cambria Math"/>
          </w:rPr>
          <m:t>θ</m:t>
        </m:r>
      </m:oMath>
      <w:r w:rsidR="005A1617" w:rsidRPr="005A1617">
        <w:t xml:space="preserve">. As stated by </w:t>
      </w:r>
      <w:r>
        <w:fldChar w:fldCharType="begin"/>
      </w:r>
      <w:r>
        <w:instrText xml:space="preserve"> ADDIN EN.CITE &lt;EndNote&gt;&lt;Cite AuthorYear="1"&gt;&lt;Author&gt;Kelly&lt;/Author&gt;&lt;Year&gt;2009&lt;/Year&gt;&lt;RecNum&gt;39&lt;/RecNum&gt;&lt;DisplayText&gt;Kelly and Smith (2009)&lt;/DisplayText&gt;&lt;record&gt;&lt;rec-number&gt;39&lt;/rec-number&gt;&lt;foreign-keys&gt;&lt;key app="EN" db-id="r5psfpswwr55zfeavpcppe555p09s0xsf5fp" timestamp="1580911830"&gt;39&lt;/key&gt;&lt;/foreign-keys&gt;&lt;ref-type name="Journal Article"&gt;17&lt;/ref-type&gt;&lt;contributors&gt;&lt;authors&gt;&lt;author&gt;Kelly, Dana L&lt;/author&gt;&lt;author&gt;Smith, Curtis L&lt;/author&gt;&lt;/authors&gt;&lt;/contributors&gt;&lt;titles&gt;&lt;title&gt;Bayesian inference in probabilistic risk assessment—the current state of the art&lt;/title&gt;&lt;secondary-title&gt;Reliability Engineering &amp;amp; System Safety&lt;/secondary-title&gt;&lt;/titles&gt;&lt;periodical&gt;&lt;full-title&gt;Reliability Engineering &amp;amp; System Safety&lt;/full-title&gt;&lt;/periodical&gt;&lt;pages&gt;628-643&lt;/pages&gt;&lt;volume&gt;94&lt;/volume&gt;&lt;number&gt;2&lt;/number&gt;&lt;dates&gt;&lt;year&gt;2009&lt;/year&gt;&lt;/dates&gt;&lt;isbn&gt;0951-8320&lt;/isbn&gt;&lt;urls&gt;&lt;/urls&gt;&lt;/record&gt;&lt;/Cite&gt;&lt;/EndNote&gt;</w:instrText>
      </w:r>
      <w:r>
        <w:fldChar w:fldCharType="separate"/>
      </w:r>
      <w:r>
        <w:rPr>
          <w:noProof/>
        </w:rPr>
        <w:t>Kelly and Smith (2009)</w:t>
      </w:r>
      <w:r>
        <w:fldChar w:fldCharType="end"/>
      </w:r>
      <w:r>
        <w:t xml:space="preserve"> </w:t>
      </w:r>
      <w:r w:rsidR="005A1617" w:rsidRPr="005A1617">
        <w:t>the prior distribution for the parameter of interest can be expressed by the Eq</w:t>
      </w:r>
      <w:r>
        <w:t>(2)</w:t>
      </w:r>
      <w:r w:rsidR="005A1617" w:rsidRPr="005A1617">
        <w:t xml:space="preserve"> :</w:t>
      </w:r>
    </w:p>
    <w:tbl>
      <w:tblPr>
        <w:tblW w:w="5000" w:type="pct"/>
        <w:tblLook w:val="04A0" w:firstRow="1" w:lastRow="0" w:firstColumn="1" w:lastColumn="0" w:noHBand="0" w:noVBand="1"/>
      </w:tblPr>
      <w:tblGrid>
        <w:gridCol w:w="8179"/>
        <w:gridCol w:w="824"/>
      </w:tblGrid>
      <w:tr w:rsidR="008E1184" w:rsidRPr="001B7656" w14:paraId="7844FFB7" w14:textId="77777777" w:rsidTr="00AA082C">
        <w:tc>
          <w:tcPr>
            <w:tcW w:w="8179" w:type="dxa"/>
            <w:shd w:val="clear" w:color="auto" w:fill="auto"/>
            <w:vAlign w:val="center"/>
          </w:tcPr>
          <w:p w14:paraId="724CA2F2" w14:textId="50DB2D40" w:rsidR="008E1184" w:rsidRPr="008E1184" w:rsidRDefault="00333430" w:rsidP="00AA082C">
            <w:pPr>
              <w:pStyle w:val="CETEquation"/>
              <w:keepNext/>
              <w:rPr>
                <w:szCs w:val="18"/>
              </w:rPr>
            </w:pPr>
            <m:oMath>
              <m:sSub>
                <m:sSubPr>
                  <m:ctrlPr>
                    <w:rPr>
                      <w:rFonts w:ascii="Cambria Math" w:hAnsi="Cambria Math"/>
                      <w:i/>
                      <w:szCs w:val="18"/>
                    </w:rPr>
                  </m:ctrlPr>
                </m:sSubPr>
                <m:e>
                  <m:r>
                    <w:rPr>
                      <w:rFonts w:ascii="Cambria Math" w:hAnsi="Cambria Math"/>
                      <w:szCs w:val="18"/>
                    </w:rPr>
                    <m:t>π</m:t>
                  </m:r>
                </m:e>
                <m:sub>
                  <m:r>
                    <w:rPr>
                      <w:rFonts w:ascii="Cambria Math" w:hAnsi="Cambria Math"/>
                      <w:szCs w:val="18"/>
                    </w:rPr>
                    <m:t>0</m:t>
                  </m:r>
                </m:sub>
              </m:sSub>
              <m:d>
                <m:dPr>
                  <m:ctrlPr>
                    <w:rPr>
                      <w:rFonts w:ascii="Cambria Math" w:hAnsi="Cambria Math"/>
                      <w:i/>
                      <w:szCs w:val="18"/>
                    </w:rPr>
                  </m:ctrlPr>
                </m:dPr>
                <m:e>
                  <m:r>
                    <w:rPr>
                      <w:rFonts w:ascii="Cambria Math" w:hAnsi="Cambria Math"/>
                      <w:szCs w:val="18"/>
                    </w:rPr>
                    <m:t>θ</m:t>
                  </m:r>
                </m:e>
              </m:d>
              <m:r>
                <w:rPr>
                  <w:rFonts w:ascii="Cambria Math" w:hAnsi="Cambria Math"/>
                  <w:szCs w:val="18"/>
                </w:rPr>
                <m:t>=</m:t>
              </m:r>
              <m:nary>
                <m:naryPr>
                  <m:limLoc m:val="subSup"/>
                  <m:supHide m:val="1"/>
                  <m:ctrlPr>
                    <w:rPr>
                      <w:rFonts w:ascii="Cambria Math" w:hAnsi="Cambria Math"/>
                      <w:i/>
                      <w:szCs w:val="18"/>
                    </w:rPr>
                  </m:ctrlPr>
                </m:naryPr>
                <m:sub>
                  <m:r>
                    <w:rPr>
                      <w:rFonts w:ascii="Cambria Math" w:hAnsi="Cambria Math"/>
                      <w:szCs w:val="18"/>
                    </w:rPr>
                    <m:t>∅</m:t>
                  </m:r>
                </m:sub>
                <m:sup/>
                <m:e>
                  <m:sSub>
                    <m:sSubPr>
                      <m:ctrlPr>
                        <w:rPr>
                          <w:rFonts w:ascii="Cambria Math" w:hAnsi="Cambria Math"/>
                          <w:i/>
                          <w:szCs w:val="18"/>
                        </w:rPr>
                      </m:ctrlPr>
                    </m:sSubPr>
                    <m:e>
                      <m:r>
                        <w:rPr>
                          <w:rFonts w:ascii="Cambria Math" w:hAnsi="Cambria Math"/>
                          <w:szCs w:val="18"/>
                        </w:rPr>
                        <m:t>π</m:t>
                      </m:r>
                    </m:e>
                    <m:sub>
                      <m:r>
                        <w:rPr>
                          <w:rFonts w:ascii="Cambria Math" w:hAnsi="Cambria Math"/>
                          <w:szCs w:val="18"/>
                        </w:rPr>
                        <m:t>1</m:t>
                      </m:r>
                    </m:sub>
                  </m:sSub>
                  <m:d>
                    <m:dPr>
                      <m:ctrlPr>
                        <w:rPr>
                          <w:rFonts w:ascii="Cambria Math" w:hAnsi="Cambria Math"/>
                          <w:i/>
                          <w:szCs w:val="18"/>
                        </w:rPr>
                      </m:ctrlPr>
                    </m:dPr>
                    <m:e>
                      <m:r>
                        <w:rPr>
                          <w:rFonts w:ascii="Cambria Math" w:hAnsi="Cambria Math"/>
                          <w:szCs w:val="18"/>
                        </w:rPr>
                        <m:t>θ</m:t>
                      </m:r>
                    </m:e>
                    <m:e>
                      <m:r>
                        <w:rPr>
                          <w:rFonts w:ascii="Cambria Math" w:hAnsi="Cambria Math"/>
                          <w:szCs w:val="18"/>
                        </w:rPr>
                        <m:t>φ</m:t>
                      </m:r>
                    </m:e>
                  </m:d>
                  <m:sSub>
                    <m:sSubPr>
                      <m:ctrlPr>
                        <w:rPr>
                          <w:rFonts w:ascii="Cambria Math" w:hAnsi="Cambria Math"/>
                          <w:i/>
                          <w:szCs w:val="18"/>
                        </w:rPr>
                      </m:ctrlPr>
                    </m:sSubPr>
                    <m:e>
                      <m:r>
                        <w:rPr>
                          <w:rFonts w:ascii="Cambria Math" w:hAnsi="Cambria Math"/>
                          <w:szCs w:val="18"/>
                        </w:rPr>
                        <m:t>π</m:t>
                      </m:r>
                    </m:e>
                    <m:sub>
                      <m:r>
                        <w:rPr>
                          <w:rFonts w:ascii="Cambria Math" w:hAnsi="Cambria Math"/>
                          <w:szCs w:val="18"/>
                        </w:rPr>
                        <m:t>2</m:t>
                      </m:r>
                    </m:sub>
                  </m:sSub>
                  <m:d>
                    <m:dPr>
                      <m:ctrlPr>
                        <w:rPr>
                          <w:rFonts w:ascii="Cambria Math" w:hAnsi="Cambria Math"/>
                          <w:i/>
                          <w:szCs w:val="18"/>
                        </w:rPr>
                      </m:ctrlPr>
                    </m:dPr>
                    <m:e>
                      <m:r>
                        <w:rPr>
                          <w:rFonts w:ascii="Cambria Math" w:hAnsi="Cambria Math"/>
                          <w:szCs w:val="18"/>
                        </w:rPr>
                        <m:t>φ</m:t>
                      </m:r>
                    </m:e>
                  </m:d>
                  <m:r>
                    <w:rPr>
                      <w:rFonts w:ascii="Cambria Math" w:hAnsi="Cambria Math"/>
                      <w:szCs w:val="18"/>
                    </w:rPr>
                    <m:t>dφ</m:t>
                  </m:r>
                </m:e>
              </m:nary>
            </m:oMath>
            <w:r w:rsidR="008E1184" w:rsidRPr="008E1184">
              <w:rPr>
                <w:rFonts w:ascii="Times New Roman" w:eastAsiaTheme="minorEastAsia" w:hAnsi="Times New Roman"/>
                <w:szCs w:val="18"/>
              </w:rPr>
              <w:t xml:space="preserve">                                                                                                                              </w:t>
            </w:r>
          </w:p>
        </w:tc>
        <w:tc>
          <w:tcPr>
            <w:tcW w:w="824" w:type="dxa"/>
            <w:shd w:val="clear" w:color="auto" w:fill="auto"/>
            <w:vAlign w:val="center"/>
          </w:tcPr>
          <w:p w14:paraId="0114065E" w14:textId="1EDA874E" w:rsidR="008E1184" w:rsidRPr="001B7656" w:rsidRDefault="008E1184" w:rsidP="00AA082C">
            <w:pPr>
              <w:pStyle w:val="CETEquation"/>
              <w:jc w:val="right"/>
            </w:pPr>
            <w:r w:rsidRPr="001B7656">
              <w:t>(</w:t>
            </w:r>
            <w:r>
              <w:t>2</w:t>
            </w:r>
            <w:r w:rsidRPr="001B7656">
              <w:t>)</w:t>
            </w:r>
          </w:p>
        </w:tc>
      </w:tr>
    </w:tbl>
    <w:p w14:paraId="760D675C" w14:textId="37E6DE81" w:rsidR="00D35F56" w:rsidRDefault="00333430" w:rsidP="003140FB">
      <w:pPr>
        <w:pStyle w:val="CETBodytext"/>
      </w:pPr>
      <m:oMath>
        <m:sSub>
          <m:sSubPr>
            <m:ctrlPr>
              <w:rPr>
                <w:rFonts w:ascii="Cambria Math" w:hAnsi="Cambria Math"/>
                <w:i/>
              </w:rPr>
            </m:ctrlPr>
          </m:sSubPr>
          <m:e>
            <m:r>
              <w:rPr>
                <w:rFonts w:ascii="Cambria Math" w:hAnsi="Cambria Math"/>
              </w:rPr>
              <m:t>π</m:t>
            </m:r>
          </m:e>
          <m:sub>
            <m:r>
              <w:rPr>
                <w:rFonts w:ascii="Cambria Math" w:hAnsi="Cambria Math"/>
              </w:rPr>
              <m:t>1</m:t>
            </m:r>
          </m:sub>
        </m:sSub>
        <m:d>
          <m:dPr>
            <m:ctrlPr>
              <w:rPr>
                <w:rFonts w:ascii="Cambria Math" w:hAnsi="Cambria Math"/>
                <w:i/>
              </w:rPr>
            </m:ctrlPr>
          </m:dPr>
          <m:e>
            <m:r>
              <w:rPr>
                <w:rFonts w:ascii="Cambria Math" w:hAnsi="Cambria Math"/>
              </w:rPr>
              <m:t>θ</m:t>
            </m:r>
          </m:e>
          <m:e>
            <m:r>
              <w:rPr>
                <w:rFonts w:ascii="Cambria Math" w:hAnsi="Cambria Math"/>
              </w:rPr>
              <m:t>φ</m:t>
            </m:r>
          </m:e>
        </m:d>
      </m:oMath>
      <w:r w:rsidR="005A1617" w:rsidRPr="005A1617">
        <w:t xml:space="preserve"> </w:t>
      </w:r>
      <w:r w:rsidR="008E1184">
        <w:t>is</w:t>
      </w:r>
      <w:r w:rsidR="005A1617" w:rsidRPr="005A1617">
        <w:t xml:space="preserve"> the first-stage prior of the population variability in </w:t>
      </w:r>
      <m:oMath>
        <m:r>
          <w:rPr>
            <w:rFonts w:ascii="Cambria Math" w:hAnsi="Cambria Math"/>
          </w:rPr>
          <m:t>θ</m:t>
        </m:r>
      </m:oMath>
      <w:r w:rsidR="005A1617" w:rsidRPr="005A1617">
        <w:t xml:space="preserve">, for a given value of </w:t>
      </w:r>
      <m:oMath>
        <m:r>
          <w:rPr>
            <w:rFonts w:ascii="Cambria Math" w:hAnsi="Cambria Math"/>
          </w:rPr>
          <m:t>φ</m:t>
        </m:r>
      </m:oMath>
      <w:r w:rsidR="005A1617" w:rsidRPr="005A1617">
        <w:t xml:space="preserve">. The hyper-prior distribution is denoted by </w:t>
      </w:r>
      <m:oMath>
        <m:sSub>
          <m:sSubPr>
            <m:ctrlPr>
              <w:rPr>
                <w:rFonts w:ascii="Cambria Math" w:hAnsi="Cambria Math"/>
                <w:i/>
              </w:rPr>
            </m:ctrlPr>
          </m:sSubPr>
          <m:e>
            <m:r>
              <w:rPr>
                <w:rFonts w:ascii="Cambria Math" w:hAnsi="Cambria Math"/>
              </w:rPr>
              <m:t>π</m:t>
            </m:r>
          </m:e>
          <m:sub>
            <m:r>
              <w:rPr>
                <w:rFonts w:ascii="Cambria Math" w:hAnsi="Cambria Math"/>
              </w:rPr>
              <m:t>2</m:t>
            </m:r>
          </m:sub>
        </m:sSub>
        <m:r>
          <w:rPr>
            <w:rFonts w:ascii="Cambria Math" w:hAnsi="Cambria Math"/>
          </w:rPr>
          <m:t>(φ)</m:t>
        </m:r>
      </m:oMath>
      <w:r w:rsidR="005A1617" w:rsidRPr="005A1617">
        <w:t xml:space="preserve"> and it considers the uncertainty of </w:t>
      </w:r>
      <m:oMath>
        <m:r>
          <w:rPr>
            <w:rFonts w:ascii="Cambria Math" w:hAnsi="Cambria Math"/>
          </w:rPr>
          <m:t>φ</m:t>
        </m:r>
      </m:oMath>
      <w:r w:rsidR="005A1617" w:rsidRPr="005A1617">
        <w:t>, which, in most cases, is a vector and its components are called hyper-parameters.</w:t>
      </w:r>
      <w:r w:rsidR="00D35F56">
        <w:t xml:space="preserve"> </w:t>
      </w:r>
    </w:p>
    <w:p w14:paraId="7961DEEC" w14:textId="08EB2ADF" w:rsidR="003F0537" w:rsidRDefault="003F0537" w:rsidP="003140FB">
      <w:pPr>
        <w:pStyle w:val="CETBodytext"/>
        <w:rPr>
          <w:lang w:val="en-GB"/>
        </w:rPr>
      </w:pPr>
      <w:r>
        <w:rPr>
          <w:lang w:val="en-GB"/>
        </w:rPr>
        <w:t xml:space="preserve">Through HBM the distributions of the probability of failure are estimated for </w:t>
      </w:r>
      <w:r w:rsidR="00E120CF">
        <w:rPr>
          <w:lang w:val="en-GB"/>
        </w:rPr>
        <w:t>the</w:t>
      </w:r>
      <w:r>
        <w:rPr>
          <w:lang w:val="en-GB"/>
        </w:rPr>
        <w:t xml:space="preserve"> component</w:t>
      </w:r>
      <w:r w:rsidR="00E120CF">
        <w:rPr>
          <w:lang w:val="en-GB"/>
        </w:rPr>
        <w:t xml:space="preserve"> of Table 3</w:t>
      </w:r>
      <w:r>
        <w:rPr>
          <w:lang w:val="en-GB"/>
        </w:rPr>
        <w:t xml:space="preserve">, then the mean values are </w:t>
      </w:r>
      <w:r w:rsidR="00E120CF">
        <w:rPr>
          <w:lang w:val="en-GB"/>
        </w:rPr>
        <w:t>evaluated for each distribution</w:t>
      </w:r>
      <w:r>
        <w:rPr>
          <w:lang w:val="en-GB"/>
        </w:rPr>
        <w:t>. The mean probabilities of failure are then used to assign a level of occurrence to each component based on Table 1.</w:t>
      </w:r>
      <w:r w:rsidR="00790E8F">
        <w:rPr>
          <w:lang w:val="en-GB"/>
        </w:rPr>
        <w:t xml:space="preserve"> The severity analysis is conducted using FMECA, which is carried out to determine the consequences arising from a failure. Based on the possible outcomes of a failure, components are classified into ten categories of severity (Table 2).</w:t>
      </w:r>
    </w:p>
    <w:p w14:paraId="3C9C6A77" w14:textId="1120D2CA" w:rsidR="00DD4D49" w:rsidRPr="00EE14A8" w:rsidRDefault="00DD4D49" w:rsidP="00C17EFC">
      <w:pPr>
        <w:pStyle w:val="Didascalia"/>
        <w:keepNext/>
        <w:tabs>
          <w:tab w:val="clear" w:pos="7100"/>
          <w:tab w:val="right" w:pos="8789"/>
        </w:tabs>
        <w:spacing w:before="240" w:after="80"/>
        <w:rPr>
          <w:b w:val="0"/>
          <w:bCs w:val="0"/>
          <w:i/>
          <w:iCs/>
          <w:color w:val="000000" w:themeColor="text1"/>
        </w:rPr>
      </w:pPr>
      <w:r w:rsidRPr="00EE14A8">
        <w:rPr>
          <w:b w:val="0"/>
          <w:bCs w:val="0"/>
          <w:i/>
          <w:iCs/>
          <w:color w:val="000000" w:themeColor="text1"/>
        </w:rPr>
        <w:t xml:space="preserve">Table </w:t>
      </w:r>
      <w:r w:rsidRPr="00EE14A8">
        <w:rPr>
          <w:b w:val="0"/>
          <w:bCs w:val="0"/>
          <w:i/>
          <w:iCs/>
          <w:color w:val="000000" w:themeColor="text1"/>
        </w:rPr>
        <w:fldChar w:fldCharType="begin"/>
      </w:r>
      <w:r w:rsidRPr="00EE14A8">
        <w:rPr>
          <w:b w:val="0"/>
          <w:bCs w:val="0"/>
          <w:i/>
          <w:iCs/>
          <w:color w:val="000000" w:themeColor="text1"/>
        </w:rPr>
        <w:instrText xml:space="preserve"> SEQ Table \* ARABIC </w:instrText>
      </w:r>
      <w:r w:rsidRPr="00EE14A8">
        <w:rPr>
          <w:b w:val="0"/>
          <w:bCs w:val="0"/>
          <w:i/>
          <w:iCs/>
          <w:color w:val="000000" w:themeColor="text1"/>
        </w:rPr>
        <w:fldChar w:fldCharType="separate"/>
      </w:r>
      <w:r>
        <w:rPr>
          <w:b w:val="0"/>
          <w:bCs w:val="0"/>
          <w:i/>
          <w:iCs/>
          <w:noProof/>
          <w:color w:val="000000" w:themeColor="text1"/>
        </w:rPr>
        <w:t>1</w:t>
      </w:r>
      <w:r w:rsidRPr="00EE14A8">
        <w:rPr>
          <w:b w:val="0"/>
          <w:bCs w:val="0"/>
          <w:i/>
          <w:iCs/>
          <w:color w:val="000000" w:themeColor="text1"/>
        </w:rPr>
        <w:fldChar w:fldCharType="end"/>
      </w:r>
      <w:r w:rsidRPr="00EE14A8">
        <w:rPr>
          <w:b w:val="0"/>
          <w:bCs w:val="0"/>
          <w:i/>
          <w:iCs/>
          <w:color w:val="000000" w:themeColor="text1"/>
        </w:rPr>
        <w:t>: Likelihood criteria ranking</w:t>
      </w:r>
      <w:r w:rsidR="00C17EFC">
        <w:rPr>
          <w:b w:val="0"/>
          <w:bCs w:val="0"/>
          <w:i/>
          <w:iCs/>
          <w:color w:val="000000" w:themeColor="text1"/>
        </w:rPr>
        <w:t xml:space="preserve">           </w:t>
      </w:r>
      <w:r w:rsidR="00C17EFC">
        <w:rPr>
          <w:b w:val="0"/>
          <w:bCs w:val="0"/>
          <w:i/>
          <w:iCs/>
          <w:color w:val="000000" w:themeColor="text1"/>
        </w:rPr>
        <w:t>Table 2: Severity criteria ranking</w:t>
      </w:r>
      <w:r>
        <w:rPr>
          <w:b w:val="0"/>
          <w:bCs w:val="0"/>
          <w:i/>
          <w:iCs/>
          <w:color w:val="000000" w:themeColor="text1"/>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41"/>
        <w:gridCol w:w="1069"/>
      </w:tblGrid>
      <w:tr w:rsidR="00DD4D49" w:rsidRPr="00B57B36" w14:paraId="4539982B" w14:textId="77777777" w:rsidTr="00297D0D">
        <w:tc>
          <w:tcPr>
            <w:tcW w:w="1341" w:type="dxa"/>
            <w:tcBorders>
              <w:top w:val="single" w:sz="12" w:space="0" w:color="008000"/>
              <w:bottom w:val="single" w:sz="6" w:space="0" w:color="008000"/>
            </w:tcBorders>
            <w:shd w:val="clear" w:color="auto" w:fill="FFFFFF"/>
          </w:tcPr>
          <w:p w14:paraId="57AD37D0" w14:textId="77777777" w:rsidR="00DD4D49" w:rsidRPr="00B57B36" w:rsidRDefault="00DD4D49" w:rsidP="00F42E34">
            <w:pPr>
              <w:pStyle w:val="CETBodytext"/>
              <w:rPr>
                <w:lang w:val="en-GB"/>
              </w:rPr>
            </w:pPr>
            <w:r>
              <w:rPr>
                <w:lang w:val="en-GB"/>
              </w:rPr>
              <w:t>Occurrence (O)</w:t>
            </w:r>
          </w:p>
        </w:tc>
        <w:tc>
          <w:tcPr>
            <w:tcW w:w="1069" w:type="dxa"/>
            <w:tcBorders>
              <w:top w:val="single" w:sz="12" w:space="0" w:color="008000"/>
              <w:bottom w:val="single" w:sz="6" w:space="0" w:color="008000"/>
            </w:tcBorders>
            <w:shd w:val="clear" w:color="auto" w:fill="FFFFFF"/>
          </w:tcPr>
          <w:p w14:paraId="2B430593" w14:textId="77777777" w:rsidR="00DD4D49" w:rsidRPr="00B57B36" w:rsidRDefault="00DD4D49" w:rsidP="00F42E34">
            <w:pPr>
              <w:pStyle w:val="CETBodytext"/>
              <w:rPr>
                <w:lang w:val="en-GB"/>
              </w:rPr>
            </w:pPr>
            <w:r>
              <w:rPr>
                <w:lang w:val="en-GB"/>
              </w:rPr>
              <w:t>Occurrence probability</w:t>
            </w:r>
          </w:p>
        </w:tc>
      </w:tr>
      <w:tr w:rsidR="00DD4D49" w:rsidRPr="00B57B36" w14:paraId="18EB2040" w14:textId="77777777" w:rsidTr="00297D0D">
        <w:tc>
          <w:tcPr>
            <w:tcW w:w="1341" w:type="dxa"/>
            <w:shd w:val="clear" w:color="auto" w:fill="FFFFFF"/>
          </w:tcPr>
          <w:p w14:paraId="4D8F7333" w14:textId="77777777" w:rsidR="00DD4D49" w:rsidRPr="00B57B36" w:rsidRDefault="00DD4D49" w:rsidP="00F42E34">
            <w:pPr>
              <w:pStyle w:val="CETBodytext"/>
              <w:rPr>
                <w:lang w:val="en-GB"/>
              </w:rPr>
            </w:pPr>
            <w:r>
              <w:rPr>
                <w:lang w:val="en-GB"/>
              </w:rPr>
              <w:t>1</w:t>
            </w:r>
          </w:p>
        </w:tc>
        <w:tc>
          <w:tcPr>
            <w:tcW w:w="1069" w:type="dxa"/>
            <w:shd w:val="clear" w:color="auto" w:fill="FFFFFF"/>
            <w:vAlign w:val="bottom"/>
          </w:tcPr>
          <w:p w14:paraId="1343539B" w14:textId="77777777" w:rsidR="00DD4D49" w:rsidRPr="00B57B36" w:rsidRDefault="00DD4D49" w:rsidP="00F42E34">
            <w:pPr>
              <w:pStyle w:val="CETBodytext"/>
              <w:rPr>
                <w:lang w:val="en-GB"/>
              </w:rPr>
            </w:pPr>
            <w:r w:rsidRPr="00B536B9">
              <w:rPr>
                <w:color w:val="000000"/>
                <w:lang w:eastAsia="it-IT"/>
              </w:rPr>
              <w:t>&lt;1 in 30,000</w:t>
            </w:r>
          </w:p>
        </w:tc>
      </w:tr>
      <w:tr w:rsidR="00DD4D49" w:rsidRPr="00B57B36" w14:paraId="01489A8E" w14:textId="77777777" w:rsidTr="00297D0D">
        <w:tc>
          <w:tcPr>
            <w:tcW w:w="1341" w:type="dxa"/>
            <w:shd w:val="clear" w:color="auto" w:fill="FFFFFF"/>
          </w:tcPr>
          <w:p w14:paraId="0F4100E8" w14:textId="77777777" w:rsidR="00DD4D49" w:rsidRPr="00B57B36" w:rsidRDefault="00DD4D49" w:rsidP="00F42E34">
            <w:pPr>
              <w:pStyle w:val="CETBodytext"/>
              <w:ind w:right="-1"/>
              <w:rPr>
                <w:rFonts w:cs="Arial"/>
                <w:szCs w:val="18"/>
                <w:lang w:val="en-GB"/>
              </w:rPr>
            </w:pPr>
            <w:r>
              <w:rPr>
                <w:rFonts w:cs="Arial"/>
                <w:szCs w:val="18"/>
                <w:lang w:val="en-GB"/>
              </w:rPr>
              <w:t>2</w:t>
            </w:r>
          </w:p>
        </w:tc>
        <w:tc>
          <w:tcPr>
            <w:tcW w:w="1069" w:type="dxa"/>
            <w:shd w:val="clear" w:color="auto" w:fill="FFFFFF"/>
            <w:vAlign w:val="bottom"/>
          </w:tcPr>
          <w:p w14:paraId="4BCC8CF6" w14:textId="77777777" w:rsidR="00DD4D49" w:rsidRPr="00B57B36" w:rsidRDefault="00DD4D49" w:rsidP="00F42E34">
            <w:pPr>
              <w:pStyle w:val="CETBodytext"/>
              <w:ind w:right="-1"/>
              <w:rPr>
                <w:rFonts w:cs="Arial"/>
                <w:szCs w:val="18"/>
                <w:lang w:val="en-GB"/>
              </w:rPr>
            </w:pPr>
            <w:r w:rsidRPr="00B536B9">
              <w:rPr>
                <w:color w:val="000000"/>
                <w:lang w:eastAsia="it-IT"/>
              </w:rPr>
              <w:t>1 in 25,000</w:t>
            </w:r>
          </w:p>
        </w:tc>
      </w:tr>
      <w:tr w:rsidR="00DD4D49" w:rsidRPr="00B57B36" w14:paraId="237F42F9" w14:textId="77777777" w:rsidTr="00297D0D">
        <w:tc>
          <w:tcPr>
            <w:tcW w:w="1341" w:type="dxa"/>
            <w:shd w:val="clear" w:color="auto" w:fill="FFFFFF"/>
          </w:tcPr>
          <w:p w14:paraId="595DDD40" w14:textId="77777777" w:rsidR="00DD4D49" w:rsidRDefault="00DD4D49" w:rsidP="00F42E34">
            <w:pPr>
              <w:pStyle w:val="CETBodytext"/>
              <w:ind w:right="-1"/>
              <w:rPr>
                <w:rFonts w:cs="Arial"/>
                <w:szCs w:val="18"/>
                <w:lang w:val="en-GB"/>
              </w:rPr>
            </w:pPr>
            <w:r>
              <w:rPr>
                <w:rFonts w:cs="Arial"/>
                <w:szCs w:val="18"/>
                <w:lang w:val="en-GB"/>
              </w:rPr>
              <w:t>3</w:t>
            </w:r>
          </w:p>
        </w:tc>
        <w:tc>
          <w:tcPr>
            <w:tcW w:w="1069" w:type="dxa"/>
            <w:shd w:val="clear" w:color="auto" w:fill="FFFFFF"/>
            <w:vAlign w:val="center"/>
          </w:tcPr>
          <w:p w14:paraId="00FDCBC7" w14:textId="77777777" w:rsidR="00DD4D49" w:rsidRPr="00B57B36" w:rsidRDefault="00DD4D49" w:rsidP="00F42E34">
            <w:pPr>
              <w:pStyle w:val="CETBodytext"/>
              <w:ind w:right="-1"/>
              <w:rPr>
                <w:rFonts w:cs="Arial"/>
                <w:szCs w:val="18"/>
                <w:lang w:val="en-GB"/>
              </w:rPr>
            </w:pPr>
            <w:r w:rsidRPr="00B536B9">
              <w:rPr>
                <w:color w:val="000000"/>
                <w:lang w:eastAsia="it-IT"/>
              </w:rPr>
              <w:t>1 in 20,000</w:t>
            </w:r>
          </w:p>
        </w:tc>
      </w:tr>
      <w:tr w:rsidR="00DD4D49" w:rsidRPr="00B57B36" w14:paraId="125432C5" w14:textId="77777777" w:rsidTr="00297D0D">
        <w:tc>
          <w:tcPr>
            <w:tcW w:w="1341" w:type="dxa"/>
            <w:shd w:val="clear" w:color="auto" w:fill="FFFFFF"/>
          </w:tcPr>
          <w:p w14:paraId="64390E57" w14:textId="77777777" w:rsidR="00DD4D49" w:rsidRDefault="00DD4D49" w:rsidP="00F42E34">
            <w:pPr>
              <w:pStyle w:val="CETBodytext"/>
              <w:ind w:right="-1"/>
              <w:rPr>
                <w:rFonts w:cs="Arial"/>
                <w:szCs w:val="18"/>
                <w:lang w:val="en-GB"/>
              </w:rPr>
            </w:pPr>
            <w:r>
              <w:rPr>
                <w:rFonts w:cs="Arial"/>
                <w:szCs w:val="18"/>
                <w:lang w:val="en-GB"/>
              </w:rPr>
              <w:t>4</w:t>
            </w:r>
          </w:p>
        </w:tc>
        <w:tc>
          <w:tcPr>
            <w:tcW w:w="1069" w:type="dxa"/>
            <w:shd w:val="clear" w:color="auto" w:fill="FFFFFF"/>
            <w:vAlign w:val="center"/>
          </w:tcPr>
          <w:p w14:paraId="7BE81AAC" w14:textId="77777777" w:rsidR="00DD4D49" w:rsidRPr="00B57B36" w:rsidRDefault="00DD4D49" w:rsidP="00F42E34">
            <w:pPr>
              <w:pStyle w:val="CETBodytext"/>
              <w:ind w:right="-1"/>
              <w:rPr>
                <w:rFonts w:cs="Arial"/>
                <w:szCs w:val="18"/>
                <w:lang w:val="en-GB"/>
              </w:rPr>
            </w:pPr>
            <w:r w:rsidRPr="00B536B9">
              <w:rPr>
                <w:color w:val="000000"/>
                <w:lang w:eastAsia="it-IT"/>
              </w:rPr>
              <w:t>1 in 10,000</w:t>
            </w:r>
          </w:p>
        </w:tc>
      </w:tr>
      <w:tr w:rsidR="00DD4D49" w:rsidRPr="00B57B36" w14:paraId="729F1704" w14:textId="77777777" w:rsidTr="00297D0D">
        <w:tc>
          <w:tcPr>
            <w:tcW w:w="1341" w:type="dxa"/>
            <w:shd w:val="clear" w:color="auto" w:fill="FFFFFF"/>
          </w:tcPr>
          <w:p w14:paraId="432C73D4" w14:textId="77777777" w:rsidR="00DD4D49" w:rsidRDefault="00DD4D49" w:rsidP="00F42E34">
            <w:pPr>
              <w:pStyle w:val="CETBodytext"/>
              <w:ind w:right="-1"/>
              <w:rPr>
                <w:rFonts w:cs="Arial"/>
                <w:szCs w:val="18"/>
                <w:lang w:val="en-GB"/>
              </w:rPr>
            </w:pPr>
            <w:r>
              <w:rPr>
                <w:rFonts w:cs="Arial"/>
                <w:szCs w:val="18"/>
                <w:lang w:val="en-GB"/>
              </w:rPr>
              <w:t>5</w:t>
            </w:r>
          </w:p>
        </w:tc>
        <w:tc>
          <w:tcPr>
            <w:tcW w:w="1069" w:type="dxa"/>
            <w:shd w:val="clear" w:color="auto" w:fill="FFFFFF"/>
            <w:vAlign w:val="center"/>
          </w:tcPr>
          <w:p w14:paraId="1B6451B4" w14:textId="77777777" w:rsidR="00DD4D49" w:rsidRPr="00B57B36" w:rsidRDefault="00DD4D49" w:rsidP="00F42E34">
            <w:pPr>
              <w:pStyle w:val="CETBodytext"/>
              <w:ind w:right="-1"/>
              <w:rPr>
                <w:rFonts w:cs="Arial"/>
                <w:szCs w:val="18"/>
                <w:lang w:val="en-GB"/>
              </w:rPr>
            </w:pPr>
            <w:r w:rsidRPr="00B536B9">
              <w:rPr>
                <w:color w:val="000000"/>
                <w:lang w:eastAsia="it-IT"/>
              </w:rPr>
              <w:t>1 in 5,000</w:t>
            </w:r>
          </w:p>
        </w:tc>
      </w:tr>
      <w:tr w:rsidR="00DD4D49" w:rsidRPr="00B57B36" w14:paraId="1C24453C" w14:textId="77777777" w:rsidTr="00297D0D">
        <w:tc>
          <w:tcPr>
            <w:tcW w:w="1341" w:type="dxa"/>
            <w:shd w:val="clear" w:color="auto" w:fill="FFFFFF"/>
          </w:tcPr>
          <w:p w14:paraId="5C42F03C" w14:textId="77777777" w:rsidR="00DD4D49" w:rsidRDefault="00DD4D49" w:rsidP="00F42E34">
            <w:pPr>
              <w:pStyle w:val="CETBodytext"/>
              <w:ind w:right="-1"/>
              <w:rPr>
                <w:rFonts w:cs="Arial"/>
                <w:szCs w:val="18"/>
                <w:lang w:val="en-GB"/>
              </w:rPr>
            </w:pPr>
            <w:r>
              <w:rPr>
                <w:rFonts w:cs="Arial"/>
                <w:szCs w:val="18"/>
                <w:lang w:val="en-GB"/>
              </w:rPr>
              <w:t>6</w:t>
            </w:r>
          </w:p>
        </w:tc>
        <w:tc>
          <w:tcPr>
            <w:tcW w:w="1069" w:type="dxa"/>
            <w:shd w:val="clear" w:color="auto" w:fill="FFFFFF"/>
            <w:vAlign w:val="center"/>
          </w:tcPr>
          <w:p w14:paraId="0F070A56" w14:textId="77777777" w:rsidR="00DD4D49" w:rsidRPr="00B57B36" w:rsidRDefault="00DD4D49" w:rsidP="00F42E34">
            <w:pPr>
              <w:pStyle w:val="CETBodytext"/>
              <w:ind w:right="-1"/>
              <w:rPr>
                <w:rFonts w:cs="Arial"/>
                <w:szCs w:val="18"/>
                <w:lang w:val="en-GB"/>
              </w:rPr>
            </w:pPr>
            <w:r w:rsidRPr="00B536B9">
              <w:rPr>
                <w:color w:val="000000"/>
                <w:lang w:eastAsia="it-IT"/>
              </w:rPr>
              <w:t>1 in 3,000</w:t>
            </w:r>
          </w:p>
        </w:tc>
      </w:tr>
      <w:tr w:rsidR="00DD4D49" w:rsidRPr="00B57B36" w14:paraId="35A2690F" w14:textId="77777777" w:rsidTr="00297D0D">
        <w:tc>
          <w:tcPr>
            <w:tcW w:w="1341" w:type="dxa"/>
            <w:shd w:val="clear" w:color="auto" w:fill="FFFFFF"/>
          </w:tcPr>
          <w:p w14:paraId="3680C6EB" w14:textId="77777777" w:rsidR="00DD4D49" w:rsidRDefault="00DD4D49" w:rsidP="00F42E34">
            <w:pPr>
              <w:pStyle w:val="CETBodytext"/>
              <w:ind w:right="-1"/>
              <w:rPr>
                <w:rFonts w:cs="Arial"/>
                <w:szCs w:val="18"/>
                <w:lang w:val="en-GB"/>
              </w:rPr>
            </w:pPr>
            <w:r>
              <w:rPr>
                <w:rFonts w:cs="Arial"/>
                <w:szCs w:val="18"/>
                <w:lang w:val="en-GB"/>
              </w:rPr>
              <w:t>7</w:t>
            </w:r>
          </w:p>
        </w:tc>
        <w:tc>
          <w:tcPr>
            <w:tcW w:w="1069" w:type="dxa"/>
            <w:shd w:val="clear" w:color="auto" w:fill="FFFFFF"/>
            <w:vAlign w:val="center"/>
          </w:tcPr>
          <w:p w14:paraId="055C0116" w14:textId="77777777" w:rsidR="00DD4D49" w:rsidRPr="00B57B36" w:rsidRDefault="00DD4D49" w:rsidP="00F42E34">
            <w:pPr>
              <w:pStyle w:val="CETBodytext"/>
              <w:ind w:right="-1"/>
              <w:rPr>
                <w:rFonts w:cs="Arial"/>
                <w:szCs w:val="18"/>
                <w:lang w:val="en-GB"/>
              </w:rPr>
            </w:pPr>
            <w:r w:rsidRPr="00B536B9">
              <w:rPr>
                <w:color w:val="000000"/>
                <w:lang w:eastAsia="it-IT"/>
              </w:rPr>
              <w:t>1 in 2,000</w:t>
            </w:r>
          </w:p>
        </w:tc>
      </w:tr>
      <w:tr w:rsidR="00DD4D49" w:rsidRPr="00B57B36" w14:paraId="3B936C02" w14:textId="77777777" w:rsidTr="00297D0D">
        <w:tc>
          <w:tcPr>
            <w:tcW w:w="1341" w:type="dxa"/>
            <w:shd w:val="clear" w:color="auto" w:fill="FFFFFF"/>
          </w:tcPr>
          <w:p w14:paraId="32A5238A" w14:textId="77777777" w:rsidR="00DD4D49" w:rsidRDefault="00DD4D49" w:rsidP="00F42E34">
            <w:pPr>
              <w:pStyle w:val="CETBodytext"/>
              <w:ind w:right="-1"/>
              <w:rPr>
                <w:rFonts w:cs="Arial"/>
                <w:szCs w:val="18"/>
                <w:lang w:val="en-GB"/>
              </w:rPr>
            </w:pPr>
            <w:r>
              <w:rPr>
                <w:rFonts w:cs="Arial"/>
                <w:szCs w:val="18"/>
                <w:lang w:val="en-GB"/>
              </w:rPr>
              <w:t>8</w:t>
            </w:r>
          </w:p>
        </w:tc>
        <w:tc>
          <w:tcPr>
            <w:tcW w:w="1069" w:type="dxa"/>
            <w:shd w:val="clear" w:color="auto" w:fill="FFFFFF"/>
            <w:vAlign w:val="center"/>
          </w:tcPr>
          <w:p w14:paraId="04513CBA" w14:textId="77777777" w:rsidR="00DD4D49" w:rsidRPr="00B57B36" w:rsidRDefault="00DD4D49" w:rsidP="00F42E34">
            <w:pPr>
              <w:pStyle w:val="CETBodytext"/>
              <w:ind w:right="-1"/>
              <w:rPr>
                <w:rFonts w:cs="Arial"/>
                <w:szCs w:val="18"/>
                <w:lang w:val="en-GB"/>
              </w:rPr>
            </w:pPr>
            <w:r w:rsidRPr="00B536B9">
              <w:rPr>
                <w:color w:val="000000"/>
                <w:lang w:eastAsia="it-IT"/>
              </w:rPr>
              <w:t>1 in 1,000</w:t>
            </w:r>
          </w:p>
        </w:tc>
      </w:tr>
      <w:tr w:rsidR="00DD4D49" w:rsidRPr="00B57B36" w14:paraId="43C5A9EA" w14:textId="77777777" w:rsidTr="00394118">
        <w:tc>
          <w:tcPr>
            <w:tcW w:w="1341" w:type="dxa"/>
            <w:tcBorders>
              <w:bottom w:val="nil"/>
            </w:tcBorders>
            <w:shd w:val="clear" w:color="auto" w:fill="FFFFFF"/>
          </w:tcPr>
          <w:p w14:paraId="21A36AA9" w14:textId="77777777" w:rsidR="00DD4D49" w:rsidRDefault="00DD4D49" w:rsidP="00F42E34">
            <w:pPr>
              <w:pStyle w:val="CETBodytext"/>
              <w:ind w:right="-1"/>
              <w:rPr>
                <w:rFonts w:cs="Arial"/>
                <w:szCs w:val="18"/>
                <w:lang w:val="en-GB"/>
              </w:rPr>
            </w:pPr>
            <w:r>
              <w:rPr>
                <w:rFonts w:cs="Arial"/>
                <w:szCs w:val="18"/>
                <w:lang w:val="en-GB"/>
              </w:rPr>
              <w:t>9</w:t>
            </w:r>
          </w:p>
        </w:tc>
        <w:tc>
          <w:tcPr>
            <w:tcW w:w="1069" w:type="dxa"/>
            <w:tcBorders>
              <w:bottom w:val="nil"/>
            </w:tcBorders>
            <w:shd w:val="clear" w:color="auto" w:fill="FFFFFF"/>
            <w:vAlign w:val="bottom"/>
          </w:tcPr>
          <w:p w14:paraId="153F9862" w14:textId="77777777" w:rsidR="00DD4D49" w:rsidRPr="00B57B36" w:rsidRDefault="00DD4D49" w:rsidP="00F42E34">
            <w:pPr>
              <w:pStyle w:val="CETBodytext"/>
              <w:ind w:right="-1"/>
              <w:rPr>
                <w:rFonts w:cs="Arial"/>
                <w:szCs w:val="18"/>
                <w:lang w:val="en-GB"/>
              </w:rPr>
            </w:pPr>
            <w:r w:rsidRPr="00B536B9">
              <w:rPr>
                <w:color w:val="000000"/>
                <w:lang w:eastAsia="it-IT"/>
              </w:rPr>
              <w:t>1 in 500</w:t>
            </w:r>
          </w:p>
        </w:tc>
      </w:tr>
      <w:tr w:rsidR="00DD4D49" w:rsidRPr="00B57B36" w14:paraId="58B2EB23" w14:textId="77777777" w:rsidTr="00394118">
        <w:tc>
          <w:tcPr>
            <w:tcW w:w="1341" w:type="dxa"/>
            <w:tcBorders>
              <w:top w:val="nil"/>
              <w:bottom w:val="single" w:sz="12" w:space="0" w:color="008000"/>
            </w:tcBorders>
            <w:shd w:val="clear" w:color="auto" w:fill="FFFFFF"/>
          </w:tcPr>
          <w:p w14:paraId="11144656" w14:textId="77777777" w:rsidR="00DD4D49" w:rsidRDefault="00DD4D49" w:rsidP="00F42E34">
            <w:pPr>
              <w:pStyle w:val="CETBodytext"/>
              <w:ind w:right="-1"/>
              <w:rPr>
                <w:rFonts w:cs="Arial"/>
                <w:szCs w:val="18"/>
                <w:lang w:val="en-GB"/>
              </w:rPr>
            </w:pPr>
            <w:r>
              <w:rPr>
                <w:rFonts w:cs="Arial"/>
                <w:szCs w:val="18"/>
                <w:lang w:val="en-GB"/>
              </w:rPr>
              <w:t>10</w:t>
            </w:r>
          </w:p>
        </w:tc>
        <w:tc>
          <w:tcPr>
            <w:tcW w:w="1069" w:type="dxa"/>
            <w:tcBorders>
              <w:top w:val="nil"/>
              <w:bottom w:val="single" w:sz="12" w:space="0" w:color="008000"/>
            </w:tcBorders>
            <w:shd w:val="clear" w:color="auto" w:fill="FFFFFF"/>
            <w:vAlign w:val="bottom"/>
          </w:tcPr>
          <w:p w14:paraId="51DAF9ED" w14:textId="77777777" w:rsidR="00DD4D49" w:rsidRPr="00B57B36" w:rsidRDefault="00DD4D49" w:rsidP="00F42E34">
            <w:pPr>
              <w:pStyle w:val="CETBodytext"/>
              <w:ind w:right="-1"/>
              <w:rPr>
                <w:rFonts w:cs="Arial"/>
                <w:szCs w:val="18"/>
                <w:lang w:val="en-GB"/>
              </w:rPr>
            </w:pPr>
            <w:r w:rsidRPr="00B536B9">
              <w:rPr>
                <w:color w:val="000000"/>
                <w:lang w:eastAsia="it-IT"/>
              </w:rPr>
              <w:t>1 in 20</w:t>
            </w:r>
          </w:p>
        </w:tc>
      </w:tr>
    </w:tbl>
    <w:tbl>
      <w:tblPr>
        <w:tblpPr w:leftFromText="141" w:rightFromText="141" w:vertAnchor="text" w:horzAnchor="margin" w:tblpXSpec="right" w:tblpY="-2796"/>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21"/>
        <w:gridCol w:w="4708"/>
      </w:tblGrid>
      <w:tr w:rsidR="00C17EFC" w:rsidRPr="00B57B36" w14:paraId="4F2B630F" w14:textId="77777777" w:rsidTr="00C17EFC">
        <w:trPr>
          <w:trHeight w:val="458"/>
        </w:trPr>
        <w:tc>
          <w:tcPr>
            <w:tcW w:w="821" w:type="dxa"/>
            <w:tcBorders>
              <w:top w:val="single" w:sz="12" w:space="0" w:color="008000"/>
              <w:bottom w:val="single" w:sz="6" w:space="0" w:color="008000"/>
            </w:tcBorders>
            <w:shd w:val="clear" w:color="auto" w:fill="FFFFFF"/>
          </w:tcPr>
          <w:p w14:paraId="070B8215" w14:textId="77777777" w:rsidR="00C17EFC" w:rsidRPr="00B57B36" w:rsidRDefault="00C17EFC" w:rsidP="00C17EFC">
            <w:pPr>
              <w:pStyle w:val="CETBodytext"/>
              <w:rPr>
                <w:lang w:val="en-GB"/>
              </w:rPr>
            </w:pPr>
            <w:r>
              <w:rPr>
                <w:lang w:val="en-GB"/>
              </w:rPr>
              <w:t>Severity (S)</w:t>
            </w:r>
          </w:p>
        </w:tc>
        <w:tc>
          <w:tcPr>
            <w:tcW w:w="4708" w:type="dxa"/>
            <w:tcBorders>
              <w:top w:val="single" w:sz="12" w:space="0" w:color="008000"/>
              <w:bottom w:val="single" w:sz="6" w:space="0" w:color="008000"/>
            </w:tcBorders>
            <w:shd w:val="clear" w:color="auto" w:fill="FFFFFF"/>
          </w:tcPr>
          <w:p w14:paraId="5F8A13ED" w14:textId="77777777" w:rsidR="00C17EFC" w:rsidRPr="00B57B36" w:rsidRDefault="00C17EFC" w:rsidP="00C17EFC">
            <w:pPr>
              <w:pStyle w:val="CETBodytext"/>
              <w:rPr>
                <w:lang w:val="en-GB"/>
              </w:rPr>
            </w:pPr>
            <w:r>
              <w:rPr>
                <w:lang w:val="en-GB"/>
              </w:rPr>
              <w:t>Severity of effect</w:t>
            </w:r>
          </w:p>
        </w:tc>
      </w:tr>
      <w:tr w:rsidR="00C17EFC" w:rsidRPr="00B57B36" w14:paraId="6F8705CC" w14:textId="77777777" w:rsidTr="00C17EFC">
        <w:trPr>
          <w:trHeight w:val="242"/>
        </w:trPr>
        <w:tc>
          <w:tcPr>
            <w:tcW w:w="821" w:type="dxa"/>
            <w:shd w:val="clear" w:color="auto" w:fill="FFFFFF"/>
          </w:tcPr>
          <w:p w14:paraId="4E8408DF" w14:textId="77777777" w:rsidR="00C17EFC" w:rsidRPr="00B57B36" w:rsidRDefault="00C17EFC" w:rsidP="00C17EFC">
            <w:pPr>
              <w:pStyle w:val="CETBodytext"/>
              <w:rPr>
                <w:lang w:val="en-GB"/>
              </w:rPr>
            </w:pPr>
            <w:r>
              <w:rPr>
                <w:lang w:val="en-GB"/>
              </w:rPr>
              <w:t>1</w:t>
            </w:r>
          </w:p>
        </w:tc>
        <w:tc>
          <w:tcPr>
            <w:tcW w:w="4708" w:type="dxa"/>
            <w:shd w:val="clear" w:color="auto" w:fill="FFFFFF"/>
            <w:vAlign w:val="bottom"/>
          </w:tcPr>
          <w:p w14:paraId="3A55255C" w14:textId="77777777" w:rsidR="00C17EFC" w:rsidRPr="00B57B36" w:rsidRDefault="00C17EFC" w:rsidP="00C17EFC">
            <w:pPr>
              <w:pStyle w:val="CETBodytext"/>
              <w:rPr>
                <w:lang w:val="en-GB"/>
              </w:rPr>
            </w:pPr>
            <w:r w:rsidRPr="00B536B9">
              <w:rPr>
                <w:color w:val="000000"/>
                <w:lang w:eastAsia="it-IT"/>
              </w:rPr>
              <w:t>No effect</w:t>
            </w:r>
          </w:p>
        </w:tc>
      </w:tr>
      <w:tr w:rsidR="00C17EFC" w:rsidRPr="00B57B36" w14:paraId="665861A5" w14:textId="77777777" w:rsidTr="00C17EFC">
        <w:trPr>
          <w:trHeight w:val="229"/>
        </w:trPr>
        <w:tc>
          <w:tcPr>
            <w:tcW w:w="821" w:type="dxa"/>
            <w:shd w:val="clear" w:color="auto" w:fill="FFFFFF"/>
          </w:tcPr>
          <w:p w14:paraId="29F658F9" w14:textId="77777777" w:rsidR="00C17EFC" w:rsidRPr="00B57B36" w:rsidRDefault="00C17EFC" w:rsidP="00C17EFC">
            <w:pPr>
              <w:pStyle w:val="CETBodytext"/>
              <w:ind w:right="-1"/>
              <w:rPr>
                <w:rFonts w:cs="Arial"/>
                <w:szCs w:val="18"/>
                <w:lang w:val="en-GB"/>
              </w:rPr>
            </w:pPr>
            <w:r>
              <w:rPr>
                <w:rFonts w:cs="Arial"/>
                <w:szCs w:val="18"/>
                <w:lang w:val="en-GB"/>
              </w:rPr>
              <w:t>2</w:t>
            </w:r>
          </w:p>
        </w:tc>
        <w:tc>
          <w:tcPr>
            <w:tcW w:w="4708" w:type="dxa"/>
            <w:shd w:val="clear" w:color="auto" w:fill="FFFFFF"/>
            <w:vAlign w:val="bottom"/>
          </w:tcPr>
          <w:p w14:paraId="6AC017A7" w14:textId="77777777" w:rsidR="00C17EFC" w:rsidRPr="00B57B36" w:rsidRDefault="00C17EFC" w:rsidP="00C17EFC">
            <w:pPr>
              <w:pStyle w:val="CETBodytext"/>
              <w:ind w:right="-1"/>
              <w:rPr>
                <w:rFonts w:cs="Arial"/>
                <w:szCs w:val="18"/>
                <w:lang w:val="en-GB"/>
              </w:rPr>
            </w:pPr>
            <w:r w:rsidRPr="00B536B9">
              <w:rPr>
                <w:color w:val="000000"/>
                <w:lang w:val="en-GB" w:eastAsia="it-IT"/>
              </w:rPr>
              <w:t>Very minor effect on production</w:t>
            </w:r>
          </w:p>
        </w:tc>
      </w:tr>
      <w:tr w:rsidR="00C17EFC" w:rsidRPr="00B57B36" w14:paraId="77456C58" w14:textId="77777777" w:rsidTr="00C17EFC">
        <w:trPr>
          <w:trHeight w:val="229"/>
        </w:trPr>
        <w:tc>
          <w:tcPr>
            <w:tcW w:w="821" w:type="dxa"/>
            <w:shd w:val="clear" w:color="auto" w:fill="FFFFFF"/>
          </w:tcPr>
          <w:p w14:paraId="67A6DA12" w14:textId="77777777" w:rsidR="00C17EFC" w:rsidRDefault="00C17EFC" w:rsidP="00C17EFC">
            <w:pPr>
              <w:pStyle w:val="CETBodytext"/>
              <w:ind w:right="-1"/>
              <w:rPr>
                <w:rFonts w:cs="Arial"/>
                <w:szCs w:val="18"/>
                <w:lang w:val="en-GB"/>
              </w:rPr>
            </w:pPr>
            <w:r>
              <w:rPr>
                <w:rFonts w:cs="Arial"/>
                <w:szCs w:val="18"/>
                <w:lang w:val="en-GB"/>
              </w:rPr>
              <w:t>3</w:t>
            </w:r>
          </w:p>
        </w:tc>
        <w:tc>
          <w:tcPr>
            <w:tcW w:w="4708" w:type="dxa"/>
            <w:shd w:val="clear" w:color="auto" w:fill="FFFFFF"/>
            <w:vAlign w:val="bottom"/>
          </w:tcPr>
          <w:p w14:paraId="0708CA4C" w14:textId="77777777" w:rsidR="00C17EFC" w:rsidRPr="00B57B36" w:rsidRDefault="00C17EFC" w:rsidP="00C17EFC">
            <w:pPr>
              <w:pStyle w:val="CETBodytext"/>
              <w:ind w:right="-1"/>
              <w:rPr>
                <w:rFonts w:cs="Arial"/>
                <w:szCs w:val="18"/>
                <w:lang w:val="en-GB"/>
              </w:rPr>
            </w:pPr>
            <w:r w:rsidRPr="00B536B9">
              <w:rPr>
                <w:color w:val="000000"/>
                <w:lang w:eastAsia="it-IT"/>
              </w:rPr>
              <w:t>Minor effect on production</w:t>
            </w:r>
          </w:p>
        </w:tc>
      </w:tr>
      <w:tr w:rsidR="00C17EFC" w:rsidRPr="00B57B36" w14:paraId="15968690" w14:textId="77777777" w:rsidTr="00C17EFC">
        <w:trPr>
          <w:trHeight w:val="229"/>
        </w:trPr>
        <w:tc>
          <w:tcPr>
            <w:tcW w:w="821" w:type="dxa"/>
            <w:shd w:val="clear" w:color="auto" w:fill="FFFFFF"/>
          </w:tcPr>
          <w:p w14:paraId="3D5A68A6" w14:textId="77777777" w:rsidR="00C17EFC" w:rsidRDefault="00C17EFC" w:rsidP="00C17EFC">
            <w:pPr>
              <w:pStyle w:val="CETBodytext"/>
              <w:ind w:right="-1"/>
              <w:rPr>
                <w:rFonts w:cs="Arial"/>
                <w:szCs w:val="18"/>
                <w:lang w:val="en-GB"/>
              </w:rPr>
            </w:pPr>
            <w:r>
              <w:rPr>
                <w:rFonts w:cs="Arial"/>
                <w:szCs w:val="18"/>
                <w:lang w:val="en-GB"/>
              </w:rPr>
              <w:t>4</w:t>
            </w:r>
          </w:p>
        </w:tc>
        <w:tc>
          <w:tcPr>
            <w:tcW w:w="4708" w:type="dxa"/>
            <w:shd w:val="clear" w:color="auto" w:fill="FFFFFF"/>
            <w:vAlign w:val="bottom"/>
          </w:tcPr>
          <w:p w14:paraId="506D8BBC" w14:textId="77777777" w:rsidR="00C17EFC" w:rsidRPr="00B57B36" w:rsidRDefault="00C17EFC" w:rsidP="00C17EFC">
            <w:pPr>
              <w:pStyle w:val="CETBodytext"/>
              <w:ind w:right="-1"/>
              <w:rPr>
                <w:rFonts w:cs="Arial"/>
                <w:szCs w:val="18"/>
                <w:lang w:val="en-GB"/>
              </w:rPr>
            </w:pPr>
            <w:r w:rsidRPr="00B536B9">
              <w:rPr>
                <w:color w:val="000000"/>
                <w:lang w:val="en-GB" w:eastAsia="it-IT"/>
              </w:rPr>
              <w:t>Small effect on production, repair not required</w:t>
            </w:r>
          </w:p>
        </w:tc>
      </w:tr>
      <w:tr w:rsidR="00C17EFC" w:rsidRPr="00B57B36" w14:paraId="78A42122" w14:textId="77777777" w:rsidTr="00C17EFC">
        <w:trPr>
          <w:trHeight w:val="229"/>
        </w:trPr>
        <w:tc>
          <w:tcPr>
            <w:tcW w:w="821" w:type="dxa"/>
            <w:shd w:val="clear" w:color="auto" w:fill="FFFFFF"/>
          </w:tcPr>
          <w:p w14:paraId="4AB4FEEE" w14:textId="77777777" w:rsidR="00C17EFC" w:rsidRDefault="00C17EFC" w:rsidP="00C17EFC">
            <w:pPr>
              <w:pStyle w:val="CETBodytext"/>
              <w:ind w:right="-1"/>
              <w:rPr>
                <w:rFonts w:cs="Arial"/>
                <w:szCs w:val="18"/>
                <w:lang w:val="en-GB"/>
              </w:rPr>
            </w:pPr>
            <w:r>
              <w:rPr>
                <w:rFonts w:cs="Arial"/>
                <w:szCs w:val="18"/>
                <w:lang w:val="en-GB"/>
              </w:rPr>
              <w:t>5</w:t>
            </w:r>
          </w:p>
        </w:tc>
        <w:tc>
          <w:tcPr>
            <w:tcW w:w="4708" w:type="dxa"/>
            <w:shd w:val="clear" w:color="auto" w:fill="FFFFFF"/>
            <w:vAlign w:val="bottom"/>
          </w:tcPr>
          <w:p w14:paraId="1CA4C848" w14:textId="77777777" w:rsidR="00C17EFC" w:rsidRPr="00B57B36" w:rsidRDefault="00C17EFC" w:rsidP="00C17EFC">
            <w:pPr>
              <w:pStyle w:val="CETBodytext"/>
              <w:ind w:right="-1"/>
              <w:rPr>
                <w:rFonts w:cs="Arial"/>
                <w:szCs w:val="18"/>
                <w:lang w:val="en-GB"/>
              </w:rPr>
            </w:pPr>
            <w:r w:rsidRPr="00B536B9">
              <w:rPr>
                <w:color w:val="000000"/>
                <w:lang w:val="en-GB" w:eastAsia="it-IT"/>
              </w:rPr>
              <w:t>Moderate effect on production, repair required</w:t>
            </w:r>
          </w:p>
        </w:tc>
      </w:tr>
      <w:tr w:rsidR="00C17EFC" w:rsidRPr="00B57B36" w14:paraId="456BBB99" w14:textId="77777777" w:rsidTr="00C17EFC">
        <w:trPr>
          <w:trHeight w:val="229"/>
        </w:trPr>
        <w:tc>
          <w:tcPr>
            <w:tcW w:w="821" w:type="dxa"/>
            <w:shd w:val="clear" w:color="auto" w:fill="FFFFFF"/>
          </w:tcPr>
          <w:p w14:paraId="4B981148" w14:textId="77777777" w:rsidR="00C17EFC" w:rsidRDefault="00C17EFC" w:rsidP="00C17EFC">
            <w:pPr>
              <w:pStyle w:val="CETBodytext"/>
              <w:ind w:right="-1"/>
              <w:rPr>
                <w:rFonts w:cs="Arial"/>
                <w:szCs w:val="18"/>
                <w:lang w:val="en-GB"/>
              </w:rPr>
            </w:pPr>
            <w:r>
              <w:rPr>
                <w:rFonts w:cs="Arial"/>
                <w:szCs w:val="18"/>
                <w:lang w:val="en-GB"/>
              </w:rPr>
              <w:t>6</w:t>
            </w:r>
          </w:p>
        </w:tc>
        <w:tc>
          <w:tcPr>
            <w:tcW w:w="4708" w:type="dxa"/>
            <w:shd w:val="clear" w:color="auto" w:fill="FFFFFF"/>
            <w:vAlign w:val="bottom"/>
          </w:tcPr>
          <w:p w14:paraId="23DBE1A2" w14:textId="77777777" w:rsidR="00C17EFC" w:rsidRPr="00B57B36" w:rsidRDefault="00C17EFC" w:rsidP="00C17EFC">
            <w:pPr>
              <w:pStyle w:val="CETBodytext"/>
              <w:ind w:right="-1"/>
              <w:rPr>
                <w:rFonts w:cs="Arial"/>
                <w:szCs w:val="18"/>
                <w:lang w:val="en-GB"/>
              </w:rPr>
            </w:pPr>
            <w:r w:rsidRPr="00B536B9">
              <w:rPr>
                <w:color w:val="000000"/>
                <w:lang w:eastAsia="it-IT"/>
              </w:rPr>
              <w:t>Component performance is degraded</w:t>
            </w:r>
          </w:p>
        </w:tc>
      </w:tr>
      <w:tr w:rsidR="00C17EFC" w:rsidRPr="00B57B36" w14:paraId="1EBB4BCD" w14:textId="77777777" w:rsidTr="00C17EFC">
        <w:trPr>
          <w:trHeight w:val="240"/>
        </w:trPr>
        <w:tc>
          <w:tcPr>
            <w:tcW w:w="821" w:type="dxa"/>
            <w:shd w:val="clear" w:color="auto" w:fill="FFFFFF"/>
          </w:tcPr>
          <w:p w14:paraId="5108BBD1" w14:textId="77777777" w:rsidR="00C17EFC" w:rsidRDefault="00C17EFC" w:rsidP="00C17EFC">
            <w:pPr>
              <w:pStyle w:val="CETBodytext"/>
              <w:ind w:right="-1"/>
              <w:rPr>
                <w:rFonts w:cs="Arial"/>
                <w:szCs w:val="18"/>
                <w:lang w:val="en-GB"/>
              </w:rPr>
            </w:pPr>
            <w:r>
              <w:rPr>
                <w:rFonts w:cs="Arial"/>
                <w:szCs w:val="18"/>
                <w:lang w:val="en-GB"/>
              </w:rPr>
              <w:t>7</w:t>
            </w:r>
          </w:p>
        </w:tc>
        <w:tc>
          <w:tcPr>
            <w:tcW w:w="4708" w:type="dxa"/>
            <w:shd w:val="clear" w:color="auto" w:fill="FFFFFF"/>
            <w:vAlign w:val="bottom"/>
          </w:tcPr>
          <w:p w14:paraId="571A1598" w14:textId="77777777" w:rsidR="00C17EFC" w:rsidRPr="00B57B36" w:rsidRDefault="00C17EFC" w:rsidP="00C17EFC">
            <w:pPr>
              <w:pStyle w:val="CETBodytext"/>
              <w:ind w:right="-1"/>
              <w:rPr>
                <w:rFonts w:cs="Arial"/>
                <w:szCs w:val="18"/>
                <w:lang w:val="en-GB"/>
              </w:rPr>
            </w:pPr>
            <w:r w:rsidRPr="00B536B9">
              <w:rPr>
                <w:color w:val="000000"/>
                <w:lang w:val="en-GB" w:eastAsia="it-IT"/>
              </w:rPr>
              <w:t>Component is severely affected, NGRMS may not operate</w:t>
            </w:r>
          </w:p>
        </w:tc>
      </w:tr>
      <w:tr w:rsidR="00C17EFC" w:rsidRPr="00B57B36" w14:paraId="0E8EF842" w14:textId="77777777" w:rsidTr="00C17EFC">
        <w:trPr>
          <w:trHeight w:val="130"/>
        </w:trPr>
        <w:tc>
          <w:tcPr>
            <w:tcW w:w="821" w:type="dxa"/>
            <w:shd w:val="clear" w:color="auto" w:fill="FFFFFF"/>
          </w:tcPr>
          <w:p w14:paraId="1257BA50" w14:textId="77777777" w:rsidR="00C17EFC" w:rsidRDefault="00C17EFC" w:rsidP="00C17EFC">
            <w:pPr>
              <w:pStyle w:val="CETBodytext"/>
              <w:ind w:right="-1"/>
              <w:rPr>
                <w:rFonts w:cs="Arial"/>
                <w:szCs w:val="18"/>
                <w:lang w:val="en-GB"/>
              </w:rPr>
            </w:pPr>
            <w:r>
              <w:rPr>
                <w:rFonts w:cs="Arial"/>
                <w:szCs w:val="18"/>
                <w:lang w:val="en-GB"/>
              </w:rPr>
              <w:t>8</w:t>
            </w:r>
          </w:p>
        </w:tc>
        <w:tc>
          <w:tcPr>
            <w:tcW w:w="4708" w:type="dxa"/>
            <w:shd w:val="clear" w:color="auto" w:fill="FFFFFF"/>
            <w:vAlign w:val="bottom"/>
          </w:tcPr>
          <w:p w14:paraId="4A934370" w14:textId="77777777" w:rsidR="00C17EFC" w:rsidRPr="00B57B36" w:rsidRDefault="00C17EFC" w:rsidP="00C17EFC">
            <w:pPr>
              <w:pStyle w:val="CETBodytext"/>
              <w:ind w:right="-1"/>
              <w:rPr>
                <w:rFonts w:cs="Arial"/>
                <w:szCs w:val="18"/>
                <w:lang w:val="en-GB"/>
              </w:rPr>
            </w:pPr>
            <w:r w:rsidRPr="00B536B9">
              <w:rPr>
                <w:color w:val="000000"/>
                <w:lang w:val="en-GB" w:eastAsia="it-IT"/>
              </w:rPr>
              <w:t>Component is inoperable with loss of primary function</w:t>
            </w:r>
          </w:p>
        </w:tc>
      </w:tr>
      <w:tr w:rsidR="00C17EFC" w:rsidRPr="00B57B36" w14:paraId="181D3FCB" w14:textId="77777777" w:rsidTr="00C17EFC">
        <w:trPr>
          <w:trHeight w:val="229"/>
        </w:trPr>
        <w:tc>
          <w:tcPr>
            <w:tcW w:w="821" w:type="dxa"/>
            <w:shd w:val="clear" w:color="auto" w:fill="FFFFFF"/>
          </w:tcPr>
          <w:p w14:paraId="1DD6A3EA" w14:textId="77777777" w:rsidR="00C17EFC" w:rsidRDefault="00C17EFC" w:rsidP="00C17EFC">
            <w:pPr>
              <w:pStyle w:val="CETBodytext"/>
              <w:ind w:right="-1"/>
              <w:rPr>
                <w:rFonts w:cs="Arial"/>
                <w:szCs w:val="18"/>
                <w:lang w:val="en-GB"/>
              </w:rPr>
            </w:pPr>
            <w:r>
              <w:rPr>
                <w:rFonts w:cs="Arial"/>
                <w:szCs w:val="18"/>
                <w:lang w:val="en-GB"/>
              </w:rPr>
              <w:t>9</w:t>
            </w:r>
          </w:p>
        </w:tc>
        <w:tc>
          <w:tcPr>
            <w:tcW w:w="4708" w:type="dxa"/>
            <w:shd w:val="clear" w:color="auto" w:fill="FFFFFF"/>
            <w:vAlign w:val="bottom"/>
          </w:tcPr>
          <w:p w14:paraId="4E5B1ABA" w14:textId="77777777" w:rsidR="00C17EFC" w:rsidRPr="00B57B36" w:rsidRDefault="00C17EFC" w:rsidP="00C17EFC">
            <w:pPr>
              <w:pStyle w:val="CETBodytext"/>
              <w:ind w:right="-1"/>
              <w:rPr>
                <w:rFonts w:cs="Arial"/>
                <w:szCs w:val="18"/>
                <w:lang w:val="en-GB"/>
              </w:rPr>
            </w:pPr>
            <w:r w:rsidRPr="00B536B9">
              <w:rPr>
                <w:color w:val="000000"/>
                <w:lang w:eastAsia="it-IT"/>
              </w:rPr>
              <w:t>Failure involves hazardous outcomes</w:t>
            </w:r>
          </w:p>
        </w:tc>
      </w:tr>
      <w:tr w:rsidR="00C17EFC" w:rsidRPr="00B57B36" w14:paraId="4D4953CE" w14:textId="77777777" w:rsidTr="00C17EFC">
        <w:trPr>
          <w:trHeight w:val="472"/>
        </w:trPr>
        <w:tc>
          <w:tcPr>
            <w:tcW w:w="821" w:type="dxa"/>
            <w:shd w:val="clear" w:color="auto" w:fill="FFFFFF"/>
          </w:tcPr>
          <w:p w14:paraId="352509A4" w14:textId="77777777" w:rsidR="00C17EFC" w:rsidRDefault="00C17EFC" w:rsidP="00C17EFC">
            <w:pPr>
              <w:pStyle w:val="CETBodytext"/>
              <w:ind w:right="-1"/>
              <w:rPr>
                <w:rFonts w:cs="Arial"/>
                <w:szCs w:val="18"/>
                <w:lang w:val="en-GB"/>
              </w:rPr>
            </w:pPr>
            <w:r>
              <w:rPr>
                <w:rFonts w:cs="Arial"/>
                <w:szCs w:val="18"/>
                <w:lang w:val="en-GB"/>
              </w:rPr>
              <w:t>10</w:t>
            </w:r>
          </w:p>
        </w:tc>
        <w:tc>
          <w:tcPr>
            <w:tcW w:w="4708" w:type="dxa"/>
            <w:shd w:val="clear" w:color="auto" w:fill="FFFFFF"/>
            <w:vAlign w:val="bottom"/>
          </w:tcPr>
          <w:p w14:paraId="68EFA993" w14:textId="77777777" w:rsidR="00C17EFC" w:rsidRPr="00B57B36" w:rsidRDefault="00C17EFC" w:rsidP="00C17EFC">
            <w:pPr>
              <w:pStyle w:val="CETBodytext"/>
              <w:ind w:right="-1"/>
              <w:rPr>
                <w:rFonts w:cs="Arial"/>
                <w:szCs w:val="18"/>
                <w:lang w:val="en-GB"/>
              </w:rPr>
            </w:pPr>
            <w:r w:rsidRPr="00B536B9">
              <w:rPr>
                <w:color w:val="000000"/>
                <w:lang w:val="en-GB" w:eastAsia="it-IT"/>
              </w:rPr>
              <w:t>Failure is hazardous and occurs without warning, NGRMS operation is suspended</w:t>
            </w:r>
          </w:p>
        </w:tc>
      </w:tr>
    </w:tbl>
    <w:p w14:paraId="61589F31" w14:textId="77777777" w:rsidR="008A2694" w:rsidRDefault="008A2694" w:rsidP="00297D0D">
      <w:pPr>
        <w:pStyle w:val="CETBodytext"/>
        <w:spacing w:line="240" w:lineRule="auto"/>
        <w:rPr>
          <w:lang w:val="en-GB"/>
        </w:rPr>
      </w:pPr>
    </w:p>
    <w:p w14:paraId="09D0B0D0" w14:textId="77777777" w:rsidR="00677688" w:rsidRDefault="00677688" w:rsidP="00297D0D">
      <w:pPr>
        <w:pStyle w:val="CETBodytext"/>
        <w:spacing w:line="240" w:lineRule="auto"/>
      </w:pPr>
    </w:p>
    <w:p w14:paraId="40A21CFF" w14:textId="165CB612" w:rsidR="003D3BD4" w:rsidRPr="006F3A90" w:rsidRDefault="003D3BD4" w:rsidP="00297D0D">
      <w:pPr>
        <w:pStyle w:val="CETBodytext"/>
        <w:spacing w:line="240" w:lineRule="auto"/>
        <w:rPr>
          <w:lang w:val="en-GB"/>
        </w:rPr>
      </w:pPr>
      <w:r>
        <w:t>At last, exploiting expert judgments and useful data, the cost of replacing a</w:t>
      </w:r>
      <w:r w:rsidR="004C621F">
        <w:t xml:space="preserve"> piece of</w:t>
      </w:r>
      <w:r>
        <w:t xml:space="preserve"> certain equipment is evaluated and then the </w:t>
      </w:r>
      <w:r w:rsidR="00724F53">
        <w:t>CRPN</w:t>
      </w:r>
      <w:r>
        <w:t xml:space="preserve"> is calculated for each component as showed in Eq</w:t>
      </w:r>
      <w:r w:rsidR="008E1184">
        <w:t>.</w:t>
      </w:r>
      <w:r>
        <w:t xml:space="preserve"> (</w:t>
      </w:r>
      <w:r w:rsidR="008E1184">
        <w:t>3</w:t>
      </w:r>
      <w:r>
        <w:t>):</w:t>
      </w:r>
    </w:p>
    <w:tbl>
      <w:tblPr>
        <w:tblW w:w="5000" w:type="pct"/>
        <w:tblLook w:val="04A0" w:firstRow="1" w:lastRow="0" w:firstColumn="1" w:lastColumn="0" w:noHBand="0" w:noVBand="1"/>
      </w:tblPr>
      <w:tblGrid>
        <w:gridCol w:w="8179"/>
        <w:gridCol w:w="824"/>
      </w:tblGrid>
      <w:tr w:rsidR="003D3BD4" w:rsidRPr="001B7656" w14:paraId="723B344D" w14:textId="77777777" w:rsidTr="00AA082C">
        <w:tc>
          <w:tcPr>
            <w:tcW w:w="7983" w:type="dxa"/>
            <w:shd w:val="clear" w:color="auto" w:fill="auto"/>
            <w:vAlign w:val="center"/>
          </w:tcPr>
          <w:p w14:paraId="4251D5D1" w14:textId="7DC17C98" w:rsidR="003D3BD4" w:rsidRPr="006A0F71" w:rsidRDefault="003D3BD4" w:rsidP="00AA082C">
            <w:pPr>
              <w:pStyle w:val="CETEquation"/>
              <w:keepNext/>
            </w:pPr>
            <m:oMathPara>
              <m:oMathParaPr>
                <m:jc m:val="left"/>
              </m:oMathParaPr>
              <m:oMath>
                <m:r>
                  <w:rPr>
                    <w:rFonts w:ascii="Cambria Math" w:hAnsi="Cambria Math" w:cs="Arial"/>
                  </w:rPr>
                  <m:t>CRPN=C*O*S</m:t>
                </m:r>
              </m:oMath>
            </m:oMathPara>
          </w:p>
        </w:tc>
        <w:tc>
          <w:tcPr>
            <w:tcW w:w="804" w:type="dxa"/>
            <w:shd w:val="clear" w:color="auto" w:fill="auto"/>
            <w:vAlign w:val="center"/>
          </w:tcPr>
          <w:p w14:paraId="58849B00" w14:textId="571F4D09" w:rsidR="003D3BD4" w:rsidRPr="001B7656" w:rsidRDefault="003D3BD4" w:rsidP="00AA082C">
            <w:pPr>
              <w:pStyle w:val="CETEquation"/>
              <w:jc w:val="right"/>
            </w:pPr>
            <w:bookmarkStart w:id="1" w:name="_Ref533164056"/>
            <w:r w:rsidRPr="001B7656">
              <w:t>(</w:t>
            </w:r>
            <w:r w:rsidR="003E12C5">
              <w:t>3</w:t>
            </w:r>
            <w:r w:rsidRPr="001B7656">
              <w:t>)</w:t>
            </w:r>
            <w:bookmarkEnd w:id="1"/>
          </w:p>
        </w:tc>
      </w:tr>
    </w:tbl>
    <w:p w14:paraId="7191A322" w14:textId="6348D451" w:rsidR="00871E43" w:rsidRPr="00F773B1" w:rsidRDefault="003D3BD4" w:rsidP="00591306">
      <w:r>
        <w:t xml:space="preserve">Where </w:t>
      </w:r>
      <w:r w:rsidRPr="003D3BD4">
        <w:rPr>
          <w:i/>
          <w:iCs/>
        </w:rPr>
        <w:t>C</w:t>
      </w:r>
      <w:r>
        <w:t xml:space="preserve"> represents the cost </w:t>
      </w:r>
      <w:r w:rsidR="00A83706">
        <w:t xml:space="preserve">of the component replacement, while </w:t>
      </w:r>
      <w:r w:rsidR="00A83706" w:rsidRPr="00A83706">
        <w:rPr>
          <w:i/>
          <w:iCs/>
        </w:rPr>
        <w:t>O</w:t>
      </w:r>
      <w:r w:rsidR="00A83706">
        <w:t xml:space="preserve"> and </w:t>
      </w:r>
      <w:r w:rsidR="00A83706" w:rsidRPr="00A83706">
        <w:rPr>
          <w:i/>
          <w:iCs/>
        </w:rPr>
        <w:t>S</w:t>
      </w:r>
      <w:r w:rsidR="00A83706">
        <w:t xml:space="preserve"> are respectively integer</w:t>
      </w:r>
      <w:r w:rsidR="004C621F">
        <w:t>s</w:t>
      </w:r>
      <w:r w:rsidR="00A83706">
        <w:t xml:space="preserve"> of occurrence and severity obtained by Table 1 and Table 2.</w:t>
      </w:r>
    </w:p>
    <w:p w14:paraId="294CE90A" w14:textId="63E2F565" w:rsidR="001B5F85" w:rsidRDefault="001B5F85" w:rsidP="00C17EFC">
      <w:pPr>
        <w:pStyle w:val="CETHeading1"/>
      </w:pPr>
      <w:r>
        <w:t>Results and discussion</w:t>
      </w:r>
    </w:p>
    <w:p w14:paraId="7C8ACB2E" w14:textId="32E3CB7B" w:rsidR="00EC4609" w:rsidRDefault="00EC4609" w:rsidP="003140FB">
      <w:pPr>
        <w:pStyle w:val="CETBodytext"/>
        <w:rPr>
          <w:lang w:val="en-GB"/>
        </w:rPr>
      </w:pPr>
      <w:r>
        <w:rPr>
          <w:lang w:val="en-GB"/>
        </w:rPr>
        <w:t xml:space="preserve">To demonstrate the application of the </w:t>
      </w:r>
      <w:r w:rsidR="00A65B25">
        <w:rPr>
          <w:lang w:val="en-GB"/>
        </w:rPr>
        <w:t xml:space="preserve">approaches </w:t>
      </w:r>
      <w:r w:rsidR="00E120CF">
        <w:rPr>
          <w:lang w:val="en-GB"/>
        </w:rPr>
        <w:t xml:space="preserve">a </w:t>
      </w:r>
      <w:r>
        <w:rPr>
          <w:lang w:val="en-GB"/>
        </w:rPr>
        <w:t>NGRMS, operating near Florence,</w:t>
      </w:r>
      <w:r w:rsidR="0013461A">
        <w:rPr>
          <w:lang w:val="en-GB"/>
        </w:rPr>
        <w:t xml:space="preserve"> </w:t>
      </w:r>
      <w:r>
        <w:rPr>
          <w:lang w:val="en-GB"/>
        </w:rPr>
        <w:t xml:space="preserve">Italy, is adopted as </w:t>
      </w:r>
      <w:r w:rsidR="004C621F">
        <w:rPr>
          <w:lang w:val="en-GB"/>
        </w:rPr>
        <w:t xml:space="preserve">a </w:t>
      </w:r>
      <w:r>
        <w:rPr>
          <w:lang w:val="en-GB"/>
        </w:rPr>
        <w:t xml:space="preserve">case of study. NGRMS has two main tasks: </w:t>
      </w:r>
      <w:proofErr w:type="spellStart"/>
      <w:r>
        <w:rPr>
          <w:lang w:val="en-GB"/>
        </w:rPr>
        <w:t>i</w:t>
      </w:r>
      <w:proofErr w:type="spellEnd"/>
      <w:r>
        <w:rPr>
          <w:lang w:val="en-GB"/>
        </w:rPr>
        <w:t xml:space="preserve">) reducing the pressure of the gas to adapt it to the subsequent devices and ii) measuring the gas flow parameters. Inside </w:t>
      </w:r>
      <w:r w:rsidRPr="0013461A">
        <w:rPr>
          <w:lang w:val="en-GB"/>
        </w:rPr>
        <w:t>a</w:t>
      </w:r>
      <w:r w:rsidR="004C621F" w:rsidRPr="0013461A">
        <w:rPr>
          <w:lang w:val="en-GB"/>
        </w:rPr>
        <w:t>n</w:t>
      </w:r>
      <w:r w:rsidR="007C7AA2">
        <w:rPr>
          <w:lang w:val="en-GB"/>
        </w:rPr>
        <w:t xml:space="preserve"> </w:t>
      </w:r>
      <w:r>
        <w:rPr>
          <w:lang w:val="en-GB"/>
        </w:rPr>
        <w:t xml:space="preserve">NGRMS there are four major groups and twelve major components, listed in Table </w:t>
      </w:r>
      <w:r w:rsidR="00DD4D49">
        <w:rPr>
          <w:lang w:val="en-GB"/>
        </w:rPr>
        <w:t>3</w:t>
      </w:r>
      <w:r w:rsidR="0018630F">
        <w:rPr>
          <w:lang w:val="en-GB"/>
        </w:rPr>
        <w:t>.</w:t>
      </w:r>
      <w:r w:rsidR="00C919F3">
        <w:rPr>
          <w:lang w:val="en-GB"/>
        </w:rPr>
        <w:t xml:space="preserve"> </w:t>
      </w:r>
    </w:p>
    <w:p w14:paraId="2B700C5D" w14:textId="77777777" w:rsidR="00C919F3" w:rsidRDefault="00C919F3" w:rsidP="00C17EFC">
      <w:pPr>
        <w:pStyle w:val="CETheadingx"/>
      </w:pPr>
      <w:r w:rsidRPr="00995C1D">
        <w:lastRenderedPageBreak/>
        <w:t xml:space="preserve">Application of </w:t>
      </w:r>
      <w:r>
        <w:t>QRA</w:t>
      </w:r>
      <w:r w:rsidRPr="00995C1D">
        <w:t xml:space="preserve"> to NGRMS</w:t>
      </w:r>
      <w:r>
        <w:t xml:space="preserve"> via </w:t>
      </w:r>
      <w:proofErr w:type="spellStart"/>
      <w:r>
        <w:t>Safeti</w:t>
      </w:r>
      <w:proofErr w:type="spellEnd"/>
    </w:p>
    <w:p w14:paraId="7AAB3D46" w14:textId="54CB82A4" w:rsidR="00C919F3" w:rsidRPr="00297D0D" w:rsidRDefault="00C919F3" w:rsidP="003140FB">
      <w:pPr>
        <w:pStyle w:val="CETBodytext"/>
        <w:rPr>
          <w:lang w:val="en-GB"/>
        </w:rPr>
      </w:pPr>
      <w:proofErr w:type="spellStart"/>
      <w:r>
        <w:rPr>
          <w:lang w:val="en-GB"/>
        </w:rPr>
        <w:t>Safeti</w:t>
      </w:r>
      <w:proofErr w:type="spellEnd"/>
      <w:r>
        <w:rPr>
          <w:lang w:val="en-GB"/>
        </w:rPr>
        <w:t xml:space="preserve"> is a software that allows </w:t>
      </w:r>
      <w:r w:rsidR="0090152E">
        <w:rPr>
          <w:lang w:val="en-GB"/>
        </w:rPr>
        <w:t>to</w:t>
      </w:r>
      <w:r>
        <w:rPr>
          <w:lang w:val="en-GB"/>
        </w:rPr>
        <w:t xml:space="preserve"> perform QRA for the plant where hazardous substances are handled or processed. </w:t>
      </w:r>
      <w:r w:rsidRPr="00750923">
        <w:rPr>
          <w:lang w:val="en-GB"/>
        </w:rPr>
        <w:t>This software is characterized by a vast field of application such as simulating gas explosion (Huang et al., 2017) or studying supercritical fluid extraction (</w:t>
      </w:r>
      <w:proofErr w:type="spellStart"/>
      <w:r w:rsidRPr="00750923">
        <w:rPr>
          <w:lang w:val="en-GB"/>
        </w:rPr>
        <w:t>Iovinea</w:t>
      </w:r>
      <w:proofErr w:type="spellEnd"/>
      <w:r w:rsidRPr="00750923">
        <w:rPr>
          <w:lang w:val="en-GB"/>
        </w:rPr>
        <w:t xml:space="preserve"> et al., 2020)</w:t>
      </w:r>
      <w:r>
        <w:rPr>
          <w:lang w:val="en-GB"/>
        </w:rPr>
        <w:t xml:space="preserve">. The reference scenarios considered for the pressure regulator are illustrated in Table 4, with their relative frequencies that are based on expert judgments and several sources </w:t>
      </w:r>
      <w:r>
        <w:rPr>
          <w:lang w:val="en-GB"/>
        </w:rPr>
        <w:fldChar w:fldCharType="begin"/>
      </w:r>
      <w:r>
        <w:rPr>
          <w:lang w:val="en-GB"/>
        </w:rPr>
        <w:instrText xml:space="preserve"> ADDIN EN.CITE &lt;EndNote&gt;&lt;Cite&gt;&lt;Author&gt;Cox&lt;/Author&gt;&lt;Year&gt;1990&lt;/Year&gt;&lt;RecNum&gt;53&lt;/RecNum&gt;&lt;DisplayText&gt;(Cox et al., 1990; Spouge, 2005)&lt;/DisplayText&gt;&lt;record&gt;&lt;rec-number&gt;53&lt;/rec-number&gt;&lt;foreign-keys&gt;&lt;key app="EN" db-id="r5psfpswwr55zfeavpcppe555p09s0xsf5fp" timestamp="1584112880"&gt;53&lt;/key&gt;&lt;/foreign-keys&gt;&lt;ref-type name="Book"&gt;6&lt;/ref-type&gt;&lt;contributors&gt;&lt;authors&gt;&lt;author&gt;Cox, Andrew W&lt;/author&gt;&lt;author&gt;Lees, Frank P&lt;/author&gt;&lt;author&gt;Ang, ML&lt;/author&gt;&lt;/authors&gt;&lt;/contributors&gt;&lt;titles&gt;&lt;title&gt;Classification of hazardous locations&lt;/title&gt;&lt;/titles&gt;&lt;dates&gt;&lt;year&gt;1990&lt;/year&gt;&lt;/dates&gt;&lt;publisher&gt;IChemE&lt;/publisher&gt;&lt;isbn&gt;0852952589&lt;/isbn&gt;&lt;urls&gt;&lt;/urls&gt;&lt;/record&gt;&lt;/Cite&gt;&lt;Cite&gt;&lt;Author&gt;Spouge&lt;/Author&gt;&lt;Year&gt;2005&lt;/Year&gt;&lt;RecNum&gt;52&lt;/RecNum&gt;&lt;record&gt;&lt;rec-number&gt;52&lt;/rec-number&gt;&lt;foreign-keys&gt;&lt;key app="EN" db-id="r5psfpswwr55zfeavpcppe555p09s0xsf5fp" timestamp="1584112851"&gt;52&lt;/key&gt;&lt;/foreign-keys&gt;&lt;ref-type name="Journal Article"&gt;17&lt;/ref-type&gt;&lt;contributors&gt;&lt;authors&gt;&lt;author&gt;Spouge, John&lt;/author&gt;&lt;/authors&gt;&lt;/contributors&gt;&lt;titles&gt;&lt;title&gt;New generic leak frequencies for process equipment&lt;/title&gt;&lt;secondary-title&gt;Process Safety Progress&lt;/secondary-title&gt;&lt;/titles&gt;&lt;periodical&gt;&lt;full-title&gt;Process Safety Progress&lt;/full-title&gt;&lt;/periodical&gt;&lt;pages&gt;249-257&lt;/pages&gt;&lt;volume&gt;24&lt;/volume&gt;&lt;number&gt;4&lt;/number&gt;&lt;dates&gt;&lt;year&gt;2005&lt;/year&gt;&lt;/dates&gt;&lt;isbn&gt;1066-8527&lt;/isbn&gt;&lt;urls&gt;&lt;/urls&gt;&lt;/record&gt;&lt;/Cite&gt;&lt;/EndNote&gt;</w:instrText>
      </w:r>
      <w:r>
        <w:rPr>
          <w:lang w:val="en-GB"/>
        </w:rPr>
        <w:fldChar w:fldCharType="separate"/>
      </w:r>
      <w:r>
        <w:rPr>
          <w:noProof/>
          <w:lang w:val="en-GB"/>
        </w:rPr>
        <w:t>(Cox et al., 1990; Spouge, 2005)</w:t>
      </w:r>
      <w:r>
        <w:rPr>
          <w:lang w:val="en-GB"/>
        </w:rPr>
        <w:fldChar w:fldCharType="end"/>
      </w:r>
      <w:r>
        <w:rPr>
          <w:lang w:val="en-GB"/>
        </w:rPr>
        <w:t xml:space="preserve">. </w:t>
      </w:r>
    </w:p>
    <w:p w14:paraId="60B42E71" w14:textId="6801E953" w:rsidR="0018630F" w:rsidRPr="0018630F" w:rsidRDefault="0018630F" w:rsidP="00297D0D">
      <w:pPr>
        <w:pStyle w:val="Didascalia"/>
        <w:keepNext/>
        <w:spacing w:before="240" w:after="80"/>
        <w:rPr>
          <w:b w:val="0"/>
          <w:bCs w:val="0"/>
          <w:i/>
          <w:iCs/>
          <w:color w:val="auto"/>
        </w:rPr>
      </w:pPr>
      <w:r w:rsidRPr="0018630F">
        <w:rPr>
          <w:b w:val="0"/>
          <w:bCs w:val="0"/>
          <w:i/>
          <w:iCs/>
          <w:color w:val="auto"/>
        </w:rPr>
        <w:t xml:space="preserve">Table </w:t>
      </w:r>
      <w:r w:rsidR="00DD4D49">
        <w:rPr>
          <w:b w:val="0"/>
          <w:bCs w:val="0"/>
          <w:i/>
          <w:iCs/>
          <w:color w:val="auto"/>
        </w:rPr>
        <w:t>3</w:t>
      </w:r>
      <w:r w:rsidRPr="0018630F">
        <w:rPr>
          <w:b w:val="0"/>
          <w:bCs w:val="0"/>
          <w:i/>
          <w:iCs/>
          <w:color w:val="auto"/>
        </w:rPr>
        <w:t>: NGRMS</w:t>
      </w:r>
      <w:r>
        <w:rPr>
          <w:b w:val="0"/>
          <w:bCs w:val="0"/>
          <w:i/>
          <w:iCs/>
          <w:color w:val="auto"/>
        </w:rPr>
        <w:t>’</w:t>
      </w:r>
      <w:r w:rsidRPr="0018630F">
        <w:rPr>
          <w:b w:val="0"/>
          <w:bCs w:val="0"/>
          <w:i/>
          <w:iCs/>
          <w:color w:val="auto"/>
        </w:rPr>
        <w:t xml:space="preserve"> groups and components</w:t>
      </w:r>
      <w:r w:rsidR="00C919F3" w:rsidRPr="00C919F3">
        <w:rPr>
          <w:b w:val="0"/>
          <w:bCs w:val="0"/>
          <w:i/>
          <w:iCs/>
          <w:color w:val="auto"/>
        </w:rPr>
        <w:t xml:space="preserve"> </w:t>
      </w:r>
      <w:r w:rsidR="00C919F3">
        <w:rPr>
          <w:b w:val="0"/>
          <w:bCs w:val="0"/>
          <w:i/>
          <w:iCs/>
          <w:color w:val="auto"/>
        </w:rPr>
        <w:t xml:space="preserve">                  </w:t>
      </w:r>
      <w:r w:rsidR="00C919F3" w:rsidRPr="00956BB9">
        <w:rPr>
          <w:b w:val="0"/>
          <w:bCs w:val="0"/>
          <w:i/>
          <w:iCs/>
          <w:color w:val="auto"/>
        </w:rPr>
        <w:t xml:space="preserve">Table </w:t>
      </w:r>
      <w:r w:rsidR="00C919F3">
        <w:rPr>
          <w:b w:val="0"/>
          <w:bCs w:val="0"/>
          <w:i/>
          <w:iCs/>
          <w:color w:val="auto"/>
        </w:rPr>
        <w:t>4</w:t>
      </w:r>
      <w:r w:rsidR="00C919F3" w:rsidRPr="00956BB9">
        <w:rPr>
          <w:b w:val="0"/>
          <w:bCs w:val="0"/>
          <w:i/>
          <w:iCs/>
          <w:color w:val="auto"/>
        </w:rPr>
        <w:t xml:space="preserve">: Adopted scenarios and their frequencies for </w:t>
      </w:r>
      <w:r w:rsidR="00C919F3">
        <w:rPr>
          <w:b w:val="0"/>
          <w:bCs w:val="0"/>
          <w:i/>
          <w:iCs/>
          <w:color w:val="auto"/>
        </w:rPr>
        <w:t>PR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40"/>
        <w:gridCol w:w="3281"/>
      </w:tblGrid>
      <w:tr w:rsidR="00EC4609" w:rsidRPr="00B57B36" w14:paraId="09A21430" w14:textId="77777777" w:rsidTr="00557216">
        <w:tc>
          <w:tcPr>
            <w:tcW w:w="940" w:type="dxa"/>
            <w:tcBorders>
              <w:top w:val="single" w:sz="12" w:space="0" w:color="008000"/>
              <w:bottom w:val="single" w:sz="6" w:space="0" w:color="008000"/>
            </w:tcBorders>
            <w:shd w:val="clear" w:color="auto" w:fill="FFFFFF"/>
          </w:tcPr>
          <w:p w14:paraId="7D3D6898" w14:textId="463C0406" w:rsidR="00EC4609" w:rsidRPr="00B57B36" w:rsidRDefault="00EC4609" w:rsidP="00AA082C">
            <w:pPr>
              <w:pStyle w:val="CETBodytext"/>
              <w:rPr>
                <w:lang w:val="en-GB"/>
              </w:rPr>
            </w:pPr>
            <w:r>
              <w:rPr>
                <w:lang w:val="en-GB"/>
              </w:rPr>
              <w:t>Group</w:t>
            </w:r>
          </w:p>
        </w:tc>
        <w:tc>
          <w:tcPr>
            <w:tcW w:w="3281" w:type="dxa"/>
            <w:tcBorders>
              <w:top w:val="single" w:sz="12" w:space="0" w:color="008000"/>
              <w:bottom w:val="single" w:sz="6" w:space="0" w:color="008000"/>
            </w:tcBorders>
            <w:shd w:val="clear" w:color="auto" w:fill="FFFFFF"/>
          </w:tcPr>
          <w:p w14:paraId="37E28F59" w14:textId="24E643D8" w:rsidR="00EC4609" w:rsidRPr="00B57B36" w:rsidRDefault="00EC4609" w:rsidP="00AA082C">
            <w:pPr>
              <w:pStyle w:val="CETBodytext"/>
              <w:rPr>
                <w:lang w:val="en-GB"/>
              </w:rPr>
            </w:pPr>
            <w:r>
              <w:rPr>
                <w:lang w:val="en-GB"/>
              </w:rPr>
              <w:t>Component</w:t>
            </w:r>
            <w:r w:rsidR="00557216">
              <w:rPr>
                <w:lang w:val="en-GB"/>
              </w:rPr>
              <w:t xml:space="preserve"> </w:t>
            </w:r>
          </w:p>
        </w:tc>
      </w:tr>
      <w:tr w:rsidR="00EC4609" w:rsidRPr="00B57B36" w14:paraId="2B77A2E8" w14:textId="77777777" w:rsidTr="00557216">
        <w:tc>
          <w:tcPr>
            <w:tcW w:w="940" w:type="dxa"/>
            <w:vMerge w:val="restart"/>
            <w:tcBorders>
              <w:top w:val="single" w:sz="6" w:space="0" w:color="008000"/>
              <w:bottom w:val="nil"/>
            </w:tcBorders>
            <w:shd w:val="clear" w:color="auto" w:fill="FFFFFF"/>
          </w:tcPr>
          <w:p w14:paraId="29ED3A86" w14:textId="2D9B1957" w:rsidR="00EC4609" w:rsidRPr="00B57B36" w:rsidRDefault="00EC4609" w:rsidP="00AA082C">
            <w:pPr>
              <w:pStyle w:val="CETBodytext"/>
              <w:rPr>
                <w:lang w:val="en-GB"/>
              </w:rPr>
            </w:pPr>
            <w:r>
              <w:rPr>
                <w:lang w:val="en-GB"/>
              </w:rPr>
              <w:t>Reduction</w:t>
            </w:r>
          </w:p>
        </w:tc>
        <w:tc>
          <w:tcPr>
            <w:tcW w:w="3281" w:type="dxa"/>
            <w:tcBorders>
              <w:top w:val="single" w:sz="6" w:space="0" w:color="008000"/>
              <w:bottom w:val="nil"/>
            </w:tcBorders>
            <w:shd w:val="clear" w:color="auto" w:fill="FFFFFF"/>
            <w:vAlign w:val="bottom"/>
          </w:tcPr>
          <w:p w14:paraId="0CEAEC4B" w14:textId="14D96F87" w:rsidR="00EC4609" w:rsidRPr="00B57B36" w:rsidRDefault="00EC4609" w:rsidP="00AA082C">
            <w:pPr>
              <w:pStyle w:val="CETBodytext"/>
              <w:rPr>
                <w:lang w:val="en-GB"/>
              </w:rPr>
            </w:pPr>
            <w:r>
              <w:rPr>
                <w:color w:val="000000"/>
                <w:lang w:eastAsia="it-IT"/>
              </w:rPr>
              <w:t>Pressure regulator</w:t>
            </w:r>
            <w:r w:rsidR="00591306">
              <w:rPr>
                <w:color w:val="000000"/>
                <w:lang w:eastAsia="it-IT"/>
              </w:rPr>
              <w:t xml:space="preserve"> (PR)</w:t>
            </w:r>
          </w:p>
        </w:tc>
      </w:tr>
      <w:tr w:rsidR="00EC4609" w:rsidRPr="00B57B36" w14:paraId="06E218A8" w14:textId="77777777" w:rsidTr="00557216">
        <w:tc>
          <w:tcPr>
            <w:tcW w:w="940" w:type="dxa"/>
            <w:vMerge/>
            <w:tcBorders>
              <w:top w:val="nil"/>
              <w:bottom w:val="nil"/>
            </w:tcBorders>
            <w:shd w:val="clear" w:color="auto" w:fill="FFFFFF"/>
          </w:tcPr>
          <w:p w14:paraId="27B177D3" w14:textId="3B87EF2E" w:rsidR="00EC4609" w:rsidRPr="00B57B36" w:rsidRDefault="00EC4609" w:rsidP="00AA082C">
            <w:pPr>
              <w:pStyle w:val="CETBodytext"/>
              <w:ind w:right="-1"/>
              <w:rPr>
                <w:rFonts w:cs="Arial"/>
                <w:szCs w:val="18"/>
                <w:lang w:val="en-GB"/>
              </w:rPr>
            </w:pPr>
          </w:p>
        </w:tc>
        <w:tc>
          <w:tcPr>
            <w:tcW w:w="3281" w:type="dxa"/>
            <w:tcBorders>
              <w:top w:val="nil"/>
              <w:bottom w:val="nil"/>
            </w:tcBorders>
            <w:shd w:val="clear" w:color="auto" w:fill="FFFFFF"/>
            <w:vAlign w:val="bottom"/>
          </w:tcPr>
          <w:p w14:paraId="5E4E8F73" w14:textId="2ACFEDC7" w:rsidR="00EC4609" w:rsidRPr="00B57B36" w:rsidRDefault="00EC4609" w:rsidP="00AA082C">
            <w:pPr>
              <w:pStyle w:val="CETBodytext"/>
              <w:ind w:right="-1"/>
              <w:rPr>
                <w:rFonts w:cs="Arial"/>
                <w:szCs w:val="18"/>
                <w:lang w:val="en-GB"/>
              </w:rPr>
            </w:pPr>
            <w:r>
              <w:t>Pilot</w:t>
            </w:r>
          </w:p>
        </w:tc>
      </w:tr>
      <w:tr w:rsidR="00557216" w:rsidRPr="00B57B36" w14:paraId="5357E214" w14:textId="77777777" w:rsidTr="00557216">
        <w:tc>
          <w:tcPr>
            <w:tcW w:w="940" w:type="dxa"/>
            <w:vMerge/>
            <w:tcBorders>
              <w:top w:val="nil"/>
              <w:bottom w:val="single" w:sz="4" w:space="0" w:color="008000"/>
            </w:tcBorders>
            <w:shd w:val="clear" w:color="auto" w:fill="FFFFFF"/>
          </w:tcPr>
          <w:p w14:paraId="2AD88B65" w14:textId="68EF9059" w:rsidR="00557216" w:rsidRDefault="00557216" w:rsidP="00557216">
            <w:pPr>
              <w:pStyle w:val="CETBodytext"/>
              <w:ind w:right="-1"/>
              <w:rPr>
                <w:rFonts w:cs="Arial"/>
                <w:szCs w:val="18"/>
                <w:lang w:val="en-GB"/>
              </w:rPr>
            </w:pPr>
          </w:p>
        </w:tc>
        <w:tc>
          <w:tcPr>
            <w:tcW w:w="3281" w:type="dxa"/>
            <w:tcBorders>
              <w:top w:val="nil"/>
              <w:bottom w:val="single" w:sz="4" w:space="0" w:color="008000"/>
            </w:tcBorders>
            <w:shd w:val="clear" w:color="auto" w:fill="FFFFFF"/>
            <w:vAlign w:val="bottom"/>
          </w:tcPr>
          <w:p w14:paraId="50687B88" w14:textId="79B9CE79" w:rsidR="00557216" w:rsidRPr="00B57B36" w:rsidRDefault="00557216" w:rsidP="00557216">
            <w:pPr>
              <w:pStyle w:val="CETBodytext"/>
              <w:ind w:right="-1"/>
              <w:rPr>
                <w:rFonts w:cs="Arial"/>
                <w:szCs w:val="18"/>
                <w:lang w:val="en-GB"/>
              </w:rPr>
            </w:pPr>
            <w:r>
              <w:t>Filter</w:t>
            </w:r>
          </w:p>
        </w:tc>
      </w:tr>
      <w:tr w:rsidR="00557216" w:rsidRPr="00B57B36" w14:paraId="4454E0BB" w14:textId="77777777" w:rsidTr="00557216">
        <w:tc>
          <w:tcPr>
            <w:tcW w:w="940" w:type="dxa"/>
            <w:vMerge w:val="restart"/>
            <w:tcBorders>
              <w:top w:val="single" w:sz="4" w:space="0" w:color="008000"/>
            </w:tcBorders>
            <w:shd w:val="clear" w:color="auto" w:fill="FFFFFF"/>
          </w:tcPr>
          <w:p w14:paraId="6D88F2A7" w14:textId="12B72D95" w:rsidR="00557216" w:rsidRDefault="00557216" w:rsidP="00557216">
            <w:pPr>
              <w:pStyle w:val="CETBodytext"/>
              <w:ind w:right="-1"/>
              <w:rPr>
                <w:rFonts w:cs="Arial"/>
                <w:szCs w:val="18"/>
                <w:lang w:val="en-GB"/>
              </w:rPr>
            </w:pPr>
            <w:r>
              <w:rPr>
                <w:rFonts w:cs="Arial"/>
                <w:szCs w:val="18"/>
                <w:lang w:val="en-GB"/>
              </w:rPr>
              <w:t>Measuring</w:t>
            </w:r>
          </w:p>
        </w:tc>
        <w:tc>
          <w:tcPr>
            <w:tcW w:w="3281" w:type="dxa"/>
            <w:tcBorders>
              <w:top w:val="single" w:sz="4" w:space="0" w:color="008000"/>
            </w:tcBorders>
            <w:shd w:val="clear" w:color="auto" w:fill="FFFFFF"/>
            <w:vAlign w:val="center"/>
          </w:tcPr>
          <w:p w14:paraId="39D1E542" w14:textId="42396388" w:rsidR="00557216" w:rsidRPr="00B57B36" w:rsidRDefault="00557216" w:rsidP="00557216">
            <w:pPr>
              <w:pStyle w:val="CETBodytext"/>
              <w:ind w:right="-1"/>
              <w:rPr>
                <w:rFonts w:cs="Arial"/>
                <w:szCs w:val="18"/>
                <w:lang w:val="en-GB"/>
              </w:rPr>
            </w:pPr>
            <w:r>
              <w:rPr>
                <w:rFonts w:cs="Arial"/>
                <w:szCs w:val="18"/>
                <w:lang w:val="en-GB"/>
              </w:rPr>
              <w:t>Pressure and Temperature Gauge (PTG)</w:t>
            </w:r>
          </w:p>
        </w:tc>
      </w:tr>
      <w:tr w:rsidR="00557216" w:rsidRPr="00B57B36" w14:paraId="3CA14790" w14:textId="77777777" w:rsidTr="00557216">
        <w:tc>
          <w:tcPr>
            <w:tcW w:w="940" w:type="dxa"/>
            <w:vMerge/>
            <w:shd w:val="clear" w:color="auto" w:fill="FFFFFF"/>
          </w:tcPr>
          <w:p w14:paraId="073E31EA" w14:textId="185C7AAF" w:rsidR="00557216" w:rsidRDefault="00557216" w:rsidP="00557216">
            <w:pPr>
              <w:pStyle w:val="CETBodytext"/>
              <w:ind w:right="-1"/>
              <w:rPr>
                <w:rFonts w:cs="Arial"/>
                <w:szCs w:val="18"/>
                <w:lang w:val="en-GB"/>
              </w:rPr>
            </w:pPr>
          </w:p>
        </w:tc>
        <w:tc>
          <w:tcPr>
            <w:tcW w:w="3281" w:type="dxa"/>
            <w:shd w:val="clear" w:color="auto" w:fill="FFFFFF"/>
            <w:vAlign w:val="center"/>
          </w:tcPr>
          <w:p w14:paraId="780D9886" w14:textId="3A2A820E" w:rsidR="00557216" w:rsidRPr="00B57B36" w:rsidRDefault="00557216" w:rsidP="00557216">
            <w:pPr>
              <w:pStyle w:val="CETBodytext"/>
              <w:ind w:right="-1"/>
              <w:rPr>
                <w:rFonts w:cs="Arial"/>
                <w:szCs w:val="18"/>
                <w:lang w:val="en-GB"/>
              </w:rPr>
            </w:pPr>
            <w:r>
              <w:rPr>
                <w:rFonts w:cs="Arial"/>
                <w:szCs w:val="18"/>
                <w:lang w:val="en-GB"/>
              </w:rPr>
              <w:t>Calculator</w:t>
            </w:r>
          </w:p>
        </w:tc>
      </w:tr>
      <w:tr w:rsidR="00557216" w:rsidRPr="00B57B36" w14:paraId="15800D9F" w14:textId="77777777" w:rsidTr="00AA082C">
        <w:tc>
          <w:tcPr>
            <w:tcW w:w="940" w:type="dxa"/>
            <w:vMerge/>
            <w:shd w:val="clear" w:color="auto" w:fill="FFFFFF"/>
          </w:tcPr>
          <w:p w14:paraId="124334F5" w14:textId="2EDB3EFA" w:rsidR="00557216" w:rsidRDefault="00557216" w:rsidP="00557216">
            <w:pPr>
              <w:pStyle w:val="CETBodytext"/>
              <w:ind w:right="-1"/>
              <w:rPr>
                <w:rFonts w:cs="Arial"/>
                <w:szCs w:val="18"/>
                <w:lang w:val="en-GB"/>
              </w:rPr>
            </w:pPr>
          </w:p>
        </w:tc>
        <w:tc>
          <w:tcPr>
            <w:tcW w:w="3281" w:type="dxa"/>
            <w:tcBorders>
              <w:bottom w:val="nil"/>
            </w:tcBorders>
            <w:shd w:val="clear" w:color="auto" w:fill="FFFFFF"/>
            <w:vAlign w:val="center"/>
          </w:tcPr>
          <w:p w14:paraId="37536615" w14:textId="32E5F4FB" w:rsidR="00557216" w:rsidRPr="00B57B36" w:rsidRDefault="00557216" w:rsidP="00557216">
            <w:pPr>
              <w:pStyle w:val="CETBodytext"/>
              <w:ind w:right="-1"/>
              <w:rPr>
                <w:rFonts w:cs="Arial"/>
                <w:szCs w:val="18"/>
                <w:lang w:val="en-GB"/>
              </w:rPr>
            </w:pPr>
            <w:r>
              <w:rPr>
                <w:rFonts w:cs="Arial"/>
                <w:szCs w:val="18"/>
                <w:lang w:val="en-GB"/>
              </w:rPr>
              <w:t>Meter</w:t>
            </w:r>
          </w:p>
        </w:tc>
      </w:tr>
      <w:tr w:rsidR="00557216" w:rsidRPr="00B57B36" w14:paraId="0CB3DF6E" w14:textId="77777777" w:rsidTr="00557216">
        <w:tc>
          <w:tcPr>
            <w:tcW w:w="940" w:type="dxa"/>
            <w:vMerge/>
            <w:tcBorders>
              <w:bottom w:val="single" w:sz="4" w:space="0" w:color="008000"/>
            </w:tcBorders>
            <w:shd w:val="clear" w:color="auto" w:fill="FFFFFF"/>
          </w:tcPr>
          <w:p w14:paraId="6C974601" w14:textId="2C0BC786" w:rsidR="00557216" w:rsidRDefault="00557216" w:rsidP="00557216">
            <w:pPr>
              <w:pStyle w:val="CETBodytext"/>
              <w:ind w:right="-1"/>
              <w:rPr>
                <w:rFonts w:cs="Arial"/>
                <w:szCs w:val="18"/>
                <w:lang w:val="en-GB"/>
              </w:rPr>
            </w:pPr>
          </w:p>
        </w:tc>
        <w:tc>
          <w:tcPr>
            <w:tcW w:w="3281" w:type="dxa"/>
            <w:tcBorders>
              <w:top w:val="nil"/>
              <w:bottom w:val="single" w:sz="4" w:space="0" w:color="008000"/>
            </w:tcBorders>
            <w:shd w:val="clear" w:color="auto" w:fill="FFFFFF"/>
            <w:vAlign w:val="center"/>
          </w:tcPr>
          <w:p w14:paraId="02658BE1" w14:textId="58CC8E51" w:rsidR="00557216" w:rsidRPr="00B57B36" w:rsidRDefault="00557216" w:rsidP="00557216">
            <w:pPr>
              <w:pStyle w:val="CETBodytext"/>
              <w:ind w:right="-1"/>
              <w:rPr>
                <w:rFonts w:cs="Arial"/>
                <w:szCs w:val="18"/>
                <w:lang w:val="en-GB"/>
              </w:rPr>
            </w:pPr>
            <w:r>
              <w:rPr>
                <w:rFonts w:cs="Arial"/>
                <w:szCs w:val="18"/>
                <w:lang w:val="en-GB"/>
              </w:rPr>
              <w:t>Remote Control System (RCS)</w:t>
            </w:r>
          </w:p>
        </w:tc>
      </w:tr>
      <w:tr w:rsidR="00557216" w:rsidRPr="00B57B36" w14:paraId="6C85C5E9" w14:textId="77777777" w:rsidTr="00557216">
        <w:tc>
          <w:tcPr>
            <w:tcW w:w="940" w:type="dxa"/>
            <w:vMerge w:val="restart"/>
            <w:tcBorders>
              <w:top w:val="single" w:sz="4" w:space="0" w:color="008000"/>
              <w:bottom w:val="nil"/>
            </w:tcBorders>
            <w:shd w:val="clear" w:color="auto" w:fill="FFFFFF"/>
          </w:tcPr>
          <w:p w14:paraId="6B8F2446" w14:textId="63F845C2" w:rsidR="00557216" w:rsidRDefault="00557216" w:rsidP="00557216">
            <w:pPr>
              <w:pStyle w:val="CETBodytext"/>
              <w:ind w:right="-1"/>
              <w:rPr>
                <w:rFonts w:cs="Arial"/>
                <w:szCs w:val="18"/>
                <w:lang w:val="en-GB"/>
              </w:rPr>
            </w:pPr>
            <w:r>
              <w:rPr>
                <w:rFonts w:cs="Arial"/>
                <w:szCs w:val="18"/>
                <w:lang w:val="en-GB"/>
              </w:rPr>
              <w:t>Odorization</w:t>
            </w:r>
          </w:p>
        </w:tc>
        <w:tc>
          <w:tcPr>
            <w:tcW w:w="3281" w:type="dxa"/>
            <w:tcBorders>
              <w:top w:val="single" w:sz="4" w:space="0" w:color="008000"/>
              <w:bottom w:val="nil"/>
            </w:tcBorders>
            <w:shd w:val="clear" w:color="auto" w:fill="FFFFFF"/>
            <w:vAlign w:val="center"/>
          </w:tcPr>
          <w:p w14:paraId="6D6F93CB" w14:textId="0B075DF0" w:rsidR="00557216" w:rsidRPr="00B57B36" w:rsidRDefault="0018630F" w:rsidP="00557216">
            <w:pPr>
              <w:pStyle w:val="CETBodytext"/>
              <w:ind w:right="-1"/>
              <w:rPr>
                <w:rFonts w:cs="Arial"/>
                <w:szCs w:val="18"/>
                <w:lang w:val="en-GB"/>
              </w:rPr>
            </w:pPr>
            <w:r w:rsidRPr="0018630F">
              <w:rPr>
                <w:rFonts w:cs="Arial"/>
                <w:szCs w:val="18"/>
                <w:lang w:val="en-GB"/>
              </w:rPr>
              <w:t>Tetrahydrothiophene</w:t>
            </w:r>
            <w:r>
              <w:rPr>
                <w:rFonts w:cs="Arial"/>
                <w:szCs w:val="18"/>
                <w:lang w:val="en-GB"/>
              </w:rPr>
              <w:t xml:space="preserve"> (THT)</w:t>
            </w:r>
            <w:r w:rsidR="00557216">
              <w:rPr>
                <w:rFonts w:cs="Arial"/>
                <w:szCs w:val="18"/>
                <w:lang w:val="en-GB"/>
              </w:rPr>
              <w:t xml:space="preserve"> tank</w:t>
            </w:r>
          </w:p>
        </w:tc>
      </w:tr>
      <w:tr w:rsidR="00557216" w:rsidRPr="00B57B36" w14:paraId="744BF8D3" w14:textId="77777777" w:rsidTr="00557216">
        <w:tc>
          <w:tcPr>
            <w:tcW w:w="940" w:type="dxa"/>
            <w:vMerge/>
            <w:tcBorders>
              <w:top w:val="nil"/>
              <w:bottom w:val="single" w:sz="4" w:space="0" w:color="008000"/>
            </w:tcBorders>
            <w:shd w:val="clear" w:color="auto" w:fill="FFFFFF"/>
          </w:tcPr>
          <w:p w14:paraId="63065C86" w14:textId="1A224EA7" w:rsidR="00557216" w:rsidRDefault="00557216" w:rsidP="00557216">
            <w:pPr>
              <w:pStyle w:val="CETBodytext"/>
              <w:ind w:right="-1"/>
              <w:rPr>
                <w:rFonts w:cs="Arial"/>
                <w:szCs w:val="18"/>
                <w:lang w:val="en-GB"/>
              </w:rPr>
            </w:pPr>
          </w:p>
        </w:tc>
        <w:tc>
          <w:tcPr>
            <w:tcW w:w="3281" w:type="dxa"/>
            <w:tcBorders>
              <w:top w:val="nil"/>
              <w:bottom w:val="single" w:sz="4" w:space="0" w:color="008000"/>
            </w:tcBorders>
            <w:shd w:val="clear" w:color="auto" w:fill="FFFFFF"/>
            <w:vAlign w:val="bottom"/>
          </w:tcPr>
          <w:p w14:paraId="06187BA4" w14:textId="0E90CCFD" w:rsidR="00557216" w:rsidRPr="00B57B36" w:rsidRDefault="0018630F" w:rsidP="00557216">
            <w:pPr>
              <w:pStyle w:val="CETBodytext"/>
              <w:ind w:right="-1"/>
              <w:rPr>
                <w:rFonts w:cs="Arial"/>
                <w:szCs w:val="18"/>
                <w:lang w:val="en-GB"/>
              </w:rPr>
            </w:pPr>
            <w:r>
              <w:rPr>
                <w:rFonts w:cs="Arial"/>
                <w:szCs w:val="18"/>
                <w:lang w:val="en-GB"/>
              </w:rPr>
              <w:t>THT</w:t>
            </w:r>
            <w:r w:rsidR="00557216">
              <w:rPr>
                <w:rFonts w:cs="Arial"/>
                <w:szCs w:val="18"/>
                <w:lang w:val="en-GB"/>
              </w:rPr>
              <w:t xml:space="preserve"> pipeline</w:t>
            </w:r>
          </w:p>
        </w:tc>
      </w:tr>
      <w:tr w:rsidR="00557216" w:rsidRPr="00B57B36" w14:paraId="1E73C39B" w14:textId="77777777" w:rsidTr="00557216">
        <w:tc>
          <w:tcPr>
            <w:tcW w:w="940" w:type="dxa"/>
            <w:tcBorders>
              <w:top w:val="single" w:sz="4" w:space="0" w:color="008000"/>
              <w:bottom w:val="nil"/>
            </w:tcBorders>
            <w:shd w:val="clear" w:color="auto" w:fill="FFFFFF"/>
          </w:tcPr>
          <w:p w14:paraId="618870F0" w14:textId="46C2CE95" w:rsidR="00557216" w:rsidRDefault="00557216" w:rsidP="00557216">
            <w:pPr>
              <w:pStyle w:val="CETBodytext"/>
              <w:ind w:right="-1"/>
              <w:rPr>
                <w:rFonts w:cs="Arial"/>
                <w:szCs w:val="18"/>
                <w:lang w:val="en-GB"/>
              </w:rPr>
            </w:pPr>
            <w:r>
              <w:rPr>
                <w:rFonts w:cs="Arial"/>
                <w:szCs w:val="18"/>
                <w:lang w:val="en-GB"/>
              </w:rPr>
              <w:t>Preheating</w:t>
            </w:r>
          </w:p>
        </w:tc>
        <w:tc>
          <w:tcPr>
            <w:tcW w:w="3281" w:type="dxa"/>
            <w:tcBorders>
              <w:top w:val="single" w:sz="4" w:space="0" w:color="008000"/>
              <w:bottom w:val="nil"/>
            </w:tcBorders>
            <w:shd w:val="clear" w:color="auto" w:fill="FFFFFF"/>
            <w:vAlign w:val="bottom"/>
          </w:tcPr>
          <w:p w14:paraId="4A61A13F" w14:textId="0DFC12C0" w:rsidR="00557216" w:rsidRPr="00B57B36" w:rsidRDefault="00557216" w:rsidP="00557216">
            <w:pPr>
              <w:pStyle w:val="CETBodytext"/>
              <w:ind w:right="-1"/>
              <w:rPr>
                <w:rFonts w:cs="Arial"/>
                <w:szCs w:val="18"/>
                <w:lang w:val="en-GB"/>
              </w:rPr>
            </w:pPr>
            <w:r>
              <w:rPr>
                <w:rFonts w:cs="Arial"/>
                <w:szCs w:val="18"/>
                <w:lang w:val="en-GB"/>
              </w:rPr>
              <w:t>Boiler</w:t>
            </w:r>
          </w:p>
        </w:tc>
      </w:tr>
      <w:tr w:rsidR="00557216" w:rsidRPr="00B57B36" w14:paraId="7A8A8C75" w14:textId="77777777" w:rsidTr="00557216">
        <w:tc>
          <w:tcPr>
            <w:tcW w:w="940" w:type="dxa"/>
            <w:tcBorders>
              <w:top w:val="nil"/>
              <w:bottom w:val="nil"/>
            </w:tcBorders>
            <w:shd w:val="clear" w:color="auto" w:fill="FFFFFF"/>
          </w:tcPr>
          <w:p w14:paraId="3DD194C6" w14:textId="77777777" w:rsidR="00557216" w:rsidRDefault="00557216" w:rsidP="00557216">
            <w:pPr>
              <w:pStyle w:val="CETBodytext"/>
              <w:ind w:right="-1"/>
              <w:rPr>
                <w:rFonts w:cs="Arial"/>
                <w:szCs w:val="18"/>
                <w:lang w:val="en-GB"/>
              </w:rPr>
            </w:pPr>
          </w:p>
        </w:tc>
        <w:tc>
          <w:tcPr>
            <w:tcW w:w="3281" w:type="dxa"/>
            <w:tcBorders>
              <w:top w:val="nil"/>
              <w:bottom w:val="nil"/>
            </w:tcBorders>
            <w:shd w:val="clear" w:color="auto" w:fill="FFFFFF"/>
            <w:vAlign w:val="bottom"/>
          </w:tcPr>
          <w:p w14:paraId="2C4552E9" w14:textId="1B80AA23" w:rsidR="00557216" w:rsidRPr="00B57B36" w:rsidRDefault="00557216" w:rsidP="00557216">
            <w:pPr>
              <w:pStyle w:val="CETBodytext"/>
              <w:ind w:right="-1"/>
              <w:rPr>
                <w:rFonts w:cs="Arial"/>
                <w:szCs w:val="18"/>
                <w:lang w:val="en-GB"/>
              </w:rPr>
            </w:pPr>
            <w:r>
              <w:rPr>
                <w:rFonts w:cs="Arial"/>
                <w:szCs w:val="18"/>
                <w:lang w:val="en-GB"/>
              </w:rPr>
              <w:t>Pump</w:t>
            </w:r>
          </w:p>
        </w:tc>
      </w:tr>
      <w:tr w:rsidR="00557216" w:rsidRPr="00B57B36" w14:paraId="6378713F" w14:textId="77777777" w:rsidTr="00557216">
        <w:tc>
          <w:tcPr>
            <w:tcW w:w="940" w:type="dxa"/>
            <w:tcBorders>
              <w:top w:val="nil"/>
            </w:tcBorders>
            <w:shd w:val="clear" w:color="auto" w:fill="FFFFFF"/>
          </w:tcPr>
          <w:p w14:paraId="2195A3FA" w14:textId="31302BF1" w:rsidR="00557216" w:rsidRDefault="00557216" w:rsidP="00557216">
            <w:pPr>
              <w:pStyle w:val="CETBodytext"/>
              <w:ind w:right="-1"/>
              <w:rPr>
                <w:rFonts w:cs="Arial"/>
                <w:szCs w:val="18"/>
                <w:lang w:val="en-GB"/>
              </w:rPr>
            </w:pPr>
          </w:p>
        </w:tc>
        <w:tc>
          <w:tcPr>
            <w:tcW w:w="3281" w:type="dxa"/>
            <w:tcBorders>
              <w:top w:val="nil"/>
            </w:tcBorders>
            <w:shd w:val="clear" w:color="auto" w:fill="FFFFFF"/>
            <w:vAlign w:val="bottom"/>
          </w:tcPr>
          <w:p w14:paraId="04C061E6" w14:textId="462CF186" w:rsidR="00557216" w:rsidRPr="00B57B36" w:rsidRDefault="00557216" w:rsidP="00557216">
            <w:pPr>
              <w:pStyle w:val="CETBodytext"/>
              <w:ind w:right="-1"/>
              <w:rPr>
                <w:rFonts w:cs="Arial"/>
                <w:szCs w:val="18"/>
                <w:lang w:val="en-GB"/>
              </w:rPr>
            </w:pPr>
            <w:r>
              <w:rPr>
                <w:rFonts w:cs="Arial"/>
                <w:szCs w:val="18"/>
                <w:lang w:val="en-GB"/>
              </w:rPr>
              <w:t>Water pipe</w:t>
            </w:r>
          </w:p>
        </w:tc>
      </w:tr>
    </w:tbl>
    <w:tbl>
      <w:tblPr>
        <w:tblpPr w:leftFromText="141" w:rightFromText="141" w:vertAnchor="text" w:horzAnchor="page" w:tblpX="6095" w:tblpY="-3059"/>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560"/>
        <w:gridCol w:w="1417"/>
      </w:tblGrid>
      <w:tr w:rsidR="00C919F3" w:rsidRPr="00B57B36" w14:paraId="3AE0D3AA" w14:textId="77777777" w:rsidTr="00297D0D">
        <w:tc>
          <w:tcPr>
            <w:tcW w:w="1134" w:type="dxa"/>
            <w:tcBorders>
              <w:top w:val="single" w:sz="12" w:space="0" w:color="008000"/>
              <w:bottom w:val="single" w:sz="6" w:space="0" w:color="008000"/>
            </w:tcBorders>
            <w:shd w:val="clear" w:color="auto" w:fill="FFFFFF"/>
          </w:tcPr>
          <w:p w14:paraId="6510A723" w14:textId="77777777" w:rsidR="00C919F3" w:rsidRPr="00B57B36" w:rsidRDefault="00C919F3" w:rsidP="00C919F3">
            <w:pPr>
              <w:pStyle w:val="CETBodytext"/>
              <w:rPr>
                <w:lang w:val="en-GB"/>
              </w:rPr>
            </w:pPr>
            <w:r>
              <w:rPr>
                <w:lang w:val="en-GB"/>
              </w:rPr>
              <w:t>Component</w:t>
            </w:r>
          </w:p>
        </w:tc>
        <w:tc>
          <w:tcPr>
            <w:tcW w:w="1560" w:type="dxa"/>
            <w:tcBorders>
              <w:top w:val="single" w:sz="12" w:space="0" w:color="008000"/>
              <w:bottom w:val="single" w:sz="6" w:space="0" w:color="008000"/>
            </w:tcBorders>
            <w:shd w:val="clear" w:color="auto" w:fill="FFFFFF"/>
          </w:tcPr>
          <w:p w14:paraId="4AE8E2E0" w14:textId="77777777" w:rsidR="00C919F3" w:rsidRDefault="00C919F3" w:rsidP="00C919F3">
            <w:pPr>
              <w:pStyle w:val="CETBodytext"/>
              <w:rPr>
                <w:lang w:val="en-GB"/>
              </w:rPr>
            </w:pPr>
            <w:r>
              <w:rPr>
                <w:lang w:val="en-GB"/>
              </w:rPr>
              <w:t>Scenario category</w:t>
            </w:r>
          </w:p>
        </w:tc>
        <w:tc>
          <w:tcPr>
            <w:tcW w:w="1417" w:type="dxa"/>
            <w:tcBorders>
              <w:top w:val="single" w:sz="12" w:space="0" w:color="008000"/>
              <w:bottom w:val="single" w:sz="6" w:space="0" w:color="008000"/>
            </w:tcBorders>
            <w:shd w:val="clear" w:color="auto" w:fill="FFFFFF"/>
          </w:tcPr>
          <w:p w14:paraId="63547A33" w14:textId="77777777" w:rsidR="00C919F3" w:rsidRPr="00B57B36" w:rsidRDefault="00C919F3" w:rsidP="00C919F3">
            <w:pPr>
              <w:pStyle w:val="CETBodytext"/>
              <w:rPr>
                <w:lang w:val="en-GB"/>
              </w:rPr>
            </w:pPr>
            <w:r>
              <w:rPr>
                <w:lang w:val="en-GB"/>
              </w:rPr>
              <w:t>Frequency [Event/year]</w:t>
            </w:r>
          </w:p>
        </w:tc>
      </w:tr>
      <w:tr w:rsidR="00C919F3" w:rsidRPr="00B57B36" w14:paraId="541941AD" w14:textId="77777777" w:rsidTr="00297D0D">
        <w:tc>
          <w:tcPr>
            <w:tcW w:w="1134" w:type="dxa"/>
            <w:vMerge w:val="restart"/>
            <w:tcBorders>
              <w:top w:val="single" w:sz="6" w:space="0" w:color="008000"/>
              <w:bottom w:val="nil"/>
            </w:tcBorders>
            <w:shd w:val="clear" w:color="auto" w:fill="FFFFFF"/>
          </w:tcPr>
          <w:p w14:paraId="5E24F221" w14:textId="77777777" w:rsidR="00C919F3" w:rsidRPr="00B57B36" w:rsidRDefault="00C919F3" w:rsidP="00C919F3">
            <w:pPr>
              <w:pStyle w:val="CETBodytext"/>
              <w:rPr>
                <w:lang w:val="en-GB"/>
              </w:rPr>
            </w:pPr>
            <w:r>
              <w:rPr>
                <w:lang w:val="en-GB"/>
              </w:rPr>
              <w:t>Pressure regulator</w:t>
            </w:r>
          </w:p>
        </w:tc>
        <w:tc>
          <w:tcPr>
            <w:tcW w:w="1560" w:type="dxa"/>
            <w:tcBorders>
              <w:top w:val="single" w:sz="6" w:space="0" w:color="008000"/>
              <w:bottom w:val="nil"/>
            </w:tcBorders>
            <w:shd w:val="clear" w:color="auto" w:fill="FFFFFF"/>
            <w:vAlign w:val="bottom"/>
          </w:tcPr>
          <w:p w14:paraId="4A69BFDE" w14:textId="77777777" w:rsidR="00C919F3" w:rsidRPr="0059610B" w:rsidRDefault="00C919F3" w:rsidP="00C919F3">
            <w:pPr>
              <w:pStyle w:val="CETBodytext"/>
              <w:rPr>
                <w:rFonts w:cs="Arial"/>
                <w:lang w:val="en-GB"/>
              </w:rPr>
            </w:pPr>
            <w:r w:rsidRPr="0059610B">
              <w:rPr>
                <w:rFonts w:cs="Arial"/>
                <w:color w:val="000000"/>
                <w:lang w:eastAsia="it-IT"/>
              </w:rPr>
              <w:t>10mm leakage</w:t>
            </w:r>
          </w:p>
        </w:tc>
        <w:tc>
          <w:tcPr>
            <w:tcW w:w="1417" w:type="dxa"/>
            <w:tcBorders>
              <w:top w:val="single" w:sz="6" w:space="0" w:color="008000"/>
              <w:bottom w:val="nil"/>
            </w:tcBorders>
            <w:shd w:val="clear" w:color="auto" w:fill="FFFFFF"/>
            <w:vAlign w:val="bottom"/>
          </w:tcPr>
          <w:p w14:paraId="55F2865B" w14:textId="77777777" w:rsidR="00C919F3" w:rsidRPr="0059610B" w:rsidRDefault="00C919F3" w:rsidP="00C919F3">
            <w:pPr>
              <w:pStyle w:val="CETBodytext"/>
              <w:rPr>
                <w:rFonts w:cs="Arial"/>
                <w:lang w:val="en-GB"/>
              </w:rPr>
            </w:pPr>
            <w:r w:rsidRPr="0059610B">
              <w:rPr>
                <w:rFonts w:cs="Arial"/>
                <w:color w:val="000000"/>
                <w:lang w:eastAsia="it-IT"/>
              </w:rPr>
              <w:t>0</w:t>
            </w:r>
            <w:r>
              <w:rPr>
                <w:rFonts w:cs="Arial"/>
                <w:color w:val="000000"/>
                <w:lang w:eastAsia="it-IT"/>
              </w:rPr>
              <w:t>.</w:t>
            </w:r>
            <w:r w:rsidRPr="0059610B">
              <w:rPr>
                <w:rFonts w:cs="Arial"/>
                <w:color w:val="000000"/>
                <w:lang w:eastAsia="it-IT"/>
              </w:rPr>
              <w:t>00012</w:t>
            </w:r>
          </w:p>
        </w:tc>
      </w:tr>
      <w:tr w:rsidR="00C919F3" w:rsidRPr="00B57B36" w14:paraId="27E29EA6" w14:textId="77777777" w:rsidTr="00297D0D">
        <w:tc>
          <w:tcPr>
            <w:tcW w:w="1134" w:type="dxa"/>
            <w:vMerge/>
            <w:tcBorders>
              <w:top w:val="nil"/>
              <w:bottom w:val="nil"/>
            </w:tcBorders>
            <w:shd w:val="clear" w:color="auto" w:fill="FFFFFF"/>
          </w:tcPr>
          <w:p w14:paraId="67F963E9" w14:textId="77777777" w:rsidR="00C919F3" w:rsidRPr="00B57B36" w:rsidRDefault="00C919F3" w:rsidP="00C919F3">
            <w:pPr>
              <w:pStyle w:val="CETBodytext"/>
              <w:ind w:right="-1"/>
              <w:rPr>
                <w:rFonts w:cs="Arial"/>
                <w:szCs w:val="18"/>
                <w:lang w:val="en-GB"/>
              </w:rPr>
            </w:pPr>
          </w:p>
        </w:tc>
        <w:tc>
          <w:tcPr>
            <w:tcW w:w="1560" w:type="dxa"/>
            <w:tcBorders>
              <w:top w:val="nil"/>
              <w:bottom w:val="nil"/>
            </w:tcBorders>
            <w:shd w:val="clear" w:color="auto" w:fill="FFFFFF"/>
            <w:vAlign w:val="bottom"/>
          </w:tcPr>
          <w:p w14:paraId="657AC838" w14:textId="77777777" w:rsidR="00C919F3" w:rsidRPr="0059610B" w:rsidRDefault="00C919F3" w:rsidP="00C919F3">
            <w:pPr>
              <w:pStyle w:val="CETBodytext"/>
              <w:ind w:right="-1"/>
              <w:rPr>
                <w:rFonts w:cs="Arial"/>
                <w:szCs w:val="18"/>
                <w:lang w:val="en-GB"/>
              </w:rPr>
            </w:pPr>
            <w:r w:rsidRPr="0059610B">
              <w:rPr>
                <w:rFonts w:cs="Arial"/>
                <w:color w:val="000000"/>
                <w:lang w:eastAsia="it-IT"/>
              </w:rPr>
              <w:t>25mm leakage</w:t>
            </w:r>
          </w:p>
        </w:tc>
        <w:tc>
          <w:tcPr>
            <w:tcW w:w="1417" w:type="dxa"/>
            <w:tcBorders>
              <w:top w:val="nil"/>
              <w:bottom w:val="nil"/>
            </w:tcBorders>
            <w:shd w:val="clear" w:color="auto" w:fill="FFFFFF"/>
            <w:vAlign w:val="bottom"/>
          </w:tcPr>
          <w:p w14:paraId="325FFFBC" w14:textId="77777777" w:rsidR="00C919F3" w:rsidRPr="0059610B" w:rsidRDefault="00C919F3" w:rsidP="00C919F3">
            <w:pPr>
              <w:pStyle w:val="CETBodytext"/>
              <w:ind w:right="-1"/>
              <w:rPr>
                <w:rFonts w:cs="Arial"/>
                <w:szCs w:val="18"/>
                <w:lang w:val="en-GB"/>
              </w:rPr>
            </w:pPr>
            <w:r w:rsidRPr="0059610B">
              <w:rPr>
                <w:rFonts w:cs="Arial"/>
                <w:color w:val="000000"/>
                <w:lang w:eastAsia="it-IT"/>
              </w:rPr>
              <w:t>1</w:t>
            </w:r>
            <w:r>
              <w:rPr>
                <w:rFonts w:cs="Arial"/>
                <w:color w:val="000000"/>
                <w:lang w:eastAsia="it-IT"/>
              </w:rPr>
              <w:t>.</w:t>
            </w:r>
            <w:r w:rsidRPr="0059610B">
              <w:rPr>
                <w:rFonts w:cs="Arial"/>
                <w:color w:val="000000"/>
                <w:lang w:eastAsia="it-IT"/>
              </w:rPr>
              <w:t>10E-05</w:t>
            </w:r>
          </w:p>
        </w:tc>
      </w:tr>
      <w:tr w:rsidR="00C919F3" w:rsidRPr="00B57B36" w14:paraId="4057B19D" w14:textId="77777777" w:rsidTr="00297D0D">
        <w:tc>
          <w:tcPr>
            <w:tcW w:w="1134" w:type="dxa"/>
            <w:vMerge/>
            <w:tcBorders>
              <w:top w:val="nil"/>
              <w:bottom w:val="nil"/>
            </w:tcBorders>
            <w:shd w:val="clear" w:color="auto" w:fill="FFFFFF"/>
          </w:tcPr>
          <w:p w14:paraId="3BED077E" w14:textId="77777777" w:rsidR="00C919F3" w:rsidRDefault="00C919F3" w:rsidP="00C919F3">
            <w:pPr>
              <w:pStyle w:val="CETBodytext"/>
              <w:ind w:right="-1"/>
              <w:rPr>
                <w:rFonts w:cs="Arial"/>
                <w:szCs w:val="18"/>
                <w:lang w:val="en-GB"/>
              </w:rPr>
            </w:pPr>
          </w:p>
        </w:tc>
        <w:tc>
          <w:tcPr>
            <w:tcW w:w="1560" w:type="dxa"/>
            <w:tcBorders>
              <w:top w:val="nil"/>
              <w:bottom w:val="nil"/>
            </w:tcBorders>
            <w:shd w:val="clear" w:color="auto" w:fill="FFFFFF"/>
            <w:vAlign w:val="bottom"/>
          </w:tcPr>
          <w:p w14:paraId="0F4547AA" w14:textId="77777777" w:rsidR="00C919F3" w:rsidRPr="0059610B" w:rsidRDefault="00C919F3" w:rsidP="00C919F3">
            <w:pPr>
              <w:pStyle w:val="CETBodytext"/>
              <w:ind w:right="-1"/>
              <w:rPr>
                <w:rFonts w:cs="Arial"/>
                <w:szCs w:val="18"/>
                <w:lang w:val="en-GB"/>
              </w:rPr>
            </w:pPr>
            <w:r w:rsidRPr="0059610B">
              <w:rPr>
                <w:rFonts w:cs="Arial"/>
                <w:color w:val="000000"/>
                <w:lang w:eastAsia="it-IT"/>
              </w:rPr>
              <w:t>50mm leakage</w:t>
            </w:r>
          </w:p>
        </w:tc>
        <w:tc>
          <w:tcPr>
            <w:tcW w:w="1417" w:type="dxa"/>
            <w:tcBorders>
              <w:top w:val="nil"/>
              <w:bottom w:val="nil"/>
            </w:tcBorders>
            <w:shd w:val="clear" w:color="auto" w:fill="FFFFFF"/>
            <w:vAlign w:val="bottom"/>
          </w:tcPr>
          <w:p w14:paraId="6FDB04E5" w14:textId="77777777" w:rsidR="00C919F3" w:rsidRPr="0059610B" w:rsidRDefault="00C919F3" w:rsidP="00C919F3">
            <w:pPr>
              <w:pStyle w:val="CETBodytext"/>
              <w:ind w:right="-1"/>
              <w:rPr>
                <w:rFonts w:cs="Arial"/>
                <w:szCs w:val="18"/>
                <w:lang w:val="en-GB"/>
              </w:rPr>
            </w:pPr>
            <w:r w:rsidRPr="0059610B">
              <w:rPr>
                <w:rFonts w:cs="Arial"/>
                <w:color w:val="000000"/>
                <w:lang w:eastAsia="it-IT"/>
              </w:rPr>
              <w:t>1</w:t>
            </w:r>
            <w:r>
              <w:rPr>
                <w:rFonts w:cs="Arial"/>
                <w:color w:val="000000"/>
                <w:lang w:eastAsia="it-IT"/>
              </w:rPr>
              <w:t>.</w:t>
            </w:r>
            <w:r w:rsidRPr="0059610B">
              <w:rPr>
                <w:rFonts w:cs="Arial"/>
                <w:color w:val="000000"/>
                <w:lang w:eastAsia="it-IT"/>
              </w:rPr>
              <w:t>10E-05</w:t>
            </w:r>
          </w:p>
        </w:tc>
      </w:tr>
      <w:tr w:rsidR="00C919F3" w:rsidRPr="00B57B36" w14:paraId="7CFC0FAE" w14:textId="77777777" w:rsidTr="00297D0D">
        <w:tc>
          <w:tcPr>
            <w:tcW w:w="1134" w:type="dxa"/>
            <w:vMerge/>
            <w:tcBorders>
              <w:top w:val="nil"/>
              <w:bottom w:val="single" w:sz="12" w:space="0" w:color="008000"/>
            </w:tcBorders>
            <w:shd w:val="clear" w:color="auto" w:fill="FFFFFF"/>
          </w:tcPr>
          <w:p w14:paraId="7F45A794" w14:textId="77777777" w:rsidR="00C919F3" w:rsidRDefault="00C919F3" w:rsidP="00C919F3">
            <w:pPr>
              <w:pStyle w:val="CETBodytext"/>
              <w:ind w:right="-1"/>
              <w:rPr>
                <w:rFonts w:cs="Arial"/>
                <w:szCs w:val="18"/>
                <w:lang w:val="en-GB"/>
              </w:rPr>
            </w:pPr>
          </w:p>
        </w:tc>
        <w:tc>
          <w:tcPr>
            <w:tcW w:w="1560" w:type="dxa"/>
            <w:tcBorders>
              <w:top w:val="nil"/>
              <w:bottom w:val="single" w:sz="12" w:space="0" w:color="008000"/>
            </w:tcBorders>
            <w:shd w:val="clear" w:color="auto" w:fill="FFFFFF"/>
            <w:vAlign w:val="bottom"/>
          </w:tcPr>
          <w:p w14:paraId="2E3AC6E9" w14:textId="77777777" w:rsidR="00C919F3" w:rsidRPr="0059610B" w:rsidRDefault="00C919F3" w:rsidP="00C919F3">
            <w:pPr>
              <w:pStyle w:val="CETBodytext"/>
              <w:ind w:right="-1"/>
              <w:rPr>
                <w:rFonts w:cs="Arial"/>
                <w:szCs w:val="18"/>
                <w:lang w:val="en-GB"/>
              </w:rPr>
            </w:pPr>
            <w:r w:rsidRPr="0059610B">
              <w:rPr>
                <w:rFonts w:cs="Arial"/>
                <w:color w:val="000000"/>
                <w:lang w:eastAsia="it-IT"/>
              </w:rPr>
              <w:t>Catastrophic rupture</w:t>
            </w:r>
          </w:p>
        </w:tc>
        <w:tc>
          <w:tcPr>
            <w:tcW w:w="1417" w:type="dxa"/>
            <w:tcBorders>
              <w:top w:val="nil"/>
              <w:bottom w:val="single" w:sz="12" w:space="0" w:color="008000"/>
            </w:tcBorders>
            <w:shd w:val="clear" w:color="auto" w:fill="FFFFFF"/>
            <w:vAlign w:val="bottom"/>
          </w:tcPr>
          <w:p w14:paraId="1FEDB316" w14:textId="77777777" w:rsidR="00C919F3" w:rsidRPr="0059610B" w:rsidRDefault="00C919F3" w:rsidP="00C919F3">
            <w:pPr>
              <w:pStyle w:val="CETBodytext"/>
              <w:ind w:right="-1"/>
              <w:rPr>
                <w:rFonts w:cs="Arial"/>
                <w:szCs w:val="18"/>
                <w:lang w:val="en-GB"/>
              </w:rPr>
            </w:pPr>
            <w:r w:rsidRPr="0059610B">
              <w:rPr>
                <w:rFonts w:cs="Arial"/>
                <w:color w:val="000000"/>
                <w:lang w:eastAsia="it-IT"/>
              </w:rPr>
              <w:t>3</w:t>
            </w:r>
            <w:r>
              <w:rPr>
                <w:rFonts w:cs="Arial"/>
                <w:color w:val="000000"/>
                <w:lang w:eastAsia="it-IT"/>
              </w:rPr>
              <w:t>.</w:t>
            </w:r>
            <w:r w:rsidRPr="0059610B">
              <w:rPr>
                <w:rFonts w:cs="Arial"/>
                <w:color w:val="000000"/>
                <w:lang w:eastAsia="it-IT"/>
              </w:rPr>
              <w:t>20E-06</w:t>
            </w:r>
          </w:p>
        </w:tc>
      </w:tr>
    </w:tbl>
    <w:p w14:paraId="4D31A72B" w14:textId="2DF3DA06" w:rsidR="00956BB9" w:rsidRPr="00956BB9" w:rsidRDefault="00956BB9" w:rsidP="00297D0D">
      <w:pPr>
        <w:pStyle w:val="Didascalia"/>
        <w:keepNext/>
        <w:rPr>
          <w:b w:val="0"/>
          <w:bCs w:val="0"/>
          <w:i/>
          <w:iCs/>
          <w:color w:val="auto"/>
        </w:rPr>
      </w:pPr>
    </w:p>
    <w:p w14:paraId="21D257B5" w14:textId="65F3576C" w:rsidR="00AF29D8" w:rsidRDefault="00AF29D8" w:rsidP="00297D0D">
      <w:pPr>
        <w:pStyle w:val="CETBodytext"/>
        <w:spacing w:line="240" w:lineRule="auto"/>
      </w:pPr>
      <w:r w:rsidRPr="00AF29D8">
        <w:t>At last</w:t>
      </w:r>
      <w:r w:rsidR="00FF4DD0">
        <w:t>,</w:t>
      </w:r>
      <w:r w:rsidRPr="00AF29D8">
        <w:t xml:space="preserve"> the harm criteria are chosen. Four different thermal radiation for jet fire, fireball and pool fire were considered: 1.6, 4, 12.5, 37.5 </w:t>
      </w:r>
      <m:oMath>
        <m:f>
          <m:fPr>
            <m:type m:val="skw"/>
            <m:ctrlPr>
              <w:rPr>
                <w:rFonts w:ascii="Cambria Math" w:hAnsi="Cambria Math"/>
                <w:i/>
              </w:rPr>
            </m:ctrlPr>
          </m:fPr>
          <m:num>
            <m:r>
              <w:rPr>
                <w:rFonts w:ascii="Cambria Math" w:hAnsi="Cambria Math"/>
              </w:rPr>
              <m:t>kW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r w:rsidRPr="00AF29D8">
        <w:t>. Regarding the flash fire</w:t>
      </w:r>
      <w:r w:rsidR="00FF4DD0">
        <w:t>,</w:t>
      </w:r>
      <w:r w:rsidRPr="00AF29D8">
        <w:t xml:space="preserve"> the population inside the Lower Flammability Level (LFL) will die with 100% probability due to direct contact with the flames, while people situated in ½ LFL will suffer only inhalation effect. Four levels of overpressure were chosen to evaluate the impact of the V</w:t>
      </w:r>
      <w:r w:rsidR="00F43F67">
        <w:t xml:space="preserve">apor </w:t>
      </w:r>
      <w:r w:rsidRPr="00AF29D8">
        <w:t>C</w:t>
      </w:r>
      <w:r w:rsidR="00F43F67">
        <w:t xml:space="preserve">loud </w:t>
      </w:r>
      <w:r w:rsidRPr="00AF29D8">
        <w:t>E</w:t>
      </w:r>
      <w:r w:rsidR="00F43F67">
        <w:t>xplosion (VCE)</w:t>
      </w:r>
      <w:r w:rsidRPr="00AF29D8">
        <w:t xml:space="preserve">. The </w:t>
      </w:r>
      <w:r w:rsidR="00C96269">
        <w:t xml:space="preserve">adopted </w:t>
      </w:r>
      <w:r w:rsidRPr="00AF29D8">
        <w:t xml:space="preserve">evaluation criteria are reported in Table </w:t>
      </w:r>
      <w:r w:rsidR="00CE4675">
        <w:t>5</w:t>
      </w:r>
      <w:r w:rsidRPr="00AF29D8">
        <w:t>:</w:t>
      </w:r>
    </w:p>
    <w:p w14:paraId="18EF4BB4" w14:textId="37AF9F6F" w:rsidR="00477B75" w:rsidRDefault="00477B75" w:rsidP="00297D0D">
      <w:pPr>
        <w:pStyle w:val="Didascalia"/>
        <w:keepNext/>
        <w:spacing w:before="240" w:after="80"/>
      </w:pPr>
      <w:r w:rsidRPr="00477B75">
        <w:rPr>
          <w:b w:val="0"/>
          <w:bCs w:val="0"/>
          <w:i/>
          <w:iCs/>
          <w:color w:val="auto"/>
        </w:rPr>
        <w:t xml:space="preserve">Table </w:t>
      </w:r>
      <w:r w:rsidR="00CE4675">
        <w:rPr>
          <w:b w:val="0"/>
          <w:bCs w:val="0"/>
          <w:i/>
          <w:iCs/>
          <w:color w:val="auto"/>
        </w:rPr>
        <w:t>5</w:t>
      </w:r>
      <w:r w:rsidRPr="00477B75">
        <w:rPr>
          <w:b w:val="0"/>
          <w:bCs w:val="0"/>
          <w:i/>
          <w:iCs/>
          <w:color w:val="auto"/>
        </w:rPr>
        <w:t>: Adopted harm criteria for the implementation of the QRA</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971"/>
        <w:gridCol w:w="1180"/>
        <w:gridCol w:w="3101"/>
        <w:gridCol w:w="931"/>
      </w:tblGrid>
      <w:tr w:rsidR="00F43F67" w:rsidRPr="00B57B36" w14:paraId="593B9FBD" w14:textId="0A6B5D7D" w:rsidTr="00F43F67">
        <w:tc>
          <w:tcPr>
            <w:tcW w:w="1971" w:type="dxa"/>
            <w:tcBorders>
              <w:top w:val="single" w:sz="12" w:space="0" w:color="008000"/>
              <w:bottom w:val="single" w:sz="6" w:space="0" w:color="008000"/>
            </w:tcBorders>
            <w:shd w:val="clear" w:color="auto" w:fill="FFFFFF"/>
          </w:tcPr>
          <w:p w14:paraId="3857A8B7" w14:textId="0DAA104C" w:rsidR="00F43F67" w:rsidRPr="00B57B36" w:rsidRDefault="00F43F67" w:rsidP="00AA082C">
            <w:pPr>
              <w:pStyle w:val="CETBodytext"/>
              <w:rPr>
                <w:lang w:val="en-GB"/>
              </w:rPr>
            </w:pPr>
            <w:r>
              <w:rPr>
                <w:lang w:val="en-GB"/>
              </w:rPr>
              <w:t>Incident outcome</w:t>
            </w:r>
          </w:p>
        </w:tc>
        <w:tc>
          <w:tcPr>
            <w:tcW w:w="1180" w:type="dxa"/>
            <w:tcBorders>
              <w:top w:val="single" w:sz="12" w:space="0" w:color="008000"/>
              <w:bottom w:val="single" w:sz="6" w:space="0" w:color="008000"/>
            </w:tcBorders>
            <w:shd w:val="clear" w:color="auto" w:fill="FFFFFF"/>
          </w:tcPr>
          <w:p w14:paraId="15F04B40" w14:textId="580B2C45" w:rsidR="00F43F67" w:rsidRDefault="00F43F67" w:rsidP="00AA082C">
            <w:pPr>
              <w:pStyle w:val="CETBodytext"/>
              <w:rPr>
                <w:lang w:val="en-GB"/>
              </w:rPr>
            </w:pPr>
            <w:r>
              <w:rPr>
                <w:lang w:val="en-GB"/>
              </w:rPr>
              <w:t>Criteria</w:t>
            </w:r>
          </w:p>
        </w:tc>
        <w:tc>
          <w:tcPr>
            <w:tcW w:w="3101" w:type="dxa"/>
            <w:tcBorders>
              <w:top w:val="single" w:sz="12" w:space="0" w:color="008000"/>
              <w:bottom w:val="single" w:sz="6" w:space="0" w:color="008000"/>
            </w:tcBorders>
            <w:shd w:val="clear" w:color="auto" w:fill="FFFFFF"/>
          </w:tcPr>
          <w:p w14:paraId="3E8396C4" w14:textId="48FC72A1" w:rsidR="00F43F67" w:rsidRPr="00B57B36" w:rsidRDefault="00F43F67" w:rsidP="00AA082C">
            <w:pPr>
              <w:pStyle w:val="CETBodytext"/>
              <w:rPr>
                <w:lang w:val="en-GB"/>
              </w:rPr>
            </w:pPr>
            <w:r>
              <w:rPr>
                <w:lang w:val="en-GB"/>
              </w:rPr>
              <w:t>Damage</w:t>
            </w:r>
          </w:p>
        </w:tc>
        <w:tc>
          <w:tcPr>
            <w:tcW w:w="931" w:type="dxa"/>
            <w:tcBorders>
              <w:top w:val="single" w:sz="12" w:space="0" w:color="008000"/>
              <w:bottom w:val="single" w:sz="6" w:space="0" w:color="008000"/>
            </w:tcBorders>
            <w:shd w:val="clear" w:color="auto" w:fill="FFFFFF"/>
          </w:tcPr>
          <w:p w14:paraId="53EE4286" w14:textId="162B4379" w:rsidR="00F43F67" w:rsidRDefault="00F43F67" w:rsidP="00AA082C">
            <w:pPr>
              <w:pStyle w:val="CETBodytext"/>
              <w:rPr>
                <w:lang w:val="en-GB"/>
              </w:rPr>
            </w:pPr>
            <w:r>
              <w:rPr>
                <w:lang w:val="en-GB"/>
              </w:rPr>
              <w:t>Fatality</w:t>
            </w:r>
          </w:p>
        </w:tc>
      </w:tr>
      <w:tr w:rsidR="00F43F67" w:rsidRPr="0059610B" w14:paraId="623487EB" w14:textId="767AFEC5" w:rsidTr="00F43F67">
        <w:tc>
          <w:tcPr>
            <w:tcW w:w="1971" w:type="dxa"/>
            <w:vMerge w:val="restart"/>
            <w:tcBorders>
              <w:top w:val="single" w:sz="6" w:space="0" w:color="008000"/>
              <w:bottom w:val="nil"/>
            </w:tcBorders>
            <w:shd w:val="clear" w:color="auto" w:fill="FFFFFF"/>
          </w:tcPr>
          <w:p w14:paraId="5F6BFAE3" w14:textId="523EF371" w:rsidR="00F43F67" w:rsidRDefault="00F43F67" w:rsidP="00F43F67">
            <w:pPr>
              <w:pStyle w:val="CETBodytext"/>
              <w:ind w:right="-1"/>
              <w:jc w:val="left"/>
              <w:rPr>
                <w:rFonts w:cs="Arial"/>
                <w:szCs w:val="18"/>
                <w:lang w:val="en-GB"/>
              </w:rPr>
            </w:pPr>
            <w:r>
              <w:rPr>
                <w:rFonts w:cs="Arial"/>
                <w:szCs w:val="18"/>
                <w:lang w:val="en-GB"/>
              </w:rPr>
              <w:t>Flash Fire</w:t>
            </w:r>
          </w:p>
        </w:tc>
        <w:tc>
          <w:tcPr>
            <w:tcW w:w="1180" w:type="dxa"/>
            <w:tcBorders>
              <w:top w:val="single" w:sz="6" w:space="0" w:color="008000"/>
              <w:bottom w:val="nil"/>
            </w:tcBorders>
            <w:shd w:val="clear" w:color="auto" w:fill="FFFFFF"/>
            <w:vAlign w:val="bottom"/>
          </w:tcPr>
          <w:p w14:paraId="4C84BF84" w14:textId="51F039C9" w:rsidR="00F43F67" w:rsidRPr="0059610B" w:rsidRDefault="00F43F67" w:rsidP="00F43F67">
            <w:pPr>
              <w:pStyle w:val="CETBodytext"/>
              <w:ind w:right="-1"/>
              <w:rPr>
                <w:rFonts w:cs="Arial"/>
                <w:szCs w:val="18"/>
                <w:lang w:val="en-GB"/>
              </w:rPr>
            </w:pPr>
            <w:r w:rsidRPr="00B536B9">
              <w:t>LFL</w:t>
            </w:r>
          </w:p>
        </w:tc>
        <w:tc>
          <w:tcPr>
            <w:tcW w:w="3101" w:type="dxa"/>
            <w:tcBorders>
              <w:top w:val="single" w:sz="6" w:space="0" w:color="008000"/>
              <w:bottom w:val="nil"/>
            </w:tcBorders>
            <w:shd w:val="clear" w:color="auto" w:fill="FFFFFF"/>
            <w:vAlign w:val="bottom"/>
          </w:tcPr>
          <w:p w14:paraId="1BB3F7C2" w14:textId="2C137CB5" w:rsidR="00F43F67" w:rsidRPr="0059610B" w:rsidRDefault="00F43F67" w:rsidP="00F43F67">
            <w:pPr>
              <w:pStyle w:val="CETBodytext"/>
              <w:ind w:right="-1"/>
              <w:rPr>
                <w:rFonts w:cs="Arial"/>
                <w:szCs w:val="18"/>
                <w:lang w:val="en-GB"/>
              </w:rPr>
            </w:pPr>
            <w:r w:rsidRPr="00B536B9">
              <w:t>Imminent Death</w:t>
            </w:r>
          </w:p>
        </w:tc>
        <w:tc>
          <w:tcPr>
            <w:tcW w:w="931" w:type="dxa"/>
            <w:tcBorders>
              <w:top w:val="single" w:sz="6" w:space="0" w:color="008000"/>
              <w:bottom w:val="nil"/>
            </w:tcBorders>
            <w:shd w:val="clear" w:color="auto" w:fill="FFFFFF"/>
            <w:vAlign w:val="bottom"/>
          </w:tcPr>
          <w:p w14:paraId="678CC194" w14:textId="70BBF559" w:rsidR="00F43F67" w:rsidRPr="0059610B" w:rsidRDefault="00F43F67" w:rsidP="00F43F67">
            <w:pPr>
              <w:pStyle w:val="CETBodytext"/>
              <w:ind w:right="-1"/>
              <w:rPr>
                <w:rFonts w:cs="Arial"/>
                <w:szCs w:val="18"/>
                <w:lang w:val="en-GB"/>
              </w:rPr>
            </w:pPr>
            <w:r w:rsidRPr="00B536B9">
              <w:t>100%</w:t>
            </w:r>
          </w:p>
        </w:tc>
      </w:tr>
      <w:tr w:rsidR="00F43F67" w:rsidRPr="0059610B" w14:paraId="4E01FF38" w14:textId="1DEB27E7" w:rsidTr="00F43F67">
        <w:tc>
          <w:tcPr>
            <w:tcW w:w="1971" w:type="dxa"/>
            <w:vMerge/>
            <w:tcBorders>
              <w:top w:val="nil"/>
              <w:bottom w:val="single" w:sz="4" w:space="0" w:color="008000"/>
            </w:tcBorders>
            <w:shd w:val="clear" w:color="auto" w:fill="FFFFFF"/>
            <w:vAlign w:val="bottom"/>
          </w:tcPr>
          <w:p w14:paraId="144F364A" w14:textId="4477CC8F" w:rsidR="00F43F67" w:rsidRDefault="00F43F67" w:rsidP="00F43F67">
            <w:pPr>
              <w:pStyle w:val="CETBodytext"/>
              <w:ind w:right="-1"/>
              <w:rPr>
                <w:rFonts w:cs="Arial"/>
                <w:szCs w:val="18"/>
                <w:lang w:val="en-GB"/>
              </w:rPr>
            </w:pPr>
          </w:p>
        </w:tc>
        <w:tc>
          <w:tcPr>
            <w:tcW w:w="1180" w:type="dxa"/>
            <w:tcBorders>
              <w:top w:val="nil"/>
              <w:bottom w:val="single" w:sz="4" w:space="0" w:color="008000"/>
            </w:tcBorders>
            <w:shd w:val="clear" w:color="auto" w:fill="FFFFFF"/>
            <w:vAlign w:val="bottom"/>
          </w:tcPr>
          <w:p w14:paraId="3DE26849" w14:textId="07E5A8B1" w:rsidR="00F43F67" w:rsidRPr="0059610B" w:rsidRDefault="00F43F67" w:rsidP="00F43F67">
            <w:pPr>
              <w:pStyle w:val="CETBodytext"/>
              <w:ind w:right="-1"/>
              <w:rPr>
                <w:rFonts w:cs="Arial"/>
                <w:szCs w:val="18"/>
                <w:lang w:val="en-GB"/>
              </w:rPr>
            </w:pPr>
            <w:r w:rsidRPr="00B536B9">
              <w:t>1/2LFL</w:t>
            </w:r>
          </w:p>
        </w:tc>
        <w:tc>
          <w:tcPr>
            <w:tcW w:w="3101" w:type="dxa"/>
            <w:tcBorders>
              <w:top w:val="nil"/>
              <w:bottom w:val="single" w:sz="4" w:space="0" w:color="008000"/>
            </w:tcBorders>
            <w:shd w:val="clear" w:color="auto" w:fill="FFFFFF"/>
            <w:vAlign w:val="bottom"/>
          </w:tcPr>
          <w:p w14:paraId="31C78339" w14:textId="02A3F9E8" w:rsidR="00F43F67" w:rsidRPr="0059610B" w:rsidRDefault="00F43F67" w:rsidP="00F43F67">
            <w:pPr>
              <w:pStyle w:val="CETBodytext"/>
              <w:ind w:right="-1"/>
              <w:rPr>
                <w:rFonts w:cs="Arial"/>
                <w:szCs w:val="18"/>
                <w:lang w:val="en-GB"/>
              </w:rPr>
            </w:pPr>
            <w:r w:rsidRPr="00B536B9">
              <w:t>Inhalation Effect</w:t>
            </w:r>
          </w:p>
        </w:tc>
        <w:tc>
          <w:tcPr>
            <w:tcW w:w="931" w:type="dxa"/>
            <w:tcBorders>
              <w:top w:val="nil"/>
              <w:bottom w:val="single" w:sz="4" w:space="0" w:color="008000"/>
            </w:tcBorders>
            <w:shd w:val="clear" w:color="auto" w:fill="FFFFFF"/>
            <w:vAlign w:val="bottom"/>
          </w:tcPr>
          <w:p w14:paraId="61669A4A" w14:textId="75C04121" w:rsidR="00F43F67" w:rsidRPr="0059610B" w:rsidRDefault="00F43F67" w:rsidP="00F43F67">
            <w:pPr>
              <w:pStyle w:val="CETBodytext"/>
              <w:ind w:right="-1"/>
              <w:rPr>
                <w:rFonts w:cs="Arial"/>
                <w:szCs w:val="18"/>
                <w:lang w:val="en-GB"/>
              </w:rPr>
            </w:pPr>
            <w:r w:rsidRPr="00B536B9">
              <w:t>0</w:t>
            </w:r>
          </w:p>
        </w:tc>
      </w:tr>
      <w:tr w:rsidR="00F43F67" w:rsidRPr="0059610B" w14:paraId="38713914" w14:textId="3839ECC3" w:rsidTr="00F43F67">
        <w:tc>
          <w:tcPr>
            <w:tcW w:w="1971" w:type="dxa"/>
            <w:vMerge w:val="restart"/>
            <w:tcBorders>
              <w:top w:val="single" w:sz="4" w:space="0" w:color="008000"/>
            </w:tcBorders>
            <w:shd w:val="clear" w:color="auto" w:fill="FFFFFF"/>
          </w:tcPr>
          <w:p w14:paraId="3DA8D532" w14:textId="20CEC36C" w:rsidR="00F43F67" w:rsidRDefault="00F43F67" w:rsidP="00F43F67">
            <w:pPr>
              <w:pStyle w:val="CETBodytext"/>
              <w:ind w:right="-1"/>
              <w:rPr>
                <w:rFonts w:cs="Arial"/>
                <w:szCs w:val="18"/>
                <w:lang w:val="en-GB"/>
              </w:rPr>
            </w:pPr>
            <w:r>
              <w:rPr>
                <w:rFonts w:cs="Arial"/>
                <w:szCs w:val="18"/>
                <w:lang w:val="en-GB"/>
              </w:rPr>
              <w:t>Pool fire, fireball, jet fire</w:t>
            </w:r>
          </w:p>
        </w:tc>
        <w:tc>
          <w:tcPr>
            <w:tcW w:w="1180" w:type="dxa"/>
            <w:tcBorders>
              <w:top w:val="single" w:sz="4" w:space="0" w:color="008000"/>
              <w:bottom w:val="nil"/>
            </w:tcBorders>
            <w:shd w:val="clear" w:color="auto" w:fill="FFFFFF"/>
            <w:vAlign w:val="bottom"/>
          </w:tcPr>
          <w:p w14:paraId="1107AE71" w14:textId="10854B85" w:rsidR="00F43F67" w:rsidRPr="0059610B" w:rsidRDefault="00F43F67" w:rsidP="00F43F67">
            <w:pPr>
              <w:pStyle w:val="CETBodytext"/>
              <w:ind w:right="-1"/>
              <w:rPr>
                <w:rFonts w:cs="Arial"/>
                <w:szCs w:val="18"/>
                <w:lang w:val="en-GB"/>
              </w:rPr>
            </w:pPr>
            <w:r w:rsidRPr="00B536B9">
              <w:t>1,6 (kW/m2)</w:t>
            </w:r>
          </w:p>
        </w:tc>
        <w:tc>
          <w:tcPr>
            <w:tcW w:w="3101" w:type="dxa"/>
            <w:tcBorders>
              <w:top w:val="single" w:sz="4" w:space="0" w:color="008000"/>
              <w:bottom w:val="nil"/>
            </w:tcBorders>
            <w:shd w:val="clear" w:color="auto" w:fill="FFFFFF"/>
            <w:vAlign w:val="bottom"/>
          </w:tcPr>
          <w:p w14:paraId="6EBBDF44" w14:textId="67B6FE10" w:rsidR="00F43F67" w:rsidRPr="0059610B" w:rsidRDefault="00F43F67" w:rsidP="00F43F67">
            <w:pPr>
              <w:pStyle w:val="CETBodytext"/>
              <w:ind w:right="-1"/>
              <w:rPr>
                <w:rFonts w:cs="Arial"/>
                <w:szCs w:val="18"/>
                <w:lang w:val="en-GB"/>
              </w:rPr>
            </w:pPr>
            <w:r w:rsidRPr="00B536B9">
              <w:t>Safe distance</w:t>
            </w:r>
          </w:p>
        </w:tc>
        <w:tc>
          <w:tcPr>
            <w:tcW w:w="931" w:type="dxa"/>
            <w:tcBorders>
              <w:top w:val="single" w:sz="4" w:space="0" w:color="008000"/>
              <w:bottom w:val="nil"/>
            </w:tcBorders>
            <w:shd w:val="clear" w:color="auto" w:fill="FFFFFF"/>
            <w:vAlign w:val="bottom"/>
          </w:tcPr>
          <w:p w14:paraId="213CD38D" w14:textId="6B8F7B1C" w:rsidR="00F43F67" w:rsidRPr="0059610B" w:rsidRDefault="00F43F67" w:rsidP="00F43F67">
            <w:pPr>
              <w:pStyle w:val="CETBodytext"/>
              <w:ind w:right="-1"/>
              <w:rPr>
                <w:rFonts w:cs="Arial"/>
                <w:szCs w:val="18"/>
                <w:lang w:val="en-GB"/>
              </w:rPr>
            </w:pPr>
            <w:r w:rsidRPr="00B536B9">
              <w:t>0</w:t>
            </w:r>
          </w:p>
        </w:tc>
      </w:tr>
      <w:tr w:rsidR="00F43F67" w:rsidRPr="0059610B" w14:paraId="4E0F6E82" w14:textId="77777777" w:rsidTr="00F43F67">
        <w:tc>
          <w:tcPr>
            <w:tcW w:w="1971" w:type="dxa"/>
            <w:vMerge/>
            <w:shd w:val="clear" w:color="auto" w:fill="FFFFFF"/>
          </w:tcPr>
          <w:p w14:paraId="4F7209B8" w14:textId="77777777" w:rsidR="00F43F67" w:rsidRDefault="00F43F67" w:rsidP="00F43F67">
            <w:pPr>
              <w:pStyle w:val="CETBodytext"/>
              <w:ind w:right="-1"/>
              <w:rPr>
                <w:rFonts w:cs="Arial"/>
                <w:szCs w:val="18"/>
                <w:lang w:val="en-GB"/>
              </w:rPr>
            </w:pPr>
          </w:p>
        </w:tc>
        <w:tc>
          <w:tcPr>
            <w:tcW w:w="1180" w:type="dxa"/>
            <w:tcBorders>
              <w:top w:val="nil"/>
              <w:bottom w:val="nil"/>
            </w:tcBorders>
            <w:shd w:val="clear" w:color="auto" w:fill="FFFFFF"/>
            <w:vAlign w:val="bottom"/>
          </w:tcPr>
          <w:p w14:paraId="64EBC457" w14:textId="64AEF027" w:rsidR="00F43F67" w:rsidRPr="0059610B" w:rsidRDefault="00F43F67" w:rsidP="00F43F67">
            <w:pPr>
              <w:pStyle w:val="CETBodytext"/>
              <w:ind w:right="-1"/>
              <w:rPr>
                <w:rFonts w:cs="Arial"/>
                <w:szCs w:val="18"/>
                <w:lang w:val="en-GB"/>
              </w:rPr>
            </w:pPr>
            <w:r w:rsidRPr="00B536B9">
              <w:t>4 (kW/m2)</w:t>
            </w:r>
          </w:p>
        </w:tc>
        <w:tc>
          <w:tcPr>
            <w:tcW w:w="3101" w:type="dxa"/>
            <w:tcBorders>
              <w:top w:val="nil"/>
              <w:bottom w:val="nil"/>
            </w:tcBorders>
            <w:shd w:val="clear" w:color="auto" w:fill="FFFFFF"/>
            <w:vAlign w:val="bottom"/>
          </w:tcPr>
          <w:p w14:paraId="43D8180B" w14:textId="723DA246" w:rsidR="00F43F67" w:rsidRPr="0059610B" w:rsidRDefault="00F43F67" w:rsidP="00F43F67">
            <w:pPr>
              <w:pStyle w:val="CETBodytext"/>
              <w:ind w:right="-1"/>
              <w:rPr>
                <w:rFonts w:cs="Arial"/>
                <w:szCs w:val="18"/>
                <w:lang w:val="en-GB"/>
              </w:rPr>
            </w:pPr>
            <w:r w:rsidRPr="00B536B9">
              <w:t>Second degree burn</w:t>
            </w:r>
          </w:p>
        </w:tc>
        <w:tc>
          <w:tcPr>
            <w:tcW w:w="931" w:type="dxa"/>
            <w:tcBorders>
              <w:top w:val="nil"/>
              <w:bottom w:val="nil"/>
            </w:tcBorders>
            <w:shd w:val="clear" w:color="auto" w:fill="FFFFFF"/>
            <w:vAlign w:val="bottom"/>
          </w:tcPr>
          <w:p w14:paraId="541F410D" w14:textId="7A72BF34" w:rsidR="00F43F67" w:rsidRPr="0059610B" w:rsidRDefault="00F43F67" w:rsidP="00F43F67">
            <w:pPr>
              <w:pStyle w:val="CETBodytext"/>
              <w:ind w:right="-1"/>
              <w:rPr>
                <w:rFonts w:cs="Arial"/>
                <w:szCs w:val="18"/>
                <w:lang w:val="en-GB"/>
              </w:rPr>
            </w:pPr>
            <w:r w:rsidRPr="00B536B9">
              <w:t>1%</w:t>
            </w:r>
          </w:p>
        </w:tc>
      </w:tr>
      <w:tr w:rsidR="00F43F67" w:rsidRPr="0059610B" w14:paraId="3CC0345C" w14:textId="77777777" w:rsidTr="00F43F67">
        <w:tc>
          <w:tcPr>
            <w:tcW w:w="1971" w:type="dxa"/>
            <w:vMerge/>
            <w:shd w:val="clear" w:color="auto" w:fill="FFFFFF"/>
          </w:tcPr>
          <w:p w14:paraId="6D63BAA4" w14:textId="77777777" w:rsidR="00F43F67" w:rsidRDefault="00F43F67" w:rsidP="00F43F67">
            <w:pPr>
              <w:pStyle w:val="CETBodytext"/>
              <w:ind w:right="-1"/>
              <w:rPr>
                <w:rFonts w:cs="Arial"/>
                <w:szCs w:val="18"/>
                <w:lang w:val="en-GB"/>
              </w:rPr>
            </w:pPr>
          </w:p>
        </w:tc>
        <w:tc>
          <w:tcPr>
            <w:tcW w:w="1180" w:type="dxa"/>
            <w:tcBorders>
              <w:top w:val="nil"/>
              <w:bottom w:val="nil"/>
            </w:tcBorders>
            <w:shd w:val="clear" w:color="auto" w:fill="FFFFFF"/>
            <w:vAlign w:val="bottom"/>
          </w:tcPr>
          <w:p w14:paraId="25FC06B0" w14:textId="263FE2E8" w:rsidR="00F43F67" w:rsidRPr="0059610B" w:rsidRDefault="00F43F67" w:rsidP="00F43F67">
            <w:pPr>
              <w:pStyle w:val="CETBodytext"/>
              <w:ind w:right="-1"/>
              <w:rPr>
                <w:rFonts w:cs="Arial"/>
                <w:szCs w:val="18"/>
                <w:lang w:val="en-GB"/>
              </w:rPr>
            </w:pPr>
            <w:r w:rsidRPr="00B536B9">
              <w:t>12,5 (kW/m2)</w:t>
            </w:r>
          </w:p>
        </w:tc>
        <w:tc>
          <w:tcPr>
            <w:tcW w:w="3101" w:type="dxa"/>
            <w:tcBorders>
              <w:top w:val="nil"/>
              <w:bottom w:val="nil"/>
            </w:tcBorders>
            <w:shd w:val="clear" w:color="auto" w:fill="FFFFFF"/>
            <w:vAlign w:val="bottom"/>
          </w:tcPr>
          <w:p w14:paraId="509950FF" w14:textId="41874EF1" w:rsidR="00F43F67" w:rsidRPr="0059610B" w:rsidRDefault="00F43F67" w:rsidP="00F43F67">
            <w:pPr>
              <w:pStyle w:val="CETBodytext"/>
              <w:ind w:right="-1"/>
              <w:rPr>
                <w:rFonts w:cs="Arial"/>
                <w:szCs w:val="18"/>
                <w:lang w:val="en-GB"/>
              </w:rPr>
            </w:pPr>
            <w:r w:rsidRPr="00B536B9">
              <w:t>Melting of plastic tubing</w:t>
            </w:r>
          </w:p>
        </w:tc>
        <w:tc>
          <w:tcPr>
            <w:tcW w:w="931" w:type="dxa"/>
            <w:tcBorders>
              <w:top w:val="nil"/>
              <w:bottom w:val="nil"/>
            </w:tcBorders>
            <w:shd w:val="clear" w:color="auto" w:fill="FFFFFF"/>
            <w:vAlign w:val="bottom"/>
          </w:tcPr>
          <w:p w14:paraId="24C53648" w14:textId="1F1E2C99" w:rsidR="00F43F67" w:rsidRPr="0059610B" w:rsidRDefault="00F43F67" w:rsidP="00F43F67">
            <w:pPr>
              <w:pStyle w:val="CETBodytext"/>
              <w:ind w:right="-1"/>
              <w:rPr>
                <w:rFonts w:cs="Arial"/>
                <w:szCs w:val="18"/>
                <w:lang w:val="en-GB"/>
              </w:rPr>
            </w:pPr>
            <w:r w:rsidRPr="00B536B9">
              <w:t>10%</w:t>
            </w:r>
          </w:p>
        </w:tc>
      </w:tr>
      <w:tr w:rsidR="00F43F67" w:rsidRPr="0059610B" w14:paraId="0B66018F" w14:textId="77777777" w:rsidTr="00394118">
        <w:tc>
          <w:tcPr>
            <w:tcW w:w="1971" w:type="dxa"/>
            <w:vMerge/>
            <w:tcBorders>
              <w:bottom w:val="single" w:sz="4" w:space="0" w:color="008000"/>
            </w:tcBorders>
            <w:shd w:val="clear" w:color="auto" w:fill="FFFFFF"/>
          </w:tcPr>
          <w:p w14:paraId="6D6EC11B" w14:textId="77777777" w:rsidR="00F43F67" w:rsidRDefault="00F43F67" w:rsidP="00F43F67">
            <w:pPr>
              <w:pStyle w:val="CETBodytext"/>
              <w:ind w:right="-1"/>
              <w:rPr>
                <w:rFonts w:cs="Arial"/>
                <w:szCs w:val="18"/>
                <w:lang w:val="en-GB"/>
              </w:rPr>
            </w:pPr>
          </w:p>
        </w:tc>
        <w:tc>
          <w:tcPr>
            <w:tcW w:w="1180" w:type="dxa"/>
            <w:tcBorders>
              <w:top w:val="nil"/>
              <w:bottom w:val="single" w:sz="4" w:space="0" w:color="008000"/>
            </w:tcBorders>
            <w:shd w:val="clear" w:color="auto" w:fill="FFFFFF"/>
            <w:vAlign w:val="bottom"/>
          </w:tcPr>
          <w:p w14:paraId="4CF30E09" w14:textId="7BF0B6D8" w:rsidR="00F43F67" w:rsidRPr="0059610B" w:rsidRDefault="00F43F67" w:rsidP="00F43F67">
            <w:pPr>
              <w:pStyle w:val="CETBodytext"/>
              <w:ind w:right="-1"/>
              <w:rPr>
                <w:rFonts w:cs="Arial"/>
                <w:szCs w:val="18"/>
                <w:lang w:val="en-GB"/>
              </w:rPr>
            </w:pPr>
            <w:r w:rsidRPr="00B536B9">
              <w:t>366 (kW/m2)</w:t>
            </w:r>
          </w:p>
        </w:tc>
        <w:tc>
          <w:tcPr>
            <w:tcW w:w="3101" w:type="dxa"/>
            <w:tcBorders>
              <w:top w:val="nil"/>
              <w:bottom w:val="single" w:sz="4" w:space="0" w:color="008000"/>
            </w:tcBorders>
            <w:shd w:val="clear" w:color="auto" w:fill="FFFFFF"/>
            <w:vAlign w:val="bottom"/>
          </w:tcPr>
          <w:p w14:paraId="236E5865" w14:textId="7EEC4299" w:rsidR="00F43F67" w:rsidRPr="0059610B" w:rsidRDefault="00F43F67" w:rsidP="00F43F67">
            <w:pPr>
              <w:pStyle w:val="CETBodytext"/>
              <w:ind w:right="-1"/>
              <w:rPr>
                <w:rFonts w:cs="Arial"/>
                <w:szCs w:val="18"/>
                <w:lang w:val="en-GB"/>
              </w:rPr>
            </w:pPr>
            <w:r w:rsidRPr="00B536B9">
              <w:rPr>
                <w:lang w:val="en-GB"/>
              </w:rPr>
              <w:t>Damage to process equipment, death</w:t>
            </w:r>
          </w:p>
        </w:tc>
        <w:tc>
          <w:tcPr>
            <w:tcW w:w="931" w:type="dxa"/>
            <w:tcBorders>
              <w:top w:val="nil"/>
              <w:bottom w:val="single" w:sz="4" w:space="0" w:color="008000"/>
            </w:tcBorders>
            <w:shd w:val="clear" w:color="auto" w:fill="FFFFFF"/>
            <w:vAlign w:val="bottom"/>
          </w:tcPr>
          <w:p w14:paraId="5B41EE76" w14:textId="63A1A30D" w:rsidR="00F43F67" w:rsidRPr="0059610B" w:rsidRDefault="00F43F67" w:rsidP="00F43F67">
            <w:pPr>
              <w:pStyle w:val="CETBodytext"/>
              <w:ind w:right="-1"/>
              <w:rPr>
                <w:rFonts w:cs="Arial"/>
                <w:szCs w:val="18"/>
                <w:lang w:val="en-GB"/>
              </w:rPr>
            </w:pPr>
            <w:r w:rsidRPr="00B536B9">
              <w:t>100%</w:t>
            </w:r>
          </w:p>
        </w:tc>
      </w:tr>
      <w:tr w:rsidR="00F43F67" w:rsidRPr="0059610B" w14:paraId="675444DC" w14:textId="77777777" w:rsidTr="00394118">
        <w:tc>
          <w:tcPr>
            <w:tcW w:w="1971" w:type="dxa"/>
            <w:vMerge w:val="restart"/>
            <w:tcBorders>
              <w:top w:val="single" w:sz="4" w:space="0" w:color="008000"/>
              <w:bottom w:val="nil"/>
            </w:tcBorders>
            <w:shd w:val="clear" w:color="auto" w:fill="FFFFFF"/>
          </w:tcPr>
          <w:p w14:paraId="25099D05" w14:textId="61EDF981" w:rsidR="00F43F67" w:rsidRDefault="00F43F67" w:rsidP="00F43F67">
            <w:pPr>
              <w:pStyle w:val="CETBodytext"/>
              <w:ind w:right="-1"/>
              <w:rPr>
                <w:rFonts w:cs="Arial"/>
                <w:szCs w:val="18"/>
                <w:lang w:val="en-GB"/>
              </w:rPr>
            </w:pPr>
            <w:r>
              <w:rPr>
                <w:rFonts w:cs="Arial"/>
                <w:szCs w:val="18"/>
                <w:lang w:val="en-GB"/>
              </w:rPr>
              <w:t>VCE</w:t>
            </w:r>
          </w:p>
        </w:tc>
        <w:tc>
          <w:tcPr>
            <w:tcW w:w="1180" w:type="dxa"/>
            <w:tcBorders>
              <w:top w:val="single" w:sz="4" w:space="0" w:color="008000"/>
              <w:bottom w:val="nil"/>
            </w:tcBorders>
            <w:shd w:val="clear" w:color="auto" w:fill="FFFFFF"/>
            <w:vAlign w:val="bottom"/>
          </w:tcPr>
          <w:p w14:paraId="7CD97DCA" w14:textId="5CA37121" w:rsidR="00F43F67" w:rsidRPr="0059610B" w:rsidRDefault="00F43F67" w:rsidP="00F43F67">
            <w:pPr>
              <w:pStyle w:val="CETBodytext"/>
              <w:ind w:right="-1"/>
              <w:rPr>
                <w:rFonts w:cs="Arial"/>
                <w:szCs w:val="18"/>
                <w:lang w:val="en-GB"/>
              </w:rPr>
            </w:pPr>
            <w:r w:rsidRPr="00B536B9">
              <w:t>0,0103 bar</w:t>
            </w:r>
          </w:p>
        </w:tc>
        <w:tc>
          <w:tcPr>
            <w:tcW w:w="3101" w:type="dxa"/>
            <w:tcBorders>
              <w:top w:val="single" w:sz="4" w:space="0" w:color="008000"/>
              <w:bottom w:val="nil"/>
            </w:tcBorders>
            <w:shd w:val="clear" w:color="auto" w:fill="FFFFFF"/>
            <w:vAlign w:val="bottom"/>
          </w:tcPr>
          <w:p w14:paraId="3EBB9855" w14:textId="48C3D99F" w:rsidR="00F43F67" w:rsidRPr="0059610B" w:rsidRDefault="00F43F67" w:rsidP="00F43F67">
            <w:pPr>
              <w:pStyle w:val="CETBodytext"/>
              <w:ind w:right="-1"/>
              <w:rPr>
                <w:rFonts w:cs="Arial"/>
                <w:szCs w:val="18"/>
                <w:lang w:val="en-GB"/>
              </w:rPr>
            </w:pPr>
            <w:r w:rsidRPr="00B536B9">
              <w:t>Glass shatter</w:t>
            </w:r>
          </w:p>
        </w:tc>
        <w:tc>
          <w:tcPr>
            <w:tcW w:w="931" w:type="dxa"/>
            <w:tcBorders>
              <w:top w:val="single" w:sz="4" w:space="0" w:color="008000"/>
              <w:bottom w:val="nil"/>
            </w:tcBorders>
            <w:shd w:val="clear" w:color="auto" w:fill="FFFFFF"/>
            <w:vAlign w:val="bottom"/>
          </w:tcPr>
          <w:p w14:paraId="3DCFC8B9" w14:textId="4AF90FC6" w:rsidR="00F43F67" w:rsidRPr="0059610B" w:rsidRDefault="00F43F67" w:rsidP="00F43F67">
            <w:pPr>
              <w:pStyle w:val="CETBodytext"/>
              <w:ind w:right="-1"/>
              <w:rPr>
                <w:rFonts w:cs="Arial"/>
                <w:szCs w:val="18"/>
                <w:lang w:val="en-GB"/>
              </w:rPr>
            </w:pPr>
            <w:r w:rsidRPr="00B536B9">
              <w:t>0%</w:t>
            </w:r>
          </w:p>
        </w:tc>
      </w:tr>
      <w:tr w:rsidR="00F43F67" w:rsidRPr="0059610B" w14:paraId="7D4ECBAE" w14:textId="77777777" w:rsidTr="00394118">
        <w:tc>
          <w:tcPr>
            <w:tcW w:w="1971" w:type="dxa"/>
            <w:vMerge/>
            <w:tcBorders>
              <w:top w:val="nil"/>
              <w:bottom w:val="nil"/>
            </w:tcBorders>
            <w:shd w:val="clear" w:color="auto" w:fill="FFFFFF"/>
            <w:vAlign w:val="bottom"/>
          </w:tcPr>
          <w:p w14:paraId="1C2FABDC" w14:textId="77777777" w:rsidR="00F43F67" w:rsidRDefault="00F43F67" w:rsidP="00F43F67">
            <w:pPr>
              <w:pStyle w:val="CETBodytext"/>
              <w:ind w:right="-1"/>
              <w:rPr>
                <w:rFonts w:cs="Arial"/>
                <w:szCs w:val="18"/>
                <w:lang w:val="en-GB"/>
              </w:rPr>
            </w:pPr>
          </w:p>
        </w:tc>
        <w:tc>
          <w:tcPr>
            <w:tcW w:w="1180" w:type="dxa"/>
            <w:tcBorders>
              <w:top w:val="nil"/>
              <w:bottom w:val="nil"/>
            </w:tcBorders>
            <w:shd w:val="clear" w:color="auto" w:fill="FFFFFF"/>
            <w:vAlign w:val="bottom"/>
          </w:tcPr>
          <w:p w14:paraId="6BE0E0A6" w14:textId="0537F827" w:rsidR="00F43F67" w:rsidRPr="0059610B" w:rsidRDefault="00F43F67" w:rsidP="00F43F67">
            <w:pPr>
              <w:pStyle w:val="CETBodytext"/>
              <w:ind w:right="-1"/>
              <w:rPr>
                <w:rFonts w:cs="Arial"/>
                <w:szCs w:val="18"/>
                <w:lang w:val="en-GB"/>
              </w:rPr>
            </w:pPr>
            <w:r w:rsidRPr="00B536B9">
              <w:t>0,02068 bar</w:t>
            </w:r>
          </w:p>
        </w:tc>
        <w:tc>
          <w:tcPr>
            <w:tcW w:w="3101" w:type="dxa"/>
            <w:tcBorders>
              <w:top w:val="nil"/>
              <w:bottom w:val="nil"/>
            </w:tcBorders>
            <w:shd w:val="clear" w:color="auto" w:fill="FFFFFF"/>
            <w:vAlign w:val="bottom"/>
          </w:tcPr>
          <w:p w14:paraId="2D173651" w14:textId="1C809449" w:rsidR="00F43F67" w:rsidRPr="0059610B" w:rsidRDefault="00F43F67" w:rsidP="00F43F67">
            <w:pPr>
              <w:pStyle w:val="CETBodytext"/>
              <w:ind w:right="-1"/>
              <w:rPr>
                <w:rFonts w:cs="Arial"/>
                <w:szCs w:val="18"/>
                <w:lang w:val="en-GB"/>
              </w:rPr>
            </w:pPr>
            <w:r w:rsidRPr="00B536B9">
              <w:t>Safe distance</w:t>
            </w:r>
          </w:p>
        </w:tc>
        <w:tc>
          <w:tcPr>
            <w:tcW w:w="931" w:type="dxa"/>
            <w:tcBorders>
              <w:top w:val="nil"/>
              <w:bottom w:val="nil"/>
            </w:tcBorders>
            <w:shd w:val="clear" w:color="auto" w:fill="FFFFFF"/>
            <w:vAlign w:val="bottom"/>
          </w:tcPr>
          <w:p w14:paraId="6E8B9E8F" w14:textId="4FDF07E7" w:rsidR="00F43F67" w:rsidRPr="0059610B" w:rsidRDefault="00F43F67" w:rsidP="00F43F67">
            <w:pPr>
              <w:pStyle w:val="CETBodytext"/>
              <w:ind w:right="-1"/>
              <w:rPr>
                <w:rFonts w:cs="Arial"/>
                <w:szCs w:val="18"/>
                <w:lang w:val="en-GB"/>
              </w:rPr>
            </w:pPr>
            <w:r w:rsidRPr="00B536B9">
              <w:t>0%</w:t>
            </w:r>
          </w:p>
        </w:tc>
      </w:tr>
      <w:tr w:rsidR="00F43F67" w:rsidRPr="0059610B" w14:paraId="3AFC1391" w14:textId="358C927A" w:rsidTr="00394118">
        <w:tc>
          <w:tcPr>
            <w:tcW w:w="1971" w:type="dxa"/>
            <w:vMerge/>
            <w:tcBorders>
              <w:top w:val="nil"/>
              <w:bottom w:val="nil"/>
            </w:tcBorders>
            <w:shd w:val="clear" w:color="auto" w:fill="FFFFFF"/>
            <w:vAlign w:val="bottom"/>
          </w:tcPr>
          <w:p w14:paraId="6AA77407" w14:textId="4EB341F1" w:rsidR="00F43F67" w:rsidRDefault="00F43F67" w:rsidP="00F43F67">
            <w:pPr>
              <w:pStyle w:val="CETBodytext"/>
              <w:ind w:right="-1"/>
              <w:rPr>
                <w:rFonts w:cs="Arial"/>
                <w:szCs w:val="18"/>
                <w:lang w:val="en-GB"/>
              </w:rPr>
            </w:pPr>
          </w:p>
        </w:tc>
        <w:tc>
          <w:tcPr>
            <w:tcW w:w="1180" w:type="dxa"/>
            <w:tcBorders>
              <w:top w:val="nil"/>
              <w:bottom w:val="nil"/>
            </w:tcBorders>
            <w:shd w:val="clear" w:color="auto" w:fill="FFFFFF"/>
            <w:vAlign w:val="bottom"/>
          </w:tcPr>
          <w:p w14:paraId="351B207D" w14:textId="4F3798A1" w:rsidR="00F43F67" w:rsidRPr="0059610B" w:rsidRDefault="00F43F67" w:rsidP="00F43F67">
            <w:pPr>
              <w:pStyle w:val="CETBodytext"/>
              <w:ind w:right="-1"/>
              <w:rPr>
                <w:rFonts w:cs="Arial"/>
                <w:szCs w:val="18"/>
                <w:lang w:val="en-GB"/>
              </w:rPr>
            </w:pPr>
            <w:r w:rsidRPr="00B536B9">
              <w:t>0,1379 bar</w:t>
            </w:r>
          </w:p>
        </w:tc>
        <w:tc>
          <w:tcPr>
            <w:tcW w:w="3101" w:type="dxa"/>
            <w:tcBorders>
              <w:top w:val="nil"/>
              <w:bottom w:val="nil"/>
            </w:tcBorders>
            <w:shd w:val="clear" w:color="auto" w:fill="FFFFFF"/>
            <w:vAlign w:val="bottom"/>
          </w:tcPr>
          <w:p w14:paraId="6CBA1D1F" w14:textId="0BC5811A" w:rsidR="00F43F67" w:rsidRPr="0059610B" w:rsidRDefault="00F43F67" w:rsidP="00F43F67">
            <w:pPr>
              <w:pStyle w:val="CETBodytext"/>
              <w:ind w:right="-1"/>
              <w:rPr>
                <w:rFonts w:cs="Arial"/>
                <w:szCs w:val="18"/>
                <w:lang w:val="en-GB"/>
              </w:rPr>
            </w:pPr>
            <w:r w:rsidRPr="00B536B9">
              <w:rPr>
                <w:lang w:val="en-GB"/>
              </w:rPr>
              <w:t>Partial collapse of roof and houses</w:t>
            </w:r>
          </w:p>
        </w:tc>
        <w:tc>
          <w:tcPr>
            <w:tcW w:w="931" w:type="dxa"/>
            <w:tcBorders>
              <w:top w:val="nil"/>
              <w:bottom w:val="nil"/>
            </w:tcBorders>
            <w:shd w:val="clear" w:color="auto" w:fill="FFFFFF"/>
            <w:vAlign w:val="bottom"/>
          </w:tcPr>
          <w:p w14:paraId="6CDC2C62" w14:textId="3A3F151D" w:rsidR="00F43F67" w:rsidRPr="0059610B" w:rsidRDefault="00F43F67" w:rsidP="00F43F67">
            <w:pPr>
              <w:pStyle w:val="CETBodytext"/>
              <w:ind w:right="-1"/>
              <w:rPr>
                <w:rFonts w:cs="Arial"/>
                <w:szCs w:val="18"/>
                <w:lang w:val="en-GB"/>
              </w:rPr>
            </w:pPr>
            <w:r w:rsidRPr="00B536B9">
              <w:t>5%</w:t>
            </w:r>
          </w:p>
        </w:tc>
      </w:tr>
      <w:tr w:rsidR="00F43F67" w:rsidRPr="0059610B" w14:paraId="25BFD920" w14:textId="559F922D" w:rsidTr="00394118">
        <w:tc>
          <w:tcPr>
            <w:tcW w:w="1971" w:type="dxa"/>
            <w:vMerge/>
            <w:tcBorders>
              <w:top w:val="nil"/>
              <w:bottom w:val="single" w:sz="12" w:space="0" w:color="008000"/>
            </w:tcBorders>
            <w:shd w:val="clear" w:color="auto" w:fill="FFFFFF"/>
          </w:tcPr>
          <w:p w14:paraId="73876B54" w14:textId="37994D3A" w:rsidR="00F43F67" w:rsidRDefault="00F43F67" w:rsidP="00F43F67">
            <w:pPr>
              <w:pStyle w:val="CETBodytext"/>
              <w:ind w:right="-1"/>
              <w:rPr>
                <w:rFonts w:cs="Arial"/>
                <w:szCs w:val="18"/>
                <w:lang w:val="en-GB"/>
              </w:rPr>
            </w:pPr>
          </w:p>
        </w:tc>
        <w:tc>
          <w:tcPr>
            <w:tcW w:w="1180" w:type="dxa"/>
            <w:tcBorders>
              <w:top w:val="nil"/>
              <w:bottom w:val="single" w:sz="12" w:space="0" w:color="008000"/>
            </w:tcBorders>
            <w:shd w:val="clear" w:color="auto" w:fill="FFFFFF"/>
            <w:vAlign w:val="bottom"/>
          </w:tcPr>
          <w:p w14:paraId="2D2D6490" w14:textId="22E735A0" w:rsidR="00F43F67" w:rsidRPr="0059610B" w:rsidRDefault="00F43F67" w:rsidP="00F43F67">
            <w:pPr>
              <w:pStyle w:val="CETBodytext"/>
              <w:ind w:right="-1"/>
              <w:rPr>
                <w:rFonts w:cs="Arial"/>
                <w:szCs w:val="18"/>
                <w:lang w:val="en-GB"/>
              </w:rPr>
            </w:pPr>
            <w:r w:rsidRPr="00B536B9">
              <w:t>0,2068 bar</w:t>
            </w:r>
          </w:p>
        </w:tc>
        <w:tc>
          <w:tcPr>
            <w:tcW w:w="3101" w:type="dxa"/>
            <w:tcBorders>
              <w:top w:val="nil"/>
              <w:bottom w:val="single" w:sz="12" w:space="0" w:color="008000"/>
            </w:tcBorders>
            <w:shd w:val="clear" w:color="auto" w:fill="FFFFFF"/>
            <w:vAlign w:val="bottom"/>
          </w:tcPr>
          <w:p w14:paraId="4177A348" w14:textId="5D256A0F" w:rsidR="00F43F67" w:rsidRPr="0059610B" w:rsidRDefault="00F43F67" w:rsidP="00F43F67">
            <w:pPr>
              <w:pStyle w:val="CETBodytext"/>
              <w:ind w:right="-1"/>
              <w:rPr>
                <w:rFonts w:cs="Arial"/>
                <w:szCs w:val="18"/>
                <w:lang w:val="en-GB"/>
              </w:rPr>
            </w:pPr>
            <w:r w:rsidRPr="00B536B9">
              <w:t>Serious injury, Fatality</w:t>
            </w:r>
          </w:p>
        </w:tc>
        <w:tc>
          <w:tcPr>
            <w:tcW w:w="931" w:type="dxa"/>
            <w:tcBorders>
              <w:top w:val="nil"/>
              <w:bottom w:val="single" w:sz="12" w:space="0" w:color="008000"/>
            </w:tcBorders>
            <w:shd w:val="clear" w:color="auto" w:fill="FFFFFF"/>
            <w:vAlign w:val="bottom"/>
          </w:tcPr>
          <w:p w14:paraId="65B7BBCF" w14:textId="2119DE77" w:rsidR="00F43F67" w:rsidRPr="0059610B" w:rsidRDefault="00F43F67" w:rsidP="00F43F67">
            <w:pPr>
              <w:pStyle w:val="CETBodytext"/>
              <w:ind w:right="-1"/>
              <w:rPr>
                <w:rFonts w:cs="Arial"/>
                <w:szCs w:val="18"/>
                <w:lang w:val="en-GB"/>
              </w:rPr>
            </w:pPr>
            <w:r w:rsidRPr="00B536B9">
              <w:t>100%</w:t>
            </w:r>
          </w:p>
        </w:tc>
      </w:tr>
    </w:tbl>
    <w:p w14:paraId="1E1ABA83" w14:textId="11AEC185" w:rsidR="00F22BE3" w:rsidRPr="00AF29D8" w:rsidRDefault="00B17418" w:rsidP="00297D0D">
      <w:pPr>
        <w:pStyle w:val="CETBodytext"/>
        <w:spacing w:before="120" w:line="240" w:lineRule="auto"/>
      </w:pPr>
      <w:proofErr w:type="spellStart"/>
      <w:r>
        <w:t>Safeti</w:t>
      </w:r>
      <w:proofErr w:type="spellEnd"/>
      <w:r>
        <w:t xml:space="preserve"> </w:t>
      </w:r>
      <w:r w:rsidR="00DD0D89">
        <w:t xml:space="preserve">assesses </w:t>
      </w:r>
      <w:r w:rsidR="00343B4C">
        <w:t>the risk integral percentage of each scenario</w:t>
      </w:r>
      <w:r w:rsidR="00F22BE3">
        <w:t>, then to estimate the risk integral percentage of a certain component</w:t>
      </w:r>
      <w:r w:rsidR="00DD0D89">
        <w:t>,</w:t>
      </w:r>
      <w:r w:rsidR="00F22BE3">
        <w:t xml:space="preserve"> the risk integral of every related scenario is summed. The obtained ranking is showed in Table </w:t>
      </w:r>
      <w:r w:rsidR="00CE4675">
        <w:t>6</w:t>
      </w:r>
      <w:r w:rsidR="00F22BE3">
        <w:t>:</w:t>
      </w:r>
    </w:p>
    <w:p w14:paraId="573C10BE" w14:textId="1E434DE9" w:rsidR="00633403" w:rsidRPr="00633403" w:rsidRDefault="00633403" w:rsidP="00297D0D">
      <w:pPr>
        <w:pStyle w:val="Didascalia"/>
        <w:keepNext/>
        <w:spacing w:before="240" w:after="80"/>
        <w:rPr>
          <w:b w:val="0"/>
          <w:bCs w:val="0"/>
          <w:i/>
          <w:iCs/>
          <w:color w:val="auto"/>
        </w:rPr>
      </w:pPr>
      <w:r w:rsidRPr="00633403">
        <w:rPr>
          <w:b w:val="0"/>
          <w:bCs w:val="0"/>
          <w:i/>
          <w:iCs/>
          <w:color w:val="auto"/>
        </w:rPr>
        <w:t xml:space="preserve">Table </w:t>
      </w:r>
      <w:r w:rsidR="00CE4675">
        <w:rPr>
          <w:b w:val="0"/>
          <w:bCs w:val="0"/>
          <w:i/>
          <w:iCs/>
          <w:color w:val="auto"/>
        </w:rPr>
        <w:t>6</w:t>
      </w:r>
      <w:r w:rsidRPr="00633403">
        <w:rPr>
          <w:b w:val="0"/>
          <w:bCs w:val="0"/>
          <w:i/>
          <w:iCs/>
          <w:color w:val="auto"/>
        </w:rPr>
        <w:t>: Ranking obtained via QRA</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650"/>
        <w:gridCol w:w="2042"/>
      </w:tblGrid>
      <w:tr w:rsidR="00F22BE3" w:rsidRPr="00B57B36" w14:paraId="25C560EE" w14:textId="2ECC5FF6" w:rsidTr="007C1FB5">
        <w:tc>
          <w:tcPr>
            <w:tcW w:w="1134" w:type="dxa"/>
            <w:tcBorders>
              <w:top w:val="single" w:sz="12" w:space="0" w:color="008000"/>
              <w:bottom w:val="single" w:sz="6" w:space="0" w:color="008000"/>
            </w:tcBorders>
            <w:shd w:val="clear" w:color="auto" w:fill="FFFFFF"/>
          </w:tcPr>
          <w:p w14:paraId="6F935ABD" w14:textId="6CF6F2AF" w:rsidR="00F22BE3" w:rsidRPr="00B57B36" w:rsidRDefault="00F22BE3" w:rsidP="00AA082C">
            <w:pPr>
              <w:pStyle w:val="CETBodytext"/>
              <w:rPr>
                <w:lang w:val="en-GB"/>
              </w:rPr>
            </w:pPr>
            <w:r>
              <w:rPr>
                <w:lang w:val="en-GB"/>
              </w:rPr>
              <w:t>Ranking</w:t>
            </w:r>
          </w:p>
        </w:tc>
        <w:tc>
          <w:tcPr>
            <w:tcW w:w="1650" w:type="dxa"/>
            <w:tcBorders>
              <w:top w:val="single" w:sz="12" w:space="0" w:color="008000"/>
              <w:bottom w:val="single" w:sz="6" w:space="0" w:color="008000"/>
            </w:tcBorders>
            <w:shd w:val="clear" w:color="auto" w:fill="FFFFFF"/>
          </w:tcPr>
          <w:p w14:paraId="030D06AA" w14:textId="4B950F2F" w:rsidR="00F22BE3" w:rsidRPr="00B57B36" w:rsidRDefault="00F22BE3" w:rsidP="00AA082C">
            <w:pPr>
              <w:pStyle w:val="CETBodytext"/>
              <w:rPr>
                <w:lang w:val="en-GB"/>
              </w:rPr>
            </w:pPr>
            <w:r>
              <w:rPr>
                <w:lang w:val="en-GB"/>
              </w:rPr>
              <w:t>Component</w:t>
            </w:r>
          </w:p>
        </w:tc>
        <w:tc>
          <w:tcPr>
            <w:tcW w:w="2042" w:type="dxa"/>
            <w:tcBorders>
              <w:top w:val="single" w:sz="12" w:space="0" w:color="008000"/>
              <w:bottom w:val="single" w:sz="6" w:space="0" w:color="008000"/>
            </w:tcBorders>
            <w:shd w:val="clear" w:color="auto" w:fill="FFFFFF"/>
          </w:tcPr>
          <w:p w14:paraId="718A22D3" w14:textId="0FEC2F36" w:rsidR="00F22BE3" w:rsidRDefault="00F22BE3" w:rsidP="00AA082C">
            <w:pPr>
              <w:pStyle w:val="CETBodytext"/>
              <w:rPr>
                <w:lang w:val="en-GB"/>
              </w:rPr>
            </w:pPr>
            <w:r>
              <w:rPr>
                <w:lang w:val="en-GB"/>
              </w:rPr>
              <w:t>Risk integral percentage</w:t>
            </w:r>
          </w:p>
        </w:tc>
      </w:tr>
      <w:tr w:rsidR="00F22BE3" w:rsidRPr="00B57B36" w14:paraId="42DD2B7B" w14:textId="5B66FD46" w:rsidTr="007C1FB5">
        <w:tc>
          <w:tcPr>
            <w:tcW w:w="1134" w:type="dxa"/>
            <w:shd w:val="clear" w:color="auto" w:fill="FFFFFF"/>
          </w:tcPr>
          <w:p w14:paraId="202454A5" w14:textId="77777777" w:rsidR="00F22BE3" w:rsidRPr="00B57B36" w:rsidRDefault="00F22BE3" w:rsidP="00F22BE3">
            <w:pPr>
              <w:pStyle w:val="CETBodytext"/>
              <w:rPr>
                <w:lang w:val="en-GB"/>
              </w:rPr>
            </w:pPr>
            <w:r>
              <w:rPr>
                <w:lang w:val="en-GB"/>
              </w:rPr>
              <w:t>1</w:t>
            </w:r>
          </w:p>
        </w:tc>
        <w:tc>
          <w:tcPr>
            <w:tcW w:w="1650" w:type="dxa"/>
            <w:shd w:val="clear" w:color="auto" w:fill="FFFFFF"/>
            <w:vAlign w:val="bottom"/>
          </w:tcPr>
          <w:p w14:paraId="2CD001AE" w14:textId="5C39E17C" w:rsidR="00F22BE3" w:rsidRPr="00B57B36" w:rsidRDefault="00F22BE3" w:rsidP="00F22BE3">
            <w:pPr>
              <w:pStyle w:val="CETBodytext"/>
              <w:rPr>
                <w:lang w:val="en-GB"/>
              </w:rPr>
            </w:pPr>
            <w:r w:rsidRPr="00B536B9">
              <w:t>Filter</w:t>
            </w:r>
          </w:p>
        </w:tc>
        <w:tc>
          <w:tcPr>
            <w:tcW w:w="2042" w:type="dxa"/>
            <w:shd w:val="clear" w:color="auto" w:fill="FFFFFF"/>
            <w:vAlign w:val="bottom"/>
          </w:tcPr>
          <w:p w14:paraId="190F53C1" w14:textId="5E50C757" w:rsidR="00F22BE3" w:rsidRPr="00B536B9" w:rsidRDefault="00F22BE3" w:rsidP="00F22BE3">
            <w:pPr>
              <w:pStyle w:val="CETBodytext"/>
            </w:pPr>
            <w:r w:rsidRPr="00B536B9">
              <w:t>77</w:t>
            </w:r>
            <w:r w:rsidR="000769B1">
              <w:t>.</w:t>
            </w:r>
            <w:r w:rsidRPr="00B536B9">
              <w:t>57</w:t>
            </w:r>
          </w:p>
        </w:tc>
      </w:tr>
      <w:tr w:rsidR="00F22BE3" w:rsidRPr="00B57B36" w14:paraId="69710320" w14:textId="7C0CC71C" w:rsidTr="007C1FB5">
        <w:tc>
          <w:tcPr>
            <w:tcW w:w="1134" w:type="dxa"/>
            <w:shd w:val="clear" w:color="auto" w:fill="FFFFFF"/>
          </w:tcPr>
          <w:p w14:paraId="39D9DB29" w14:textId="77777777" w:rsidR="00F22BE3" w:rsidRPr="00B57B36" w:rsidRDefault="00F22BE3" w:rsidP="00F22BE3">
            <w:pPr>
              <w:pStyle w:val="CETBodytext"/>
              <w:ind w:right="-1"/>
              <w:rPr>
                <w:rFonts w:cs="Arial"/>
                <w:szCs w:val="18"/>
                <w:lang w:val="en-GB"/>
              </w:rPr>
            </w:pPr>
            <w:r>
              <w:rPr>
                <w:rFonts w:cs="Arial"/>
                <w:szCs w:val="18"/>
                <w:lang w:val="en-GB"/>
              </w:rPr>
              <w:t>2</w:t>
            </w:r>
          </w:p>
        </w:tc>
        <w:tc>
          <w:tcPr>
            <w:tcW w:w="1650" w:type="dxa"/>
            <w:shd w:val="clear" w:color="auto" w:fill="FFFFFF"/>
            <w:vAlign w:val="bottom"/>
          </w:tcPr>
          <w:p w14:paraId="75B986B0" w14:textId="32E28146" w:rsidR="00F22BE3" w:rsidRPr="00B57B36" w:rsidRDefault="00F22BE3" w:rsidP="00F22BE3">
            <w:pPr>
              <w:pStyle w:val="CETBodytext"/>
              <w:ind w:right="-1"/>
              <w:rPr>
                <w:rFonts w:cs="Arial"/>
                <w:szCs w:val="18"/>
                <w:lang w:val="en-GB"/>
              </w:rPr>
            </w:pPr>
            <w:r w:rsidRPr="00B536B9">
              <w:t>P</w:t>
            </w:r>
            <w:r w:rsidR="007C1FB5">
              <w:t xml:space="preserve">ressure </w:t>
            </w:r>
            <w:r w:rsidRPr="00B536B9">
              <w:t>R</w:t>
            </w:r>
            <w:r w:rsidR="007C1FB5">
              <w:t>egulator</w:t>
            </w:r>
          </w:p>
        </w:tc>
        <w:tc>
          <w:tcPr>
            <w:tcW w:w="2042" w:type="dxa"/>
            <w:shd w:val="clear" w:color="auto" w:fill="FFFFFF"/>
            <w:vAlign w:val="bottom"/>
          </w:tcPr>
          <w:p w14:paraId="113F7FA0" w14:textId="760FCBC1" w:rsidR="00F22BE3" w:rsidRPr="00B536B9" w:rsidRDefault="00F22BE3" w:rsidP="00F22BE3">
            <w:pPr>
              <w:pStyle w:val="CETBodytext"/>
              <w:ind w:right="-1"/>
            </w:pPr>
            <w:r w:rsidRPr="00B536B9">
              <w:t>11</w:t>
            </w:r>
            <w:r w:rsidR="000769B1">
              <w:t>.</w:t>
            </w:r>
            <w:r w:rsidRPr="00B536B9">
              <w:t>48</w:t>
            </w:r>
          </w:p>
        </w:tc>
      </w:tr>
      <w:tr w:rsidR="00F22BE3" w:rsidRPr="00B57B36" w14:paraId="2B489480" w14:textId="4C0FD9BE" w:rsidTr="007C1FB5">
        <w:tc>
          <w:tcPr>
            <w:tcW w:w="1134" w:type="dxa"/>
            <w:shd w:val="clear" w:color="auto" w:fill="FFFFFF"/>
          </w:tcPr>
          <w:p w14:paraId="2F91BFC3" w14:textId="77777777" w:rsidR="00F22BE3" w:rsidRDefault="00F22BE3" w:rsidP="00F22BE3">
            <w:pPr>
              <w:pStyle w:val="CETBodytext"/>
              <w:ind w:right="-1"/>
              <w:rPr>
                <w:rFonts w:cs="Arial"/>
                <w:szCs w:val="18"/>
                <w:lang w:val="en-GB"/>
              </w:rPr>
            </w:pPr>
            <w:r>
              <w:rPr>
                <w:rFonts w:cs="Arial"/>
                <w:szCs w:val="18"/>
                <w:lang w:val="en-GB"/>
              </w:rPr>
              <w:t>3</w:t>
            </w:r>
          </w:p>
        </w:tc>
        <w:tc>
          <w:tcPr>
            <w:tcW w:w="1650" w:type="dxa"/>
            <w:shd w:val="clear" w:color="auto" w:fill="FFFFFF"/>
            <w:vAlign w:val="bottom"/>
          </w:tcPr>
          <w:p w14:paraId="05766D37" w14:textId="28591D24" w:rsidR="00F22BE3" w:rsidRPr="00B57B36" w:rsidRDefault="00F22BE3" w:rsidP="00F22BE3">
            <w:pPr>
              <w:pStyle w:val="CETBodytext"/>
              <w:ind w:right="-1"/>
              <w:rPr>
                <w:rFonts w:cs="Arial"/>
                <w:szCs w:val="18"/>
                <w:lang w:val="en-GB"/>
              </w:rPr>
            </w:pPr>
            <w:r w:rsidRPr="00B536B9">
              <w:t>THT tank</w:t>
            </w:r>
          </w:p>
        </w:tc>
        <w:tc>
          <w:tcPr>
            <w:tcW w:w="2042" w:type="dxa"/>
            <w:shd w:val="clear" w:color="auto" w:fill="FFFFFF"/>
            <w:vAlign w:val="bottom"/>
          </w:tcPr>
          <w:p w14:paraId="172125D8" w14:textId="769324A9" w:rsidR="00F22BE3" w:rsidRPr="00B536B9" w:rsidRDefault="00F22BE3" w:rsidP="00F22BE3">
            <w:pPr>
              <w:pStyle w:val="CETBodytext"/>
              <w:ind w:right="-1"/>
            </w:pPr>
            <w:r w:rsidRPr="00B536B9">
              <w:t>9</w:t>
            </w:r>
            <w:r w:rsidR="000769B1">
              <w:t>.</w:t>
            </w:r>
            <w:r w:rsidRPr="00B536B9">
              <w:t>494</w:t>
            </w:r>
          </w:p>
        </w:tc>
      </w:tr>
      <w:tr w:rsidR="00F22BE3" w:rsidRPr="00B57B36" w14:paraId="2F24530F" w14:textId="6DB57E72" w:rsidTr="007C1FB5">
        <w:tc>
          <w:tcPr>
            <w:tcW w:w="1134" w:type="dxa"/>
            <w:shd w:val="clear" w:color="auto" w:fill="FFFFFF"/>
          </w:tcPr>
          <w:p w14:paraId="1A75AAD9" w14:textId="77777777" w:rsidR="00F22BE3" w:rsidRDefault="00F22BE3" w:rsidP="00F22BE3">
            <w:pPr>
              <w:pStyle w:val="CETBodytext"/>
              <w:ind w:right="-1"/>
              <w:rPr>
                <w:rFonts w:cs="Arial"/>
                <w:szCs w:val="18"/>
                <w:lang w:val="en-GB"/>
              </w:rPr>
            </w:pPr>
            <w:r>
              <w:rPr>
                <w:rFonts w:cs="Arial"/>
                <w:szCs w:val="18"/>
                <w:lang w:val="en-GB"/>
              </w:rPr>
              <w:t>4</w:t>
            </w:r>
          </w:p>
        </w:tc>
        <w:tc>
          <w:tcPr>
            <w:tcW w:w="1650" w:type="dxa"/>
            <w:shd w:val="clear" w:color="auto" w:fill="FFFFFF"/>
            <w:vAlign w:val="bottom"/>
          </w:tcPr>
          <w:p w14:paraId="2F281116" w14:textId="1B9C93F8" w:rsidR="00F22BE3" w:rsidRPr="00B57B36" w:rsidRDefault="00F22BE3" w:rsidP="00F22BE3">
            <w:pPr>
              <w:pStyle w:val="CETBodytext"/>
              <w:ind w:right="-1"/>
              <w:rPr>
                <w:rFonts w:cs="Arial"/>
                <w:szCs w:val="18"/>
                <w:lang w:val="en-GB"/>
              </w:rPr>
            </w:pPr>
            <w:r w:rsidRPr="00B536B9">
              <w:t>THT pipe</w:t>
            </w:r>
            <w:r w:rsidR="00BF3249">
              <w:t>lines</w:t>
            </w:r>
          </w:p>
        </w:tc>
        <w:tc>
          <w:tcPr>
            <w:tcW w:w="2042" w:type="dxa"/>
            <w:shd w:val="clear" w:color="auto" w:fill="FFFFFF"/>
            <w:vAlign w:val="bottom"/>
          </w:tcPr>
          <w:p w14:paraId="66C0D758" w14:textId="05F26CFF" w:rsidR="00F22BE3" w:rsidRPr="00B536B9" w:rsidRDefault="00F22BE3" w:rsidP="00F22BE3">
            <w:pPr>
              <w:pStyle w:val="CETBodytext"/>
              <w:ind w:right="-1"/>
            </w:pPr>
            <w:r w:rsidRPr="00B536B9">
              <w:t>1</w:t>
            </w:r>
            <w:r w:rsidR="000769B1">
              <w:t>.</w:t>
            </w:r>
            <w:r w:rsidRPr="00B536B9">
              <w:t>451</w:t>
            </w:r>
          </w:p>
        </w:tc>
      </w:tr>
      <w:tr w:rsidR="00F22BE3" w:rsidRPr="00B57B36" w14:paraId="6E0D325E" w14:textId="0F123598" w:rsidTr="007C1FB5">
        <w:tc>
          <w:tcPr>
            <w:tcW w:w="1134" w:type="dxa"/>
            <w:shd w:val="clear" w:color="auto" w:fill="FFFFFF"/>
          </w:tcPr>
          <w:p w14:paraId="1F9326AA" w14:textId="77777777" w:rsidR="00F22BE3" w:rsidRDefault="00F22BE3" w:rsidP="00F22BE3">
            <w:pPr>
              <w:pStyle w:val="CETBodytext"/>
              <w:ind w:right="-1"/>
              <w:rPr>
                <w:rFonts w:cs="Arial"/>
                <w:szCs w:val="18"/>
                <w:lang w:val="en-GB"/>
              </w:rPr>
            </w:pPr>
            <w:r>
              <w:rPr>
                <w:rFonts w:cs="Arial"/>
                <w:szCs w:val="18"/>
                <w:lang w:val="en-GB"/>
              </w:rPr>
              <w:t>5</w:t>
            </w:r>
          </w:p>
        </w:tc>
        <w:tc>
          <w:tcPr>
            <w:tcW w:w="1650" w:type="dxa"/>
            <w:shd w:val="clear" w:color="auto" w:fill="FFFFFF"/>
            <w:vAlign w:val="bottom"/>
          </w:tcPr>
          <w:p w14:paraId="6B3F14C8" w14:textId="3E6016D5" w:rsidR="00F22BE3" w:rsidRPr="00B57B36" w:rsidRDefault="00F22BE3" w:rsidP="00F22BE3">
            <w:pPr>
              <w:pStyle w:val="CETBodytext"/>
              <w:ind w:right="-1"/>
              <w:rPr>
                <w:rFonts w:cs="Arial"/>
                <w:szCs w:val="18"/>
                <w:lang w:val="en-GB"/>
              </w:rPr>
            </w:pPr>
            <w:r w:rsidRPr="00B536B9">
              <w:t>Water pipe</w:t>
            </w:r>
          </w:p>
        </w:tc>
        <w:tc>
          <w:tcPr>
            <w:tcW w:w="2042" w:type="dxa"/>
            <w:shd w:val="clear" w:color="auto" w:fill="FFFFFF"/>
            <w:vAlign w:val="bottom"/>
          </w:tcPr>
          <w:p w14:paraId="489ECDE7" w14:textId="7E3D776A" w:rsidR="00F22BE3" w:rsidRPr="00B536B9" w:rsidRDefault="00F22BE3" w:rsidP="00F22BE3">
            <w:pPr>
              <w:pStyle w:val="CETBodytext"/>
              <w:ind w:right="-1"/>
            </w:pPr>
            <w:r w:rsidRPr="00B536B9">
              <w:t>0</w:t>
            </w:r>
          </w:p>
        </w:tc>
      </w:tr>
      <w:tr w:rsidR="00F22BE3" w:rsidRPr="00B57B36" w14:paraId="6DDCB945" w14:textId="0F4DEDEA" w:rsidTr="007C1FB5">
        <w:tc>
          <w:tcPr>
            <w:tcW w:w="1134" w:type="dxa"/>
            <w:shd w:val="clear" w:color="auto" w:fill="FFFFFF"/>
          </w:tcPr>
          <w:p w14:paraId="0B5227C7" w14:textId="77777777" w:rsidR="00F22BE3" w:rsidRDefault="00F22BE3" w:rsidP="00F22BE3">
            <w:pPr>
              <w:pStyle w:val="CETBodytext"/>
              <w:ind w:right="-1"/>
              <w:rPr>
                <w:rFonts w:cs="Arial"/>
                <w:szCs w:val="18"/>
                <w:lang w:val="en-GB"/>
              </w:rPr>
            </w:pPr>
            <w:r>
              <w:rPr>
                <w:rFonts w:cs="Arial"/>
                <w:szCs w:val="18"/>
                <w:lang w:val="en-GB"/>
              </w:rPr>
              <w:t>6</w:t>
            </w:r>
          </w:p>
        </w:tc>
        <w:tc>
          <w:tcPr>
            <w:tcW w:w="1650" w:type="dxa"/>
            <w:shd w:val="clear" w:color="auto" w:fill="FFFFFF"/>
            <w:vAlign w:val="bottom"/>
          </w:tcPr>
          <w:p w14:paraId="69CCB8DC" w14:textId="0758BEE0" w:rsidR="00F22BE3" w:rsidRPr="00B57B36" w:rsidRDefault="00F22BE3" w:rsidP="00F22BE3">
            <w:pPr>
              <w:pStyle w:val="CETBodytext"/>
              <w:ind w:right="-1"/>
              <w:rPr>
                <w:rFonts w:cs="Arial"/>
                <w:szCs w:val="18"/>
                <w:lang w:val="en-GB"/>
              </w:rPr>
            </w:pPr>
            <w:r w:rsidRPr="00B536B9">
              <w:t xml:space="preserve">Pump </w:t>
            </w:r>
          </w:p>
        </w:tc>
        <w:tc>
          <w:tcPr>
            <w:tcW w:w="2042" w:type="dxa"/>
            <w:shd w:val="clear" w:color="auto" w:fill="FFFFFF"/>
            <w:vAlign w:val="bottom"/>
          </w:tcPr>
          <w:p w14:paraId="3BACD910" w14:textId="171B2BB9" w:rsidR="00F22BE3" w:rsidRPr="00B536B9" w:rsidRDefault="00F22BE3" w:rsidP="00F22BE3">
            <w:pPr>
              <w:pStyle w:val="CETBodytext"/>
              <w:ind w:right="-1"/>
            </w:pPr>
            <w:r w:rsidRPr="00B536B9">
              <w:t>0</w:t>
            </w:r>
          </w:p>
        </w:tc>
      </w:tr>
      <w:tr w:rsidR="00F22BE3" w:rsidRPr="00B57B36" w14:paraId="1A8D9E41" w14:textId="71101759" w:rsidTr="007C1FB5">
        <w:tc>
          <w:tcPr>
            <w:tcW w:w="1134" w:type="dxa"/>
            <w:shd w:val="clear" w:color="auto" w:fill="FFFFFF"/>
          </w:tcPr>
          <w:p w14:paraId="47BC74BE" w14:textId="77777777" w:rsidR="00F22BE3" w:rsidRDefault="00F22BE3" w:rsidP="00F22BE3">
            <w:pPr>
              <w:pStyle w:val="CETBodytext"/>
              <w:ind w:right="-1"/>
              <w:rPr>
                <w:rFonts w:cs="Arial"/>
                <w:szCs w:val="18"/>
                <w:lang w:val="en-GB"/>
              </w:rPr>
            </w:pPr>
            <w:r>
              <w:rPr>
                <w:rFonts w:cs="Arial"/>
                <w:szCs w:val="18"/>
                <w:lang w:val="en-GB"/>
              </w:rPr>
              <w:t>7</w:t>
            </w:r>
          </w:p>
        </w:tc>
        <w:tc>
          <w:tcPr>
            <w:tcW w:w="1650" w:type="dxa"/>
            <w:shd w:val="clear" w:color="auto" w:fill="FFFFFF"/>
            <w:vAlign w:val="bottom"/>
          </w:tcPr>
          <w:p w14:paraId="23D76D6C" w14:textId="729F5484" w:rsidR="00F22BE3" w:rsidRPr="00B57B36" w:rsidRDefault="00F22BE3" w:rsidP="00F22BE3">
            <w:pPr>
              <w:pStyle w:val="CETBodytext"/>
              <w:ind w:right="-1"/>
              <w:rPr>
                <w:rFonts w:cs="Arial"/>
                <w:szCs w:val="18"/>
                <w:lang w:val="en-GB"/>
              </w:rPr>
            </w:pPr>
            <w:r w:rsidRPr="00B536B9">
              <w:t>Boiler</w:t>
            </w:r>
          </w:p>
        </w:tc>
        <w:tc>
          <w:tcPr>
            <w:tcW w:w="2042" w:type="dxa"/>
            <w:shd w:val="clear" w:color="auto" w:fill="FFFFFF"/>
            <w:vAlign w:val="bottom"/>
          </w:tcPr>
          <w:p w14:paraId="115C97B0" w14:textId="086928C2" w:rsidR="00F22BE3" w:rsidRPr="00B536B9" w:rsidRDefault="00F22BE3" w:rsidP="00F22BE3">
            <w:pPr>
              <w:pStyle w:val="CETBodytext"/>
              <w:ind w:right="-1"/>
            </w:pPr>
            <w:r w:rsidRPr="00B536B9">
              <w:t>0</w:t>
            </w:r>
          </w:p>
        </w:tc>
      </w:tr>
    </w:tbl>
    <w:p w14:paraId="4127756C" w14:textId="1FEC9E63" w:rsidR="00F22BE3" w:rsidRPr="00B536B9" w:rsidRDefault="00F22BE3" w:rsidP="00297D0D">
      <w:pPr>
        <w:spacing w:before="120" w:line="240" w:lineRule="auto"/>
      </w:pPr>
      <w:r w:rsidRPr="00B536B9">
        <w:t xml:space="preserve">With a striking difference </w:t>
      </w:r>
      <w:r w:rsidR="00FF4DD0">
        <w:t>in</w:t>
      </w:r>
      <w:r w:rsidR="00FF4DD0" w:rsidRPr="00B536B9">
        <w:t xml:space="preserve"> </w:t>
      </w:r>
      <w:r w:rsidRPr="00B536B9">
        <w:t>the risk integral percentage</w:t>
      </w:r>
      <w:r w:rsidR="00FF4DD0">
        <w:t>,</w:t>
      </w:r>
      <w:r w:rsidRPr="00B536B9">
        <w:t xml:space="preserve"> the filter is evaluated as the most critical component. On the opposite side</w:t>
      </w:r>
      <w:r w:rsidR="00FF4DD0">
        <w:t>,</w:t>
      </w:r>
      <w:r w:rsidRPr="00B536B9">
        <w:t xml:space="preserve"> the pre-heating group components are the less critical, indeed they ha</w:t>
      </w:r>
      <w:r w:rsidR="007C1FB5">
        <w:t>ve</w:t>
      </w:r>
      <w:r w:rsidRPr="00B536B9">
        <w:t xml:space="preserve"> a null risk </w:t>
      </w:r>
      <w:r w:rsidRPr="00B536B9">
        <w:lastRenderedPageBreak/>
        <w:t>integral, indeed leakage or catastrophic rupture provoke</w:t>
      </w:r>
      <w:r w:rsidR="00FF4DD0">
        <w:t>s</w:t>
      </w:r>
      <w:r w:rsidRPr="00B536B9">
        <w:t xml:space="preserve"> at most slightly burn. Between the filter and the water components</w:t>
      </w:r>
      <w:r w:rsidR="00FF4DD0">
        <w:t>,</w:t>
      </w:r>
      <w:r w:rsidRPr="00B536B9">
        <w:t xml:space="preserve"> there are P</w:t>
      </w:r>
      <w:r w:rsidR="007C1FB5">
        <w:t xml:space="preserve">ressure </w:t>
      </w:r>
      <w:r w:rsidRPr="00B536B9">
        <w:t>R</w:t>
      </w:r>
      <w:r w:rsidR="007C1FB5">
        <w:t>egulator</w:t>
      </w:r>
      <w:r w:rsidRPr="00B536B9">
        <w:t xml:space="preserve">, THT tank and THT pipe. </w:t>
      </w:r>
      <w:r w:rsidR="005C71B9" w:rsidRPr="00B536B9">
        <w:t>Accordingly,</w:t>
      </w:r>
      <w:r w:rsidRPr="00B536B9">
        <w:t xml:space="preserve"> the most critical group is the methane group, indeed its components are respectively the most critical ones, thus its maintenance has the priority. The odorization group is the second most critical unit, with THT tank as the component characterized by the highest risk integral percentage. </w:t>
      </w:r>
    </w:p>
    <w:p w14:paraId="1B7FAB2B" w14:textId="7842C801" w:rsidR="00995C1D" w:rsidRPr="00995C1D" w:rsidRDefault="00995C1D" w:rsidP="00C17EFC">
      <w:pPr>
        <w:pStyle w:val="CETheadingx"/>
      </w:pPr>
      <w:r>
        <w:t xml:space="preserve">Application of </w:t>
      </w:r>
      <w:r w:rsidR="00724F53">
        <w:t>CRPN</w:t>
      </w:r>
      <w:r w:rsidR="006904FB">
        <w:t xml:space="preserve"> method </w:t>
      </w:r>
      <w:r>
        <w:t xml:space="preserve">to NGRMS </w:t>
      </w:r>
    </w:p>
    <w:p w14:paraId="3E971AF1" w14:textId="09F0DD8D" w:rsidR="00AA082C" w:rsidRDefault="00AA082C" w:rsidP="003140FB">
      <w:pPr>
        <w:pStyle w:val="CETBodytext"/>
        <w:rPr>
          <w:lang w:val="en-GB"/>
        </w:rPr>
      </w:pPr>
      <w:r w:rsidRPr="00AA082C">
        <w:rPr>
          <w:lang w:val="en-GB"/>
        </w:rPr>
        <w:t xml:space="preserve">Table </w:t>
      </w:r>
      <w:r w:rsidR="00A65B25">
        <w:rPr>
          <w:lang w:val="en-GB"/>
        </w:rPr>
        <w:t>8</w:t>
      </w:r>
      <w:r>
        <w:rPr>
          <w:lang w:val="en-GB"/>
        </w:rPr>
        <w:t xml:space="preserve"> lists the number of failures and population number</w:t>
      </w:r>
      <w:r w:rsidR="00BF7291">
        <w:rPr>
          <w:lang w:val="en-GB"/>
        </w:rPr>
        <w:t>s</w:t>
      </w:r>
      <w:r>
        <w:rPr>
          <w:lang w:val="en-GB"/>
        </w:rPr>
        <w:t>, which are the starting data of the last approach. These values are obtained by 59 NGRMS and they are referred to a period of 6 years.</w:t>
      </w:r>
      <w:r w:rsidR="002A7477">
        <w:rPr>
          <w:lang w:val="en-GB"/>
        </w:rPr>
        <w:t xml:space="preserve"> Through these data</w:t>
      </w:r>
      <w:r w:rsidR="00BF7291">
        <w:rPr>
          <w:lang w:val="en-GB"/>
        </w:rPr>
        <w:t>,</w:t>
      </w:r>
      <w:r w:rsidR="002A7477">
        <w:rPr>
          <w:lang w:val="en-GB"/>
        </w:rPr>
        <w:t xml:space="preserve"> the Bayesian analysis is implemented in </w:t>
      </w:r>
      <w:proofErr w:type="spellStart"/>
      <w:r w:rsidR="002A7477">
        <w:rPr>
          <w:lang w:val="en-GB"/>
        </w:rPr>
        <w:t>OpenBugs</w:t>
      </w:r>
      <w:proofErr w:type="spellEnd"/>
      <w:r w:rsidR="002A7477">
        <w:rPr>
          <w:lang w:val="en-GB"/>
        </w:rPr>
        <w:t xml:space="preserve">. The Bayesian inference predicts the posterior probability of failure distributions, which mean values are represented in Table </w:t>
      </w:r>
      <w:r w:rsidR="00CE4675">
        <w:rPr>
          <w:lang w:val="en-GB"/>
        </w:rPr>
        <w:t>7</w:t>
      </w:r>
      <w:r w:rsidR="002A7477">
        <w:rPr>
          <w:lang w:val="en-GB"/>
        </w:rPr>
        <w:t>:</w:t>
      </w:r>
    </w:p>
    <w:p w14:paraId="4FBBC656" w14:textId="583CEF77" w:rsidR="00AA082C" w:rsidRPr="00AA082C" w:rsidRDefault="00AA082C" w:rsidP="00297D0D">
      <w:pPr>
        <w:pStyle w:val="Didascalia"/>
        <w:keepNext/>
        <w:spacing w:before="240" w:after="80"/>
        <w:rPr>
          <w:b w:val="0"/>
          <w:bCs w:val="0"/>
          <w:i/>
          <w:iCs/>
          <w:color w:val="auto"/>
        </w:rPr>
      </w:pPr>
      <w:r w:rsidRPr="00AA082C">
        <w:rPr>
          <w:b w:val="0"/>
          <w:bCs w:val="0"/>
          <w:i/>
          <w:iCs/>
          <w:color w:val="auto"/>
        </w:rPr>
        <w:t xml:space="preserve">Table </w:t>
      </w:r>
      <w:r w:rsidR="00CE4675">
        <w:rPr>
          <w:b w:val="0"/>
          <w:bCs w:val="0"/>
          <w:i/>
          <w:iCs/>
          <w:color w:val="auto"/>
        </w:rPr>
        <w:t>7</w:t>
      </w:r>
      <w:r w:rsidRPr="00AA082C">
        <w:rPr>
          <w:b w:val="0"/>
          <w:bCs w:val="0"/>
          <w:i/>
          <w:iCs/>
          <w:color w:val="auto"/>
        </w:rPr>
        <w:t>: Number of failures</w:t>
      </w:r>
      <w:r w:rsidR="00B526CB">
        <w:rPr>
          <w:b w:val="0"/>
          <w:bCs w:val="0"/>
          <w:i/>
          <w:iCs/>
          <w:color w:val="auto"/>
        </w:rPr>
        <w:t>,</w:t>
      </w:r>
      <w:r w:rsidRPr="00AA082C">
        <w:rPr>
          <w:b w:val="0"/>
          <w:bCs w:val="0"/>
          <w:i/>
          <w:iCs/>
          <w:color w:val="auto"/>
        </w:rPr>
        <w:t xml:space="preserve"> population number </w:t>
      </w:r>
      <w:r w:rsidR="00B526CB">
        <w:rPr>
          <w:b w:val="0"/>
          <w:bCs w:val="0"/>
          <w:i/>
          <w:iCs/>
          <w:color w:val="auto"/>
        </w:rPr>
        <w:t xml:space="preserve">and posterior mean probability of failure </w:t>
      </w:r>
      <w:r w:rsidRPr="00AA082C">
        <w:rPr>
          <w:b w:val="0"/>
          <w:bCs w:val="0"/>
          <w:i/>
          <w:iCs/>
          <w:color w:val="auto"/>
        </w:rPr>
        <w:t>of NGRMS’ main components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51"/>
        <w:gridCol w:w="1571"/>
        <w:gridCol w:w="1612"/>
        <w:gridCol w:w="2932"/>
      </w:tblGrid>
      <w:tr w:rsidR="00B526CB" w:rsidRPr="00B57B36" w14:paraId="3D8F6430" w14:textId="119B6615" w:rsidTr="00B526CB">
        <w:tc>
          <w:tcPr>
            <w:tcW w:w="1651" w:type="dxa"/>
            <w:tcBorders>
              <w:top w:val="single" w:sz="12" w:space="0" w:color="008000"/>
              <w:bottom w:val="single" w:sz="6" w:space="0" w:color="008000"/>
            </w:tcBorders>
            <w:shd w:val="clear" w:color="auto" w:fill="FFFFFF"/>
          </w:tcPr>
          <w:p w14:paraId="06A4DE3A" w14:textId="04F46B47" w:rsidR="00B526CB" w:rsidRPr="00B57B36" w:rsidRDefault="00B526CB" w:rsidP="00B526CB">
            <w:pPr>
              <w:pStyle w:val="CETBodytext"/>
              <w:rPr>
                <w:lang w:val="en-GB"/>
              </w:rPr>
            </w:pPr>
            <w:r>
              <w:rPr>
                <w:lang w:val="en-GB"/>
              </w:rPr>
              <w:t>Component</w:t>
            </w:r>
          </w:p>
        </w:tc>
        <w:tc>
          <w:tcPr>
            <w:tcW w:w="1571" w:type="dxa"/>
            <w:tcBorders>
              <w:top w:val="single" w:sz="12" w:space="0" w:color="008000"/>
              <w:bottom w:val="single" w:sz="6" w:space="0" w:color="008000"/>
            </w:tcBorders>
            <w:shd w:val="clear" w:color="auto" w:fill="FFFFFF"/>
          </w:tcPr>
          <w:p w14:paraId="7DEDFD5B" w14:textId="311C3070" w:rsidR="00B526CB" w:rsidRPr="00B57B36" w:rsidRDefault="00B526CB" w:rsidP="00B526CB">
            <w:pPr>
              <w:pStyle w:val="CETBodytext"/>
              <w:rPr>
                <w:lang w:val="en-GB"/>
              </w:rPr>
            </w:pPr>
            <w:r>
              <w:rPr>
                <w:lang w:val="en-GB"/>
              </w:rPr>
              <w:t>Number of failures</w:t>
            </w:r>
          </w:p>
        </w:tc>
        <w:tc>
          <w:tcPr>
            <w:tcW w:w="1612" w:type="dxa"/>
            <w:tcBorders>
              <w:top w:val="single" w:sz="12" w:space="0" w:color="008000"/>
              <w:bottom w:val="single" w:sz="6" w:space="0" w:color="008000"/>
            </w:tcBorders>
            <w:shd w:val="clear" w:color="auto" w:fill="FFFFFF"/>
          </w:tcPr>
          <w:p w14:paraId="2E1D854B" w14:textId="7AEDC797" w:rsidR="00B526CB" w:rsidRDefault="00B526CB" w:rsidP="00B526CB">
            <w:pPr>
              <w:pStyle w:val="CETBodytext"/>
              <w:rPr>
                <w:lang w:val="en-GB"/>
              </w:rPr>
            </w:pPr>
            <w:r>
              <w:rPr>
                <w:lang w:val="en-GB"/>
              </w:rPr>
              <w:t>Population number</w:t>
            </w:r>
          </w:p>
        </w:tc>
        <w:tc>
          <w:tcPr>
            <w:tcW w:w="2932" w:type="dxa"/>
            <w:tcBorders>
              <w:top w:val="single" w:sz="12" w:space="0" w:color="008000"/>
              <w:bottom w:val="single" w:sz="6" w:space="0" w:color="008000"/>
            </w:tcBorders>
            <w:shd w:val="clear" w:color="auto" w:fill="FFFFFF"/>
          </w:tcPr>
          <w:p w14:paraId="650B96BD" w14:textId="16DFDD1E" w:rsidR="00B526CB" w:rsidRDefault="00B526CB" w:rsidP="00B526CB">
            <w:pPr>
              <w:pStyle w:val="CETBodytext"/>
              <w:rPr>
                <w:lang w:val="en-GB"/>
              </w:rPr>
            </w:pPr>
            <w:r>
              <w:rPr>
                <w:lang w:val="en-GB"/>
              </w:rPr>
              <w:t>Posterior mean probability of failure</w:t>
            </w:r>
          </w:p>
        </w:tc>
      </w:tr>
      <w:tr w:rsidR="00B526CB" w:rsidRPr="00B57B36" w14:paraId="5A5D6378" w14:textId="708AD1CA" w:rsidTr="00B526CB">
        <w:tc>
          <w:tcPr>
            <w:tcW w:w="1651" w:type="dxa"/>
            <w:shd w:val="clear" w:color="auto" w:fill="FFFFFF"/>
          </w:tcPr>
          <w:p w14:paraId="41036C64" w14:textId="4FB01379" w:rsidR="00B526CB" w:rsidRPr="00B57B36" w:rsidRDefault="00B526CB" w:rsidP="00B526CB">
            <w:pPr>
              <w:pStyle w:val="CETBodytext"/>
              <w:rPr>
                <w:lang w:val="en-GB"/>
              </w:rPr>
            </w:pPr>
            <w:r w:rsidRPr="009F0D67">
              <w:t>Pressure Regulator</w:t>
            </w:r>
          </w:p>
        </w:tc>
        <w:tc>
          <w:tcPr>
            <w:tcW w:w="1571" w:type="dxa"/>
            <w:shd w:val="clear" w:color="auto" w:fill="FFFFFF"/>
          </w:tcPr>
          <w:p w14:paraId="3B6201D5" w14:textId="30E7EFC3" w:rsidR="00B526CB" w:rsidRPr="00B57B36" w:rsidRDefault="00B526CB" w:rsidP="00B526CB">
            <w:pPr>
              <w:pStyle w:val="CETBodytext"/>
              <w:rPr>
                <w:lang w:val="en-GB"/>
              </w:rPr>
            </w:pPr>
            <w:r w:rsidRPr="009F0D67">
              <w:t>17</w:t>
            </w:r>
          </w:p>
        </w:tc>
        <w:tc>
          <w:tcPr>
            <w:tcW w:w="1612" w:type="dxa"/>
            <w:shd w:val="clear" w:color="auto" w:fill="FFFFFF"/>
            <w:vAlign w:val="bottom"/>
          </w:tcPr>
          <w:p w14:paraId="39ED297D" w14:textId="3FC74C2F" w:rsidR="00B526CB" w:rsidRPr="00B536B9" w:rsidRDefault="00B526CB" w:rsidP="00B526CB">
            <w:pPr>
              <w:pStyle w:val="CETBodytext"/>
            </w:pPr>
            <w:r w:rsidRPr="009F0D67">
              <w:t>543</w:t>
            </w:r>
            <w:r>
              <w:t>,</w:t>
            </w:r>
            <w:r w:rsidRPr="009F0D67">
              <w:t>120</w:t>
            </w:r>
          </w:p>
        </w:tc>
        <w:tc>
          <w:tcPr>
            <w:tcW w:w="2932" w:type="dxa"/>
            <w:shd w:val="clear" w:color="auto" w:fill="FFFFFF"/>
            <w:vAlign w:val="bottom"/>
          </w:tcPr>
          <w:p w14:paraId="6902A227" w14:textId="615EFD04" w:rsidR="00B526CB" w:rsidRPr="009F0D67" w:rsidRDefault="00B526CB" w:rsidP="00B526CB">
            <w:pPr>
              <w:pStyle w:val="CETBodytext"/>
            </w:pPr>
            <w:r w:rsidRPr="00EE37B1">
              <w:rPr>
                <w:color w:val="000000"/>
                <w:lang w:val="en-GB" w:eastAsia="it-IT"/>
              </w:rPr>
              <w:t>0</w:t>
            </w:r>
            <w:r>
              <w:rPr>
                <w:color w:val="000000"/>
                <w:lang w:val="en-GB" w:eastAsia="it-IT"/>
              </w:rPr>
              <w:t>.</w:t>
            </w:r>
            <w:r w:rsidRPr="00EE37B1">
              <w:rPr>
                <w:color w:val="000000"/>
                <w:lang w:val="en-GB" w:eastAsia="it-IT"/>
              </w:rPr>
              <w:t>00003462</w:t>
            </w:r>
          </w:p>
        </w:tc>
      </w:tr>
      <w:tr w:rsidR="00B526CB" w:rsidRPr="00B57B36" w14:paraId="0BD51CC7" w14:textId="2CCC489B" w:rsidTr="00B526CB">
        <w:tc>
          <w:tcPr>
            <w:tcW w:w="1651" w:type="dxa"/>
            <w:shd w:val="clear" w:color="auto" w:fill="FFFFFF"/>
          </w:tcPr>
          <w:p w14:paraId="4BBDE23D" w14:textId="075BB4AD" w:rsidR="00B526CB" w:rsidRPr="00B57B36" w:rsidRDefault="00B526CB" w:rsidP="00B526CB">
            <w:pPr>
              <w:pStyle w:val="CETBodytext"/>
              <w:ind w:right="-1"/>
              <w:rPr>
                <w:rFonts w:cs="Arial"/>
                <w:szCs w:val="18"/>
                <w:lang w:val="en-GB"/>
              </w:rPr>
            </w:pPr>
            <w:r w:rsidRPr="009F0D67">
              <w:t>Pilot</w:t>
            </w:r>
          </w:p>
        </w:tc>
        <w:tc>
          <w:tcPr>
            <w:tcW w:w="1571" w:type="dxa"/>
            <w:shd w:val="clear" w:color="auto" w:fill="FFFFFF"/>
          </w:tcPr>
          <w:p w14:paraId="4E9D0A5D" w14:textId="7DDD5103" w:rsidR="00B526CB" w:rsidRPr="00B57B36" w:rsidRDefault="00B526CB" w:rsidP="00B526CB">
            <w:pPr>
              <w:pStyle w:val="CETBodytext"/>
              <w:ind w:right="-1"/>
              <w:rPr>
                <w:rFonts w:cs="Arial"/>
                <w:szCs w:val="18"/>
                <w:lang w:val="en-GB"/>
              </w:rPr>
            </w:pPr>
            <w:r w:rsidRPr="009F0D67">
              <w:t>6</w:t>
            </w:r>
          </w:p>
        </w:tc>
        <w:tc>
          <w:tcPr>
            <w:tcW w:w="1612" w:type="dxa"/>
            <w:shd w:val="clear" w:color="auto" w:fill="FFFFFF"/>
          </w:tcPr>
          <w:p w14:paraId="79A36135" w14:textId="50C13834" w:rsidR="00B526CB" w:rsidRPr="00B536B9" w:rsidRDefault="00B526CB" w:rsidP="00B526CB">
            <w:pPr>
              <w:pStyle w:val="CETBodytext"/>
              <w:ind w:right="-1"/>
            </w:pPr>
            <w:r w:rsidRPr="009F0D67">
              <w:t>1</w:t>
            </w:r>
            <w:r>
              <w:t>,</w:t>
            </w:r>
            <w:r w:rsidRPr="009F0D67">
              <w:t>086</w:t>
            </w:r>
            <w:r>
              <w:t>,</w:t>
            </w:r>
            <w:r w:rsidRPr="009F0D67">
              <w:t>240</w:t>
            </w:r>
          </w:p>
        </w:tc>
        <w:tc>
          <w:tcPr>
            <w:tcW w:w="2932" w:type="dxa"/>
            <w:shd w:val="clear" w:color="auto" w:fill="FFFFFF"/>
            <w:vAlign w:val="bottom"/>
          </w:tcPr>
          <w:p w14:paraId="7E9DA477" w14:textId="46AC6C6F"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00001291</w:t>
            </w:r>
          </w:p>
        </w:tc>
      </w:tr>
      <w:tr w:rsidR="00B526CB" w:rsidRPr="00B57B36" w14:paraId="77361456" w14:textId="046255A2" w:rsidTr="00B526CB">
        <w:tc>
          <w:tcPr>
            <w:tcW w:w="1651" w:type="dxa"/>
            <w:shd w:val="clear" w:color="auto" w:fill="FFFFFF"/>
          </w:tcPr>
          <w:p w14:paraId="09BDAEC6" w14:textId="2E79D14F" w:rsidR="00B526CB" w:rsidRDefault="00B526CB" w:rsidP="00B526CB">
            <w:pPr>
              <w:pStyle w:val="CETBodytext"/>
              <w:ind w:right="-1"/>
              <w:rPr>
                <w:rFonts w:cs="Arial"/>
                <w:szCs w:val="18"/>
                <w:lang w:val="en-GB"/>
              </w:rPr>
            </w:pPr>
            <w:r w:rsidRPr="009F0D67">
              <w:t>Filter</w:t>
            </w:r>
          </w:p>
        </w:tc>
        <w:tc>
          <w:tcPr>
            <w:tcW w:w="1571" w:type="dxa"/>
            <w:shd w:val="clear" w:color="auto" w:fill="FFFFFF"/>
          </w:tcPr>
          <w:p w14:paraId="4CE6A969" w14:textId="125F88DC" w:rsidR="00B526CB" w:rsidRPr="00B57B36" w:rsidRDefault="00B526CB" w:rsidP="00B526CB">
            <w:pPr>
              <w:pStyle w:val="CETBodytext"/>
              <w:ind w:right="-1"/>
              <w:rPr>
                <w:rFonts w:cs="Arial"/>
                <w:szCs w:val="18"/>
                <w:lang w:val="en-GB"/>
              </w:rPr>
            </w:pPr>
            <w:r w:rsidRPr="009F0D67">
              <w:t>12</w:t>
            </w:r>
          </w:p>
        </w:tc>
        <w:tc>
          <w:tcPr>
            <w:tcW w:w="1612" w:type="dxa"/>
            <w:shd w:val="clear" w:color="auto" w:fill="FFFFFF"/>
          </w:tcPr>
          <w:p w14:paraId="47FE05EC" w14:textId="1F9607BF" w:rsidR="00B526CB" w:rsidRPr="00B536B9" w:rsidRDefault="00B526CB" w:rsidP="00B526CB">
            <w:pPr>
              <w:pStyle w:val="CETBodytext"/>
              <w:ind w:right="-1"/>
            </w:pPr>
            <w:r w:rsidRPr="009F0D67">
              <w:t>271</w:t>
            </w:r>
            <w:r>
              <w:t>,</w:t>
            </w:r>
            <w:r w:rsidRPr="009F0D67">
              <w:t>560</w:t>
            </w:r>
          </w:p>
        </w:tc>
        <w:tc>
          <w:tcPr>
            <w:tcW w:w="2932" w:type="dxa"/>
            <w:shd w:val="clear" w:color="auto" w:fill="FFFFFF"/>
            <w:vAlign w:val="bottom"/>
          </w:tcPr>
          <w:p w14:paraId="31E52C58" w14:textId="320EB7C7"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00005363</w:t>
            </w:r>
          </w:p>
        </w:tc>
      </w:tr>
      <w:tr w:rsidR="00B526CB" w:rsidRPr="00B57B36" w14:paraId="53B1D267" w14:textId="67BFAC86" w:rsidTr="00B526CB">
        <w:tc>
          <w:tcPr>
            <w:tcW w:w="1651" w:type="dxa"/>
            <w:shd w:val="clear" w:color="auto" w:fill="FFFFFF"/>
          </w:tcPr>
          <w:p w14:paraId="70B70CC4" w14:textId="640536CE" w:rsidR="00B526CB" w:rsidRDefault="00B526CB" w:rsidP="00B526CB">
            <w:pPr>
              <w:pStyle w:val="CETBodytext"/>
              <w:ind w:right="-1"/>
              <w:rPr>
                <w:rFonts w:cs="Arial"/>
                <w:szCs w:val="18"/>
                <w:lang w:val="en-GB"/>
              </w:rPr>
            </w:pPr>
            <w:r>
              <w:t>RCS</w:t>
            </w:r>
          </w:p>
        </w:tc>
        <w:tc>
          <w:tcPr>
            <w:tcW w:w="1571" w:type="dxa"/>
            <w:shd w:val="clear" w:color="auto" w:fill="FFFFFF"/>
          </w:tcPr>
          <w:p w14:paraId="3971C034" w14:textId="3241F667" w:rsidR="00B526CB" w:rsidRPr="00B57B36" w:rsidRDefault="00B526CB" w:rsidP="00B526CB">
            <w:pPr>
              <w:pStyle w:val="CETBodytext"/>
              <w:ind w:right="-1"/>
              <w:rPr>
                <w:rFonts w:cs="Arial"/>
                <w:szCs w:val="18"/>
                <w:lang w:val="en-GB"/>
              </w:rPr>
            </w:pPr>
            <w:r w:rsidRPr="009F0D67">
              <w:t>19</w:t>
            </w:r>
          </w:p>
        </w:tc>
        <w:tc>
          <w:tcPr>
            <w:tcW w:w="1612" w:type="dxa"/>
            <w:shd w:val="clear" w:color="auto" w:fill="FFFFFF"/>
          </w:tcPr>
          <w:p w14:paraId="5BE74E40" w14:textId="59B3F098" w:rsidR="00B526CB" w:rsidRPr="00B536B9" w:rsidRDefault="00B526CB" w:rsidP="00B526CB">
            <w:pPr>
              <w:pStyle w:val="CETBodytext"/>
              <w:ind w:right="-1"/>
            </w:pPr>
            <w:r w:rsidRPr="009F0D67">
              <w:t>129</w:t>
            </w:r>
            <w:r>
              <w:t>,</w:t>
            </w:r>
            <w:r w:rsidRPr="009F0D67">
              <w:t>210</w:t>
            </w:r>
          </w:p>
        </w:tc>
        <w:tc>
          <w:tcPr>
            <w:tcW w:w="2932" w:type="dxa"/>
            <w:shd w:val="clear" w:color="auto" w:fill="FFFFFF"/>
            <w:vAlign w:val="bottom"/>
          </w:tcPr>
          <w:p w14:paraId="01C1E621" w14:textId="7F08BFF5"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0001519</w:t>
            </w:r>
          </w:p>
        </w:tc>
      </w:tr>
      <w:tr w:rsidR="00B526CB" w:rsidRPr="00B57B36" w14:paraId="7AD12231" w14:textId="28FE72C9" w:rsidTr="00B526CB">
        <w:tc>
          <w:tcPr>
            <w:tcW w:w="1651" w:type="dxa"/>
            <w:shd w:val="clear" w:color="auto" w:fill="FFFFFF"/>
          </w:tcPr>
          <w:p w14:paraId="67E19B7F" w14:textId="2796A769" w:rsidR="00B526CB" w:rsidRDefault="00B526CB" w:rsidP="00B526CB">
            <w:pPr>
              <w:pStyle w:val="CETBodytext"/>
              <w:ind w:right="-1"/>
              <w:rPr>
                <w:rFonts w:cs="Arial"/>
                <w:szCs w:val="18"/>
                <w:lang w:val="en-GB"/>
              </w:rPr>
            </w:pPr>
            <w:r w:rsidRPr="009F0D67">
              <w:t>Meter</w:t>
            </w:r>
          </w:p>
        </w:tc>
        <w:tc>
          <w:tcPr>
            <w:tcW w:w="1571" w:type="dxa"/>
            <w:shd w:val="clear" w:color="auto" w:fill="FFFFFF"/>
          </w:tcPr>
          <w:p w14:paraId="55174E6C" w14:textId="59A12063" w:rsidR="00B526CB" w:rsidRPr="00B57B36" w:rsidRDefault="00B526CB" w:rsidP="00B526CB">
            <w:pPr>
              <w:pStyle w:val="CETBodytext"/>
              <w:ind w:right="-1"/>
              <w:rPr>
                <w:rFonts w:cs="Arial"/>
                <w:szCs w:val="18"/>
                <w:lang w:val="en-GB"/>
              </w:rPr>
            </w:pPr>
            <w:r w:rsidRPr="009F0D67">
              <w:t>7</w:t>
            </w:r>
          </w:p>
        </w:tc>
        <w:tc>
          <w:tcPr>
            <w:tcW w:w="1612" w:type="dxa"/>
            <w:shd w:val="clear" w:color="auto" w:fill="FFFFFF"/>
          </w:tcPr>
          <w:p w14:paraId="7A2865AA" w14:textId="6721D8A0" w:rsidR="00B526CB" w:rsidRPr="00B536B9" w:rsidRDefault="00B526CB" w:rsidP="00B526CB">
            <w:pPr>
              <w:pStyle w:val="CETBodytext"/>
              <w:ind w:right="-1"/>
            </w:pPr>
            <w:r w:rsidRPr="009F0D67">
              <w:t>236</w:t>
            </w:r>
            <w:r>
              <w:t>,</w:t>
            </w:r>
            <w:r w:rsidRPr="009F0D67">
              <w:t>520</w:t>
            </w:r>
          </w:p>
        </w:tc>
        <w:tc>
          <w:tcPr>
            <w:tcW w:w="2932" w:type="dxa"/>
            <w:shd w:val="clear" w:color="auto" w:fill="FFFFFF"/>
            <w:vAlign w:val="bottom"/>
          </w:tcPr>
          <w:p w14:paraId="30C39166" w14:textId="0F354BC4"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00004226</w:t>
            </w:r>
          </w:p>
        </w:tc>
      </w:tr>
      <w:tr w:rsidR="00B526CB" w:rsidRPr="00B57B36" w14:paraId="265560A3" w14:textId="71469234" w:rsidTr="00B526CB">
        <w:tc>
          <w:tcPr>
            <w:tcW w:w="1651" w:type="dxa"/>
            <w:shd w:val="clear" w:color="auto" w:fill="FFFFFF"/>
          </w:tcPr>
          <w:p w14:paraId="79B2E84D" w14:textId="0B59C806" w:rsidR="00B526CB" w:rsidRDefault="00B526CB" w:rsidP="00B526CB">
            <w:pPr>
              <w:pStyle w:val="CETBodytext"/>
              <w:ind w:right="-1"/>
              <w:rPr>
                <w:rFonts w:cs="Arial"/>
                <w:szCs w:val="18"/>
                <w:lang w:val="en-GB"/>
              </w:rPr>
            </w:pPr>
            <w:r>
              <w:t>PTG</w:t>
            </w:r>
          </w:p>
        </w:tc>
        <w:tc>
          <w:tcPr>
            <w:tcW w:w="1571" w:type="dxa"/>
            <w:shd w:val="clear" w:color="auto" w:fill="FFFFFF"/>
          </w:tcPr>
          <w:p w14:paraId="5F86C8E2" w14:textId="48C8B04B" w:rsidR="00B526CB" w:rsidRPr="00B57B36" w:rsidRDefault="00B526CB" w:rsidP="00B526CB">
            <w:pPr>
              <w:pStyle w:val="CETBodytext"/>
              <w:ind w:right="-1"/>
              <w:rPr>
                <w:rFonts w:cs="Arial"/>
                <w:szCs w:val="18"/>
                <w:lang w:val="en-GB"/>
              </w:rPr>
            </w:pPr>
            <w:r w:rsidRPr="009F0D67">
              <w:t>65</w:t>
            </w:r>
          </w:p>
        </w:tc>
        <w:tc>
          <w:tcPr>
            <w:tcW w:w="1612" w:type="dxa"/>
            <w:shd w:val="clear" w:color="auto" w:fill="FFFFFF"/>
          </w:tcPr>
          <w:p w14:paraId="50D56A21" w14:textId="18805110" w:rsidR="00B526CB" w:rsidRPr="00B536B9" w:rsidRDefault="00B526CB" w:rsidP="00B526CB">
            <w:pPr>
              <w:pStyle w:val="CETBodytext"/>
              <w:ind w:right="-1"/>
            </w:pPr>
            <w:r w:rsidRPr="009F0D67">
              <w:t>129</w:t>
            </w:r>
            <w:r>
              <w:t>,</w:t>
            </w:r>
            <w:r w:rsidRPr="009F0D67">
              <w:t>210</w:t>
            </w:r>
          </w:p>
        </w:tc>
        <w:tc>
          <w:tcPr>
            <w:tcW w:w="2932" w:type="dxa"/>
            <w:shd w:val="clear" w:color="auto" w:fill="FFFFFF"/>
            <w:vAlign w:val="bottom"/>
          </w:tcPr>
          <w:p w14:paraId="791BDBC5" w14:textId="76C26CD6"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0005089</w:t>
            </w:r>
          </w:p>
        </w:tc>
      </w:tr>
      <w:tr w:rsidR="00B526CB" w:rsidRPr="00B57B36" w14:paraId="4852877F" w14:textId="00ADA2FD" w:rsidTr="00B526CB">
        <w:tc>
          <w:tcPr>
            <w:tcW w:w="1651" w:type="dxa"/>
            <w:shd w:val="clear" w:color="auto" w:fill="FFFFFF"/>
          </w:tcPr>
          <w:p w14:paraId="427C4E65" w14:textId="56201851" w:rsidR="00B526CB" w:rsidRDefault="00B526CB" w:rsidP="00B526CB">
            <w:pPr>
              <w:pStyle w:val="CETBodytext"/>
              <w:ind w:right="-1"/>
              <w:rPr>
                <w:rFonts w:cs="Arial"/>
                <w:szCs w:val="18"/>
                <w:lang w:val="en-GB"/>
              </w:rPr>
            </w:pPr>
            <w:r w:rsidRPr="009F0D67">
              <w:t>Calculator</w:t>
            </w:r>
          </w:p>
        </w:tc>
        <w:tc>
          <w:tcPr>
            <w:tcW w:w="1571" w:type="dxa"/>
            <w:shd w:val="clear" w:color="auto" w:fill="FFFFFF"/>
          </w:tcPr>
          <w:p w14:paraId="35D84BCA" w14:textId="2851CAEC" w:rsidR="00B526CB" w:rsidRPr="00B57B36" w:rsidRDefault="00B526CB" w:rsidP="00B526CB">
            <w:pPr>
              <w:pStyle w:val="CETBodytext"/>
              <w:ind w:right="-1"/>
              <w:rPr>
                <w:rFonts w:cs="Arial"/>
                <w:szCs w:val="18"/>
                <w:lang w:val="en-GB"/>
              </w:rPr>
            </w:pPr>
            <w:r w:rsidRPr="009F0D67">
              <w:t>47</w:t>
            </w:r>
          </w:p>
        </w:tc>
        <w:tc>
          <w:tcPr>
            <w:tcW w:w="1612" w:type="dxa"/>
            <w:shd w:val="clear" w:color="auto" w:fill="FFFFFF"/>
          </w:tcPr>
          <w:p w14:paraId="45E048B8" w14:textId="0DB28B9D" w:rsidR="00B526CB" w:rsidRPr="00B536B9" w:rsidRDefault="00B526CB" w:rsidP="00B526CB">
            <w:pPr>
              <w:pStyle w:val="CETBodytext"/>
              <w:ind w:right="-1"/>
            </w:pPr>
            <w:r w:rsidRPr="009F0D67">
              <w:t>129</w:t>
            </w:r>
            <w:r>
              <w:t>,</w:t>
            </w:r>
            <w:r w:rsidRPr="009F0D67">
              <w:t>210</w:t>
            </w:r>
          </w:p>
        </w:tc>
        <w:tc>
          <w:tcPr>
            <w:tcW w:w="2932" w:type="dxa"/>
            <w:shd w:val="clear" w:color="auto" w:fill="FFFFFF"/>
            <w:vAlign w:val="bottom"/>
          </w:tcPr>
          <w:p w14:paraId="5402D13E" w14:textId="0650FBE9"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0001609</w:t>
            </w:r>
          </w:p>
        </w:tc>
      </w:tr>
      <w:tr w:rsidR="00B526CB" w:rsidRPr="00B57B36" w14:paraId="08517E4D" w14:textId="16C38241" w:rsidTr="00B526CB">
        <w:tc>
          <w:tcPr>
            <w:tcW w:w="1651" w:type="dxa"/>
            <w:shd w:val="clear" w:color="auto" w:fill="FFFFFF"/>
          </w:tcPr>
          <w:p w14:paraId="2C5E09A1" w14:textId="64E27DFF" w:rsidR="00B526CB" w:rsidRDefault="00B526CB" w:rsidP="00B526CB">
            <w:pPr>
              <w:pStyle w:val="CETBodytext"/>
              <w:ind w:right="-1"/>
              <w:rPr>
                <w:rFonts w:cs="Arial"/>
                <w:szCs w:val="18"/>
                <w:lang w:val="en-GB"/>
              </w:rPr>
            </w:pPr>
            <w:r w:rsidRPr="009F0D67">
              <w:t>THT tank</w:t>
            </w:r>
          </w:p>
        </w:tc>
        <w:tc>
          <w:tcPr>
            <w:tcW w:w="1571" w:type="dxa"/>
            <w:shd w:val="clear" w:color="auto" w:fill="FFFFFF"/>
          </w:tcPr>
          <w:p w14:paraId="2EA41F7C" w14:textId="60089DAA" w:rsidR="00B526CB" w:rsidRPr="00B57B36" w:rsidRDefault="00B526CB" w:rsidP="00B526CB">
            <w:pPr>
              <w:pStyle w:val="CETBodytext"/>
              <w:ind w:right="-1"/>
              <w:rPr>
                <w:rFonts w:cs="Arial"/>
                <w:szCs w:val="18"/>
                <w:lang w:val="en-GB"/>
              </w:rPr>
            </w:pPr>
            <w:r w:rsidRPr="009F0D67">
              <w:t>7</w:t>
            </w:r>
          </w:p>
        </w:tc>
        <w:tc>
          <w:tcPr>
            <w:tcW w:w="1612" w:type="dxa"/>
            <w:shd w:val="clear" w:color="auto" w:fill="FFFFFF"/>
          </w:tcPr>
          <w:p w14:paraId="6958A226" w14:textId="15A2AD60" w:rsidR="00B526CB" w:rsidRPr="00B536B9" w:rsidRDefault="00B526CB" w:rsidP="00B526CB">
            <w:pPr>
              <w:pStyle w:val="CETBodytext"/>
              <w:ind w:right="-1"/>
            </w:pPr>
            <w:r w:rsidRPr="009F0D67">
              <w:t>129</w:t>
            </w:r>
            <w:r>
              <w:t>,</w:t>
            </w:r>
            <w:r w:rsidRPr="009F0D67">
              <w:t>210</w:t>
            </w:r>
          </w:p>
        </w:tc>
        <w:tc>
          <w:tcPr>
            <w:tcW w:w="2932" w:type="dxa"/>
            <w:shd w:val="clear" w:color="auto" w:fill="FFFFFF"/>
            <w:vAlign w:val="bottom"/>
          </w:tcPr>
          <w:p w14:paraId="37E96CF6" w14:textId="11038C72"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00006795</w:t>
            </w:r>
          </w:p>
        </w:tc>
      </w:tr>
      <w:tr w:rsidR="00B526CB" w:rsidRPr="00B57B36" w14:paraId="5DA0AAA4" w14:textId="7B46154A" w:rsidTr="00B526CB">
        <w:tc>
          <w:tcPr>
            <w:tcW w:w="1651" w:type="dxa"/>
            <w:shd w:val="clear" w:color="auto" w:fill="FFFFFF"/>
          </w:tcPr>
          <w:p w14:paraId="2E8275CE" w14:textId="45957087" w:rsidR="00B526CB" w:rsidRDefault="00B526CB" w:rsidP="00B526CB">
            <w:pPr>
              <w:pStyle w:val="CETBodytext"/>
              <w:ind w:right="-1"/>
              <w:rPr>
                <w:rFonts w:cs="Arial"/>
                <w:szCs w:val="18"/>
                <w:lang w:val="en-GB"/>
              </w:rPr>
            </w:pPr>
            <w:r w:rsidRPr="009F0D67">
              <w:t>THT pipelines</w:t>
            </w:r>
          </w:p>
        </w:tc>
        <w:tc>
          <w:tcPr>
            <w:tcW w:w="1571" w:type="dxa"/>
            <w:shd w:val="clear" w:color="auto" w:fill="FFFFFF"/>
          </w:tcPr>
          <w:p w14:paraId="5DEE36FA" w14:textId="110AC8DB" w:rsidR="00B526CB" w:rsidRPr="00B57B36" w:rsidRDefault="00B526CB" w:rsidP="00B526CB">
            <w:pPr>
              <w:pStyle w:val="CETBodytext"/>
              <w:ind w:right="-1"/>
              <w:rPr>
                <w:rFonts w:cs="Arial"/>
                <w:szCs w:val="18"/>
                <w:lang w:val="en-GB"/>
              </w:rPr>
            </w:pPr>
            <w:r w:rsidRPr="009F0D67">
              <w:t>3</w:t>
            </w:r>
          </w:p>
        </w:tc>
        <w:tc>
          <w:tcPr>
            <w:tcW w:w="1612" w:type="dxa"/>
            <w:shd w:val="clear" w:color="auto" w:fill="FFFFFF"/>
          </w:tcPr>
          <w:p w14:paraId="16BFF82E" w14:textId="1CE1FD37" w:rsidR="00B526CB" w:rsidRPr="00B536B9" w:rsidRDefault="00B526CB" w:rsidP="00B526CB">
            <w:pPr>
              <w:pStyle w:val="CETBodytext"/>
              <w:ind w:right="-1"/>
            </w:pPr>
            <w:r w:rsidRPr="009F0D67">
              <w:t>129</w:t>
            </w:r>
            <w:r>
              <w:t>,</w:t>
            </w:r>
            <w:r w:rsidRPr="009F0D67">
              <w:t>210</w:t>
            </w:r>
          </w:p>
        </w:tc>
        <w:tc>
          <w:tcPr>
            <w:tcW w:w="2932" w:type="dxa"/>
            <w:shd w:val="clear" w:color="auto" w:fill="FFFFFF"/>
            <w:vAlign w:val="bottom"/>
          </w:tcPr>
          <w:p w14:paraId="2D445EEF" w14:textId="4F59CA8D"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0000357</w:t>
            </w:r>
          </w:p>
        </w:tc>
      </w:tr>
      <w:tr w:rsidR="00B526CB" w:rsidRPr="00B57B36" w14:paraId="73A723DB" w14:textId="35217F70" w:rsidTr="00B526CB">
        <w:tc>
          <w:tcPr>
            <w:tcW w:w="1651" w:type="dxa"/>
            <w:shd w:val="clear" w:color="auto" w:fill="FFFFFF"/>
          </w:tcPr>
          <w:p w14:paraId="2DF2C8B7" w14:textId="65C83CEB" w:rsidR="00B526CB" w:rsidRDefault="00B526CB" w:rsidP="00B526CB">
            <w:pPr>
              <w:pStyle w:val="CETBodytext"/>
              <w:ind w:right="-1"/>
              <w:rPr>
                <w:rFonts w:cs="Arial"/>
                <w:szCs w:val="18"/>
                <w:lang w:val="en-GB"/>
              </w:rPr>
            </w:pPr>
            <w:r w:rsidRPr="009F0D67">
              <w:t>Pump</w:t>
            </w:r>
          </w:p>
        </w:tc>
        <w:tc>
          <w:tcPr>
            <w:tcW w:w="1571" w:type="dxa"/>
            <w:shd w:val="clear" w:color="auto" w:fill="FFFFFF"/>
          </w:tcPr>
          <w:p w14:paraId="560ADD76" w14:textId="4DD5E886" w:rsidR="00B526CB" w:rsidRPr="00B57B36" w:rsidRDefault="00B526CB" w:rsidP="00B526CB">
            <w:pPr>
              <w:pStyle w:val="CETBodytext"/>
              <w:ind w:right="-1"/>
              <w:rPr>
                <w:rFonts w:cs="Arial"/>
                <w:szCs w:val="18"/>
                <w:lang w:val="en-GB"/>
              </w:rPr>
            </w:pPr>
            <w:r w:rsidRPr="009F0D67">
              <w:t>38</w:t>
            </w:r>
          </w:p>
        </w:tc>
        <w:tc>
          <w:tcPr>
            <w:tcW w:w="1612" w:type="dxa"/>
            <w:shd w:val="clear" w:color="auto" w:fill="FFFFFF"/>
          </w:tcPr>
          <w:p w14:paraId="79DECE8E" w14:textId="24BBE972" w:rsidR="00B526CB" w:rsidRPr="00B536B9" w:rsidRDefault="00B526CB" w:rsidP="00B526CB">
            <w:pPr>
              <w:pStyle w:val="CETBodytext"/>
              <w:ind w:right="-1"/>
            </w:pPr>
            <w:r w:rsidRPr="009F0D67">
              <w:t>236</w:t>
            </w:r>
            <w:r>
              <w:t>,</w:t>
            </w:r>
            <w:r w:rsidRPr="009F0D67">
              <w:t>520</w:t>
            </w:r>
          </w:p>
        </w:tc>
        <w:tc>
          <w:tcPr>
            <w:tcW w:w="2932" w:type="dxa"/>
            <w:shd w:val="clear" w:color="auto" w:fill="FFFFFF"/>
            <w:vAlign w:val="bottom"/>
          </w:tcPr>
          <w:p w14:paraId="5A5204DF" w14:textId="61F85BCF"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0001694</w:t>
            </w:r>
          </w:p>
        </w:tc>
      </w:tr>
      <w:tr w:rsidR="00B526CB" w:rsidRPr="00B57B36" w14:paraId="3DE85C6C" w14:textId="0C31D28A" w:rsidTr="00B526CB">
        <w:tc>
          <w:tcPr>
            <w:tcW w:w="1651" w:type="dxa"/>
            <w:shd w:val="clear" w:color="auto" w:fill="FFFFFF"/>
          </w:tcPr>
          <w:p w14:paraId="6AEC1486" w14:textId="22463EC3" w:rsidR="00B526CB" w:rsidRDefault="00B526CB" w:rsidP="00B526CB">
            <w:pPr>
              <w:pStyle w:val="CETBodytext"/>
              <w:ind w:right="-1"/>
              <w:rPr>
                <w:rFonts w:cs="Arial"/>
                <w:szCs w:val="18"/>
                <w:lang w:val="en-GB"/>
              </w:rPr>
            </w:pPr>
            <w:r w:rsidRPr="009F0D67">
              <w:t>Boiler</w:t>
            </w:r>
          </w:p>
        </w:tc>
        <w:tc>
          <w:tcPr>
            <w:tcW w:w="1571" w:type="dxa"/>
            <w:shd w:val="clear" w:color="auto" w:fill="FFFFFF"/>
          </w:tcPr>
          <w:p w14:paraId="7DDC4420" w14:textId="7BE28FC2" w:rsidR="00B526CB" w:rsidRPr="00B57B36" w:rsidRDefault="00B526CB" w:rsidP="00B526CB">
            <w:pPr>
              <w:pStyle w:val="CETBodytext"/>
              <w:ind w:right="-1"/>
              <w:rPr>
                <w:rFonts w:cs="Arial"/>
                <w:szCs w:val="18"/>
                <w:lang w:val="en-GB"/>
              </w:rPr>
            </w:pPr>
            <w:r w:rsidRPr="009F0D67">
              <w:t>23</w:t>
            </w:r>
          </w:p>
        </w:tc>
        <w:tc>
          <w:tcPr>
            <w:tcW w:w="1612" w:type="dxa"/>
            <w:shd w:val="clear" w:color="auto" w:fill="FFFFFF"/>
          </w:tcPr>
          <w:p w14:paraId="062E6BC0" w14:textId="57F7724F" w:rsidR="00B526CB" w:rsidRPr="00B536B9" w:rsidRDefault="00B526CB" w:rsidP="00B526CB">
            <w:pPr>
              <w:pStyle w:val="CETBodytext"/>
              <w:ind w:right="-1"/>
            </w:pPr>
            <w:r w:rsidRPr="009F0D67">
              <w:t>236</w:t>
            </w:r>
            <w:r>
              <w:t>,</w:t>
            </w:r>
            <w:r w:rsidRPr="009F0D67">
              <w:t>520</w:t>
            </w:r>
          </w:p>
        </w:tc>
        <w:tc>
          <w:tcPr>
            <w:tcW w:w="2932" w:type="dxa"/>
            <w:shd w:val="clear" w:color="auto" w:fill="FFFFFF"/>
            <w:vAlign w:val="bottom"/>
          </w:tcPr>
          <w:p w14:paraId="4B73401E" w14:textId="0FE711C8"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0001067</w:t>
            </w:r>
          </w:p>
        </w:tc>
      </w:tr>
      <w:tr w:rsidR="00B526CB" w:rsidRPr="00B57B36" w14:paraId="647DF7A8" w14:textId="75731E97" w:rsidTr="00B526CB">
        <w:tc>
          <w:tcPr>
            <w:tcW w:w="1651" w:type="dxa"/>
            <w:shd w:val="clear" w:color="auto" w:fill="FFFFFF"/>
          </w:tcPr>
          <w:p w14:paraId="4419A052" w14:textId="3DB20C46" w:rsidR="00B526CB" w:rsidRDefault="00B526CB" w:rsidP="00B526CB">
            <w:pPr>
              <w:pStyle w:val="CETBodytext"/>
              <w:ind w:right="-1"/>
              <w:rPr>
                <w:rFonts w:cs="Arial"/>
                <w:szCs w:val="18"/>
                <w:lang w:val="en-GB"/>
              </w:rPr>
            </w:pPr>
            <w:r w:rsidRPr="009F0D67">
              <w:t>Water pipe</w:t>
            </w:r>
          </w:p>
        </w:tc>
        <w:tc>
          <w:tcPr>
            <w:tcW w:w="1571" w:type="dxa"/>
            <w:shd w:val="clear" w:color="auto" w:fill="FFFFFF"/>
          </w:tcPr>
          <w:p w14:paraId="262840A2" w14:textId="728DAA93" w:rsidR="00B526CB" w:rsidRPr="00B57B36" w:rsidRDefault="00B526CB" w:rsidP="00B526CB">
            <w:pPr>
              <w:pStyle w:val="CETBodytext"/>
              <w:ind w:right="-1"/>
              <w:rPr>
                <w:rFonts w:cs="Arial"/>
                <w:szCs w:val="18"/>
                <w:lang w:val="en-GB"/>
              </w:rPr>
            </w:pPr>
            <w:r w:rsidRPr="009F0D67">
              <w:t>25</w:t>
            </w:r>
          </w:p>
        </w:tc>
        <w:tc>
          <w:tcPr>
            <w:tcW w:w="1612" w:type="dxa"/>
            <w:shd w:val="clear" w:color="auto" w:fill="FFFFFF"/>
          </w:tcPr>
          <w:p w14:paraId="71444E55" w14:textId="4AE92DDF" w:rsidR="00B526CB" w:rsidRPr="00B536B9" w:rsidRDefault="00B526CB" w:rsidP="00B526CB">
            <w:pPr>
              <w:pStyle w:val="CETBodytext"/>
              <w:ind w:right="-1"/>
            </w:pPr>
            <w:r w:rsidRPr="009F0D67">
              <w:t>129</w:t>
            </w:r>
            <w:r>
              <w:t>,</w:t>
            </w:r>
            <w:r w:rsidRPr="009F0D67">
              <w:t>210</w:t>
            </w:r>
          </w:p>
        </w:tc>
        <w:tc>
          <w:tcPr>
            <w:tcW w:w="2932" w:type="dxa"/>
            <w:shd w:val="clear" w:color="auto" w:fill="FFFFFF"/>
            <w:vAlign w:val="bottom"/>
          </w:tcPr>
          <w:p w14:paraId="192EE638" w14:textId="148C2293" w:rsidR="00B526CB" w:rsidRPr="009F0D67" w:rsidRDefault="00B526CB" w:rsidP="00B526CB">
            <w:pPr>
              <w:pStyle w:val="CETBodytext"/>
              <w:ind w:right="-1"/>
            </w:pPr>
            <w:r w:rsidRPr="00EE37B1">
              <w:rPr>
                <w:color w:val="000000"/>
                <w:lang w:val="en-GB" w:eastAsia="it-IT"/>
              </w:rPr>
              <w:t>0</w:t>
            </w:r>
            <w:r>
              <w:rPr>
                <w:color w:val="000000"/>
                <w:lang w:val="en-GB" w:eastAsia="it-IT"/>
              </w:rPr>
              <w:t>.</w:t>
            </w:r>
            <w:r w:rsidRPr="00EE37B1">
              <w:rPr>
                <w:color w:val="000000"/>
                <w:lang w:val="en-GB" w:eastAsia="it-IT"/>
              </w:rPr>
              <w:t>0002072</w:t>
            </w:r>
          </w:p>
        </w:tc>
      </w:tr>
    </w:tbl>
    <w:p w14:paraId="3481FC53" w14:textId="34FFD383" w:rsidR="003E12C5" w:rsidRDefault="00693634" w:rsidP="00297D0D">
      <w:pPr>
        <w:pStyle w:val="CETBodytext"/>
        <w:spacing w:before="120" w:line="240" w:lineRule="auto"/>
        <w:rPr>
          <w:lang w:val="en-GB"/>
        </w:rPr>
      </w:pPr>
      <w:r>
        <w:rPr>
          <w:lang w:val="en-GB"/>
        </w:rPr>
        <w:t xml:space="preserve">Values listed in Table </w:t>
      </w:r>
      <w:r w:rsidR="00CE4675">
        <w:rPr>
          <w:lang w:val="en-GB"/>
        </w:rPr>
        <w:t>7</w:t>
      </w:r>
      <w:r>
        <w:rPr>
          <w:lang w:val="en-GB"/>
        </w:rPr>
        <w:t xml:space="preserve"> are exploited to assign to each component a level of occurrence based on Table 1. Simultaneously a</w:t>
      </w:r>
      <w:r w:rsidR="00BF7291">
        <w:rPr>
          <w:lang w:val="en-GB"/>
        </w:rPr>
        <w:t>n</w:t>
      </w:r>
      <w:r>
        <w:rPr>
          <w:lang w:val="en-GB"/>
        </w:rPr>
        <w:t xml:space="preserve"> FMECA is performed to evaluate the severity class of each component following Table 2. </w:t>
      </w:r>
      <w:r w:rsidR="003E12C5">
        <w:rPr>
          <w:lang w:val="en-GB"/>
        </w:rPr>
        <w:t xml:space="preserve">After introducing the costs obtained by the company, the </w:t>
      </w:r>
      <w:r w:rsidR="00724F53">
        <w:rPr>
          <w:lang w:val="en-GB"/>
        </w:rPr>
        <w:t>CRPN</w:t>
      </w:r>
      <w:r w:rsidR="003E12C5">
        <w:rPr>
          <w:lang w:val="en-GB"/>
        </w:rPr>
        <w:t xml:space="preserve"> is finally calculated as illustrated by </w:t>
      </w:r>
      <w:proofErr w:type="spellStart"/>
      <w:r w:rsidR="003E12C5">
        <w:rPr>
          <w:lang w:val="en-GB"/>
        </w:rPr>
        <w:t>Eq</w:t>
      </w:r>
      <w:proofErr w:type="spellEnd"/>
      <w:r w:rsidR="003E12C5">
        <w:rPr>
          <w:lang w:val="en-GB"/>
        </w:rPr>
        <w:t xml:space="preserve"> (3). The outcome of this technique is reported in Table </w:t>
      </w:r>
      <w:r w:rsidR="00CE4675">
        <w:rPr>
          <w:lang w:val="en-GB"/>
        </w:rPr>
        <w:t>8</w:t>
      </w:r>
      <w:r w:rsidR="003E12C5">
        <w:rPr>
          <w:lang w:val="en-GB"/>
        </w:rPr>
        <w:t>.</w:t>
      </w:r>
    </w:p>
    <w:p w14:paraId="34E3A3D3" w14:textId="556219E3" w:rsidR="000D75F9" w:rsidRPr="000D75F9" w:rsidRDefault="000D75F9" w:rsidP="00297D0D">
      <w:pPr>
        <w:pStyle w:val="Didascalia"/>
        <w:keepNext/>
        <w:spacing w:before="240" w:after="80"/>
        <w:rPr>
          <w:b w:val="0"/>
          <w:bCs w:val="0"/>
          <w:i/>
          <w:iCs/>
          <w:color w:val="auto"/>
        </w:rPr>
      </w:pPr>
      <w:r w:rsidRPr="000D75F9">
        <w:rPr>
          <w:b w:val="0"/>
          <w:bCs w:val="0"/>
          <w:i/>
          <w:iCs/>
          <w:color w:val="auto"/>
        </w:rPr>
        <w:t xml:space="preserve">Table </w:t>
      </w:r>
      <w:r w:rsidR="00CE4675">
        <w:rPr>
          <w:b w:val="0"/>
          <w:bCs w:val="0"/>
          <w:i/>
          <w:iCs/>
          <w:color w:val="auto"/>
        </w:rPr>
        <w:t>8</w:t>
      </w:r>
      <w:r w:rsidRPr="000D75F9">
        <w:rPr>
          <w:b w:val="0"/>
          <w:bCs w:val="0"/>
          <w:i/>
          <w:iCs/>
          <w:color w:val="auto"/>
        </w:rPr>
        <w:t xml:space="preserve">: Ranking obtained via </w:t>
      </w:r>
      <w:r w:rsidR="00724F53">
        <w:rPr>
          <w:b w:val="0"/>
          <w:bCs w:val="0"/>
          <w:i/>
          <w:iCs/>
          <w:color w:val="auto"/>
        </w:rPr>
        <w:t>CRPN</w:t>
      </w:r>
      <w:r w:rsidRPr="000D75F9">
        <w:rPr>
          <w:b w:val="0"/>
          <w:bCs w:val="0"/>
          <w:i/>
          <w:iCs/>
          <w:color w:val="auto"/>
        </w:rPr>
        <w:t xml:space="preserve"> method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61"/>
        <w:gridCol w:w="2151"/>
        <w:gridCol w:w="671"/>
        <w:gridCol w:w="1031"/>
        <w:gridCol w:w="751"/>
        <w:gridCol w:w="751"/>
      </w:tblGrid>
      <w:tr w:rsidR="003E12C5" w:rsidRPr="00B57B36" w14:paraId="1A2C15A3" w14:textId="159E9F52" w:rsidTr="00460356">
        <w:tc>
          <w:tcPr>
            <w:tcW w:w="761" w:type="dxa"/>
            <w:tcBorders>
              <w:top w:val="single" w:sz="12" w:space="0" w:color="008000"/>
              <w:bottom w:val="single" w:sz="6" w:space="0" w:color="008000"/>
            </w:tcBorders>
            <w:shd w:val="clear" w:color="auto" w:fill="FFFFFF"/>
          </w:tcPr>
          <w:p w14:paraId="70352B67" w14:textId="73C35E33" w:rsidR="003E12C5" w:rsidRPr="00B57B36" w:rsidRDefault="003E12C5" w:rsidP="00460356">
            <w:pPr>
              <w:pStyle w:val="CETBodytext"/>
              <w:rPr>
                <w:lang w:val="en-GB"/>
              </w:rPr>
            </w:pPr>
            <w:r>
              <w:rPr>
                <w:lang w:val="en-GB"/>
              </w:rPr>
              <w:t>Ranking</w:t>
            </w:r>
          </w:p>
        </w:tc>
        <w:tc>
          <w:tcPr>
            <w:tcW w:w="2151" w:type="dxa"/>
            <w:tcBorders>
              <w:top w:val="single" w:sz="12" w:space="0" w:color="008000"/>
              <w:bottom w:val="single" w:sz="6" w:space="0" w:color="008000"/>
            </w:tcBorders>
            <w:shd w:val="clear" w:color="auto" w:fill="FFFFFF"/>
          </w:tcPr>
          <w:p w14:paraId="42CEFF7C" w14:textId="453DC971" w:rsidR="003E12C5" w:rsidRPr="00B57B36" w:rsidRDefault="003E12C5" w:rsidP="00460356">
            <w:pPr>
              <w:pStyle w:val="CETBodytext"/>
              <w:rPr>
                <w:lang w:val="en-GB"/>
              </w:rPr>
            </w:pPr>
            <w:r>
              <w:rPr>
                <w:lang w:val="en-GB"/>
              </w:rPr>
              <w:t>Component</w:t>
            </w:r>
          </w:p>
        </w:tc>
        <w:tc>
          <w:tcPr>
            <w:tcW w:w="671" w:type="dxa"/>
            <w:tcBorders>
              <w:top w:val="single" w:sz="12" w:space="0" w:color="008000"/>
              <w:bottom w:val="single" w:sz="6" w:space="0" w:color="008000"/>
            </w:tcBorders>
            <w:shd w:val="clear" w:color="auto" w:fill="FFFFFF"/>
          </w:tcPr>
          <w:p w14:paraId="159ADAA6" w14:textId="2F87F661" w:rsidR="003E12C5" w:rsidRDefault="00724F53" w:rsidP="00460356">
            <w:pPr>
              <w:pStyle w:val="CETBodytext"/>
              <w:rPr>
                <w:lang w:val="en-GB"/>
              </w:rPr>
            </w:pPr>
            <w:r>
              <w:rPr>
                <w:lang w:val="en-GB"/>
              </w:rPr>
              <w:t>CRPN</w:t>
            </w:r>
          </w:p>
        </w:tc>
        <w:tc>
          <w:tcPr>
            <w:tcW w:w="1031" w:type="dxa"/>
            <w:tcBorders>
              <w:top w:val="single" w:sz="12" w:space="0" w:color="008000"/>
              <w:bottom w:val="single" w:sz="6" w:space="0" w:color="008000"/>
            </w:tcBorders>
            <w:shd w:val="clear" w:color="auto" w:fill="FFFFFF"/>
          </w:tcPr>
          <w:p w14:paraId="1233ECF1" w14:textId="31744653" w:rsidR="003E12C5" w:rsidRDefault="003E12C5" w:rsidP="00460356">
            <w:pPr>
              <w:pStyle w:val="CETBodytext"/>
              <w:rPr>
                <w:lang w:val="en-GB"/>
              </w:rPr>
            </w:pPr>
            <w:r>
              <w:rPr>
                <w:lang w:val="en-GB"/>
              </w:rPr>
              <w:t>Occurrence</w:t>
            </w:r>
          </w:p>
        </w:tc>
        <w:tc>
          <w:tcPr>
            <w:tcW w:w="751" w:type="dxa"/>
            <w:tcBorders>
              <w:top w:val="single" w:sz="12" w:space="0" w:color="008000"/>
              <w:bottom w:val="single" w:sz="6" w:space="0" w:color="008000"/>
            </w:tcBorders>
            <w:shd w:val="clear" w:color="auto" w:fill="FFFFFF"/>
          </w:tcPr>
          <w:p w14:paraId="421727B6" w14:textId="244BC24F" w:rsidR="003E12C5" w:rsidRDefault="003E12C5" w:rsidP="00460356">
            <w:pPr>
              <w:pStyle w:val="CETBodytext"/>
              <w:rPr>
                <w:lang w:val="en-GB"/>
              </w:rPr>
            </w:pPr>
            <w:r>
              <w:rPr>
                <w:lang w:val="en-GB"/>
              </w:rPr>
              <w:t>Severity</w:t>
            </w:r>
          </w:p>
        </w:tc>
        <w:tc>
          <w:tcPr>
            <w:tcW w:w="751" w:type="dxa"/>
            <w:tcBorders>
              <w:top w:val="single" w:sz="12" w:space="0" w:color="008000"/>
              <w:bottom w:val="single" w:sz="6" w:space="0" w:color="008000"/>
            </w:tcBorders>
            <w:shd w:val="clear" w:color="auto" w:fill="FFFFFF"/>
          </w:tcPr>
          <w:p w14:paraId="0152D1E1" w14:textId="261DB659" w:rsidR="003E12C5" w:rsidRDefault="003E12C5" w:rsidP="00460356">
            <w:pPr>
              <w:pStyle w:val="CETBodytext"/>
              <w:rPr>
                <w:lang w:val="en-GB"/>
              </w:rPr>
            </w:pPr>
            <w:r>
              <w:rPr>
                <w:lang w:val="en-GB"/>
              </w:rPr>
              <w:t>Cost</w:t>
            </w:r>
          </w:p>
        </w:tc>
      </w:tr>
      <w:tr w:rsidR="003E12C5" w:rsidRPr="00B57B36" w14:paraId="4E03972C" w14:textId="614A43FB" w:rsidTr="00460356">
        <w:tc>
          <w:tcPr>
            <w:tcW w:w="761" w:type="dxa"/>
            <w:shd w:val="clear" w:color="auto" w:fill="FFFFFF"/>
          </w:tcPr>
          <w:p w14:paraId="2846BCAC" w14:textId="193CE533" w:rsidR="003E12C5" w:rsidRPr="00B57B36" w:rsidRDefault="003E12C5" w:rsidP="003E12C5">
            <w:pPr>
              <w:pStyle w:val="CETBodytext"/>
              <w:rPr>
                <w:lang w:val="en-GB"/>
              </w:rPr>
            </w:pPr>
            <w:r>
              <w:rPr>
                <w:lang w:val="en-GB"/>
              </w:rPr>
              <w:t>1</w:t>
            </w:r>
          </w:p>
        </w:tc>
        <w:tc>
          <w:tcPr>
            <w:tcW w:w="2151" w:type="dxa"/>
            <w:tcBorders>
              <w:top w:val="nil"/>
              <w:left w:val="nil"/>
              <w:bottom w:val="nil"/>
              <w:right w:val="nil"/>
            </w:tcBorders>
            <w:shd w:val="clear" w:color="000000" w:fill="FFFFFF"/>
            <w:vAlign w:val="center"/>
          </w:tcPr>
          <w:p w14:paraId="3CC0DDA3" w14:textId="57BC2751" w:rsidR="003E12C5" w:rsidRPr="003E12C5" w:rsidRDefault="003E12C5" w:rsidP="003E12C5">
            <w:pPr>
              <w:pStyle w:val="CETBodytext"/>
              <w:rPr>
                <w:rFonts w:cs="Arial"/>
                <w:szCs w:val="18"/>
                <w:lang w:val="en-GB"/>
              </w:rPr>
            </w:pPr>
            <w:r w:rsidRPr="003E12C5">
              <w:rPr>
                <w:rFonts w:cs="Arial"/>
                <w:color w:val="000000"/>
                <w:szCs w:val="18"/>
              </w:rPr>
              <w:t>THT tank</w:t>
            </w:r>
          </w:p>
        </w:tc>
        <w:tc>
          <w:tcPr>
            <w:tcW w:w="671" w:type="dxa"/>
            <w:tcBorders>
              <w:top w:val="nil"/>
              <w:left w:val="nil"/>
              <w:bottom w:val="nil"/>
              <w:right w:val="nil"/>
            </w:tcBorders>
            <w:shd w:val="clear" w:color="000000" w:fill="FFFFFF"/>
            <w:vAlign w:val="center"/>
          </w:tcPr>
          <w:p w14:paraId="7D973F64" w14:textId="43953570" w:rsidR="003E12C5" w:rsidRPr="003E12C5" w:rsidRDefault="003E12C5" w:rsidP="003E12C5">
            <w:pPr>
              <w:pStyle w:val="CETBodytext"/>
              <w:rPr>
                <w:rFonts w:cs="Arial"/>
                <w:szCs w:val="18"/>
                <w:lang w:val="en-GB"/>
              </w:rPr>
            </w:pPr>
            <w:r w:rsidRPr="003E12C5">
              <w:rPr>
                <w:rFonts w:cs="Arial"/>
                <w:color w:val="000000"/>
                <w:szCs w:val="18"/>
              </w:rPr>
              <w:t>108</w:t>
            </w:r>
          </w:p>
        </w:tc>
        <w:tc>
          <w:tcPr>
            <w:tcW w:w="1031" w:type="dxa"/>
            <w:tcBorders>
              <w:top w:val="nil"/>
              <w:left w:val="nil"/>
              <w:bottom w:val="nil"/>
              <w:right w:val="nil"/>
            </w:tcBorders>
            <w:shd w:val="clear" w:color="000000" w:fill="FFFFFF"/>
            <w:vAlign w:val="center"/>
          </w:tcPr>
          <w:p w14:paraId="6FDB6B2F" w14:textId="5BF2513F" w:rsidR="003E12C5" w:rsidRPr="003E12C5" w:rsidRDefault="003E12C5" w:rsidP="003E12C5">
            <w:pPr>
              <w:pStyle w:val="CETBodytext"/>
              <w:rPr>
                <w:rFonts w:cs="Arial"/>
                <w:szCs w:val="18"/>
                <w:lang w:val="en-GB"/>
              </w:rPr>
            </w:pPr>
            <w:r w:rsidRPr="003E12C5">
              <w:rPr>
                <w:color w:val="000000"/>
                <w:szCs w:val="18"/>
              </w:rPr>
              <w:t>4</w:t>
            </w:r>
          </w:p>
        </w:tc>
        <w:tc>
          <w:tcPr>
            <w:tcW w:w="751" w:type="dxa"/>
            <w:tcBorders>
              <w:top w:val="nil"/>
              <w:left w:val="nil"/>
              <w:bottom w:val="nil"/>
              <w:right w:val="nil"/>
            </w:tcBorders>
            <w:shd w:val="clear" w:color="000000" w:fill="FFFFFF"/>
            <w:vAlign w:val="center"/>
          </w:tcPr>
          <w:p w14:paraId="028E0839" w14:textId="0E7EB119" w:rsidR="003E12C5" w:rsidRPr="003E12C5" w:rsidRDefault="003E12C5" w:rsidP="003E12C5">
            <w:pPr>
              <w:pStyle w:val="CETBodytext"/>
              <w:rPr>
                <w:rFonts w:cs="Arial"/>
                <w:szCs w:val="18"/>
                <w:lang w:val="en-GB"/>
              </w:rPr>
            </w:pPr>
            <w:r w:rsidRPr="003E12C5">
              <w:rPr>
                <w:color w:val="000000"/>
                <w:szCs w:val="18"/>
              </w:rPr>
              <w:t>9</w:t>
            </w:r>
          </w:p>
        </w:tc>
        <w:tc>
          <w:tcPr>
            <w:tcW w:w="751" w:type="dxa"/>
            <w:tcBorders>
              <w:top w:val="nil"/>
              <w:left w:val="nil"/>
              <w:bottom w:val="nil"/>
              <w:right w:val="nil"/>
            </w:tcBorders>
            <w:shd w:val="clear" w:color="000000" w:fill="FFFFFF"/>
            <w:vAlign w:val="center"/>
          </w:tcPr>
          <w:p w14:paraId="791EEA91" w14:textId="2D5CD1B1" w:rsidR="003E12C5" w:rsidRPr="003E12C5" w:rsidRDefault="003E12C5" w:rsidP="003E12C5">
            <w:pPr>
              <w:pStyle w:val="CETBodytext"/>
              <w:rPr>
                <w:rFonts w:cs="Arial"/>
                <w:szCs w:val="18"/>
                <w:lang w:val="en-GB"/>
              </w:rPr>
            </w:pPr>
            <w:r w:rsidRPr="003E12C5">
              <w:rPr>
                <w:color w:val="000000"/>
                <w:szCs w:val="18"/>
              </w:rPr>
              <w:t>3</w:t>
            </w:r>
          </w:p>
        </w:tc>
      </w:tr>
      <w:tr w:rsidR="003E12C5" w:rsidRPr="00B57B36" w14:paraId="41A5BF23" w14:textId="3219C80B" w:rsidTr="00460356">
        <w:tc>
          <w:tcPr>
            <w:tcW w:w="761" w:type="dxa"/>
            <w:shd w:val="clear" w:color="auto" w:fill="FFFFFF"/>
          </w:tcPr>
          <w:p w14:paraId="7ACB4E78" w14:textId="5031A254" w:rsidR="003E12C5" w:rsidRPr="00B57B36" w:rsidRDefault="003E12C5" w:rsidP="003E12C5">
            <w:pPr>
              <w:pStyle w:val="CETBodytext"/>
              <w:ind w:right="-1"/>
              <w:rPr>
                <w:rFonts w:cs="Arial"/>
                <w:szCs w:val="18"/>
                <w:lang w:val="en-GB"/>
              </w:rPr>
            </w:pPr>
            <w:r>
              <w:rPr>
                <w:rFonts w:cs="Arial"/>
                <w:szCs w:val="18"/>
                <w:lang w:val="en-GB"/>
              </w:rPr>
              <w:t>2</w:t>
            </w:r>
          </w:p>
        </w:tc>
        <w:tc>
          <w:tcPr>
            <w:tcW w:w="2151" w:type="dxa"/>
            <w:tcBorders>
              <w:top w:val="nil"/>
              <w:left w:val="nil"/>
              <w:bottom w:val="nil"/>
              <w:right w:val="nil"/>
            </w:tcBorders>
            <w:shd w:val="clear" w:color="000000" w:fill="FFFFFF"/>
            <w:vAlign w:val="center"/>
          </w:tcPr>
          <w:p w14:paraId="648E497A" w14:textId="683D2591" w:rsidR="003E12C5" w:rsidRPr="003E12C5" w:rsidRDefault="003E12C5" w:rsidP="003E12C5">
            <w:pPr>
              <w:pStyle w:val="CETBodytext"/>
              <w:ind w:right="-1"/>
              <w:rPr>
                <w:rFonts w:cs="Arial"/>
                <w:szCs w:val="18"/>
                <w:lang w:val="en-GB"/>
              </w:rPr>
            </w:pPr>
            <w:r w:rsidRPr="003E12C5">
              <w:rPr>
                <w:rFonts w:cs="Arial"/>
                <w:color w:val="000000"/>
                <w:szCs w:val="18"/>
              </w:rPr>
              <w:t>Boiler</w:t>
            </w:r>
          </w:p>
        </w:tc>
        <w:tc>
          <w:tcPr>
            <w:tcW w:w="671" w:type="dxa"/>
            <w:tcBorders>
              <w:top w:val="nil"/>
              <w:left w:val="nil"/>
              <w:bottom w:val="nil"/>
              <w:right w:val="nil"/>
            </w:tcBorders>
            <w:shd w:val="clear" w:color="000000" w:fill="FFFFFF"/>
            <w:vAlign w:val="center"/>
          </w:tcPr>
          <w:p w14:paraId="60C0C41E" w14:textId="4E2FEFD0" w:rsidR="003E12C5" w:rsidRPr="003E12C5" w:rsidRDefault="003E12C5" w:rsidP="003E12C5">
            <w:pPr>
              <w:pStyle w:val="CETBodytext"/>
              <w:ind w:right="-1"/>
              <w:rPr>
                <w:rFonts w:cs="Arial"/>
                <w:szCs w:val="18"/>
                <w:lang w:val="en-GB"/>
              </w:rPr>
            </w:pPr>
            <w:r w:rsidRPr="003E12C5">
              <w:rPr>
                <w:rFonts w:cs="Arial"/>
                <w:color w:val="000000"/>
                <w:szCs w:val="18"/>
              </w:rPr>
              <w:t>75</w:t>
            </w:r>
          </w:p>
        </w:tc>
        <w:tc>
          <w:tcPr>
            <w:tcW w:w="1031" w:type="dxa"/>
            <w:tcBorders>
              <w:top w:val="nil"/>
              <w:left w:val="nil"/>
              <w:bottom w:val="nil"/>
              <w:right w:val="nil"/>
            </w:tcBorders>
            <w:shd w:val="clear" w:color="000000" w:fill="FFFFFF"/>
            <w:vAlign w:val="center"/>
          </w:tcPr>
          <w:p w14:paraId="1147778B" w14:textId="7A23D77E" w:rsidR="003E12C5" w:rsidRPr="003E12C5" w:rsidRDefault="003E12C5" w:rsidP="003E12C5">
            <w:pPr>
              <w:pStyle w:val="CETBodytext"/>
              <w:ind w:right="-1"/>
              <w:rPr>
                <w:rFonts w:cs="Arial"/>
                <w:szCs w:val="18"/>
                <w:lang w:val="en-GB"/>
              </w:rPr>
            </w:pPr>
            <w:r w:rsidRPr="003E12C5">
              <w:rPr>
                <w:color w:val="000000"/>
                <w:szCs w:val="18"/>
              </w:rPr>
              <w:t>5</w:t>
            </w:r>
          </w:p>
        </w:tc>
        <w:tc>
          <w:tcPr>
            <w:tcW w:w="751" w:type="dxa"/>
            <w:tcBorders>
              <w:top w:val="nil"/>
              <w:left w:val="nil"/>
              <w:bottom w:val="nil"/>
              <w:right w:val="nil"/>
            </w:tcBorders>
            <w:shd w:val="clear" w:color="000000" w:fill="FFFFFF"/>
            <w:vAlign w:val="center"/>
          </w:tcPr>
          <w:p w14:paraId="6E1E0E3D" w14:textId="5CE54353" w:rsidR="003E12C5" w:rsidRPr="003E12C5" w:rsidRDefault="003E12C5" w:rsidP="003E12C5">
            <w:pPr>
              <w:pStyle w:val="CETBodytext"/>
              <w:ind w:right="-1"/>
              <w:rPr>
                <w:rFonts w:cs="Arial"/>
                <w:szCs w:val="18"/>
                <w:lang w:val="en-GB"/>
              </w:rPr>
            </w:pPr>
            <w:r w:rsidRPr="003E12C5">
              <w:rPr>
                <w:color w:val="000000"/>
                <w:szCs w:val="18"/>
              </w:rPr>
              <w:t>5</w:t>
            </w:r>
          </w:p>
        </w:tc>
        <w:tc>
          <w:tcPr>
            <w:tcW w:w="751" w:type="dxa"/>
            <w:tcBorders>
              <w:top w:val="nil"/>
              <w:left w:val="nil"/>
              <w:bottom w:val="nil"/>
              <w:right w:val="nil"/>
            </w:tcBorders>
            <w:shd w:val="clear" w:color="000000" w:fill="FFFFFF"/>
            <w:vAlign w:val="center"/>
          </w:tcPr>
          <w:p w14:paraId="221C2225" w14:textId="6254A0B1" w:rsidR="003E12C5" w:rsidRPr="003E12C5" w:rsidRDefault="003E12C5" w:rsidP="003E12C5">
            <w:pPr>
              <w:pStyle w:val="CETBodytext"/>
              <w:ind w:right="-1"/>
              <w:rPr>
                <w:rFonts w:cs="Arial"/>
                <w:szCs w:val="18"/>
                <w:lang w:val="en-GB"/>
              </w:rPr>
            </w:pPr>
            <w:r w:rsidRPr="003E12C5">
              <w:rPr>
                <w:color w:val="000000"/>
                <w:szCs w:val="18"/>
              </w:rPr>
              <w:t>3</w:t>
            </w:r>
          </w:p>
        </w:tc>
      </w:tr>
      <w:tr w:rsidR="003E12C5" w:rsidRPr="00B57B36" w14:paraId="5B30C849" w14:textId="2C56983F" w:rsidTr="00460356">
        <w:tc>
          <w:tcPr>
            <w:tcW w:w="761" w:type="dxa"/>
            <w:shd w:val="clear" w:color="auto" w:fill="FFFFFF"/>
          </w:tcPr>
          <w:p w14:paraId="0EA2782F" w14:textId="6CC29527" w:rsidR="003E12C5" w:rsidRDefault="003E12C5" w:rsidP="003E12C5">
            <w:pPr>
              <w:pStyle w:val="CETBodytext"/>
              <w:ind w:right="-1"/>
              <w:rPr>
                <w:rFonts w:cs="Arial"/>
                <w:szCs w:val="18"/>
                <w:lang w:val="en-GB"/>
              </w:rPr>
            </w:pPr>
            <w:r>
              <w:rPr>
                <w:rFonts w:cs="Arial"/>
                <w:szCs w:val="18"/>
                <w:lang w:val="en-GB"/>
              </w:rPr>
              <w:t>3</w:t>
            </w:r>
          </w:p>
        </w:tc>
        <w:tc>
          <w:tcPr>
            <w:tcW w:w="2151" w:type="dxa"/>
            <w:tcBorders>
              <w:top w:val="nil"/>
              <w:left w:val="nil"/>
              <w:bottom w:val="nil"/>
              <w:right w:val="nil"/>
            </w:tcBorders>
            <w:shd w:val="clear" w:color="000000" w:fill="FFFFFF"/>
            <w:vAlign w:val="center"/>
          </w:tcPr>
          <w:p w14:paraId="09E96E15" w14:textId="0CD70F09" w:rsidR="003E12C5" w:rsidRPr="003E12C5" w:rsidRDefault="003E12C5" w:rsidP="003E12C5">
            <w:pPr>
              <w:pStyle w:val="CETBodytext"/>
              <w:ind w:right="-1"/>
              <w:rPr>
                <w:rFonts w:cs="Arial"/>
                <w:szCs w:val="18"/>
                <w:lang w:val="en-GB"/>
              </w:rPr>
            </w:pPr>
            <w:r w:rsidRPr="003E12C5">
              <w:rPr>
                <w:rFonts w:cs="Arial"/>
                <w:color w:val="000000"/>
                <w:szCs w:val="18"/>
              </w:rPr>
              <w:t>Pressure Regulator</w:t>
            </w:r>
          </w:p>
        </w:tc>
        <w:tc>
          <w:tcPr>
            <w:tcW w:w="671" w:type="dxa"/>
            <w:tcBorders>
              <w:top w:val="nil"/>
              <w:left w:val="nil"/>
              <w:bottom w:val="nil"/>
              <w:right w:val="nil"/>
            </w:tcBorders>
            <w:shd w:val="clear" w:color="000000" w:fill="FFFFFF"/>
            <w:vAlign w:val="center"/>
          </w:tcPr>
          <w:p w14:paraId="0C036D40" w14:textId="200FEE82" w:rsidR="003E12C5" w:rsidRPr="003E12C5" w:rsidRDefault="003E12C5" w:rsidP="003E12C5">
            <w:pPr>
              <w:pStyle w:val="CETBodytext"/>
              <w:ind w:right="-1"/>
              <w:rPr>
                <w:rFonts w:cs="Arial"/>
                <w:szCs w:val="18"/>
                <w:lang w:val="en-GB"/>
              </w:rPr>
            </w:pPr>
            <w:r w:rsidRPr="003E12C5">
              <w:rPr>
                <w:rFonts w:cs="Arial"/>
                <w:color w:val="000000"/>
                <w:szCs w:val="18"/>
              </w:rPr>
              <w:t>72</w:t>
            </w:r>
          </w:p>
        </w:tc>
        <w:tc>
          <w:tcPr>
            <w:tcW w:w="1031" w:type="dxa"/>
            <w:tcBorders>
              <w:top w:val="nil"/>
              <w:left w:val="nil"/>
              <w:bottom w:val="nil"/>
              <w:right w:val="nil"/>
            </w:tcBorders>
            <w:shd w:val="clear" w:color="000000" w:fill="FFFFFF"/>
            <w:vAlign w:val="center"/>
          </w:tcPr>
          <w:p w14:paraId="0E5BB0E2" w14:textId="4C0EF568" w:rsidR="003E12C5" w:rsidRPr="003E12C5" w:rsidRDefault="003E12C5" w:rsidP="003E12C5">
            <w:pPr>
              <w:pStyle w:val="CETBodytext"/>
              <w:ind w:right="-1"/>
              <w:rPr>
                <w:rFonts w:cs="Arial"/>
                <w:szCs w:val="18"/>
                <w:lang w:val="en-GB"/>
              </w:rPr>
            </w:pPr>
            <w:r w:rsidRPr="003E12C5">
              <w:rPr>
                <w:color w:val="000000"/>
                <w:szCs w:val="18"/>
              </w:rPr>
              <w:t>2</w:t>
            </w:r>
          </w:p>
        </w:tc>
        <w:tc>
          <w:tcPr>
            <w:tcW w:w="751" w:type="dxa"/>
            <w:tcBorders>
              <w:top w:val="nil"/>
              <w:left w:val="nil"/>
              <w:bottom w:val="nil"/>
              <w:right w:val="nil"/>
            </w:tcBorders>
            <w:shd w:val="clear" w:color="000000" w:fill="FFFFFF"/>
            <w:vAlign w:val="center"/>
          </w:tcPr>
          <w:p w14:paraId="507BB56A" w14:textId="63A58276" w:rsidR="003E12C5" w:rsidRPr="003E12C5" w:rsidRDefault="003E12C5" w:rsidP="003E12C5">
            <w:pPr>
              <w:pStyle w:val="CETBodytext"/>
              <w:ind w:right="-1"/>
              <w:rPr>
                <w:rFonts w:cs="Arial"/>
                <w:szCs w:val="18"/>
                <w:lang w:val="en-GB"/>
              </w:rPr>
            </w:pPr>
            <w:r w:rsidRPr="003E12C5">
              <w:rPr>
                <w:color w:val="000000"/>
                <w:szCs w:val="18"/>
              </w:rPr>
              <w:t>9</w:t>
            </w:r>
          </w:p>
        </w:tc>
        <w:tc>
          <w:tcPr>
            <w:tcW w:w="751" w:type="dxa"/>
            <w:tcBorders>
              <w:top w:val="nil"/>
              <w:left w:val="nil"/>
              <w:bottom w:val="nil"/>
              <w:right w:val="nil"/>
            </w:tcBorders>
            <w:shd w:val="clear" w:color="000000" w:fill="FFFFFF"/>
            <w:vAlign w:val="center"/>
          </w:tcPr>
          <w:p w14:paraId="111B6236" w14:textId="5F8AD2BD" w:rsidR="003E12C5" w:rsidRPr="003E12C5" w:rsidRDefault="003E12C5" w:rsidP="003E12C5">
            <w:pPr>
              <w:pStyle w:val="CETBodytext"/>
              <w:ind w:right="-1"/>
              <w:rPr>
                <w:rFonts w:cs="Arial"/>
                <w:szCs w:val="18"/>
                <w:lang w:val="en-GB"/>
              </w:rPr>
            </w:pPr>
            <w:r w:rsidRPr="003E12C5">
              <w:rPr>
                <w:color w:val="000000"/>
                <w:szCs w:val="18"/>
              </w:rPr>
              <w:t>4</w:t>
            </w:r>
          </w:p>
        </w:tc>
      </w:tr>
      <w:tr w:rsidR="003E12C5" w:rsidRPr="00B57B36" w14:paraId="0B0EDCD4" w14:textId="6293635E" w:rsidTr="00460356">
        <w:tc>
          <w:tcPr>
            <w:tcW w:w="761" w:type="dxa"/>
            <w:shd w:val="clear" w:color="auto" w:fill="FFFFFF"/>
          </w:tcPr>
          <w:p w14:paraId="79807C3F" w14:textId="7FE0EA3B" w:rsidR="003E12C5" w:rsidRDefault="003E12C5" w:rsidP="003E12C5">
            <w:pPr>
              <w:pStyle w:val="CETBodytext"/>
              <w:ind w:right="-1"/>
              <w:rPr>
                <w:rFonts w:cs="Arial"/>
                <w:szCs w:val="18"/>
                <w:lang w:val="en-GB"/>
              </w:rPr>
            </w:pPr>
            <w:r>
              <w:rPr>
                <w:rFonts w:cs="Arial"/>
                <w:szCs w:val="18"/>
                <w:lang w:val="en-GB"/>
              </w:rPr>
              <w:t>4</w:t>
            </w:r>
          </w:p>
        </w:tc>
        <w:tc>
          <w:tcPr>
            <w:tcW w:w="2151" w:type="dxa"/>
            <w:tcBorders>
              <w:top w:val="nil"/>
              <w:left w:val="nil"/>
              <w:bottom w:val="nil"/>
              <w:right w:val="nil"/>
            </w:tcBorders>
            <w:shd w:val="clear" w:color="000000" w:fill="FFFFFF"/>
            <w:vAlign w:val="center"/>
          </w:tcPr>
          <w:p w14:paraId="512B7406" w14:textId="31687A34" w:rsidR="003E12C5" w:rsidRPr="003E12C5" w:rsidRDefault="003E12C5" w:rsidP="003E12C5">
            <w:pPr>
              <w:pStyle w:val="CETBodytext"/>
              <w:ind w:right="-1"/>
              <w:rPr>
                <w:rFonts w:cs="Arial"/>
                <w:szCs w:val="18"/>
                <w:lang w:val="en-GB"/>
              </w:rPr>
            </w:pPr>
            <w:r w:rsidRPr="003E12C5">
              <w:rPr>
                <w:rFonts w:cs="Arial"/>
                <w:color w:val="000000"/>
                <w:szCs w:val="18"/>
              </w:rPr>
              <w:t>Filter</w:t>
            </w:r>
          </w:p>
        </w:tc>
        <w:tc>
          <w:tcPr>
            <w:tcW w:w="671" w:type="dxa"/>
            <w:tcBorders>
              <w:top w:val="nil"/>
              <w:left w:val="nil"/>
              <w:bottom w:val="nil"/>
              <w:right w:val="nil"/>
            </w:tcBorders>
            <w:shd w:val="clear" w:color="000000" w:fill="FFFFFF"/>
            <w:vAlign w:val="center"/>
          </w:tcPr>
          <w:p w14:paraId="0D9A6363" w14:textId="1E3DB2F1" w:rsidR="003E12C5" w:rsidRPr="003E12C5" w:rsidRDefault="003E12C5" w:rsidP="003E12C5">
            <w:pPr>
              <w:pStyle w:val="CETBodytext"/>
              <w:ind w:right="-1"/>
              <w:rPr>
                <w:rFonts w:cs="Arial"/>
                <w:szCs w:val="18"/>
                <w:lang w:val="en-GB"/>
              </w:rPr>
            </w:pPr>
            <w:r w:rsidRPr="003E12C5">
              <w:rPr>
                <w:rFonts w:cs="Arial"/>
                <w:color w:val="000000"/>
                <w:szCs w:val="18"/>
              </w:rPr>
              <w:t>72</w:t>
            </w:r>
          </w:p>
        </w:tc>
        <w:tc>
          <w:tcPr>
            <w:tcW w:w="1031" w:type="dxa"/>
            <w:tcBorders>
              <w:top w:val="nil"/>
              <w:left w:val="nil"/>
              <w:bottom w:val="nil"/>
              <w:right w:val="nil"/>
            </w:tcBorders>
            <w:shd w:val="clear" w:color="000000" w:fill="FFFFFF"/>
            <w:vAlign w:val="center"/>
          </w:tcPr>
          <w:p w14:paraId="2975B3FA" w14:textId="74E981B3" w:rsidR="003E12C5" w:rsidRPr="003E12C5" w:rsidRDefault="003E12C5" w:rsidP="003E12C5">
            <w:pPr>
              <w:pStyle w:val="CETBodytext"/>
              <w:ind w:right="-1"/>
              <w:rPr>
                <w:rFonts w:cs="Arial"/>
                <w:szCs w:val="18"/>
                <w:lang w:val="en-GB"/>
              </w:rPr>
            </w:pPr>
            <w:r w:rsidRPr="003E12C5">
              <w:rPr>
                <w:color w:val="000000"/>
                <w:szCs w:val="18"/>
              </w:rPr>
              <w:t>4</w:t>
            </w:r>
          </w:p>
        </w:tc>
        <w:tc>
          <w:tcPr>
            <w:tcW w:w="751" w:type="dxa"/>
            <w:tcBorders>
              <w:top w:val="nil"/>
              <w:left w:val="nil"/>
              <w:bottom w:val="nil"/>
              <w:right w:val="nil"/>
            </w:tcBorders>
            <w:shd w:val="clear" w:color="000000" w:fill="FFFFFF"/>
            <w:vAlign w:val="center"/>
          </w:tcPr>
          <w:p w14:paraId="4B035C2F" w14:textId="6BC38FBF" w:rsidR="003E12C5" w:rsidRPr="003E12C5" w:rsidRDefault="003E12C5" w:rsidP="003E12C5">
            <w:pPr>
              <w:pStyle w:val="CETBodytext"/>
              <w:ind w:right="-1"/>
              <w:rPr>
                <w:rFonts w:cs="Arial"/>
                <w:szCs w:val="18"/>
                <w:lang w:val="en-GB"/>
              </w:rPr>
            </w:pPr>
            <w:r w:rsidRPr="003E12C5">
              <w:rPr>
                <w:color w:val="000000"/>
                <w:szCs w:val="18"/>
              </w:rPr>
              <w:t>9</w:t>
            </w:r>
          </w:p>
        </w:tc>
        <w:tc>
          <w:tcPr>
            <w:tcW w:w="751" w:type="dxa"/>
            <w:tcBorders>
              <w:top w:val="nil"/>
              <w:left w:val="nil"/>
              <w:bottom w:val="nil"/>
              <w:right w:val="nil"/>
            </w:tcBorders>
            <w:shd w:val="clear" w:color="000000" w:fill="FFFFFF"/>
            <w:vAlign w:val="center"/>
          </w:tcPr>
          <w:p w14:paraId="4B57FE5D" w14:textId="486E9297" w:rsidR="003E12C5" w:rsidRPr="003E12C5" w:rsidRDefault="003E12C5" w:rsidP="003E12C5">
            <w:pPr>
              <w:pStyle w:val="CETBodytext"/>
              <w:ind w:right="-1"/>
              <w:rPr>
                <w:rFonts w:cs="Arial"/>
                <w:szCs w:val="18"/>
                <w:lang w:val="en-GB"/>
              </w:rPr>
            </w:pPr>
            <w:r w:rsidRPr="003E12C5">
              <w:rPr>
                <w:color w:val="000000"/>
                <w:szCs w:val="18"/>
              </w:rPr>
              <w:t>2</w:t>
            </w:r>
          </w:p>
        </w:tc>
      </w:tr>
      <w:tr w:rsidR="003E12C5" w:rsidRPr="00B57B36" w14:paraId="1F1C843C" w14:textId="09C6213C" w:rsidTr="00460356">
        <w:tc>
          <w:tcPr>
            <w:tcW w:w="761" w:type="dxa"/>
            <w:shd w:val="clear" w:color="auto" w:fill="FFFFFF"/>
          </w:tcPr>
          <w:p w14:paraId="543A71E7" w14:textId="7286DD61" w:rsidR="003E12C5" w:rsidRDefault="003E12C5" w:rsidP="003E12C5">
            <w:pPr>
              <w:pStyle w:val="CETBodytext"/>
              <w:ind w:right="-1"/>
              <w:rPr>
                <w:rFonts w:cs="Arial"/>
                <w:szCs w:val="18"/>
                <w:lang w:val="en-GB"/>
              </w:rPr>
            </w:pPr>
            <w:r>
              <w:rPr>
                <w:rFonts w:cs="Arial"/>
                <w:szCs w:val="18"/>
                <w:lang w:val="en-GB"/>
              </w:rPr>
              <w:t>5</w:t>
            </w:r>
          </w:p>
        </w:tc>
        <w:tc>
          <w:tcPr>
            <w:tcW w:w="2151" w:type="dxa"/>
            <w:tcBorders>
              <w:top w:val="nil"/>
              <w:left w:val="nil"/>
              <w:bottom w:val="nil"/>
              <w:right w:val="nil"/>
            </w:tcBorders>
            <w:shd w:val="clear" w:color="000000" w:fill="FFFFFF"/>
            <w:vAlign w:val="center"/>
          </w:tcPr>
          <w:p w14:paraId="6130904B" w14:textId="1024DDA2" w:rsidR="003E12C5" w:rsidRPr="003E12C5" w:rsidRDefault="003E12C5" w:rsidP="003E12C5">
            <w:pPr>
              <w:pStyle w:val="CETBodytext"/>
              <w:ind w:right="-1"/>
              <w:rPr>
                <w:rFonts w:cs="Arial"/>
                <w:szCs w:val="18"/>
                <w:lang w:val="en-GB"/>
              </w:rPr>
            </w:pPr>
            <w:r w:rsidRPr="003E12C5">
              <w:rPr>
                <w:rFonts w:cs="Arial"/>
                <w:color w:val="000000"/>
                <w:szCs w:val="18"/>
              </w:rPr>
              <w:t>RCS</w:t>
            </w:r>
          </w:p>
        </w:tc>
        <w:tc>
          <w:tcPr>
            <w:tcW w:w="671" w:type="dxa"/>
            <w:tcBorders>
              <w:top w:val="nil"/>
              <w:left w:val="nil"/>
              <w:bottom w:val="nil"/>
              <w:right w:val="nil"/>
            </w:tcBorders>
            <w:shd w:val="clear" w:color="000000" w:fill="FFFFFF"/>
            <w:vAlign w:val="center"/>
          </w:tcPr>
          <w:p w14:paraId="12EB27E5" w14:textId="4006867E" w:rsidR="003E12C5" w:rsidRPr="003E12C5" w:rsidRDefault="003E12C5" w:rsidP="003E12C5">
            <w:pPr>
              <w:pStyle w:val="CETBodytext"/>
              <w:ind w:right="-1"/>
              <w:rPr>
                <w:rFonts w:cs="Arial"/>
                <w:szCs w:val="18"/>
                <w:lang w:val="en-GB"/>
              </w:rPr>
            </w:pPr>
            <w:r w:rsidRPr="003E12C5">
              <w:rPr>
                <w:rFonts w:cs="Arial"/>
                <w:color w:val="000000"/>
                <w:szCs w:val="18"/>
              </w:rPr>
              <w:t>60</w:t>
            </w:r>
          </w:p>
        </w:tc>
        <w:tc>
          <w:tcPr>
            <w:tcW w:w="1031" w:type="dxa"/>
            <w:tcBorders>
              <w:top w:val="nil"/>
              <w:left w:val="nil"/>
              <w:bottom w:val="nil"/>
              <w:right w:val="nil"/>
            </w:tcBorders>
            <w:shd w:val="clear" w:color="000000" w:fill="FFFFFF"/>
            <w:vAlign w:val="center"/>
          </w:tcPr>
          <w:p w14:paraId="71375E96" w14:textId="3D21B7F3" w:rsidR="003E12C5" w:rsidRPr="003E12C5" w:rsidRDefault="003E12C5" w:rsidP="003E12C5">
            <w:pPr>
              <w:pStyle w:val="CETBodytext"/>
              <w:ind w:right="-1"/>
              <w:rPr>
                <w:rFonts w:cs="Arial"/>
                <w:szCs w:val="18"/>
                <w:lang w:val="en-GB"/>
              </w:rPr>
            </w:pPr>
            <w:r w:rsidRPr="003E12C5">
              <w:rPr>
                <w:color w:val="000000"/>
                <w:szCs w:val="18"/>
              </w:rPr>
              <w:t>5</w:t>
            </w:r>
          </w:p>
        </w:tc>
        <w:tc>
          <w:tcPr>
            <w:tcW w:w="751" w:type="dxa"/>
            <w:tcBorders>
              <w:top w:val="nil"/>
              <w:left w:val="nil"/>
              <w:bottom w:val="nil"/>
              <w:right w:val="nil"/>
            </w:tcBorders>
            <w:shd w:val="clear" w:color="000000" w:fill="FFFFFF"/>
            <w:vAlign w:val="center"/>
          </w:tcPr>
          <w:p w14:paraId="680DA6FB" w14:textId="54FA7C9A" w:rsidR="003E12C5" w:rsidRPr="003E12C5" w:rsidRDefault="003E12C5" w:rsidP="003E12C5">
            <w:pPr>
              <w:pStyle w:val="CETBodytext"/>
              <w:ind w:right="-1"/>
              <w:rPr>
                <w:rFonts w:cs="Arial"/>
                <w:szCs w:val="18"/>
                <w:lang w:val="en-GB"/>
              </w:rPr>
            </w:pPr>
            <w:r w:rsidRPr="003E12C5">
              <w:rPr>
                <w:color w:val="000000"/>
                <w:szCs w:val="18"/>
              </w:rPr>
              <w:t>6</w:t>
            </w:r>
          </w:p>
        </w:tc>
        <w:tc>
          <w:tcPr>
            <w:tcW w:w="751" w:type="dxa"/>
            <w:tcBorders>
              <w:top w:val="nil"/>
              <w:left w:val="nil"/>
              <w:bottom w:val="nil"/>
              <w:right w:val="nil"/>
            </w:tcBorders>
            <w:shd w:val="clear" w:color="000000" w:fill="FFFFFF"/>
            <w:vAlign w:val="center"/>
          </w:tcPr>
          <w:p w14:paraId="10F5C069" w14:textId="288B004E" w:rsidR="003E12C5" w:rsidRPr="003E12C5" w:rsidRDefault="003E12C5" w:rsidP="003E12C5">
            <w:pPr>
              <w:pStyle w:val="CETBodytext"/>
              <w:ind w:right="-1"/>
              <w:rPr>
                <w:rFonts w:cs="Arial"/>
                <w:szCs w:val="18"/>
                <w:lang w:val="en-GB"/>
              </w:rPr>
            </w:pPr>
            <w:r w:rsidRPr="003E12C5">
              <w:rPr>
                <w:color w:val="000000"/>
                <w:szCs w:val="18"/>
              </w:rPr>
              <w:t>2</w:t>
            </w:r>
          </w:p>
        </w:tc>
      </w:tr>
      <w:tr w:rsidR="003E12C5" w:rsidRPr="00B57B36" w14:paraId="245C4DE8" w14:textId="3EE325CE" w:rsidTr="00297D0D">
        <w:tc>
          <w:tcPr>
            <w:tcW w:w="761" w:type="dxa"/>
            <w:tcBorders>
              <w:bottom w:val="nil"/>
            </w:tcBorders>
            <w:shd w:val="clear" w:color="auto" w:fill="FFFFFF"/>
          </w:tcPr>
          <w:p w14:paraId="2409B65C" w14:textId="3AE7CD7F" w:rsidR="003E12C5" w:rsidRDefault="003E12C5" w:rsidP="003E12C5">
            <w:pPr>
              <w:pStyle w:val="CETBodytext"/>
              <w:ind w:right="-1"/>
              <w:rPr>
                <w:rFonts w:cs="Arial"/>
                <w:szCs w:val="18"/>
                <w:lang w:val="en-GB"/>
              </w:rPr>
            </w:pPr>
            <w:r>
              <w:rPr>
                <w:rFonts w:cs="Arial"/>
                <w:szCs w:val="18"/>
                <w:lang w:val="en-GB"/>
              </w:rPr>
              <w:t>6</w:t>
            </w:r>
          </w:p>
        </w:tc>
        <w:tc>
          <w:tcPr>
            <w:tcW w:w="2151" w:type="dxa"/>
            <w:tcBorders>
              <w:top w:val="nil"/>
              <w:left w:val="nil"/>
              <w:bottom w:val="nil"/>
              <w:right w:val="nil"/>
            </w:tcBorders>
            <w:shd w:val="clear" w:color="000000" w:fill="FFFFFF"/>
            <w:vAlign w:val="center"/>
          </w:tcPr>
          <w:p w14:paraId="23A5A29E" w14:textId="715740ED" w:rsidR="003E12C5" w:rsidRPr="003E12C5" w:rsidRDefault="003E12C5" w:rsidP="003E12C5">
            <w:pPr>
              <w:pStyle w:val="CETBodytext"/>
              <w:ind w:right="-1"/>
              <w:rPr>
                <w:rFonts w:cs="Arial"/>
                <w:szCs w:val="18"/>
                <w:lang w:val="en-GB"/>
              </w:rPr>
            </w:pPr>
            <w:r w:rsidRPr="003E12C5">
              <w:rPr>
                <w:rFonts w:cs="Arial"/>
                <w:color w:val="000000"/>
                <w:szCs w:val="18"/>
              </w:rPr>
              <w:t>THT pipelines</w:t>
            </w:r>
          </w:p>
        </w:tc>
        <w:tc>
          <w:tcPr>
            <w:tcW w:w="671" w:type="dxa"/>
            <w:tcBorders>
              <w:top w:val="nil"/>
              <w:left w:val="nil"/>
              <w:bottom w:val="nil"/>
              <w:right w:val="nil"/>
            </w:tcBorders>
            <w:shd w:val="clear" w:color="000000" w:fill="FFFFFF"/>
            <w:vAlign w:val="center"/>
          </w:tcPr>
          <w:p w14:paraId="075BEC7C" w14:textId="5562596D" w:rsidR="003E12C5" w:rsidRPr="003E12C5" w:rsidRDefault="003E12C5" w:rsidP="003E12C5">
            <w:pPr>
              <w:pStyle w:val="CETBodytext"/>
              <w:ind w:right="-1"/>
              <w:rPr>
                <w:rFonts w:cs="Arial"/>
                <w:szCs w:val="18"/>
                <w:lang w:val="en-GB"/>
              </w:rPr>
            </w:pPr>
            <w:r w:rsidRPr="003E12C5">
              <w:rPr>
                <w:rFonts w:cs="Arial"/>
                <w:color w:val="000000"/>
                <w:szCs w:val="18"/>
              </w:rPr>
              <w:t>54</w:t>
            </w:r>
          </w:p>
        </w:tc>
        <w:tc>
          <w:tcPr>
            <w:tcW w:w="1031" w:type="dxa"/>
            <w:tcBorders>
              <w:top w:val="nil"/>
              <w:left w:val="nil"/>
              <w:bottom w:val="nil"/>
              <w:right w:val="nil"/>
            </w:tcBorders>
            <w:shd w:val="clear" w:color="000000" w:fill="FFFFFF"/>
            <w:vAlign w:val="center"/>
          </w:tcPr>
          <w:p w14:paraId="1E3A0A20" w14:textId="519AABEF" w:rsidR="003E12C5" w:rsidRPr="003E12C5" w:rsidRDefault="003E12C5" w:rsidP="003E12C5">
            <w:pPr>
              <w:pStyle w:val="CETBodytext"/>
              <w:ind w:right="-1"/>
              <w:rPr>
                <w:rFonts w:cs="Arial"/>
                <w:szCs w:val="18"/>
                <w:lang w:val="en-GB"/>
              </w:rPr>
            </w:pPr>
            <w:r w:rsidRPr="003E12C5">
              <w:rPr>
                <w:color w:val="000000"/>
                <w:szCs w:val="18"/>
              </w:rPr>
              <w:t>2</w:t>
            </w:r>
          </w:p>
        </w:tc>
        <w:tc>
          <w:tcPr>
            <w:tcW w:w="751" w:type="dxa"/>
            <w:tcBorders>
              <w:top w:val="nil"/>
              <w:left w:val="nil"/>
              <w:bottom w:val="nil"/>
              <w:right w:val="nil"/>
            </w:tcBorders>
            <w:shd w:val="clear" w:color="000000" w:fill="FFFFFF"/>
            <w:vAlign w:val="center"/>
          </w:tcPr>
          <w:p w14:paraId="1F3A7057" w14:textId="77977A70" w:rsidR="003E12C5" w:rsidRPr="003E12C5" w:rsidRDefault="003E12C5" w:rsidP="003E12C5">
            <w:pPr>
              <w:pStyle w:val="CETBodytext"/>
              <w:ind w:right="-1"/>
              <w:rPr>
                <w:rFonts w:cs="Arial"/>
                <w:szCs w:val="18"/>
                <w:lang w:val="en-GB"/>
              </w:rPr>
            </w:pPr>
            <w:r w:rsidRPr="003E12C5">
              <w:rPr>
                <w:color w:val="000000"/>
                <w:szCs w:val="18"/>
              </w:rPr>
              <w:t>9</w:t>
            </w:r>
          </w:p>
        </w:tc>
        <w:tc>
          <w:tcPr>
            <w:tcW w:w="751" w:type="dxa"/>
            <w:tcBorders>
              <w:top w:val="nil"/>
              <w:left w:val="nil"/>
              <w:bottom w:val="nil"/>
              <w:right w:val="nil"/>
            </w:tcBorders>
            <w:shd w:val="clear" w:color="000000" w:fill="FFFFFF"/>
            <w:vAlign w:val="center"/>
          </w:tcPr>
          <w:p w14:paraId="2B2E2960" w14:textId="09410D2E" w:rsidR="003E12C5" w:rsidRPr="003E12C5" w:rsidRDefault="003E12C5" w:rsidP="003E12C5">
            <w:pPr>
              <w:pStyle w:val="CETBodytext"/>
              <w:ind w:right="-1"/>
              <w:rPr>
                <w:rFonts w:cs="Arial"/>
                <w:szCs w:val="18"/>
                <w:lang w:val="en-GB"/>
              </w:rPr>
            </w:pPr>
            <w:r w:rsidRPr="003E12C5">
              <w:rPr>
                <w:color w:val="000000"/>
                <w:szCs w:val="18"/>
              </w:rPr>
              <w:t>3</w:t>
            </w:r>
          </w:p>
        </w:tc>
      </w:tr>
      <w:tr w:rsidR="003E12C5" w:rsidRPr="00B57B36" w14:paraId="6650F57A" w14:textId="24F6240A" w:rsidTr="00297D0D">
        <w:tc>
          <w:tcPr>
            <w:tcW w:w="761" w:type="dxa"/>
            <w:tcBorders>
              <w:top w:val="nil"/>
              <w:bottom w:val="nil"/>
            </w:tcBorders>
            <w:shd w:val="clear" w:color="auto" w:fill="FFFFFF"/>
          </w:tcPr>
          <w:p w14:paraId="04259434" w14:textId="69C35355" w:rsidR="003E12C5" w:rsidRDefault="003E12C5" w:rsidP="003E12C5">
            <w:pPr>
              <w:pStyle w:val="CETBodytext"/>
              <w:ind w:right="-1"/>
              <w:rPr>
                <w:rFonts w:cs="Arial"/>
                <w:szCs w:val="18"/>
                <w:lang w:val="en-GB"/>
              </w:rPr>
            </w:pPr>
            <w:r>
              <w:rPr>
                <w:rFonts w:cs="Arial"/>
                <w:szCs w:val="18"/>
                <w:lang w:val="en-GB"/>
              </w:rPr>
              <w:t>7</w:t>
            </w:r>
          </w:p>
        </w:tc>
        <w:tc>
          <w:tcPr>
            <w:tcW w:w="2151" w:type="dxa"/>
            <w:tcBorders>
              <w:top w:val="nil"/>
              <w:left w:val="nil"/>
              <w:bottom w:val="nil"/>
              <w:right w:val="nil"/>
            </w:tcBorders>
            <w:shd w:val="clear" w:color="000000" w:fill="FFFFFF"/>
            <w:vAlign w:val="center"/>
          </w:tcPr>
          <w:p w14:paraId="30B336FB" w14:textId="3B62C354" w:rsidR="003E12C5" w:rsidRPr="003E12C5" w:rsidRDefault="003E12C5" w:rsidP="003E12C5">
            <w:pPr>
              <w:pStyle w:val="CETBodytext"/>
              <w:ind w:right="-1"/>
              <w:rPr>
                <w:rFonts w:cs="Arial"/>
                <w:szCs w:val="18"/>
                <w:lang w:val="en-GB"/>
              </w:rPr>
            </w:pPr>
            <w:r w:rsidRPr="003E12C5">
              <w:rPr>
                <w:rFonts w:cs="Arial"/>
                <w:color w:val="000000"/>
                <w:szCs w:val="18"/>
              </w:rPr>
              <w:t>Water pipe</w:t>
            </w:r>
          </w:p>
        </w:tc>
        <w:tc>
          <w:tcPr>
            <w:tcW w:w="671" w:type="dxa"/>
            <w:tcBorders>
              <w:top w:val="nil"/>
              <w:left w:val="nil"/>
              <w:bottom w:val="nil"/>
              <w:right w:val="nil"/>
            </w:tcBorders>
            <w:shd w:val="clear" w:color="000000" w:fill="FFFFFF"/>
            <w:vAlign w:val="center"/>
          </w:tcPr>
          <w:p w14:paraId="5165A80F" w14:textId="390D99A4" w:rsidR="003E12C5" w:rsidRPr="003E12C5" w:rsidRDefault="003E12C5" w:rsidP="003E12C5">
            <w:pPr>
              <w:pStyle w:val="CETBodytext"/>
              <w:ind w:right="-1"/>
              <w:rPr>
                <w:rFonts w:cs="Arial"/>
                <w:szCs w:val="18"/>
                <w:lang w:val="en-GB"/>
              </w:rPr>
            </w:pPr>
            <w:r w:rsidRPr="003E12C5">
              <w:rPr>
                <w:rFonts w:cs="Arial"/>
                <w:color w:val="000000"/>
                <w:szCs w:val="18"/>
              </w:rPr>
              <w:t>32</w:t>
            </w:r>
          </w:p>
        </w:tc>
        <w:tc>
          <w:tcPr>
            <w:tcW w:w="1031" w:type="dxa"/>
            <w:tcBorders>
              <w:top w:val="nil"/>
              <w:left w:val="nil"/>
              <w:bottom w:val="nil"/>
              <w:right w:val="nil"/>
            </w:tcBorders>
            <w:shd w:val="clear" w:color="000000" w:fill="FFFFFF"/>
            <w:vAlign w:val="center"/>
          </w:tcPr>
          <w:p w14:paraId="16FCD44E" w14:textId="35C2D4AE" w:rsidR="003E12C5" w:rsidRPr="003E12C5" w:rsidRDefault="003E12C5" w:rsidP="003E12C5">
            <w:pPr>
              <w:pStyle w:val="CETBodytext"/>
              <w:ind w:right="-1"/>
              <w:rPr>
                <w:rFonts w:cs="Arial"/>
                <w:szCs w:val="18"/>
                <w:lang w:val="en-GB"/>
              </w:rPr>
            </w:pPr>
            <w:r w:rsidRPr="003E12C5">
              <w:rPr>
                <w:color w:val="000000"/>
                <w:szCs w:val="18"/>
              </w:rPr>
              <w:t>8</w:t>
            </w:r>
          </w:p>
        </w:tc>
        <w:tc>
          <w:tcPr>
            <w:tcW w:w="751" w:type="dxa"/>
            <w:tcBorders>
              <w:top w:val="nil"/>
              <w:left w:val="nil"/>
              <w:bottom w:val="nil"/>
              <w:right w:val="nil"/>
            </w:tcBorders>
            <w:shd w:val="clear" w:color="000000" w:fill="FFFFFF"/>
            <w:vAlign w:val="center"/>
          </w:tcPr>
          <w:p w14:paraId="7F4E8D32" w14:textId="1FA3662B" w:rsidR="003E12C5" w:rsidRPr="003E12C5" w:rsidRDefault="003E12C5" w:rsidP="003E12C5">
            <w:pPr>
              <w:pStyle w:val="CETBodytext"/>
              <w:ind w:right="-1"/>
              <w:rPr>
                <w:rFonts w:cs="Arial"/>
                <w:szCs w:val="18"/>
                <w:lang w:val="en-GB"/>
              </w:rPr>
            </w:pPr>
            <w:r w:rsidRPr="003E12C5">
              <w:rPr>
                <w:color w:val="000000"/>
                <w:szCs w:val="18"/>
              </w:rPr>
              <w:t>2</w:t>
            </w:r>
          </w:p>
        </w:tc>
        <w:tc>
          <w:tcPr>
            <w:tcW w:w="751" w:type="dxa"/>
            <w:tcBorders>
              <w:top w:val="nil"/>
              <w:left w:val="nil"/>
              <w:bottom w:val="nil"/>
              <w:right w:val="nil"/>
            </w:tcBorders>
            <w:shd w:val="clear" w:color="000000" w:fill="FFFFFF"/>
            <w:vAlign w:val="center"/>
          </w:tcPr>
          <w:p w14:paraId="11D15725" w14:textId="5A934BE6" w:rsidR="003E12C5" w:rsidRPr="003E12C5" w:rsidRDefault="003E12C5" w:rsidP="003E12C5">
            <w:pPr>
              <w:pStyle w:val="CETBodytext"/>
              <w:ind w:right="-1"/>
              <w:rPr>
                <w:rFonts w:cs="Arial"/>
                <w:szCs w:val="18"/>
                <w:lang w:val="en-GB"/>
              </w:rPr>
            </w:pPr>
            <w:r w:rsidRPr="003E12C5">
              <w:rPr>
                <w:color w:val="000000"/>
                <w:szCs w:val="18"/>
              </w:rPr>
              <w:t>2</w:t>
            </w:r>
          </w:p>
        </w:tc>
      </w:tr>
      <w:tr w:rsidR="003E12C5" w:rsidRPr="00B57B36" w14:paraId="5DA16F5A" w14:textId="2708F32B" w:rsidTr="00297D0D">
        <w:tc>
          <w:tcPr>
            <w:tcW w:w="761" w:type="dxa"/>
            <w:tcBorders>
              <w:top w:val="nil"/>
            </w:tcBorders>
            <w:shd w:val="clear" w:color="auto" w:fill="FFFFFF"/>
          </w:tcPr>
          <w:p w14:paraId="4AE62F4C" w14:textId="0560C7B0" w:rsidR="003E12C5" w:rsidRDefault="003E12C5" w:rsidP="003E12C5">
            <w:pPr>
              <w:pStyle w:val="CETBodytext"/>
              <w:ind w:right="-1"/>
              <w:rPr>
                <w:rFonts w:cs="Arial"/>
                <w:szCs w:val="18"/>
                <w:lang w:val="en-GB"/>
              </w:rPr>
            </w:pPr>
            <w:r>
              <w:rPr>
                <w:rFonts w:cs="Arial"/>
                <w:szCs w:val="18"/>
                <w:lang w:val="en-GB"/>
              </w:rPr>
              <w:t>8</w:t>
            </w:r>
          </w:p>
        </w:tc>
        <w:tc>
          <w:tcPr>
            <w:tcW w:w="2151" w:type="dxa"/>
            <w:tcBorders>
              <w:top w:val="nil"/>
              <w:left w:val="nil"/>
              <w:bottom w:val="nil"/>
              <w:right w:val="nil"/>
            </w:tcBorders>
            <w:shd w:val="clear" w:color="000000" w:fill="FFFFFF"/>
            <w:vAlign w:val="center"/>
          </w:tcPr>
          <w:p w14:paraId="7BB1589D" w14:textId="56EC3179" w:rsidR="003E12C5" w:rsidRPr="003E12C5" w:rsidRDefault="003E12C5" w:rsidP="003E12C5">
            <w:pPr>
              <w:pStyle w:val="CETBodytext"/>
              <w:ind w:right="-1"/>
              <w:rPr>
                <w:rFonts w:cs="Arial"/>
                <w:szCs w:val="18"/>
                <w:lang w:val="en-GB"/>
              </w:rPr>
            </w:pPr>
            <w:r w:rsidRPr="003E12C5">
              <w:rPr>
                <w:rFonts w:cs="Arial"/>
                <w:color w:val="000000"/>
                <w:szCs w:val="18"/>
              </w:rPr>
              <w:t>Meter</w:t>
            </w:r>
          </w:p>
        </w:tc>
        <w:tc>
          <w:tcPr>
            <w:tcW w:w="671" w:type="dxa"/>
            <w:tcBorders>
              <w:top w:val="nil"/>
              <w:left w:val="nil"/>
              <w:bottom w:val="nil"/>
              <w:right w:val="nil"/>
            </w:tcBorders>
            <w:shd w:val="clear" w:color="000000" w:fill="FFFFFF"/>
            <w:vAlign w:val="center"/>
          </w:tcPr>
          <w:p w14:paraId="7D4ACCB8" w14:textId="59CC09C2" w:rsidR="003E12C5" w:rsidRPr="003E12C5" w:rsidRDefault="003E12C5" w:rsidP="003E12C5">
            <w:pPr>
              <w:pStyle w:val="CETBodytext"/>
              <w:ind w:right="-1"/>
              <w:rPr>
                <w:rFonts w:cs="Arial"/>
                <w:szCs w:val="18"/>
                <w:lang w:val="en-GB"/>
              </w:rPr>
            </w:pPr>
            <w:r w:rsidRPr="003E12C5">
              <w:rPr>
                <w:rFonts w:cs="Arial"/>
                <w:color w:val="000000"/>
                <w:szCs w:val="18"/>
              </w:rPr>
              <w:t>18</w:t>
            </w:r>
          </w:p>
        </w:tc>
        <w:tc>
          <w:tcPr>
            <w:tcW w:w="1031" w:type="dxa"/>
            <w:tcBorders>
              <w:top w:val="nil"/>
              <w:left w:val="nil"/>
              <w:bottom w:val="nil"/>
              <w:right w:val="nil"/>
            </w:tcBorders>
            <w:shd w:val="clear" w:color="000000" w:fill="FFFFFF"/>
            <w:vAlign w:val="center"/>
          </w:tcPr>
          <w:p w14:paraId="75FC42FC" w14:textId="0E65DD6C" w:rsidR="003E12C5" w:rsidRPr="003E12C5" w:rsidRDefault="003E12C5" w:rsidP="003E12C5">
            <w:pPr>
              <w:pStyle w:val="CETBodytext"/>
              <w:ind w:right="-1"/>
              <w:rPr>
                <w:rFonts w:cs="Arial"/>
                <w:szCs w:val="18"/>
                <w:lang w:val="en-GB"/>
              </w:rPr>
            </w:pPr>
            <w:r w:rsidRPr="003E12C5">
              <w:rPr>
                <w:color w:val="000000"/>
                <w:szCs w:val="18"/>
              </w:rPr>
              <w:t>3</w:t>
            </w:r>
          </w:p>
        </w:tc>
        <w:tc>
          <w:tcPr>
            <w:tcW w:w="751" w:type="dxa"/>
            <w:tcBorders>
              <w:top w:val="nil"/>
              <w:left w:val="nil"/>
              <w:bottom w:val="nil"/>
              <w:right w:val="nil"/>
            </w:tcBorders>
            <w:shd w:val="clear" w:color="000000" w:fill="FFFFFF"/>
            <w:vAlign w:val="center"/>
          </w:tcPr>
          <w:p w14:paraId="1EA249F4" w14:textId="5FD38CF2" w:rsidR="003E12C5" w:rsidRPr="003E12C5" w:rsidRDefault="003E12C5" w:rsidP="003E12C5">
            <w:pPr>
              <w:pStyle w:val="CETBodytext"/>
              <w:ind w:right="-1"/>
              <w:rPr>
                <w:rFonts w:cs="Arial"/>
                <w:szCs w:val="18"/>
                <w:lang w:val="en-GB"/>
              </w:rPr>
            </w:pPr>
            <w:r w:rsidRPr="003E12C5">
              <w:rPr>
                <w:color w:val="000000"/>
                <w:szCs w:val="18"/>
              </w:rPr>
              <w:t>3</w:t>
            </w:r>
          </w:p>
        </w:tc>
        <w:tc>
          <w:tcPr>
            <w:tcW w:w="751" w:type="dxa"/>
            <w:tcBorders>
              <w:top w:val="nil"/>
              <w:left w:val="nil"/>
              <w:bottom w:val="nil"/>
              <w:right w:val="nil"/>
            </w:tcBorders>
            <w:shd w:val="clear" w:color="000000" w:fill="FFFFFF"/>
            <w:vAlign w:val="center"/>
          </w:tcPr>
          <w:p w14:paraId="1D659276" w14:textId="51D30A50" w:rsidR="003E12C5" w:rsidRPr="003E12C5" w:rsidRDefault="003E12C5" w:rsidP="003E12C5">
            <w:pPr>
              <w:pStyle w:val="CETBodytext"/>
              <w:ind w:right="-1"/>
              <w:rPr>
                <w:rFonts w:cs="Arial"/>
                <w:szCs w:val="18"/>
                <w:lang w:val="en-GB"/>
              </w:rPr>
            </w:pPr>
            <w:r w:rsidRPr="003E12C5">
              <w:rPr>
                <w:color w:val="000000"/>
                <w:szCs w:val="18"/>
              </w:rPr>
              <w:t>2</w:t>
            </w:r>
          </w:p>
        </w:tc>
      </w:tr>
      <w:tr w:rsidR="003E12C5" w:rsidRPr="00B57B36" w14:paraId="44175EB2" w14:textId="5CB08A8A" w:rsidTr="00460356">
        <w:tc>
          <w:tcPr>
            <w:tcW w:w="761" w:type="dxa"/>
            <w:shd w:val="clear" w:color="auto" w:fill="FFFFFF"/>
          </w:tcPr>
          <w:p w14:paraId="1539B454" w14:textId="6CD95C50" w:rsidR="003E12C5" w:rsidRDefault="003E12C5" w:rsidP="003E12C5">
            <w:pPr>
              <w:pStyle w:val="CETBodytext"/>
              <w:ind w:right="-1"/>
              <w:rPr>
                <w:rFonts w:cs="Arial"/>
                <w:szCs w:val="18"/>
                <w:lang w:val="en-GB"/>
              </w:rPr>
            </w:pPr>
            <w:r>
              <w:rPr>
                <w:rFonts w:cs="Arial"/>
                <w:szCs w:val="18"/>
                <w:lang w:val="en-GB"/>
              </w:rPr>
              <w:t>9</w:t>
            </w:r>
          </w:p>
        </w:tc>
        <w:tc>
          <w:tcPr>
            <w:tcW w:w="2151" w:type="dxa"/>
            <w:tcBorders>
              <w:top w:val="nil"/>
              <w:left w:val="nil"/>
              <w:bottom w:val="nil"/>
              <w:right w:val="nil"/>
            </w:tcBorders>
            <w:shd w:val="clear" w:color="000000" w:fill="FFFFFF"/>
            <w:vAlign w:val="center"/>
          </w:tcPr>
          <w:p w14:paraId="61C7ABD1" w14:textId="3E32E57E" w:rsidR="003E12C5" w:rsidRPr="003E12C5" w:rsidRDefault="003E12C5" w:rsidP="003E12C5">
            <w:pPr>
              <w:pStyle w:val="CETBodytext"/>
              <w:ind w:right="-1"/>
              <w:rPr>
                <w:rFonts w:cs="Arial"/>
                <w:szCs w:val="18"/>
                <w:lang w:val="en-GB"/>
              </w:rPr>
            </w:pPr>
            <w:r w:rsidRPr="003E12C5">
              <w:rPr>
                <w:rFonts w:cs="Arial"/>
                <w:color w:val="000000"/>
                <w:szCs w:val="18"/>
              </w:rPr>
              <w:t>Pilot</w:t>
            </w:r>
          </w:p>
        </w:tc>
        <w:tc>
          <w:tcPr>
            <w:tcW w:w="671" w:type="dxa"/>
            <w:tcBorders>
              <w:top w:val="nil"/>
              <w:left w:val="nil"/>
              <w:bottom w:val="nil"/>
              <w:right w:val="nil"/>
            </w:tcBorders>
            <w:shd w:val="clear" w:color="000000" w:fill="FFFFFF"/>
            <w:vAlign w:val="center"/>
          </w:tcPr>
          <w:p w14:paraId="4D0AD90D" w14:textId="039F47DF" w:rsidR="003E12C5" w:rsidRPr="003E12C5" w:rsidRDefault="003E12C5" w:rsidP="003E12C5">
            <w:pPr>
              <w:pStyle w:val="CETBodytext"/>
              <w:ind w:right="-1"/>
              <w:rPr>
                <w:rFonts w:cs="Arial"/>
                <w:szCs w:val="18"/>
                <w:lang w:val="en-GB"/>
              </w:rPr>
            </w:pPr>
            <w:r w:rsidRPr="003E12C5">
              <w:rPr>
                <w:rFonts w:cs="Arial"/>
                <w:color w:val="000000"/>
                <w:szCs w:val="18"/>
              </w:rPr>
              <w:t>16</w:t>
            </w:r>
          </w:p>
        </w:tc>
        <w:tc>
          <w:tcPr>
            <w:tcW w:w="1031" w:type="dxa"/>
            <w:tcBorders>
              <w:top w:val="nil"/>
              <w:left w:val="nil"/>
              <w:bottom w:val="nil"/>
              <w:right w:val="nil"/>
            </w:tcBorders>
            <w:shd w:val="clear" w:color="000000" w:fill="FFFFFF"/>
            <w:vAlign w:val="center"/>
          </w:tcPr>
          <w:p w14:paraId="23A6BCE1" w14:textId="74EC3346" w:rsidR="003E12C5" w:rsidRPr="003E12C5" w:rsidRDefault="003E12C5" w:rsidP="003E12C5">
            <w:pPr>
              <w:pStyle w:val="CETBodytext"/>
              <w:ind w:right="-1"/>
              <w:rPr>
                <w:rFonts w:cs="Arial"/>
                <w:szCs w:val="18"/>
                <w:lang w:val="en-GB"/>
              </w:rPr>
            </w:pPr>
            <w:r w:rsidRPr="003E12C5">
              <w:rPr>
                <w:color w:val="000000"/>
                <w:szCs w:val="18"/>
              </w:rPr>
              <w:t>1</w:t>
            </w:r>
          </w:p>
        </w:tc>
        <w:tc>
          <w:tcPr>
            <w:tcW w:w="751" w:type="dxa"/>
            <w:tcBorders>
              <w:top w:val="nil"/>
              <w:left w:val="nil"/>
              <w:bottom w:val="nil"/>
              <w:right w:val="nil"/>
            </w:tcBorders>
            <w:shd w:val="clear" w:color="000000" w:fill="FFFFFF"/>
            <w:vAlign w:val="center"/>
          </w:tcPr>
          <w:p w14:paraId="23E30D18" w14:textId="283F7635" w:rsidR="003E12C5" w:rsidRPr="003E12C5" w:rsidRDefault="003E12C5" w:rsidP="003E12C5">
            <w:pPr>
              <w:pStyle w:val="CETBodytext"/>
              <w:ind w:right="-1"/>
              <w:rPr>
                <w:rFonts w:cs="Arial"/>
                <w:szCs w:val="18"/>
                <w:lang w:val="en-GB"/>
              </w:rPr>
            </w:pPr>
            <w:r w:rsidRPr="003E12C5">
              <w:rPr>
                <w:color w:val="000000"/>
                <w:szCs w:val="18"/>
              </w:rPr>
              <w:t>8</w:t>
            </w:r>
          </w:p>
        </w:tc>
        <w:tc>
          <w:tcPr>
            <w:tcW w:w="751" w:type="dxa"/>
            <w:tcBorders>
              <w:top w:val="nil"/>
              <w:left w:val="nil"/>
              <w:bottom w:val="nil"/>
              <w:right w:val="nil"/>
            </w:tcBorders>
            <w:shd w:val="clear" w:color="000000" w:fill="FFFFFF"/>
            <w:vAlign w:val="center"/>
          </w:tcPr>
          <w:p w14:paraId="7BBFA985" w14:textId="25A68C3F" w:rsidR="003E12C5" w:rsidRPr="003E12C5" w:rsidRDefault="003E12C5" w:rsidP="003E12C5">
            <w:pPr>
              <w:pStyle w:val="CETBodytext"/>
              <w:ind w:right="-1"/>
              <w:rPr>
                <w:rFonts w:cs="Arial"/>
                <w:szCs w:val="18"/>
                <w:lang w:val="en-GB"/>
              </w:rPr>
            </w:pPr>
            <w:r w:rsidRPr="003E12C5">
              <w:rPr>
                <w:color w:val="000000"/>
                <w:szCs w:val="18"/>
              </w:rPr>
              <w:t>2</w:t>
            </w:r>
          </w:p>
        </w:tc>
      </w:tr>
      <w:tr w:rsidR="003E12C5" w:rsidRPr="00B57B36" w14:paraId="19E2275E" w14:textId="02D747E9" w:rsidTr="00460356">
        <w:tc>
          <w:tcPr>
            <w:tcW w:w="761" w:type="dxa"/>
            <w:shd w:val="clear" w:color="auto" w:fill="FFFFFF"/>
          </w:tcPr>
          <w:p w14:paraId="4F98B079" w14:textId="3A965B50" w:rsidR="003E12C5" w:rsidRDefault="003E12C5" w:rsidP="003E12C5">
            <w:pPr>
              <w:pStyle w:val="CETBodytext"/>
              <w:ind w:right="-1"/>
              <w:rPr>
                <w:rFonts w:cs="Arial"/>
                <w:szCs w:val="18"/>
                <w:lang w:val="en-GB"/>
              </w:rPr>
            </w:pPr>
            <w:r>
              <w:rPr>
                <w:rFonts w:cs="Arial"/>
                <w:szCs w:val="18"/>
                <w:lang w:val="en-GB"/>
              </w:rPr>
              <w:t>10</w:t>
            </w:r>
          </w:p>
        </w:tc>
        <w:tc>
          <w:tcPr>
            <w:tcW w:w="2151" w:type="dxa"/>
            <w:tcBorders>
              <w:top w:val="nil"/>
              <w:left w:val="nil"/>
              <w:bottom w:val="nil"/>
              <w:right w:val="nil"/>
            </w:tcBorders>
            <w:shd w:val="clear" w:color="000000" w:fill="FFFFFF"/>
            <w:vAlign w:val="center"/>
          </w:tcPr>
          <w:p w14:paraId="2FB6FBAF" w14:textId="419AFA40" w:rsidR="003E12C5" w:rsidRPr="003E12C5" w:rsidRDefault="003E12C5" w:rsidP="003E12C5">
            <w:pPr>
              <w:pStyle w:val="CETBodytext"/>
              <w:ind w:right="-1"/>
              <w:rPr>
                <w:rFonts w:cs="Arial"/>
                <w:szCs w:val="18"/>
                <w:lang w:val="en-GB"/>
              </w:rPr>
            </w:pPr>
            <w:r w:rsidRPr="003E12C5">
              <w:rPr>
                <w:rFonts w:cs="Arial"/>
                <w:color w:val="000000"/>
                <w:szCs w:val="18"/>
              </w:rPr>
              <w:t>Calculator</w:t>
            </w:r>
          </w:p>
        </w:tc>
        <w:tc>
          <w:tcPr>
            <w:tcW w:w="671" w:type="dxa"/>
            <w:tcBorders>
              <w:top w:val="nil"/>
              <w:left w:val="nil"/>
              <w:bottom w:val="nil"/>
              <w:right w:val="nil"/>
            </w:tcBorders>
            <w:shd w:val="clear" w:color="000000" w:fill="FFFFFF"/>
            <w:vAlign w:val="center"/>
          </w:tcPr>
          <w:p w14:paraId="099AB672" w14:textId="1094FB2C" w:rsidR="003E12C5" w:rsidRPr="003E12C5" w:rsidRDefault="003E12C5" w:rsidP="003E12C5">
            <w:pPr>
              <w:pStyle w:val="CETBodytext"/>
              <w:ind w:right="-1"/>
              <w:rPr>
                <w:rFonts w:cs="Arial"/>
                <w:szCs w:val="18"/>
                <w:lang w:val="en-GB"/>
              </w:rPr>
            </w:pPr>
            <w:r w:rsidRPr="003E12C5">
              <w:rPr>
                <w:rFonts w:cs="Arial"/>
                <w:color w:val="000000"/>
                <w:szCs w:val="18"/>
              </w:rPr>
              <w:t>15</w:t>
            </w:r>
          </w:p>
        </w:tc>
        <w:tc>
          <w:tcPr>
            <w:tcW w:w="1031" w:type="dxa"/>
            <w:tcBorders>
              <w:top w:val="nil"/>
              <w:left w:val="nil"/>
              <w:bottom w:val="nil"/>
              <w:right w:val="nil"/>
            </w:tcBorders>
            <w:shd w:val="clear" w:color="000000" w:fill="FFFFFF"/>
            <w:vAlign w:val="center"/>
          </w:tcPr>
          <w:p w14:paraId="3A781FEB" w14:textId="247809BB" w:rsidR="003E12C5" w:rsidRPr="003E12C5" w:rsidRDefault="003E12C5" w:rsidP="003E12C5">
            <w:pPr>
              <w:pStyle w:val="CETBodytext"/>
              <w:ind w:right="-1"/>
              <w:rPr>
                <w:rFonts w:cs="Arial"/>
                <w:szCs w:val="18"/>
                <w:lang w:val="en-GB"/>
              </w:rPr>
            </w:pPr>
            <w:r w:rsidRPr="003E12C5">
              <w:rPr>
                <w:color w:val="000000"/>
                <w:szCs w:val="18"/>
              </w:rPr>
              <w:t>5</w:t>
            </w:r>
          </w:p>
        </w:tc>
        <w:tc>
          <w:tcPr>
            <w:tcW w:w="751" w:type="dxa"/>
            <w:tcBorders>
              <w:top w:val="nil"/>
              <w:left w:val="nil"/>
              <w:bottom w:val="nil"/>
              <w:right w:val="nil"/>
            </w:tcBorders>
            <w:shd w:val="clear" w:color="000000" w:fill="FFFFFF"/>
            <w:vAlign w:val="center"/>
          </w:tcPr>
          <w:p w14:paraId="5E3FA8A7" w14:textId="015F212F" w:rsidR="003E12C5" w:rsidRPr="003E12C5" w:rsidRDefault="003E12C5" w:rsidP="003E12C5">
            <w:pPr>
              <w:pStyle w:val="CETBodytext"/>
              <w:ind w:right="-1"/>
              <w:rPr>
                <w:rFonts w:cs="Arial"/>
                <w:szCs w:val="18"/>
                <w:lang w:val="en-GB"/>
              </w:rPr>
            </w:pPr>
            <w:r w:rsidRPr="003E12C5">
              <w:rPr>
                <w:color w:val="000000"/>
                <w:szCs w:val="18"/>
              </w:rPr>
              <w:t>3</w:t>
            </w:r>
          </w:p>
        </w:tc>
        <w:tc>
          <w:tcPr>
            <w:tcW w:w="751" w:type="dxa"/>
            <w:tcBorders>
              <w:top w:val="nil"/>
              <w:left w:val="nil"/>
              <w:bottom w:val="nil"/>
              <w:right w:val="nil"/>
            </w:tcBorders>
            <w:shd w:val="clear" w:color="000000" w:fill="FFFFFF"/>
            <w:vAlign w:val="center"/>
          </w:tcPr>
          <w:p w14:paraId="17EE5B09" w14:textId="3988C8D0" w:rsidR="003E12C5" w:rsidRPr="003E12C5" w:rsidRDefault="003E12C5" w:rsidP="003E12C5">
            <w:pPr>
              <w:pStyle w:val="CETBodytext"/>
              <w:ind w:right="-1"/>
              <w:rPr>
                <w:rFonts w:cs="Arial"/>
                <w:szCs w:val="18"/>
                <w:lang w:val="en-GB"/>
              </w:rPr>
            </w:pPr>
            <w:r w:rsidRPr="003E12C5">
              <w:rPr>
                <w:color w:val="000000"/>
                <w:szCs w:val="18"/>
              </w:rPr>
              <w:t>1</w:t>
            </w:r>
          </w:p>
        </w:tc>
      </w:tr>
      <w:tr w:rsidR="00907248" w:rsidRPr="00B57B36" w14:paraId="2A3C3E79" w14:textId="2E273440" w:rsidTr="00394118">
        <w:tc>
          <w:tcPr>
            <w:tcW w:w="761" w:type="dxa"/>
            <w:tcBorders>
              <w:bottom w:val="nil"/>
            </w:tcBorders>
            <w:shd w:val="clear" w:color="auto" w:fill="FFFFFF"/>
          </w:tcPr>
          <w:p w14:paraId="140CFCDF" w14:textId="07FC4EB1" w:rsidR="003E12C5" w:rsidRDefault="003E12C5" w:rsidP="003E12C5">
            <w:pPr>
              <w:pStyle w:val="CETBodytext"/>
              <w:ind w:right="-1"/>
              <w:rPr>
                <w:rFonts w:cs="Arial"/>
                <w:szCs w:val="18"/>
                <w:lang w:val="en-GB"/>
              </w:rPr>
            </w:pPr>
            <w:r>
              <w:rPr>
                <w:rFonts w:cs="Arial"/>
                <w:szCs w:val="18"/>
                <w:lang w:val="en-GB"/>
              </w:rPr>
              <w:t>11</w:t>
            </w:r>
          </w:p>
        </w:tc>
        <w:tc>
          <w:tcPr>
            <w:tcW w:w="2151" w:type="dxa"/>
            <w:tcBorders>
              <w:top w:val="nil"/>
              <w:left w:val="nil"/>
              <w:bottom w:val="nil"/>
              <w:right w:val="nil"/>
            </w:tcBorders>
            <w:shd w:val="clear" w:color="000000" w:fill="FFFFFF"/>
            <w:vAlign w:val="center"/>
          </w:tcPr>
          <w:p w14:paraId="514DA192" w14:textId="717F3D2B" w:rsidR="003E12C5" w:rsidRPr="003E12C5" w:rsidRDefault="003E12C5" w:rsidP="003E12C5">
            <w:pPr>
              <w:pStyle w:val="CETBodytext"/>
              <w:ind w:right="-1"/>
              <w:rPr>
                <w:rFonts w:cs="Arial"/>
                <w:szCs w:val="18"/>
                <w:lang w:val="en-GB"/>
              </w:rPr>
            </w:pPr>
            <w:r w:rsidRPr="003E12C5">
              <w:rPr>
                <w:rFonts w:cs="Arial"/>
                <w:color w:val="000000"/>
                <w:szCs w:val="18"/>
              </w:rPr>
              <w:t>Pump</w:t>
            </w:r>
          </w:p>
        </w:tc>
        <w:tc>
          <w:tcPr>
            <w:tcW w:w="671" w:type="dxa"/>
            <w:tcBorders>
              <w:top w:val="nil"/>
              <w:left w:val="nil"/>
              <w:bottom w:val="nil"/>
              <w:right w:val="nil"/>
            </w:tcBorders>
            <w:shd w:val="clear" w:color="000000" w:fill="FFFFFF"/>
            <w:vAlign w:val="center"/>
          </w:tcPr>
          <w:p w14:paraId="6B0C4714" w14:textId="3E749390" w:rsidR="003E12C5" w:rsidRPr="003E12C5" w:rsidRDefault="003E12C5" w:rsidP="003E12C5">
            <w:pPr>
              <w:pStyle w:val="CETBodytext"/>
              <w:ind w:right="-1"/>
              <w:rPr>
                <w:rFonts w:cs="Arial"/>
                <w:szCs w:val="18"/>
                <w:lang w:val="en-GB"/>
              </w:rPr>
            </w:pPr>
            <w:r w:rsidRPr="003E12C5">
              <w:rPr>
                <w:rFonts w:cs="Arial"/>
                <w:color w:val="000000"/>
                <w:szCs w:val="18"/>
              </w:rPr>
              <w:t>15</w:t>
            </w:r>
          </w:p>
        </w:tc>
        <w:tc>
          <w:tcPr>
            <w:tcW w:w="1031" w:type="dxa"/>
            <w:tcBorders>
              <w:top w:val="nil"/>
              <w:left w:val="nil"/>
              <w:bottom w:val="nil"/>
              <w:right w:val="nil"/>
            </w:tcBorders>
            <w:shd w:val="clear" w:color="000000" w:fill="FFFFFF"/>
            <w:vAlign w:val="center"/>
          </w:tcPr>
          <w:p w14:paraId="56AEC881" w14:textId="2C1A03CE" w:rsidR="003E12C5" w:rsidRPr="003E12C5" w:rsidRDefault="003E12C5" w:rsidP="003E12C5">
            <w:pPr>
              <w:pStyle w:val="CETBodytext"/>
              <w:ind w:right="-1"/>
              <w:rPr>
                <w:rFonts w:cs="Arial"/>
                <w:szCs w:val="18"/>
                <w:lang w:val="en-GB"/>
              </w:rPr>
            </w:pPr>
            <w:r w:rsidRPr="003E12C5">
              <w:rPr>
                <w:color w:val="000000"/>
                <w:szCs w:val="18"/>
              </w:rPr>
              <w:t>5</w:t>
            </w:r>
          </w:p>
        </w:tc>
        <w:tc>
          <w:tcPr>
            <w:tcW w:w="751" w:type="dxa"/>
            <w:tcBorders>
              <w:top w:val="nil"/>
              <w:left w:val="nil"/>
              <w:bottom w:val="nil"/>
              <w:right w:val="nil"/>
            </w:tcBorders>
            <w:shd w:val="clear" w:color="000000" w:fill="FFFFFF"/>
            <w:vAlign w:val="center"/>
          </w:tcPr>
          <w:p w14:paraId="6D92FB7E" w14:textId="4F8CAB01" w:rsidR="003E12C5" w:rsidRPr="003E12C5" w:rsidRDefault="003E12C5" w:rsidP="003E12C5">
            <w:pPr>
              <w:pStyle w:val="CETBodytext"/>
              <w:ind w:right="-1"/>
              <w:rPr>
                <w:rFonts w:cs="Arial"/>
                <w:szCs w:val="18"/>
                <w:lang w:val="en-GB"/>
              </w:rPr>
            </w:pPr>
            <w:r w:rsidRPr="003E12C5">
              <w:rPr>
                <w:color w:val="000000"/>
                <w:szCs w:val="18"/>
              </w:rPr>
              <w:t>3</w:t>
            </w:r>
          </w:p>
        </w:tc>
        <w:tc>
          <w:tcPr>
            <w:tcW w:w="751" w:type="dxa"/>
            <w:tcBorders>
              <w:top w:val="nil"/>
              <w:left w:val="nil"/>
              <w:bottom w:val="nil"/>
              <w:right w:val="nil"/>
            </w:tcBorders>
            <w:shd w:val="clear" w:color="000000" w:fill="FFFFFF"/>
            <w:vAlign w:val="center"/>
          </w:tcPr>
          <w:p w14:paraId="310C4CC6" w14:textId="628929B1" w:rsidR="003E12C5" w:rsidRPr="003E12C5" w:rsidRDefault="003E12C5" w:rsidP="003E12C5">
            <w:pPr>
              <w:pStyle w:val="CETBodytext"/>
              <w:ind w:right="-1"/>
              <w:rPr>
                <w:rFonts w:cs="Arial"/>
                <w:szCs w:val="18"/>
                <w:lang w:val="en-GB"/>
              </w:rPr>
            </w:pPr>
            <w:r w:rsidRPr="003E12C5">
              <w:rPr>
                <w:color w:val="000000"/>
                <w:szCs w:val="18"/>
              </w:rPr>
              <w:t>1</w:t>
            </w:r>
          </w:p>
        </w:tc>
      </w:tr>
      <w:tr w:rsidR="00907248" w:rsidRPr="00B57B36" w14:paraId="71B0ACD6" w14:textId="3FEA1362" w:rsidTr="00394118">
        <w:tc>
          <w:tcPr>
            <w:tcW w:w="761" w:type="dxa"/>
            <w:tcBorders>
              <w:top w:val="nil"/>
              <w:bottom w:val="single" w:sz="12" w:space="0" w:color="008000"/>
            </w:tcBorders>
            <w:shd w:val="clear" w:color="auto" w:fill="FFFFFF"/>
          </w:tcPr>
          <w:p w14:paraId="64357907" w14:textId="05D20B04" w:rsidR="003E12C5" w:rsidRDefault="003E12C5" w:rsidP="003E12C5">
            <w:pPr>
              <w:pStyle w:val="CETBodytext"/>
              <w:ind w:right="-1"/>
              <w:rPr>
                <w:rFonts w:cs="Arial"/>
                <w:szCs w:val="18"/>
                <w:lang w:val="en-GB"/>
              </w:rPr>
            </w:pPr>
            <w:r>
              <w:rPr>
                <w:rFonts w:cs="Arial"/>
                <w:szCs w:val="18"/>
                <w:lang w:val="en-GB"/>
              </w:rPr>
              <w:t>12</w:t>
            </w:r>
          </w:p>
        </w:tc>
        <w:tc>
          <w:tcPr>
            <w:tcW w:w="2151" w:type="dxa"/>
            <w:tcBorders>
              <w:top w:val="nil"/>
              <w:left w:val="nil"/>
              <w:bottom w:val="single" w:sz="12" w:space="0" w:color="008000"/>
              <w:right w:val="nil"/>
            </w:tcBorders>
            <w:shd w:val="clear" w:color="000000" w:fill="FFFFFF"/>
            <w:vAlign w:val="center"/>
          </w:tcPr>
          <w:p w14:paraId="7270EFE9" w14:textId="395A853F" w:rsidR="003E12C5" w:rsidRPr="003E12C5" w:rsidRDefault="003E12C5" w:rsidP="003E12C5">
            <w:pPr>
              <w:pStyle w:val="CETBodytext"/>
              <w:ind w:right="-1"/>
              <w:rPr>
                <w:rFonts w:cs="Arial"/>
                <w:szCs w:val="18"/>
                <w:lang w:val="en-GB"/>
              </w:rPr>
            </w:pPr>
            <w:r w:rsidRPr="003E12C5">
              <w:rPr>
                <w:rFonts w:cs="Arial"/>
                <w:color w:val="000000"/>
                <w:szCs w:val="18"/>
              </w:rPr>
              <w:t>PTG</w:t>
            </w:r>
          </w:p>
        </w:tc>
        <w:tc>
          <w:tcPr>
            <w:tcW w:w="671" w:type="dxa"/>
            <w:tcBorders>
              <w:top w:val="nil"/>
              <w:left w:val="nil"/>
              <w:bottom w:val="single" w:sz="12" w:space="0" w:color="008000"/>
              <w:right w:val="nil"/>
            </w:tcBorders>
            <w:shd w:val="clear" w:color="000000" w:fill="FFFFFF"/>
            <w:vAlign w:val="center"/>
          </w:tcPr>
          <w:p w14:paraId="6447A13D" w14:textId="194DC738" w:rsidR="003E12C5" w:rsidRPr="003E12C5" w:rsidRDefault="003E12C5" w:rsidP="003E12C5">
            <w:pPr>
              <w:pStyle w:val="CETBodytext"/>
              <w:ind w:right="-1"/>
              <w:rPr>
                <w:rFonts w:cs="Arial"/>
                <w:szCs w:val="18"/>
                <w:lang w:val="en-GB"/>
              </w:rPr>
            </w:pPr>
            <w:r w:rsidRPr="003E12C5">
              <w:rPr>
                <w:rFonts w:cs="Arial"/>
                <w:color w:val="000000"/>
                <w:szCs w:val="18"/>
              </w:rPr>
              <w:t>12</w:t>
            </w:r>
          </w:p>
        </w:tc>
        <w:tc>
          <w:tcPr>
            <w:tcW w:w="1031" w:type="dxa"/>
            <w:tcBorders>
              <w:top w:val="nil"/>
              <w:left w:val="nil"/>
              <w:bottom w:val="single" w:sz="12" w:space="0" w:color="008000"/>
              <w:right w:val="nil"/>
            </w:tcBorders>
            <w:shd w:val="clear" w:color="000000" w:fill="FFFFFF"/>
            <w:vAlign w:val="center"/>
          </w:tcPr>
          <w:p w14:paraId="0DA3A829" w14:textId="7D10CA80" w:rsidR="003E12C5" w:rsidRPr="003E12C5" w:rsidRDefault="003E12C5" w:rsidP="003E12C5">
            <w:pPr>
              <w:pStyle w:val="CETBodytext"/>
              <w:ind w:right="-1"/>
              <w:rPr>
                <w:rFonts w:cs="Arial"/>
                <w:szCs w:val="18"/>
                <w:lang w:val="en-GB"/>
              </w:rPr>
            </w:pPr>
            <w:r w:rsidRPr="003E12C5">
              <w:rPr>
                <w:color w:val="000000"/>
                <w:szCs w:val="18"/>
              </w:rPr>
              <w:t>6</w:t>
            </w:r>
          </w:p>
        </w:tc>
        <w:tc>
          <w:tcPr>
            <w:tcW w:w="751" w:type="dxa"/>
            <w:tcBorders>
              <w:top w:val="nil"/>
              <w:left w:val="nil"/>
              <w:bottom w:val="single" w:sz="12" w:space="0" w:color="008000"/>
              <w:right w:val="nil"/>
            </w:tcBorders>
            <w:shd w:val="clear" w:color="000000" w:fill="FFFFFF"/>
            <w:vAlign w:val="center"/>
          </w:tcPr>
          <w:p w14:paraId="7ED25BF2" w14:textId="43114D75" w:rsidR="003E12C5" w:rsidRPr="003E12C5" w:rsidRDefault="003E12C5" w:rsidP="003E12C5">
            <w:pPr>
              <w:pStyle w:val="CETBodytext"/>
              <w:ind w:right="-1"/>
              <w:rPr>
                <w:rFonts w:cs="Arial"/>
                <w:szCs w:val="18"/>
                <w:lang w:val="en-GB"/>
              </w:rPr>
            </w:pPr>
            <w:r w:rsidRPr="003E12C5">
              <w:rPr>
                <w:color w:val="000000"/>
                <w:szCs w:val="18"/>
              </w:rPr>
              <w:t>2</w:t>
            </w:r>
          </w:p>
        </w:tc>
        <w:tc>
          <w:tcPr>
            <w:tcW w:w="751" w:type="dxa"/>
            <w:tcBorders>
              <w:top w:val="nil"/>
              <w:left w:val="nil"/>
              <w:bottom w:val="single" w:sz="12" w:space="0" w:color="008000"/>
              <w:right w:val="nil"/>
            </w:tcBorders>
            <w:shd w:val="clear" w:color="000000" w:fill="FFFFFF"/>
            <w:vAlign w:val="center"/>
          </w:tcPr>
          <w:p w14:paraId="11F66D12" w14:textId="09D55966" w:rsidR="003E12C5" w:rsidRPr="003E12C5" w:rsidRDefault="003E12C5" w:rsidP="003E12C5">
            <w:pPr>
              <w:pStyle w:val="CETBodytext"/>
              <w:ind w:right="-1"/>
              <w:rPr>
                <w:rFonts w:cs="Arial"/>
                <w:szCs w:val="18"/>
                <w:lang w:val="en-GB"/>
              </w:rPr>
            </w:pPr>
            <w:r w:rsidRPr="003E12C5">
              <w:rPr>
                <w:color w:val="000000"/>
                <w:szCs w:val="18"/>
              </w:rPr>
              <w:t>1</w:t>
            </w:r>
          </w:p>
        </w:tc>
      </w:tr>
    </w:tbl>
    <w:p w14:paraId="308A17A1" w14:textId="3CAC20A2" w:rsidR="00DF1240" w:rsidRPr="00AA082C" w:rsidRDefault="00833580" w:rsidP="00297D0D">
      <w:pPr>
        <w:pStyle w:val="CETBodytext"/>
        <w:spacing w:before="120" w:line="240" w:lineRule="auto"/>
        <w:rPr>
          <w:lang w:val="en-GB"/>
        </w:rPr>
      </w:pPr>
      <w:r>
        <w:rPr>
          <w:lang w:val="en-GB"/>
        </w:rPr>
        <w:t xml:space="preserve">The calculation depicted that the most critical component is the THT tank with a </w:t>
      </w:r>
      <w:r w:rsidR="00724F53">
        <w:rPr>
          <w:lang w:val="en-GB"/>
        </w:rPr>
        <w:t>CRPN</w:t>
      </w:r>
      <w:r>
        <w:rPr>
          <w:lang w:val="en-GB"/>
        </w:rPr>
        <w:t xml:space="preserve"> equal to 108, thus its maintenance has to be prioritized. On the other side</w:t>
      </w:r>
      <w:r w:rsidR="00BF7291">
        <w:rPr>
          <w:lang w:val="en-GB"/>
        </w:rPr>
        <w:t>,</w:t>
      </w:r>
      <w:r>
        <w:rPr>
          <w:lang w:val="en-GB"/>
        </w:rPr>
        <w:t xml:space="preserve"> the less critical component is the PTG which is characterized by a </w:t>
      </w:r>
      <w:r w:rsidR="00724F53">
        <w:rPr>
          <w:lang w:val="en-GB"/>
        </w:rPr>
        <w:t>CRPN</w:t>
      </w:r>
      <w:r>
        <w:rPr>
          <w:lang w:val="en-GB"/>
        </w:rPr>
        <w:t xml:space="preserve"> of 12</w:t>
      </w:r>
      <w:r w:rsidR="00531714">
        <w:rPr>
          <w:lang w:val="en-GB"/>
        </w:rPr>
        <w:t>,</w:t>
      </w:r>
      <w:r w:rsidR="00474307">
        <w:rPr>
          <w:lang w:val="en-GB"/>
        </w:rPr>
        <w:t xml:space="preserve"> </w:t>
      </w:r>
      <w:r w:rsidR="00BF7291">
        <w:rPr>
          <w:lang w:val="en-GB"/>
        </w:rPr>
        <w:t xml:space="preserve">which </w:t>
      </w:r>
      <w:r w:rsidR="00531714">
        <w:rPr>
          <w:lang w:val="en-GB"/>
        </w:rPr>
        <w:t>comes mostly from the occurrence level (6)</w:t>
      </w:r>
      <w:r w:rsidR="00DF1240">
        <w:rPr>
          <w:lang w:val="en-GB"/>
        </w:rPr>
        <w:t>.</w:t>
      </w:r>
    </w:p>
    <w:p w14:paraId="5D6427CF" w14:textId="3CB93F73" w:rsidR="001B5F85" w:rsidRDefault="001B5F85" w:rsidP="00C17EFC">
      <w:pPr>
        <w:pStyle w:val="CETHeading1"/>
      </w:pPr>
      <w:r>
        <w:t>Conclusions</w:t>
      </w:r>
    </w:p>
    <w:p w14:paraId="222B6D9F" w14:textId="10F4B77C" w:rsidR="0031178D" w:rsidRPr="0088713D" w:rsidRDefault="00DF1240" w:rsidP="0088713D">
      <w:pPr>
        <w:rPr>
          <w:b/>
          <w:bCs/>
          <w:sz w:val="20"/>
          <w:szCs w:val="22"/>
        </w:rPr>
      </w:pPr>
      <w:r>
        <w:t xml:space="preserve">This work presents a comparative study of </w:t>
      </w:r>
      <w:r w:rsidR="00A910C7">
        <w:t xml:space="preserve">two </w:t>
      </w:r>
      <w:r>
        <w:t xml:space="preserve">different RBM </w:t>
      </w:r>
      <w:r w:rsidR="00580C65">
        <w:t>approaches</w:t>
      </w:r>
      <w:r>
        <w:t xml:space="preserve">. These </w:t>
      </w:r>
      <w:r w:rsidR="00580C65">
        <w:t xml:space="preserve">approaches </w:t>
      </w:r>
      <w:r w:rsidR="00BF7291">
        <w:t>can</w:t>
      </w:r>
      <w:r>
        <w:t xml:space="preserve"> pinpoint the most critical components </w:t>
      </w:r>
      <w:r w:rsidR="00BF7291">
        <w:t xml:space="preserve">that </w:t>
      </w:r>
      <w:r>
        <w:t>maintenance must priorit</w:t>
      </w:r>
      <w:r w:rsidR="00BF7291">
        <w:t>ize</w:t>
      </w:r>
      <w:r>
        <w:t>. NGRMS was chosen as a case of study to illustrate the frameworks and to underline their advantages and limitations.</w:t>
      </w:r>
      <w:r w:rsidRPr="00957EC0">
        <w:rPr>
          <w:rFonts w:ascii="Times New Roman" w:hAnsi="Times New Roman"/>
          <w:sz w:val="24"/>
          <w:szCs w:val="24"/>
        </w:rPr>
        <w:t xml:space="preserve"> </w:t>
      </w:r>
      <w:r w:rsidR="00BF7291">
        <w:t>S</w:t>
      </w:r>
      <w:r>
        <w:t>oftware developed by DNV-GL is adopted for the first approach, where a QRA is performed. Standard frequencies of the hazardous scenarios are inserted into the software along with other required data and information. The consequence analysis is then conducted and the components are ranked based on their respective risk integral percentage. At last</w:t>
      </w:r>
      <w:r w:rsidR="000C5690">
        <w:t>,</w:t>
      </w:r>
      <w:r>
        <w:t xml:space="preserve"> t</w:t>
      </w:r>
      <w:r w:rsidRPr="00957EC0">
        <w:t xml:space="preserve">he </w:t>
      </w:r>
      <w:r w:rsidRPr="00957EC0">
        <w:lastRenderedPageBreak/>
        <w:t xml:space="preserve">occurrence analysis conducted via HBM and the severity analysis performed by FMECA are the main parts of </w:t>
      </w:r>
      <w:r>
        <w:t xml:space="preserve">the </w:t>
      </w:r>
      <w:r w:rsidR="00A910C7">
        <w:t xml:space="preserve">second </w:t>
      </w:r>
      <w:r>
        <w:t>methodology</w:t>
      </w:r>
      <w:r w:rsidRPr="00957EC0">
        <w:t xml:space="preserve">. In the last part, through a combination of cost, occurrence and severity the </w:t>
      </w:r>
      <w:r w:rsidR="00724F53">
        <w:t>CRPN</w:t>
      </w:r>
      <w:r w:rsidRPr="00957EC0">
        <w:t xml:space="preserve"> is calculated for each component</w:t>
      </w:r>
      <w:r>
        <w:t xml:space="preserve">. Due to their different sensitivities, the </w:t>
      </w:r>
      <w:r w:rsidR="00580C65">
        <w:t xml:space="preserve">two approaches </w:t>
      </w:r>
      <w:r>
        <w:t xml:space="preserve">provide different rankings. For the QRA the filter is addressed as the most critical component, while the components that belong to the pre-heating group emerged to be the less critical ones. A striking difference arises if the first ranking </w:t>
      </w:r>
      <w:r w:rsidR="00580C65">
        <w:t xml:space="preserve">is </w:t>
      </w:r>
      <w:r>
        <w:t xml:space="preserve">compared to the </w:t>
      </w:r>
      <w:r w:rsidR="00916084">
        <w:t xml:space="preserve">second </w:t>
      </w:r>
      <w:r>
        <w:t xml:space="preserve">one, indeed the </w:t>
      </w:r>
      <w:r w:rsidR="00724F53">
        <w:t>CRPN</w:t>
      </w:r>
      <w:r>
        <w:t xml:space="preserve"> method gives priority to the THT tank, followed by the boiler which is one of the less critical equipment for the QRA.</w:t>
      </w:r>
      <w:r w:rsidR="0075020F">
        <w:t xml:space="preserve"> Further work can be carried out integrating these approaches within the ARAMIS methodology which was born as an answer for the SEVESO </w:t>
      </w:r>
      <w:r w:rsidR="0075020F" w:rsidRPr="0075020F">
        <w:t>II</w:t>
      </w:r>
      <w:r w:rsidR="0075020F">
        <w:t xml:space="preserve"> directive.</w:t>
      </w:r>
    </w:p>
    <w:p w14:paraId="70B67174" w14:textId="5B8CF250" w:rsidR="0031178D" w:rsidRPr="007D4C6E" w:rsidRDefault="0031178D" w:rsidP="00C17EFC">
      <w:pPr>
        <w:pStyle w:val="CETReference"/>
        <w:rPr>
          <w:rFonts w:cs="Arial"/>
          <w:noProof/>
        </w:rPr>
      </w:pPr>
      <w:r>
        <w:t>References</w:t>
      </w:r>
      <w:bookmarkEnd w:id="0"/>
    </w:p>
    <w:p w14:paraId="67D7D67A" w14:textId="77777777" w:rsidR="00DD4D49" w:rsidRPr="0069599B" w:rsidRDefault="00DD4D49" w:rsidP="00C17EFC">
      <w:pPr>
        <w:pStyle w:val="CETReferencetext"/>
      </w:pPr>
      <w:r w:rsidRPr="0027714D">
        <w:rPr>
          <w:lang w:val="it-IT"/>
        </w:rPr>
        <w:t xml:space="preserve">Al-Khalil, M., Assaf, S., Al-Anazi, F., 2005. </w:t>
      </w:r>
      <w:r w:rsidRPr="0069599B">
        <w:t xml:space="preserve">Risk-based maintenance planning of cross-country pipelines. </w:t>
      </w:r>
      <w:r w:rsidRPr="0027714D">
        <w:t>Journal of performance of constructed facilities, 19</w:t>
      </w:r>
      <w:r w:rsidRPr="0069599B">
        <w:t xml:space="preserve">(2), 124-131. </w:t>
      </w:r>
    </w:p>
    <w:p w14:paraId="5E4BF19E" w14:textId="16157C15" w:rsidR="00DD4D49" w:rsidRPr="0069599B" w:rsidRDefault="00DD4D49" w:rsidP="00C17EFC">
      <w:pPr>
        <w:pStyle w:val="CETReferencetext"/>
      </w:pPr>
      <w:r w:rsidRPr="0069599B">
        <w:t>Ambühl, S., Sørensen, J. D., 2017. On Different Maintenance Strategies for Casted Components of Offshore Wind Turbines</w:t>
      </w:r>
      <w:r w:rsidR="00AF1954">
        <w:t>, Aalborg, DK.</w:t>
      </w:r>
    </w:p>
    <w:p w14:paraId="22811870" w14:textId="77777777" w:rsidR="00DD4D49" w:rsidRPr="0069599B" w:rsidRDefault="00DD4D49" w:rsidP="00C17EFC">
      <w:pPr>
        <w:pStyle w:val="CETReferencetext"/>
      </w:pPr>
      <w:r w:rsidRPr="0069599B">
        <w:t xml:space="preserve">Arunraj, N., Maiti, J., 2007. Risk-based maintenance—Techniques and applications. </w:t>
      </w:r>
      <w:r w:rsidRPr="0027714D">
        <w:t>Journal of hazardous materials, 142</w:t>
      </w:r>
      <w:r w:rsidRPr="0069599B">
        <w:t xml:space="preserve">(3), 653-661. </w:t>
      </w:r>
    </w:p>
    <w:p w14:paraId="4D933297" w14:textId="77777777" w:rsidR="00DD4D49" w:rsidRPr="0027714D" w:rsidRDefault="00DD4D49" w:rsidP="00C17EFC">
      <w:pPr>
        <w:pStyle w:val="CETReferencetext"/>
        <w:rPr>
          <w:lang w:val="it-IT"/>
        </w:rPr>
      </w:pPr>
      <w:r w:rsidRPr="0069599B">
        <w:t xml:space="preserve">Arzaghi, E., Abaei, M. M., Abbassi, R., Garaniya, V., Chin, C., Khan, F., 2017. Risk-based maintenance planning of subsea pipelines through fatigue crack growth monitoring. </w:t>
      </w:r>
      <w:r w:rsidRPr="0027714D">
        <w:rPr>
          <w:lang w:val="it-IT"/>
        </w:rPr>
        <w:t xml:space="preserve">Engineering Failure Analysis, 79, 928-939. </w:t>
      </w:r>
    </w:p>
    <w:p w14:paraId="2308A3A6" w14:textId="77777777" w:rsidR="00DD4D49" w:rsidRPr="0069599B" w:rsidRDefault="00DD4D49" w:rsidP="00C17EFC">
      <w:pPr>
        <w:pStyle w:val="CETReferencetext"/>
      </w:pPr>
      <w:r w:rsidRPr="0027714D">
        <w:rPr>
          <w:lang w:val="it-IT"/>
        </w:rPr>
        <w:t xml:space="preserve">Bertolini, M., Bevilacqua, M., Ciarapica, F. E., Giacchetta, G., 2009. </w:t>
      </w:r>
      <w:r w:rsidRPr="0069599B">
        <w:t xml:space="preserve">Development of risk-based inspection and maintenance procedures for an oil refinery. </w:t>
      </w:r>
      <w:r w:rsidRPr="0027714D">
        <w:t>Journal of Loss Prevention in the Process industries, 22</w:t>
      </w:r>
      <w:r w:rsidRPr="0069599B">
        <w:t xml:space="preserve">(2), 244-253. </w:t>
      </w:r>
    </w:p>
    <w:p w14:paraId="1D7AD426" w14:textId="74E71B80" w:rsidR="00DD4D49" w:rsidRPr="0069599B" w:rsidRDefault="00DD4D49" w:rsidP="00C17EFC">
      <w:pPr>
        <w:pStyle w:val="CETReferencetext"/>
      </w:pPr>
      <w:r w:rsidRPr="0069599B">
        <w:t xml:space="preserve">Cox, A. W., Lees, F. P., Ang, M., 1990. </w:t>
      </w:r>
      <w:r w:rsidRPr="0027714D">
        <w:t>Classification of hazardous locations</w:t>
      </w:r>
      <w:r w:rsidRPr="0069599B">
        <w:t>: IChemE</w:t>
      </w:r>
      <w:r w:rsidR="00AF1954">
        <w:t xml:space="preserve">, </w:t>
      </w:r>
      <w:r w:rsidR="00B60321">
        <w:t>Rugby</w:t>
      </w:r>
      <w:r w:rsidR="00AF1954">
        <w:t>, UK.</w:t>
      </w:r>
    </w:p>
    <w:p w14:paraId="0C297C2A" w14:textId="77777777" w:rsidR="00DD4D49" w:rsidRPr="0069599B" w:rsidRDefault="00DD4D49" w:rsidP="00C17EFC">
      <w:pPr>
        <w:pStyle w:val="CETReferencetext"/>
      </w:pPr>
      <w:r w:rsidRPr="0069599B">
        <w:t>Dey, P., 2001. A risk</w:t>
      </w:r>
      <w:r w:rsidRPr="0069599B">
        <w:rPr>
          <w:rFonts w:ascii="Cambria Math" w:hAnsi="Cambria Math" w:cs="Cambria Math"/>
        </w:rPr>
        <w:t>‐</w:t>
      </w:r>
      <w:r w:rsidRPr="0069599B">
        <w:t>based model for inspection and maintenance of cross</w:t>
      </w:r>
      <w:r w:rsidRPr="0069599B">
        <w:rPr>
          <w:rFonts w:ascii="Cambria Math" w:hAnsi="Cambria Math" w:cs="Cambria Math"/>
        </w:rPr>
        <w:t>‐</w:t>
      </w:r>
      <w:r w:rsidRPr="0069599B">
        <w:t xml:space="preserve">country petroleum pipeline. </w:t>
      </w:r>
      <w:r w:rsidRPr="0027714D">
        <w:t>Journal of Quality in Maintenance Engineering</w:t>
      </w:r>
      <w:r w:rsidRPr="0069599B">
        <w:t xml:space="preserve">. </w:t>
      </w:r>
    </w:p>
    <w:p w14:paraId="2E8D203D" w14:textId="77777777" w:rsidR="00DD4D49" w:rsidRPr="0069599B" w:rsidRDefault="00DD4D49" w:rsidP="00C17EFC">
      <w:pPr>
        <w:pStyle w:val="CETReferencetext"/>
      </w:pPr>
      <w:r w:rsidRPr="0069599B">
        <w:t xml:space="preserve">Dey, P. K., 2002. An integrated assessment model for cross-country pipelines. </w:t>
      </w:r>
      <w:r w:rsidRPr="0027714D">
        <w:t>Environmental Impact Assessment Review, 22</w:t>
      </w:r>
      <w:r w:rsidRPr="0069599B">
        <w:t xml:space="preserve">(6), 703-721. </w:t>
      </w:r>
    </w:p>
    <w:p w14:paraId="771A9AD9" w14:textId="249B5478" w:rsidR="00DD4D49" w:rsidRPr="0069599B" w:rsidRDefault="00DD4D49" w:rsidP="00C17EFC">
      <w:pPr>
        <w:pStyle w:val="CETReferencetext"/>
      </w:pPr>
      <w:r w:rsidRPr="0069599B">
        <w:t xml:space="preserve">Dhillon, B. S., 2002. </w:t>
      </w:r>
      <w:r w:rsidRPr="0027714D">
        <w:t>Engineering maintenance: a modern approach</w:t>
      </w:r>
      <w:r w:rsidRPr="0069599B">
        <w:t>: cRc press</w:t>
      </w:r>
      <w:r w:rsidR="00B60321">
        <w:t>, Boca Raton, US.</w:t>
      </w:r>
    </w:p>
    <w:p w14:paraId="52B37D1A" w14:textId="77777777" w:rsidR="00DD4D49" w:rsidRPr="0069599B" w:rsidRDefault="00DD4D49" w:rsidP="00C17EFC">
      <w:pPr>
        <w:pStyle w:val="CETReferencetext"/>
      </w:pPr>
      <w:r w:rsidRPr="0069599B">
        <w:t xml:space="preserve">El-Gheriani, M., Khan, F., Chen, D., Abbassi, R., 2017. Major accident modelling using spare data. </w:t>
      </w:r>
      <w:r w:rsidRPr="0027714D">
        <w:t>Process Safety and Environmental Protection, 106</w:t>
      </w:r>
      <w:r w:rsidRPr="0069599B">
        <w:t xml:space="preserve">, 52-59. </w:t>
      </w:r>
    </w:p>
    <w:p w14:paraId="4AD33B77" w14:textId="05AB802D" w:rsidR="00DD4D49" w:rsidRDefault="00DD4D49" w:rsidP="00C17EFC">
      <w:pPr>
        <w:pStyle w:val="CETReferencetext"/>
      </w:pPr>
      <w:r w:rsidRPr="0069599B">
        <w:t xml:space="preserve">Han, Z., Weng, W., 2011. Comparison study on qualitative and quantitative risk assessment methods for urban natural gas pipeline network. </w:t>
      </w:r>
      <w:r w:rsidRPr="0027714D">
        <w:t>Journal of hazardous materials, 189</w:t>
      </w:r>
      <w:r w:rsidRPr="0069599B">
        <w:t xml:space="preserve">(1-2), 509-518. </w:t>
      </w:r>
    </w:p>
    <w:p w14:paraId="64C841B8" w14:textId="77777777" w:rsidR="00750923" w:rsidRDefault="00750923" w:rsidP="00C17EFC">
      <w:pPr>
        <w:pStyle w:val="CETReferencetext"/>
      </w:pPr>
      <w:r w:rsidRPr="00297D0D">
        <w:t xml:space="preserve">Huang, Y., Ma, G., Li, J., 2017. </w:t>
      </w:r>
      <w:r w:rsidRPr="004B522C">
        <w:t xml:space="preserve">Grid-based risk mapping for gas explosion accidents by using Bayesian network method. Journal of Loss Prevention in the Process industries, 48, 223-232. </w:t>
      </w:r>
    </w:p>
    <w:p w14:paraId="1F60EF47" w14:textId="6E8DA657" w:rsidR="00750923" w:rsidRPr="0069599B" w:rsidRDefault="00750923" w:rsidP="00C17EFC">
      <w:pPr>
        <w:pStyle w:val="CETReferencetext"/>
      </w:pPr>
      <w:r w:rsidRPr="00297D0D">
        <w:t xml:space="preserve">Iovinea, A., Leonec, G. P., Laroccad, V., Di Sanzod, G., Casellab, P., Marinoa, T., Musmarraa, D., Molinob, A., 2020. </w:t>
      </w:r>
      <w:r w:rsidRPr="006616F5">
        <w:t>Risk Analysis of a Supercritical Fluid Extraction Plant using a Safety Software</w:t>
      </w:r>
      <w:r w:rsidRPr="004B522C">
        <w:t>.</w:t>
      </w:r>
      <w:r>
        <w:t xml:space="preserve"> </w:t>
      </w:r>
      <w:r w:rsidRPr="004B522C">
        <w:t>Chemical Engineering</w:t>
      </w:r>
      <w:r w:rsidRPr="006616F5">
        <w:rPr>
          <w:i/>
        </w:rPr>
        <w:t>, 79</w:t>
      </w:r>
      <w:r w:rsidRPr="006616F5">
        <w:t>.</w:t>
      </w:r>
    </w:p>
    <w:p w14:paraId="249D2916" w14:textId="77777777" w:rsidR="00DD4D49" w:rsidRPr="0069599B" w:rsidRDefault="00DD4D49" w:rsidP="00C17EFC">
      <w:pPr>
        <w:pStyle w:val="CETReferencetext"/>
      </w:pPr>
      <w:r w:rsidRPr="0069599B">
        <w:t xml:space="preserve">Jamshidi, A., Yazdani-Chamzini, A., Yakhchali, S. H., Khaleghi, S., 2013. Developing a new fuzzy inference system for pipeline risk assessment. </w:t>
      </w:r>
      <w:r w:rsidRPr="0027714D">
        <w:t>Journal of Loss Prevention in the Process industries, 26</w:t>
      </w:r>
      <w:r w:rsidRPr="0069599B">
        <w:t xml:space="preserve">(1), 197-208. </w:t>
      </w:r>
    </w:p>
    <w:p w14:paraId="3C3DF733" w14:textId="77777777" w:rsidR="00DD4D49" w:rsidRPr="0069599B" w:rsidRDefault="00DD4D49" w:rsidP="00C17EFC">
      <w:pPr>
        <w:pStyle w:val="CETReferencetext"/>
      </w:pPr>
      <w:r w:rsidRPr="0069599B">
        <w:t xml:space="preserve">Kelly, D. L., Smith, C. L., 2009. Bayesian inference in probabilistic risk assessment—the current state of the art. </w:t>
      </w:r>
      <w:r w:rsidRPr="0027714D">
        <w:t>Reliability Engineering &amp; System Safety, 94</w:t>
      </w:r>
      <w:r w:rsidRPr="0069599B">
        <w:t xml:space="preserve">(2), 628-643. </w:t>
      </w:r>
    </w:p>
    <w:p w14:paraId="304140EF" w14:textId="77777777" w:rsidR="00DD4D49" w:rsidRPr="0069599B" w:rsidRDefault="00DD4D49" w:rsidP="00C17EFC">
      <w:pPr>
        <w:pStyle w:val="CETReferencetext"/>
      </w:pPr>
      <w:r w:rsidRPr="0069599B">
        <w:t xml:space="preserve">Khan, F. I., Haddara, M. M., 2003. Risk-based maintenance (RBM): a quantitative approach for maintenance/inspection scheduling and planning. </w:t>
      </w:r>
      <w:r w:rsidRPr="0027714D">
        <w:t>Journal of Loss Prevention in the Process industries, 16</w:t>
      </w:r>
      <w:r w:rsidRPr="0069599B">
        <w:t xml:space="preserve">(6), 561-573. </w:t>
      </w:r>
    </w:p>
    <w:p w14:paraId="5264EFC2" w14:textId="77777777" w:rsidR="00DD4D49" w:rsidRPr="0069599B" w:rsidRDefault="00DD4D49" w:rsidP="00C17EFC">
      <w:pPr>
        <w:pStyle w:val="CETReferencetext"/>
      </w:pPr>
      <w:r w:rsidRPr="0069599B">
        <w:t xml:space="preserve">Krishnasamy, L., Khan, F., Haddara, M., 2005. Development of a risk-based maintenance (RBM) strategy for a power-generating plant. </w:t>
      </w:r>
      <w:r w:rsidRPr="0027714D">
        <w:t>Journal of Loss Prevention in the Process industries, 18</w:t>
      </w:r>
      <w:r w:rsidRPr="0069599B">
        <w:t xml:space="preserve">(2), 69-81. </w:t>
      </w:r>
    </w:p>
    <w:p w14:paraId="054EC4A4" w14:textId="77777777" w:rsidR="00DD4D49" w:rsidRPr="0069599B" w:rsidRDefault="00DD4D49" w:rsidP="00C17EFC">
      <w:pPr>
        <w:pStyle w:val="CETReferencetext"/>
      </w:pPr>
      <w:r w:rsidRPr="0069599B">
        <w:t xml:space="preserve">Leoni, L., BahooToroody, A., De Carlo, F., Paltrinieri, N., 2019. Developing a risk-based maintenance model for a Natural Gas Regulating and Metering Station using Bayesian Network. </w:t>
      </w:r>
      <w:r w:rsidRPr="0027714D">
        <w:t>Journal of Loss Prevention in the Process industries, 57</w:t>
      </w:r>
      <w:r w:rsidRPr="0069599B">
        <w:t xml:space="preserve">, 17-24. </w:t>
      </w:r>
    </w:p>
    <w:p w14:paraId="39DA6EEB" w14:textId="33D6B347" w:rsidR="00DD4D49" w:rsidRPr="0069599B" w:rsidRDefault="00DD4D49" w:rsidP="00C17EFC">
      <w:pPr>
        <w:pStyle w:val="CETReferencetext"/>
      </w:pPr>
      <w:r w:rsidRPr="0069599B">
        <w:t xml:space="preserve">Moubray, J., 2001. </w:t>
      </w:r>
      <w:r w:rsidRPr="0027714D">
        <w:t>Reliability-centered maintenance</w:t>
      </w:r>
      <w:r w:rsidRPr="0069599B">
        <w:t>: Industrial Press Inc</w:t>
      </w:r>
      <w:r w:rsidR="00B60321">
        <w:t>, New York, US.</w:t>
      </w:r>
    </w:p>
    <w:p w14:paraId="0BDDEEB6" w14:textId="77777777" w:rsidR="00DD4D49" w:rsidRPr="0069599B" w:rsidRDefault="00DD4D49" w:rsidP="00C17EFC">
      <w:pPr>
        <w:pStyle w:val="CETReferencetext"/>
      </w:pPr>
      <w:r w:rsidRPr="0069599B">
        <w:t xml:space="preserve">Spouge, J., 2005. New generic leak frequencies for process equipment. </w:t>
      </w:r>
      <w:r w:rsidRPr="0027714D">
        <w:t>Process Safety Progress, 24</w:t>
      </w:r>
      <w:r w:rsidRPr="0069599B">
        <w:t xml:space="preserve">(4), 249-257. </w:t>
      </w:r>
    </w:p>
    <w:p w14:paraId="5C1B7E94" w14:textId="77777777" w:rsidR="00DD4D49" w:rsidRPr="0069599B" w:rsidRDefault="00DD4D49" w:rsidP="00C17EFC">
      <w:pPr>
        <w:pStyle w:val="CETReferencetext"/>
      </w:pPr>
      <w:r w:rsidRPr="0069599B">
        <w:t xml:space="preserve">Vianello, C., Maschio, G., 2014. Quantitative risk assessment of the Italian gas distribution network. </w:t>
      </w:r>
      <w:r w:rsidRPr="0027714D">
        <w:t>Journal of Loss Prevention in the Process industries, 32</w:t>
      </w:r>
      <w:r w:rsidRPr="0069599B">
        <w:t xml:space="preserve">, 5-17. </w:t>
      </w:r>
    </w:p>
    <w:p w14:paraId="25D3D207" w14:textId="77777777" w:rsidR="00DD4D49" w:rsidRPr="0069599B" w:rsidRDefault="00DD4D49" w:rsidP="00C17EFC">
      <w:pPr>
        <w:pStyle w:val="CETReferencetext"/>
      </w:pPr>
      <w:r w:rsidRPr="0069599B">
        <w:t xml:space="preserve">Wang, Y., Cheng, G., Hu, H., Wu, W., 2012. Development of a risk-based maintenance strategy using FMEA for a continuous catalytic reforming plant. </w:t>
      </w:r>
      <w:r w:rsidRPr="0027714D">
        <w:t>Journal of Loss Prevention in the Process industries, 25</w:t>
      </w:r>
      <w:r w:rsidRPr="0069599B">
        <w:t xml:space="preserve">(6), 958-965. </w:t>
      </w:r>
    </w:p>
    <w:p w14:paraId="1CFE4904" w14:textId="1E068647" w:rsidR="007D4C6E" w:rsidRPr="007D4C6E" w:rsidRDefault="007D4C6E" w:rsidP="00C17EFC">
      <w:pPr>
        <w:pStyle w:val="CETReferencetext"/>
      </w:pPr>
      <w:bookmarkStart w:id="2" w:name="_GoBack"/>
      <w:bookmarkEnd w:id="2"/>
    </w:p>
    <w:sectPr w:rsidR="007D4C6E" w:rsidRPr="007D4C6E" w:rsidSect="00677688">
      <w:headerReference w:type="default" r:id="rId16"/>
      <w:type w:val="continuous"/>
      <w:pgSz w:w="11906" w:h="16838" w:code="9"/>
      <w:pgMar w:top="1701" w:right="1418" w:bottom="1701" w:left="1701" w:header="0"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FB775" w14:textId="77777777" w:rsidR="00333430" w:rsidRDefault="00333430" w:rsidP="004F5E36">
      <w:r>
        <w:separator/>
      </w:r>
    </w:p>
  </w:endnote>
  <w:endnote w:type="continuationSeparator" w:id="0">
    <w:p w14:paraId="3E7FB025" w14:textId="77777777" w:rsidR="00333430" w:rsidRDefault="003334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540FB" w14:textId="77777777" w:rsidR="00333430" w:rsidRDefault="00333430" w:rsidP="004F5E36">
      <w:r>
        <w:separator/>
      </w:r>
    </w:p>
  </w:footnote>
  <w:footnote w:type="continuationSeparator" w:id="0">
    <w:p w14:paraId="037AE314" w14:textId="77777777" w:rsidR="00333430" w:rsidRDefault="00333430"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982C5" w14:textId="77777777" w:rsidR="00C17EFC" w:rsidRPr="00C17EFC" w:rsidRDefault="00C17EFC" w:rsidP="00C17EFC">
    <w:pPr>
      <w:pStyle w:val="Intestazion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6C049E9"/>
    <w:multiLevelType w:val="multilevel"/>
    <w:tmpl w:val="A35A23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gFAGpv5ZwtAAAA"/>
    <w:docVar w:name="EN.InstantFormat" w:val="&lt;ENInstantFormat&gt;&lt;Enabled&gt;1&lt;/Enabled&gt;&lt;ScanUnformatted&gt;1&lt;/ScanUnformatted&gt;&lt;ScanChanges&gt;1&lt;/ScanChanges&gt;&lt;Suspended&gt;0&lt;/Suspended&gt;&lt;/ENInstantFormat&gt;"/>
    <w:docVar w:name="EN.Layout" w:val="&lt;ENLayout&gt;&lt;Style&gt;APA 6th_mine2&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psfpswwr55zfeavpcppe555p09s0xsf5fp&quot;&gt;Reference_library&lt;record-ids&gt;&lt;item&gt;5&lt;/item&gt;&lt;item&gt;7&lt;/item&gt;&lt;item&gt;11&lt;/item&gt;&lt;item&gt;14&lt;/item&gt;&lt;item&gt;16&lt;/item&gt;&lt;item&gt;25&lt;/item&gt;&lt;item&gt;34&lt;/item&gt;&lt;item&gt;39&lt;/item&gt;&lt;item&gt;46&lt;/item&gt;&lt;item&gt;49&lt;/item&gt;&lt;item&gt;52&lt;/item&gt;&lt;item&gt;53&lt;/item&gt;&lt;item&gt;54&lt;/item&gt;&lt;item&gt;58&lt;/item&gt;&lt;item&gt;59&lt;/item&gt;&lt;item&gt;61&lt;/item&gt;&lt;item&gt;64&lt;/item&gt;&lt;item&gt;66&lt;/item&gt;&lt;item&gt;67&lt;/item&gt;&lt;item&gt;69&lt;/item&gt;&lt;/record-ids&gt;&lt;/item&gt;&lt;/Libraries&gt;"/>
  </w:docVars>
  <w:rsids>
    <w:rsidRoot w:val="000E414A"/>
    <w:rsid w:val="000027C0"/>
    <w:rsid w:val="000052FB"/>
    <w:rsid w:val="00005FF1"/>
    <w:rsid w:val="000117CB"/>
    <w:rsid w:val="0003148D"/>
    <w:rsid w:val="00031EA9"/>
    <w:rsid w:val="000340A6"/>
    <w:rsid w:val="00051566"/>
    <w:rsid w:val="00062A9A"/>
    <w:rsid w:val="00064D24"/>
    <w:rsid w:val="00065058"/>
    <w:rsid w:val="000769B1"/>
    <w:rsid w:val="00083778"/>
    <w:rsid w:val="00084C9B"/>
    <w:rsid w:val="00086C39"/>
    <w:rsid w:val="0009163D"/>
    <w:rsid w:val="0009390E"/>
    <w:rsid w:val="000A03B2"/>
    <w:rsid w:val="000C5690"/>
    <w:rsid w:val="000D0268"/>
    <w:rsid w:val="000D0D55"/>
    <w:rsid w:val="000D34BE"/>
    <w:rsid w:val="000D75F9"/>
    <w:rsid w:val="000E102F"/>
    <w:rsid w:val="000E36F1"/>
    <w:rsid w:val="000E3A73"/>
    <w:rsid w:val="000E414A"/>
    <w:rsid w:val="000E7C17"/>
    <w:rsid w:val="000F093C"/>
    <w:rsid w:val="000F787B"/>
    <w:rsid w:val="001001F2"/>
    <w:rsid w:val="0012091F"/>
    <w:rsid w:val="00126BC2"/>
    <w:rsid w:val="001308B6"/>
    <w:rsid w:val="0013121F"/>
    <w:rsid w:val="00131FE6"/>
    <w:rsid w:val="0013263F"/>
    <w:rsid w:val="0013461A"/>
    <w:rsid w:val="00134DE4"/>
    <w:rsid w:val="0014034D"/>
    <w:rsid w:val="0014170C"/>
    <w:rsid w:val="0014306F"/>
    <w:rsid w:val="0014410E"/>
    <w:rsid w:val="00150E59"/>
    <w:rsid w:val="00152DE3"/>
    <w:rsid w:val="00153B5A"/>
    <w:rsid w:val="001569F7"/>
    <w:rsid w:val="001635A2"/>
    <w:rsid w:val="00164CF9"/>
    <w:rsid w:val="001667A6"/>
    <w:rsid w:val="001739E4"/>
    <w:rsid w:val="001810F3"/>
    <w:rsid w:val="00181B22"/>
    <w:rsid w:val="00184AD6"/>
    <w:rsid w:val="0018630F"/>
    <w:rsid w:val="0019642F"/>
    <w:rsid w:val="001A4AF7"/>
    <w:rsid w:val="001B0349"/>
    <w:rsid w:val="001B5F85"/>
    <w:rsid w:val="001B65C1"/>
    <w:rsid w:val="001C684B"/>
    <w:rsid w:val="001C7B8B"/>
    <w:rsid w:val="001D20EE"/>
    <w:rsid w:val="001D53FC"/>
    <w:rsid w:val="001E0F7F"/>
    <w:rsid w:val="001F084A"/>
    <w:rsid w:val="001F42A5"/>
    <w:rsid w:val="001F7B9D"/>
    <w:rsid w:val="00210541"/>
    <w:rsid w:val="00213952"/>
    <w:rsid w:val="00217469"/>
    <w:rsid w:val="0022108B"/>
    <w:rsid w:val="002224B4"/>
    <w:rsid w:val="00222578"/>
    <w:rsid w:val="00242544"/>
    <w:rsid w:val="002447EF"/>
    <w:rsid w:val="00244EE7"/>
    <w:rsid w:val="00251550"/>
    <w:rsid w:val="00263B05"/>
    <w:rsid w:val="0027221A"/>
    <w:rsid w:val="00275B61"/>
    <w:rsid w:val="0027714D"/>
    <w:rsid w:val="00277702"/>
    <w:rsid w:val="00282649"/>
    <w:rsid w:val="00282656"/>
    <w:rsid w:val="00285220"/>
    <w:rsid w:val="00286EF7"/>
    <w:rsid w:val="00296B83"/>
    <w:rsid w:val="00297D0D"/>
    <w:rsid w:val="002A7477"/>
    <w:rsid w:val="002B78CE"/>
    <w:rsid w:val="002C2FB6"/>
    <w:rsid w:val="002E4C44"/>
    <w:rsid w:val="002E7B79"/>
    <w:rsid w:val="002F3309"/>
    <w:rsid w:val="003009B7"/>
    <w:rsid w:val="00300E56"/>
    <w:rsid w:val="0030469C"/>
    <w:rsid w:val="00306443"/>
    <w:rsid w:val="00310408"/>
    <w:rsid w:val="0031178D"/>
    <w:rsid w:val="00313D12"/>
    <w:rsid w:val="003140FB"/>
    <w:rsid w:val="003153CC"/>
    <w:rsid w:val="00321CA6"/>
    <w:rsid w:val="003261A0"/>
    <w:rsid w:val="00333430"/>
    <w:rsid w:val="00334C09"/>
    <w:rsid w:val="00336386"/>
    <w:rsid w:val="00343B4C"/>
    <w:rsid w:val="0036397D"/>
    <w:rsid w:val="0036410B"/>
    <w:rsid w:val="003723D4"/>
    <w:rsid w:val="00381905"/>
    <w:rsid w:val="00384CC8"/>
    <w:rsid w:val="00385B42"/>
    <w:rsid w:val="003871FD"/>
    <w:rsid w:val="00394118"/>
    <w:rsid w:val="003A1E30"/>
    <w:rsid w:val="003A5F1D"/>
    <w:rsid w:val="003A7D1C"/>
    <w:rsid w:val="003B304B"/>
    <w:rsid w:val="003B3146"/>
    <w:rsid w:val="003B3A2B"/>
    <w:rsid w:val="003B427E"/>
    <w:rsid w:val="003B7D8F"/>
    <w:rsid w:val="003C64C4"/>
    <w:rsid w:val="003D3BD4"/>
    <w:rsid w:val="003E12C5"/>
    <w:rsid w:val="003F015E"/>
    <w:rsid w:val="003F0537"/>
    <w:rsid w:val="00400414"/>
    <w:rsid w:val="0040634B"/>
    <w:rsid w:val="0041446B"/>
    <w:rsid w:val="00415DD1"/>
    <w:rsid w:val="00422523"/>
    <w:rsid w:val="00430EF9"/>
    <w:rsid w:val="00432C4E"/>
    <w:rsid w:val="0044329C"/>
    <w:rsid w:val="0044464C"/>
    <w:rsid w:val="004577FE"/>
    <w:rsid w:val="00457B9C"/>
    <w:rsid w:val="00457D19"/>
    <w:rsid w:val="00460356"/>
    <w:rsid w:val="0046164A"/>
    <w:rsid w:val="004628D2"/>
    <w:rsid w:val="00462DCD"/>
    <w:rsid w:val="004648AD"/>
    <w:rsid w:val="004703A9"/>
    <w:rsid w:val="00474307"/>
    <w:rsid w:val="004760DE"/>
    <w:rsid w:val="004763D7"/>
    <w:rsid w:val="0047695B"/>
    <w:rsid w:val="00477B75"/>
    <w:rsid w:val="0048622F"/>
    <w:rsid w:val="004A004E"/>
    <w:rsid w:val="004A24CF"/>
    <w:rsid w:val="004C12C0"/>
    <w:rsid w:val="004C2BA5"/>
    <w:rsid w:val="004C3D1D"/>
    <w:rsid w:val="004C621F"/>
    <w:rsid w:val="004C7913"/>
    <w:rsid w:val="004D6036"/>
    <w:rsid w:val="004E4B41"/>
    <w:rsid w:val="004E4DD6"/>
    <w:rsid w:val="004F0134"/>
    <w:rsid w:val="004F5E36"/>
    <w:rsid w:val="00504B53"/>
    <w:rsid w:val="00507B47"/>
    <w:rsid w:val="00507BEF"/>
    <w:rsid w:val="00507CC9"/>
    <w:rsid w:val="005119A5"/>
    <w:rsid w:val="00513C50"/>
    <w:rsid w:val="005259C9"/>
    <w:rsid w:val="005278B7"/>
    <w:rsid w:val="0053085E"/>
    <w:rsid w:val="00531714"/>
    <w:rsid w:val="00532016"/>
    <w:rsid w:val="005346C8"/>
    <w:rsid w:val="00541154"/>
    <w:rsid w:val="00543E7D"/>
    <w:rsid w:val="00547A68"/>
    <w:rsid w:val="005531C9"/>
    <w:rsid w:val="00557216"/>
    <w:rsid w:val="00557823"/>
    <w:rsid w:val="0056398E"/>
    <w:rsid w:val="00570C43"/>
    <w:rsid w:val="00580B08"/>
    <w:rsid w:val="00580C65"/>
    <w:rsid w:val="00591306"/>
    <w:rsid w:val="0059610B"/>
    <w:rsid w:val="005A1617"/>
    <w:rsid w:val="005B0C98"/>
    <w:rsid w:val="005B2110"/>
    <w:rsid w:val="005B61E6"/>
    <w:rsid w:val="005C71B9"/>
    <w:rsid w:val="005C77E1"/>
    <w:rsid w:val="005D286C"/>
    <w:rsid w:val="005D6A2F"/>
    <w:rsid w:val="005E1A82"/>
    <w:rsid w:val="005E4E9A"/>
    <w:rsid w:val="005E794C"/>
    <w:rsid w:val="005F0A28"/>
    <w:rsid w:val="005F0E5E"/>
    <w:rsid w:val="005F6C73"/>
    <w:rsid w:val="00600535"/>
    <w:rsid w:val="00610CD6"/>
    <w:rsid w:val="00614842"/>
    <w:rsid w:val="00620DEE"/>
    <w:rsid w:val="00621F92"/>
    <w:rsid w:val="0062280A"/>
    <w:rsid w:val="00625639"/>
    <w:rsid w:val="00631B33"/>
    <w:rsid w:val="00633403"/>
    <w:rsid w:val="0063414F"/>
    <w:rsid w:val="0063791C"/>
    <w:rsid w:val="00637C29"/>
    <w:rsid w:val="0064184D"/>
    <w:rsid w:val="006422CC"/>
    <w:rsid w:val="00660E3E"/>
    <w:rsid w:val="00662E74"/>
    <w:rsid w:val="0067227F"/>
    <w:rsid w:val="00677688"/>
    <w:rsid w:val="00680C23"/>
    <w:rsid w:val="00686E4D"/>
    <w:rsid w:val="006904FB"/>
    <w:rsid w:val="00693634"/>
    <w:rsid w:val="00693766"/>
    <w:rsid w:val="0069599B"/>
    <w:rsid w:val="00696617"/>
    <w:rsid w:val="006A3281"/>
    <w:rsid w:val="006A37CB"/>
    <w:rsid w:val="006A5CBF"/>
    <w:rsid w:val="006B4888"/>
    <w:rsid w:val="006C2E45"/>
    <w:rsid w:val="006C359C"/>
    <w:rsid w:val="006C5579"/>
    <w:rsid w:val="006E737D"/>
    <w:rsid w:val="006F3A90"/>
    <w:rsid w:val="006F69BB"/>
    <w:rsid w:val="00705D66"/>
    <w:rsid w:val="00706B9F"/>
    <w:rsid w:val="00713FF4"/>
    <w:rsid w:val="00720A24"/>
    <w:rsid w:val="00724F53"/>
    <w:rsid w:val="00732386"/>
    <w:rsid w:val="0073514D"/>
    <w:rsid w:val="00744323"/>
    <w:rsid w:val="007447F3"/>
    <w:rsid w:val="0075020F"/>
    <w:rsid w:val="00750923"/>
    <w:rsid w:val="00752770"/>
    <w:rsid w:val="0075499F"/>
    <w:rsid w:val="007661C8"/>
    <w:rsid w:val="0077098D"/>
    <w:rsid w:val="00770F77"/>
    <w:rsid w:val="00790E8F"/>
    <w:rsid w:val="007931FA"/>
    <w:rsid w:val="00795B36"/>
    <w:rsid w:val="007A4861"/>
    <w:rsid w:val="007A7BBA"/>
    <w:rsid w:val="007B0C50"/>
    <w:rsid w:val="007B237B"/>
    <w:rsid w:val="007C1A43"/>
    <w:rsid w:val="007C1FB5"/>
    <w:rsid w:val="007C20E5"/>
    <w:rsid w:val="007C2736"/>
    <w:rsid w:val="007C336B"/>
    <w:rsid w:val="007C7AA2"/>
    <w:rsid w:val="007D1CC9"/>
    <w:rsid w:val="007D4C6E"/>
    <w:rsid w:val="007D7239"/>
    <w:rsid w:val="007E5CCF"/>
    <w:rsid w:val="007E66B6"/>
    <w:rsid w:val="007E67A4"/>
    <w:rsid w:val="007F4121"/>
    <w:rsid w:val="0080013E"/>
    <w:rsid w:val="00806BDB"/>
    <w:rsid w:val="0081241A"/>
    <w:rsid w:val="00813288"/>
    <w:rsid w:val="008168FC"/>
    <w:rsid w:val="00830996"/>
    <w:rsid w:val="00832E65"/>
    <w:rsid w:val="00833580"/>
    <w:rsid w:val="008345F1"/>
    <w:rsid w:val="00865B07"/>
    <w:rsid w:val="008667EA"/>
    <w:rsid w:val="00867D6E"/>
    <w:rsid w:val="00871E43"/>
    <w:rsid w:val="00872360"/>
    <w:rsid w:val="0087476F"/>
    <w:rsid w:val="0087637F"/>
    <w:rsid w:val="0088713D"/>
    <w:rsid w:val="00892AD5"/>
    <w:rsid w:val="00897AF0"/>
    <w:rsid w:val="008A1512"/>
    <w:rsid w:val="008A2694"/>
    <w:rsid w:val="008A643B"/>
    <w:rsid w:val="008B32D8"/>
    <w:rsid w:val="008D2F5B"/>
    <w:rsid w:val="008D32B9"/>
    <w:rsid w:val="008D3E89"/>
    <w:rsid w:val="008D433B"/>
    <w:rsid w:val="008D6019"/>
    <w:rsid w:val="008E1184"/>
    <w:rsid w:val="008E3E3A"/>
    <w:rsid w:val="008E566E"/>
    <w:rsid w:val="008E7EAE"/>
    <w:rsid w:val="0090152E"/>
    <w:rsid w:val="0090161A"/>
    <w:rsid w:val="00901EB6"/>
    <w:rsid w:val="00904C62"/>
    <w:rsid w:val="00907248"/>
    <w:rsid w:val="00916084"/>
    <w:rsid w:val="00922BA8"/>
    <w:rsid w:val="00924DAC"/>
    <w:rsid w:val="00925854"/>
    <w:rsid w:val="00927058"/>
    <w:rsid w:val="00942750"/>
    <w:rsid w:val="009450CE"/>
    <w:rsid w:val="00947179"/>
    <w:rsid w:val="0095164B"/>
    <w:rsid w:val="00954090"/>
    <w:rsid w:val="00956BB9"/>
    <w:rsid w:val="009573E7"/>
    <w:rsid w:val="00963E05"/>
    <w:rsid w:val="00967D54"/>
    <w:rsid w:val="00971028"/>
    <w:rsid w:val="00995C1D"/>
    <w:rsid w:val="00996483"/>
    <w:rsid w:val="00996F5A"/>
    <w:rsid w:val="009A36A6"/>
    <w:rsid w:val="009B041A"/>
    <w:rsid w:val="009B7CA2"/>
    <w:rsid w:val="009C0A0F"/>
    <w:rsid w:val="009C37C3"/>
    <w:rsid w:val="009C7C86"/>
    <w:rsid w:val="009D2FF7"/>
    <w:rsid w:val="009E45F8"/>
    <w:rsid w:val="009E7884"/>
    <w:rsid w:val="009E788A"/>
    <w:rsid w:val="009E7D41"/>
    <w:rsid w:val="009F0E08"/>
    <w:rsid w:val="009F7534"/>
    <w:rsid w:val="00A015DD"/>
    <w:rsid w:val="00A0199D"/>
    <w:rsid w:val="00A1763D"/>
    <w:rsid w:val="00A17CEC"/>
    <w:rsid w:val="00A249F7"/>
    <w:rsid w:val="00A27EF0"/>
    <w:rsid w:val="00A32354"/>
    <w:rsid w:val="00A32AFC"/>
    <w:rsid w:val="00A46C1A"/>
    <w:rsid w:val="00A50B20"/>
    <w:rsid w:val="00A51390"/>
    <w:rsid w:val="00A538C6"/>
    <w:rsid w:val="00A54603"/>
    <w:rsid w:val="00A60D13"/>
    <w:rsid w:val="00A64D28"/>
    <w:rsid w:val="00A65B25"/>
    <w:rsid w:val="00A72745"/>
    <w:rsid w:val="00A72D7C"/>
    <w:rsid w:val="00A76EFC"/>
    <w:rsid w:val="00A83706"/>
    <w:rsid w:val="00A906D7"/>
    <w:rsid w:val="00A90BD9"/>
    <w:rsid w:val="00A91010"/>
    <w:rsid w:val="00A910C7"/>
    <w:rsid w:val="00A91859"/>
    <w:rsid w:val="00A97F29"/>
    <w:rsid w:val="00AA082C"/>
    <w:rsid w:val="00AA702E"/>
    <w:rsid w:val="00AB0964"/>
    <w:rsid w:val="00AB4B94"/>
    <w:rsid w:val="00AB5011"/>
    <w:rsid w:val="00AC69E2"/>
    <w:rsid w:val="00AC7368"/>
    <w:rsid w:val="00AC7F90"/>
    <w:rsid w:val="00AD16B9"/>
    <w:rsid w:val="00AD6BE7"/>
    <w:rsid w:val="00AE377D"/>
    <w:rsid w:val="00AF1954"/>
    <w:rsid w:val="00AF29D8"/>
    <w:rsid w:val="00AF6BCA"/>
    <w:rsid w:val="00B02C8A"/>
    <w:rsid w:val="00B17418"/>
    <w:rsid w:val="00B17D04"/>
    <w:rsid w:val="00B17FBD"/>
    <w:rsid w:val="00B315A6"/>
    <w:rsid w:val="00B31813"/>
    <w:rsid w:val="00B33365"/>
    <w:rsid w:val="00B353EB"/>
    <w:rsid w:val="00B468AA"/>
    <w:rsid w:val="00B50843"/>
    <w:rsid w:val="00B50F6B"/>
    <w:rsid w:val="00B526CB"/>
    <w:rsid w:val="00B57B36"/>
    <w:rsid w:val="00B60321"/>
    <w:rsid w:val="00B720A5"/>
    <w:rsid w:val="00B7716E"/>
    <w:rsid w:val="00B8686D"/>
    <w:rsid w:val="00BB1DDC"/>
    <w:rsid w:val="00BC30C9"/>
    <w:rsid w:val="00BC57BA"/>
    <w:rsid w:val="00BD7BFE"/>
    <w:rsid w:val="00BD7D46"/>
    <w:rsid w:val="00BE3E58"/>
    <w:rsid w:val="00BE48D5"/>
    <w:rsid w:val="00BF3249"/>
    <w:rsid w:val="00BF6852"/>
    <w:rsid w:val="00BF7291"/>
    <w:rsid w:val="00C01616"/>
    <w:rsid w:val="00C0162B"/>
    <w:rsid w:val="00C068ED"/>
    <w:rsid w:val="00C104AA"/>
    <w:rsid w:val="00C17EFC"/>
    <w:rsid w:val="00C23CC9"/>
    <w:rsid w:val="00C278A7"/>
    <w:rsid w:val="00C30939"/>
    <w:rsid w:val="00C345B1"/>
    <w:rsid w:val="00C40142"/>
    <w:rsid w:val="00C40C88"/>
    <w:rsid w:val="00C55B20"/>
    <w:rsid w:val="00C57182"/>
    <w:rsid w:val="00C57863"/>
    <w:rsid w:val="00C655FD"/>
    <w:rsid w:val="00C66B12"/>
    <w:rsid w:val="00C67DB4"/>
    <w:rsid w:val="00C75407"/>
    <w:rsid w:val="00C870A8"/>
    <w:rsid w:val="00C87BFC"/>
    <w:rsid w:val="00C919F3"/>
    <w:rsid w:val="00C94434"/>
    <w:rsid w:val="00C95571"/>
    <w:rsid w:val="00C96269"/>
    <w:rsid w:val="00CA0D75"/>
    <w:rsid w:val="00CA1C95"/>
    <w:rsid w:val="00CA3743"/>
    <w:rsid w:val="00CA5A9C"/>
    <w:rsid w:val="00CB717D"/>
    <w:rsid w:val="00CC4C20"/>
    <w:rsid w:val="00CD0300"/>
    <w:rsid w:val="00CD3517"/>
    <w:rsid w:val="00CD5FE2"/>
    <w:rsid w:val="00CE056D"/>
    <w:rsid w:val="00CE4675"/>
    <w:rsid w:val="00CE7C68"/>
    <w:rsid w:val="00D02B4C"/>
    <w:rsid w:val="00D040C4"/>
    <w:rsid w:val="00D14C9A"/>
    <w:rsid w:val="00D23AD8"/>
    <w:rsid w:val="00D262D7"/>
    <w:rsid w:val="00D352FE"/>
    <w:rsid w:val="00D35F56"/>
    <w:rsid w:val="00D37191"/>
    <w:rsid w:val="00D37EF4"/>
    <w:rsid w:val="00D563DD"/>
    <w:rsid w:val="00D579C8"/>
    <w:rsid w:val="00D57C84"/>
    <w:rsid w:val="00D6057D"/>
    <w:rsid w:val="00D71107"/>
    <w:rsid w:val="00D836C5"/>
    <w:rsid w:val="00D84576"/>
    <w:rsid w:val="00DA1399"/>
    <w:rsid w:val="00DA24C6"/>
    <w:rsid w:val="00DA4D7B"/>
    <w:rsid w:val="00DB7758"/>
    <w:rsid w:val="00DC1973"/>
    <w:rsid w:val="00DC4668"/>
    <w:rsid w:val="00DD0D89"/>
    <w:rsid w:val="00DD1054"/>
    <w:rsid w:val="00DD3945"/>
    <w:rsid w:val="00DD4D49"/>
    <w:rsid w:val="00DE264A"/>
    <w:rsid w:val="00DF1240"/>
    <w:rsid w:val="00DF1FEA"/>
    <w:rsid w:val="00DF5072"/>
    <w:rsid w:val="00E02D18"/>
    <w:rsid w:val="00E041E7"/>
    <w:rsid w:val="00E04292"/>
    <w:rsid w:val="00E04DD8"/>
    <w:rsid w:val="00E120CF"/>
    <w:rsid w:val="00E2328E"/>
    <w:rsid w:val="00E23CA1"/>
    <w:rsid w:val="00E271A9"/>
    <w:rsid w:val="00E409A8"/>
    <w:rsid w:val="00E50C12"/>
    <w:rsid w:val="00E50DC1"/>
    <w:rsid w:val="00E56A1C"/>
    <w:rsid w:val="00E640E7"/>
    <w:rsid w:val="00E65B91"/>
    <w:rsid w:val="00E7209D"/>
    <w:rsid w:val="00E75AE1"/>
    <w:rsid w:val="00E76353"/>
    <w:rsid w:val="00E77223"/>
    <w:rsid w:val="00E8528B"/>
    <w:rsid w:val="00E85920"/>
    <w:rsid w:val="00E85B94"/>
    <w:rsid w:val="00E978D0"/>
    <w:rsid w:val="00EA4613"/>
    <w:rsid w:val="00EA7F91"/>
    <w:rsid w:val="00EB1523"/>
    <w:rsid w:val="00EB3D30"/>
    <w:rsid w:val="00EC09F2"/>
    <w:rsid w:val="00EC0E49"/>
    <w:rsid w:val="00EC101F"/>
    <w:rsid w:val="00EC4609"/>
    <w:rsid w:val="00EC7680"/>
    <w:rsid w:val="00EE0131"/>
    <w:rsid w:val="00EE14A8"/>
    <w:rsid w:val="00EE17B0"/>
    <w:rsid w:val="00EF06D9"/>
    <w:rsid w:val="00EF7200"/>
    <w:rsid w:val="00F155A5"/>
    <w:rsid w:val="00F178C9"/>
    <w:rsid w:val="00F22599"/>
    <w:rsid w:val="00F22BE3"/>
    <w:rsid w:val="00F30C64"/>
    <w:rsid w:val="00F32CDB"/>
    <w:rsid w:val="00F37BCD"/>
    <w:rsid w:val="00F42E34"/>
    <w:rsid w:val="00F43F67"/>
    <w:rsid w:val="00F43FAC"/>
    <w:rsid w:val="00F455FD"/>
    <w:rsid w:val="00F56229"/>
    <w:rsid w:val="00F63A70"/>
    <w:rsid w:val="00F653F5"/>
    <w:rsid w:val="00F65B93"/>
    <w:rsid w:val="00F70DB7"/>
    <w:rsid w:val="00F713A3"/>
    <w:rsid w:val="00F773B1"/>
    <w:rsid w:val="00F81CB7"/>
    <w:rsid w:val="00F84FCA"/>
    <w:rsid w:val="00F8531E"/>
    <w:rsid w:val="00F874D2"/>
    <w:rsid w:val="00F87C68"/>
    <w:rsid w:val="00FA21D0"/>
    <w:rsid w:val="00FA2367"/>
    <w:rsid w:val="00FA5F5F"/>
    <w:rsid w:val="00FB730C"/>
    <w:rsid w:val="00FC2695"/>
    <w:rsid w:val="00FC3E03"/>
    <w:rsid w:val="00FC3FC1"/>
    <w:rsid w:val="00FF4DD0"/>
    <w:rsid w:val="00FF662B"/>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qFormat="1"/>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Titolo">
    <w:name w:val="Title"/>
    <w:basedOn w:val="Normale"/>
    <w:next w:val="Normale"/>
    <w:link w:val="TitoloCarattere"/>
    <w:uiPriority w:val="10"/>
    <w:qFormat/>
    <w:rsid w:val="003140FB"/>
    <w:pPr>
      <w:tabs>
        <w:tab w:val="clear" w:pos="7100"/>
      </w:tabs>
      <w:spacing w:line="240" w:lineRule="auto"/>
      <w:contextualSpacing/>
      <w:jc w:val="left"/>
    </w:pPr>
    <w:rPr>
      <w:rFonts w:asciiTheme="majorHAnsi" w:eastAsiaTheme="majorEastAsia" w:hAnsiTheme="majorHAnsi" w:cstheme="majorBidi"/>
      <w:spacing w:val="-10"/>
      <w:kern w:val="28"/>
      <w:sz w:val="56"/>
      <w:szCs w:val="56"/>
      <w:lang w:val="it-IT"/>
    </w:rPr>
  </w:style>
  <w:style w:type="character" w:customStyle="1" w:styleId="TitoloCarattere">
    <w:name w:val="Titolo Carattere"/>
    <w:basedOn w:val="Carpredefinitoparagrafo"/>
    <w:link w:val="Titolo"/>
    <w:uiPriority w:val="10"/>
    <w:rsid w:val="003140FB"/>
    <w:rPr>
      <w:rFonts w:asciiTheme="majorHAnsi" w:eastAsiaTheme="majorEastAsia" w:hAnsiTheme="majorHAnsi" w:cstheme="majorBidi"/>
      <w:spacing w:val="-10"/>
      <w:kern w:val="28"/>
      <w:sz w:val="56"/>
      <w:szCs w:val="56"/>
    </w:rPr>
  </w:style>
  <w:style w:type="character" w:customStyle="1" w:styleId="Menzionenonrisolta1">
    <w:name w:val="Menzione non risolta1"/>
    <w:basedOn w:val="Carpredefinitoparagrafo"/>
    <w:uiPriority w:val="99"/>
    <w:semiHidden/>
    <w:unhideWhenUsed/>
    <w:rsid w:val="003140FB"/>
    <w:rPr>
      <w:color w:val="605E5C"/>
      <w:shd w:val="clear" w:color="auto" w:fill="E1DFDD"/>
    </w:rPr>
  </w:style>
  <w:style w:type="character" w:styleId="Testosegnaposto">
    <w:name w:val="Placeholder Text"/>
    <w:basedOn w:val="Carpredefinitoparagrafo"/>
    <w:uiPriority w:val="99"/>
    <w:semiHidden/>
    <w:rsid w:val="003D3BD4"/>
    <w:rPr>
      <w:color w:val="808080"/>
    </w:rPr>
  </w:style>
  <w:style w:type="paragraph" w:styleId="Paragrafoelenco">
    <w:name w:val="List Paragraph"/>
    <w:basedOn w:val="Normale"/>
    <w:uiPriority w:val="34"/>
    <w:rsid w:val="0031178D"/>
    <w:pPr>
      <w:ind w:left="720"/>
      <w:contextualSpacing/>
    </w:pPr>
  </w:style>
  <w:style w:type="paragraph" w:customStyle="1" w:styleId="EndNoteBibliographyTitle">
    <w:name w:val="EndNote Bibliography Title"/>
    <w:basedOn w:val="Normale"/>
    <w:link w:val="EndNoteBibliographyTitleCarattere"/>
    <w:rsid w:val="0031178D"/>
    <w:pPr>
      <w:jc w:val="center"/>
    </w:pPr>
    <w:rPr>
      <w:rFonts w:cs="Arial"/>
      <w:noProof/>
      <w:lang w:val="en-US"/>
    </w:rPr>
  </w:style>
  <w:style w:type="character" w:customStyle="1" w:styleId="EndNoteBibliographyTitleCarattere">
    <w:name w:val="EndNote Bibliography Title Carattere"/>
    <w:basedOn w:val="CETBodytextCarattere"/>
    <w:link w:val="EndNoteBibliographyTitle"/>
    <w:rsid w:val="0031178D"/>
    <w:rPr>
      <w:rFonts w:ascii="Arial" w:eastAsia="Times New Roman" w:hAnsi="Arial" w:cs="Arial"/>
      <w:noProof/>
      <w:sz w:val="18"/>
      <w:szCs w:val="20"/>
      <w:lang w:val="en-US"/>
    </w:rPr>
  </w:style>
  <w:style w:type="paragraph" w:customStyle="1" w:styleId="EndNoteBibliography">
    <w:name w:val="EndNote Bibliography"/>
    <w:basedOn w:val="Normale"/>
    <w:link w:val="EndNoteBibliographyCarattere"/>
    <w:rsid w:val="0031178D"/>
    <w:pPr>
      <w:spacing w:line="240" w:lineRule="auto"/>
    </w:pPr>
    <w:rPr>
      <w:rFonts w:cs="Arial"/>
      <w:noProof/>
      <w:lang w:val="en-US"/>
    </w:rPr>
  </w:style>
  <w:style w:type="character" w:customStyle="1" w:styleId="EndNoteBibliographyCarattere">
    <w:name w:val="EndNote Bibliography Carattere"/>
    <w:basedOn w:val="CETBodytextCarattere"/>
    <w:link w:val="EndNoteBibliography"/>
    <w:rsid w:val="0031178D"/>
    <w:rPr>
      <w:rFonts w:ascii="Arial" w:eastAsia="Times New Roman" w:hAnsi="Arial" w:cs="Arial"/>
      <w:noProof/>
      <w:sz w:val="18"/>
      <w:szCs w:val="20"/>
      <w:lang w:val="en-US"/>
    </w:rPr>
  </w:style>
  <w:style w:type="paragraph" w:styleId="Revisione">
    <w:name w:val="Revision"/>
    <w:hidden/>
    <w:uiPriority w:val="99"/>
    <w:semiHidden/>
    <w:rsid w:val="007E5CCF"/>
    <w:pPr>
      <w:spacing w:after="0" w:line="240" w:lineRule="auto"/>
    </w:pPr>
    <w:rPr>
      <w:rFonts w:ascii="Arial" w:eastAsia="Times New Roman" w:hAnsi="Arial" w:cs="Times New Roman"/>
      <w:sz w:val="18"/>
      <w:szCs w:val="20"/>
      <w:lang w:val="en-GB"/>
    </w:rPr>
  </w:style>
  <w:style w:type="character" w:customStyle="1" w:styleId="UnresolvedMention">
    <w:name w:val="Unresolved Mention"/>
    <w:basedOn w:val="Carpredefinitoparagrafo"/>
    <w:uiPriority w:val="99"/>
    <w:semiHidden/>
    <w:unhideWhenUsed/>
    <w:rsid w:val="005D28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qFormat="1"/>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Titolo">
    <w:name w:val="Title"/>
    <w:basedOn w:val="Normale"/>
    <w:next w:val="Normale"/>
    <w:link w:val="TitoloCarattere"/>
    <w:uiPriority w:val="10"/>
    <w:qFormat/>
    <w:rsid w:val="003140FB"/>
    <w:pPr>
      <w:tabs>
        <w:tab w:val="clear" w:pos="7100"/>
      </w:tabs>
      <w:spacing w:line="240" w:lineRule="auto"/>
      <w:contextualSpacing/>
      <w:jc w:val="left"/>
    </w:pPr>
    <w:rPr>
      <w:rFonts w:asciiTheme="majorHAnsi" w:eastAsiaTheme="majorEastAsia" w:hAnsiTheme="majorHAnsi" w:cstheme="majorBidi"/>
      <w:spacing w:val="-10"/>
      <w:kern w:val="28"/>
      <w:sz w:val="56"/>
      <w:szCs w:val="56"/>
      <w:lang w:val="it-IT"/>
    </w:rPr>
  </w:style>
  <w:style w:type="character" w:customStyle="1" w:styleId="TitoloCarattere">
    <w:name w:val="Titolo Carattere"/>
    <w:basedOn w:val="Carpredefinitoparagrafo"/>
    <w:link w:val="Titolo"/>
    <w:uiPriority w:val="10"/>
    <w:rsid w:val="003140FB"/>
    <w:rPr>
      <w:rFonts w:asciiTheme="majorHAnsi" w:eastAsiaTheme="majorEastAsia" w:hAnsiTheme="majorHAnsi" w:cstheme="majorBidi"/>
      <w:spacing w:val="-10"/>
      <w:kern w:val="28"/>
      <w:sz w:val="56"/>
      <w:szCs w:val="56"/>
    </w:rPr>
  </w:style>
  <w:style w:type="character" w:customStyle="1" w:styleId="Menzionenonrisolta1">
    <w:name w:val="Menzione non risolta1"/>
    <w:basedOn w:val="Carpredefinitoparagrafo"/>
    <w:uiPriority w:val="99"/>
    <w:semiHidden/>
    <w:unhideWhenUsed/>
    <w:rsid w:val="003140FB"/>
    <w:rPr>
      <w:color w:val="605E5C"/>
      <w:shd w:val="clear" w:color="auto" w:fill="E1DFDD"/>
    </w:rPr>
  </w:style>
  <w:style w:type="character" w:styleId="Testosegnaposto">
    <w:name w:val="Placeholder Text"/>
    <w:basedOn w:val="Carpredefinitoparagrafo"/>
    <w:uiPriority w:val="99"/>
    <w:semiHidden/>
    <w:rsid w:val="003D3BD4"/>
    <w:rPr>
      <w:color w:val="808080"/>
    </w:rPr>
  </w:style>
  <w:style w:type="paragraph" w:styleId="Paragrafoelenco">
    <w:name w:val="List Paragraph"/>
    <w:basedOn w:val="Normale"/>
    <w:uiPriority w:val="34"/>
    <w:rsid w:val="0031178D"/>
    <w:pPr>
      <w:ind w:left="720"/>
      <w:contextualSpacing/>
    </w:pPr>
  </w:style>
  <w:style w:type="paragraph" w:customStyle="1" w:styleId="EndNoteBibliographyTitle">
    <w:name w:val="EndNote Bibliography Title"/>
    <w:basedOn w:val="Normale"/>
    <w:link w:val="EndNoteBibliographyTitleCarattere"/>
    <w:rsid w:val="0031178D"/>
    <w:pPr>
      <w:jc w:val="center"/>
    </w:pPr>
    <w:rPr>
      <w:rFonts w:cs="Arial"/>
      <w:noProof/>
      <w:lang w:val="en-US"/>
    </w:rPr>
  </w:style>
  <w:style w:type="character" w:customStyle="1" w:styleId="EndNoteBibliographyTitleCarattere">
    <w:name w:val="EndNote Bibliography Title Carattere"/>
    <w:basedOn w:val="CETBodytextCarattere"/>
    <w:link w:val="EndNoteBibliographyTitle"/>
    <w:rsid w:val="0031178D"/>
    <w:rPr>
      <w:rFonts w:ascii="Arial" w:eastAsia="Times New Roman" w:hAnsi="Arial" w:cs="Arial"/>
      <w:noProof/>
      <w:sz w:val="18"/>
      <w:szCs w:val="20"/>
      <w:lang w:val="en-US"/>
    </w:rPr>
  </w:style>
  <w:style w:type="paragraph" w:customStyle="1" w:styleId="EndNoteBibliography">
    <w:name w:val="EndNote Bibliography"/>
    <w:basedOn w:val="Normale"/>
    <w:link w:val="EndNoteBibliographyCarattere"/>
    <w:rsid w:val="0031178D"/>
    <w:pPr>
      <w:spacing w:line="240" w:lineRule="auto"/>
    </w:pPr>
    <w:rPr>
      <w:rFonts w:cs="Arial"/>
      <w:noProof/>
      <w:lang w:val="en-US"/>
    </w:rPr>
  </w:style>
  <w:style w:type="character" w:customStyle="1" w:styleId="EndNoteBibliographyCarattere">
    <w:name w:val="EndNote Bibliography Carattere"/>
    <w:basedOn w:val="CETBodytextCarattere"/>
    <w:link w:val="EndNoteBibliography"/>
    <w:rsid w:val="0031178D"/>
    <w:rPr>
      <w:rFonts w:ascii="Arial" w:eastAsia="Times New Roman" w:hAnsi="Arial" w:cs="Arial"/>
      <w:noProof/>
      <w:sz w:val="18"/>
      <w:szCs w:val="20"/>
      <w:lang w:val="en-US"/>
    </w:rPr>
  </w:style>
  <w:style w:type="paragraph" w:styleId="Revisione">
    <w:name w:val="Revision"/>
    <w:hidden/>
    <w:uiPriority w:val="99"/>
    <w:semiHidden/>
    <w:rsid w:val="007E5CCF"/>
    <w:pPr>
      <w:spacing w:after="0" w:line="240" w:lineRule="auto"/>
    </w:pPr>
    <w:rPr>
      <w:rFonts w:ascii="Arial" w:eastAsia="Times New Roman" w:hAnsi="Arial" w:cs="Times New Roman"/>
      <w:sz w:val="18"/>
      <w:szCs w:val="20"/>
      <w:lang w:val="en-GB"/>
    </w:rPr>
  </w:style>
  <w:style w:type="character" w:customStyle="1" w:styleId="UnresolvedMention">
    <w:name w:val="Unresolved Mention"/>
    <w:basedOn w:val="Carpredefinitoparagrafo"/>
    <w:uiPriority w:val="99"/>
    <w:semiHidden/>
    <w:unhideWhenUsed/>
    <w:rsid w:val="005D2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96213">
      <w:bodyDiv w:val="1"/>
      <w:marLeft w:val="0"/>
      <w:marRight w:val="0"/>
      <w:marTop w:val="0"/>
      <w:marBottom w:val="0"/>
      <w:divBdr>
        <w:top w:val="none" w:sz="0" w:space="0" w:color="auto"/>
        <w:left w:val="none" w:sz="0" w:space="0" w:color="auto"/>
        <w:bottom w:val="none" w:sz="0" w:space="0" w:color="auto"/>
        <w:right w:val="none" w:sz="0" w:space="0" w:color="auto"/>
      </w:divBdr>
    </w:div>
    <w:div w:id="67503442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397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5719">
      <w:bodyDiv w:val="1"/>
      <w:marLeft w:val="0"/>
      <w:marRight w:val="0"/>
      <w:marTop w:val="0"/>
      <w:marBottom w:val="0"/>
      <w:divBdr>
        <w:top w:val="none" w:sz="0" w:space="0" w:color="auto"/>
        <w:left w:val="none" w:sz="0" w:space="0" w:color="auto"/>
        <w:bottom w:val="none" w:sz="0" w:space="0" w:color="auto"/>
        <w:right w:val="none" w:sz="0" w:space="0" w:color="auto"/>
      </w:divBdr>
    </w:div>
    <w:div w:id="199984670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lippo.decarlo@uni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320A6193EE7646A3E1232F80C7AAFA" ma:contentTypeVersion="15" ma:contentTypeDescription="Create a new document." ma:contentTypeScope="" ma:versionID="fc70e36f54fc1cd67b605ac08c80cbb9">
  <xsd:schema xmlns:xsd="http://www.w3.org/2001/XMLSchema" xmlns:xs="http://www.w3.org/2001/XMLSchema" xmlns:p="http://schemas.microsoft.com/office/2006/metadata/properties" xmlns:ns1="http://schemas.microsoft.com/sharepoint/v3" xmlns:ns3="e9a90c27-ae1b-4fb2-9a63-9b09d313cc89" xmlns:ns4="65b17cf8-a786-43a6-bccd-28f7c5a31be1" targetNamespace="http://schemas.microsoft.com/office/2006/metadata/properties" ma:root="true" ma:fieldsID="913f7a1d3fa1893b001365afbd1a65ee" ns1:_="" ns3:_="" ns4:_="">
    <xsd:import namespace="http://schemas.microsoft.com/sharepoint/v3"/>
    <xsd:import namespace="e9a90c27-ae1b-4fb2-9a63-9b09d313cc89"/>
    <xsd:import namespace="65b17cf8-a786-43a6-bccd-28f7c5a31be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90c27-ae1b-4fb2-9a63-9b09d313c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17cf8-a786-43a6-bccd-28f7c5a31b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095E-149C-4891-8AB2-FA59541A26C4}">
  <ds:schemaRefs>
    <ds:schemaRef ds:uri="http://schemas.microsoft.com/sharepoint/v3/contenttype/forms"/>
  </ds:schemaRefs>
</ds:datastoreItem>
</file>

<file path=customXml/itemProps2.xml><?xml version="1.0" encoding="utf-8"?>
<ds:datastoreItem xmlns:ds="http://schemas.openxmlformats.org/officeDocument/2006/customXml" ds:itemID="{413631D6-F062-4131-AA49-815A26C84D2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D70E88-6C51-4296-BA14-36C1EE35F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a90c27-ae1b-4fb2-9a63-9b09d313cc89"/>
    <ds:schemaRef ds:uri="65b17cf8-a786-43a6-bccd-28f7c5a31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F80B6-AE66-4321-AA11-CF5543F3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5889</Words>
  <Characters>33573</Characters>
  <Application>Microsoft Office Word</Application>
  <DocSecurity>0</DocSecurity>
  <Lines>279</Lines>
  <Paragraphs>78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raffaella</cp:lastModifiedBy>
  <cp:revision>16</cp:revision>
  <cp:lastPrinted>2015-05-12T18:31:00Z</cp:lastPrinted>
  <dcterms:created xsi:type="dcterms:W3CDTF">2020-05-28T15:37:00Z</dcterms:created>
  <dcterms:modified xsi:type="dcterms:W3CDTF">2020-08-31T09:14:00Z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0x010100F3320A6193EE7646A3E1232F80C7AAFA</vt:lpwstr>
  </property>
</Properties>
</file>