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4F1E6D" w14:paraId="18DE7C4B" w14:textId="77777777" w:rsidTr="004F1E6D">
        <w:trPr>
          <w:trHeight w:val="852"/>
          <w:jc w:val="center"/>
        </w:trPr>
        <w:tc>
          <w:tcPr>
            <w:tcW w:w="6946" w:type="dxa"/>
            <w:vMerge w:val="restart"/>
            <w:tcBorders>
              <w:top w:val="nil"/>
              <w:left w:val="nil"/>
              <w:bottom w:val="nil"/>
              <w:right w:val="single" w:sz="4" w:space="0" w:color="auto"/>
            </w:tcBorders>
            <w:hideMark/>
          </w:tcPr>
          <w:p w14:paraId="327915E3" w14:textId="334E801E" w:rsidR="004F1E6D" w:rsidRDefault="004F1E6D">
            <w:pPr>
              <w:tabs>
                <w:tab w:val="left" w:pos="-108"/>
              </w:tabs>
              <w:ind w:left="-108"/>
              <w:jc w:val="left"/>
              <w:rPr>
                <w:rFonts w:cs="Arial"/>
                <w:b/>
                <w:bCs/>
                <w:i/>
                <w:iCs/>
                <w:color w:val="000066"/>
                <w:sz w:val="12"/>
                <w:szCs w:val="12"/>
                <w:lang w:eastAsia="it-IT"/>
              </w:rPr>
            </w:pPr>
            <w:r>
              <w:rPr>
                <w:rFonts w:ascii="AdvP6960" w:hAnsi="AdvP6960" w:cs="AdvP6960"/>
                <w:noProof/>
                <w:color w:val="241F20"/>
                <w:szCs w:val="18"/>
                <w:lang w:val="it-IT" w:eastAsia="it-IT"/>
              </w:rPr>
              <w:drawing>
                <wp:inline distT="0" distB="0" distL="0" distR="0" wp14:anchorId="41D3F4CF" wp14:editId="32A65D1A">
                  <wp:extent cx="638175" cy="371475"/>
                  <wp:effectExtent l="0" t="0" r="9525" b="9525"/>
                  <wp:docPr id="2" name="Immagine 2"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6A496347" w14:textId="77777777" w:rsidR="004F1E6D" w:rsidRDefault="004F1E6D">
            <w:pPr>
              <w:tabs>
                <w:tab w:val="left" w:pos="-108"/>
              </w:tabs>
              <w:ind w:left="-108"/>
              <w:rPr>
                <w:rFonts w:cs="Arial"/>
                <w:b/>
                <w:bCs/>
                <w:i/>
                <w:iCs/>
                <w:color w:val="000066"/>
                <w:sz w:val="22"/>
                <w:szCs w:val="22"/>
                <w:lang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1C729561" w14:textId="77777777" w:rsidR="004F1E6D" w:rsidRDefault="004F1E6D">
            <w:pPr>
              <w:spacing w:line="140" w:lineRule="atLeast"/>
              <w:jc w:val="right"/>
              <w:rPr>
                <w:rFonts w:cs="Arial"/>
                <w:sz w:val="14"/>
                <w:szCs w:val="14"/>
              </w:rPr>
            </w:pPr>
            <w:r>
              <w:rPr>
                <w:rFonts w:cs="Arial"/>
                <w:sz w:val="14"/>
                <w:szCs w:val="14"/>
              </w:rPr>
              <w:t>A publication of</w:t>
            </w:r>
          </w:p>
          <w:p w14:paraId="72D96401" w14:textId="0A5F3FFD" w:rsidR="004F1E6D" w:rsidRDefault="004F1E6D">
            <w:pPr>
              <w:jc w:val="right"/>
            </w:pPr>
            <w:r>
              <w:rPr>
                <w:noProof/>
                <w:lang w:val="it-IT" w:eastAsia="it-IT"/>
              </w:rPr>
              <w:drawing>
                <wp:inline distT="0" distB="0" distL="0" distR="0" wp14:anchorId="7B637B2B" wp14:editId="04173BD6">
                  <wp:extent cx="666750" cy="361950"/>
                  <wp:effectExtent l="0" t="0" r="0" b="0"/>
                  <wp:docPr id="1" name="Immagine 1"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aidiclogo_gran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4F1E6D" w14:paraId="73559AD4" w14:textId="77777777" w:rsidTr="004F1E6D">
        <w:trPr>
          <w:trHeight w:val="567"/>
          <w:jc w:val="center"/>
        </w:trPr>
        <w:tc>
          <w:tcPr>
            <w:tcW w:w="0" w:type="auto"/>
            <w:vMerge/>
            <w:tcBorders>
              <w:top w:val="nil"/>
              <w:left w:val="nil"/>
              <w:bottom w:val="nil"/>
              <w:right w:val="single" w:sz="4" w:space="0" w:color="auto"/>
            </w:tcBorders>
            <w:vAlign w:val="center"/>
            <w:hideMark/>
          </w:tcPr>
          <w:p w14:paraId="2A52FB86" w14:textId="77777777" w:rsidR="004F1E6D" w:rsidRDefault="004F1E6D">
            <w:pPr>
              <w:tabs>
                <w:tab w:val="clear" w:pos="7100"/>
              </w:tabs>
              <w:spacing w:line="276" w:lineRule="auto"/>
              <w:jc w:val="left"/>
              <w:rPr>
                <w:rFonts w:cs="Arial"/>
                <w:b/>
                <w:bCs/>
                <w:i/>
                <w:iCs/>
                <w:color w:val="000066"/>
                <w:sz w:val="22"/>
                <w:szCs w:val="22"/>
                <w:lang w:eastAsia="it-IT"/>
              </w:rPr>
            </w:pPr>
          </w:p>
        </w:tc>
        <w:tc>
          <w:tcPr>
            <w:tcW w:w="1843" w:type="dxa"/>
            <w:tcBorders>
              <w:top w:val="nil"/>
              <w:left w:val="single" w:sz="4" w:space="0" w:color="auto"/>
              <w:bottom w:val="nil"/>
              <w:right w:val="single" w:sz="4" w:space="0" w:color="auto"/>
            </w:tcBorders>
            <w:hideMark/>
          </w:tcPr>
          <w:p w14:paraId="4C8818F3" w14:textId="77777777" w:rsidR="004F1E6D" w:rsidRDefault="004F1E6D">
            <w:pPr>
              <w:spacing w:line="140" w:lineRule="atLeast"/>
              <w:jc w:val="right"/>
              <w:rPr>
                <w:rFonts w:cs="Arial"/>
                <w:sz w:val="14"/>
                <w:szCs w:val="14"/>
              </w:rPr>
            </w:pPr>
            <w:r>
              <w:rPr>
                <w:rFonts w:cs="Arial"/>
                <w:sz w:val="14"/>
                <w:szCs w:val="14"/>
              </w:rPr>
              <w:t>The Italian Association</w:t>
            </w:r>
          </w:p>
          <w:p w14:paraId="1C31F0E1" w14:textId="77777777" w:rsidR="004F1E6D" w:rsidRDefault="004F1E6D">
            <w:pPr>
              <w:spacing w:line="140" w:lineRule="atLeast"/>
              <w:jc w:val="right"/>
              <w:rPr>
                <w:rFonts w:cs="Arial"/>
                <w:sz w:val="14"/>
                <w:szCs w:val="14"/>
              </w:rPr>
            </w:pPr>
            <w:r>
              <w:rPr>
                <w:rFonts w:cs="Arial"/>
                <w:sz w:val="14"/>
                <w:szCs w:val="14"/>
              </w:rPr>
              <w:t>of Chemical Engineering</w:t>
            </w:r>
          </w:p>
          <w:p w14:paraId="42F2AFF8" w14:textId="77777777" w:rsidR="004F1E6D" w:rsidRDefault="004F1E6D">
            <w:pPr>
              <w:spacing w:line="140" w:lineRule="atLeast"/>
              <w:jc w:val="right"/>
              <w:rPr>
                <w:rFonts w:cs="Arial"/>
                <w:sz w:val="13"/>
                <w:szCs w:val="13"/>
              </w:rPr>
            </w:pPr>
            <w:r>
              <w:rPr>
                <w:rFonts w:cs="Arial"/>
                <w:sz w:val="13"/>
                <w:szCs w:val="13"/>
              </w:rPr>
              <w:t>Online at www.cetjournal.it</w:t>
            </w:r>
          </w:p>
        </w:tc>
      </w:tr>
      <w:tr w:rsidR="004F1E6D" w14:paraId="3B46F08E" w14:textId="77777777" w:rsidTr="004F1E6D">
        <w:trPr>
          <w:trHeight w:val="68"/>
          <w:jc w:val="center"/>
        </w:trPr>
        <w:tc>
          <w:tcPr>
            <w:tcW w:w="8789" w:type="dxa"/>
            <w:gridSpan w:val="2"/>
            <w:tcBorders>
              <w:top w:val="nil"/>
              <w:left w:val="nil"/>
              <w:bottom w:val="single" w:sz="4" w:space="0" w:color="auto"/>
              <w:right w:val="nil"/>
            </w:tcBorders>
            <w:hideMark/>
          </w:tcPr>
          <w:p w14:paraId="362199C6" w14:textId="77777777" w:rsidR="004F1E6D" w:rsidRDefault="004F1E6D">
            <w:pPr>
              <w:ind w:left="-107"/>
              <w:rPr>
                <w:rFonts w:ascii="Times New Roman" w:hAnsi="Times New Roman"/>
                <w:sz w:val="24"/>
                <w:szCs w:val="24"/>
                <w:lang w:val="en-US"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421503FE" w14:textId="77777777" w:rsidR="004F1E6D" w:rsidRDefault="004F1E6D">
            <w:pPr>
              <w:tabs>
                <w:tab w:val="left" w:pos="-108"/>
              </w:tabs>
              <w:spacing w:line="140" w:lineRule="atLeast"/>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7CC4DBDD" w14:textId="5DDF16EE" w:rsidR="00973276" w:rsidRPr="00973276" w:rsidRDefault="00973276" w:rsidP="00583192">
      <w:pPr>
        <w:pStyle w:val="CETTitle"/>
      </w:pPr>
      <w:r w:rsidRPr="00973276">
        <w:lastRenderedPageBreak/>
        <w:t xml:space="preserve">Inherent </w:t>
      </w:r>
      <w:r w:rsidR="00583192" w:rsidRPr="00973276">
        <w:t xml:space="preserve">Safety Assessment </w:t>
      </w:r>
      <w:r w:rsidR="00583192">
        <w:t>f</w:t>
      </w:r>
      <w:r w:rsidR="00583192" w:rsidRPr="00973276">
        <w:t xml:space="preserve">or Two Solar-Based Fuels Production Processes: Methanol Via </w:t>
      </w:r>
      <w:r w:rsidRPr="00973276">
        <w:t>CO</w:t>
      </w:r>
      <w:r w:rsidRPr="00973276">
        <w:rPr>
          <w:vertAlign w:val="subscript"/>
        </w:rPr>
        <w:t>2</w:t>
      </w:r>
      <w:r w:rsidRPr="00973276">
        <w:t xml:space="preserve"> </w:t>
      </w:r>
      <w:r w:rsidR="00583192" w:rsidRPr="00973276">
        <w:t xml:space="preserve">Catalytic Hydrogenation </w:t>
      </w:r>
      <w:r w:rsidR="00583192">
        <w:t>a</w:t>
      </w:r>
      <w:r w:rsidR="00583192" w:rsidRPr="00973276">
        <w:t xml:space="preserve">nd Biodiesel </w:t>
      </w:r>
      <w:r w:rsidR="00583192">
        <w:t>f</w:t>
      </w:r>
      <w:r w:rsidR="00583192" w:rsidRPr="00973276">
        <w:t>rom Microalgal Oil</w:t>
      </w:r>
    </w:p>
    <w:p w14:paraId="657C5931" w14:textId="527F8692" w:rsidR="00973276" w:rsidRPr="00583192" w:rsidRDefault="00973276" w:rsidP="00583192">
      <w:pPr>
        <w:pStyle w:val="CETAuthors"/>
      </w:pPr>
      <w:r w:rsidRPr="00583192">
        <w:t>Mariasole Cipolletta</w:t>
      </w:r>
      <w:r w:rsidR="00583192">
        <w:t>*</w:t>
      </w:r>
      <w:r w:rsidRPr="00583192">
        <w:t>, Valeria Casson Moreno, Valerio Cozzani</w:t>
      </w:r>
    </w:p>
    <w:p w14:paraId="6E76A775" w14:textId="77777777" w:rsidR="00973276" w:rsidRPr="00583192" w:rsidRDefault="00973276" w:rsidP="00583192">
      <w:pPr>
        <w:pStyle w:val="CETAddress"/>
      </w:pPr>
      <w:r w:rsidRPr="00583192">
        <w:t xml:space="preserve">Alma Mater Studiorum - Università di Bologna, Dipartimento di Ingegneria Civile, Chimica, Ambientale e dei Materiali, via Terracini 28, 40131 Bologna, Italy </w:t>
      </w:r>
    </w:p>
    <w:p w14:paraId="59031A9B" w14:textId="77777777" w:rsidR="00973276" w:rsidRPr="00B57B36" w:rsidRDefault="00973276" w:rsidP="00973276">
      <w:pPr>
        <w:pStyle w:val="CETemail"/>
      </w:pPr>
      <w:r>
        <w:t>mariasole.cipolletta</w:t>
      </w:r>
      <w:r w:rsidRPr="00B57B36">
        <w:t>@</w:t>
      </w:r>
      <w:r>
        <w:t>unibo.it</w:t>
      </w:r>
      <w:r w:rsidRPr="00B57B36">
        <w:t xml:space="preserve"> </w:t>
      </w:r>
    </w:p>
    <w:p w14:paraId="672083BF" w14:textId="77777777" w:rsidR="00973276" w:rsidRPr="00B57B36" w:rsidRDefault="00973276" w:rsidP="00973276">
      <w:pPr>
        <w:pStyle w:val="CETBodytext"/>
        <w:rPr>
          <w:lang w:val="en-GB"/>
        </w:rPr>
      </w:pPr>
      <w:bookmarkStart w:id="0" w:name="_Hlk36827355"/>
      <w:r>
        <w:rPr>
          <w:lang w:val="en-GB"/>
        </w:rPr>
        <w:t>S</w:t>
      </w:r>
      <w:r w:rsidRPr="00FC65BC">
        <w:rPr>
          <w:lang w:val="en-GB"/>
        </w:rPr>
        <w:t xml:space="preserve">afety </w:t>
      </w:r>
      <w:r>
        <w:rPr>
          <w:lang w:val="en-GB"/>
        </w:rPr>
        <w:t xml:space="preserve">is an aspect of </w:t>
      </w:r>
      <w:r w:rsidRPr="00FC65BC">
        <w:rPr>
          <w:lang w:val="en-GB"/>
        </w:rPr>
        <w:t>primary relevance</w:t>
      </w:r>
      <w:r>
        <w:rPr>
          <w:lang w:val="en-GB"/>
        </w:rPr>
        <w:t xml:space="preserve"> in</w:t>
      </w:r>
      <w:r w:rsidRPr="00FC65BC">
        <w:rPr>
          <w:lang w:val="en-GB"/>
        </w:rPr>
        <w:t xml:space="preserve"> early-process design</w:t>
      </w:r>
      <w:r>
        <w:rPr>
          <w:lang w:val="en-GB"/>
        </w:rPr>
        <w:t xml:space="preserve"> and can hardly be neglected: the consequences of accidents in chemical plants have always high </w:t>
      </w:r>
      <w:r w:rsidRPr="00FC65BC">
        <w:rPr>
          <w:lang w:val="en-GB"/>
        </w:rPr>
        <w:t xml:space="preserve">impact on </w:t>
      </w:r>
      <w:r>
        <w:rPr>
          <w:lang w:val="en-GB"/>
        </w:rPr>
        <w:t>economics and reputation.</w:t>
      </w:r>
      <w:r w:rsidRPr="00FC65BC">
        <w:rPr>
          <w:lang w:val="en-GB"/>
        </w:rPr>
        <w:t xml:space="preserve"> </w:t>
      </w:r>
      <w:r>
        <w:rPr>
          <w:lang w:val="en-GB"/>
        </w:rPr>
        <w:t>In the phase of alternative technologies’ evaluation, a</w:t>
      </w:r>
      <w:r w:rsidRPr="00FC65BC">
        <w:rPr>
          <w:lang w:val="en-GB"/>
        </w:rPr>
        <w:t>pplying inherent safety approach</w:t>
      </w:r>
      <w:r>
        <w:rPr>
          <w:lang w:val="en-GB"/>
        </w:rPr>
        <w:t xml:space="preserve">es </w:t>
      </w:r>
      <w:r w:rsidRPr="00FC65BC">
        <w:rPr>
          <w:lang w:val="en-GB"/>
        </w:rPr>
        <w:t>helps in identifying the major safety challenges of process scheme</w:t>
      </w:r>
      <w:r>
        <w:rPr>
          <w:lang w:val="en-GB"/>
        </w:rPr>
        <w:t>s</w:t>
      </w:r>
      <w:r w:rsidRPr="00FC65BC">
        <w:rPr>
          <w:lang w:val="en-GB"/>
        </w:rPr>
        <w:t>, orienting the final selection.</w:t>
      </w:r>
      <w:r>
        <w:rPr>
          <w:lang w:val="en-GB"/>
        </w:rPr>
        <w:t xml:space="preserve"> </w:t>
      </w:r>
      <w:r w:rsidRPr="00FC65BC">
        <w:rPr>
          <w:lang w:val="en-GB"/>
        </w:rPr>
        <w:t xml:space="preserve">In the present work, an inherent safety </w:t>
      </w:r>
      <w:r>
        <w:rPr>
          <w:lang w:val="en-GB"/>
        </w:rPr>
        <w:t>assessment</w:t>
      </w:r>
      <w:r w:rsidRPr="00FC65BC">
        <w:rPr>
          <w:lang w:val="en-GB"/>
        </w:rPr>
        <w:t xml:space="preserve"> was </w:t>
      </w:r>
      <w:r>
        <w:rPr>
          <w:lang w:val="en-GB"/>
        </w:rPr>
        <w:t>performed</w:t>
      </w:r>
      <w:r w:rsidRPr="00FC65BC">
        <w:rPr>
          <w:lang w:val="en-GB"/>
        </w:rPr>
        <w:t xml:space="preserve"> to compare </w:t>
      </w:r>
      <w:r>
        <w:rPr>
          <w:lang w:val="en-GB"/>
        </w:rPr>
        <w:t xml:space="preserve">two innovative fuels’ production facilities: </w:t>
      </w:r>
      <w:r w:rsidRPr="00FC65BC">
        <w:rPr>
          <w:lang w:val="en-GB"/>
        </w:rPr>
        <w:t xml:space="preserve">biodiesel from microalgae </w:t>
      </w:r>
      <w:r>
        <w:rPr>
          <w:lang w:val="en-GB"/>
        </w:rPr>
        <w:t xml:space="preserve">and </w:t>
      </w:r>
      <w:r w:rsidRPr="00FC65BC">
        <w:rPr>
          <w:lang w:val="en-GB"/>
        </w:rPr>
        <w:t>methanol synthe</w:t>
      </w:r>
      <w:r>
        <w:rPr>
          <w:lang w:val="en-GB"/>
        </w:rPr>
        <w:t xml:space="preserve">sized </w:t>
      </w:r>
      <w:r w:rsidRPr="00FC65BC">
        <w:rPr>
          <w:lang w:val="en-GB"/>
        </w:rPr>
        <w:t>via CO</w:t>
      </w:r>
      <w:r w:rsidRPr="00A133F6">
        <w:rPr>
          <w:vertAlign w:val="subscript"/>
          <w:lang w:val="en-GB"/>
        </w:rPr>
        <w:t>2</w:t>
      </w:r>
      <w:r w:rsidRPr="00FC65BC">
        <w:rPr>
          <w:lang w:val="en-GB"/>
        </w:rPr>
        <w:t xml:space="preserve"> catalytic hydrogenation</w:t>
      </w:r>
      <w:r>
        <w:rPr>
          <w:lang w:val="en-GB"/>
        </w:rPr>
        <w:t>.</w:t>
      </w:r>
      <w:r w:rsidRPr="00FC65BC">
        <w:rPr>
          <w:lang w:val="en-GB"/>
        </w:rPr>
        <w:t xml:space="preserve"> The two schemes were developed to fulfil an industrial scale production, considering the best available technologies in terms of yields and energetic economy for both cases. The inherent safety performances were evaluated through a multi-criteria approach using key-performance indicators (KPIs): potential accident scenarios were simulated, followed by the identification of consequences and relative occurrence frequencies, as to quantify the risks affecting </w:t>
      </w:r>
      <w:r>
        <w:rPr>
          <w:lang w:val="en-GB"/>
        </w:rPr>
        <w:t>human</w:t>
      </w:r>
      <w:r w:rsidRPr="00FC65BC">
        <w:rPr>
          <w:lang w:val="en-GB"/>
        </w:rPr>
        <w:t xml:space="preserve"> target</w:t>
      </w:r>
      <w:r>
        <w:rPr>
          <w:lang w:val="en-GB"/>
        </w:rPr>
        <w:t xml:space="preserve">. </w:t>
      </w:r>
      <w:r w:rsidRPr="00FC65BC">
        <w:rPr>
          <w:lang w:val="en-GB"/>
        </w:rPr>
        <w:t xml:space="preserve">The results </w:t>
      </w:r>
      <w:r>
        <w:rPr>
          <w:lang w:val="en-GB"/>
        </w:rPr>
        <w:t xml:space="preserve">enabled to identify the inherently safer option among two innovative processes for energy-transition fuels. </w:t>
      </w:r>
    </w:p>
    <w:bookmarkEnd w:id="0"/>
    <w:p w14:paraId="656B359D" w14:textId="77777777" w:rsidR="00973276" w:rsidRDefault="00973276" w:rsidP="00973276">
      <w:pPr>
        <w:pStyle w:val="CETHeading1"/>
      </w:pPr>
      <w:r>
        <w:t xml:space="preserve">Introduction </w:t>
      </w:r>
    </w:p>
    <w:p w14:paraId="0007B12F" w14:textId="3CB66A12" w:rsidR="00973276" w:rsidRDefault="00973276" w:rsidP="00973276">
      <w:pPr>
        <w:pStyle w:val="CETBodytext"/>
        <w:rPr>
          <w:lang w:val="en-GB"/>
        </w:rPr>
      </w:pPr>
      <w:r>
        <w:t xml:space="preserve">At present, sustainability is a core theme in all anthropic activities and affects company owners not only from a legal point of view, but also from the social responsibility perspective. In fact, the growing power request and the relentless depletion of fossil sources ask for technological efforts, in order to find new resources, reduce energy losses and integrate renewable power in existing and novel plants. In parallel, the actual level of Green House Gases (GHG) is responsible of </w:t>
      </w:r>
      <w:r>
        <w:rPr>
          <w:lang w:val="en-GB"/>
        </w:rPr>
        <w:t xml:space="preserve">the average temperature increase, a phenomenon which is slowly </w:t>
      </w:r>
      <w:r>
        <w:t xml:space="preserve">harming life on Earth </w:t>
      </w:r>
      <w:r>
        <w:fldChar w:fldCharType="begin" w:fldLock="1"/>
      </w:r>
      <w:r>
        <w:instrText>ADDIN CSL_CITATION {"citationItems":[{"id":"ITEM-1","itemData":{"DOI":"10.1126/science.aam8328","ISSN":"10959203","abstract":"Many global change stresses on terrestrial and marine ecosystems affect not only ecosystem services that are essential to humankind, but also the trajectory of future climate by altering energy and mass exchanges with the atmosphere. Earth system models, which simulate terrestrial and marine ecosystems and biogeochemical cycles, offer a common framework for ecological research related to climate processes; analyses of vulnerability, impacts, and adaptation; and climate change mitigation. They provide an opportunity to move beyond physical descriptors of atmospheric and oceanic states to societally relevant quantities such as wildfire risk, habitat loss, water availability, and crop, fishery, and timber yields. To achieve this, the science of climate prediction must be extended to a more multifaceted Earth system prediction that includes the biosphere and its resources.","author":[{"dropping-particle":"","family":"Bonan","given":"Gordon B.","non-dropping-particle":"","parse-names":false,"suffix":""},{"dropping-particle":"","family":"Doney","given":"Scott C.","non-dropping-particle":"","parse-names":false,"suffix":""}],"container-title":"Science","id":"ITEM-1","issue":"6375","issued":{"date-parts":[["2018"]]},"title":"Climate, ecosystems, and planetary futures: The challenge to predict life in Earth system models","type":"article-journal","volume":"359"},"uris":["http://www.mendeley.com/documents/?uuid=5bb7ef0d-f6cb-4899-b79c-d69c78661232"]}],"mendeley":{"formattedCitation":"(Bonan and Doney, 2018)","plainTextFormattedCitation":"(Bonan and Doney, 2018)","previouslyFormattedCitation":"(Bonan and Doney, 2018)"},"properties":{"noteIndex":0},"schema":"https://github.com/citation-style-language/schema/raw/master/csl-citation.json"}</w:instrText>
      </w:r>
      <w:r>
        <w:fldChar w:fldCharType="separate"/>
      </w:r>
      <w:r w:rsidRPr="006641A1">
        <w:rPr>
          <w:noProof/>
        </w:rPr>
        <w:t>(Bonan and Doney, 2018)</w:t>
      </w:r>
      <w:r>
        <w:fldChar w:fldCharType="end"/>
      </w:r>
      <w:r>
        <w:t>. All the mentioned solutions reduce the carbon emissions for power and chemical plants, accomplishing with present regulations and contributing to the containment of negative effects on the long-term. Another possible strategy in this direction is Carbon Capture and Utilization (CCU) that theoretically achieves a “zero” carbon balance: CO</w:t>
      </w:r>
      <w:r w:rsidRPr="007351D3">
        <w:rPr>
          <w:vertAlign w:val="subscript"/>
        </w:rPr>
        <w:t>2</w:t>
      </w:r>
      <w:r>
        <w:t xml:space="preserve"> from combustion is stocked and reduced to more valuable chemicals, as vegetables do. With this purpose, lately microalgae received attention for the production of 3</w:t>
      </w:r>
      <w:proofErr w:type="spellStart"/>
      <w:r>
        <w:rPr>
          <w:vertAlign w:val="superscript"/>
          <w:lang w:val="en-GB"/>
        </w:rPr>
        <w:t>rd</w:t>
      </w:r>
      <w:proofErr w:type="spellEnd"/>
      <w:r>
        <w:rPr>
          <w:lang w:val="en-GB"/>
        </w:rPr>
        <w:t xml:space="preserve"> generation biodiesel in the biomass valorisation framework: microalgae do not compete with crops for food production and exploit solar energy through photosynthesis fixing CO</w:t>
      </w:r>
      <w:r w:rsidRPr="00762F72">
        <w:rPr>
          <w:vertAlign w:val="subscript"/>
          <w:lang w:val="en-GB"/>
        </w:rPr>
        <w:t>2</w:t>
      </w:r>
      <w:r>
        <w:rPr>
          <w:lang w:val="en-GB"/>
        </w:rPr>
        <w:t xml:space="preserve"> to produce triacylglycerols; then the oil extracted from biomass is trans-esterified into fatty acid methyl esters (FAMEs) </w:t>
      </w:r>
      <w:r>
        <w:rPr>
          <w:rStyle w:val="Rimandonotaapidipagina"/>
          <w:lang w:val="en-GB"/>
        </w:rPr>
        <w:fldChar w:fldCharType="begin" w:fldLock="1"/>
      </w:r>
      <w:r>
        <w:rPr>
          <w:lang w:val="en-GB"/>
        </w:rPr>
        <w:instrText>ADDIN CSL_CITATION {"citationItems":[{"id":"ITEM-1","itemData":{"DOI":"10.1590/S1516-89132014000200003","ISSN":"16784324","abstract":"The aim of this work was to study growth potential of the green microalgae Nannochloropsis sp. using brackish groundwater from a well in the semi-arid northeast region of Brazil as culture medium. The medium was supplemented with (%) 19.4, 22.0, 44.0 and 50.0% of municipal wastewater after UASB treatment as a low-cost nutrient source. The results showed that the culture tested was capable of growing in the brackish groundwater even at salinity levels as low as 2 ppt. Furthermore it was shown that municipal wastewater could be used as a sole nutrient source for Nannochloropsis sp.","author":[{"dropping-particle":"","family":"Sousa","given":"Louise Lins","non-dropping-particle":"De","parse-names":false,"suffix":""},{"dropping-particle":"","family":"Hora","given":"Dominique Silveira","non-dropping-particle":"Da","parse-names":false,"suffix":""},{"dropping-particle":"","family":"Sales","given":"Emerson Andrade","non-dropping-particle":"","parse-names":false,"suffix":""},{"dropping-particle":"","family":"Perelo","given":"Louisa Wessels","non-dropping-particle":"","parse-names":false,"suffix":""}],"container-title":"Brazilian Archives of Biology and Technology","id":"ITEM-1","issue":"2","issued":{"date-parts":[["2014"]]},"page":"171-177","title":"Cultivation of nannochloropsis sp. in brackish groundwater supplemented with municipal wastewater as a nutrient source","type":"article-journal","volume":"57"},"uris":["http://www.mendeley.com/documents/?uuid=e418ca3d-66df-4b57-adb9-ea3f02c1478e"]}],"mendeley":{"formattedCitation":"(De Sousa &lt;i&gt;et al.&lt;/i&gt;, 2014)","plainTextFormattedCitation":"(De Sousa et al., 2014)","previouslyFormattedCitation":"(De Sousa &lt;i&gt;et al.&lt;/i&gt;, 2014)"},"properties":{"noteIndex":0},"schema":"https://github.com/citation-style-language/schema/raw/master/csl-citation.json"}</w:instrText>
      </w:r>
      <w:r>
        <w:rPr>
          <w:rStyle w:val="Rimandonotaapidipagina"/>
          <w:lang w:val="en-GB"/>
        </w:rPr>
        <w:fldChar w:fldCharType="separate"/>
      </w:r>
      <w:r w:rsidRPr="0062646D">
        <w:rPr>
          <w:bCs/>
          <w:noProof/>
        </w:rPr>
        <w:t xml:space="preserve">(De </w:t>
      </w:r>
      <w:r w:rsidRPr="00F815BA">
        <w:rPr>
          <w:bCs/>
          <w:noProof/>
        </w:rPr>
        <w:t>Sousa et al., 2014</w:t>
      </w:r>
      <w:r w:rsidRPr="0062646D">
        <w:rPr>
          <w:bCs/>
          <w:noProof/>
        </w:rPr>
        <w:t>)</w:t>
      </w:r>
      <w:r>
        <w:rPr>
          <w:rStyle w:val="Rimandonotaapidipagina"/>
          <w:lang w:val="en-GB"/>
        </w:rPr>
        <w:fldChar w:fldCharType="end"/>
      </w:r>
      <w:r>
        <w:rPr>
          <w:lang w:val="en-GB"/>
        </w:rPr>
        <w:t xml:space="preserve">. </w:t>
      </w:r>
      <w:r w:rsidRPr="004D03A2">
        <w:rPr>
          <w:iCs/>
          <w:lang w:val="en-GB"/>
        </w:rPr>
        <w:t>Among all,</w:t>
      </w:r>
      <w:r>
        <w:rPr>
          <w:i/>
          <w:iCs/>
          <w:lang w:val="en-GB"/>
        </w:rPr>
        <w:t xml:space="preserve"> </w:t>
      </w:r>
      <w:proofErr w:type="spellStart"/>
      <w:r>
        <w:rPr>
          <w:i/>
          <w:iCs/>
          <w:lang w:val="en-GB"/>
        </w:rPr>
        <w:t>Nannochloropsis</w:t>
      </w:r>
      <w:proofErr w:type="spellEnd"/>
      <w:r>
        <w:rPr>
          <w:i/>
          <w:iCs/>
          <w:lang w:val="en-GB"/>
        </w:rPr>
        <w:t xml:space="preserve"> </w:t>
      </w:r>
      <w:proofErr w:type="spellStart"/>
      <w:r>
        <w:rPr>
          <w:i/>
          <w:iCs/>
          <w:lang w:val="en-GB"/>
        </w:rPr>
        <w:t>oculata</w:t>
      </w:r>
      <w:proofErr w:type="spellEnd"/>
      <w:r>
        <w:rPr>
          <w:i/>
          <w:iCs/>
          <w:lang w:val="en-GB"/>
        </w:rPr>
        <w:t xml:space="preserve"> </w:t>
      </w:r>
      <w:r>
        <w:rPr>
          <w:lang w:val="en-GB"/>
        </w:rPr>
        <w:t xml:space="preserve">is the most suitable species for biodiesel production since it has high growth rate, high lipid accumulation rate in mixotrophic cultivations and results in a fuel product in line with the standards </w:t>
      </w:r>
      <w:r>
        <w:rPr>
          <w:rStyle w:val="Rimandonotaapidipagina"/>
          <w:lang w:val="en-GB"/>
        </w:rPr>
        <w:fldChar w:fldCharType="begin" w:fldLock="1"/>
      </w:r>
      <w:r>
        <w:rPr>
          <w:lang w:val="en-GB"/>
        </w:rPr>
        <w:instrText>ADDIN CSL_CITATION {"citationItems":[{"id":"ITEM-1","itemData":{"DOI":"10.3390/en6115676","ISSN":"19961073","abstract":"Physical and chemical properties of biodiesel are influenced by structural features of the fatty acids, such as chain length, degree of unsaturation and branching of the carbon c hain. This study investigated if microalgal fatty acid profiles are suitable for biodiesel characterization and species selection through Preference Ranking Organisation Method for Enrichment Evaluation (PROMETHEE) and Graphical Analysis for Interactive Assistance (GAIA) analysis. Fatty acid methyl ester (FAME) profiles were used to calculate the likely key chemical and physical properties of the biodiesel [cetane number (CN), iodine value (IV), cold filter plugging point, density, kinematic viscosity, higher heating value] of nine microalgal species (this study) and twelve species from the literature, selected for their suitability for cultivation in subtropical climates. An equal-parameter weighted (PROMETHEE-GAIA) ranked Nannochloropsis oculata, Extubocellulus sp. and Biddulphia sp. highest; the only species meeting the EN14214 and ASTM D6751-02 biodiesel standards, except for the double bond limit in the EN14214. Chlorella vulgaris outranked N. oculata when the twelve microalgae were included. Culture growth phase (stationary) and, to a lesser extent, nutrient provision affected CN and IV values of N. oculata due to lower eicosapentaenoic acid (EPA) contents. Application of a polyunsaturated fatty acid (PUFA) weighting to saturation led to a lower ranking of species exceeding the double bond EN14214 thresholds. In summary, CN, IV, C18:3 and double bond limits were the strongest drivers in equal biodiesel parameter-weighted PROMETHEE analysis. © 2013 by the authors.","author":[{"dropping-particle":"","family":"Islam","given":"Muhammad Aminul","non-dropping-particle":"","parse-names":false,"suffix":""},{"dropping-particle":"","family":"Magnusson","given":"Marie","non-dropping-particle":"","parse-names":false,"suffix":""},{"dropping-particle":"","family":"Brown","given":"Richard J.","non-dropping-particle":"","parse-names":false,"suffix":""},{"dropping-particle":"","family":"Ayoko","given":"Godwin A.","non-dropping-particle":"","parse-names":false,"suffix":""},{"dropping-particle":"","family":"Nabi","given":"Md Nurun","non-dropping-particle":"","parse-names":false,"suffix":""},{"dropping-particle":"","family":"Heimann","given":"Kirsten","non-dropping-particle":"","parse-names":false,"suffix":""}],"container-title":"Energies","id":"ITEM-1","issue":"11","issued":{"date-parts":[["2013"]]},"page":"5676-5702","title":"Microalgal species selection for biodiesel production based on fuel properties derived from fatty acid profiles","type":"article-journal","volume":"6"},"uris":["http://www.mendeley.com/documents/?uuid=0c4ccf3a-bf58-4e9b-9e2a-1a9a5fae6903"]}],"mendeley":{"formattedCitation":"(Islam &lt;i&gt;et al.&lt;/i&gt;, 2013)","plainTextFormattedCitation":"(Islam et al., 2013)","previouslyFormattedCitation":"(Islam &lt;i&gt;et al.&lt;/i&gt;, 2013)"},"properties":{"noteIndex":0},"schema":"https://github.com/citation-style-language/schema/raw/master/csl-citation.json"}</w:instrText>
      </w:r>
      <w:r>
        <w:rPr>
          <w:rStyle w:val="Rimandonotaapidipagina"/>
          <w:lang w:val="en-GB"/>
        </w:rPr>
        <w:fldChar w:fldCharType="separate"/>
      </w:r>
      <w:r w:rsidRPr="0062646D">
        <w:rPr>
          <w:bCs/>
          <w:noProof/>
        </w:rPr>
        <w:t xml:space="preserve">(Islam </w:t>
      </w:r>
      <w:r w:rsidRPr="00F815BA">
        <w:rPr>
          <w:bCs/>
          <w:iCs/>
          <w:noProof/>
        </w:rPr>
        <w:t>et al., 2</w:t>
      </w:r>
      <w:r w:rsidRPr="0062646D">
        <w:rPr>
          <w:bCs/>
          <w:noProof/>
        </w:rPr>
        <w:t>013)</w:t>
      </w:r>
      <w:r>
        <w:rPr>
          <w:rStyle w:val="Rimandonotaapidipagina"/>
          <w:lang w:val="en-GB"/>
        </w:rPr>
        <w:fldChar w:fldCharType="end"/>
      </w:r>
      <w:r>
        <w:rPr>
          <w:lang w:val="en-GB"/>
        </w:rPr>
        <w:t xml:space="preserve">. </w:t>
      </w:r>
      <w:r w:rsidRPr="00FC65BC">
        <w:rPr>
          <w:lang w:val="en-GB"/>
        </w:rPr>
        <w:t>Nevertheless</w:t>
      </w:r>
      <w:r>
        <w:rPr>
          <w:lang w:val="en-GB"/>
        </w:rPr>
        <w:t>,</w:t>
      </w:r>
      <w:r w:rsidRPr="00FC65BC">
        <w:rPr>
          <w:lang w:val="en-GB"/>
        </w:rPr>
        <w:t xml:space="preserve"> the power requirements related to biomass harvesting and downstream refining operations are substantial, making this route energetically disfavoured in comparison with other energy-transition fuels</w:t>
      </w:r>
      <w:r>
        <w:rPr>
          <w:lang w:val="en-GB"/>
        </w:rPr>
        <w:t xml:space="preserve"> </w:t>
      </w:r>
      <w:r>
        <w:rPr>
          <w:lang w:val="en-GB"/>
        </w:rPr>
        <w:fldChar w:fldCharType="begin" w:fldLock="1"/>
      </w:r>
      <w:r>
        <w:rPr>
          <w:lang w:val="en-GB"/>
        </w:rPr>
        <w:instrText>ADDIN CSL_CITATION {"citationItems":[{"id":"ITEM-1","itemData":{"DOI":"10.1016/j.jbiotec.2013.07.020","ISSN":"01681656","abstract":"Production of algal crude oil has been achieved in various pilot scale facilities, but whether algal fuels can be produced in sufficient quantity to meaningfully displace petroleum fuels, has been largely overlooked. Limitations to commercialization of algal fuels need to be understood and addressed for any future commercialization. This review identifies the major constraints to commercialization of transport fuels from microalgae. Algae derived fuels are expensive compared to petroleum derived fuels, but this could change. Unfortunately, improved economics of production are not sufficient for an environmentally sustainable production, or its large scale feasibility. A low-cost point supply of concentrated carbon dioxide colocated with the other essential resources is necessary for producing algal fuels. An insufficiency of concentrated carbon dioxide is actually a major impediment to any substantial production of algal fuels. Sustainability of production requires the development of an ability to almost fully recycle the phosphorous and nitrogen nutrients that are necessary for algae culture. Development of a nitrogen biofixation ability to support production of algal fuels ought to be an important long term objective. At sufficiently large scale, a limited supply of freshwater will pose a significant limitation to production even if marine algae are used. Processes for recovering energy from the algal biomass left after the extraction of oil, are required for achieving a net positive energy balance in the algal fuel oil. The near term outlook for widespread use of algal fuels appears bleak, but fuels for niche applications such as in aviation may be likely in the medium term. Genetic and metabolic engineering of microalgae to boost production of fuel oil and ease its recovery, are essential for commercialization of algal fuels. Algae will need to be genetically modified for improved photosynthetic efficiency in the long term. © 2013 Elsevier Ltd.V.","author":[{"dropping-particle":"","family":"Chisti","given":"Yusuf","non-dropping-particle":"","parse-names":false,"suffix":""}],"container-title":"Journal of Biotechnology","id":"ITEM-1","issue":"3","issued":{"date-parts":[["2013"]]},"page":"201-214","publisher":"Elsevier B.V.","title":"Constraints to commercialization of algal fuels","type":"article-journal","volume":"167"},"uris":["http://www.mendeley.com/documents/?uuid=36531af7-7167-4bbd-97f4-c05381ca8841"]}],"mendeley":{"formattedCitation":"(Chisti, 2013)","plainTextFormattedCitation":"(Chisti, 2013)","previouslyFormattedCitation":"(Chisti, 2013)"},"properties":{"noteIndex":0},"schema":"https://github.com/citation-style-language/schema/raw/master/csl-citation.json"}</w:instrText>
      </w:r>
      <w:r>
        <w:rPr>
          <w:lang w:val="en-GB"/>
        </w:rPr>
        <w:fldChar w:fldCharType="separate"/>
      </w:r>
      <w:r w:rsidRPr="00DA0FBA">
        <w:rPr>
          <w:noProof/>
          <w:lang w:val="en-GB"/>
        </w:rPr>
        <w:t>(Chisti, 2013)</w:t>
      </w:r>
      <w:r>
        <w:rPr>
          <w:lang w:val="en-GB"/>
        </w:rPr>
        <w:fldChar w:fldCharType="end"/>
      </w:r>
      <w:r w:rsidRPr="00FC65BC">
        <w:rPr>
          <w:lang w:val="en-GB"/>
        </w:rPr>
        <w:t>.</w:t>
      </w:r>
      <w:r w:rsidR="001000BE">
        <w:rPr>
          <w:lang w:val="en-GB"/>
        </w:rPr>
        <w:t xml:space="preserve"> </w:t>
      </w:r>
      <w:r>
        <w:t xml:space="preserve">An anthropic approach to CCU, instead, is the well-known </w:t>
      </w:r>
      <w:r>
        <w:rPr>
          <w:lang w:val="en-GB"/>
        </w:rPr>
        <w:t xml:space="preserve">“Methanol Economy” concept </w:t>
      </w:r>
      <w:r>
        <w:rPr>
          <w:rStyle w:val="Rimandonotaapidipagina"/>
          <w:lang w:val="en-GB"/>
        </w:rPr>
        <w:fldChar w:fldCharType="begin" w:fldLock="1"/>
      </w:r>
      <w:r>
        <w:rPr>
          <w:lang w:val="en-GB"/>
        </w:rPr>
        <w:instrText>ADDIN CSL_CITATION {"citationItems":[{"id":"ITEM-1","itemData":{"author":[{"dropping-particle":"","family":"Olah","given":"George Andrew","non-dropping-particle":"","parse-names":false,"suffix":""},{"dropping-particle":"","family":"Goeppert","given":"Alain","non-dropping-particle":"","parse-names":false,"suffix":""},{"dropping-particle":"","family":"Prakash","given":"G K Surya","non-dropping-particle":"","parse-names":false,"suffix":""}],"edition":"3rd","id":"ITEM-1","issued":{"date-parts":[["2018"]]},"publisher":"Wiley-VCH","title":"Beyond Oil and Gas: the Methanol Economy","type":"book"},"uris":["http://www.mendeley.com/documents/?uuid=cdb587c9-3680-47a5-af6b-914791c2d304"]}],"mendeley":{"formattedCitation":"(Olah, Goeppert and Prakash, 2018)","manualFormatting":"(Olah et al., 2018)","plainTextFormattedCitation":"(Olah, Goeppert and Prakash, 2018)","previouslyFormattedCitation":"(Olah, Goeppert and Prakash, 2018)"},"properties":{"noteIndex":0},"schema":"https://github.com/citation-style-language/schema/raw/master/csl-citation.json"}</w:instrText>
      </w:r>
      <w:r>
        <w:rPr>
          <w:rStyle w:val="Rimandonotaapidipagina"/>
          <w:lang w:val="en-GB"/>
        </w:rPr>
        <w:fldChar w:fldCharType="separate"/>
      </w:r>
      <w:r>
        <w:rPr>
          <w:noProof/>
          <w:lang w:val="en-GB"/>
        </w:rPr>
        <w:t>(Ola</w:t>
      </w:r>
      <w:r w:rsidRPr="00F815BA">
        <w:rPr>
          <w:noProof/>
          <w:lang w:val="en-GB"/>
        </w:rPr>
        <w:t>h et al.,</w:t>
      </w:r>
      <w:r>
        <w:rPr>
          <w:noProof/>
          <w:lang w:val="en-GB"/>
        </w:rPr>
        <w:t xml:space="preserve"> 2018)</w:t>
      </w:r>
      <w:r>
        <w:rPr>
          <w:rStyle w:val="Rimandonotaapidipagina"/>
          <w:lang w:val="en-GB"/>
        </w:rPr>
        <w:fldChar w:fldCharType="end"/>
      </w:r>
      <w:r>
        <w:rPr>
          <w:lang w:val="en-GB"/>
        </w:rPr>
        <w:t>: this alcohol is seen as the most convenient energy carrier in the next future because it can be regenerated in sustainable ways from CO</w:t>
      </w:r>
      <w:r>
        <w:rPr>
          <w:vertAlign w:val="subscript"/>
          <w:lang w:val="en-GB"/>
        </w:rPr>
        <w:t xml:space="preserve">2 </w:t>
      </w:r>
      <w:r>
        <w:rPr>
          <w:lang w:val="en-GB"/>
        </w:rPr>
        <w:t>and H</w:t>
      </w:r>
      <w:r>
        <w:rPr>
          <w:vertAlign w:val="subscript"/>
          <w:lang w:val="en-GB"/>
        </w:rPr>
        <w:t>2</w:t>
      </w:r>
      <w:r>
        <w:rPr>
          <w:lang w:val="en-GB"/>
        </w:rPr>
        <w:t>, considering solar power the force for water hydrolysis to produce hydrogen. The most developed route for CO</w:t>
      </w:r>
      <w:r>
        <w:rPr>
          <w:vertAlign w:val="subscript"/>
          <w:lang w:val="en-GB"/>
        </w:rPr>
        <w:t>2</w:t>
      </w:r>
      <w:r>
        <w:rPr>
          <w:lang w:val="en-GB"/>
        </w:rPr>
        <w:t xml:space="preserve"> hydrogenation at present is thermochemical catalysis and an industrial plant with a 50,000 t/y productivity </w:t>
      </w:r>
      <w:r>
        <w:rPr>
          <w:lang w:val="en-GB"/>
        </w:rPr>
        <w:lastRenderedPageBreak/>
        <w:t xml:space="preserve">is already operating in Iceland </w:t>
      </w:r>
      <w:r>
        <w:rPr>
          <w:rStyle w:val="Rimandonotaapidipagina"/>
        </w:rPr>
        <w:fldChar w:fldCharType="begin" w:fldLock="1"/>
      </w:r>
      <w:r>
        <w:instrText>ADDIN CSL_CITATION {"citationItems":[{"id":"ITEM-1","itemData":{"URL":"www.carbonrecycling.is/technicalservices","author":[{"dropping-particle":"","family":"CRI","given":"","non-dropping-particle":"","parse-names":false,"suffix":""}],"id":"ITEM-1","issued":{"date-parts":[["2019"]]},"title":"Technology","type":"webpage"},"uris":["http://www.mendeley.com/documents/?uuid=89296d38-146a-41b9-98ce-43547707328b"]}],"mendeley":{"formattedCitation":"(CRI, 2019)","plainTextFormattedCitation":"(CRI, 2019)","previouslyFormattedCitation":"(CRI, 2019)"},"properties":{"noteIndex":0},"schema":"https://github.com/citation-style-language/schema/raw/master/csl-citation.json"}</w:instrText>
      </w:r>
      <w:r>
        <w:rPr>
          <w:rStyle w:val="Rimandonotaapidipagina"/>
        </w:rPr>
        <w:fldChar w:fldCharType="separate"/>
      </w:r>
      <w:r w:rsidRPr="0017485E">
        <w:rPr>
          <w:noProof/>
        </w:rPr>
        <w:t>(CRI, 2019)</w:t>
      </w:r>
      <w:r>
        <w:rPr>
          <w:rStyle w:val="Rimandonotaapidipagina"/>
        </w:rPr>
        <w:fldChar w:fldCharType="end"/>
      </w:r>
      <w:r>
        <w:rPr>
          <w:lang w:val="en-GB"/>
        </w:rPr>
        <w:t xml:space="preserve">. </w:t>
      </w:r>
      <w:r>
        <w:t>Innovative production process for fuels are very attractive but are too often underestimated from the safety point of view in the early-design stages, later leading to the need of application of expensive countermeasures, when the risks are noticed earlier than relevant accidents</w:t>
      </w:r>
      <w:r>
        <w:fldChar w:fldCharType="begin" w:fldLock="1"/>
      </w:r>
      <w:r>
        <w:instrText>ADDIN CSL_CITATION {"citationItems":[{"id":"ITEM-1","itemData":{"DOI":"10.1016/j.ssci.2018.12.014","ISSN":"18791042","abstract":"The number of biodiesel production plants is rapidly growing around the world, and the related “green” technologies are developing to full industrial scale within a brief time. The exploitation of these relatively new technologies with a low operational experience is however leading to an increase in the number of accidents in this industrial sector. To better address and characterise the problem of the high accident rate in the “green” technologies in biodiesel production, an in-depth statistical analysis of past accidents has been performed. The set of records analysed (93 events, from 2003 to 2017) has been selected to depict the most relevant factors affecting the accident rate, e.g. the age of the plant and its status at the time of the accident or unit and substances involved. Correlations between characteristics of the unwanted events, such as scenario and causes, have been evidenced. The analysis of the frequency and severity of past accidents allowed an estimate of the risk figure with respect to major accident hazard for biodiesel industry, unveiling the misconception for which green technologies as biodiesel production are often perceived as safer.","author":[{"dropping-particle":"","family":"Casson Moreno","given":"Valeria","non-dropping-particle":"","parse-names":false,"suffix":""},{"dropping-particle":"","family":"Danzi","given":"Enrico","non-dropping-particle":"","parse-names":false,"suffix":""},{"dropping-particle":"","family":"Marmo","given":"Luca","non-dropping-particle":"","parse-names":false,"suffix":""},{"dropping-particle":"","family":"Salzano","given":"Ernesto","non-dropping-particle":"","parse-names":false,"suffix":""},{"dropping-particle":"","family":"Cozzani","given":"Valerio","non-dropping-particle":"","parse-names":false,"suffix":""}],"container-title":"Safety Science","id":"ITEM-1","issue":"January 2018","issued":{"date-parts":[["2019"]]},"page":"490-503","publisher":"Elsevier","title":"Major accident hazard in biodiesel production processes","type":"article-journal","volume":"113"},"uris":["http://www.mendeley.com/documents/?uuid=19bde671-8432-4069-91fb-56568ea23ddb"]}],"mendeley":{"formattedCitation":"(Casson Moreno &lt;i&gt;et al.&lt;/i&gt;, 2019)","plainTextFormattedCitation":"(Casson Moreno et al., 2019)","previouslyFormattedCitation":"(Casson Moreno &lt;i&gt;et al.&lt;/i&gt;, 2019)"},"properties":{"noteIndex":0},"schema":"https://github.com/citation-style-language/schema/raw/master/csl-citation.json"}</w:instrText>
      </w:r>
      <w:r>
        <w:fldChar w:fldCharType="separate"/>
      </w:r>
      <w:r w:rsidRPr="00D30D5E">
        <w:rPr>
          <w:noProof/>
        </w:rPr>
        <w:t xml:space="preserve">(Casson Moreno </w:t>
      </w:r>
      <w:r w:rsidRPr="00F815BA">
        <w:rPr>
          <w:iCs/>
          <w:noProof/>
        </w:rPr>
        <w:t xml:space="preserve">et al., </w:t>
      </w:r>
      <w:r w:rsidRPr="00D30D5E">
        <w:rPr>
          <w:noProof/>
        </w:rPr>
        <w:t>2019)</w:t>
      </w:r>
      <w:r>
        <w:fldChar w:fldCharType="end"/>
      </w:r>
      <w:r>
        <w:t xml:space="preserve">. Inherent safety assessments can help in identifying the risks hidden behind process design and in directing the choices towards safer configurations and technologies and/or in adopting milder operative conditions and specific control systems. </w:t>
      </w:r>
      <w:r w:rsidRPr="00021140">
        <w:t>A</w:t>
      </w:r>
      <w:r>
        <w:t xml:space="preserve"> successful inherent safety method was ideated by </w:t>
      </w:r>
      <w:r>
        <w:fldChar w:fldCharType="begin" w:fldLock="1"/>
      </w:r>
      <w:r>
        <w:instrText>ADDIN CSL_CITATION {"citationItems":[{"id":"ITEM-1","itemData":{"DOI":"10.1002/aic","author":[{"dropping-particle":"","family":"Tugnoli","given":"Alessandro","non-dropping-particle":"","parse-names":false,"suffix":""},{"dropping-particle":"","family":"Cozzani","given":"Valerio","non-dropping-particle":"","parse-names":false,"suffix":""},{"dropping-particle":"","family":"Landucci","given":"Gabriele","non-dropping-particle":"","parse-names":false,"suffix":""}],"container-title":"A.I. Chemical Engineering Journal","id":"ITEM-1","issue":"12","issued":{"date-parts":[["2007"]]},"page":"3171-3182","title":"A Consequence Based Approach to the Quantitative Assessment of Inherent Safety","type":"article-journal","volume":"53"},"uris":["http://www.mendeley.com/documents/?uuid=00d263c9-5e05-4171-8e97-f0c7082fa281"]}],"mendeley":{"formattedCitation":"(Tugnoli, Cozzani and Landucci, 2007)","manualFormatting":"(Tugnoli et al., 2007)","plainTextFormattedCitation":"(Tugnoli, Cozzani and Landucci, 2007)","previouslyFormattedCitation":"(Tugnoli, Cozzani and Landucci, 2007)"},"properties":{"noteIndex":0},"schema":"https://github.com/citation-style-language/schema/raw/master/csl-citation.json"}</w:instrText>
      </w:r>
      <w:r>
        <w:fldChar w:fldCharType="separate"/>
      </w:r>
      <w:r w:rsidRPr="00E332B5">
        <w:rPr>
          <w:noProof/>
        </w:rPr>
        <w:t>Tugnoli</w:t>
      </w:r>
      <w:r>
        <w:rPr>
          <w:noProof/>
        </w:rPr>
        <w:t xml:space="preserve"> et al.</w:t>
      </w:r>
      <w:r w:rsidRPr="00E332B5">
        <w:rPr>
          <w:noProof/>
        </w:rPr>
        <w:t xml:space="preserve"> </w:t>
      </w:r>
      <w:r>
        <w:rPr>
          <w:noProof/>
        </w:rPr>
        <w:t>(</w:t>
      </w:r>
      <w:r w:rsidRPr="00E332B5">
        <w:rPr>
          <w:noProof/>
        </w:rPr>
        <w:t>2007</w:t>
      </w:r>
      <w:r>
        <w:fldChar w:fldCharType="end"/>
      </w:r>
      <w:r>
        <w:t xml:space="preserve">): it ranks process alternatives on the base of </w:t>
      </w:r>
      <w:r w:rsidRPr="00021140">
        <w:t>Key Performance Indicators (KPIs)</w:t>
      </w:r>
      <w:r>
        <w:t xml:space="preserve"> which are consequence-based. This methodology was proved in different fields, from offshore facilities </w:t>
      </w:r>
      <w:r>
        <w:fldChar w:fldCharType="begin" w:fldLock="1"/>
      </w:r>
      <w:r>
        <w:instrText>ADDIN CSL_CITATION {"citationItems":[{"id":"ITEM-1","itemData":{"DOI":"10.3303/CET1867116","ISBN":"9788895608648","author":[{"dropping-particle":"","family":"Crivellari","given":"Anna","non-dropping-particle":"","parse-names":false,"suffix":""},{"dropping-particle":"","family":"Tugnoli","given":"Alessandro","non-dropping-particle":"","parse-names":false,"suffix":""},{"dropping-particle":"","family":"Cozzani","given":"Valerio","non-dropping-particle":"","parse-names":false,"suffix":""},{"dropping-particle":"","family":"Macini","given":"Paolo","non-dropping-particle":"","parse-names":false,"suffix":""}],"id":"ITEM-1","issued":{"date-parts":[["2018"]]},"page":"691-696","title":"Systematic Methodology for Inherent Safety Indicators Assessment of Early Design Stages of Offshore Oil &amp; Gas Projects","type":"article-journal","volume":"67"},"uris":["http://www.mendeley.com/documents/?uuid=c939569a-5326-4d12-8d07-65fac094afa9"]}],"mendeley":{"formattedCitation":"(Crivellari &lt;i&gt;et al.&lt;/i&gt;, 2018)","plainTextFormattedCitation":"(Crivellari et al., 2018)","previouslyFormattedCitation":"(Crivellari &lt;i&gt;et al.&lt;/i&gt;, 2018)"},"properties":{"noteIndex":0},"schema":"https://github.com/citation-style-language/schema/raw/master/csl-citation.json"}</w:instrText>
      </w:r>
      <w:r>
        <w:fldChar w:fldCharType="separate"/>
      </w:r>
      <w:r w:rsidRPr="00770D1D">
        <w:rPr>
          <w:noProof/>
        </w:rPr>
        <w:t xml:space="preserve">(Crivellari </w:t>
      </w:r>
      <w:r w:rsidRPr="00F815BA">
        <w:rPr>
          <w:iCs/>
          <w:noProof/>
        </w:rPr>
        <w:t>et al.</w:t>
      </w:r>
      <w:r w:rsidRPr="00770D1D">
        <w:rPr>
          <w:noProof/>
        </w:rPr>
        <w:t>, 2018)</w:t>
      </w:r>
      <w:r>
        <w:fldChar w:fldCharType="end"/>
      </w:r>
      <w:r>
        <w:t xml:space="preserve"> to LNG ships </w:t>
      </w:r>
      <w:r>
        <w:fldChar w:fldCharType="begin" w:fldLock="1"/>
      </w:r>
      <w:r>
        <w:instrText>ADDIN CSL_CITATION {"citationItems":[{"id":"ITEM-1","itemData":{"DOI":"10.3303/CET1867021","ISBN":"9788895608648","ISSN":"22839216","abstract":"Liquefied natural gas (LNG) is becoming a viable, environmental-friendly alternative to marine fuel oil for ship propulsion. However, LNG flammability induces relevant safety concerns due to fire and explosion hazards. The present contribution is aimed at the safety assessment of onshore bunkering configurations for marine fuel systems, with particular reference to LNG technologies. A specific review of bunkering methods, including connection to the ship fuel system, is carried out to provide a knowledge background. Moreover, the conventional process configurations based on intermediate fuel oil (IFO) are taken into account for a comparison between process alternatives. A consequence-based approach is followed to develop a set of key performance indicators aimed at evaluating and comparing the inherent safety of LNG and IFO systems. The results obtained allow for a clear identification of critical process units and operations, indicating that conventional IFO bunkering is inherently safer when compared to LNG. Therefore, safety aspects need to be balanced with environmental benefits, in the perspective of sustainable development of LNG supply chain for marine applications.","author":[{"dropping-particle":"","family":"Iannaccone","given":"Tommaso","non-dropping-particle":"","parse-names":false,"suffix":""},{"dropping-particle":"","family":"Landucci","given":"Gabriele","non-dropping-particle":"","parse-names":false,"suffix":""},{"dropping-particle":"","family":"Cozzani","given":"Valerio","non-dropping-particle":"","parse-names":false,"suffix":""}],"container-title":"Chemical Engineering Transactions","id":"ITEM-1","issued":{"date-parts":[["2018"]]},"page":"121-126","title":"Inherent Safety Assessment of LNG Fuelled Ships and Bunkering Operations: a Consequence-based Approach","type":"article-journal","volume":"67"},"uris":["http://www.mendeley.com/documents/?uuid=a7929fd1-0106-4803-8020-04765f2e8629"]}],"mendeley":{"formattedCitation":"(Iannaccone, Landucci and Cozzani, 2018)","plainTextFormattedCitation":"(Iannaccone, Landucci and Cozzani, 2018)","previouslyFormattedCitation":"(Iannaccone, Landucci and Cozzani, 2018)"},"properties":{"noteIndex":0},"schema":"https://github.com/citation-style-language/schema/raw/master/csl-citation.json"}</w:instrText>
      </w:r>
      <w:r>
        <w:fldChar w:fldCharType="separate"/>
      </w:r>
      <w:r w:rsidRPr="00E76B1E">
        <w:rPr>
          <w:noProof/>
        </w:rPr>
        <w:t>(Iannaccone</w:t>
      </w:r>
      <w:r>
        <w:rPr>
          <w:noProof/>
        </w:rPr>
        <w:t xml:space="preserve"> </w:t>
      </w:r>
      <w:r w:rsidRPr="00F815BA">
        <w:rPr>
          <w:noProof/>
        </w:rPr>
        <w:t>et al., 2</w:t>
      </w:r>
      <w:r w:rsidRPr="00E76B1E">
        <w:rPr>
          <w:noProof/>
        </w:rPr>
        <w:t>018)</w:t>
      </w:r>
      <w:r>
        <w:fldChar w:fldCharType="end"/>
      </w:r>
      <w:r>
        <w:t xml:space="preserve"> but, notably, it found useful and robust application for biogas power plants </w:t>
      </w:r>
      <w:r>
        <w:fldChar w:fldCharType="begin" w:fldLock="1"/>
      </w:r>
      <w:r>
        <w:instrText>ADDIN CSL_CITATION {"citationItems":[{"id":"ITEM-1","itemData":{"DOI":"10.1002/aic","ISSN":"0001-1541","author":[{"dropping-particle":"","family":"Scarponi","given":"Giordano Emrys","non-dropping-particle":"","parse-names":false,"suffix":""},{"dropping-particle":"","family":"Guglielmi","given":"Daniele","non-dropping-particle":"","parse-names":false,"suffix":""},{"dropping-particle":"","family":"Casson Moreno","given":"Valeria","non-dropping-particle":"","parse-names":false,"suffix":""},{"dropping-particle":"","family":"Cozzani","given":"Valerio","non-dropping-particle":"","parse-names":false,"suffix":""}],"container-title":"AICHE Journal","id":"ITEM-1","issue":"3","issued":{"date-parts":[["2015"]]},"page":"857-866","title":"Assessment of Inherently Safer Alternatives in Biogas Production and Upgrading","type":"article-journal","volume":"61"},"uris":["http://www.mendeley.com/documents/?uuid=55038f5d-0809-4aaf-82a8-6b55c115b061"]}],"mendeley":{"formattedCitation":"(Scarponi &lt;i&gt;et al.&lt;/i&gt;, 2015)","plainTextFormattedCitation":"(Scarponi et al., 2015)","previouslyFormattedCitation":"(Scarponi &lt;i&gt;et al.&lt;/i&gt;, 2015)"},"properties":{"noteIndex":0},"schema":"https://github.com/citation-style-language/schema/raw/master/csl-citation.json"}</w:instrText>
      </w:r>
      <w:r>
        <w:fldChar w:fldCharType="separate"/>
      </w:r>
      <w:r w:rsidRPr="00482B2F">
        <w:rPr>
          <w:noProof/>
        </w:rPr>
        <w:t xml:space="preserve">(Scarponi </w:t>
      </w:r>
      <w:r w:rsidRPr="00F815BA">
        <w:rPr>
          <w:iCs/>
          <w:noProof/>
        </w:rPr>
        <w:t>et al., 2</w:t>
      </w:r>
      <w:r w:rsidRPr="00482B2F">
        <w:rPr>
          <w:noProof/>
        </w:rPr>
        <w:t>015)</w:t>
      </w:r>
      <w:r>
        <w:fldChar w:fldCharType="end"/>
      </w:r>
      <w:r>
        <w:t xml:space="preserve">. </w:t>
      </w:r>
      <w:r>
        <w:rPr>
          <w:lang w:val="en-GB"/>
        </w:rPr>
        <w:t xml:space="preserve">Thus, the aim of the present study is to evaluate and compare the inherent safety status of two innovative fuel plants at industrial scale by applying the KPIs inherent safety assessment. In fact, they achieve a CCU strategy and for both it’s possible to integrate solar panels, i.e. sustaining the core operation’s energy duty; anyway they could result extremely different for what concerns inherent safety thus this aspect that must be deepened. </w:t>
      </w:r>
    </w:p>
    <w:p w14:paraId="4224FD2A" w14:textId="77777777" w:rsidR="00973276" w:rsidRDefault="00973276" w:rsidP="00973276">
      <w:pPr>
        <w:pStyle w:val="CETHeading1"/>
      </w:pPr>
      <w:r>
        <w:t>Process description</w:t>
      </w:r>
    </w:p>
    <w:p w14:paraId="20110ABB" w14:textId="77777777" w:rsidR="00973276" w:rsidRPr="00CB3775" w:rsidRDefault="00973276" w:rsidP="00973276">
      <w:pPr>
        <w:pStyle w:val="CETheadingx"/>
      </w:pPr>
      <w:r>
        <w:t>Third generation biodiesel production</w:t>
      </w:r>
    </w:p>
    <w:p w14:paraId="48D55A36" w14:textId="77777777" w:rsidR="00973276" w:rsidRDefault="00973276" w:rsidP="00973276">
      <w:pPr>
        <w:pStyle w:val="CETBodytext"/>
      </w:pPr>
      <w:r>
        <w:t xml:space="preserve">The growth of </w:t>
      </w:r>
      <w:proofErr w:type="spellStart"/>
      <w:r w:rsidRPr="008C4A6B">
        <w:rPr>
          <w:i/>
          <w:iCs/>
        </w:rPr>
        <w:t>Nannochloropsis</w:t>
      </w:r>
      <w:proofErr w:type="spellEnd"/>
      <w:r w:rsidRPr="008C4A6B">
        <w:rPr>
          <w:i/>
          <w:iCs/>
        </w:rPr>
        <w:t xml:space="preserve"> oc.</w:t>
      </w:r>
      <w:r>
        <w:t xml:space="preserve"> is run in modules of photobioreactors (PBRs), each one consisting of parallel reactors for photosynthetic growth (PBR-</w:t>
      </w:r>
      <w:proofErr w:type="spellStart"/>
      <w:r>
        <w:t>ph</w:t>
      </w:r>
      <w:proofErr w:type="spellEnd"/>
      <w:r>
        <w:t xml:space="preserve">) in series with an equal number of heterotrophic ones (PBR-het). Solar power is collected by panels and concentrated in the PBR liquid volume while </w:t>
      </w:r>
      <w:r w:rsidRPr="008C4A6B">
        <w:t>CO</w:t>
      </w:r>
      <w:r w:rsidRPr="008C4A6B">
        <w:rPr>
          <w:vertAlign w:val="subscript"/>
        </w:rPr>
        <w:t>2</w:t>
      </w:r>
      <w:r w:rsidRPr="008C4A6B">
        <w:t xml:space="preserve"> is </w:t>
      </w:r>
      <w:r>
        <w:t xml:space="preserve">fed as 1.8 times the weight of the final dry biomass and is sent </w:t>
      </w:r>
      <w:r w:rsidRPr="008C4A6B">
        <w:t xml:space="preserve">at the bottom disperser of the </w:t>
      </w:r>
      <w:r>
        <w:t>PBRs</w:t>
      </w:r>
      <w:r w:rsidRPr="008C4A6B">
        <w:t xml:space="preserve"> to assure a gas partial pressure of at least 0.2 kPa even at the top of the </w:t>
      </w:r>
      <w:r>
        <w:t xml:space="preserve">equipment </w:t>
      </w:r>
      <w:r>
        <w:rPr>
          <w:rStyle w:val="Rimandonotaapidipagina"/>
        </w:rPr>
        <w:fldChar w:fldCharType="begin" w:fldLock="1"/>
      </w:r>
      <w:r>
        <w:instrText>ADDIN CSL_CITATION {"citationItems":[{"id":"ITEM-1","itemData":{"DOI":"10.1002/14356007.o16","ISBN":"3527306730, 9783527306732","ISSN":"0009-286X","PMID":"7000668","author":[{"dropping-particle":"","family":"Posten","given":"Clemens","non-dropping-particle":"","parse-names":false,"suffix":""},{"dropping-particle":"","family":"Rosello-Sastre","given":"Rosa","non-dropping-particle":"","parse-names":false,"suffix":""}],"container-title":"Ullmann's Encyclopedia of Industrial Chemistry","id":"ITEM-1","issued":{"date-parts":[["2012"]]},"page":"457-480","title":"Microalgae Reactors","type":"article-journal","volume":"22"},"uris":["http://www.mendeley.com/documents/?uuid=4d67817d-2e7f-48e8-abe2-49e4c2411088"]}],"mendeley":{"formattedCitation":"(Posten and Rosello-Sastre, 2012)","plainTextFormattedCitation":"(Posten and Rosello-Sastre, 2012)","previouslyFormattedCitation":"(Posten and Rosello-Sastre, 2012)"},"properties":{"noteIndex":0},"schema":"https://github.com/citation-style-language/schema/raw/master/csl-citation.json"}</w:instrText>
      </w:r>
      <w:r>
        <w:rPr>
          <w:rStyle w:val="Rimandonotaapidipagina"/>
        </w:rPr>
        <w:fldChar w:fldCharType="separate"/>
      </w:r>
      <w:r w:rsidRPr="003223E4">
        <w:rPr>
          <w:noProof/>
        </w:rPr>
        <w:t>(Posten and Rosello-Sastre, 2012)</w:t>
      </w:r>
      <w:r>
        <w:rPr>
          <w:rStyle w:val="Rimandonotaapidipagina"/>
        </w:rPr>
        <w:fldChar w:fldCharType="end"/>
      </w:r>
      <w:r>
        <w:t>.</w:t>
      </w:r>
      <w:r w:rsidRPr="008C4A6B">
        <w:t xml:space="preserve"> </w:t>
      </w:r>
      <w:r>
        <w:t>In the</w:t>
      </w:r>
      <w:r w:rsidRPr="008C4A6B">
        <w:t xml:space="preserve"> heterotrophic </w:t>
      </w:r>
      <w:r>
        <w:t xml:space="preserve">reactors nutrients are added (P, C, N) and specific stress factors, especially nitrogen starvation, are applied to the culture to promote triacyclglycerols’ biosynthesis </w:t>
      </w:r>
      <w:r>
        <w:rPr>
          <w:rStyle w:val="Rimandonotaapidipagina"/>
        </w:rPr>
        <w:fldChar w:fldCharType="begin" w:fldLock="1"/>
      </w:r>
      <w:r>
        <w:instrText>ADDIN CSL_CITATION {"citationItems":[{"id":"ITEM-1","itemData":{"DOI":"10.3390/md14040061","ISSN":"16603397","abstract":"Microalgae are sunlight-driven green cell factories for the production of potential bioactive products and biofuels. Nannochloropsis represents a genus of marine microalgae with high photosynthetic efficiency and can convert carbon dioxide to storage lipids mainly in the form of triacylglycerols and to the ω-3 long-chain polyunsaturated fatty acid eicosapentaenoic acid (EPA). Recently, Nannochloropsis has received ever-increasing interests of both research and public communities. This review aims to provide an overview of biology and biotechnological potential of Nannochloropsis, with the emphasis on lipid production. The path forward for the further exploration of Nannochloropsis for lipid production with respect to both challenges and opportunities is also discussed.","author":[{"dropping-particle":"","family":"Ma","given":"Xiao Nian","non-dropping-particle":"","parse-names":false,"suffix":""},{"dropping-particle":"","family":"Chen","given":"Tian Peng","non-dropping-particle":"","parse-names":false,"suffix":""},{"dropping-particle":"","family":"Yang","given":"Bo","non-dropping-particle":"","parse-names":false,"suffix":""},{"dropping-particle":"","family":"Liu","given":"Jin","non-dropping-particle":"","parse-names":false,"suffix":""},{"dropping-particle":"","family":"Chen","given":"Feng","non-dropping-particle":"","parse-names":false,"suffix":""}],"container-title":"Marine Drugs","id":"ITEM-1","issue":"4","issued":{"date-parts":[["2016"]]},"title":"Lipid production from Nannochloropsis","type":"article-journal","volume":"14"},"uris":["http://www.mendeley.com/documents/?uuid=2b4bbdb1-d6fe-4650-973b-5277b74636b4"]}],"mendeley":{"formattedCitation":"(Ma &lt;i&gt;et al.&lt;/i&gt;, 2016)","plainTextFormattedCitation":"(Ma et al., 2016)","previouslyFormattedCitation":"(Ma &lt;i&gt;et al.&lt;/i&gt;, 2016)"},"properties":{"noteIndex":0},"schema":"https://github.com/citation-style-language/schema/raw/master/csl-citation.json"}</w:instrText>
      </w:r>
      <w:r>
        <w:rPr>
          <w:rStyle w:val="Rimandonotaapidipagina"/>
        </w:rPr>
        <w:fldChar w:fldCharType="separate"/>
      </w:r>
      <w:r w:rsidRPr="003223E4">
        <w:rPr>
          <w:noProof/>
        </w:rPr>
        <w:t>(Ma</w:t>
      </w:r>
      <w:r w:rsidRPr="00F815BA">
        <w:rPr>
          <w:noProof/>
        </w:rPr>
        <w:t xml:space="preserve"> et al., </w:t>
      </w:r>
      <w:r w:rsidRPr="003223E4">
        <w:rPr>
          <w:noProof/>
        </w:rPr>
        <w:t>2016)</w:t>
      </w:r>
      <w:r>
        <w:rPr>
          <w:rStyle w:val="Rimandonotaapidipagina"/>
        </w:rPr>
        <w:fldChar w:fldCharType="end"/>
      </w:r>
      <w:r>
        <w:t xml:space="preserve">. </w:t>
      </w:r>
    </w:p>
    <w:p w14:paraId="3BF29EE3" w14:textId="77777777" w:rsidR="00973276" w:rsidRDefault="00973276" w:rsidP="00973276">
      <w:pPr>
        <w:pStyle w:val="CETCaption"/>
        <w:keepNext/>
      </w:pPr>
      <w:r>
        <w:rPr>
          <w:noProof/>
          <w:lang w:val="it-IT" w:eastAsia="it-IT"/>
        </w:rPr>
        <w:drawing>
          <wp:inline distT="0" distB="0" distL="0" distR="0" wp14:anchorId="30AA0025" wp14:editId="04D45001">
            <wp:extent cx="5234172" cy="2625726"/>
            <wp:effectExtent l="0" t="0" r="5080" b="317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1275" cy="2644339"/>
                    </a:xfrm>
                    <a:prstGeom prst="rect">
                      <a:avLst/>
                    </a:prstGeom>
                  </pic:spPr>
                </pic:pic>
              </a:graphicData>
            </a:graphic>
          </wp:inline>
        </w:drawing>
      </w:r>
    </w:p>
    <w:p w14:paraId="65C63910" w14:textId="77777777" w:rsidR="00973276" w:rsidRDefault="00973276" w:rsidP="00973276">
      <w:pPr>
        <w:pStyle w:val="CETCaption"/>
      </w:pPr>
      <w:bookmarkStart w:id="1" w:name="_Ref26116882"/>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1"/>
      <w:r>
        <w:t>. Scheme of the production process of 3</w:t>
      </w:r>
      <w:r w:rsidRPr="0017478F">
        <w:rPr>
          <w:vertAlign w:val="superscript"/>
        </w:rPr>
        <w:t>rd</w:t>
      </w:r>
      <w:r>
        <w:t xml:space="preserve"> generation biodiesel from microalgae.</w:t>
      </w:r>
    </w:p>
    <w:p w14:paraId="00880969" w14:textId="77777777" w:rsidR="00973276" w:rsidRDefault="00973276" w:rsidP="00973276">
      <w:pPr>
        <w:pStyle w:val="CETBodytext"/>
        <w:rPr>
          <w:noProof/>
        </w:rPr>
      </w:pPr>
      <w:r>
        <w:t xml:space="preserve">Water is removed from biomass through microfiltration and drying: the former step increases biomass concentration from 1g/L to 150 g/L </w:t>
      </w:r>
      <w:r>
        <w:tab/>
        <w:t>with a unitary recovery efficiency and requires 6,000 kJ per m</w:t>
      </w:r>
      <w:r w:rsidRPr="00527D63">
        <w:rPr>
          <w:vertAlign w:val="superscript"/>
        </w:rPr>
        <w:t>3</w:t>
      </w:r>
      <w:r>
        <w:t xml:space="preserve"> processed for both liquid pumping and membrane cleaning; the latter operation accomplish the thickening step which is run on rotating drums dryers which produce biomass with 65 w/w % of moisture. Then reactive wet extraction (RWE) is performed: it employs 15 L of solvent and 1.5 L of sulfuric acid per kg of wet biomass, with the solvent being a mixture 2:1 of chloroform and methanol. This one-pot operation has a </w:t>
      </w:r>
      <w:r w:rsidRPr="00D321D5">
        <w:t>biodiesel yield of 91</w:t>
      </w:r>
      <w:r>
        <w:t xml:space="preserve"> </w:t>
      </w:r>
      <w:r w:rsidRPr="00D321D5">
        <w:t>% over</w:t>
      </w:r>
      <w:r>
        <w:t xml:space="preserve"> triglycerides’ content and is run at 95 °C, so that the reactor needs to be controlled in temperature </w:t>
      </w:r>
      <w:r>
        <w:rPr>
          <w:rStyle w:val="Rimandonotaapidipagina"/>
        </w:rPr>
        <w:fldChar w:fldCharType="begin" w:fldLock="1"/>
      </w:r>
      <w:r>
        <w:instrText>ADDIN CSL_CITATION {"citationItems":[{"id":"ITEM-1","itemData":{"DOI":"10.1016/j.biortech.2013.11.023","ISSN":"18732976","abstract":"This work addresses a reliable in situ transesterification process which integrates lipid extraction from wet microalgae, and its conversion to biodiesel, with a yield higher than 90. wt.%. This process enables single-step production of biodiesel from microalgae by mixing wet microalgal cells with solvent, methanol, and acid catalyst; and then heating them in one pot. The effects of reaction parameters such as reaction temperature, wet cell weight, reaction time, and catalyst volume on the conversion yield are investigated. This simultaneous extraction and transesterification of wet microalgae may enable a significant reduction in energy consumption by eliminating the drying process of algal cells and realize the economic production of biodiesel using wet microalgae. © 2013 Elsevier Ltd.","author":[{"dropping-particle":"","family":"Im","given":"Han Jin","non-dropping-particle":"","parse-names":false,"suffix":""},{"dropping-particle":"","family":"Lee","given":"Han Sol","non-dropping-particle":"","parse-names":false,"suffix":""},{"dropping-particle":"","family":"Park","given":"Min S.","non-dropping-particle":"","parse-names":false,"suffix":""},{"dropping-particle":"","family":"Yang","given":"Ji Won","non-dropping-particle":"","parse-names":false,"suffix":""},{"dropping-particle":"","family":"Lee","given":"Jae W.","non-dropping-particle":"","parse-names":false,"suffix":""}],"container-title":"Bioresource Technology","id":"ITEM-1","issued":{"date-parts":[["2014"]]},"page":"534-537","publisher":"Elsevier Ltd","title":"Concurrent extraction and reaction for the production of biodiesel from wet microalgae","type":"article-journal","volume":"152"},"uris":["http://www.mendeley.com/documents/?uuid=9f9d93b4-8d10-45eb-8ec4-4a05f53a8a0a"]}],"mendeley":{"formattedCitation":"(Im &lt;i&gt;et al.&lt;/i&gt;, 2014)","plainTextFormattedCitation":"(Im et al., 2014)","previouslyFormattedCitation":"(Im &lt;i&gt;et al.&lt;/i&gt;, 2014)"},"properties":{"noteIndex":0},"schema":"https://github.com/citation-style-language/schema/raw/master/csl-citation.json"}</w:instrText>
      </w:r>
      <w:r>
        <w:rPr>
          <w:rStyle w:val="Rimandonotaapidipagina"/>
        </w:rPr>
        <w:fldChar w:fldCharType="separate"/>
      </w:r>
      <w:r w:rsidRPr="003223E4">
        <w:rPr>
          <w:noProof/>
        </w:rPr>
        <w:t>(Im</w:t>
      </w:r>
      <w:r w:rsidRPr="00F815BA">
        <w:rPr>
          <w:noProof/>
        </w:rPr>
        <w:t xml:space="preserve"> et al., </w:t>
      </w:r>
      <w:r w:rsidRPr="003223E4">
        <w:rPr>
          <w:noProof/>
        </w:rPr>
        <w:t>2014)</w:t>
      </w:r>
      <w:r>
        <w:rPr>
          <w:rStyle w:val="Rimandonotaapidipagina"/>
        </w:rPr>
        <w:fldChar w:fldCharType="end"/>
      </w:r>
      <w:r>
        <w:t xml:space="preserve">. The acid catalyst is neutralized in a CSTR with NaOH in stoichiometric ratio and is left to settle down for 1 h; the obtained oleic phase is sent to an evaporator to remove the remaining chloroform before final washing. This refining step is performed with distilled water at 50 °C amounting for three-times the oil mass and has a yield of 84 %. </w:t>
      </w:r>
      <w:r>
        <w:rPr>
          <w:rStyle w:val="Rimandonotaapidipagina"/>
        </w:rPr>
        <w:fldChar w:fldCharType="begin" w:fldLock="1"/>
      </w:r>
      <w:r>
        <w:instrText>ADDIN CSL_CITATION {"citationItems":[{"id":"ITEM-1","itemData":{"DOI":"10.1021/ef9502214","ISSN":"08870624","abstract":"The ester product of the vegetable oil-alcohol transesterification reaction (biodiesel) is the best and the most popular diesel fuel alternative. The refining of the transesterification reaction products is technically difficult and brings an extra cost. Also, the purity level of the biodiesel must conform to European Union standards for alternative diesel fuels. The target of this study was to investigate the refining of the product mixture obtained by the transesterification reaction (with an alkali catalyst) of neutralized rapeseed oil (extracted from the seeds of the rape plant cultivated in the Thrace region of Turkey) with methanol. To obtain pure biodiesel conformable to the standards, methods of washing with hot distilled water, dissolving in petroleum ether and then washing with distilled water, and neutralization with H2SO4 (1:1) were tested in the refining step. Washing with hot distilled water at 50 °C was chosen as the best refining process. The purity of the biodiesel obtained was about 99%. * Author to whom correspondence should be addressed.","author":[{"dropping-particle":"","family":"Karaosmanoǧlu","given":"Filiz","non-dropping-particle":"","parse-names":false,"suffix":""},{"dropping-particle":"","family":"Ciǧizoǧlu","given":"K. Bariş","non-dropping-particle":"","parse-names":false,"suffix":""},{"dropping-particle":"","family":"Tüter","given":"Melek","non-dropping-particle":"","parse-names":false,"suffix":""},{"dropping-particle":"","family":"Ertekin","given":"Serap","non-dropping-particle":"","parse-names":false,"suffix":""}],"container-title":"Energy and Fuels","id":"ITEM-1","issue":"4","issued":{"date-parts":[["1996"]]},"page":"890-895","title":"Investigation of the refining step of biodiesel production","type":"article-journal","volume":"10"},"uris":["http://www.mendeley.com/documents/?uuid=7818df1e-746d-4971-ac07-5aeca9d97767"]}],"mendeley":{"formattedCitation":"(Karaosmanoǧlu &lt;i&gt;et al.&lt;/i&gt;, 1996)","plainTextFormattedCitation":"(Karaosmanoǧlu et al., 1996)","previouslyFormattedCitation":"(Karaosmanoǧlu &lt;i&gt;et al.&lt;/i&gt;, 1996)"},"properties":{"noteIndex":0},"schema":"https://github.com/citation-style-language/schema/raw/master/csl-citation.json"}</w:instrText>
      </w:r>
      <w:r>
        <w:rPr>
          <w:rStyle w:val="Rimandonotaapidipagina"/>
        </w:rPr>
        <w:fldChar w:fldCharType="separate"/>
      </w:r>
      <w:r w:rsidRPr="003223E4">
        <w:rPr>
          <w:bCs/>
          <w:noProof/>
        </w:rPr>
        <w:t xml:space="preserve">(Karaosmanoǧlu </w:t>
      </w:r>
      <w:r w:rsidRPr="00F815BA">
        <w:rPr>
          <w:bCs/>
          <w:iCs/>
          <w:noProof/>
        </w:rPr>
        <w:t xml:space="preserve">et al., </w:t>
      </w:r>
      <w:r w:rsidRPr="003223E4">
        <w:rPr>
          <w:bCs/>
          <w:noProof/>
        </w:rPr>
        <w:t>1996)</w:t>
      </w:r>
      <w:r>
        <w:rPr>
          <w:rStyle w:val="Rimandonotaapidipagina"/>
        </w:rPr>
        <w:fldChar w:fldCharType="end"/>
      </w:r>
      <w:r w:rsidRPr="00B329E2">
        <w:t>.</w:t>
      </w:r>
    </w:p>
    <w:p w14:paraId="7DDDB883" w14:textId="77777777" w:rsidR="00973276" w:rsidRDefault="00973276" w:rsidP="00973276">
      <w:pPr>
        <w:pStyle w:val="CETheadingx"/>
        <w:numPr>
          <w:ilvl w:val="2"/>
          <w:numId w:val="22"/>
        </w:numPr>
      </w:pPr>
      <w:r>
        <w:lastRenderedPageBreak/>
        <w:t>Catalytic hydrogenation of CO</w:t>
      </w:r>
      <w:r>
        <w:rPr>
          <w:vertAlign w:val="subscript"/>
        </w:rPr>
        <w:t>2</w:t>
      </w:r>
      <w:r>
        <w:t xml:space="preserve"> to methanol</w:t>
      </w:r>
    </w:p>
    <w:p w14:paraId="3DFC82B6" w14:textId="77777777" w:rsidR="00973276" w:rsidRDefault="00973276" w:rsidP="00973276">
      <w:pPr>
        <w:pStyle w:val="CETBodytext"/>
      </w:pPr>
      <w:r>
        <w:fldChar w:fldCharType="begin"/>
      </w:r>
      <w:r>
        <w:instrText xml:space="preserve"> REF _Ref25971372 \h </w:instrText>
      </w:r>
      <w:r>
        <w:fldChar w:fldCharType="separate"/>
      </w:r>
      <w:r>
        <w:t xml:space="preserve">Figure </w:t>
      </w:r>
      <w:r>
        <w:rPr>
          <w:noProof/>
        </w:rPr>
        <w:t>2</w:t>
      </w:r>
      <w:r>
        <w:fldChar w:fldCharType="end"/>
      </w:r>
      <w:r w:rsidRPr="0014629D">
        <w:t xml:space="preserve"> </w:t>
      </w:r>
      <w:r>
        <w:t xml:space="preserve">shows the scheme considered for </w:t>
      </w:r>
      <w:r w:rsidRPr="0014629D">
        <w:t xml:space="preserve">methanol </w:t>
      </w:r>
      <w:r>
        <w:t>production:</w:t>
      </w:r>
      <w:r w:rsidRPr="0014629D">
        <w:t xml:space="preserve"> the catalytic hydrogenation of CO</w:t>
      </w:r>
      <w:r w:rsidRPr="0014629D">
        <w:rPr>
          <w:vertAlign w:val="subscript"/>
        </w:rPr>
        <w:t>2</w:t>
      </w:r>
      <w:r w:rsidRPr="0014629D">
        <w:t xml:space="preserve"> to methan</w:t>
      </w:r>
      <w:r>
        <w:t>ol is run in a low-pressure iso</w:t>
      </w:r>
      <w:r w:rsidRPr="0014629D">
        <w:t xml:space="preserve">thermal </w:t>
      </w:r>
      <w:r>
        <w:t xml:space="preserve">packed </w:t>
      </w:r>
      <w:r w:rsidRPr="0014629D">
        <w:t xml:space="preserve">reactor </w:t>
      </w:r>
      <w:r>
        <w:t xml:space="preserve">operating </w:t>
      </w:r>
      <w:r w:rsidRPr="0014629D">
        <w:t>at T</w:t>
      </w:r>
      <w:r>
        <w:t xml:space="preserve"> </w:t>
      </w:r>
      <w:r w:rsidRPr="0014629D">
        <w:t>=</w:t>
      </w:r>
      <w:r>
        <w:t xml:space="preserve"> </w:t>
      </w:r>
      <w:r w:rsidRPr="0014629D">
        <w:t>235</w:t>
      </w:r>
      <w:r>
        <w:t xml:space="preserve"> </w:t>
      </w:r>
      <w:r w:rsidRPr="0014629D">
        <w:t>°C and P</w:t>
      </w:r>
      <w:r>
        <w:t xml:space="preserve"> </w:t>
      </w:r>
      <w:r w:rsidRPr="0014629D">
        <w:t>=</w:t>
      </w:r>
      <w:r>
        <w:t xml:space="preserve"> </w:t>
      </w:r>
      <w:r w:rsidRPr="0014629D">
        <w:t>50</w:t>
      </w:r>
      <w:r>
        <w:t xml:space="preserve"> bar, whose energetic duty is completely solar-based </w:t>
      </w:r>
      <w:r>
        <w:rPr>
          <w:rStyle w:val="Rimandonotaapidipagina"/>
        </w:rPr>
        <w:fldChar w:fldCharType="begin" w:fldLock="1"/>
      </w:r>
      <w:r>
        <w:instrText>ADDIN CSL_CITATION {"citationItems":[{"id":"ITEM-1","itemData":{"DOI":"10.1016/j.energy.2015.09.043","author":[{"dropping-particle":"","family":"Matzen","given":"Michael","non-dropping-particle":"","parse-names":false,"suffix":""},{"dropping-particle":"","family":"Alhajji","given":"Mahdi","non-dropping-particle":"","parse-names":false,"suffix":""},{"dropping-particle":"","family":"Demirel","given":"Yasar","non-dropping-particle":"","parse-names":false,"suffix":""}],"container-title":"Energy","id":"ITEM-1","issued":{"date-parts":[["2015"]]},"page":"343-353","title":"Chemical storage of wind energy by renewable methanol production : Feasibility analysis using a multi-criteria decision matrix","type":"article-journal","volume":"93"},"uris":["http://www.mendeley.com/documents/?uuid=0e845075-b40d-475b-b6c0-2f4dd27b2112"]}],"mendeley":{"formattedCitation":"(Matzen, Alhajji and Demirel, 2015)","manualFormatting":"(Matzen et al., 2015)","plainTextFormattedCitation":"(Matzen, Alhajji and Demirel, 2015)","previouslyFormattedCitation":"(Matzen, Alhajji and Demirel, 2015)"},"properties":{"noteIndex":0},"schema":"https://github.com/citation-style-language/schema/raw/master/csl-citation.json"}</w:instrText>
      </w:r>
      <w:r>
        <w:rPr>
          <w:rStyle w:val="Rimandonotaapidipagina"/>
        </w:rPr>
        <w:fldChar w:fldCharType="separate"/>
      </w:r>
      <w:r>
        <w:rPr>
          <w:noProof/>
        </w:rPr>
        <w:t xml:space="preserve">(Matzen </w:t>
      </w:r>
      <w:r w:rsidRPr="00F815BA">
        <w:rPr>
          <w:noProof/>
        </w:rPr>
        <w:t>et al.,</w:t>
      </w:r>
      <w:r>
        <w:rPr>
          <w:noProof/>
        </w:rPr>
        <w:t xml:space="preserve"> 2015)</w:t>
      </w:r>
      <w:r>
        <w:rPr>
          <w:rStyle w:val="Rimandonotaapidipagina"/>
        </w:rPr>
        <w:fldChar w:fldCharType="end"/>
      </w:r>
      <w:r>
        <w:t xml:space="preserve">. The </w:t>
      </w:r>
      <w:r w:rsidRPr="00161C79">
        <w:t xml:space="preserve">catalyst </w:t>
      </w:r>
      <w:r>
        <w:t xml:space="preserve">used is </w:t>
      </w:r>
      <w:r w:rsidRPr="00161C79">
        <w:t>Cu/</w:t>
      </w:r>
      <w:proofErr w:type="spellStart"/>
      <w:r w:rsidRPr="00161C79">
        <w:t>ZnO</w:t>
      </w:r>
      <w:proofErr w:type="spellEnd"/>
      <w:r w:rsidRPr="00161C79">
        <w:t>/Al</w:t>
      </w:r>
      <w:r w:rsidRPr="00161C79">
        <w:rPr>
          <w:vertAlign w:val="subscript"/>
        </w:rPr>
        <w:t>2</w:t>
      </w:r>
      <w:r w:rsidRPr="00161C79">
        <w:t>O</w:t>
      </w:r>
      <w:r w:rsidRPr="00161C79">
        <w:rPr>
          <w:vertAlign w:val="subscript"/>
        </w:rPr>
        <w:t>3</w:t>
      </w:r>
      <w:r>
        <w:t xml:space="preserve"> and the optimized H</w:t>
      </w:r>
      <w:r w:rsidRPr="00161C79">
        <w:rPr>
          <w:vertAlign w:val="subscript"/>
        </w:rPr>
        <w:t>2</w:t>
      </w:r>
      <w:r>
        <w:t>/CO</w:t>
      </w:r>
      <w:r w:rsidRPr="00161C79">
        <w:rPr>
          <w:vertAlign w:val="subscript"/>
        </w:rPr>
        <w:t>2</w:t>
      </w:r>
      <w:r>
        <w:t xml:space="preserve"> ratio at the reactor inlet is 2.8, thus achieving a CO</w:t>
      </w:r>
      <w:r w:rsidRPr="00900CC0">
        <w:rPr>
          <w:vertAlign w:val="subscript"/>
        </w:rPr>
        <w:t>2</w:t>
      </w:r>
      <w:r>
        <w:t xml:space="preserve"> </w:t>
      </w:r>
      <w:r w:rsidRPr="0014629D">
        <w:t xml:space="preserve">pass conversion </w:t>
      </w:r>
      <w:r>
        <w:t xml:space="preserve">of </w:t>
      </w:r>
      <w:r w:rsidRPr="0014629D">
        <w:t>47</w:t>
      </w:r>
      <w:r>
        <w:t xml:space="preserve"> </w:t>
      </w:r>
      <w:r w:rsidRPr="0014629D">
        <w:t>%</w:t>
      </w:r>
      <w:r>
        <w:t xml:space="preserve"> with 99.7 % methanol selectivity</w:t>
      </w:r>
      <w:r w:rsidRPr="0014629D">
        <w:t>.</w:t>
      </w:r>
      <w:r>
        <w:t xml:space="preserve"> </w:t>
      </w:r>
      <w:r w:rsidRPr="00E835BA">
        <w:t>In the upstream section</w:t>
      </w:r>
      <w:r>
        <w:t>,</w:t>
      </w:r>
      <w:r w:rsidRPr="00E835BA">
        <w:t xml:space="preserve"> H</w:t>
      </w:r>
      <w:r w:rsidRPr="00E835BA">
        <w:rPr>
          <w:vertAlign w:val="subscript"/>
        </w:rPr>
        <w:t>2</w:t>
      </w:r>
      <w:r w:rsidRPr="00E835BA">
        <w:t xml:space="preserve"> and CO</w:t>
      </w:r>
      <w:r w:rsidRPr="00E835BA">
        <w:rPr>
          <w:vertAlign w:val="subscript"/>
        </w:rPr>
        <w:t>2</w:t>
      </w:r>
      <w:r w:rsidRPr="00E835BA">
        <w:t xml:space="preserve"> are pressurized up to 50 bar</w:t>
      </w:r>
      <w:r>
        <w:t xml:space="preserve">, </w:t>
      </w:r>
      <w:r w:rsidRPr="00883E2F">
        <w:t>mixed</w:t>
      </w:r>
      <w:r>
        <w:t xml:space="preserve"> and</w:t>
      </w:r>
      <w:r w:rsidRPr="00883E2F">
        <w:t xml:space="preserve"> pre-heat</w:t>
      </w:r>
      <w:r>
        <w:t>ed</w:t>
      </w:r>
      <w:r w:rsidRPr="00883E2F">
        <w:t xml:space="preserve"> to gain the reactor temperature</w:t>
      </w:r>
      <w:r>
        <w:t xml:space="preserve">. </w:t>
      </w:r>
      <w:r w:rsidRPr="00883E2F">
        <w:t>In the downstream section</w:t>
      </w:r>
      <w:r>
        <w:t>,</w:t>
      </w:r>
      <w:r w:rsidRPr="00883E2F">
        <w:t xml:space="preserve"> the process stream</w:t>
      </w:r>
      <w:r>
        <w:t xml:space="preserve"> is cooled to ambient temperature in two steps in which methanol’s and water’s condensation occur </w:t>
      </w:r>
      <w:r>
        <w:rPr>
          <w:rStyle w:val="Rimandonotaapidipagina"/>
        </w:rPr>
        <w:fldChar w:fldCharType="begin" w:fldLock="1"/>
      </w:r>
      <w:r>
        <w:instrText>ADDIN CSL_CITATION {"citationItems":[{"id":"ITEM-1","itemData":{"DOI":"10.1016/j.energy.2015.09.043","author":[{"dropping-particle":"","family":"Matzen","given":"Michael","non-dropping-particle":"","parse-names":false,"suffix":""},{"dropping-particle":"","family":"Alhajji","given":"Mahdi","non-dropping-particle":"","parse-names":false,"suffix":""},{"dropping-particle":"","family":"Demirel","given":"Yasar","non-dropping-particle":"","parse-names":false,"suffix":""}],"container-title":"Energy","id":"ITEM-1","issued":{"date-parts":[["2015"]]},"page":"343-353","title":"Chemical storage of wind energy by renewable methanol production : Feasibility analysis using a multi-criteria decision matrix","type":"article-journal","volume":"93"},"uris":["http://www.mendeley.com/documents/?uuid=0e845075-b40d-475b-b6c0-2f4dd27b2112"]}],"mendeley":{"formattedCitation":"(Matzen, Alhajji and Demirel, 2015)","manualFormatting":"(Matzen et al., 2015)","plainTextFormattedCitation":"(Matzen, Alhajji and Demirel, 2015)","previouslyFormattedCitation":"(Matzen, Alhajji and Demirel, 2015)"},"properties":{"noteIndex":0},"schema":"https://github.com/citation-style-language/schema/raw/master/csl-citation.json"}</w:instrText>
      </w:r>
      <w:r>
        <w:rPr>
          <w:rStyle w:val="Rimandonotaapidipagina"/>
        </w:rPr>
        <w:fldChar w:fldCharType="separate"/>
      </w:r>
      <w:r w:rsidRPr="003223E4">
        <w:rPr>
          <w:noProof/>
        </w:rPr>
        <w:t>(Matzen</w:t>
      </w:r>
      <w:r>
        <w:rPr>
          <w:noProof/>
        </w:rPr>
        <w:t xml:space="preserve"> </w:t>
      </w:r>
      <w:r w:rsidRPr="00F815BA">
        <w:rPr>
          <w:noProof/>
        </w:rPr>
        <w:t>et al.,</w:t>
      </w:r>
      <w:r w:rsidRPr="003223E4">
        <w:rPr>
          <w:noProof/>
        </w:rPr>
        <w:t xml:space="preserve"> 2015)</w:t>
      </w:r>
      <w:r>
        <w:rPr>
          <w:rStyle w:val="Rimandonotaapidipagina"/>
        </w:rPr>
        <w:fldChar w:fldCharType="end"/>
      </w:r>
      <w:r>
        <w:t>. H</w:t>
      </w:r>
      <w:r w:rsidRPr="00A53CF2">
        <w:rPr>
          <w:vertAlign w:val="subscript"/>
        </w:rPr>
        <w:t>2</w:t>
      </w:r>
      <w:r>
        <w:t xml:space="preserve"> and CO</w:t>
      </w:r>
      <w:r w:rsidRPr="00A53CF2">
        <w:rPr>
          <w:vertAlign w:val="subscript"/>
        </w:rPr>
        <w:t>2</w:t>
      </w:r>
      <w:r>
        <w:rPr>
          <w:vertAlign w:val="subscript"/>
        </w:rPr>
        <w:t xml:space="preserve"> </w:t>
      </w:r>
      <w:r>
        <w:t xml:space="preserve">present in the vapor phase are recycled back to the reactor, whereas the liquid phase is expanded to ambient pressure gradually and sent to the distillation column for final water separation. </w:t>
      </w:r>
    </w:p>
    <w:p w14:paraId="1B2F4E92" w14:textId="77777777" w:rsidR="00973276" w:rsidRDefault="00973276" w:rsidP="00973276">
      <w:pPr>
        <w:pStyle w:val="CETBodytext"/>
        <w:keepNext/>
        <w:jc w:val="left"/>
      </w:pPr>
      <w:r w:rsidRPr="00724689">
        <w:rPr>
          <w:noProof/>
        </w:rPr>
        <w:t xml:space="preserve"> </w:t>
      </w:r>
      <w:r>
        <w:rPr>
          <w:noProof/>
          <w:lang w:val="it-IT" w:eastAsia="it-IT"/>
        </w:rPr>
        <w:drawing>
          <wp:inline distT="0" distB="0" distL="0" distR="0" wp14:anchorId="600DF18E" wp14:editId="4B878199">
            <wp:extent cx="4876800" cy="2362087"/>
            <wp:effectExtent l="0" t="0" r="0" b="63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00973" cy="2373795"/>
                    </a:xfrm>
                    <a:prstGeom prst="rect">
                      <a:avLst/>
                    </a:prstGeom>
                  </pic:spPr>
                </pic:pic>
              </a:graphicData>
            </a:graphic>
          </wp:inline>
        </w:drawing>
      </w:r>
    </w:p>
    <w:p w14:paraId="00E5F156" w14:textId="77777777" w:rsidR="00973276" w:rsidRPr="00990D45" w:rsidRDefault="00973276" w:rsidP="00973276">
      <w:pPr>
        <w:pStyle w:val="CETCaption"/>
        <w:jc w:val="left"/>
        <w:rPr>
          <w:color w:val="1F497D" w:themeColor="text2"/>
        </w:rPr>
      </w:pPr>
      <w:bookmarkStart w:id="2" w:name="_Ref25971372"/>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2"/>
      <w:r>
        <w:t xml:space="preserve">. Process scheme for the methanol plant (according to </w:t>
      </w:r>
      <w:r>
        <w:rPr>
          <w:rStyle w:val="Rimandonotaapidipagina"/>
        </w:rPr>
        <w:fldChar w:fldCharType="begin" w:fldLock="1"/>
      </w:r>
      <w:r>
        <w:rPr>
          <w:i w:val="0"/>
        </w:rPr>
        <w:instrText>ADDIN CSL_CITATION {"citationItems":[{"id":"ITEM-1","itemData":{"DOI":"10.1016/j.energy.2015.09.043","author":[{"dropping-particle":"","family":"Matzen","given":"Michael","non-dropping-particle":"","parse-names":false,"suffix":""},{"dropping-particle":"","family":"Alhajji","given":"Mahdi","non-dropping-particle":"","parse-names":false,"suffix":""},{"dropping-particle":"","family":"Demirel","given":"Yasar","non-dropping-particle":"","parse-names":false,"suffix":""}],"container-title":"Energy","id":"ITEM-1","issued":{"date-parts":[["2015"]]},"page":"343-353","title":"Chemical storage of wind energy by renewable methanol production : Feasibility analysis using a multi-criteria decision matrix","type":"article-journal","volume":"93"},"uris":["http://www.mendeley.com/documents/?uuid=0e845075-b40d-475b-b6c0-2f4dd27b2112"]}],"mendeley":{"formattedCitation":"(Matzen, Alhajji and Demirel, 2015)","manualFormatting":"Matzen et al., 2015","plainTextFormattedCitation":"(Matzen, Alhajji and Demirel, 2015)","previouslyFormattedCitation":"(Matzen, Alhajji and Demirel, 2015)"},"properties":{"noteIndex":0},"schema":"https://github.com/citation-style-language/schema/raw/master/csl-citation.json"}</w:instrText>
      </w:r>
      <w:r>
        <w:rPr>
          <w:rStyle w:val="Rimandonotaapidipagina"/>
        </w:rPr>
        <w:fldChar w:fldCharType="separate"/>
      </w:r>
      <w:r>
        <w:rPr>
          <w:noProof/>
        </w:rPr>
        <w:t>Matzen et al., 2015</w:t>
      </w:r>
      <w:r>
        <w:rPr>
          <w:rStyle w:val="Rimandonotaapidipagina"/>
        </w:rPr>
        <w:fldChar w:fldCharType="end"/>
      </w:r>
      <w:r>
        <w:t>).</w:t>
      </w:r>
    </w:p>
    <w:p w14:paraId="10682FDC" w14:textId="77777777" w:rsidR="00973276" w:rsidRDefault="00973276" w:rsidP="00973276">
      <w:pPr>
        <w:pStyle w:val="CETHeading1"/>
        <w:tabs>
          <w:tab w:val="clear" w:pos="360"/>
          <w:tab w:val="right" w:pos="7100"/>
        </w:tabs>
        <w:jc w:val="both"/>
        <w:rPr>
          <w:lang w:val="en-GB"/>
        </w:rPr>
      </w:pPr>
      <w:r>
        <w:rPr>
          <w:lang w:val="en-GB"/>
        </w:rPr>
        <w:t xml:space="preserve">Methodology </w:t>
      </w:r>
    </w:p>
    <w:p w14:paraId="0800C692" w14:textId="77777777" w:rsidR="00973276" w:rsidRDefault="00973276" w:rsidP="00973276">
      <w:pPr>
        <w:pStyle w:val="CETListbullets"/>
        <w:ind w:left="0" w:firstLine="0"/>
      </w:pPr>
      <w:r>
        <w:t xml:space="preserve">As a first step, the plants’ productivity was established (500 t/y) and material balances were consequently adapted. Basic design of equipment was performed in order to determine the equipment hold-ups in each node and identify the inventories of the hazardous materials present in the considered processes. </w:t>
      </w:r>
    </w:p>
    <w:p w14:paraId="2CC9AB31" w14:textId="6EA32C3A" w:rsidR="00973276" w:rsidRDefault="00973276" w:rsidP="00973276">
      <w:pPr>
        <w:pStyle w:val="CETListbullets"/>
        <w:ind w:left="0" w:firstLine="0"/>
      </w:pPr>
      <w:r>
        <w:t xml:space="preserve">Secondly, the releases of the dangerous masses from the vessels were simulated with PHAST V6.4 according to five modes of loss of containment (LOCs): catastrophic rupture and leaks from 10 mm bore and 100 mm bore, the latter both in vapour and liquid phase </w:t>
      </w:r>
      <w:r>
        <w:fldChar w:fldCharType="begin" w:fldLock="1"/>
      </w:r>
      <w:r>
        <w:instrText>ADDIN CSL_CITATION {"citationItems":[{"id":"ITEM-1","itemData":{"DOI":"10.1002/aic","author":[{"dropping-particle":"","family":"Tugnoli","given":"Alessandro","non-dropping-particle":"","parse-names":false,"suffix":""},{"dropping-particle":"","family":"Cozzani","given":"Valerio","non-dropping-particle":"","parse-names":false,"suffix":""},{"dropping-particle":"","family":"Landucci","given":"Gabriele","non-dropping-particle":"","parse-names":false,"suffix":""}],"container-title":"A.I. Chemical Engineering Journal","id":"ITEM-1","issue":"12","issued":{"date-parts":[["2007"]]},"page":"3171-3182","title":"A Consequence Based Approach to the Quantitative Assessment of Inherent Safety","type":"article-journal","volume":"53"},"uris":["http://www.mendeley.com/documents/?uuid=00d263c9-5e05-4171-8e97-f0c7082fa281"]}],"mendeley":{"formattedCitation":"(Tugnoli, Cozzani and Landucci, 2007)","manualFormatting":"(Tugnoli et al., 2007)","plainTextFormattedCitation":"(Tugnoli, Cozzani and Landucci, 2007)","previouslyFormattedCitation":"(Tugnoli, Cozzani and Landucci, 2007)"},"properties":{"noteIndex":0},"schema":"https://github.com/citation-style-language/schema/raw/master/csl-citation.json"}</w:instrText>
      </w:r>
      <w:r>
        <w:fldChar w:fldCharType="separate"/>
      </w:r>
      <w:r w:rsidRPr="00E332B5">
        <w:rPr>
          <w:noProof/>
        </w:rPr>
        <w:t>(Tugnoli</w:t>
      </w:r>
      <w:r>
        <w:rPr>
          <w:noProof/>
        </w:rPr>
        <w:t xml:space="preserve"> </w:t>
      </w:r>
      <w:r w:rsidRPr="00F815BA">
        <w:rPr>
          <w:noProof/>
        </w:rPr>
        <w:t>et al.</w:t>
      </w:r>
      <w:r w:rsidRPr="00E332B5">
        <w:rPr>
          <w:noProof/>
        </w:rPr>
        <w:t>, 2007)</w:t>
      </w:r>
      <w:r>
        <w:fldChar w:fldCharType="end"/>
      </w:r>
      <w:r>
        <w:t>. In a conservative approach, the release of the mass of each hazardous material was simulated alone, thus neglecting the mixture interactions of compounds; moreover, inventories smaller than 1 kg were simulated with the mass of 1 kg</w:t>
      </w:r>
      <w:r w:rsidRPr="00AA2402">
        <w:t>. The most conservative environmental conditions were assumed for the running of the dispersion models (average wind speed of 1,5 m/s,</w:t>
      </w:r>
      <w:r w:rsidRPr="00E31DDB">
        <w:t xml:space="preserve"> </w:t>
      </w:r>
      <w:proofErr w:type="spellStart"/>
      <w:r w:rsidRPr="00E31DDB">
        <w:t>Pasquill</w:t>
      </w:r>
      <w:proofErr w:type="spellEnd"/>
      <w:r w:rsidRPr="00E31DDB">
        <w:t xml:space="preserve"> category F (night time), air temperature of 20</w:t>
      </w:r>
      <w:r>
        <w:t xml:space="preserve"> </w:t>
      </w:r>
      <w:r w:rsidRPr="00E31DDB">
        <w:t>°C (70</w:t>
      </w:r>
      <w:r>
        <w:t xml:space="preserve"> </w:t>
      </w:r>
      <w:r w:rsidRPr="00E31DDB">
        <w:t xml:space="preserve">% </w:t>
      </w:r>
      <w:r>
        <w:t xml:space="preserve">of </w:t>
      </w:r>
      <w:r w:rsidRPr="00E31DDB">
        <w:t>relative humidity), surface temperature of 20</w:t>
      </w:r>
      <w:r>
        <w:t xml:space="preserve"> </w:t>
      </w:r>
      <w:r w:rsidRPr="00E31DDB">
        <w:t>°C</w:t>
      </w:r>
      <w:r>
        <w:t xml:space="preserve">) </w:t>
      </w:r>
      <w:r>
        <w:fldChar w:fldCharType="begin" w:fldLock="1"/>
      </w:r>
      <w:r>
        <w:instrText>ADDIN CSL_CITATION {"citationItems":[{"id":"ITEM-1","itemData":{"DOI":"10.1002/aic","ISSN":"0001-1541","author":[{"dropping-particle":"","family":"Scarponi","given":"Giordano Emrys","non-dropping-particle":"","parse-names":false,"suffix":""},{"dropping-particle":"","family":"Guglielmi","given":"Daniele","non-dropping-particle":"","parse-names":false,"suffix":""},{"dropping-particle":"","family":"Casson Moreno","given":"Valeria","non-dropping-particle":"","parse-names":false,"suffix":""},{"dropping-particle":"","family":"Cozzani","given":"Valerio","non-dropping-particle":"","parse-names":false,"suffix":""}],"container-title":"AICHE Journal","id":"ITEM-1","issue":"3","issued":{"date-parts":[["2015"]]},"page":"857-866","title":"Assessment of Inherently Safer Alternatives in Biogas Production and Upgrading","type":"article-journal","volume":"61"},"uris":["http://www.mendeley.com/documents/?uuid=55038f5d-0809-4aaf-82a8-6b55c115b061"]}],"mendeley":{"formattedCitation":"(Scarponi &lt;i&gt;et al.&lt;/i&gt;, 2015)","plainTextFormattedCitation":"(Scarponi et al., 2015)","previouslyFormattedCitation":"(Scarponi &lt;i&gt;et al.&lt;/i&gt;, 2015)"},"properties":{"noteIndex":0},"schema":"https://github.com/citation-style-language/schema/raw/master/csl-citation.json"}</w:instrText>
      </w:r>
      <w:r>
        <w:fldChar w:fldCharType="separate"/>
      </w:r>
      <w:r w:rsidRPr="00482B2F">
        <w:rPr>
          <w:noProof/>
        </w:rPr>
        <w:t xml:space="preserve">(Scarponi </w:t>
      </w:r>
      <w:r w:rsidRPr="00F815BA">
        <w:rPr>
          <w:iCs/>
          <w:noProof/>
        </w:rPr>
        <w:t xml:space="preserve">et al., </w:t>
      </w:r>
      <w:r w:rsidRPr="00482B2F">
        <w:rPr>
          <w:noProof/>
        </w:rPr>
        <w:t>2015)</w:t>
      </w:r>
      <w:r>
        <w:fldChar w:fldCharType="end"/>
      </w:r>
      <w:r>
        <w:t>. The possible accident scenarios obtained from the release of the hazardous material</w:t>
      </w:r>
      <w:r w:rsidRPr="009E7586">
        <w:rPr>
          <w:i/>
          <w:iCs/>
        </w:rPr>
        <w:t xml:space="preserve"> k</w:t>
      </w:r>
      <w:r>
        <w:t>-</w:t>
      </w:r>
      <w:proofErr w:type="spellStart"/>
      <w:r>
        <w:t>th</w:t>
      </w:r>
      <w:proofErr w:type="spellEnd"/>
      <w:r>
        <w:t xml:space="preserve"> from the</w:t>
      </w:r>
      <w:r w:rsidRPr="00564BCC">
        <w:rPr>
          <w:i/>
          <w:iCs/>
        </w:rPr>
        <w:t xml:space="preserve"> j </w:t>
      </w:r>
      <w:r>
        <w:t>equipment subjected in the</w:t>
      </w:r>
      <w:r w:rsidRPr="00564BCC">
        <w:rPr>
          <w:i/>
          <w:iCs/>
        </w:rPr>
        <w:t xml:space="preserve"> </w:t>
      </w:r>
      <w:proofErr w:type="spellStart"/>
      <w:r w:rsidRPr="00564BCC">
        <w:rPr>
          <w:i/>
          <w:iCs/>
        </w:rPr>
        <w:t>i</w:t>
      </w:r>
      <w:r>
        <w:t>-th</w:t>
      </w:r>
      <w:proofErr w:type="spellEnd"/>
      <w:r>
        <w:t xml:space="preserve"> mode of LOC were analysed in terms of maximum damage distances </w:t>
      </w:r>
      <m:oMath>
        <m:sSub>
          <m:sSubPr>
            <m:ctrlPr>
              <w:rPr>
                <w:rFonts w:ascii="Cambria Math" w:hAnsi="Cambria Math"/>
                <w:i/>
              </w:rPr>
            </m:ctrlPr>
          </m:sSubPr>
          <m:e>
            <m:r>
              <w:rPr>
                <w:rFonts w:ascii="Cambria Math" w:hAnsi="Cambria Math"/>
              </w:rPr>
              <m:t>d</m:t>
            </m:r>
          </m:e>
          <m:sub>
            <m:r>
              <w:rPr>
                <w:rFonts w:ascii="Cambria Math" w:hAnsi="Cambria Math"/>
              </w:rPr>
              <m:t>i,j,k</m:t>
            </m:r>
          </m:sub>
        </m:sSub>
      </m:oMath>
      <w:r>
        <w:t xml:space="preserve"> according to the standard damage thresholds for human target from radiation, overpressure and toxicity effects (see </w:t>
      </w:r>
      <w:r w:rsidRPr="001B2442">
        <w:fldChar w:fldCharType="begin"/>
      </w:r>
      <w:r w:rsidRPr="001B2442">
        <w:instrText xml:space="preserve"> REF _Ref36737676 \h </w:instrText>
      </w:r>
      <w:r>
        <w:instrText xml:space="preserve"> \* MERGEFORMAT </w:instrText>
      </w:r>
      <w:r w:rsidRPr="001B2442">
        <w:fldChar w:fldCharType="separate"/>
      </w:r>
      <w:r w:rsidRPr="001B2442">
        <w:t xml:space="preserve">Table </w:t>
      </w:r>
      <w:r w:rsidRPr="001B2442">
        <w:rPr>
          <w:noProof/>
        </w:rPr>
        <w:t>1</w:t>
      </w:r>
      <w:r w:rsidRPr="001B2442">
        <w:fldChar w:fldCharType="end"/>
      </w:r>
      <w:r w:rsidRPr="001B2442">
        <w:t>)</w:t>
      </w:r>
      <w:r>
        <w:t>.</w:t>
      </w:r>
    </w:p>
    <w:p w14:paraId="4FB947E9" w14:textId="77777777" w:rsidR="00973276" w:rsidRDefault="00973276" w:rsidP="00973276">
      <w:pPr>
        <w:pStyle w:val="CETTabletitle"/>
      </w:pPr>
      <w:bookmarkStart w:id="3" w:name="_Ref36737676"/>
      <w:r>
        <w:t xml:space="preserve">Table </w:t>
      </w:r>
      <w:r>
        <w:fldChar w:fldCharType="begin"/>
      </w:r>
      <w:r>
        <w:instrText xml:space="preserve"> SEQ Table \* ARABIC </w:instrText>
      </w:r>
      <w:r>
        <w:fldChar w:fldCharType="separate"/>
      </w:r>
      <w:r>
        <w:rPr>
          <w:noProof/>
        </w:rPr>
        <w:t>1</w:t>
      </w:r>
      <w:r>
        <w:fldChar w:fldCharType="end"/>
      </w:r>
      <w:bookmarkEnd w:id="3"/>
      <w:r>
        <w:t>. Hazardous materials present in the process schemes and relative consequence threshold values.</w:t>
      </w:r>
    </w:p>
    <w:tbl>
      <w:tblPr>
        <w:tblW w:w="893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1134"/>
        <w:gridCol w:w="1134"/>
        <w:gridCol w:w="1134"/>
        <w:gridCol w:w="1134"/>
        <w:gridCol w:w="1134"/>
        <w:gridCol w:w="1134"/>
      </w:tblGrid>
      <w:tr w:rsidR="00973276" w:rsidRPr="00B57B36" w14:paraId="0574D668" w14:textId="77777777" w:rsidTr="007346B0">
        <w:tc>
          <w:tcPr>
            <w:tcW w:w="2127" w:type="dxa"/>
            <w:tcBorders>
              <w:top w:val="single" w:sz="12" w:space="0" w:color="008000"/>
              <w:bottom w:val="single" w:sz="6" w:space="0" w:color="008000"/>
            </w:tcBorders>
            <w:shd w:val="clear" w:color="auto" w:fill="FFFFFF"/>
          </w:tcPr>
          <w:p w14:paraId="12089452" w14:textId="77777777" w:rsidR="00973276" w:rsidRPr="00B57B36" w:rsidRDefault="00973276" w:rsidP="007346B0">
            <w:pPr>
              <w:pStyle w:val="CETBodytext"/>
              <w:jc w:val="center"/>
              <w:rPr>
                <w:lang w:val="en-GB"/>
              </w:rPr>
            </w:pPr>
            <w:r>
              <w:rPr>
                <w:lang w:val="en-GB"/>
              </w:rPr>
              <w:t>Major accident</w:t>
            </w:r>
          </w:p>
        </w:tc>
        <w:tc>
          <w:tcPr>
            <w:tcW w:w="1134" w:type="dxa"/>
            <w:tcBorders>
              <w:top w:val="single" w:sz="12" w:space="0" w:color="008000"/>
              <w:bottom w:val="single" w:sz="6" w:space="0" w:color="008000"/>
            </w:tcBorders>
            <w:shd w:val="clear" w:color="auto" w:fill="FFFFFF"/>
          </w:tcPr>
          <w:p w14:paraId="6E2EC156" w14:textId="77777777" w:rsidR="00973276" w:rsidRPr="00B57B36" w:rsidRDefault="00973276" w:rsidP="007346B0">
            <w:pPr>
              <w:pStyle w:val="CETBodytext"/>
              <w:jc w:val="center"/>
              <w:rPr>
                <w:lang w:val="en-GB"/>
              </w:rPr>
            </w:pPr>
            <w:r w:rsidRPr="00DA6C3A">
              <w:t>Biodiesel</w:t>
            </w:r>
          </w:p>
        </w:tc>
        <w:tc>
          <w:tcPr>
            <w:tcW w:w="1134" w:type="dxa"/>
            <w:tcBorders>
              <w:top w:val="single" w:sz="12" w:space="0" w:color="008000"/>
              <w:bottom w:val="single" w:sz="6" w:space="0" w:color="008000"/>
            </w:tcBorders>
            <w:shd w:val="clear" w:color="auto" w:fill="FFFFFF"/>
          </w:tcPr>
          <w:p w14:paraId="12BBFF40" w14:textId="77777777" w:rsidR="00973276" w:rsidRPr="00B57B36" w:rsidRDefault="00973276" w:rsidP="007346B0">
            <w:pPr>
              <w:pStyle w:val="CETBodytext"/>
              <w:jc w:val="center"/>
              <w:rPr>
                <w:lang w:val="en-GB"/>
              </w:rPr>
            </w:pPr>
            <w:r w:rsidRPr="00DA6C3A">
              <w:t>Methanol</w:t>
            </w:r>
          </w:p>
        </w:tc>
        <w:tc>
          <w:tcPr>
            <w:tcW w:w="1134" w:type="dxa"/>
            <w:tcBorders>
              <w:top w:val="single" w:sz="12" w:space="0" w:color="008000"/>
              <w:bottom w:val="single" w:sz="6" w:space="0" w:color="008000"/>
            </w:tcBorders>
            <w:shd w:val="clear" w:color="auto" w:fill="FFFFFF"/>
          </w:tcPr>
          <w:p w14:paraId="513BE93B" w14:textId="77777777" w:rsidR="00973276" w:rsidRPr="00B57B36" w:rsidRDefault="00973276" w:rsidP="007346B0">
            <w:pPr>
              <w:pStyle w:val="CETBodytext"/>
              <w:ind w:right="-1"/>
              <w:jc w:val="center"/>
              <w:rPr>
                <w:rFonts w:cs="Arial"/>
                <w:szCs w:val="18"/>
                <w:lang w:val="en-GB"/>
              </w:rPr>
            </w:pPr>
            <w:r w:rsidRPr="00DA6C3A">
              <w:t>Chloroform</w:t>
            </w:r>
          </w:p>
        </w:tc>
        <w:tc>
          <w:tcPr>
            <w:tcW w:w="1134" w:type="dxa"/>
            <w:tcBorders>
              <w:top w:val="single" w:sz="12" w:space="0" w:color="008000"/>
              <w:bottom w:val="single" w:sz="6" w:space="0" w:color="008000"/>
            </w:tcBorders>
            <w:shd w:val="clear" w:color="auto" w:fill="FFFFFF"/>
          </w:tcPr>
          <w:p w14:paraId="026F5201" w14:textId="77777777" w:rsidR="00973276" w:rsidRPr="00B57B36" w:rsidRDefault="00973276" w:rsidP="007346B0">
            <w:pPr>
              <w:pStyle w:val="CETBodytext"/>
              <w:ind w:right="-1"/>
              <w:jc w:val="center"/>
              <w:rPr>
                <w:rFonts w:cs="Arial"/>
                <w:szCs w:val="18"/>
                <w:lang w:val="en-GB"/>
              </w:rPr>
            </w:pPr>
            <w:r w:rsidRPr="00DA6C3A">
              <w:t>H</w:t>
            </w:r>
            <w:r w:rsidRPr="00C63321">
              <w:rPr>
                <w:vertAlign w:val="subscript"/>
              </w:rPr>
              <w:t>2</w:t>
            </w:r>
            <w:r w:rsidRPr="00DA6C3A">
              <w:t>SO</w:t>
            </w:r>
            <w:r w:rsidRPr="00C63321">
              <w:rPr>
                <w:vertAlign w:val="subscript"/>
              </w:rPr>
              <w:t>4</w:t>
            </w:r>
          </w:p>
        </w:tc>
        <w:tc>
          <w:tcPr>
            <w:tcW w:w="1134" w:type="dxa"/>
            <w:tcBorders>
              <w:top w:val="single" w:sz="12" w:space="0" w:color="008000"/>
              <w:bottom w:val="single" w:sz="6" w:space="0" w:color="008000"/>
            </w:tcBorders>
            <w:shd w:val="clear" w:color="auto" w:fill="FFFFFF"/>
          </w:tcPr>
          <w:p w14:paraId="03A9B47A" w14:textId="77777777" w:rsidR="00973276" w:rsidRPr="00B57B36" w:rsidRDefault="00973276" w:rsidP="007346B0">
            <w:pPr>
              <w:pStyle w:val="CETBodytext"/>
              <w:ind w:right="-1"/>
              <w:jc w:val="center"/>
              <w:rPr>
                <w:rFonts w:cs="Arial"/>
                <w:szCs w:val="18"/>
                <w:lang w:val="en-GB"/>
              </w:rPr>
            </w:pPr>
            <w:r w:rsidRPr="00DA6C3A">
              <w:t>CO</w:t>
            </w:r>
            <w:r w:rsidRPr="00C63321">
              <w:rPr>
                <w:vertAlign w:val="subscript"/>
              </w:rPr>
              <w:t>2</w:t>
            </w:r>
          </w:p>
        </w:tc>
        <w:tc>
          <w:tcPr>
            <w:tcW w:w="1134" w:type="dxa"/>
            <w:tcBorders>
              <w:top w:val="single" w:sz="12" w:space="0" w:color="008000"/>
              <w:bottom w:val="single" w:sz="6" w:space="0" w:color="008000"/>
            </w:tcBorders>
            <w:shd w:val="clear" w:color="auto" w:fill="FFFFFF"/>
          </w:tcPr>
          <w:p w14:paraId="207D6412" w14:textId="77777777" w:rsidR="00973276" w:rsidRPr="00B57B36" w:rsidRDefault="00973276" w:rsidP="007346B0">
            <w:pPr>
              <w:pStyle w:val="CETBodytext"/>
              <w:ind w:right="-1"/>
              <w:jc w:val="center"/>
              <w:rPr>
                <w:rFonts w:cs="Arial"/>
                <w:szCs w:val="18"/>
                <w:lang w:val="en-GB"/>
              </w:rPr>
            </w:pPr>
            <w:r w:rsidRPr="00DA6C3A">
              <w:t>H</w:t>
            </w:r>
            <w:r w:rsidRPr="00C63321">
              <w:rPr>
                <w:vertAlign w:val="subscript"/>
              </w:rPr>
              <w:t>2</w:t>
            </w:r>
          </w:p>
        </w:tc>
      </w:tr>
      <w:tr w:rsidR="00973276" w:rsidRPr="00B57B36" w14:paraId="43897D75" w14:textId="77777777" w:rsidTr="007346B0">
        <w:tc>
          <w:tcPr>
            <w:tcW w:w="2127" w:type="dxa"/>
            <w:shd w:val="clear" w:color="auto" w:fill="FFFFFF"/>
          </w:tcPr>
          <w:p w14:paraId="6E521022" w14:textId="77777777" w:rsidR="00973276" w:rsidRPr="00B57B36" w:rsidRDefault="00973276" w:rsidP="007346B0">
            <w:pPr>
              <w:pStyle w:val="CETBodytext"/>
              <w:jc w:val="center"/>
              <w:rPr>
                <w:lang w:val="en-GB"/>
              </w:rPr>
            </w:pPr>
            <w:r>
              <w:t>Jet fire</w:t>
            </w:r>
          </w:p>
        </w:tc>
        <w:tc>
          <w:tcPr>
            <w:tcW w:w="1134" w:type="dxa"/>
            <w:shd w:val="clear" w:color="auto" w:fill="FFFFFF"/>
          </w:tcPr>
          <w:p w14:paraId="5D41E152" w14:textId="77777777" w:rsidR="00973276" w:rsidRPr="00B57B36" w:rsidRDefault="00973276" w:rsidP="007346B0">
            <w:pPr>
              <w:pStyle w:val="CETBodytext"/>
              <w:jc w:val="center"/>
              <w:rPr>
                <w:lang w:val="en-GB"/>
              </w:rPr>
            </w:pPr>
            <w:r w:rsidRPr="00AC7172">
              <w:rPr>
                <w:lang w:val="en-GB"/>
              </w:rPr>
              <w:t>7 kW/m</w:t>
            </w:r>
            <w:r w:rsidRPr="00AC7172">
              <w:rPr>
                <w:vertAlign w:val="superscript"/>
                <w:lang w:val="en-GB"/>
              </w:rPr>
              <w:t>2</w:t>
            </w:r>
          </w:p>
        </w:tc>
        <w:tc>
          <w:tcPr>
            <w:tcW w:w="1134" w:type="dxa"/>
            <w:shd w:val="clear" w:color="auto" w:fill="FFFFFF"/>
          </w:tcPr>
          <w:p w14:paraId="436DFDDA" w14:textId="77777777" w:rsidR="00973276" w:rsidRPr="00B57B36" w:rsidRDefault="00973276" w:rsidP="007346B0">
            <w:pPr>
              <w:pStyle w:val="CETBodytext"/>
              <w:jc w:val="center"/>
              <w:rPr>
                <w:lang w:val="en-GB"/>
              </w:rPr>
            </w:pPr>
            <w:r w:rsidRPr="00AC7172">
              <w:rPr>
                <w:lang w:val="en-GB"/>
              </w:rPr>
              <w:t>7 kW/m</w:t>
            </w:r>
            <w:r w:rsidRPr="00AC7172">
              <w:rPr>
                <w:vertAlign w:val="superscript"/>
                <w:lang w:val="en-GB"/>
              </w:rPr>
              <w:t>2</w:t>
            </w:r>
          </w:p>
        </w:tc>
        <w:tc>
          <w:tcPr>
            <w:tcW w:w="1134" w:type="dxa"/>
            <w:shd w:val="clear" w:color="auto" w:fill="FFFFFF"/>
          </w:tcPr>
          <w:p w14:paraId="6DB05FB8" w14:textId="77777777" w:rsidR="00973276" w:rsidRPr="00B57B36" w:rsidRDefault="00973276" w:rsidP="007346B0">
            <w:pPr>
              <w:pStyle w:val="CETBodytext"/>
              <w:ind w:right="-1"/>
              <w:jc w:val="center"/>
              <w:rPr>
                <w:rFonts w:cs="Arial"/>
                <w:szCs w:val="18"/>
                <w:lang w:val="en-GB"/>
              </w:rPr>
            </w:pPr>
            <w:r>
              <w:rPr>
                <w:lang w:val="en-GB"/>
              </w:rPr>
              <w:t>x</w:t>
            </w:r>
          </w:p>
        </w:tc>
        <w:tc>
          <w:tcPr>
            <w:tcW w:w="1134" w:type="dxa"/>
            <w:shd w:val="clear" w:color="auto" w:fill="FFFFFF"/>
          </w:tcPr>
          <w:p w14:paraId="225519A5" w14:textId="77777777" w:rsidR="00973276" w:rsidRPr="00B57B36" w:rsidRDefault="00973276" w:rsidP="007346B0">
            <w:pPr>
              <w:pStyle w:val="CETBodytext"/>
              <w:ind w:right="-1"/>
              <w:jc w:val="center"/>
              <w:rPr>
                <w:rFonts w:cs="Arial"/>
                <w:szCs w:val="18"/>
                <w:lang w:val="en-GB"/>
              </w:rPr>
            </w:pPr>
            <w:r>
              <w:rPr>
                <w:lang w:val="en-GB"/>
              </w:rPr>
              <w:t>x</w:t>
            </w:r>
          </w:p>
        </w:tc>
        <w:tc>
          <w:tcPr>
            <w:tcW w:w="1134" w:type="dxa"/>
            <w:shd w:val="clear" w:color="auto" w:fill="FFFFFF"/>
          </w:tcPr>
          <w:p w14:paraId="35C595E6" w14:textId="77777777" w:rsidR="00973276" w:rsidRPr="00B57B36" w:rsidRDefault="00973276" w:rsidP="007346B0">
            <w:pPr>
              <w:pStyle w:val="CETBodytext"/>
              <w:ind w:right="-1"/>
              <w:jc w:val="center"/>
              <w:rPr>
                <w:rFonts w:cs="Arial"/>
                <w:szCs w:val="18"/>
                <w:lang w:val="en-GB"/>
              </w:rPr>
            </w:pPr>
            <w:r>
              <w:rPr>
                <w:lang w:val="en-GB"/>
              </w:rPr>
              <w:t>x</w:t>
            </w:r>
          </w:p>
        </w:tc>
        <w:tc>
          <w:tcPr>
            <w:tcW w:w="1134" w:type="dxa"/>
            <w:shd w:val="clear" w:color="auto" w:fill="FFFFFF"/>
          </w:tcPr>
          <w:p w14:paraId="781472EA" w14:textId="77777777" w:rsidR="00973276" w:rsidRPr="00B57B36" w:rsidRDefault="00973276" w:rsidP="007346B0">
            <w:pPr>
              <w:pStyle w:val="CETBodytext"/>
              <w:ind w:right="-1"/>
              <w:jc w:val="center"/>
              <w:rPr>
                <w:rFonts w:cs="Arial"/>
                <w:szCs w:val="18"/>
                <w:lang w:val="en-GB"/>
              </w:rPr>
            </w:pPr>
            <w:r w:rsidRPr="00AC7172">
              <w:rPr>
                <w:lang w:val="en-GB"/>
              </w:rPr>
              <w:t>7 kW/m</w:t>
            </w:r>
            <w:r w:rsidRPr="00AC7172">
              <w:rPr>
                <w:vertAlign w:val="superscript"/>
                <w:lang w:val="en-GB"/>
              </w:rPr>
              <w:t>2</w:t>
            </w:r>
          </w:p>
        </w:tc>
      </w:tr>
      <w:tr w:rsidR="00973276" w:rsidRPr="00B57B36" w14:paraId="620E768A" w14:textId="77777777" w:rsidTr="007346B0">
        <w:tc>
          <w:tcPr>
            <w:tcW w:w="2127" w:type="dxa"/>
            <w:shd w:val="clear" w:color="auto" w:fill="FFFFFF"/>
          </w:tcPr>
          <w:p w14:paraId="0C9ED47D" w14:textId="77777777" w:rsidR="00973276" w:rsidRPr="00B57B36" w:rsidRDefault="00973276" w:rsidP="007346B0">
            <w:pPr>
              <w:pStyle w:val="CETBodytext"/>
              <w:jc w:val="center"/>
              <w:rPr>
                <w:lang w:val="en-GB"/>
              </w:rPr>
            </w:pPr>
            <w:r>
              <w:t>Fireball</w:t>
            </w:r>
          </w:p>
        </w:tc>
        <w:tc>
          <w:tcPr>
            <w:tcW w:w="1134" w:type="dxa"/>
            <w:shd w:val="clear" w:color="auto" w:fill="FFFFFF"/>
          </w:tcPr>
          <w:p w14:paraId="444A70DD" w14:textId="77777777" w:rsidR="00973276" w:rsidRPr="00B57B36" w:rsidRDefault="00973276" w:rsidP="007346B0">
            <w:pPr>
              <w:pStyle w:val="CETBodytext"/>
              <w:jc w:val="center"/>
              <w:rPr>
                <w:lang w:val="en-GB"/>
              </w:rPr>
            </w:pPr>
            <w:r w:rsidRPr="00AC7172">
              <w:rPr>
                <w:lang w:val="en-GB"/>
              </w:rPr>
              <w:t>7 kW/m</w:t>
            </w:r>
            <w:r w:rsidRPr="00AC7172">
              <w:rPr>
                <w:vertAlign w:val="superscript"/>
                <w:lang w:val="en-GB"/>
              </w:rPr>
              <w:t>2</w:t>
            </w:r>
          </w:p>
        </w:tc>
        <w:tc>
          <w:tcPr>
            <w:tcW w:w="1134" w:type="dxa"/>
            <w:shd w:val="clear" w:color="auto" w:fill="FFFFFF"/>
          </w:tcPr>
          <w:p w14:paraId="76D8A3A0" w14:textId="77777777" w:rsidR="00973276" w:rsidRPr="00B57B36" w:rsidRDefault="00973276" w:rsidP="007346B0">
            <w:pPr>
              <w:pStyle w:val="CETBodytext"/>
              <w:jc w:val="center"/>
              <w:rPr>
                <w:lang w:val="en-GB"/>
              </w:rPr>
            </w:pPr>
            <w:r w:rsidRPr="00AC7172">
              <w:rPr>
                <w:lang w:val="en-GB"/>
              </w:rPr>
              <w:t>7 kW/m</w:t>
            </w:r>
            <w:r w:rsidRPr="00AC7172">
              <w:rPr>
                <w:vertAlign w:val="superscript"/>
                <w:lang w:val="en-GB"/>
              </w:rPr>
              <w:t>2</w:t>
            </w:r>
          </w:p>
        </w:tc>
        <w:tc>
          <w:tcPr>
            <w:tcW w:w="1134" w:type="dxa"/>
            <w:shd w:val="clear" w:color="auto" w:fill="FFFFFF"/>
          </w:tcPr>
          <w:p w14:paraId="700A2D0E" w14:textId="77777777" w:rsidR="00973276" w:rsidRPr="00B57B36" w:rsidRDefault="00973276" w:rsidP="007346B0">
            <w:pPr>
              <w:pStyle w:val="CETBodytext"/>
              <w:ind w:right="-1"/>
              <w:jc w:val="center"/>
              <w:rPr>
                <w:rFonts w:cs="Arial"/>
                <w:szCs w:val="18"/>
                <w:lang w:val="en-GB"/>
              </w:rPr>
            </w:pPr>
            <w:r>
              <w:rPr>
                <w:lang w:val="en-GB"/>
              </w:rPr>
              <w:t>x</w:t>
            </w:r>
          </w:p>
        </w:tc>
        <w:tc>
          <w:tcPr>
            <w:tcW w:w="1134" w:type="dxa"/>
            <w:shd w:val="clear" w:color="auto" w:fill="FFFFFF"/>
          </w:tcPr>
          <w:p w14:paraId="516F5CB5" w14:textId="77777777" w:rsidR="00973276" w:rsidRPr="00B57B36" w:rsidRDefault="00973276" w:rsidP="007346B0">
            <w:pPr>
              <w:pStyle w:val="CETBodytext"/>
              <w:ind w:right="-1"/>
              <w:jc w:val="center"/>
              <w:rPr>
                <w:rFonts w:cs="Arial"/>
                <w:szCs w:val="18"/>
                <w:lang w:val="en-GB"/>
              </w:rPr>
            </w:pPr>
            <w:r>
              <w:rPr>
                <w:lang w:val="en-GB"/>
              </w:rPr>
              <w:t>x</w:t>
            </w:r>
          </w:p>
        </w:tc>
        <w:tc>
          <w:tcPr>
            <w:tcW w:w="1134" w:type="dxa"/>
            <w:shd w:val="clear" w:color="auto" w:fill="FFFFFF"/>
          </w:tcPr>
          <w:p w14:paraId="384477E0" w14:textId="77777777" w:rsidR="00973276" w:rsidRPr="00B57B36" w:rsidRDefault="00973276" w:rsidP="007346B0">
            <w:pPr>
              <w:pStyle w:val="CETBodytext"/>
              <w:ind w:right="-1"/>
              <w:jc w:val="center"/>
              <w:rPr>
                <w:rFonts w:cs="Arial"/>
                <w:szCs w:val="18"/>
                <w:lang w:val="en-GB"/>
              </w:rPr>
            </w:pPr>
            <w:r>
              <w:rPr>
                <w:lang w:val="en-GB"/>
              </w:rPr>
              <w:t>x</w:t>
            </w:r>
          </w:p>
        </w:tc>
        <w:tc>
          <w:tcPr>
            <w:tcW w:w="1134" w:type="dxa"/>
            <w:shd w:val="clear" w:color="auto" w:fill="FFFFFF"/>
          </w:tcPr>
          <w:p w14:paraId="35B7AA56" w14:textId="77777777" w:rsidR="00973276" w:rsidRPr="00B57B36" w:rsidRDefault="00973276" w:rsidP="007346B0">
            <w:pPr>
              <w:pStyle w:val="CETBodytext"/>
              <w:ind w:right="-1"/>
              <w:jc w:val="center"/>
              <w:rPr>
                <w:rFonts w:cs="Arial"/>
                <w:szCs w:val="18"/>
                <w:lang w:val="en-GB"/>
              </w:rPr>
            </w:pPr>
            <w:r w:rsidRPr="00AC7172">
              <w:rPr>
                <w:lang w:val="en-GB"/>
              </w:rPr>
              <w:t>7 kW/m</w:t>
            </w:r>
            <w:r w:rsidRPr="00AC7172">
              <w:rPr>
                <w:vertAlign w:val="superscript"/>
                <w:lang w:val="en-GB"/>
              </w:rPr>
              <w:t>2</w:t>
            </w:r>
          </w:p>
        </w:tc>
      </w:tr>
      <w:tr w:rsidR="00973276" w:rsidRPr="00B57B36" w14:paraId="345113D4" w14:textId="77777777" w:rsidTr="007346B0">
        <w:tc>
          <w:tcPr>
            <w:tcW w:w="2127" w:type="dxa"/>
            <w:shd w:val="clear" w:color="auto" w:fill="FFFFFF"/>
          </w:tcPr>
          <w:p w14:paraId="5FE6690B" w14:textId="77777777" w:rsidR="00973276" w:rsidRPr="00B57B36" w:rsidRDefault="00973276" w:rsidP="007346B0">
            <w:pPr>
              <w:pStyle w:val="CETBodytext"/>
              <w:jc w:val="center"/>
              <w:rPr>
                <w:lang w:val="en-GB"/>
              </w:rPr>
            </w:pPr>
            <w:r w:rsidRPr="00D65BA3">
              <w:t>Pool fire</w:t>
            </w:r>
          </w:p>
        </w:tc>
        <w:tc>
          <w:tcPr>
            <w:tcW w:w="1134" w:type="dxa"/>
            <w:shd w:val="clear" w:color="auto" w:fill="FFFFFF"/>
          </w:tcPr>
          <w:p w14:paraId="2558ADD4" w14:textId="77777777" w:rsidR="00973276" w:rsidRPr="00B57B36" w:rsidRDefault="00973276" w:rsidP="007346B0">
            <w:pPr>
              <w:pStyle w:val="CETBodytext"/>
              <w:jc w:val="center"/>
              <w:rPr>
                <w:lang w:val="en-GB"/>
              </w:rPr>
            </w:pPr>
            <w:r w:rsidRPr="00AC7172">
              <w:rPr>
                <w:lang w:val="en-GB"/>
              </w:rPr>
              <w:t>7 kW/m</w:t>
            </w:r>
            <w:r w:rsidRPr="00AC7172">
              <w:rPr>
                <w:vertAlign w:val="superscript"/>
                <w:lang w:val="en-GB"/>
              </w:rPr>
              <w:t>2</w:t>
            </w:r>
          </w:p>
        </w:tc>
        <w:tc>
          <w:tcPr>
            <w:tcW w:w="1134" w:type="dxa"/>
            <w:shd w:val="clear" w:color="auto" w:fill="FFFFFF"/>
          </w:tcPr>
          <w:p w14:paraId="561167E5" w14:textId="77777777" w:rsidR="00973276" w:rsidRPr="00B57B36" w:rsidRDefault="00973276" w:rsidP="007346B0">
            <w:pPr>
              <w:pStyle w:val="CETBodytext"/>
              <w:jc w:val="center"/>
              <w:rPr>
                <w:lang w:val="en-GB"/>
              </w:rPr>
            </w:pPr>
            <w:r w:rsidRPr="00AC7172">
              <w:rPr>
                <w:lang w:val="en-GB"/>
              </w:rPr>
              <w:t>7 kW/m</w:t>
            </w:r>
            <w:r w:rsidRPr="00AC7172">
              <w:rPr>
                <w:vertAlign w:val="superscript"/>
                <w:lang w:val="en-GB"/>
              </w:rPr>
              <w:t>2</w:t>
            </w:r>
          </w:p>
        </w:tc>
        <w:tc>
          <w:tcPr>
            <w:tcW w:w="1134" w:type="dxa"/>
            <w:shd w:val="clear" w:color="auto" w:fill="FFFFFF"/>
          </w:tcPr>
          <w:p w14:paraId="74CB99C6" w14:textId="77777777" w:rsidR="00973276" w:rsidRPr="00B57B36" w:rsidRDefault="00973276" w:rsidP="007346B0">
            <w:pPr>
              <w:pStyle w:val="CETBodytext"/>
              <w:ind w:right="-1"/>
              <w:jc w:val="center"/>
              <w:rPr>
                <w:rFonts w:cs="Arial"/>
                <w:szCs w:val="18"/>
                <w:lang w:val="en-GB"/>
              </w:rPr>
            </w:pPr>
            <w:r>
              <w:rPr>
                <w:lang w:val="en-GB"/>
              </w:rPr>
              <w:t>x</w:t>
            </w:r>
          </w:p>
        </w:tc>
        <w:tc>
          <w:tcPr>
            <w:tcW w:w="1134" w:type="dxa"/>
            <w:shd w:val="clear" w:color="auto" w:fill="FFFFFF"/>
          </w:tcPr>
          <w:p w14:paraId="41D73C1D" w14:textId="77777777" w:rsidR="00973276" w:rsidRPr="00B57B36" w:rsidRDefault="00973276" w:rsidP="007346B0">
            <w:pPr>
              <w:pStyle w:val="CETBodytext"/>
              <w:ind w:right="-1"/>
              <w:jc w:val="center"/>
              <w:rPr>
                <w:rFonts w:cs="Arial"/>
                <w:szCs w:val="18"/>
                <w:lang w:val="en-GB"/>
              </w:rPr>
            </w:pPr>
            <w:r>
              <w:rPr>
                <w:lang w:val="en-GB"/>
              </w:rPr>
              <w:t>x</w:t>
            </w:r>
          </w:p>
        </w:tc>
        <w:tc>
          <w:tcPr>
            <w:tcW w:w="1134" w:type="dxa"/>
            <w:shd w:val="clear" w:color="auto" w:fill="FFFFFF"/>
          </w:tcPr>
          <w:p w14:paraId="7929EFAF" w14:textId="77777777" w:rsidR="00973276" w:rsidRPr="00B57B36" w:rsidRDefault="00973276" w:rsidP="007346B0">
            <w:pPr>
              <w:pStyle w:val="CETBodytext"/>
              <w:ind w:right="-1"/>
              <w:jc w:val="center"/>
              <w:rPr>
                <w:rFonts w:cs="Arial"/>
                <w:szCs w:val="18"/>
                <w:lang w:val="en-GB"/>
              </w:rPr>
            </w:pPr>
            <w:r>
              <w:rPr>
                <w:lang w:val="en-GB"/>
              </w:rPr>
              <w:t>x</w:t>
            </w:r>
          </w:p>
        </w:tc>
        <w:tc>
          <w:tcPr>
            <w:tcW w:w="1134" w:type="dxa"/>
            <w:shd w:val="clear" w:color="auto" w:fill="FFFFFF"/>
          </w:tcPr>
          <w:p w14:paraId="58DD13E5" w14:textId="77777777" w:rsidR="00973276" w:rsidRPr="00B57B36" w:rsidRDefault="00973276" w:rsidP="007346B0">
            <w:pPr>
              <w:pStyle w:val="CETBodytext"/>
              <w:ind w:right="-1"/>
              <w:jc w:val="center"/>
              <w:rPr>
                <w:rFonts w:cs="Arial"/>
                <w:szCs w:val="18"/>
                <w:lang w:val="en-GB"/>
              </w:rPr>
            </w:pPr>
            <w:r w:rsidRPr="00AC7172">
              <w:rPr>
                <w:lang w:val="en-GB"/>
              </w:rPr>
              <w:t>7 kW/m</w:t>
            </w:r>
            <w:r w:rsidRPr="00AC7172">
              <w:rPr>
                <w:vertAlign w:val="superscript"/>
                <w:lang w:val="en-GB"/>
              </w:rPr>
              <w:t>2</w:t>
            </w:r>
          </w:p>
        </w:tc>
      </w:tr>
      <w:tr w:rsidR="00973276" w:rsidRPr="00B57B36" w14:paraId="41BB669B" w14:textId="77777777" w:rsidTr="007346B0">
        <w:tc>
          <w:tcPr>
            <w:tcW w:w="2127" w:type="dxa"/>
            <w:shd w:val="clear" w:color="auto" w:fill="FFFFFF"/>
          </w:tcPr>
          <w:p w14:paraId="25728B7A" w14:textId="77777777" w:rsidR="00973276" w:rsidRPr="00B57B36" w:rsidRDefault="00973276" w:rsidP="007346B0">
            <w:pPr>
              <w:pStyle w:val="CETBodytext"/>
              <w:jc w:val="center"/>
              <w:rPr>
                <w:lang w:val="en-GB"/>
              </w:rPr>
            </w:pPr>
            <w:r w:rsidRPr="00D65BA3">
              <w:t>V</w:t>
            </w:r>
            <w:r>
              <w:t>CE</w:t>
            </w:r>
          </w:p>
        </w:tc>
        <w:tc>
          <w:tcPr>
            <w:tcW w:w="1134" w:type="dxa"/>
            <w:shd w:val="clear" w:color="auto" w:fill="FFFFFF"/>
          </w:tcPr>
          <w:p w14:paraId="365D8A88" w14:textId="77777777" w:rsidR="00973276" w:rsidRPr="00B57B36" w:rsidRDefault="00973276" w:rsidP="007346B0">
            <w:pPr>
              <w:pStyle w:val="CETBodytext"/>
              <w:jc w:val="center"/>
              <w:rPr>
                <w:lang w:val="en-GB"/>
              </w:rPr>
            </w:pPr>
            <w:r w:rsidRPr="00AC7172">
              <w:rPr>
                <w:lang w:val="en-GB"/>
              </w:rPr>
              <w:t>0,14 bar</w:t>
            </w:r>
          </w:p>
        </w:tc>
        <w:tc>
          <w:tcPr>
            <w:tcW w:w="1134" w:type="dxa"/>
            <w:shd w:val="clear" w:color="auto" w:fill="FFFFFF"/>
          </w:tcPr>
          <w:p w14:paraId="3D985AA0" w14:textId="77777777" w:rsidR="00973276" w:rsidRPr="00B57B36" w:rsidRDefault="00973276" w:rsidP="007346B0">
            <w:pPr>
              <w:pStyle w:val="CETBodytext"/>
              <w:jc w:val="center"/>
              <w:rPr>
                <w:lang w:val="en-GB"/>
              </w:rPr>
            </w:pPr>
            <w:r w:rsidRPr="00AC7172">
              <w:rPr>
                <w:rFonts w:cs="Arial"/>
                <w:szCs w:val="18"/>
                <w:lang w:val="en-GB"/>
              </w:rPr>
              <w:t>0,14 bar</w:t>
            </w:r>
          </w:p>
        </w:tc>
        <w:tc>
          <w:tcPr>
            <w:tcW w:w="1134" w:type="dxa"/>
            <w:shd w:val="clear" w:color="auto" w:fill="FFFFFF"/>
          </w:tcPr>
          <w:p w14:paraId="18D97016" w14:textId="77777777" w:rsidR="00973276" w:rsidRPr="00B57B36" w:rsidRDefault="00973276" w:rsidP="007346B0">
            <w:pPr>
              <w:pStyle w:val="CETBodytext"/>
              <w:ind w:right="-1"/>
              <w:jc w:val="center"/>
              <w:rPr>
                <w:rFonts w:cs="Arial"/>
                <w:szCs w:val="18"/>
                <w:lang w:val="en-GB"/>
              </w:rPr>
            </w:pPr>
            <w:r>
              <w:rPr>
                <w:rFonts w:cs="Arial"/>
                <w:szCs w:val="18"/>
                <w:lang w:val="en-GB"/>
              </w:rPr>
              <w:t>x</w:t>
            </w:r>
          </w:p>
        </w:tc>
        <w:tc>
          <w:tcPr>
            <w:tcW w:w="1134" w:type="dxa"/>
            <w:shd w:val="clear" w:color="auto" w:fill="FFFFFF"/>
          </w:tcPr>
          <w:p w14:paraId="68ADCC2A" w14:textId="77777777" w:rsidR="00973276" w:rsidRPr="00B57B36" w:rsidRDefault="00973276" w:rsidP="007346B0">
            <w:pPr>
              <w:pStyle w:val="CETBodytext"/>
              <w:ind w:right="-1"/>
              <w:jc w:val="center"/>
              <w:rPr>
                <w:rFonts w:cs="Arial"/>
                <w:szCs w:val="18"/>
                <w:lang w:val="en-GB"/>
              </w:rPr>
            </w:pPr>
            <w:r>
              <w:rPr>
                <w:rFonts w:cs="Arial"/>
                <w:szCs w:val="18"/>
                <w:lang w:val="en-GB"/>
              </w:rPr>
              <w:t>x</w:t>
            </w:r>
          </w:p>
        </w:tc>
        <w:tc>
          <w:tcPr>
            <w:tcW w:w="1134" w:type="dxa"/>
            <w:shd w:val="clear" w:color="auto" w:fill="FFFFFF"/>
          </w:tcPr>
          <w:p w14:paraId="6E7E4EBB" w14:textId="77777777" w:rsidR="00973276" w:rsidRPr="00B57B36" w:rsidRDefault="00973276" w:rsidP="007346B0">
            <w:pPr>
              <w:pStyle w:val="CETBodytext"/>
              <w:ind w:right="-1"/>
              <w:jc w:val="center"/>
              <w:rPr>
                <w:rFonts w:cs="Arial"/>
                <w:szCs w:val="18"/>
                <w:lang w:val="en-GB"/>
              </w:rPr>
            </w:pPr>
            <w:r>
              <w:rPr>
                <w:rFonts w:cs="Arial"/>
                <w:szCs w:val="18"/>
                <w:lang w:val="en-GB"/>
              </w:rPr>
              <w:t>x</w:t>
            </w:r>
          </w:p>
        </w:tc>
        <w:tc>
          <w:tcPr>
            <w:tcW w:w="1134" w:type="dxa"/>
            <w:shd w:val="clear" w:color="auto" w:fill="FFFFFF"/>
          </w:tcPr>
          <w:p w14:paraId="7E9F5637" w14:textId="77777777" w:rsidR="00973276" w:rsidRPr="00B57B36" w:rsidRDefault="00973276" w:rsidP="007346B0">
            <w:pPr>
              <w:pStyle w:val="CETBodytext"/>
              <w:ind w:right="-1"/>
              <w:jc w:val="center"/>
              <w:rPr>
                <w:rFonts w:cs="Arial"/>
                <w:szCs w:val="18"/>
                <w:lang w:val="en-GB"/>
              </w:rPr>
            </w:pPr>
            <w:r w:rsidRPr="00AC7172">
              <w:rPr>
                <w:rFonts w:cs="Arial"/>
                <w:szCs w:val="18"/>
                <w:lang w:val="en-GB"/>
              </w:rPr>
              <w:t>0,14 bar</w:t>
            </w:r>
          </w:p>
        </w:tc>
      </w:tr>
      <w:tr w:rsidR="00973276" w:rsidRPr="00B57B36" w14:paraId="359FAD22" w14:textId="77777777" w:rsidTr="007346B0">
        <w:tc>
          <w:tcPr>
            <w:tcW w:w="2127" w:type="dxa"/>
            <w:shd w:val="clear" w:color="auto" w:fill="FFFFFF"/>
          </w:tcPr>
          <w:p w14:paraId="4D5C0E11" w14:textId="77777777" w:rsidR="00973276" w:rsidRPr="00B57B36" w:rsidRDefault="00973276" w:rsidP="007346B0">
            <w:pPr>
              <w:pStyle w:val="CETBodytext"/>
              <w:jc w:val="center"/>
              <w:rPr>
                <w:lang w:val="en-GB"/>
              </w:rPr>
            </w:pPr>
            <w:r w:rsidRPr="00D65BA3">
              <w:t xml:space="preserve">Flash fire </w:t>
            </w:r>
            <w:r>
              <w:t>-</w:t>
            </w:r>
            <w:r w:rsidRPr="00D65BA3">
              <w:t xml:space="preserve"> LFL/2 (ppm)</w:t>
            </w:r>
          </w:p>
        </w:tc>
        <w:tc>
          <w:tcPr>
            <w:tcW w:w="1134" w:type="dxa"/>
            <w:shd w:val="clear" w:color="auto" w:fill="FFFFFF"/>
          </w:tcPr>
          <w:p w14:paraId="5F948022" w14:textId="77777777" w:rsidR="00973276" w:rsidRPr="00B57B36" w:rsidRDefault="00973276" w:rsidP="007346B0">
            <w:pPr>
              <w:pStyle w:val="CETBodytext"/>
              <w:jc w:val="center"/>
              <w:rPr>
                <w:lang w:val="en-GB"/>
              </w:rPr>
            </w:pPr>
            <w:r>
              <w:rPr>
                <w:lang w:val="en-GB"/>
              </w:rPr>
              <w:t>3000</w:t>
            </w:r>
          </w:p>
        </w:tc>
        <w:tc>
          <w:tcPr>
            <w:tcW w:w="1134" w:type="dxa"/>
            <w:shd w:val="clear" w:color="auto" w:fill="FFFFFF"/>
          </w:tcPr>
          <w:p w14:paraId="5F049003" w14:textId="77777777" w:rsidR="00973276" w:rsidRPr="00B57B36" w:rsidRDefault="00973276" w:rsidP="007346B0">
            <w:pPr>
              <w:pStyle w:val="CETBodytext"/>
              <w:jc w:val="center"/>
              <w:rPr>
                <w:lang w:val="en-GB"/>
              </w:rPr>
            </w:pPr>
            <w:r>
              <w:rPr>
                <w:lang w:val="en-GB"/>
              </w:rPr>
              <w:t>36500</w:t>
            </w:r>
          </w:p>
        </w:tc>
        <w:tc>
          <w:tcPr>
            <w:tcW w:w="1134" w:type="dxa"/>
            <w:shd w:val="clear" w:color="auto" w:fill="FFFFFF"/>
          </w:tcPr>
          <w:p w14:paraId="4D15A000" w14:textId="77777777" w:rsidR="00973276" w:rsidRPr="00B57B36" w:rsidRDefault="00973276" w:rsidP="007346B0">
            <w:pPr>
              <w:pStyle w:val="CETBodytext"/>
              <w:ind w:right="-1"/>
              <w:jc w:val="center"/>
              <w:rPr>
                <w:rFonts w:cs="Arial"/>
                <w:szCs w:val="18"/>
                <w:lang w:val="en-GB"/>
              </w:rPr>
            </w:pPr>
            <w:r>
              <w:rPr>
                <w:rFonts w:cs="Arial"/>
                <w:szCs w:val="18"/>
                <w:lang w:val="en-GB"/>
              </w:rPr>
              <w:t>x</w:t>
            </w:r>
          </w:p>
        </w:tc>
        <w:tc>
          <w:tcPr>
            <w:tcW w:w="1134" w:type="dxa"/>
            <w:shd w:val="clear" w:color="auto" w:fill="FFFFFF"/>
          </w:tcPr>
          <w:p w14:paraId="51A802D4" w14:textId="77777777" w:rsidR="00973276" w:rsidRPr="00B57B36" w:rsidRDefault="00973276" w:rsidP="007346B0">
            <w:pPr>
              <w:pStyle w:val="CETBodytext"/>
              <w:ind w:right="-1"/>
              <w:jc w:val="center"/>
              <w:rPr>
                <w:rFonts w:cs="Arial"/>
                <w:szCs w:val="18"/>
                <w:lang w:val="en-GB"/>
              </w:rPr>
            </w:pPr>
            <w:r>
              <w:rPr>
                <w:rFonts w:cs="Arial"/>
                <w:szCs w:val="18"/>
                <w:lang w:val="en-GB"/>
              </w:rPr>
              <w:t>x</w:t>
            </w:r>
          </w:p>
        </w:tc>
        <w:tc>
          <w:tcPr>
            <w:tcW w:w="1134" w:type="dxa"/>
            <w:shd w:val="clear" w:color="auto" w:fill="FFFFFF"/>
          </w:tcPr>
          <w:p w14:paraId="35816F42" w14:textId="77777777" w:rsidR="00973276" w:rsidRPr="00B57B36" w:rsidRDefault="00973276" w:rsidP="007346B0">
            <w:pPr>
              <w:pStyle w:val="CETBodytext"/>
              <w:ind w:right="-1"/>
              <w:jc w:val="center"/>
              <w:rPr>
                <w:rFonts w:cs="Arial"/>
                <w:szCs w:val="18"/>
                <w:lang w:val="en-GB"/>
              </w:rPr>
            </w:pPr>
            <w:r>
              <w:rPr>
                <w:rFonts w:cs="Arial"/>
                <w:szCs w:val="18"/>
                <w:lang w:val="en-GB"/>
              </w:rPr>
              <w:t>x</w:t>
            </w:r>
          </w:p>
        </w:tc>
        <w:tc>
          <w:tcPr>
            <w:tcW w:w="1134" w:type="dxa"/>
            <w:shd w:val="clear" w:color="auto" w:fill="FFFFFF"/>
          </w:tcPr>
          <w:p w14:paraId="41961490" w14:textId="77777777" w:rsidR="00973276" w:rsidRPr="00B57B36" w:rsidRDefault="00973276" w:rsidP="007346B0">
            <w:pPr>
              <w:pStyle w:val="CETBodytext"/>
              <w:ind w:right="-1"/>
              <w:jc w:val="center"/>
              <w:rPr>
                <w:rFonts w:cs="Arial"/>
                <w:szCs w:val="18"/>
                <w:lang w:val="en-GB"/>
              </w:rPr>
            </w:pPr>
            <w:r>
              <w:rPr>
                <w:rFonts w:cs="Arial"/>
                <w:szCs w:val="18"/>
                <w:lang w:val="en-GB"/>
              </w:rPr>
              <w:t>20000</w:t>
            </w:r>
          </w:p>
        </w:tc>
      </w:tr>
      <w:tr w:rsidR="00973276" w:rsidRPr="00B57B36" w14:paraId="1C4FFC64" w14:textId="77777777" w:rsidTr="007346B0">
        <w:tc>
          <w:tcPr>
            <w:tcW w:w="2127" w:type="dxa"/>
            <w:shd w:val="clear" w:color="auto" w:fill="FFFFFF"/>
          </w:tcPr>
          <w:p w14:paraId="49C1BC81" w14:textId="77777777" w:rsidR="00973276" w:rsidRPr="00B57B36" w:rsidRDefault="00973276" w:rsidP="007346B0">
            <w:pPr>
              <w:pStyle w:val="CETBodytext"/>
              <w:ind w:right="-1"/>
              <w:jc w:val="center"/>
              <w:rPr>
                <w:rFonts w:cs="Arial"/>
                <w:szCs w:val="18"/>
                <w:lang w:val="en-GB"/>
              </w:rPr>
            </w:pPr>
            <w:r w:rsidRPr="00D65BA3">
              <w:t>Toxic clo</w:t>
            </w:r>
            <w:r>
              <w:t>ud - I</w:t>
            </w:r>
            <w:r w:rsidRPr="00D65BA3">
              <w:t>DLH (ppm)</w:t>
            </w:r>
          </w:p>
        </w:tc>
        <w:tc>
          <w:tcPr>
            <w:tcW w:w="1134" w:type="dxa"/>
            <w:shd w:val="clear" w:color="auto" w:fill="FFFFFF"/>
          </w:tcPr>
          <w:p w14:paraId="286981D2" w14:textId="77777777" w:rsidR="00973276" w:rsidRPr="00B57B36" w:rsidRDefault="00973276" w:rsidP="007346B0">
            <w:pPr>
              <w:pStyle w:val="CETBodytext"/>
              <w:ind w:right="-1"/>
              <w:jc w:val="center"/>
              <w:rPr>
                <w:rFonts w:cs="Arial"/>
                <w:szCs w:val="18"/>
                <w:lang w:val="en-GB"/>
              </w:rPr>
            </w:pPr>
            <w:r>
              <w:rPr>
                <w:rFonts w:cs="Arial"/>
                <w:szCs w:val="18"/>
                <w:lang w:val="en-GB"/>
              </w:rPr>
              <w:t>6000</w:t>
            </w:r>
          </w:p>
        </w:tc>
        <w:tc>
          <w:tcPr>
            <w:tcW w:w="1134" w:type="dxa"/>
            <w:shd w:val="clear" w:color="auto" w:fill="FFFFFF"/>
          </w:tcPr>
          <w:p w14:paraId="72A630C6" w14:textId="77777777" w:rsidR="00973276" w:rsidRPr="00B57B36" w:rsidRDefault="00973276" w:rsidP="007346B0">
            <w:pPr>
              <w:pStyle w:val="CETBodytext"/>
              <w:ind w:right="-1"/>
              <w:jc w:val="center"/>
              <w:rPr>
                <w:rFonts w:cs="Arial"/>
                <w:szCs w:val="18"/>
                <w:lang w:val="en-GB"/>
              </w:rPr>
            </w:pPr>
            <w:r>
              <w:rPr>
                <w:rFonts w:cs="Arial"/>
                <w:szCs w:val="18"/>
                <w:lang w:val="en-GB"/>
              </w:rPr>
              <w:t>6000</w:t>
            </w:r>
          </w:p>
        </w:tc>
        <w:tc>
          <w:tcPr>
            <w:tcW w:w="1134" w:type="dxa"/>
            <w:shd w:val="clear" w:color="auto" w:fill="FFFFFF"/>
          </w:tcPr>
          <w:p w14:paraId="6CAA13D0" w14:textId="77777777" w:rsidR="00973276" w:rsidRPr="00B57B36" w:rsidRDefault="00973276" w:rsidP="007346B0">
            <w:pPr>
              <w:pStyle w:val="CETBodytext"/>
              <w:ind w:right="-1"/>
              <w:jc w:val="center"/>
              <w:rPr>
                <w:rFonts w:cs="Arial"/>
                <w:szCs w:val="18"/>
                <w:lang w:val="en-GB"/>
              </w:rPr>
            </w:pPr>
            <w:r>
              <w:rPr>
                <w:rFonts w:cs="Arial"/>
                <w:szCs w:val="18"/>
                <w:lang w:val="en-GB"/>
              </w:rPr>
              <w:t>500</w:t>
            </w:r>
          </w:p>
        </w:tc>
        <w:tc>
          <w:tcPr>
            <w:tcW w:w="1134" w:type="dxa"/>
            <w:shd w:val="clear" w:color="auto" w:fill="FFFFFF"/>
          </w:tcPr>
          <w:p w14:paraId="53C70461" w14:textId="77777777" w:rsidR="00973276" w:rsidRPr="00B57B36" w:rsidRDefault="00973276" w:rsidP="007346B0">
            <w:pPr>
              <w:pStyle w:val="CETBodytext"/>
              <w:ind w:right="-1"/>
              <w:jc w:val="center"/>
              <w:rPr>
                <w:rFonts w:cs="Arial"/>
                <w:szCs w:val="18"/>
                <w:lang w:val="en-GB"/>
              </w:rPr>
            </w:pPr>
            <w:r>
              <w:rPr>
                <w:rFonts w:cs="Arial"/>
                <w:szCs w:val="18"/>
                <w:lang w:val="en-GB"/>
              </w:rPr>
              <w:t>3,75</w:t>
            </w:r>
          </w:p>
        </w:tc>
        <w:tc>
          <w:tcPr>
            <w:tcW w:w="1134" w:type="dxa"/>
            <w:shd w:val="clear" w:color="auto" w:fill="FFFFFF"/>
          </w:tcPr>
          <w:p w14:paraId="14FFD3C9" w14:textId="77777777" w:rsidR="00973276" w:rsidRPr="00B57B36" w:rsidRDefault="00973276" w:rsidP="007346B0">
            <w:pPr>
              <w:pStyle w:val="CETBodytext"/>
              <w:ind w:right="-1"/>
              <w:jc w:val="center"/>
              <w:rPr>
                <w:rFonts w:cs="Arial"/>
                <w:szCs w:val="18"/>
                <w:lang w:val="en-GB"/>
              </w:rPr>
            </w:pPr>
            <w:r>
              <w:rPr>
                <w:rFonts w:cs="Arial"/>
                <w:szCs w:val="18"/>
                <w:lang w:val="en-GB"/>
              </w:rPr>
              <w:t>40000</w:t>
            </w:r>
          </w:p>
        </w:tc>
        <w:tc>
          <w:tcPr>
            <w:tcW w:w="1134" w:type="dxa"/>
            <w:shd w:val="clear" w:color="auto" w:fill="FFFFFF"/>
          </w:tcPr>
          <w:p w14:paraId="356C71A1" w14:textId="77777777" w:rsidR="00973276" w:rsidRPr="00B57B36" w:rsidRDefault="00973276" w:rsidP="007346B0">
            <w:pPr>
              <w:pStyle w:val="CETBodytext"/>
              <w:ind w:right="-1"/>
              <w:jc w:val="center"/>
              <w:rPr>
                <w:rFonts w:cs="Arial"/>
                <w:szCs w:val="18"/>
                <w:lang w:val="en-GB"/>
              </w:rPr>
            </w:pPr>
            <w:r>
              <w:rPr>
                <w:rFonts w:cs="Arial"/>
                <w:szCs w:val="18"/>
                <w:lang w:val="en-GB"/>
              </w:rPr>
              <w:t>x</w:t>
            </w:r>
          </w:p>
        </w:tc>
      </w:tr>
    </w:tbl>
    <w:p w14:paraId="3D1009F5" w14:textId="77777777" w:rsidR="001000BE" w:rsidRDefault="001000BE" w:rsidP="00973276">
      <w:pPr>
        <w:pStyle w:val="CETListbullets"/>
        <w:ind w:left="0" w:firstLine="0"/>
      </w:pPr>
    </w:p>
    <w:p w14:paraId="5D96EDCA" w14:textId="77777777" w:rsidR="00973276" w:rsidRDefault="00973276" w:rsidP="00973276">
      <w:pPr>
        <w:pStyle w:val="CETListbullets"/>
        <w:ind w:left="0" w:firstLine="0"/>
      </w:pPr>
      <w:r>
        <w:t xml:space="preserve">The obtained distances </w:t>
      </w:r>
      <m:oMath>
        <m:sSub>
          <m:sSubPr>
            <m:ctrlPr>
              <w:rPr>
                <w:rFonts w:ascii="Cambria Math" w:hAnsi="Cambria Math"/>
                <w:i/>
              </w:rPr>
            </m:ctrlPr>
          </m:sSubPr>
          <m:e>
            <m:r>
              <w:rPr>
                <w:rFonts w:ascii="Cambria Math" w:hAnsi="Cambria Math"/>
              </w:rPr>
              <m:t>d</m:t>
            </m:r>
          </m:e>
          <m:sub>
            <m:r>
              <w:rPr>
                <w:rFonts w:ascii="Cambria Math" w:hAnsi="Cambria Math"/>
              </w:rPr>
              <m:t>i,j,k</m:t>
            </m:r>
          </m:sub>
        </m:sSub>
      </m:oMath>
      <w:r>
        <w:t xml:space="preserve"> are reduced into the triplets (</w:t>
      </w:r>
      <m:oMath>
        <m:sSub>
          <m:sSubPr>
            <m:ctrlPr>
              <w:rPr>
                <w:rFonts w:ascii="Cambria Math" w:hAnsi="Cambria Math"/>
                <w:i/>
              </w:rPr>
            </m:ctrlPr>
          </m:sSubPr>
          <m:e>
            <m:r>
              <w:rPr>
                <w:rFonts w:ascii="Cambria Math" w:hAnsi="Cambria Math"/>
              </w:rPr>
              <m:t>f</m:t>
            </m:r>
          </m:e>
          <m:sub>
            <m:r>
              <w:rPr>
                <w:rFonts w:ascii="Cambria Math" w:hAnsi="Cambria Math"/>
              </w:rPr>
              <m:t>i,j</m:t>
            </m:r>
          </m:sub>
        </m:sSub>
      </m:oMath>
      <w:r>
        <w:t xml:space="preserve">, </w:t>
      </w:r>
      <m:oMath>
        <m:sSub>
          <m:sSubPr>
            <m:ctrlPr>
              <w:rPr>
                <w:rFonts w:ascii="Cambria Math" w:hAnsi="Cambria Math"/>
                <w:i/>
              </w:rPr>
            </m:ctrlPr>
          </m:sSubPr>
          <m:e>
            <m:r>
              <w:rPr>
                <w:rFonts w:ascii="Cambria Math" w:hAnsi="Cambria Math"/>
              </w:rPr>
              <m:t>t</m:t>
            </m:r>
          </m:e>
          <m:sub>
            <m:r>
              <w:rPr>
                <w:rFonts w:ascii="Cambria Math" w:hAnsi="Cambria Math"/>
              </w:rPr>
              <m:t>i,j</m:t>
            </m:r>
          </m:sub>
        </m:sSub>
      </m:oMath>
      <w:r>
        <w:t xml:space="preserve">, </w:t>
      </w:r>
      <m:oMath>
        <m:sSub>
          <m:sSubPr>
            <m:ctrlPr>
              <w:rPr>
                <w:rFonts w:ascii="Cambria Math" w:hAnsi="Cambria Math"/>
                <w:i/>
              </w:rPr>
            </m:ctrlPr>
          </m:sSubPr>
          <m:e>
            <m:r>
              <w:rPr>
                <w:rFonts w:ascii="Cambria Math" w:hAnsi="Cambria Math"/>
              </w:rPr>
              <m:t>h</m:t>
            </m:r>
          </m:e>
          <m:sub>
            <m:r>
              <w:rPr>
                <w:rFonts w:ascii="Cambria Math" w:hAnsi="Cambria Math"/>
              </w:rPr>
              <m:t>i,j</m:t>
            </m:r>
          </m:sub>
        </m:sSub>
      </m:oMath>
      <w:r>
        <w:t xml:space="preserve">) where </w:t>
      </w:r>
      <m:oMath>
        <m:sSub>
          <m:sSubPr>
            <m:ctrlPr>
              <w:rPr>
                <w:rFonts w:ascii="Cambria Math" w:hAnsi="Cambria Math"/>
                <w:i/>
              </w:rPr>
            </m:ctrlPr>
          </m:sSubPr>
          <m:e>
            <m:r>
              <w:rPr>
                <w:rFonts w:ascii="Cambria Math" w:hAnsi="Cambria Math"/>
              </w:rPr>
              <m:t>f</m:t>
            </m:r>
          </m:e>
          <m:sub>
            <m:r>
              <w:rPr>
                <w:rFonts w:ascii="Cambria Math" w:hAnsi="Cambria Math"/>
              </w:rPr>
              <m:t>i,j</m:t>
            </m:r>
          </m:sub>
        </m:sSub>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i,j</m:t>
            </m:r>
          </m:sub>
        </m:sSub>
      </m:oMath>
      <w:r>
        <w:t xml:space="preserve">, are the maximum distances obtained for each LOC and unit respectively for fire scenarios and toxic cloud. </w:t>
      </w:r>
      <m:oMath>
        <m:sSub>
          <m:sSubPr>
            <m:ctrlPr>
              <w:rPr>
                <w:rFonts w:ascii="Cambria Math" w:hAnsi="Cambria Math"/>
                <w:i/>
              </w:rPr>
            </m:ctrlPr>
          </m:sSubPr>
          <m:e>
            <m:r>
              <w:rPr>
                <w:rFonts w:ascii="Cambria Math" w:hAnsi="Cambria Math"/>
              </w:rPr>
              <m:t>h</m:t>
            </m:r>
          </m:e>
          <m:sub>
            <m:r>
              <w:rPr>
                <w:rFonts w:ascii="Cambria Math" w:hAnsi="Cambria Math"/>
              </w:rPr>
              <m:t>i,j</m:t>
            </m:r>
          </m:sub>
        </m:sSub>
      </m:oMath>
      <w:r>
        <w:t xml:space="preserve"> is the maximum </w:t>
      </w:r>
      <w:r>
        <w:lastRenderedPageBreak/>
        <w:t xml:space="preserve">among them. Then , failure frequencies were assigned to each </w:t>
      </w:r>
      <w:proofErr w:type="spellStart"/>
      <w:r w:rsidRPr="00202678">
        <w:rPr>
          <w:i/>
          <w:iCs/>
        </w:rPr>
        <w:t>i</w:t>
      </w:r>
      <w:r>
        <w:t>-th</w:t>
      </w:r>
      <w:proofErr w:type="spellEnd"/>
      <w:r>
        <w:t xml:space="preserve"> LOC upon the type of equipment, according to the credit factors </w:t>
      </w:r>
      <m:oMath>
        <m:sSub>
          <m:sSubPr>
            <m:ctrlPr>
              <w:rPr>
                <w:rFonts w:ascii="Cambria Math" w:hAnsi="Cambria Math" w:cs="Arial"/>
                <w:i/>
              </w:rPr>
            </m:ctrlPr>
          </m:sSubPr>
          <m:e>
            <m:r>
              <w:rPr>
                <w:rFonts w:ascii="Cambria Math" w:hAnsi="Cambria Math" w:cs="Arial"/>
              </w:rPr>
              <m:t>C</m:t>
            </m:r>
          </m:e>
          <m:sub>
            <m:r>
              <w:rPr>
                <w:rFonts w:ascii="Cambria Math" w:hAnsi="Cambria Math" w:cs="Arial"/>
              </w:rPr>
              <m:t>fi,j</m:t>
            </m:r>
          </m:sub>
        </m:sSub>
      </m:oMath>
      <w:r>
        <w:t xml:space="preserve"> indicated by the Purple Book </w:t>
      </w:r>
      <w:r>
        <w:fldChar w:fldCharType="begin" w:fldLock="1"/>
      </w:r>
      <w:r>
        <w:instrText>ADDIN CSL_CITATION {"citationItems":[{"id":"ITEM-1","itemData":{"ISBN":"90 12 08796 1","abstract":"This paper presents a brief survey of current methodology available for quantitative risk assessment of environmental carcinogens. Four current models for low-dose extrapolation are reviewed. Current problems and controversies and possible options in doing quantitative risk assessments based on chronic animal studies are discussed.","author":[{"dropping-particle":"","family":"TNO","given":"","non-dropping-particle":"","parse-names":false,"suffix":""}],"container-title":"Publication Series on Dangerous Substances (PGS 3)","id":"ITEM-1","issue":"Pgs 3","issued":{"date-parts":[["2005"]]},"page":"237","title":"The “Purple book” – Guidelines for quantitative risk assessment","type":"article-journal"},"uris":["http://www.mendeley.com/documents/?uuid=997ba423-6777-452b-aea4-7ecde7c1d2f2"]}],"mendeley":{"formattedCitation":"(TNO, 2005)","plainTextFormattedCitation":"(TNO, 2005)","previouslyFormattedCitation":"(TNO, 2005)"},"properties":{"noteIndex":0},"schema":"https://github.com/citation-style-language/schema/raw/master/csl-citation.json"}</w:instrText>
      </w:r>
      <w:r>
        <w:fldChar w:fldCharType="separate"/>
      </w:r>
      <w:r w:rsidRPr="0062646D">
        <w:rPr>
          <w:noProof/>
        </w:rPr>
        <w:t>(TNO, 2005)</w:t>
      </w:r>
      <w:r>
        <w:fldChar w:fldCharType="end"/>
      </w:r>
      <w:r>
        <w:t xml:space="preserve">. Finally, unit indexes were calculated according to the methodology proposed by </w:t>
      </w:r>
      <w:proofErr w:type="spellStart"/>
      <w:r>
        <w:t>Tugnoli</w:t>
      </w:r>
      <w:proofErr w:type="spellEnd"/>
      <w:r>
        <w:t xml:space="preserve"> et al. </w:t>
      </w:r>
      <w:r>
        <w:fldChar w:fldCharType="begin" w:fldLock="1"/>
      </w:r>
      <w:r>
        <w:instrText>ADDIN CSL_CITATION {"citationItems":[{"id":"ITEM-1","itemData":{"DOI":"10.1002/aic","author":[{"dropping-particle":"","family":"Tugnoli","given":"Alessandro","non-dropping-particle":"","parse-names":false,"suffix":""},{"dropping-particle":"","family":"Cozzani","given":"Valerio","non-dropping-particle":"","parse-names":false,"suffix":""},{"dropping-particle":"","family":"Landucci","given":"Gabriele","non-dropping-particle":"","parse-names":false,"suffix":""}],"container-title":"A.I. Chemical Engineering Journal","id":"ITEM-1","issue":"12","issued":{"date-parts":[["2007"]]},"page":"3171-3182","title":"A Consequence Based Approach to the Quantitative Assessment of Inherent Safety","type":"article-journal","volume":"53"},"uris":["http://www.mendeley.com/documents/?uuid=00d263c9-5e05-4171-8e97-f0c7082fa281"]}],"mendeley":{"formattedCitation":"(Tugnoli, Cozzani and Landucci, 2007)","plainTextFormattedCitation":"(Tugnoli, Cozzani and Landucci, 2007)","previouslyFormattedCitation":"(Tugnoli, Cozzani and Landucci, 2007)"},"properties":{"noteIndex":0},"schema":"https://github.com/citation-style-language/schema/raw/master/csl-citation.json"}</w:instrText>
      </w:r>
      <w:r>
        <w:fldChar w:fldCharType="separate"/>
      </w:r>
      <w:r w:rsidRPr="00562131">
        <w:rPr>
          <w:noProof/>
        </w:rPr>
        <w:t>(2007)</w:t>
      </w:r>
      <w:r>
        <w:fldChar w:fldCharType="end"/>
      </w:r>
      <w:r>
        <w:t xml:space="preserve"> as follows: </w:t>
      </w:r>
    </w:p>
    <w:tbl>
      <w:tblPr>
        <w:tblW w:w="5050" w:type="pct"/>
        <w:tblLook w:val="04A0" w:firstRow="1" w:lastRow="0" w:firstColumn="1" w:lastColumn="0" w:noHBand="0" w:noVBand="1"/>
      </w:tblPr>
      <w:tblGrid>
        <w:gridCol w:w="8270"/>
        <w:gridCol w:w="823"/>
      </w:tblGrid>
      <w:tr w:rsidR="00973276" w:rsidRPr="00B57B36" w14:paraId="5D9A456E" w14:textId="77777777" w:rsidTr="001000BE">
        <w:trPr>
          <w:trHeight w:val="349"/>
        </w:trPr>
        <w:tc>
          <w:tcPr>
            <w:tcW w:w="8270" w:type="dxa"/>
            <w:shd w:val="clear" w:color="auto" w:fill="auto"/>
            <w:vAlign w:val="center"/>
          </w:tcPr>
          <w:p w14:paraId="022D42A4" w14:textId="77777777" w:rsidR="00973276" w:rsidRPr="00B57B36" w:rsidRDefault="00973276" w:rsidP="001000BE">
            <w:pPr>
              <w:pStyle w:val="CETEquation"/>
              <w:spacing w:before="0" w:after="0"/>
            </w:pPr>
            <w:r w:rsidRPr="00C304DC">
              <w:rPr>
                <w:noProof/>
                <w:lang w:eastAsia="it-IT"/>
              </w:rPr>
              <w:t xml:space="preserve"> </w:t>
            </w:r>
            <m:oMath>
              <m:sSub>
                <m:sSubPr>
                  <m:ctrlPr>
                    <w:rPr>
                      <w:rFonts w:ascii="Cambria Math" w:hAnsi="Cambria Math"/>
                    </w:rPr>
                  </m:ctrlPr>
                </m:sSubPr>
                <m:e>
                  <m:r>
                    <w:rPr>
                      <w:rFonts w:ascii="Cambria Math" w:hAnsi="Cambria Math"/>
                    </w:rPr>
                    <m:t>UPI</m:t>
                  </m:r>
                </m:e>
                <m:sub>
                  <m:r>
                    <w:rPr>
                      <w:rFonts w:ascii="Cambria Math" w:hAnsi="Cambria Math"/>
                    </w:rPr>
                    <m:t>j</m:t>
                  </m:r>
                </m:sub>
              </m:sSub>
              <m:r>
                <m:rPr>
                  <m:sty m:val="p"/>
                </m:rPr>
                <w:rPr>
                  <w:rFonts w:ascii="Cambria Math" w:hAnsi="Cambria Math"/>
                </w:rPr>
                <m:t>=</m:t>
              </m:r>
              <m:sSub>
                <m:sSubPr>
                  <m:ctrlPr>
                    <w:rPr>
                      <w:rFonts w:ascii="Cambria Math" w:hAnsi="Cambria Math"/>
                    </w:rPr>
                  </m:ctrlPr>
                </m:sSubPr>
                <m:e>
                  <m:r>
                    <w:rPr>
                      <w:rFonts w:ascii="Cambria Math" w:hAnsi="Cambria Math"/>
                    </w:rPr>
                    <m:t>m</m:t>
                  </m:r>
                  <m:r>
                    <w:rPr>
                      <w:rFonts w:ascii="Cambria Math" w:hAnsi="Cambria Math"/>
                    </w:rPr>
                    <m:t>ax</m:t>
                  </m:r>
                </m:e>
                <m:sub>
                  <m:r>
                    <w:rPr>
                      <w:rFonts w:ascii="Cambria Math" w:hAnsi="Cambria Math"/>
                    </w:rPr>
                    <m:t>i</m:t>
                  </m:r>
                </m:sub>
              </m:sSub>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w:rPr>
                              <w:rFonts w:ascii="Cambria Math" w:hAnsi="Cambria Math"/>
                            </w:rPr>
                            <m:t>h</m:t>
                          </m:r>
                        </m:e>
                        <m:sub>
                          <m:r>
                            <w:rPr>
                              <w:rFonts w:ascii="Cambria Math" w:hAnsi="Cambria Math"/>
                            </w:rPr>
                            <m:t>i</m:t>
                          </m:r>
                          <m:r>
                            <m:rPr>
                              <m:sty m:val="p"/>
                            </m:rPr>
                            <w:rPr>
                              <w:rFonts w:ascii="Cambria Math" w:hAnsi="Cambria Math"/>
                            </w:rPr>
                            <m:t>,</m:t>
                          </m:r>
                          <m:r>
                            <w:rPr>
                              <w:rFonts w:ascii="Cambria Math" w:hAnsi="Cambria Math"/>
                            </w:rPr>
                            <m:t>j</m:t>
                          </m:r>
                        </m:sub>
                      </m:sSub>
                    </m:e>
                    <m:sup>
                      <m:r>
                        <m:rPr>
                          <m:sty m:val="p"/>
                        </m:rPr>
                        <w:rPr>
                          <w:rFonts w:ascii="Cambria Math" w:hAnsi="Cambria Math"/>
                        </w:rPr>
                        <m:t>2</m:t>
                      </m:r>
                    </m:sup>
                  </m:sSup>
                </m:e>
              </m:d>
            </m:oMath>
          </w:p>
        </w:tc>
        <w:tc>
          <w:tcPr>
            <w:tcW w:w="823" w:type="dxa"/>
            <w:shd w:val="clear" w:color="auto" w:fill="auto"/>
            <w:vAlign w:val="center"/>
          </w:tcPr>
          <w:p w14:paraId="1D624268" w14:textId="77777777" w:rsidR="00973276" w:rsidRPr="00B57B36" w:rsidRDefault="00973276" w:rsidP="001000BE">
            <w:pPr>
              <w:pStyle w:val="CETEquation"/>
              <w:spacing w:before="0" w:after="0"/>
            </w:pPr>
            <w:r w:rsidRPr="00B57B36">
              <w:t>(1)</w:t>
            </w:r>
          </w:p>
        </w:tc>
      </w:tr>
      <w:tr w:rsidR="00973276" w:rsidRPr="00B57B36" w14:paraId="54382E34" w14:textId="77777777" w:rsidTr="007346B0">
        <w:trPr>
          <w:trHeight w:val="413"/>
        </w:trPr>
        <w:tc>
          <w:tcPr>
            <w:tcW w:w="8270" w:type="dxa"/>
            <w:shd w:val="clear" w:color="auto" w:fill="auto"/>
            <w:vAlign w:val="center"/>
          </w:tcPr>
          <w:p w14:paraId="02667FE8" w14:textId="77777777" w:rsidR="00973276" w:rsidRPr="00C705C0" w:rsidRDefault="002414AF" w:rsidP="001000BE">
            <w:pPr>
              <w:pStyle w:val="CETEquation"/>
              <w:spacing w:before="0" w:after="0"/>
              <w:rPr>
                <w:noProof/>
              </w:rPr>
            </w:pPr>
            <m:oMathPara>
              <m:oMathParaPr>
                <m:jc m:val="left"/>
              </m:oMathParaPr>
              <m:oMath>
                <m:sSub>
                  <m:sSubPr>
                    <m:ctrlPr>
                      <w:rPr>
                        <w:rFonts w:ascii="Cambria Math" w:hAnsi="Cambria Math"/>
                      </w:rPr>
                    </m:ctrlPr>
                  </m:sSubPr>
                  <m:e>
                    <m:r>
                      <w:rPr>
                        <w:rFonts w:ascii="Cambria Math" w:hAnsi="Cambria Math"/>
                      </w:rPr>
                      <m:t>UFHI</m:t>
                    </m:r>
                  </m:e>
                  <m:sub>
                    <m:r>
                      <w:rPr>
                        <w:rFonts w:ascii="Cambria Math" w:hAnsi="Cambria Math"/>
                      </w:rPr>
                      <m:t>j</m:t>
                    </m:r>
                  </m:sub>
                </m:sSub>
                <m:r>
                  <m:rPr>
                    <m:sty m:val="p"/>
                  </m:rPr>
                  <w:rPr>
                    <w:rFonts w:ascii="Cambria Math" w:hAnsi="Cambria Math"/>
                  </w:rPr>
                  <m:t xml:space="preserve">= </m:t>
                </m:r>
                <m:nary>
                  <m:naryPr>
                    <m:chr m:val="∑"/>
                    <m:limLoc m:val="subSup"/>
                    <m:ctrlPr>
                      <w:rPr>
                        <w:rFonts w:ascii="Cambria Math" w:hAnsi="Cambria Math"/>
                      </w:rPr>
                    </m:ctrlPr>
                  </m:naryPr>
                  <m:sub>
                    <m:r>
                      <w:rPr>
                        <w:rFonts w:ascii="Cambria Math" w:hAnsi="Cambria Math"/>
                      </w:rPr>
                      <m:t>i</m:t>
                    </m:r>
                  </m:sub>
                  <m:sup>
                    <m:r>
                      <m:rPr>
                        <m:sty m:val="p"/>
                      </m:rPr>
                      <w:rPr>
                        <w:rFonts w:ascii="Cambria Math" w:hAnsi="Cambria Math"/>
                      </w:rPr>
                      <m:t>5</m:t>
                    </m:r>
                  </m:sup>
                  <m:e>
                    <m:sSub>
                      <m:sSubPr>
                        <m:ctrlPr>
                          <w:rPr>
                            <w:rFonts w:ascii="Cambria Math" w:hAnsi="Cambria Math"/>
                          </w:rPr>
                        </m:ctrlPr>
                      </m:sSubPr>
                      <m:e>
                        <m:r>
                          <w:rPr>
                            <w:rFonts w:ascii="Cambria Math" w:hAnsi="Cambria Math"/>
                          </w:rPr>
                          <m:t>C</m:t>
                        </m:r>
                      </m:e>
                      <m:sub>
                        <m:r>
                          <w:rPr>
                            <w:rFonts w:ascii="Cambria Math" w:hAnsi="Cambria Math"/>
                          </w:rPr>
                          <m:t>fi</m:t>
                        </m:r>
                        <m:r>
                          <m:rPr>
                            <m:sty m:val="p"/>
                          </m:rPr>
                          <w:rPr>
                            <w:rFonts w:ascii="Cambria Math" w:hAnsi="Cambria Math"/>
                          </w:rPr>
                          <m:t>,</m:t>
                        </m:r>
                        <m:r>
                          <w:rPr>
                            <w:rFonts w:ascii="Cambria Math" w:hAnsi="Cambria Math"/>
                          </w:rPr>
                          <m:t>j</m:t>
                        </m:r>
                      </m:sub>
                    </m:sSub>
                    <m:sSup>
                      <m:sSupPr>
                        <m:ctrlPr>
                          <w:rPr>
                            <w:rFonts w:ascii="Cambria Math" w:hAnsi="Cambria Math"/>
                          </w:rPr>
                        </m:ctrlPr>
                      </m:sSupPr>
                      <m:e>
                        <m:sSub>
                          <m:sSubPr>
                            <m:ctrlPr>
                              <w:rPr>
                                <w:rFonts w:ascii="Cambria Math" w:hAnsi="Cambria Math"/>
                              </w:rPr>
                            </m:ctrlPr>
                          </m:sSubPr>
                          <m:e>
                            <m:r>
                              <m:rPr>
                                <m:sty m:val="p"/>
                              </m:rPr>
                              <w:rPr>
                                <w:rFonts w:ascii="Cambria Math" w:hAnsi="Cambria Math"/>
                              </w:rPr>
                              <m:t xml:space="preserve"> </m:t>
                            </m:r>
                            <m:r>
                              <w:rPr>
                                <w:rFonts w:ascii="Cambria Math" w:hAnsi="Cambria Math"/>
                              </w:rPr>
                              <m:t>f</m:t>
                            </m:r>
                          </m:e>
                          <m:sub>
                            <m:r>
                              <w:rPr>
                                <w:rFonts w:ascii="Cambria Math" w:hAnsi="Cambria Math"/>
                              </w:rPr>
                              <m:t>i</m:t>
                            </m:r>
                            <m:r>
                              <m:rPr>
                                <m:sty m:val="p"/>
                              </m:rPr>
                              <w:rPr>
                                <w:rFonts w:ascii="Cambria Math" w:hAnsi="Cambria Math"/>
                              </w:rPr>
                              <m:t>,</m:t>
                            </m:r>
                            <m:r>
                              <w:rPr>
                                <w:rFonts w:ascii="Cambria Math" w:hAnsi="Cambria Math"/>
                              </w:rPr>
                              <m:t>j</m:t>
                            </m:r>
                          </m:sub>
                        </m:sSub>
                      </m:e>
                      <m:sup>
                        <m:r>
                          <m:rPr>
                            <m:sty m:val="p"/>
                          </m:rPr>
                          <w:rPr>
                            <w:rFonts w:ascii="Cambria Math" w:hAnsi="Cambria Math"/>
                          </w:rPr>
                          <m:t>2</m:t>
                        </m:r>
                      </m:sup>
                    </m:sSup>
                  </m:e>
                </m:nary>
              </m:oMath>
            </m:oMathPara>
          </w:p>
        </w:tc>
        <w:tc>
          <w:tcPr>
            <w:tcW w:w="823" w:type="dxa"/>
            <w:shd w:val="clear" w:color="auto" w:fill="auto"/>
            <w:vAlign w:val="center"/>
          </w:tcPr>
          <w:p w14:paraId="31458CD2" w14:textId="77777777" w:rsidR="00973276" w:rsidRPr="00C705C0" w:rsidRDefault="00973276" w:rsidP="001000BE">
            <w:pPr>
              <w:pStyle w:val="CETEquation"/>
              <w:spacing w:before="0" w:after="0"/>
            </w:pPr>
            <w:r w:rsidRPr="00B57B36">
              <w:t>(</w:t>
            </w:r>
            <w:r>
              <w:t>2</w:t>
            </w:r>
            <w:r w:rsidRPr="00B57B36">
              <w:t>)</w:t>
            </w:r>
          </w:p>
        </w:tc>
      </w:tr>
      <w:tr w:rsidR="00973276" w:rsidRPr="00B57B36" w14:paraId="324036E2" w14:textId="77777777" w:rsidTr="007346B0">
        <w:trPr>
          <w:trHeight w:val="413"/>
        </w:trPr>
        <w:tc>
          <w:tcPr>
            <w:tcW w:w="8270" w:type="dxa"/>
            <w:shd w:val="clear" w:color="auto" w:fill="auto"/>
            <w:vAlign w:val="center"/>
          </w:tcPr>
          <w:p w14:paraId="0A51708A" w14:textId="77777777" w:rsidR="00973276" w:rsidRPr="00FB3139" w:rsidRDefault="002414AF" w:rsidP="001000BE">
            <w:pPr>
              <w:pStyle w:val="CETEquation"/>
              <w:spacing w:before="0" w:after="0"/>
            </w:pPr>
            <m:oMathPara>
              <m:oMathParaPr>
                <m:jc m:val="left"/>
              </m:oMathParaPr>
              <m:oMath>
                <m:sSub>
                  <m:sSubPr>
                    <m:ctrlPr>
                      <w:rPr>
                        <w:rFonts w:ascii="Cambria Math" w:hAnsi="Cambria Math"/>
                      </w:rPr>
                    </m:ctrlPr>
                  </m:sSubPr>
                  <m:e>
                    <m:r>
                      <w:rPr>
                        <w:rFonts w:ascii="Cambria Math" w:hAnsi="Cambria Math"/>
                      </w:rPr>
                      <m:t>UTHI</m:t>
                    </m:r>
                  </m:e>
                  <m:sub>
                    <m:r>
                      <w:rPr>
                        <w:rFonts w:ascii="Cambria Math" w:hAnsi="Cambria Math"/>
                      </w:rPr>
                      <m:t>j</m:t>
                    </m:r>
                  </m:sub>
                </m:sSub>
                <m:r>
                  <m:rPr>
                    <m:sty m:val="p"/>
                  </m:rPr>
                  <w:rPr>
                    <w:rFonts w:ascii="Cambria Math" w:hAnsi="Cambria Math"/>
                  </w:rPr>
                  <m:t xml:space="preserve">= </m:t>
                </m:r>
                <m:nary>
                  <m:naryPr>
                    <m:chr m:val="∑"/>
                    <m:limLoc m:val="subSup"/>
                    <m:ctrlPr>
                      <w:rPr>
                        <w:rFonts w:ascii="Cambria Math" w:hAnsi="Cambria Math"/>
                      </w:rPr>
                    </m:ctrlPr>
                  </m:naryPr>
                  <m:sub>
                    <m:r>
                      <w:rPr>
                        <w:rFonts w:ascii="Cambria Math" w:hAnsi="Cambria Math"/>
                      </w:rPr>
                      <m:t>i</m:t>
                    </m:r>
                  </m:sub>
                  <m:sup>
                    <m:r>
                      <m:rPr>
                        <m:sty m:val="p"/>
                      </m:rPr>
                      <w:rPr>
                        <w:rFonts w:ascii="Cambria Math" w:hAnsi="Cambria Math"/>
                      </w:rPr>
                      <m:t>5</m:t>
                    </m:r>
                  </m:sup>
                  <m:e>
                    <m:sSub>
                      <m:sSubPr>
                        <m:ctrlPr>
                          <w:rPr>
                            <w:rFonts w:ascii="Cambria Math" w:hAnsi="Cambria Math"/>
                          </w:rPr>
                        </m:ctrlPr>
                      </m:sSubPr>
                      <m:e>
                        <m:r>
                          <w:rPr>
                            <w:rFonts w:ascii="Cambria Math" w:hAnsi="Cambria Math"/>
                          </w:rPr>
                          <m:t>C</m:t>
                        </m:r>
                      </m:e>
                      <m:sub>
                        <m:r>
                          <w:rPr>
                            <w:rFonts w:ascii="Cambria Math" w:hAnsi="Cambria Math"/>
                          </w:rPr>
                          <m:t>fi</m:t>
                        </m:r>
                        <m:r>
                          <m:rPr>
                            <m:sty m:val="p"/>
                          </m:rPr>
                          <w:rPr>
                            <w:rFonts w:ascii="Cambria Math" w:hAnsi="Cambria Math"/>
                          </w:rPr>
                          <m:t>,</m:t>
                        </m:r>
                        <m:r>
                          <w:rPr>
                            <w:rFonts w:ascii="Cambria Math" w:hAnsi="Cambria Math"/>
                          </w:rPr>
                          <m:t>j</m:t>
                        </m:r>
                      </m:sub>
                    </m:sSub>
                    <m:r>
                      <m:rPr>
                        <m:sty m:val="p"/>
                      </m:rPr>
                      <w:rPr>
                        <w:rFonts w:ascii="Cambria Math" w:hAnsi="Cambria Math"/>
                      </w:rPr>
                      <m:t xml:space="preserve"> </m:t>
                    </m:r>
                    <m:sSup>
                      <m:sSupPr>
                        <m:ctrlPr>
                          <w:rPr>
                            <w:rFonts w:ascii="Cambria Math" w:hAnsi="Cambria Math"/>
                          </w:rPr>
                        </m:ctrlPr>
                      </m:sSupPr>
                      <m:e>
                        <m:sSub>
                          <m:sSubPr>
                            <m:ctrlPr>
                              <w:rPr>
                                <w:rFonts w:ascii="Cambria Math" w:hAnsi="Cambria Math"/>
                              </w:rPr>
                            </m:ctrlPr>
                          </m:sSubPr>
                          <m:e>
                            <m:r>
                              <w:rPr>
                                <w:rFonts w:ascii="Cambria Math" w:hAnsi="Cambria Math"/>
                              </w:rPr>
                              <m:t>t</m:t>
                            </m:r>
                          </m:e>
                          <m:sub>
                            <m:r>
                              <w:rPr>
                                <w:rFonts w:ascii="Cambria Math" w:hAnsi="Cambria Math"/>
                              </w:rPr>
                              <m:t>i</m:t>
                            </m:r>
                            <m:r>
                              <m:rPr>
                                <m:sty m:val="p"/>
                              </m:rPr>
                              <w:rPr>
                                <w:rFonts w:ascii="Cambria Math" w:hAnsi="Cambria Math"/>
                              </w:rPr>
                              <m:t>,</m:t>
                            </m:r>
                            <m:r>
                              <w:rPr>
                                <w:rFonts w:ascii="Cambria Math" w:hAnsi="Cambria Math"/>
                              </w:rPr>
                              <m:t>j</m:t>
                            </m:r>
                          </m:sub>
                        </m:sSub>
                      </m:e>
                      <m:sup>
                        <m:r>
                          <m:rPr>
                            <m:sty m:val="p"/>
                          </m:rPr>
                          <w:rPr>
                            <w:rFonts w:ascii="Cambria Math" w:hAnsi="Cambria Math"/>
                          </w:rPr>
                          <m:t>2</m:t>
                        </m:r>
                      </m:sup>
                    </m:sSup>
                  </m:e>
                </m:nary>
              </m:oMath>
            </m:oMathPara>
          </w:p>
        </w:tc>
        <w:tc>
          <w:tcPr>
            <w:tcW w:w="823" w:type="dxa"/>
            <w:shd w:val="clear" w:color="auto" w:fill="auto"/>
            <w:vAlign w:val="center"/>
          </w:tcPr>
          <w:p w14:paraId="715703F8" w14:textId="77777777" w:rsidR="00973276" w:rsidRPr="00B57B36" w:rsidRDefault="00973276" w:rsidP="001000BE">
            <w:pPr>
              <w:pStyle w:val="CETEquation"/>
              <w:spacing w:before="0" w:after="0"/>
            </w:pPr>
            <w:r w:rsidRPr="00B57B36">
              <w:t>(</w:t>
            </w:r>
            <w:r>
              <w:t>3</w:t>
            </w:r>
            <w:r w:rsidRPr="00B57B36">
              <w:t>)</w:t>
            </w:r>
          </w:p>
        </w:tc>
      </w:tr>
      <w:tr w:rsidR="00973276" w:rsidRPr="00B57B36" w14:paraId="1BA655E7" w14:textId="77777777" w:rsidTr="007346B0">
        <w:trPr>
          <w:trHeight w:val="413"/>
        </w:trPr>
        <w:tc>
          <w:tcPr>
            <w:tcW w:w="8270" w:type="dxa"/>
            <w:shd w:val="clear" w:color="auto" w:fill="auto"/>
            <w:vAlign w:val="center"/>
          </w:tcPr>
          <w:p w14:paraId="64864441" w14:textId="77777777" w:rsidR="00973276" w:rsidRPr="00C705C0" w:rsidRDefault="002414AF" w:rsidP="001000BE">
            <w:pPr>
              <w:pStyle w:val="CETEquation"/>
              <w:spacing w:before="0" w:after="0"/>
            </w:pPr>
            <m:oMathPara>
              <m:oMathParaPr>
                <m:jc m:val="left"/>
              </m:oMathParaPr>
              <m:oMath>
                <m:sSub>
                  <m:sSubPr>
                    <m:ctrlPr>
                      <w:rPr>
                        <w:rFonts w:ascii="Cambria Math" w:hAnsi="Cambria Math"/>
                      </w:rPr>
                    </m:ctrlPr>
                  </m:sSubPr>
                  <m:e>
                    <m:r>
                      <w:rPr>
                        <w:rFonts w:ascii="Cambria Math" w:hAnsi="Cambria Math"/>
                      </w:rPr>
                      <m:t>UHI</m:t>
                    </m:r>
                  </m:e>
                  <m:sub>
                    <m:r>
                      <w:rPr>
                        <w:rFonts w:ascii="Cambria Math" w:hAnsi="Cambria Math"/>
                      </w:rPr>
                      <m:t>j</m:t>
                    </m:r>
                  </m:sub>
                </m:sSub>
                <m:r>
                  <m:rPr>
                    <m:sty m:val="p"/>
                  </m:rPr>
                  <w:rPr>
                    <w:rFonts w:ascii="Cambria Math" w:hAnsi="Cambria Math"/>
                  </w:rPr>
                  <m:t xml:space="preserve">= </m:t>
                </m:r>
                <m:nary>
                  <m:naryPr>
                    <m:chr m:val="∑"/>
                    <m:limLoc m:val="subSup"/>
                    <m:ctrlPr>
                      <w:rPr>
                        <w:rFonts w:ascii="Cambria Math" w:hAnsi="Cambria Math"/>
                      </w:rPr>
                    </m:ctrlPr>
                  </m:naryPr>
                  <m:sub>
                    <m:r>
                      <w:rPr>
                        <w:rFonts w:ascii="Cambria Math" w:hAnsi="Cambria Math"/>
                      </w:rPr>
                      <m:t>i</m:t>
                    </m:r>
                  </m:sub>
                  <m:sup>
                    <m:r>
                      <m:rPr>
                        <m:sty m:val="p"/>
                      </m:rPr>
                      <w:rPr>
                        <w:rFonts w:ascii="Cambria Math" w:hAnsi="Cambria Math"/>
                      </w:rPr>
                      <m:t>5</m:t>
                    </m:r>
                  </m:sup>
                  <m:e>
                    <m:sSub>
                      <m:sSubPr>
                        <m:ctrlPr>
                          <w:rPr>
                            <w:rFonts w:ascii="Cambria Math" w:hAnsi="Cambria Math"/>
                          </w:rPr>
                        </m:ctrlPr>
                      </m:sSubPr>
                      <m:e>
                        <m:r>
                          <w:rPr>
                            <w:rFonts w:ascii="Cambria Math" w:hAnsi="Cambria Math"/>
                          </w:rPr>
                          <m:t>C</m:t>
                        </m:r>
                      </m:e>
                      <m:sub>
                        <m:r>
                          <w:rPr>
                            <w:rFonts w:ascii="Cambria Math" w:hAnsi="Cambria Math"/>
                          </w:rPr>
                          <m:t>fi</m:t>
                        </m:r>
                        <m:r>
                          <m:rPr>
                            <m:sty m:val="p"/>
                          </m:rPr>
                          <w:rPr>
                            <w:rFonts w:ascii="Cambria Math" w:hAnsi="Cambria Math"/>
                          </w:rPr>
                          <m:t>,</m:t>
                        </m:r>
                        <m:r>
                          <w:rPr>
                            <w:rFonts w:ascii="Cambria Math" w:hAnsi="Cambria Math"/>
                          </w:rPr>
                          <m:t>j</m:t>
                        </m:r>
                      </m:sub>
                    </m:sSub>
                    <m:sSup>
                      <m:sSupPr>
                        <m:ctrlPr>
                          <w:rPr>
                            <w:rFonts w:ascii="Cambria Math" w:hAnsi="Cambria Math"/>
                          </w:rPr>
                        </m:ctrlPr>
                      </m:sSupPr>
                      <m:e>
                        <m:sSub>
                          <m:sSubPr>
                            <m:ctrlPr>
                              <w:rPr>
                                <w:rFonts w:ascii="Cambria Math" w:hAnsi="Cambria Math"/>
                              </w:rPr>
                            </m:ctrlPr>
                          </m:sSubPr>
                          <m:e>
                            <m:r>
                              <m:rPr>
                                <m:sty m:val="p"/>
                              </m:rPr>
                              <w:rPr>
                                <w:rFonts w:ascii="Cambria Math" w:hAnsi="Cambria Math"/>
                              </w:rPr>
                              <m:t xml:space="preserve"> </m:t>
                            </m:r>
                            <m:r>
                              <w:rPr>
                                <w:rFonts w:ascii="Cambria Math" w:hAnsi="Cambria Math"/>
                              </w:rPr>
                              <m:t>h</m:t>
                            </m:r>
                          </m:e>
                          <m:sub>
                            <m:r>
                              <w:rPr>
                                <w:rFonts w:ascii="Cambria Math" w:hAnsi="Cambria Math"/>
                              </w:rPr>
                              <m:t>i</m:t>
                            </m:r>
                            <m:r>
                              <m:rPr>
                                <m:sty m:val="p"/>
                              </m:rPr>
                              <w:rPr>
                                <w:rFonts w:ascii="Cambria Math" w:hAnsi="Cambria Math"/>
                              </w:rPr>
                              <m:t>,</m:t>
                            </m:r>
                            <m:r>
                              <w:rPr>
                                <w:rFonts w:ascii="Cambria Math" w:hAnsi="Cambria Math"/>
                              </w:rPr>
                              <m:t>j</m:t>
                            </m:r>
                          </m:sub>
                        </m:sSub>
                      </m:e>
                      <m:sup>
                        <m:r>
                          <m:rPr>
                            <m:sty m:val="p"/>
                          </m:rPr>
                          <w:rPr>
                            <w:rFonts w:ascii="Cambria Math" w:hAnsi="Cambria Math"/>
                          </w:rPr>
                          <m:t>2</m:t>
                        </m:r>
                      </m:sup>
                    </m:sSup>
                  </m:e>
                </m:nary>
              </m:oMath>
            </m:oMathPara>
          </w:p>
        </w:tc>
        <w:tc>
          <w:tcPr>
            <w:tcW w:w="823" w:type="dxa"/>
            <w:shd w:val="clear" w:color="auto" w:fill="auto"/>
            <w:vAlign w:val="center"/>
          </w:tcPr>
          <w:p w14:paraId="0DF56EBF" w14:textId="77777777" w:rsidR="00973276" w:rsidRPr="00B57B36" w:rsidRDefault="00973276" w:rsidP="001000BE">
            <w:pPr>
              <w:pStyle w:val="CETEquation"/>
              <w:spacing w:before="0" w:after="0"/>
            </w:pPr>
            <w:r w:rsidRPr="00B57B36">
              <w:t>(</w:t>
            </w:r>
            <w:r>
              <w:t>4</w:t>
            </w:r>
            <w:r w:rsidRPr="00B57B36">
              <w:t>)</w:t>
            </w:r>
          </w:p>
        </w:tc>
      </w:tr>
    </w:tbl>
    <w:p w14:paraId="573A4174" w14:textId="77777777" w:rsidR="00973276" w:rsidRDefault="002414AF" w:rsidP="00973276">
      <w:pPr>
        <w:pStyle w:val="CETBodytext"/>
      </w:pPr>
      <m:oMath>
        <m:sSub>
          <m:sSubPr>
            <m:ctrlPr>
              <w:rPr>
                <w:rFonts w:ascii="Cambria Math" w:hAnsi="Cambria Math" w:cs="Arial"/>
              </w:rPr>
            </m:ctrlPr>
          </m:sSubPr>
          <m:e>
            <m:r>
              <w:rPr>
                <w:rFonts w:ascii="Cambria Math" w:hAnsi="Cambria Math" w:cs="Arial"/>
              </w:rPr>
              <m:t>UPI</m:t>
            </m:r>
          </m:e>
          <m:sub>
            <m:r>
              <w:rPr>
                <w:rFonts w:ascii="Cambria Math" w:hAnsi="Cambria Math" w:cs="Arial"/>
              </w:rPr>
              <m:t>j</m:t>
            </m:r>
          </m:sub>
        </m:sSub>
      </m:oMath>
      <w:r w:rsidR="00973276">
        <w:rPr>
          <w:lang w:val="en-GB"/>
        </w:rPr>
        <w:t xml:space="preserve"> (m</w:t>
      </w:r>
      <w:r w:rsidR="00973276" w:rsidRPr="00BC45EF">
        <w:rPr>
          <w:vertAlign w:val="superscript"/>
          <w:lang w:val="en-GB"/>
        </w:rPr>
        <w:t>2</w:t>
      </w:r>
      <w:r w:rsidR="00973276">
        <w:rPr>
          <w:lang w:val="en-GB"/>
        </w:rPr>
        <w:t>) is the unit potential hazard index and measures the maximum damage area derived from the worst-case accident scenario for the</w:t>
      </w:r>
      <w:r w:rsidR="00973276" w:rsidRPr="00F95174">
        <w:rPr>
          <w:i/>
          <w:iCs/>
          <w:lang w:val="en-GB"/>
        </w:rPr>
        <w:t xml:space="preserve"> j</w:t>
      </w:r>
      <w:r w:rsidR="00973276">
        <w:rPr>
          <w:lang w:val="en-GB"/>
        </w:rPr>
        <w:t>-</w:t>
      </w:r>
      <w:proofErr w:type="spellStart"/>
      <w:r w:rsidR="00973276">
        <w:rPr>
          <w:lang w:val="en-GB"/>
        </w:rPr>
        <w:t>th</w:t>
      </w:r>
      <w:proofErr w:type="spellEnd"/>
      <w:r w:rsidR="00973276">
        <w:rPr>
          <w:lang w:val="en-GB"/>
        </w:rPr>
        <w:t xml:space="preserve"> unit. The indicators presented in </w:t>
      </w:r>
      <w:proofErr w:type="spellStart"/>
      <w:r w:rsidR="00973276">
        <w:rPr>
          <w:lang w:val="en-GB"/>
        </w:rPr>
        <w:t>Eq</w:t>
      </w:r>
      <w:proofErr w:type="spellEnd"/>
      <w:r w:rsidR="00973276">
        <w:rPr>
          <w:lang w:val="en-GB"/>
        </w:rPr>
        <w:t xml:space="preserve">(2), </w:t>
      </w:r>
      <w:proofErr w:type="spellStart"/>
      <w:r w:rsidR="00973276">
        <w:rPr>
          <w:lang w:val="en-GB"/>
        </w:rPr>
        <w:t>Eq</w:t>
      </w:r>
      <w:proofErr w:type="spellEnd"/>
      <w:r w:rsidR="00973276">
        <w:rPr>
          <w:lang w:val="en-GB"/>
        </w:rPr>
        <w:t xml:space="preserve">(3) and </w:t>
      </w:r>
      <w:proofErr w:type="spellStart"/>
      <w:r w:rsidR="00973276">
        <w:rPr>
          <w:lang w:val="en-GB"/>
        </w:rPr>
        <w:t>Eq</w:t>
      </w:r>
      <w:proofErr w:type="spellEnd"/>
      <w:r w:rsidR="00973276">
        <w:rPr>
          <w:lang w:val="en-GB"/>
        </w:rPr>
        <w:t xml:space="preserve">(4) account for the damage areas scaled with </w:t>
      </w:r>
      <w:proofErr w:type="spellStart"/>
      <w:r w:rsidR="00973276">
        <w:rPr>
          <w:lang w:val="en-GB"/>
        </w:rPr>
        <w:t>LOCs’</w:t>
      </w:r>
      <w:proofErr w:type="spellEnd"/>
      <w:r w:rsidR="00973276">
        <w:rPr>
          <w:lang w:val="en-GB"/>
        </w:rPr>
        <w:t xml:space="preserve"> frequencies (in m</w:t>
      </w:r>
      <w:r w:rsidR="00973276" w:rsidRPr="00BC45EF">
        <w:rPr>
          <w:vertAlign w:val="superscript"/>
          <w:lang w:val="en-GB"/>
        </w:rPr>
        <w:t>2</w:t>
      </w:r>
      <w:r w:rsidR="00973276">
        <w:rPr>
          <w:lang w:val="en-GB"/>
        </w:rPr>
        <w:t xml:space="preserve">/y): </w:t>
      </w:r>
      <m:oMath>
        <m:sSub>
          <m:sSubPr>
            <m:ctrlPr>
              <w:rPr>
                <w:rFonts w:ascii="Cambria Math" w:hAnsi="Cambria Math" w:cs="Arial"/>
              </w:rPr>
            </m:ctrlPr>
          </m:sSubPr>
          <m:e>
            <m:r>
              <w:rPr>
                <w:rFonts w:ascii="Cambria Math" w:hAnsi="Cambria Math" w:cs="Arial"/>
              </w:rPr>
              <m:t>UFHI</m:t>
            </m:r>
          </m:e>
          <m:sub>
            <m:r>
              <w:rPr>
                <w:rFonts w:ascii="Cambria Math" w:hAnsi="Cambria Math" w:cs="Arial"/>
              </w:rPr>
              <m:t>j</m:t>
            </m:r>
          </m:sub>
        </m:sSub>
      </m:oMath>
      <w:r w:rsidR="00973276">
        <w:t xml:space="preserve"> is </w:t>
      </w:r>
      <w:r w:rsidR="00973276">
        <w:rPr>
          <w:lang w:val="en-GB"/>
        </w:rPr>
        <w:t xml:space="preserve">the flammability inherent hazard index, </w:t>
      </w:r>
      <m:oMath>
        <m:sSub>
          <m:sSubPr>
            <m:ctrlPr>
              <w:rPr>
                <w:rFonts w:ascii="Cambria Math" w:hAnsi="Cambria Math" w:cs="Arial"/>
              </w:rPr>
            </m:ctrlPr>
          </m:sSubPr>
          <m:e>
            <m:r>
              <w:rPr>
                <w:rFonts w:ascii="Cambria Math" w:hAnsi="Cambria Math" w:cs="Arial"/>
              </w:rPr>
              <m:t>UTHI</m:t>
            </m:r>
          </m:e>
          <m:sub>
            <m:r>
              <w:rPr>
                <w:rFonts w:ascii="Cambria Math" w:hAnsi="Cambria Math" w:cs="Arial"/>
              </w:rPr>
              <m:t>j</m:t>
            </m:r>
          </m:sub>
        </m:sSub>
      </m:oMath>
      <w:r w:rsidR="00973276">
        <w:t xml:space="preserve"> is </w:t>
      </w:r>
      <w:r w:rsidR="00973276">
        <w:rPr>
          <w:lang w:val="en-GB"/>
        </w:rPr>
        <w:t>the toxicity inherent hazard index and</w:t>
      </w:r>
      <w:r w:rsidR="00973276">
        <w:t xml:space="preserve"> </w:t>
      </w:r>
      <m:oMath>
        <m:sSub>
          <m:sSubPr>
            <m:ctrlPr>
              <w:rPr>
                <w:rFonts w:ascii="Cambria Math" w:hAnsi="Cambria Math" w:cs="Arial"/>
              </w:rPr>
            </m:ctrlPr>
          </m:sSubPr>
          <m:e>
            <m:r>
              <w:rPr>
                <w:rFonts w:ascii="Cambria Math" w:hAnsi="Cambria Math" w:cs="Arial"/>
              </w:rPr>
              <m:t>UHI</m:t>
            </m:r>
          </m:e>
          <m:sub>
            <m:r>
              <w:rPr>
                <w:rFonts w:ascii="Cambria Math" w:hAnsi="Cambria Math" w:cs="Arial"/>
              </w:rPr>
              <m:t>j</m:t>
            </m:r>
          </m:sub>
        </m:sSub>
      </m:oMath>
      <w:r w:rsidR="00973276">
        <w:t xml:space="preserve"> is the inherent hazard index, summarizing the intrinsic damage potential of a unit. The unit indexes obtained for each process were aggregated through summation over the present hazardous equipment; doing so, the overall key-performance indicators </w:t>
      </w:r>
      <m:oMath>
        <m:r>
          <w:rPr>
            <w:rFonts w:ascii="Cambria Math" w:hAnsi="Cambria Math"/>
          </w:rPr>
          <m:t>PI</m:t>
        </m:r>
      </m:oMath>
      <w:r w:rsidR="00973276">
        <w:t xml:space="preserve">, </w:t>
      </w:r>
      <m:oMath>
        <m:r>
          <w:rPr>
            <w:rFonts w:ascii="Cambria Math" w:hAnsi="Cambria Math"/>
          </w:rPr>
          <m:t>HI</m:t>
        </m:r>
      </m:oMath>
      <w:r w:rsidR="00973276">
        <w:t xml:space="preserve">, </w:t>
      </w:r>
      <m:oMath>
        <m:r>
          <w:rPr>
            <w:rFonts w:ascii="Cambria Math" w:hAnsi="Cambria Math"/>
          </w:rPr>
          <m:t>FHI</m:t>
        </m:r>
      </m:oMath>
      <w:r w:rsidR="00973276">
        <w:t xml:space="preserve"> and </w:t>
      </w:r>
      <m:oMath>
        <m:r>
          <w:rPr>
            <w:rFonts w:ascii="Cambria Math" w:hAnsi="Cambria Math"/>
          </w:rPr>
          <m:t>THI</m:t>
        </m:r>
      </m:oMath>
      <w:r w:rsidR="00973276">
        <w:t xml:space="preserve"> are comparable, being representative of the schemes’ inherent safety status.</w:t>
      </w:r>
    </w:p>
    <w:p w14:paraId="70EDE45E" w14:textId="77777777" w:rsidR="00973276" w:rsidRDefault="00973276" w:rsidP="00973276">
      <w:pPr>
        <w:pStyle w:val="CETHeading1"/>
        <w:tabs>
          <w:tab w:val="clear" w:pos="360"/>
          <w:tab w:val="right" w:pos="7100"/>
        </w:tabs>
        <w:jc w:val="both"/>
        <w:rPr>
          <w:lang w:val="en-GB"/>
        </w:rPr>
      </w:pPr>
      <w:r>
        <w:rPr>
          <w:lang w:val="en-GB"/>
        </w:rPr>
        <w:t>Results and discussion</w:t>
      </w:r>
    </w:p>
    <w:p w14:paraId="715ED332" w14:textId="77777777" w:rsidR="00973276" w:rsidRDefault="00973276" w:rsidP="00973276">
      <w:pPr>
        <w:pStyle w:val="CETListbullets"/>
        <w:ind w:left="0" w:firstLine="0"/>
      </w:pPr>
      <w:r>
        <w:t xml:space="preserve">From </w:t>
      </w:r>
      <w:r>
        <w:rPr>
          <w:highlight w:val="yellow"/>
        </w:rPr>
        <w:fldChar w:fldCharType="begin"/>
      </w:r>
      <w:r>
        <w:instrText xml:space="preserve"> REF _Ref36741655 \h </w:instrText>
      </w:r>
      <w:r>
        <w:rPr>
          <w:highlight w:val="yellow"/>
        </w:rPr>
      </w:r>
      <w:r>
        <w:rPr>
          <w:highlight w:val="yellow"/>
        </w:rPr>
        <w:fldChar w:fldCharType="separate"/>
      </w:r>
      <w:r>
        <w:t xml:space="preserve">Table </w:t>
      </w:r>
      <w:r>
        <w:rPr>
          <w:noProof/>
        </w:rPr>
        <w:t>2</w:t>
      </w:r>
      <w:r>
        <w:rPr>
          <w:highlight w:val="yellow"/>
        </w:rPr>
        <w:fldChar w:fldCharType="end"/>
      </w:r>
      <w:r>
        <w:t xml:space="preserve">, the equipment prone to hazardous releases are numerically superior for the biodiesel process scheme, given the presence of high number of photobioreactors operating in parallel (i.e. 196) devoted to microalgae’s growth; nonetheless the inventories of the biodiesel process are determined by a higher number of hazardous compounds (see </w:t>
      </w:r>
      <w:r>
        <w:fldChar w:fldCharType="begin"/>
      </w:r>
      <w:r>
        <w:instrText xml:space="preserve"> REF _Ref36737676 \h </w:instrText>
      </w:r>
      <w:r>
        <w:fldChar w:fldCharType="separate"/>
      </w:r>
      <w:r>
        <w:t xml:space="preserve">Table </w:t>
      </w:r>
      <w:r>
        <w:rPr>
          <w:noProof/>
        </w:rPr>
        <w:t>1</w:t>
      </w:r>
      <w:r>
        <w:fldChar w:fldCharType="end"/>
      </w:r>
      <w:r>
        <w:t>).</w:t>
      </w:r>
    </w:p>
    <w:p w14:paraId="5DD9187A" w14:textId="77777777" w:rsidR="00973276" w:rsidRDefault="00973276" w:rsidP="00973276">
      <w:pPr>
        <w:pStyle w:val="CETCaption"/>
      </w:pPr>
      <w:bookmarkStart w:id="4" w:name="_Ref36741655"/>
      <w:r>
        <w:t xml:space="preserve">Table </w:t>
      </w:r>
      <w:r>
        <w:fldChar w:fldCharType="begin"/>
      </w:r>
      <w:r>
        <w:instrText xml:space="preserve"> SEQ Table \* ARABIC </w:instrText>
      </w:r>
      <w:r>
        <w:fldChar w:fldCharType="separate"/>
      </w:r>
      <w:r>
        <w:rPr>
          <w:noProof/>
        </w:rPr>
        <w:t>2</w:t>
      </w:r>
      <w:r>
        <w:fldChar w:fldCharType="end"/>
      </w:r>
      <w:bookmarkEnd w:id="4"/>
      <w:r>
        <w:t>. Contents and operative conditions of units identified as hazardous in both process schemes. Inventories of hazardous substances are reported in kg; N is the number of equal equipment; BD stands for biodiesel.</w:t>
      </w:r>
    </w:p>
    <w:tbl>
      <w:tblPr>
        <w:tblW w:w="872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763"/>
        <w:gridCol w:w="786"/>
        <w:gridCol w:w="698"/>
        <w:gridCol w:w="1079"/>
        <w:gridCol w:w="775"/>
        <w:gridCol w:w="783"/>
        <w:gridCol w:w="776"/>
        <w:gridCol w:w="730"/>
        <w:gridCol w:w="688"/>
        <w:gridCol w:w="708"/>
        <w:gridCol w:w="84"/>
      </w:tblGrid>
      <w:tr w:rsidR="00973276" w:rsidRPr="00B57B36" w14:paraId="4F5245DC" w14:textId="77777777" w:rsidTr="007346B0">
        <w:trPr>
          <w:trHeight w:val="280"/>
        </w:trPr>
        <w:tc>
          <w:tcPr>
            <w:tcW w:w="851" w:type="dxa"/>
            <w:tcBorders>
              <w:top w:val="single" w:sz="12" w:space="0" w:color="008000"/>
              <w:bottom w:val="single" w:sz="6" w:space="0" w:color="008000"/>
            </w:tcBorders>
            <w:shd w:val="clear" w:color="auto" w:fill="FFFFFF"/>
          </w:tcPr>
          <w:p w14:paraId="6C8CEF23" w14:textId="77777777" w:rsidR="00973276" w:rsidRPr="00B57B36" w:rsidRDefault="00973276" w:rsidP="007346B0">
            <w:pPr>
              <w:pStyle w:val="CETBodytext"/>
              <w:jc w:val="center"/>
              <w:rPr>
                <w:lang w:val="en-GB"/>
              </w:rPr>
            </w:pPr>
            <w:r w:rsidRPr="00207A63">
              <w:t>UNIT</w:t>
            </w:r>
          </w:p>
        </w:tc>
        <w:tc>
          <w:tcPr>
            <w:tcW w:w="763" w:type="dxa"/>
            <w:tcBorders>
              <w:top w:val="single" w:sz="12" w:space="0" w:color="008000"/>
              <w:bottom w:val="single" w:sz="6" w:space="0" w:color="008000"/>
            </w:tcBorders>
            <w:shd w:val="clear" w:color="auto" w:fill="FFFFFF"/>
          </w:tcPr>
          <w:p w14:paraId="75BF045A" w14:textId="77777777" w:rsidR="00973276" w:rsidRPr="00B57B36" w:rsidRDefault="00973276" w:rsidP="007346B0">
            <w:pPr>
              <w:pStyle w:val="CETBodytext"/>
              <w:jc w:val="center"/>
              <w:rPr>
                <w:lang w:val="en-GB"/>
              </w:rPr>
            </w:pPr>
            <w:r w:rsidRPr="00207A63">
              <w:t>N</w:t>
            </w:r>
          </w:p>
        </w:tc>
        <w:tc>
          <w:tcPr>
            <w:tcW w:w="786" w:type="dxa"/>
            <w:tcBorders>
              <w:top w:val="single" w:sz="12" w:space="0" w:color="008000"/>
              <w:bottom w:val="single" w:sz="6" w:space="0" w:color="008000"/>
            </w:tcBorders>
            <w:shd w:val="clear" w:color="auto" w:fill="FFFFFF"/>
          </w:tcPr>
          <w:p w14:paraId="3C16ED9A" w14:textId="77777777" w:rsidR="00973276" w:rsidRPr="00B57B36" w:rsidRDefault="00973276" w:rsidP="007346B0">
            <w:pPr>
              <w:pStyle w:val="CETBodytext"/>
              <w:jc w:val="center"/>
              <w:rPr>
                <w:lang w:val="en-GB"/>
              </w:rPr>
            </w:pPr>
            <w:r w:rsidRPr="00207A63">
              <w:t>P (bar)</w:t>
            </w:r>
          </w:p>
        </w:tc>
        <w:tc>
          <w:tcPr>
            <w:tcW w:w="698" w:type="dxa"/>
            <w:tcBorders>
              <w:top w:val="single" w:sz="12" w:space="0" w:color="008000"/>
              <w:bottom w:val="single" w:sz="6" w:space="0" w:color="008000"/>
            </w:tcBorders>
            <w:shd w:val="clear" w:color="auto" w:fill="FFFFFF"/>
          </w:tcPr>
          <w:p w14:paraId="56A5FEFE" w14:textId="77777777" w:rsidR="00973276" w:rsidRPr="00B57B36" w:rsidRDefault="00973276" w:rsidP="007346B0">
            <w:pPr>
              <w:pStyle w:val="CETBodytext"/>
              <w:ind w:right="-1"/>
              <w:jc w:val="center"/>
              <w:rPr>
                <w:rFonts w:cs="Arial"/>
                <w:szCs w:val="18"/>
                <w:lang w:val="en-GB"/>
              </w:rPr>
            </w:pPr>
            <w:r w:rsidRPr="00207A63">
              <w:t>T (°C)</w:t>
            </w:r>
          </w:p>
        </w:tc>
        <w:tc>
          <w:tcPr>
            <w:tcW w:w="1079" w:type="dxa"/>
            <w:tcBorders>
              <w:top w:val="single" w:sz="12" w:space="0" w:color="008000"/>
              <w:bottom w:val="single" w:sz="6" w:space="0" w:color="008000"/>
            </w:tcBorders>
            <w:shd w:val="clear" w:color="auto" w:fill="FFFFFF"/>
          </w:tcPr>
          <w:p w14:paraId="39342C24" w14:textId="77777777" w:rsidR="00973276" w:rsidRPr="00B57B36" w:rsidRDefault="00973276" w:rsidP="007346B0">
            <w:pPr>
              <w:pStyle w:val="CETBodytext"/>
              <w:ind w:right="-1"/>
              <w:jc w:val="center"/>
              <w:rPr>
                <w:rFonts w:cs="Arial"/>
                <w:szCs w:val="18"/>
                <w:lang w:val="en-GB"/>
              </w:rPr>
            </w:pPr>
            <w:r w:rsidRPr="00207A63">
              <w:t>Phase</w:t>
            </w:r>
          </w:p>
        </w:tc>
        <w:tc>
          <w:tcPr>
            <w:tcW w:w="775" w:type="dxa"/>
            <w:tcBorders>
              <w:top w:val="single" w:sz="12" w:space="0" w:color="008000"/>
              <w:bottom w:val="single" w:sz="6" w:space="0" w:color="008000"/>
            </w:tcBorders>
            <w:shd w:val="clear" w:color="auto" w:fill="FFFFFF"/>
          </w:tcPr>
          <w:p w14:paraId="218E4110" w14:textId="77777777" w:rsidR="00973276" w:rsidRPr="00B57B36" w:rsidRDefault="00973276" w:rsidP="007346B0">
            <w:pPr>
              <w:pStyle w:val="CETBodytext"/>
              <w:ind w:right="-1"/>
              <w:jc w:val="center"/>
              <w:rPr>
                <w:rFonts w:cs="Arial"/>
                <w:szCs w:val="18"/>
                <w:lang w:val="en-GB"/>
              </w:rPr>
            </w:pPr>
            <w:r>
              <w:t>BD</w:t>
            </w:r>
          </w:p>
        </w:tc>
        <w:tc>
          <w:tcPr>
            <w:tcW w:w="783" w:type="dxa"/>
            <w:tcBorders>
              <w:top w:val="single" w:sz="12" w:space="0" w:color="008000"/>
              <w:bottom w:val="single" w:sz="6" w:space="0" w:color="008000"/>
            </w:tcBorders>
            <w:shd w:val="clear" w:color="auto" w:fill="FFFFFF"/>
          </w:tcPr>
          <w:p w14:paraId="6962D070" w14:textId="77777777" w:rsidR="00973276" w:rsidRPr="00DA609B" w:rsidRDefault="00973276" w:rsidP="007346B0">
            <w:pPr>
              <w:pStyle w:val="CETBodytext"/>
              <w:ind w:right="-1"/>
              <w:jc w:val="center"/>
            </w:pPr>
            <w:r>
              <w:t>CH</w:t>
            </w:r>
            <w:r w:rsidRPr="00D111B0">
              <w:rPr>
                <w:vertAlign w:val="subscript"/>
              </w:rPr>
              <w:t>3</w:t>
            </w:r>
            <w:r>
              <w:t>OH</w:t>
            </w:r>
          </w:p>
        </w:tc>
        <w:tc>
          <w:tcPr>
            <w:tcW w:w="776" w:type="dxa"/>
            <w:tcBorders>
              <w:top w:val="single" w:sz="12" w:space="0" w:color="008000"/>
              <w:bottom w:val="single" w:sz="6" w:space="0" w:color="008000"/>
            </w:tcBorders>
            <w:shd w:val="clear" w:color="auto" w:fill="FFFFFF"/>
          </w:tcPr>
          <w:p w14:paraId="0EE3396C" w14:textId="77777777" w:rsidR="00973276" w:rsidRPr="00DA609B" w:rsidRDefault="00973276" w:rsidP="007346B0">
            <w:pPr>
              <w:pStyle w:val="CETBodytext"/>
              <w:ind w:right="-1"/>
              <w:jc w:val="center"/>
            </w:pPr>
            <w:r>
              <w:t>CHCl</w:t>
            </w:r>
            <w:r w:rsidRPr="00D111B0">
              <w:rPr>
                <w:vertAlign w:val="subscript"/>
              </w:rPr>
              <w:t>3</w:t>
            </w:r>
          </w:p>
        </w:tc>
        <w:tc>
          <w:tcPr>
            <w:tcW w:w="730" w:type="dxa"/>
            <w:tcBorders>
              <w:top w:val="single" w:sz="12" w:space="0" w:color="008000"/>
              <w:bottom w:val="single" w:sz="6" w:space="0" w:color="008000"/>
            </w:tcBorders>
            <w:shd w:val="clear" w:color="auto" w:fill="FFFFFF"/>
          </w:tcPr>
          <w:p w14:paraId="3E1EAAD1" w14:textId="77777777" w:rsidR="00973276" w:rsidRPr="00DA609B" w:rsidRDefault="00973276" w:rsidP="007346B0">
            <w:pPr>
              <w:pStyle w:val="CETBodytext"/>
              <w:ind w:right="-1"/>
              <w:jc w:val="center"/>
            </w:pPr>
            <w:r w:rsidRPr="00207A63">
              <w:t>H</w:t>
            </w:r>
            <w:r w:rsidRPr="000E3797">
              <w:rPr>
                <w:vertAlign w:val="subscript"/>
              </w:rPr>
              <w:t>2</w:t>
            </w:r>
            <w:r w:rsidRPr="00207A63">
              <w:t>SO</w:t>
            </w:r>
            <w:r w:rsidRPr="000E3797">
              <w:rPr>
                <w:vertAlign w:val="subscript"/>
              </w:rPr>
              <w:t>4</w:t>
            </w:r>
          </w:p>
        </w:tc>
        <w:tc>
          <w:tcPr>
            <w:tcW w:w="688" w:type="dxa"/>
            <w:tcBorders>
              <w:top w:val="single" w:sz="12" w:space="0" w:color="008000"/>
              <w:bottom w:val="single" w:sz="6" w:space="0" w:color="008000"/>
            </w:tcBorders>
            <w:shd w:val="clear" w:color="auto" w:fill="FFFFFF"/>
          </w:tcPr>
          <w:p w14:paraId="398BF1D0" w14:textId="77777777" w:rsidR="00973276" w:rsidRPr="00B57B36" w:rsidRDefault="00973276" w:rsidP="007346B0">
            <w:pPr>
              <w:pStyle w:val="CETBodytext"/>
              <w:ind w:right="-1"/>
              <w:jc w:val="center"/>
              <w:rPr>
                <w:rFonts w:cs="Arial"/>
                <w:szCs w:val="18"/>
                <w:lang w:val="en-GB"/>
              </w:rPr>
            </w:pPr>
            <w:r w:rsidRPr="00207A63">
              <w:t>CO</w:t>
            </w:r>
            <w:r w:rsidRPr="000E3797">
              <w:rPr>
                <w:vertAlign w:val="subscript"/>
              </w:rPr>
              <w:t>2</w:t>
            </w:r>
          </w:p>
        </w:tc>
        <w:tc>
          <w:tcPr>
            <w:tcW w:w="792" w:type="dxa"/>
            <w:gridSpan w:val="2"/>
            <w:tcBorders>
              <w:top w:val="single" w:sz="12" w:space="0" w:color="008000"/>
              <w:bottom w:val="single" w:sz="6" w:space="0" w:color="008000"/>
            </w:tcBorders>
            <w:shd w:val="clear" w:color="auto" w:fill="FFFFFF"/>
          </w:tcPr>
          <w:p w14:paraId="48C882E4" w14:textId="77777777" w:rsidR="00973276" w:rsidRPr="00207A63" w:rsidRDefault="00973276" w:rsidP="007346B0">
            <w:pPr>
              <w:pStyle w:val="CETBodytext"/>
              <w:ind w:right="-1"/>
              <w:jc w:val="center"/>
            </w:pPr>
            <w:r>
              <w:t>H</w:t>
            </w:r>
            <w:r w:rsidRPr="000E3797">
              <w:rPr>
                <w:vertAlign w:val="subscript"/>
              </w:rPr>
              <w:t>2</w:t>
            </w:r>
          </w:p>
        </w:tc>
      </w:tr>
      <w:tr w:rsidR="00973276" w:rsidRPr="00675F93" w14:paraId="76AB09E3" w14:textId="77777777" w:rsidTr="007346B0">
        <w:trPr>
          <w:gridAfter w:val="1"/>
          <w:wAfter w:w="84" w:type="dxa"/>
          <w:trHeight w:val="280"/>
        </w:trPr>
        <w:tc>
          <w:tcPr>
            <w:tcW w:w="851" w:type="dxa"/>
            <w:tcBorders>
              <w:top w:val="nil"/>
              <w:bottom w:val="nil"/>
            </w:tcBorders>
            <w:shd w:val="clear" w:color="auto" w:fill="FFFFFF"/>
          </w:tcPr>
          <w:p w14:paraId="224EEB61" w14:textId="77777777" w:rsidR="00973276" w:rsidRPr="00675F93" w:rsidRDefault="00973276" w:rsidP="007346B0">
            <w:pPr>
              <w:pStyle w:val="CETBodytext"/>
              <w:jc w:val="center"/>
              <w:rPr>
                <w:lang w:val="en-GB"/>
              </w:rPr>
            </w:pPr>
            <w:r w:rsidRPr="00675F93">
              <w:rPr>
                <w:lang w:val="en-GB"/>
              </w:rPr>
              <w:t>PBR-</w:t>
            </w:r>
            <w:proofErr w:type="spellStart"/>
            <w:r w:rsidRPr="00675F93">
              <w:rPr>
                <w:lang w:val="en-GB"/>
              </w:rPr>
              <w:t>ph</w:t>
            </w:r>
            <w:proofErr w:type="spellEnd"/>
          </w:p>
        </w:tc>
        <w:tc>
          <w:tcPr>
            <w:tcW w:w="763" w:type="dxa"/>
            <w:tcBorders>
              <w:top w:val="nil"/>
              <w:bottom w:val="nil"/>
            </w:tcBorders>
            <w:shd w:val="clear" w:color="auto" w:fill="FFFFFF"/>
          </w:tcPr>
          <w:p w14:paraId="48A8B5A4" w14:textId="77777777" w:rsidR="00973276" w:rsidRPr="00D111B0" w:rsidRDefault="00973276" w:rsidP="007346B0">
            <w:pPr>
              <w:pStyle w:val="CETBodytext"/>
              <w:jc w:val="center"/>
              <w:rPr>
                <w:sz w:val="16"/>
                <w:szCs w:val="18"/>
                <w:lang w:val="en-GB"/>
              </w:rPr>
            </w:pPr>
            <w:r w:rsidRPr="00D111B0">
              <w:rPr>
                <w:sz w:val="16"/>
                <w:szCs w:val="18"/>
                <w:lang w:val="en-GB"/>
              </w:rPr>
              <w:t>196</w:t>
            </w:r>
          </w:p>
        </w:tc>
        <w:tc>
          <w:tcPr>
            <w:tcW w:w="786" w:type="dxa"/>
            <w:tcBorders>
              <w:top w:val="nil"/>
              <w:bottom w:val="nil"/>
            </w:tcBorders>
            <w:shd w:val="clear" w:color="auto" w:fill="FFFFFF"/>
          </w:tcPr>
          <w:p w14:paraId="0B4D2069"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698" w:type="dxa"/>
            <w:tcBorders>
              <w:top w:val="nil"/>
              <w:bottom w:val="nil"/>
            </w:tcBorders>
            <w:shd w:val="clear" w:color="auto" w:fill="FFFFFF"/>
          </w:tcPr>
          <w:p w14:paraId="28E108BB"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25</w:t>
            </w:r>
          </w:p>
        </w:tc>
        <w:tc>
          <w:tcPr>
            <w:tcW w:w="1079" w:type="dxa"/>
            <w:tcBorders>
              <w:top w:val="nil"/>
              <w:bottom w:val="nil"/>
            </w:tcBorders>
            <w:shd w:val="clear" w:color="auto" w:fill="FFFFFF"/>
          </w:tcPr>
          <w:p w14:paraId="5C18A455"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Gas</w:t>
            </w:r>
          </w:p>
        </w:tc>
        <w:tc>
          <w:tcPr>
            <w:tcW w:w="775" w:type="dxa"/>
            <w:tcBorders>
              <w:top w:val="nil"/>
              <w:bottom w:val="nil"/>
            </w:tcBorders>
            <w:shd w:val="clear" w:color="auto" w:fill="FFFFFF"/>
          </w:tcPr>
          <w:p w14:paraId="386525C6"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83" w:type="dxa"/>
            <w:tcBorders>
              <w:top w:val="nil"/>
              <w:bottom w:val="nil"/>
            </w:tcBorders>
            <w:shd w:val="clear" w:color="auto" w:fill="FFFFFF"/>
          </w:tcPr>
          <w:p w14:paraId="1B66EF0E"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776" w:type="dxa"/>
            <w:tcBorders>
              <w:top w:val="nil"/>
              <w:bottom w:val="nil"/>
            </w:tcBorders>
            <w:shd w:val="clear" w:color="auto" w:fill="FFFFFF"/>
          </w:tcPr>
          <w:p w14:paraId="56EDA28F"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730" w:type="dxa"/>
            <w:tcBorders>
              <w:top w:val="nil"/>
              <w:bottom w:val="nil"/>
            </w:tcBorders>
            <w:shd w:val="clear" w:color="auto" w:fill="FFFFFF"/>
          </w:tcPr>
          <w:p w14:paraId="758223CF"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688" w:type="dxa"/>
            <w:tcBorders>
              <w:top w:val="nil"/>
              <w:bottom w:val="nil"/>
            </w:tcBorders>
            <w:shd w:val="clear" w:color="auto" w:fill="FFFFFF"/>
          </w:tcPr>
          <w:p w14:paraId="1CA4B091"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1</w:t>
            </w:r>
          </w:p>
        </w:tc>
        <w:tc>
          <w:tcPr>
            <w:tcW w:w="708" w:type="dxa"/>
            <w:tcBorders>
              <w:top w:val="nil"/>
              <w:bottom w:val="nil"/>
            </w:tcBorders>
            <w:shd w:val="clear" w:color="auto" w:fill="FFFFFF"/>
          </w:tcPr>
          <w:p w14:paraId="75166198"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r>
      <w:tr w:rsidR="00973276" w:rsidRPr="00675F93" w14:paraId="066472D7" w14:textId="77777777" w:rsidTr="007346B0">
        <w:trPr>
          <w:gridAfter w:val="1"/>
          <w:wAfter w:w="84" w:type="dxa"/>
          <w:trHeight w:val="280"/>
        </w:trPr>
        <w:tc>
          <w:tcPr>
            <w:tcW w:w="851" w:type="dxa"/>
            <w:tcBorders>
              <w:top w:val="nil"/>
            </w:tcBorders>
            <w:shd w:val="clear" w:color="auto" w:fill="FFFFFF"/>
          </w:tcPr>
          <w:p w14:paraId="1AA74B78" w14:textId="77777777" w:rsidR="00973276" w:rsidRPr="00675F93" w:rsidRDefault="00973276" w:rsidP="007346B0">
            <w:pPr>
              <w:pStyle w:val="CETBodytext"/>
              <w:jc w:val="center"/>
              <w:rPr>
                <w:lang w:val="en-GB"/>
              </w:rPr>
            </w:pPr>
            <w:r w:rsidRPr="00675F93">
              <w:rPr>
                <w:lang w:val="en-GB"/>
              </w:rPr>
              <w:t>TR-01</w:t>
            </w:r>
          </w:p>
        </w:tc>
        <w:tc>
          <w:tcPr>
            <w:tcW w:w="763" w:type="dxa"/>
            <w:tcBorders>
              <w:top w:val="nil"/>
            </w:tcBorders>
            <w:shd w:val="clear" w:color="auto" w:fill="FFFFFF"/>
          </w:tcPr>
          <w:p w14:paraId="1F06F3C4"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786" w:type="dxa"/>
            <w:tcBorders>
              <w:top w:val="nil"/>
            </w:tcBorders>
            <w:shd w:val="clear" w:color="auto" w:fill="FFFFFF"/>
          </w:tcPr>
          <w:p w14:paraId="68C27061"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698" w:type="dxa"/>
            <w:tcBorders>
              <w:top w:val="nil"/>
            </w:tcBorders>
            <w:shd w:val="clear" w:color="auto" w:fill="FFFFFF"/>
          </w:tcPr>
          <w:p w14:paraId="065E32B3"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95</w:t>
            </w:r>
          </w:p>
        </w:tc>
        <w:tc>
          <w:tcPr>
            <w:tcW w:w="1079" w:type="dxa"/>
            <w:tcBorders>
              <w:top w:val="nil"/>
            </w:tcBorders>
            <w:shd w:val="clear" w:color="auto" w:fill="FFFFFF"/>
          </w:tcPr>
          <w:p w14:paraId="66CBC15C"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Liquid</w:t>
            </w:r>
          </w:p>
        </w:tc>
        <w:tc>
          <w:tcPr>
            <w:tcW w:w="775" w:type="dxa"/>
            <w:tcBorders>
              <w:top w:val="nil"/>
            </w:tcBorders>
            <w:shd w:val="clear" w:color="auto" w:fill="FFFFFF"/>
          </w:tcPr>
          <w:p w14:paraId="31C5D970"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90</w:t>
            </w:r>
          </w:p>
        </w:tc>
        <w:tc>
          <w:tcPr>
            <w:tcW w:w="783" w:type="dxa"/>
            <w:tcBorders>
              <w:top w:val="nil"/>
            </w:tcBorders>
            <w:shd w:val="clear" w:color="auto" w:fill="FFFFFF"/>
          </w:tcPr>
          <w:p w14:paraId="0E337090" w14:textId="77777777" w:rsidR="00973276" w:rsidRPr="00D111B0" w:rsidRDefault="00973276" w:rsidP="007346B0">
            <w:pPr>
              <w:pStyle w:val="CETBodytext"/>
              <w:ind w:right="-1"/>
              <w:jc w:val="center"/>
              <w:rPr>
                <w:sz w:val="16"/>
                <w:szCs w:val="18"/>
                <w:lang w:val="en-GB"/>
              </w:rPr>
            </w:pPr>
            <w:r w:rsidRPr="00D111B0">
              <w:rPr>
                <w:sz w:val="16"/>
                <w:szCs w:val="18"/>
                <w:lang w:val="en-GB"/>
              </w:rPr>
              <w:t>115</w:t>
            </w:r>
          </w:p>
        </w:tc>
        <w:tc>
          <w:tcPr>
            <w:tcW w:w="776" w:type="dxa"/>
            <w:tcBorders>
              <w:top w:val="nil"/>
            </w:tcBorders>
            <w:shd w:val="clear" w:color="auto" w:fill="FFFFFF"/>
          </w:tcPr>
          <w:p w14:paraId="6671F3BD" w14:textId="77777777" w:rsidR="00973276" w:rsidRPr="00D111B0" w:rsidRDefault="00973276" w:rsidP="007346B0">
            <w:pPr>
              <w:pStyle w:val="CETBodytext"/>
              <w:ind w:right="-1"/>
              <w:jc w:val="center"/>
              <w:rPr>
                <w:sz w:val="16"/>
                <w:szCs w:val="18"/>
                <w:lang w:val="en-GB"/>
              </w:rPr>
            </w:pPr>
            <w:r w:rsidRPr="00D111B0">
              <w:rPr>
                <w:sz w:val="16"/>
                <w:szCs w:val="18"/>
                <w:lang w:val="en-GB"/>
              </w:rPr>
              <w:t>159</w:t>
            </w:r>
          </w:p>
        </w:tc>
        <w:tc>
          <w:tcPr>
            <w:tcW w:w="730" w:type="dxa"/>
            <w:tcBorders>
              <w:top w:val="nil"/>
            </w:tcBorders>
            <w:shd w:val="clear" w:color="auto" w:fill="FFFFFF"/>
          </w:tcPr>
          <w:p w14:paraId="3CA0990A" w14:textId="77777777" w:rsidR="00973276" w:rsidRPr="00D111B0" w:rsidRDefault="00973276" w:rsidP="007346B0">
            <w:pPr>
              <w:pStyle w:val="CETBodytext"/>
              <w:ind w:right="-1"/>
              <w:jc w:val="center"/>
              <w:rPr>
                <w:sz w:val="16"/>
                <w:szCs w:val="18"/>
                <w:lang w:val="en-GB"/>
              </w:rPr>
            </w:pPr>
            <w:r w:rsidRPr="00D111B0">
              <w:rPr>
                <w:sz w:val="16"/>
                <w:szCs w:val="18"/>
                <w:lang w:val="en-GB"/>
              </w:rPr>
              <w:t>1657</w:t>
            </w:r>
          </w:p>
        </w:tc>
        <w:tc>
          <w:tcPr>
            <w:tcW w:w="688" w:type="dxa"/>
            <w:tcBorders>
              <w:top w:val="nil"/>
            </w:tcBorders>
            <w:shd w:val="clear" w:color="auto" w:fill="FFFFFF"/>
          </w:tcPr>
          <w:p w14:paraId="781BE660"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08" w:type="dxa"/>
            <w:tcBorders>
              <w:top w:val="nil"/>
            </w:tcBorders>
            <w:shd w:val="clear" w:color="auto" w:fill="FFFFFF"/>
          </w:tcPr>
          <w:p w14:paraId="6161F798"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r>
      <w:tr w:rsidR="00973276" w:rsidRPr="00675F93" w14:paraId="3C68A4D7" w14:textId="77777777" w:rsidTr="007346B0">
        <w:trPr>
          <w:gridAfter w:val="1"/>
          <w:wAfter w:w="84" w:type="dxa"/>
          <w:trHeight w:val="280"/>
        </w:trPr>
        <w:tc>
          <w:tcPr>
            <w:tcW w:w="851" w:type="dxa"/>
            <w:shd w:val="clear" w:color="auto" w:fill="FFFFFF"/>
          </w:tcPr>
          <w:p w14:paraId="569655CE" w14:textId="77777777" w:rsidR="00973276" w:rsidRPr="00675F93" w:rsidRDefault="00973276" w:rsidP="007346B0">
            <w:pPr>
              <w:pStyle w:val="CETBodytext"/>
              <w:jc w:val="center"/>
              <w:rPr>
                <w:lang w:val="en-GB"/>
              </w:rPr>
            </w:pPr>
            <w:r w:rsidRPr="00675F93">
              <w:rPr>
                <w:lang w:val="en-GB"/>
              </w:rPr>
              <w:t>TR-01</w:t>
            </w:r>
          </w:p>
        </w:tc>
        <w:tc>
          <w:tcPr>
            <w:tcW w:w="763" w:type="dxa"/>
            <w:shd w:val="clear" w:color="auto" w:fill="FFFFFF"/>
          </w:tcPr>
          <w:p w14:paraId="6066A669"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786" w:type="dxa"/>
            <w:shd w:val="clear" w:color="auto" w:fill="FFFFFF"/>
          </w:tcPr>
          <w:p w14:paraId="5D0AFD88"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698" w:type="dxa"/>
            <w:shd w:val="clear" w:color="auto" w:fill="FFFFFF"/>
          </w:tcPr>
          <w:p w14:paraId="09AD401F"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95</w:t>
            </w:r>
          </w:p>
        </w:tc>
        <w:tc>
          <w:tcPr>
            <w:tcW w:w="1079" w:type="dxa"/>
            <w:shd w:val="clear" w:color="auto" w:fill="FFFFFF"/>
          </w:tcPr>
          <w:p w14:paraId="5681A673"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Vapour</w:t>
            </w:r>
          </w:p>
        </w:tc>
        <w:tc>
          <w:tcPr>
            <w:tcW w:w="775" w:type="dxa"/>
            <w:shd w:val="clear" w:color="auto" w:fill="FFFFFF"/>
          </w:tcPr>
          <w:p w14:paraId="46DB64AA"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83" w:type="dxa"/>
            <w:shd w:val="clear" w:color="auto" w:fill="FFFFFF"/>
          </w:tcPr>
          <w:p w14:paraId="69B1B442" w14:textId="77777777" w:rsidR="00973276" w:rsidRPr="00D111B0" w:rsidRDefault="00973276" w:rsidP="007346B0">
            <w:pPr>
              <w:pStyle w:val="CETBodytext"/>
              <w:ind w:right="-1"/>
              <w:jc w:val="center"/>
              <w:rPr>
                <w:sz w:val="16"/>
                <w:szCs w:val="18"/>
                <w:lang w:val="en-GB"/>
              </w:rPr>
            </w:pPr>
            <w:r w:rsidRPr="00D111B0">
              <w:rPr>
                <w:sz w:val="16"/>
                <w:szCs w:val="18"/>
                <w:lang w:val="en-GB"/>
              </w:rPr>
              <w:t>1</w:t>
            </w:r>
          </w:p>
        </w:tc>
        <w:tc>
          <w:tcPr>
            <w:tcW w:w="776" w:type="dxa"/>
            <w:shd w:val="clear" w:color="auto" w:fill="FFFFFF"/>
          </w:tcPr>
          <w:p w14:paraId="615D3465" w14:textId="77777777" w:rsidR="00973276" w:rsidRPr="00D111B0" w:rsidRDefault="00973276" w:rsidP="007346B0">
            <w:pPr>
              <w:pStyle w:val="CETBodytext"/>
              <w:ind w:right="-1"/>
              <w:jc w:val="center"/>
              <w:rPr>
                <w:sz w:val="16"/>
                <w:szCs w:val="18"/>
                <w:lang w:val="en-GB"/>
              </w:rPr>
            </w:pPr>
            <w:r w:rsidRPr="00D111B0">
              <w:rPr>
                <w:sz w:val="16"/>
                <w:szCs w:val="18"/>
                <w:lang w:val="en-GB"/>
              </w:rPr>
              <w:t>1</w:t>
            </w:r>
          </w:p>
        </w:tc>
        <w:tc>
          <w:tcPr>
            <w:tcW w:w="730" w:type="dxa"/>
            <w:shd w:val="clear" w:color="auto" w:fill="FFFFFF"/>
          </w:tcPr>
          <w:p w14:paraId="4FB00086"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688" w:type="dxa"/>
            <w:shd w:val="clear" w:color="auto" w:fill="FFFFFF"/>
          </w:tcPr>
          <w:p w14:paraId="2E10FBDB"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08" w:type="dxa"/>
            <w:shd w:val="clear" w:color="auto" w:fill="FFFFFF"/>
          </w:tcPr>
          <w:p w14:paraId="5C9ADEF8"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r>
      <w:tr w:rsidR="00973276" w:rsidRPr="00675F93" w14:paraId="2E4F98A3" w14:textId="77777777" w:rsidTr="007346B0">
        <w:trPr>
          <w:gridAfter w:val="1"/>
          <w:wAfter w:w="84" w:type="dxa"/>
          <w:trHeight w:val="280"/>
        </w:trPr>
        <w:tc>
          <w:tcPr>
            <w:tcW w:w="851" w:type="dxa"/>
            <w:shd w:val="clear" w:color="auto" w:fill="FFFFFF"/>
          </w:tcPr>
          <w:p w14:paraId="1588904B" w14:textId="77777777" w:rsidR="00973276" w:rsidRPr="00675F93" w:rsidRDefault="00973276" w:rsidP="007346B0">
            <w:pPr>
              <w:pStyle w:val="CETBodytext"/>
              <w:jc w:val="center"/>
              <w:rPr>
                <w:lang w:val="en-GB"/>
              </w:rPr>
            </w:pPr>
            <w:r w:rsidRPr="00675F93">
              <w:rPr>
                <w:lang w:val="en-GB"/>
              </w:rPr>
              <w:t>NR-01</w:t>
            </w:r>
          </w:p>
        </w:tc>
        <w:tc>
          <w:tcPr>
            <w:tcW w:w="763" w:type="dxa"/>
            <w:shd w:val="clear" w:color="auto" w:fill="FFFFFF"/>
          </w:tcPr>
          <w:p w14:paraId="33144BF6"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786" w:type="dxa"/>
            <w:shd w:val="clear" w:color="auto" w:fill="FFFFFF"/>
          </w:tcPr>
          <w:p w14:paraId="2CB2F77B"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698" w:type="dxa"/>
            <w:shd w:val="clear" w:color="auto" w:fill="FFFFFF"/>
          </w:tcPr>
          <w:p w14:paraId="68CCFEBA"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70</w:t>
            </w:r>
          </w:p>
        </w:tc>
        <w:tc>
          <w:tcPr>
            <w:tcW w:w="1079" w:type="dxa"/>
            <w:shd w:val="clear" w:color="auto" w:fill="FFFFFF"/>
          </w:tcPr>
          <w:p w14:paraId="1B5505A2"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Liquid</w:t>
            </w:r>
          </w:p>
        </w:tc>
        <w:tc>
          <w:tcPr>
            <w:tcW w:w="775" w:type="dxa"/>
            <w:shd w:val="clear" w:color="auto" w:fill="FFFFFF"/>
          </w:tcPr>
          <w:p w14:paraId="27C5C616"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36</w:t>
            </w:r>
          </w:p>
        </w:tc>
        <w:tc>
          <w:tcPr>
            <w:tcW w:w="783" w:type="dxa"/>
            <w:shd w:val="clear" w:color="auto" w:fill="FFFFFF"/>
          </w:tcPr>
          <w:p w14:paraId="694CF03D" w14:textId="77777777" w:rsidR="00973276" w:rsidRPr="00D111B0" w:rsidRDefault="00973276" w:rsidP="007346B0">
            <w:pPr>
              <w:pStyle w:val="CETBodytext"/>
              <w:ind w:right="-1"/>
              <w:jc w:val="center"/>
              <w:rPr>
                <w:sz w:val="16"/>
                <w:szCs w:val="18"/>
                <w:lang w:val="en-GB"/>
              </w:rPr>
            </w:pPr>
            <w:r w:rsidRPr="00D111B0">
              <w:rPr>
                <w:sz w:val="16"/>
                <w:szCs w:val="18"/>
                <w:lang w:val="en-GB"/>
              </w:rPr>
              <w:t>36</w:t>
            </w:r>
          </w:p>
        </w:tc>
        <w:tc>
          <w:tcPr>
            <w:tcW w:w="776" w:type="dxa"/>
            <w:shd w:val="clear" w:color="auto" w:fill="FFFFFF"/>
          </w:tcPr>
          <w:p w14:paraId="47A9417B" w14:textId="77777777" w:rsidR="00973276" w:rsidRPr="00D111B0" w:rsidRDefault="00973276" w:rsidP="007346B0">
            <w:pPr>
              <w:pStyle w:val="CETBodytext"/>
              <w:ind w:right="-1"/>
              <w:jc w:val="center"/>
              <w:rPr>
                <w:sz w:val="16"/>
                <w:szCs w:val="18"/>
                <w:lang w:val="en-GB"/>
              </w:rPr>
            </w:pPr>
            <w:r w:rsidRPr="00D111B0">
              <w:rPr>
                <w:sz w:val="16"/>
                <w:szCs w:val="18"/>
                <w:lang w:val="en-GB"/>
              </w:rPr>
              <w:t>7</w:t>
            </w:r>
          </w:p>
        </w:tc>
        <w:tc>
          <w:tcPr>
            <w:tcW w:w="730" w:type="dxa"/>
            <w:shd w:val="clear" w:color="auto" w:fill="FFFFFF"/>
          </w:tcPr>
          <w:p w14:paraId="4341E60C"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688" w:type="dxa"/>
            <w:shd w:val="clear" w:color="auto" w:fill="FFFFFF"/>
          </w:tcPr>
          <w:p w14:paraId="52233672"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08" w:type="dxa"/>
            <w:shd w:val="clear" w:color="auto" w:fill="FFFFFF"/>
          </w:tcPr>
          <w:p w14:paraId="2BEC9652"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r>
      <w:tr w:rsidR="00973276" w:rsidRPr="00675F93" w14:paraId="09D8B2D7" w14:textId="77777777" w:rsidTr="007346B0">
        <w:trPr>
          <w:gridAfter w:val="1"/>
          <w:wAfter w:w="84" w:type="dxa"/>
          <w:trHeight w:val="280"/>
        </w:trPr>
        <w:tc>
          <w:tcPr>
            <w:tcW w:w="851" w:type="dxa"/>
            <w:shd w:val="clear" w:color="auto" w:fill="FFFFFF"/>
          </w:tcPr>
          <w:p w14:paraId="3E9F7EAE" w14:textId="77777777" w:rsidR="00973276" w:rsidRPr="00675F93" w:rsidRDefault="00973276" w:rsidP="007346B0">
            <w:pPr>
              <w:pStyle w:val="CETBodytext"/>
              <w:jc w:val="center"/>
              <w:rPr>
                <w:lang w:val="en-GB"/>
              </w:rPr>
            </w:pPr>
            <w:r w:rsidRPr="00675F93">
              <w:rPr>
                <w:lang w:val="en-GB"/>
              </w:rPr>
              <w:t>NR-01</w:t>
            </w:r>
          </w:p>
        </w:tc>
        <w:tc>
          <w:tcPr>
            <w:tcW w:w="763" w:type="dxa"/>
            <w:shd w:val="clear" w:color="auto" w:fill="FFFFFF"/>
          </w:tcPr>
          <w:p w14:paraId="07CBAE68"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786" w:type="dxa"/>
            <w:shd w:val="clear" w:color="auto" w:fill="FFFFFF"/>
          </w:tcPr>
          <w:p w14:paraId="2BEE936A"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698" w:type="dxa"/>
            <w:shd w:val="clear" w:color="auto" w:fill="FFFFFF"/>
          </w:tcPr>
          <w:p w14:paraId="7A9A15DB"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70</w:t>
            </w:r>
          </w:p>
        </w:tc>
        <w:tc>
          <w:tcPr>
            <w:tcW w:w="1079" w:type="dxa"/>
            <w:shd w:val="clear" w:color="auto" w:fill="FFFFFF"/>
          </w:tcPr>
          <w:p w14:paraId="04457649"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Vapour</w:t>
            </w:r>
          </w:p>
        </w:tc>
        <w:tc>
          <w:tcPr>
            <w:tcW w:w="775" w:type="dxa"/>
            <w:shd w:val="clear" w:color="auto" w:fill="FFFFFF"/>
          </w:tcPr>
          <w:p w14:paraId="77D78E95"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83" w:type="dxa"/>
            <w:shd w:val="clear" w:color="auto" w:fill="FFFFFF"/>
          </w:tcPr>
          <w:p w14:paraId="2385CF95" w14:textId="77777777" w:rsidR="00973276" w:rsidRPr="00D111B0" w:rsidRDefault="00973276" w:rsidP="007346B0">
            <w:pPr>
              <w:pStyle w:val="CETBodytext"/>
              <w:ind w:right="-1"/>
              <w:jc w:val="center"/>
              <w:rPr>
                <w:sz w:val="16"/>
                <w:szCs w:val="18"/>
                <w:lang w:val="en-GB"/>
              </w:rPr>
            </w:pPr>
            <w:r w:rsidRPr="00D111B0">
              <w:rPr>
                <w:sz w:val="16"/>
                <w:szCs w:val="18"/>
                <w:lang w:val="en-GB"/>
              </w:rPr>
              <w:t>1</w:t>
            </w:r>
          </w:p>
        </w:tc>
        <w:tc>
          <w:tcPr>
            <w:tcW w:w="776" w:type="dxa"/>
            <w:shd w:val="clear" w:color="auto" w:fill="FFFFFF"/>
          </w:tcPr>
          <w:p w14:paraId="5F795EDE" w14:textId="77777777" w:rsidR="00973276" w:rsidRPr="00D111B0" w:rsidRDefault="00973276" w:rsidP="007346B0">
            <w:pPr>
              <w:pStyle w:val="CETBodytext"/>
              <w:ind w:right="-1"/>
              <w:jc w:val="center"/>
              <w:rPr>
                <w:sz w:val="16"/>
                <w:szCs w:val="18"/>
                <w:lang w:val="en-GB"/>
              </w:rPr>
            </w:pPr>
            <w:r w:rsidRPr="00D111B0">
              <w:rPr>
                <w:sz w:val="16"/>
                <w:szCs w:val="18"/>
                <w:lang w:val="en-GB"/>
              </w:rPr>
              <w:t>1</w:t>
            </w:r>
          </w:p>
        </w:tc>
        <w:tc>
          <w:tcPr>
            <w:tcW w:w="730" w:type="dxa"/>
            <w:shd w:val="clear" w:color="auto" w:fill="FFFFFF"/>
          </w:tcPr>
          <w:p w14:paraId="4E395F63"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688" w:type="dxa"/>
            <w:shd w:val="clear" w:color="auto" w:fill="FFFFFF"/>
          </w:tcPr>
          <w:p w14:paraId="0A0D32A8"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08" w:type="dxa"/>
            <w:shd w:val="clear" w:color="auto" w:fill="FFFFFF"/>
          </w:tcPr>
          <w:p w14:paraId="375D1AC4"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r>
      <w:tr w:rsidR="00973276" w:rsidRPr="00675F93" w14:paraId="57FB07FF" w14:textId="77777777" w:rsidTr="007346B0">
        <w:trPr>
          <w:gridAfter w:val="1"/>
          <w:wAfter w:w="84" w:type="dxa"/>
          <w:trHeight w:val="280"/>
        </w:trPr>
        <w:tc>
          <w:tcPr>
            <w:tcW w:w="851" w:type="dxa"/>
            <w:shd w:val="clear" w:color="auto" w:fill="FFFFFF"/>
          </w:tcPr>
          <w:p w14:paraId="59518938" w14:textId="77777777" w:rsidR="00973276" w:rsidRPr="00675F93" w:rsidRDefault="00973276" w:rsidP="007346B0">
            <w:pPr>
              <w:pStyle w:val="CETBodytext"/>
              <w:jc w:val="center"/>
              <w:rPr>
                <w:lang w:val="en-GB"/>
              </w:rPr>
            </w:pPr>
            <w:r w:rsidRPr="00675F93">
              <w:rPr>
                <w:lang w:val="en-GB"/>
              </w:rPr>
              <w:t>S-01</w:t>
            </w:r>
          </w:p>
        </w:tc>
        <w:tc>
          <w:tcPr>
            <w:tcW w:w="763" w:type="dxa"/>
            <w:shd w:val="clear" w:color="auto" w:fill="FFFFFF"/>
          </w:tcPr>
          <w:p w14:paraId="2809FC24"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786" w:type="dxa"/>
            <w:shd w:val="clear" w:color="auto" w:fill="FFFFFF"/>
          </w:tcPr>
          <w:p w14:paraId="221ABFE8"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698" w:type="dxa"/>
            <w:shd w:val="clear" w:color="auto" w:fill="FFFFFF"/>
          </w:tcPr>
          <w:p w14:paraId="7740DE0D"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25</w:t>
            </w:r>
          </w:p>
        </w:tc>
        <w:tc>
          <w:tcPr>
            <w:tcW w:w="1079" w:type="dxa"/>
            <w:shd w:val="clear" w:color="auto" w:fill="FFFFFF"/>
          </w:tcPr>
          <w:p w14:paraId="0E939076"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Liquid</w:t>
            </w:r>
          </w:p>
        </w:tc>
        <w:tc>
          <w:tcPr>
            <w:tcW w:w="775" w:type="dxa"/>
            <w:shd w:val="clear" w:color="auto" w:fill="FFFFFF"/>
          </w:tcPr>
          <w:p w14:paraId="4E19BC88"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72</w:t>
            </w:r>
          </w:p>
        </w:tc>
        <w:tc>
          <w:tcPr>
            <w:tcW w:w="783" w:type="dxa"/>
            <w:shd w:val="clear" w:color="auto" w:fill="FFFFFF"/>
          </w:tcPr>
          <w:p w14:paraId="4C629A0D" w14:textId="77777777" w:rsidR="00973276" w:rsidRPr="00D111B0" w:rsidRDefault="00973276" w:rsidP="007346B0">
            <w:pPr>
              <w:pStyle w:val="CETBodytext"/>
              <w:ind w:right="-1"/>
              <w:jc w:val="center"/>
              <w:rPr>
                <w:sz w:val="16"/>
                <w:szCs w:val="18"/>
                <w:lang w:val="en-GB"/>
              </w:rPr>
            </w:pPr>
            <w:r w:rsidRPr="00D111B0">
              <w:rPr>
                <w:sz w:val="16"/>
                <w:szCs w:val="18"/>
                <w:lang w:val="en-GB"/>
              </w:rPr>
              <w:t>73</w:t>
            </w:r>
          </w:p>
        </w:tc>
        <w:tc>
          <w:tcPr>
            <w:tcW w:w="776" w:type="dxa"/>
            <w:shd w:val="clear" w:color="auto" w:fill="FFFFFF"/>
          </w:tcPr>
          <w:p w14:paraId="7DBCCD18" w14:textId="77777777" w:rsidR="00973276" w:rsidRPr="00D111B0" w:rsidRDefault="00973276" w:rsidP="007346B0">
            <w:pPr>
              <w:pStyle w:val="CETBodytext"/>
              <w:ind w:right="-1"/>
              <w:jc w:val="center"/>
              <w:rPr>
                <w:sz w:val="16"/>
                <w:szCs w:val="18"/>
                <w:lang w:val="en-GB"/>
              </w:rPr>
            </w:pPr>
            <w:r w:rsidRPr="00D111B0">
              <w:rPr>
                <w:sz w:val="16"/>
                <w:szCs w:val="18"/>
                <w:lang w:val="en-GB"/>
              </w:rPr>
              <w:t>13</w:t>
            </w:r>
          </w:p>
        </w:tc>
        <w:tc>
          <w:tcPr>
            <w:tcW w:w="730" w:type="dxa"/>
            <w:shd w:val="clear" w:color="auto" w:fill="FFFFFF"/>
          </w:tcPr>
          <w:p w14:paraId="4F1512E5"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688" w:type="dxa"/>
            <w:shd w:val="clear" w:color="auto" w:fill="FFFFFF"/>
          </w:tcPr>
          <w:p w14:paraId="7682BAB9"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08" w:type="dxa"/>
            <w:shd w:val="clear" w:color="auto" w:fill="FFFFFF"/>
          </w:tcPr>
          <w:p w14:paraId="10423BC1"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r>
      <w:tr w:rsidR="00973276" w:rsidRPr="00675F93" w14:paraId="08DCE567" w14:textId="77777777" w:rsidTr="007346B0">
        <w:trPr>
          <w:gridAfter w:val="1"/>
          <w:wAfter w:w="84" w:type="dxa"/>
          <w:trHeight w:val="280"/>
        </w:trPr>
        <w:tc>
          <w:tcPr>
            <w:tcW w:w="851" w:type="dxa"/>
            <w:shd w:val="clear" w:color="auto" w:fill="FFFFFF"/>
          </w:tcPr>
          <w:p w14:paraId="546E93E8" w14:textId="77777777" w:rsidR="00973276" w:rsidRPr="00675F93" w:rsidRDefault="00973276" w:rsidP="007346B0">
            <w:pPr>
              <w:pStyle w:val="CETBodytext"/>
              <w:jc w:val="center"/>
              <w:rPr>
                <w:lang w:val="en-GB"/>
              </w:rPr>
            </w:pPr>
            <w:r w:rsidRPr="00675F93">
              <w:rPr>
                <w:lang w:val="en-GB"/>
              </w:rPr>
              <w:t>EV-01</w:t>
            </w:r>
          </w:p>
        </w:tc>
        <w:tc>
          <w:tcPr>
            <w:tcW w:w="763" w:type="dxa"/>
            <w:shd w:val="clear" w:color="auto" w:fill="FFFFFF"/>
          </w:tcPr>
          <w:p w14:paraId="312D160E"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786" w:type="dxa"/>
            <w:shd w:val="clear" w:color="auto" w:fill="FFFFFF"/>
          </w:tcPr>
          <w:p w14:paraId="29B3EAB5"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698" w:type="dxa"/>
            <w:shd w:val="clear" w:color="auto" w:fill="FFFFFF"/>
          </w:tcPr>
          <w:p w14:paraId="763FF080"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140</w:t>
            </w:r>
          </w:p>
        </w:tc>
        <w:tc>
          <w:tcPr>
            <w:tcW w:w="1079" w:type="dxa"/>
            <w:shd w:val="clear" w:color="auto" w:fill="FFFFFF"/>
          </w:tcPr>
          <w:p w14:paraId="0DFA5B09"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Liquid</w:t>
            </w:r>
          </w:p>
        </w:tc>
        <w:tc>
          <w:tcPr>
            <w:tcW w:w="775" w:type="dxa"/>
            <w:shd w:val="clear" w:color="auto" w:fill="FFFFFF"/>
          </w:tcPr>
          <w:p w14:paraId="5883178C"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33</w:t>
            </w:r>
          </w:p>
        </w:tc>
        <w:tc>
          <w:tcPr>
            <w:tcW w:w="783" w:type="dxa"/>
            <w:shd w:val="clear" w:color="auto" w:fill="FFFFFF"/>
          </w:tcPr>
          <w:p w14:paraId="382B474D"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776" w:type="dxa"/>
            <w:shd w:val="clear" w:color="auto" w:fill="FFFFFF"/>
          </w:tcPr>
          <w:p w14:paraId="6F5B2EF5" w14:textId="77777777" w:rsidR="00973276" w:rsidRPr="00D111B0" w:rsidRDefault="00973276" w:rsidP="007346B0">
            <w:pPr>
              <w:pStyle w:val="CETBodytext"/>
              <w:ind w:right="-1"/>
              <w:jc w:val="center"/>
              <w:rPr>
                <w:sz w:val="16"/>
                <w:szCs w:val="18"/>
                <w:lang w:val="en-GB"/>
              </w:rPr>
            </w:pPr>
            <w:r w:rsidRPr="00D111B0">
              <w:rPr>
                <w:sz w:val="16"/>
                <w:szCs w:val="18"/>
                <w:lang w:val="en-GB"/>
              </w:rPr>
              <w:t>33</w:t>
            </w:r>
          </w:p>
        </w:tc>
        <w:tc>
          <w:tcPr>
            <w:tcW w:w="730" w:type="dxa"/>
            <w:shd w:val="clear" w:color="auto" w:fill="FFFFFF"/>
          </w:tcPr>
          <w:p w14:paraId="182572FA"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688" w:type="dxa"/>
            <w:shd w:val="clear" w:color="auto" w:fill="FFFFFF"/>
          </w:tcPr>
          <w:p w14:paraId="6FB8B1F7"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08" w:type="dxa"/>
            <w:shd w:val="clear" w:color="auto" w:fill="FFFFFF"/>
          </w:tcPr>
          <w:p w14:paraId="1B904612"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r>
      <w:tr w:rsidR="00973276" w:rsidRPr="00675F93" w14:paraId="4C6FD472" w14:textId="77777777" w:rsidTr="007346B0">
        <w:trPr>
          <w:gridAfter w:val="1"/>
          <w:wAfter w:w="84" w:type="dxa"/>
          <w:trHeight w:val="280"/>
        </w:trPr>
        <w:tc>
          <w:tcPr>
            <w:tcW w:w="851" w:type="dxa"/>
            <w:shd w:val="clear" w:color="auto" w:fill="FFFFFF"/>
          </w:tcPr>
          <w:p w14:paraId="1D595120" w14:textId="77777777" w:rsidR="00973276" w:rsidRPr="00675F93" w:rsidRDefault="00973276" w:rsidP="007346B0">
            <w:pPr>
              <w:pStyle w:val="CETBodytext"/>
              <w:jc w:val="center"/>
              <w:rPr>
                <w:lang w:val="en-GB"/>
              </w:rPr>
            </w:pPr>
            <w:r w:rsidRPr="00675F93">
              <w:rPr>
                <w:lang w:val="en-GB"/>
              </w:rPr>
              <w:t>EV-01</w:t>
            </w:r>
          </w:p>
        </w:tc>
        <w:tc>
          <w:tcPr>
            <w:tcW w:w="763" w:type="dxa"/>
            <w:shd w:val="clear" w:color="auto" w:fill="FFFFFF"/>
          </w:tcPr>
          <w:p w14:paraId="0689EEA7"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786" w:type="dxa"/>
            <w:shd w:val="clear" w:color="auto" w:fill="FFFFFF"/>
          </w:tcPr>
          <w:p w14:paraId="74952EB8"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698" w:type="dxa"/>
            <w:shd w:val="clear" w:color="auto" w:fill="FFFFFF"/>
          </w:tcPr>
          <w:p w14:paraId="1A2E2F93"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140</w:t>
            </w:r>
          </w:p>
        </w:tc>
        <w:tc>
          <w:tcPr>
            <w:tcW w:w="1079" w:type="dxa"/>
            <w:shd w:val="clear" w:color="auto" w:fill="FFFFFF"/>
          </w:tcPr>
          <w:p w14:paraId="78E3CF13"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Vapour</w:t>
            </w:r>
          </w:p>
        </w:tc>
        <w:tc>
          <w:tcPr>
            <w:tcW w:w="775" w:type="dxa"/>
            <w:shd w:val="clear" w:color="auto" w:fill="FFFFFF"/>
          </w:tcPr>
          <w:p w14:paraId="568C0057"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83" w:type="dxa"/>
            <w:shd w:val="clear" w:color="auto" w:fill="FFFFFF"/>
          </w:tcPr>
          <w:p w14:paraId="53F5EDEF"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776" w:type="dxa"/>
            <w:shd w:val="clear" w:color="auto" w:fill="FFFFFF"/>
          </w:tcPr>
          <w:p w14:paraId="1CB5CBFC" w14:textId="77777777" w:rsidR="00973276" w:rsidRPr="00D111B0" w:rsidRDefault="00973276" w:rsidP="007346B0">
            <w:pPr>
              <w:pStyle w:val="CETBodytext"/>
              <w:ind w:right="-1"/>
              <w:jc w:val="center"/>
              <w:rPr>
                <w:sz w:val="16"/>
                <w:szCs w:val="18"/>
                <w:lang w:val="en-GB"/>
              </w:rPr>
            </w:pPr>
            <w:r w:rsidRPr="00D111B0">
              <w:rPr>
                <w:sz w:val="16"/>
                <w:szCs w:val="18"/>
                <w:lang w:val="en-GB"/>
              </w:rPr>
              <w:t>1</w:t>
            </w:r>
          </w:p>
        </w:tc>
        <w:tc>
          <w:tcPr>
            <w:tcW w:w="730" w:type="dxa"/>
            <w:shd w:val="clear" w:color="auto" w:fill="FFFFFF"/>
          </w:tcPr>
          <w:p w14:paraId="055F3414"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688" w:type="dxa"/>
            <w:shd w:val="clear" w:color="auto" w:fill="FFFFFF"/>
          </w:tcPr>
          <w:p w14:paraId="305D9937"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08" w:type="dxa"/>
            <w:shd w:val="clear" w:color="auto" w:fill="FFFFFF"/>
          </w:tcPr>
          <w:p w14:paraId="11CBA46E"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r>
      <w:tr w:rsidR="00973276" w:rsidRPr="00675F93" w14:paraId="4FFA6BEB" w14:textId="77777777" w:rsidTr="007346B0">
        <w:trPr>
          <w:gridAfter w:val="1"/>
          <w:wAfter w:w="84" w:type="dxa"/>
          <w:trHeight w:val="280"/>
        </w:trPr>
        <w:tc>
          <w:tcPr>
            <w:tcW w:w="851" w:type="dxa"/>
            <w:tcBorders>
              <w:bottom w:val="nil"/>
            </w:tcBorders>
            <w:shd w:val="clear" w:color="auto" w:fill="FFFFFF"/>
          </w:tcPr>
          <w:p w14:paraId="7935F400" w14:textId="77777777" w:rsidR="00973276" w:rsidRPr="00675F93" w:rsidRDefault="00973276" w:rsidP="007346B0">
            <w:pPr>
              <w:pStyle w:val="CETBodytext"/>
              <w:jc w:val="center"/>
            </w:pPr>
            <w:r w:rsidRPr="00675F93">
              <w:t>WT-01</w:t>
            </w:r>
          </w:p>
        </w:tc>
        <w:tc>
          <w:tcPr>
            <w:tcW w:w="763" w:type="dxa"/>
            <w:tcBorders>
              <w:bottom w:val="nil"/>
            </w:tcBorders>
            <w:shd w:val="clear" w:color="auto" w:fill="FFFFFF"/>
          </w:tcPr>
          <w:p w14:paraId="25DE94FE" w14:textId="77777777" w:rsidR="00973276" w:rsidRPr="00D111B0" w:rsidRDefault="00973276" w:rsidP="007346B0">
            <w:pPr>
              <w:pStyle w:val="CETBodytext"/>
              <w:jc w:val="center"/>
              <w:rPr>
                <w:sz w:val="16"/>
                <w:szCs w:val="18"/>
              </w:rPr>
            </w:pPr>
            <w:r w:rsidRPr="00D111B0">
              <w:rPr>
                <w:sz w:val="16"/>
                <w:szCs w:val="18"/>
              </w:rPr>
              <w:t>1</w:t>
            </w:r>
          </w:p>
        </w:tc>
        <w:tc>
          <w:tcPr>
            <w:tcW w:w="786" w:type="dxa"/>
            <w:tcBorders>
              <w:bottom w:val="nil"/>
            </w:tcBorders>
            <w:shd w:val="clear" w:color="auto" w:fill="FFFFFF"/>
          </w:tcPr>
          <w:p w14:paraId="6706AAD0" w14:textId="77777777" w:rsidR="00973276" w:rsidRPr="00D111B0" w:rsidRDefault="00973276" w:rsidP="007346B0">
            <w:pPr>
              <w:pStyle w:val="CETBodytext"/>
              <w:jc w:val="center"/>
              <w:rPr>
                <w:sz w:val="16"/>
                <w:szCs w:val="18"/>
              </w:rPr>
            </w:pPr>
            <w:r w:rsidRPr="00D111B0">
              <w:rPr>
                <w:sz w:val="16"/>
                <w:szCs w:val="18"/>
              </w:rPr>
              <w:t>1</w:t>
            </w:r>
          </w:p>
        </w:tc>
        <w:tc>
          <w:tcPr>
            <w:tcW w:w="698" w:type="dxa"/>
            <w:tcBorders>
              <w:bottom w:val="nil"/>
            </w:tcBorders>
            <w:shd w:val="clear" w:color="auto" w:fill="FFFFFF"/>
          </w:tcPr>
          <w:p w14:paraId="05D3E5E7" w14:textId="77777777" w:rsidR="00973276" w:rsidRPr="00D111B0" w:rsidRDefault="00973276" w:rsidP="007346B0">
            <w:pPr>
              <w:pStyle w:val="CETBodytext"/>
              <w:ind w:right="-1"/>
              <w:jc w:val="center"/>
              <w:rPr>
                <w:sz w:val="16"/>
                <w:szCs w:val="18"/>
              </w:rPr>
            </w:pPr>
            <w:r w:rsidRPr="00D111B0">
              <w:rPr>
                <w:sz w:val="16"/>
                <w:szCs w:val="18"/>
              </w:rPr>
              <w:t>50</w:t>
            </w:r>
          </w:p>
        </w:tc>
        <w:tc>
          <w:tcPr>
            <w:tcW w:w="1079" w:type="dxa"/>
            <w:tcBorders>
              <w:bottom w:val="nil"/>
            </w:tcBorders>
            <w:shd w:val="clear" w:color="auto" w:fill="FFFFFF"/>
          </w:tcPr>
          <w:p w14:paraId="2D277775" w14:textId="77777777" w:rsidR="00973276" w:rsidRPr="00D111B0" w:rsidRDefault="00973276" w:rsidP="007346B0">
            <w:pPr>
              <w:pStyle w:val="CETBodytext"/>
              <w:ind w:right="-1"/>
              <w:jc w:val="center"/>
              <w:rPr>
                <w:sz w:val="16"/>
                <w:szCs w:val="18"/>
              </w:rPr>
            </w:pPr>
            <w:r w:rsidRPr="00D111B0">
              <w:rPr>
                <w:sz w:val="16"/>
                <w:szCs w:val="18"/>
              </w:rPr>
              <w:t>Liquid</w:t>
            </w:r>
          </w:p>
        </w:tc>
        <w:tc>
          <w:tcPr>
            <w:tcW w:w="775" w:type="dxa"/>
            <w:tcBorders>
              <w:bottom w:val="nil"/>
            </w:tcBorders>
            <w:shd w:val="clear" w:color="auto" w:fill="FFFFFF"/>
          </w:tcPr>
          <w:p w14:paraId="5E1E813E" w14:textId="77777777" w:rsidR="00973276" w:rsidRPr="00D111B0" w:rsidRDefault="00973276" w:rsidP="007346B0">
            <w:pPr>
              <w:pStyle w:val="CETBodytext"/>
              <w:ind w:right="-1"/>
              <w:jc w:val="center"/>
              <w:rPr>
                <w:sz w:val="16"/>
                <w:szCs w:val="18"/>
              </w:rPr>
            </w:pPr>
            <w:r w:rsidRPr="00D111B0">
              <w:rPr>
                <w:sz w:val="16"/>
                <w:szCs w:val="18"/>
              </w:rPr>
              <w:t>247</w:t>
            </w:r>
          </w:p>
        </w:tc>
        <w:tc>
          <w:tcPr>
            <w:tcW w:w="783" w:type="dxa"/>
            <w:tcBorders>
              <w:bottom w:val="nil"/>
            </w:tcBorders>
            <w:shd w:val="clear" w:color="auto" w:fill="FFFFFF"/>
          </w:tcPr>
          <w:p w14:paraId="53511B23" w14:textId="77777777" w:rsidR="00973276" w:rsidRPr="00D111B0" w:rsidRDefault="00973276" w:rsidP="007346B0">
            <w:pPr>
              <w:pStyle w:val="CETBodytext"/>
              <w:ind w:right="-1"/>
              <w:jc w:val="center"/>
              <w:rPr>
                <w:sz w:val="16"/>
                <w:szCs w:val="18"/>
              </w:rPr>
            </w:pPr>
            <w:r w:rsidRPr="00D111B0">
              <w:rPr>
                <w:sz w:val="16"/>
                <w:szCs w:val="18"/>
              </w:rPr>
              <w:t>20</w:t>
            </w:r>
          </w:p>
        </w:tc>
        <w:tc>
          <w:tcPr>
            <w:tcW w:w="776" w:type="dxa"/>
            <w:tcBorders>
              <w:bottom w:val="nil"/>
            </w:tcBorders>
            <w:shd w:val="clear" w:color="auto" w:fill="FFFFFF"/>
          </w:tcPr>
          <w:p w14:paraId="698AF1F7" w14:textId="77777777" w:rsidR="00973276" w:rsidRPr="00D111B0" w:rsidRDefault="00973276" w:rsidP="007346B0">
            <w:pPr>
              <w:pStyle w:val="CETBodytext"/>
              <w:ind w:right="-1"/>
              <w:jc w:val="center"/>
              <w:rPr>
                <w:sz w:val="16"/>
                <w:szCs w:val="18"/>
              </w:rPr>
            </w:pPr>
            <w:r w:rsidRPr="00D111B0">
              <w:rPr>
                <w:sz w:val="16"/>
                <w:szCs w:val="18"/>
              </w:rPr>
              <w:t>x</w:t>
            </w:r>
          </w:p>
        </w:tc>
        <w:tc>
          <w:tcPr>
            <w:tcW w:w="730" w:type="dxa"/>
            <w:tcBorders>
              <w:bottom w:val="nil"/>
            </w:tcBorders>
            <w:shd w:val="clear" w:color="auto" w:fill="FFFFFF"/>
          </w:tcPr>
          <w:p w14:paraId="12719249" w14:textId="77777777" w:rsidR="00973276" w:rsidRPr="00D111B0" w:rsidRDefault="00973276" w:rsidP="007346B0">
            <w:pPr>
              <w:pStyle w:val="CETBodytext"/>
              <w:ind w:right="-1"/>
              <w:jc w:val="center"/>
              <w:rPr>
                <w:sz w:val="16"/>
                <w:szCs w:val="18"/>
              </w:rPr>
            </w:pPr>
            <w:r w:rsidRPr="00D111B0">
              <w:rPr>
                <w:sz w:val="16"/>
                <w:szCs w:val="18"/>
              </w:rPr>
              <w:t>x</w:t>
            </w:r>
          </w:p>
        </w:tc>
        <w:tc>
          <w:tcPr>
            <w:tcW w:w="688" w:type="dxa"/>
            <w:tcBorders>
              <w:bottom w:val="nil"/>
            </w:tcBorders>
            <w:shd w:val="clear" w:color="auto" w:fill="FFFFFF"/>
          </w:tcPr>
          <w:p w14:paraId="2A05B02B" w14:textId="77777777" w:rsidR="00973276" w:rsidRPr="00D111B0" w:rsidRDefault="00973276" w:rsidP="007346B0">
            <w:pPr>
              <w:pStyle w:val="CETBodytext"/>
              <w:ind w:right="-1"/>
              <w:jc w:val="center"/>
              <w:rPr>
                <w:sz w:val="16"/>
                <w:szCs w:val="18"/>
              </w:rPr>
            </w:pPr>
            <w:r w:rsidRPr="00D111B0">
              <w:rPr>
                <w:sz w:val="16"/>
                <w:szCs w:val="18"/>
              </w:rPr>
              <w:t>x</w:t>
            </w:r>
          </w:p>
        </w:tc>
        <w:tc>
          <w:tcPr>
            <w:tcW w:w="708" w:type="dxa"/>
            <w:tcBorders>
              <w:bottom w:val="nil"/>
            </w:tcBorders>
            <w:shd w:val="clear" w:color="auto" w:fill="FFFFFF"/>
          </w:tcPr>
          <w:p w14:paraId="37443D8F" w14:textId="77777777" w:rsidR="00973276" w:rsidRPr="00D111B0" w:rsidRDefault="00973276" w:rsidP="007346B0">
            <w:pPr>
              <w:pStyle w:val="CETBodytext"/>
              <w:ind w:right="-1"/>
              <w:jc w:val="center"/>
              <w:rPr>
                <w:sz w:val="16"/>
                <w:szCs w:val="18"/>
              </w:rPr>
            </w:pPr>
            <w:r w:rsidRPr="00D111B0">
              <w:rPr>
                <w:sz w:val="16"/>
                <w:szCs w:val="18"/>
              </w:rPr>
              <w:t>x</w:t>
            </w:r>
          </w:p>
        </w:tc>
      </w:tr>
      <w:tr w:rsidR="00973276" w:rsidRPr="00675F93" w14:paraId="2B6613EC" w14:textId="77777777" w:rsidTr="007346B0">
        <w:trPr>
          <w:gridAfter w:val="1"/>
          <w:wAfter w:w="84" w:type="dxa"/>
          <w:trHeight w:val="280"/>
        </w:trPr>
        <w:tc>
          <w:tcPr>
            <w:tcW w:w="851" w:type="dxa"/>
            <w:tcBorders>
              <w:top w:val="nil"/>
              <w:bottom w:val="nil"/>
            </w:tcBorders>
            <w:shd w:val="clear" w:color="auto" w:fill="FFFFFF"/>
          </w:tcPr>
          <w:p w14:paraId="550AEF76" w14:textId="77777777" w:rsidR="00973276" w:rsidRPr="00675F93" w:rsidRDefault="00973276" w:rsidP="007346B0">
            <w:pPr>
              <w:pStyle w:val="CETBodytext"/>
              <w:jc w:val="center"/>
              <w:rPr>
                <w:lang w:val="en-GB"/>
              </w:rPr>
            </w:pPr>
            <w:r w:rsidRPr="00675F93">
              <w:rPr>
                <w:lang w:val="en-GB"/>
              </w:rPr>
              <w:t>PFR-01</w:t>
            </w:r>
          </w:p>
        </w:tc>
        <w:tc>
          <w:tcPr>
            <w:tcW w:w="763" w:type="dxa"/>
            <w:tcBorders>
              <w:top w:val="nil"/>
              <w:bottom w:val="nil"/>
            </w:tcBorders>
            <w:shd w:val="clear" w:color="auto" w:fill="FFFFFF"/>
          </w:tcPr>
          <w:p w14:paraId="1F915A96"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786" w:type="dxa"/>
            <w:tcBorders>
              <w:top w:val="nil"/>
              <w:bottom w:val="nil"/>
            </w:tcBorders>
            <w:shd w:val="clear" w:color="auto" w:fill="FFFFFF"/>
          </w:tcPr>
          <w:p w14:paraId="264CE25E" w14:textId="77777777" w:rsidR="00973276" w:rsidRPr="00D111B0" w:rsidRDefault="00973276" w:rsidP="007346B0">
            <w:pPr>
              <w:pStyle w:val="CETBodytext"/>
              <w:jc w:val="center"/>
              <w:rPr>
                <w:sz w:val="16"/>
                <w:szCs w:val="18"/>
                <w:lang w:val="en-GB"/>
              </w:rPr>
            </w:pPr>
            <w:r w:rsidRPr="00D111B0">
              <w:rPr>
                <w:sz w:val="16"/>
                <w:szCs w:val="18"/>
                <w:lang w:val="en-GB"/>
              </w:rPr>
              <w:t>50</w:t>
            </w:r>
          </w:p>
        </w:tc>
        <w:tc>
          <w:tcPr>
            <w:tcW w:w="698" w:type="dxa"/>
            <w:tcBorders>
              <w:top w:val="nil"/>
              <w:bottom w:val="nil"/>
            </w:tcBorders>
            <w:shd w:val="clear" w:color="auto" w:fill="FFFFFF"/>
          </w:tcPr>
          <w:p w14:paraId="6E94FAA0"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235</w:t>
            </w:r>
          </w:p>
        </w:tc>
        <w:tc>
          <w:tcPr>
            <w:tcW w:w="1079" w:type="dxa"/>
            <w:tcBorders>
              <w:top w:val="nil"/>
              <w:bottom w:val="nil"/>
            </w:tcBorders>
            <w:shd w:val="clear" w:color="auto" w:fill="FFFFFF"/>
          </w:tcPr>
          <w:p w14:paraId="645FBB18"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Gas/Vapour</w:t>
            </w:r>
          </w:p>
        </w:tc>
        <w:tc>
          <w:tcPr>
            <w:tcW w:w="775" w:type="dxa"/>
            <w:tcBorders>
              <w:top w:val="nil"/>
              <w:bottom w:val="nil"/>
            </w:tcBorders>
            <w:shd w:val="clear" w:color="auto" w:fill="FFFFFF"/>
          </w:tcPr>
          <w:p w14:paraId="47996202"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83" w:type="dxa"/>
            <w:tcBorders>
              <w:top w:val="nil"/>
              <w:bottom w:val="nil"/>
            </w:tcBorders>
            <w:shd w:val="clear" w:color="auto" w:fill="FFFFFF"/>
          </w:tcPr>
          <w:p w14:paraId="6251BBD8" w14:textId="77777777" w:rsidR="00973276" w:rsidRPr="00D111B0" w:rsidRDefault="00973276" w:rsidP="007346B0">
            <w:pPr>
              <w:pStyle w:val="CETBodytext"/>
              <w:ind w:right="-1"/>
              <w:jc w:val="center"/>
              <w:rPr>
                <w:sz w:val="16"/>
                <w:szCs w:val="18"/>
                <w:lang w:val="en-GB"/>
              </w:rPr>
            </w:pPr>
            <w:r w:rsidRPr="00D111B0">
              <w:rPr>
                <w:sz w:val="16"/>
                <w:szCs w:val="18"/>
                <w:lang w:val="en-GB"/>
              </w:rPr>
              <w:t>6</w:t>
            </w:r>
          </w:p>
        </w:tc>
        <w:tc>
          <w:tcPr>
            <w:tcW w:w="776" w:type="dxa"/>
            <w:tcBorders>
              <w:top w:val="nil"/>
              <w:bottom w:val="nil"/>
            </w:tcBorders>
            <w:shd w:val="clear" w:color="auto" w:fill="FFFFFF"/>
          </w:tcPr>
          <w:p w14:paraId="74A0347E"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730" w:type="dxa"/>
            <w:tcBorders>
              <w:top w:val="nil"/>
              <w:bottom w:val="nil"/>
            </w:tcBorders>
            <w:shd w:val="clear" w:color="auto" w:fill="FFFFFF"/>
          </w:tcPr>
          <w:p w14:paraId="410ABC9C"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688" w:type="dxa"/>
            <w:tcBorders>
              <w:top w:val="nil"/>
              <w:bottom w:val="nil"/>
            </w:tcBorders>
            <w:shd w:val="clear" w:color="auto" w:fill="FFFFFF"/>
          </w:tcPr>
          <w:p w14:paraId="53F289CF"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9</w:t>
            </w:r>
          </w:p>
        </w:tc>
        <w:tc>
          <w:tcPr>
            <w:tcW w:w="708" w:type="dxa"/>
            <w:tcBorders>
              <w:top w:val="nil"/>
              <w:bottom w:val="nil"/>
            </w:tcBorders>
            <w:shd w:val="clear" w:color="auto" w:fill="FFFFFF"/>
          </w:tcPr>
          <w:p w14:paraId="1A9D9B93"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1</w:t>
            </w:r>
          </w:p>
        </w:tc>
      </w:tr>
      <w:tr w:rsidR="00973276" w:rsidRPr="00675F93" w14:paraId="53833AC7" w14:textId="77777777" w:rsidTr="007346B0">
        <w:trPr>
          <w:gridAfter w:val="1"/>
          <w:wAfter w:w="84" w:type="dxa"/>
          <w:trHeight w:val="280"/>
        </w:trPr>
        <w:tc>
          <w:tcPr>
            <w:tcW w:w="851" w:type="dxa"/>
            <w:tcBorders>
              <w:top w:val="nil"/>
            </w:tcBorders>
            <w:shd w:val="clear" w:color="auto" w:fill="FFFFFF"/>
          </w:tcPr>
          <w:p w14:paraId="0616FD16" w14:textId="77777777" w:rsidR="00973276" w:rsidRPr="00675F93" w:rsidRDefault="00973276" w:rsidP="007346B0">
            <w:pPr>
              <w:pStyle w:val="CETBodytext"/>
              <w:jc w:val="center"/>
              <w:rPr>
                <w:lang w:val="en-GB"/>
              </w:rPr>
            </w:pPr>
            <w:r w:rsidRPr="00675F93">
              <w:rPr>
                <w:lang w:val="en-GB"/>
              </w:rPr>
              <w:t>HEX-01</w:t>
            </w:r>
          </w:p>
        </w:tc>
        <w:tc>
          <w:tcPr>
            <w:tcW w:w="763" w:type="dxa"/>
            <w:tcBorders>
              <w:top w:val="nil"/>
            </w:tcBorders>
            <w:shd w:val="clear" w:color="auto" w:fill="FFFFFF"/>
          </w:tcPr>
          <w:p w14:paraId="3AF7D8E2"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786" w:type="dxa"/>
            <w:tcBorders>
              <w:top w:val="nil"/>
            </w:tcBorders>
            <w:shd w:val="clear" w:color="auto" w:fill="FFFFFF"/>
          </w:tcPr>
          <w:p w14:paraId="5148302A" w14:textId="77777777" w:rsidR="00973276" w:rsidRPr="00D111B0" w:rsidRDefault="00973276" w:rsidP="007346B0">
            <w:pPr>
              <w:pStyle w:val="CETBodytext"/>
              <w:jc w:val="center"/>
              <w:rPr>
                <w:sz w:val="16"/>
                <w:szCs w:val="18"/>
                <w:lang w:val="en-GB"/>
              </w:rPr>
            </w:pPr>
            <w:r w:rsidRPr="00D111B0">
              <w:rPr>
                <w:sz w:val="16"/>
                <w:szCs w:val="18"/>
                <w:lang w:val="en-GB"/>
              </w:rPr>
              <w:t>50</w:t>
            </w:r>
          </w:p>
        </w:tc>
        <w:tc>
          <w:tcPr>
            <w:tcW w:w="698" w:type="dxa"/>
            <w:tcBorders>
              <w:top w:val="nil"/>
            </w:tcBorders>
            <w:shd w:val="clear" w:color="auto" w:fill="FFFFFF"/>
          </w:tcPr>
          <w:p w14:paraId="596CA1D5"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135</w:t>
            </w:r>
          </w:p>
        </w:tc>
        <w:tc>
          <w:tcPr>
            <w:tcW w:w="1079" w:type="dxa"/>
            <w:tcBorders>
              <w:top w:val="nil"/>
            </w:tcBorders>
            <w:shd w:val="clear" w:color="auto" w:fill="FFFFFF"/>
          </w:tcPr>
          <w:p w14:paraId="37895BC5"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Liquid</w:t>
            </w:r>
          </w:p>
        </w:tc>
        <w:tc>
          <w:tcPr>
            <w:tcW w:w="775" w:type="dxa"/>
            <w:tcBorders>
              <w:top w:val="nil"/>
            </w:tcBorders>
            <w:shd w:val="clear" w:color="auto" w:fill="FFFFFF"/>
          </w:tcPr>
          <w:p w14:paraId="2B9263EB"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83" w:type="dxa"/>
            <w:tcBorders>
              <w:top w:val="nil"/>
            </w:tcBorders>
            <w:shd w:val="clear" w:color="auto" w:fill="FFFFFF"/>
          </w:tcPr>
          <w:p w14:paraId="2A0FEF8F" w14:textId="77777777" w:rsidR="00973276" w:rsidRPr="00D111B0" w:rsidRDefault="00973276" w:rsidP="007346B0">
            <w:pPr>
              <w:pStyle w:val="CETBodytext"/>
              <w:ind w:right="-1"/>
              <w:jc w:val="center"/>
              <w:rPr>
                <w:sz w:val="16"/>
                <w:szCs w:val="18"/>
                <w:lang w:val="en-GB"/>
              </w:rPr>
            </w:pPr>
            <w:r w:rsidRPr="00D111B0">
              <w:rPr>
                <w:sz w:val="16"/>
                <w:szCs w:val="18"/>
                <w:lang w:val="en-GB"/>
              </w:rPr>
              <w:t>434</w:t>
            </w:r>
          </w:p>
        </w:tc>
        <w:tc>
          <w:tcPr>
            <w:tcW w:w="776" w:type="dxa"/>
            <w:tcBorders>
              <w:top w:val="nil"/>
            </w:tcBorders>
            <w:shd w:val="clear" w:color="auto" w:fill="FFFFFF"/>
          </w:tcPr>
          <w:p w14:paraId="40661BD6"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730" w:type="dxa"/>
            <w:tcBorders>
              <w:top w:val="nil"/>
            </w:tcBorders>
            <w:shd w:val="clear" w:color="auto" w:fill="FFFFFF"/>
          </w:tcPr>
          <w:p w14:paraId="2846C73F"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688" w:type="dxa"/>
            <w:tcBorders>
              <w:top w:val="nil"/>
            </w:tcBorders>
            <w:shd w:val="clear" w:color="auto" w:fill="FFFFFF"/>
          </w:tcPr>
          <w:p w14:paraId="3E5681F2"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18</w:t>
            </w:r>
          </w:p>
        </w:tc>
        <w:tc>
          <w:tcPr>
            <w:tcW w:w="708" w:type="dxa"/>
            <w:tcBorders>
              <w:top w:val="nil"/>
            </w:tcBorders>
            <w:shd w:val="clear" w:color="auto" w:fill="FFFFFF"/>
          </w:tcPr>
          <w:p w14:paraId="17C3F463"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r>
      <w:tr w:rsidR="00973276" w:rsidRPr="00675F93" w14:paraId="1EB58671" w14:textId="77777777" w:rsidTr="007346B0">
        <w:trPr>
          <w:gridAfter w:val="1"/>
          <w:wAfter w:w="84" w:type="dxa"/>
          <w:trHeight w:val="280"/>
        </w:trPr>
        <w:tc>
          <w:tcPr>
            <w:tcW w:w="851" w:type="dxa"/>
            <w:shd w:val="clear" w:color="auto" w:fill="FFFFFF"/>
          </w:tcPr>
          <w:p w14:paraId="6C72C2B3" w14:textId="77777777" w:rsidR="00973276" w:rsidRPr="00675F93" w:rsidRDefault="00973276" w:rsidP="007346B0">
            <w:pPr>
              <w:pStyle w:val="CETBodytext"/>
              <w:jc w:val="center"/>
              <w:rPr>
                <w:lang w:val="en-GB"/>
              </w:rPr>
            </w:pPr>
            <w:r w:rsidRPr="00675F93">
              <w:rPr>
                <w:lang w:val="en-GB"/>
              </w:rPr>
              <w:t>HEX-01</w:t>
            </w:r>
          </w:p>
        </w:tc>
        <w:tc>
          <w:tcPr>
            <w:tcW w:w="763" w:type="dxa"/>
            <w:shd w:val="clear" w:color="auto" w:fill="FFFFFF"/>
          </w:tcPr>
          <w:p w14:paraId="09A44823"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786" w:type="dxa"/>
            <w:shd w:val="clear" w:color="auto" w:fill="FFFFFF"/>
          </w:tcPr>
          <w:p w14:paraId="7E702AF9" w14:textId="77777777" w:rsidR="00973276" w:rsidRPr="00D111B0" w:rsidRDefault="00973276" w:rsidP="007346B0">
            <w:pPr>
              <w:pStyle w:val="CETBodytext"/>
              <w:jc w:val="center"/>
              <w:rPr>
                <w:sz w:val="16"/>
                <w:szCs w:val="18"/>
                <w:lang w:val="en-GB"/>
              </w:rPr>
            </w:pPr>
            <w:r w:rsidRPr="00D111B0">
              <w:rPr>
                <w:sz w:val="16"/>
                <w:szCs w:val="18"/>
                <w:lang w:val="en-GB"/>
              </w:rPr>
              <w:t>50</w:t>
            </w:r>
          </w:p>
        </w:tc>
        <w:tc>
          <w:tcPr>
            <w:tcW w:w="698" w:type="dxa"/>
            <w:shd w:val="clear" w:color="auto" w:fill="FFFFFF"/>
          </w:tcPr>
          <w:p w14:paraId="302D7E81"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135</w:t>
            </w:r>
          </w:p>
        </w:tc>
        <w:tc>
          <w:tcPr>
            <w:tcW w:w="1079" w:type="dxa"/>
            <w:shd w:val="clear" w:color="auto" w:fill="FFFFFF"/>
          </w:tcPr>
          <w:p w14:paraId="5C5AF201"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Vapour</w:t>
            </w:r>
          </w:p>
        </w:tc>
        <w:tc>
          <w:tcPr>
            <w:tcW w:w="775" w:type="dxa"/>
            <w:shd w:val="clear" w:color="auto" w:fill="FFFFFF"/>
          </w:tcPr>
          <w:p w14:paraId="2802F3B8"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83" w:type="dxa"/>
            <w:shd w:val="clear" w:color="auto" w:fill="FFFFFF"/>
          </w:tcPr>
          <w:p w14:paraId="144CAE24" w14:textId="77777777" w:rsidR="00973276" w:rsidRPr="00D111B0" w:rsidRDefault="00973276" w:rsidP="007346B0">
            <w:pPr>
              <w:pStyle w:val="CETBodytext"/>
              <w:ind w:right="-1"/>
              <w:jc w:val="center"/>
              <w:rPr>
                <w:sz w:val="16"/>
                <w:szCs w:val="18"/>
                <w:lang w:val="en-GB"/>
              </w:rPr>
            </w:pPr>
            <w:r w:rsidRPr="00D111B0">
              <w:rPr>
                <w:sz w:val="16"/>
                <w:szCs w:val="18"/>
                <w:lang w:val="en-GB"/>
              </w:rPr>
              <w:t>49</w:t>
            </w:r>
          </w:p>
        </w:tc>
        <w:tc>
          <w:tcPr>
            <w:tcW w:w="776" w:type="dxa"/>
            <w:shd w:val="clear" w:color="auto" w:fill="FFFFFF"/>
          </w:tcPr>
          <w:p w14:paraId="5CC15BD1"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730" w:type="dxa"/>
            <w:shd w:val="clear" w:color="auto" w:fill="FFFFFF"/>
          </w:tcPr>
          <w:p w14:paraId="00EC385F"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688" w:type="dxa"/>
            <w:shd w:val="clear" w:color="auto" w:fill="FFFFFF"/>
          </w:tcPr>
          <w:p w14:paraId="013B4704"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76</w:t>
            </w:r>
          </w:p>
        </w:tc>
        <w:tc>
          <w:tcPr>
            <w:tcW w:w="708" w:type="dxa"/>
            <w:shd w:val="clear" w:color="auto" w:fill="FFFFFF"/>
          </w:tcPr>
          <w:p w14:paraId="5A202843"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5</w:t>
            </w:r>
          </w:p>
        </w:tc>
      </w:tr>
      <w:tr w:rsidR="00973276" w:rsidRPr="00675F93" w14:paraId="66FEF981" w14:textId="77777777" w:rsidTr="007346B0">
        <w:trPr>
          <w:gridAfter w:val="1"/>
          <w:wAfter w:w="84" w:type="dxa"/>
          <w:trHeight w:val="280"/>
        </w:trPr>
        <w:tc>
          <w:tcPr>
            <w:tcW w:w="851" w:type="dxa"/>
            <w:shd w:val="clear" w:color="auto" w:fill="FFFFFF"/>
          </w:tcPr>
          <w:p w14:paraId="34F35E17" w14:textId="77777777" w:rsidR="00973276" w:rsidRPr="00675F93" w:rsidRDefault="00973276" w:rsidP="007346B0">
            <w:pPr>
              <w:pStyle w:val="CETBodytext"/>
              <w:jc w:val="center"/>
              <w:rPr>
                <w:lang w:val="en-GB"/>
              </w:rPr>
            </w:pPr>
            <w:r w:rsidRPr="00675F93">
              <w:rPr>
                <w:lang w:val="en-GB"/>
              </w:rPr>
              <w:t>EC-01</w:t>
            </w:r>
          </w:p>
        </w:tc>
        <w:tc>
          <w:tcPr>
            <w:tcW w:w="763" w:type="dxa"/>
            <w:shd w:val="clear" w:color="auto" w:fill="FFFFFF"/>
          </w:tcPr>
          <w:p w14:paraId="776D654E"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786" w:type="dxa"/>
            <w:shd w:val="clear" w:color="auto" w:fill="FFFFFF"/>
          </w:tcPr>
          <w:p w14:paraId="3AD45015" w14:textId="77777777" w:rsidR="00973276" w:rsidRPr="00D111B0" w:rsidRDefault="00973276" w:rsidP="007346B0">
            <w:pPr>
              <w:pStyle w:val="CETBodytext"/>
              <w:jc w:val="center"/>
              <w:rPr>
                <w:sz w:val="16"/>
                <w:szCs w:val="18"/>
                <w:lang w:val="en-GB"/>
              </w:rPr>
            </w:pPr>
            <w:r w:rsidRPr="00D111B0">
              <w:rPr>
                <w:sz w:val="16"/>
                <w:szCs w:val="18"/>
                <w:lang w:val="en-GB"/>
              </w:rPr>
              <w:t>49</w:t>
            </w:r>
          </w:p>
        </w:tc>
        <w:tc>
          <w:tcPr>
            <w:tcW w:w="698" w:type="dxa"/>
            <w:shd w:val="clear" w:color="auto" w:fill="FFFFFF"/>
          </w:tcPr>
          <w:p w14:paraId="7E10FB15"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25</w:t>
            </w:r>
          </w:p>
        </w:tc>
        <w:tc>
          <w:tcPr>
            <w:tcW w:w="1079" w:type="dxa"/>
            <w:shd w:val="clear" w:color="auto" w:fill="FFFFFF"/>
          </w:tcPr>
          <w:p w14:paraId="6C7D6371"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Liquid</w:t>
            </w:r>
          </w:p>
        </w:tc>
        <w:tc>
          <w:tcPr>
            <w:tcW w:w="775" w:type="dxa"/>
            <w:shd w:val="clear" w:color="auto" w:fill="FFFFFF"/>
          </w:tcPr>
          <w:p w14:paraId="215CC7FC"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83" w:type="dxa"/>
            <w:shd w:val="clear" w:color="auto" w:fill="FFFFFF"/>
          </w:tcPr>
          <w:p w14:paraId="7F70D19B" w14:textId="77777777" w:rsidR="00973276" w:rsidRPr="00D111B0" w:rsidRDefault="00973276" w:rsidP="007346B0">
            <w:pPr>
              <w:pStyle w:val="CETBodytext"/>
              <w:ind w:right="-1"/>
              <w:jc w:val="center"/>
              <w:rPr>
                <w:sz w:val="16"/>
                <w:szCs w:val="18"/>
                <w:lang w:val="en-GB"/>
              </w:rPr>
            </w:pPr>
            <w:r w:rsidRPr="00D111B0">
              <w:rPr>
                <w:sz w:val="16"/>
                <w:szCs w:val="18"/>
                <w:lang w:val="en-GB"/>
              </w:rPr>
              <w:t>777</w:t>
            </w:r>
          </w:p>
        </w:tc>
        <w:tc>
          <w:tcPr>
            <w:tcW w:w="776" w:type="dxa"/>
            <w:shd w:val="clear" w:color="auto" w:fill="FFFFFF"/>
          </w:tcPr>
          <w:p w14:paraId="262616F4"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730" w:type="dxa"/>
            <w:shd w:val="clear" w:color="auto" w:fill="FFFFFF"/>
          </w:tcPr>
          <w:p w14:paraId="1E4B5AFF"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688" w:type="dxa"/>
            <w:shd w:val="clear" w:color="auto" w:fill="FFFFFF"/>
          </w:tcPr>
          <w:p w14:paraId="4BEE9FA2"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96</w:t>
            </w:r>
          </w:p>
        </w:tc>
        <w:tc>
          <w:tcPr>
            <w:tcW w:w="708" w:type="dxa"/>
            <w:shd w:val="clear" w:color="auto" w:fill="FFFFFF"/>
          </w:tcPr>
          <w:p w14:paraId="1C6EF022"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r>
      <w:tr w:rsidR="00973276" w:rsidRPr="00675F93" w14:paraId="6436C190" w14:textId="77777777" w:rsidTr="007346B0">
        <w:trPr>
          <w:gridAfter w:val="1"/>
          <w:wAfter w:w="84" w:type="dxa"/>
          <w:trHeight w:val="280"/>
        </w:trPr>
        <w:tc>
          <w:tcPr>
            <w:tcW w:w="851" w:type="dxa"/>
            <w:shd w:val="clear" w:color="auto" w:fill="FFFFFF"/>
          </w:tcPr>
          <w:p w14:paraId="5EB6A9B2" w14:textId="77777777" w:rsidR="00973276" w:rsidRPr="00675F93" w:rsidRDefault="00973276" w:rsidP="007346B0">
            <w:pPr>
              <w:pStyle w:val="CETBodytext"/>
              <w:jc w:val="center"/>
              <w:rPr>
                <w:lang w:val="en-GB"/>
              </w:rPr>
            </w:pPr>
            <w:r w:rsidRPr="00675F93">
              <w:rPr>
                <w:lang w:val="en-GB"/>
              </w:rPr>
              <w:t>EC-01</w:t>
            </w:r>
          </w:p>
        </w:tc>
        <w:tc>
          <w:tcPr>
            <w:tcW w:w="763" w:type="dxa"/>
            <w:shd w:val="clear" w:color="auto" w:fill="FFFFFF"/>
          </w:tcPr>
          <w:p w14:paraId="2098F7B8"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786" w:type="dxa"/>
            <w:shd w:val="clear" w:color="auto" w:fill="FFFFFF"/>
          </w:tcPr>
          <w:p w14:paraId="27641075" w14:textId="77777777" w:rsidR="00973276" w:rsidRPr="00D111B0" w:rsidRDefault="00973276" w:rsidP="007346B0">
            <w:pPr>
              <w:pStyle w:val="CETBodytext"/>
              <w:jc w:val="center"/>
              <w:rPr>
                <w:sz w:val="16"/>
                <w:szCs w:val="18"/>
                <w:lang w:val="en-GB"/>
              </w:rPr>
            </w:pPr>
            <w:r w:rsidRPr="00D111B0">
              <w:rPr>
                <w:sz w:val="16"/>
                <w:szCs w:val="18"/>
                <w:lang w:val="en-GB"/>
              </w:rPr>
              <w:t>49</w:t>
            </w:r>
          </w:p>
        </w:tc>
        <w:tc>
          <w:tcPr>
            <w:tcW w:w="698" w:type="dxa"/>
            <w:shd w:val="clear" w:color="auto" w:fill="FFFFFF"/>
          </w:tcPr>
          <w:p w14:paraId="44D81E56"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25</w:t>
            </w:r>
          </w:p>
        </w:tc>
        <w:tc>
          <w:tcPr>
            <w:tcW w:w="1079" w:type="dxa"/>
            <w:shd w:val="clear" w:color="auto" w:fill="FFFFFF"/>
          </w:tcPr>
          <w:p w14:paraId="3210AE2C"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Vapour</w:t>
            </w:r>
          </w:p>
        </w:tc>
        <w:tc>
          <w:tcPr>
            <w:tcW w:w="775" w:type="dxa"/>
            <w:shd w:val="clear" w:color="auto" w:fill="FFFFFF"/>
          </w:tcPr>
          <w:p w14:paraId="44F69B29"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83" w:type="dxa"/>
            <w:shd w:val="clear" w:color="auto" w:fill="FFFFFF"/>
          </w:tcPr>
          <w:p w14:paraId="43AB512E" w14:textId="77777777" w:rsidR="00973276" w:rsidRPr="00D111B0" w:rsidRDefault="00973276" w:rsidP="007346B0">
            <w:pPr>
              <w:pStyle w:val="CETBodytext"/>
              <w:ind w:right="-1"/>
              <w:jc w:val="center"/>
              <w:rPr>
                <w:sz w:val="16"/>
                <w:szCs w:val="18"/>
                <w:lang w:val="en-GB"/>
              </w:rPr>
            </w:pPr>
            <w:r w:rsidRPr="00D111B0">
              <w:rPr>
                <w:sz w:val="16"/>
                <w:szCs w:val="18"/>
                <w:lang w:val="en-GB"/>
              </w:rPr>
              <w:t>1</w:t>
            </w:r>
          </w:p>
        </w:tc>
        <w:tc>
          <w:tcPr>
            <w:tcW w:w="776" w:type="dxa"/>
            <w:shd w:val="clear" w:color="auto" w:fill="FFFFFF"/>
          </w:tcPr>
          <w:p w14:paraId="1E563106"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730" w:type="dxa"/>
            <w:shd w:val="clear" w:color="auto" w:fill="FFFFFF"/>
          </w:tcPr>
          <w:p w14:paraId="6BA36874"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688" w:type="dxa"/>
            <w:shd w:val="clear" w:color="auto" w:fill="FFFFFF"/>
          </w:tcPr>
          <w:p w14:paraId="76EB0999"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160</w:t>
            </w:r>
          </w:p>
        </w:tc>
        <w:tc>
          <w:tcPr>
            <w:tcW w:w="708" w:type="dxa"/>
            <w:shd w:val="clear" w:color="auto" w:fill="FFFFFF"/>
          </w:tcPr>
          <w:p w14:paraId="31DC1C4F"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10.6</w:t>
            </w:r>
          </w:p>
        </w:tc>
      </w:tr>
      <w:tr w:rsidR="00973276" w:rsidRPr="00675F93" w14:paraId="1F47CF71" w14:textId="77777777" w:rsidTr="007346B0">
        <w:trPr>
          <w:gridAfter w:val="1"/>
          <w:wAfter w:w="84" w:type="dxa"/>
          <w:trHeight w:val="280"/>
        </w:trPr>
        <w:tc>
          <w:tcPr>
            <w:tcW w:w="851" w:type="dxa"/>
            <w:shd w:val="clear" w:color="auto" w:fill="FFFFFF"/>
          </w:tcPr>
          <w:p w14:paraId="23AC9A5D" w14:textId="77777777" w:rsidR="00973276" w:rsidRPr="00675F93" w:rsidRDefault="00973276" w:rsidP="007346B0">
            <w:pPr>
              <w:pStyle w:val="CETBodytext"/>
              <w:jc w:val="center"/>
              <w:rPr>
                <w:lang w:val="en-GB"/>
              </w:rPr>
            </w:pPr>
            <w:r w:rsidRPr="00675F93">
              <w:rPr>
                <w:lang w:val="en-GB"/>
              </w:rPr>
              <w:t>DT-01</w:t>
            </w:r>
          </w:p>
        </w:tc>
        <w:tc>
          <w:tcPr>
            <w:tcW w:w="763" w:type="dxa"/>
            <w:shd w:val="clear" w:color="auto" w:fill="FFFFFF"/>
          </w:tcPr>
          <w:p w14:paraId="2FAAAE97"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786" w:type="dxa"/>
            <w:shd w:val="clear" w:color="auto" w:fill="FFFFFF"/>
          </w:tcPr>
          <w:p w14:paraId="41F8914D"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698" w:type="dxa"/>
            <w:shd w:val="clear" w:color="auto" w:fill="FFFFFF"/>
          </w:tcPr>
          <w:p w14:paraId="77EB0485"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22</w:t>
            </w:r>
          </w:p>
        </w:tc>
        <w:tc>
          <w:tcPr>
            <w:tcW w:w="1079" w:type="dxa"/>
            <w:shd w:val="clear" w:color="auto" w:fill="FFFFFF"/>
          </w:tcPr>
          <w:p w14:paraId="0E196272"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Liquid</w:t>
            </w:r>
          </w:p>
        </w:tc>
        <w:tc>
          <w:tcPr>
            <w:tcW w:w="775" w:type="dxa"/>
            <w:shd w:val="clear" w:color="auto" w:fill="FFFFFF"/>
          </w:tcPr>
          <w:p w14:paraId="7EE27A44"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83" w:type="dxa"/>
            <w:shd w:val="clear" w:color="auto" w:fill="FFFFFF"/>
          </w:tcPr>
          <w:p w14:paraId="51796E26" w14:textId="77777777" w:rsidR="00973276" w:rsidRPr="00D111B0" w:rsidRDefault="00973276" w:rsidP="007346B0">
            <w:pPr>
              <w:pStyle w:val="CETBodytext"/>
              <w:ind w:right="-1"/>
              <w:jc w:val="center"/>
              <w:rPr>
                <w:sz w:val="16"/>
                <w:szCs w:val="18"/>
                <w:lang w:val="en-GB"/>
              </w:rPr>
            </w:pPr>
            <w:r w:rsidRPr="00D111B0">
              <w:rPr>
                <w:sz w:val="16"/>
                <w:szCs w:val="18"/>
                <w:lang w:val="en-GB"/>
              </w:rPr>
              <w:t>43</w:t>
            </w:r>
          </w:p>
        </w:tc>
        <w:tc>
          <w:tcPr>
            <w:tcW w:w="776" w:type="dxa"/>
            <w:shd w:val="clear" w:color="auto" w:fill="FFFFFF"/>
          </w:tcPr>
          <w:p w14:paraId="3A8393ED"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730" w:type="dxa"/>
            <w:shd w:val="clear" w:color="auto" w:fill="FFFFFF"/>
          </w:tcPr>
          <w:p w14:paraId="64CEC90E"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688" w:type="dxa"/>
            <w:shd w:val="clear" w:color="auto" w:fill="FFFFFF"/>
          </w:tcPr>
          <w:p w14:paraId="6C0415BE"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08" w:type="dxa"/>
            <w:shd w:val="clear" w:color="auto" w:fill="FFFFFF"/>
          </w:tcPr>
          <w:p w14:paraId="73C31D4C"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r>
      <w:tr w:rsidR="00973276" w:rsidRPr="00675F93" w14:paraId="1BF73012" w14:textId="77777777" w:rsidTr="007346B0">
        <w:trPr>
          <w:gridAfter w:val="1"/>
          <w:wAfter w:w="84" w:type="dxa"/>
          <w:trHeight w:val="280"/>
        </w:trPr>
        <w:tc>
          <w:tcPr>
            <w:tcW w:w="851" w:type="dxa"/>
            <w:shd w:val="clear" w:color="auto" w:fill="FFFFFF"/>
          </w:tcPr>
          <w:p w14:paraId="20EDEC02" w14:textId="77777777" w:rsidR="00973276" w:rsidRPr="00675F93" w:rsidRDefault="00973276" w:rsidP="007346B0">
            <w:pPr>
              <w:pStyle w:val="CETBodytext"/>
              <w:jc w:val="center"/>
              <w:rPr>
                <w:lang w:val="en-GB"/>
              </w:rPr>
            </w:pPr>
            <w:r w:rsidRPr="00675F93">
              <w:rPr>
                <w:lang w:val="en-GB"/>
              </w:rPr>
              <w:t>DT-01</w:t>
            </w:r>
          </w:p>
        </w:tc>
        <w:tc>
          <w:tcPr>
            <w:tcW w:w="763" w:type="dxa"/>
            <w:shd w:val="clear" w:color="auto" w:fill="FFFFFF"/>
          </w:tcPr>
          <w:p w14:paraId="6283C6EA"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786" w:type="dxa"/>
            <w:shd w:val="clear" w:color="auto" w:fill="FFFFFF"/>
          </w:tcPr>
          <w:p w14:paraId="7472F611"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698" w:type="dxa"/>
            <w:shd w:val="clear" w:color="auto" w:fill="FFFFFF"/>
          </w:tcPr>
          <w:p w14:paraId="7956DC10"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22</w:t>
            </w:r>
          </w:p>
        </w:tc>
        <w:tc>
          <w:tcPr>
            <w:tcW w:w="1079" w:type="dxa"/>
            <w:shd w:val="clear" w:color="auto" w:fill="FFFFFF"/>
          </w:tcPr>
          <w:p w14:paraId="1445559D"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Vapour</w:t>
            </w:r>
          </w:p>
        </w:tc>
        <w:tc>
          <w:tcPr>
            <w:tcW w:w="775" w:type="dxa"/>
            <w:shd w:val="clear" w:color="auto" w:fill="FFFFFF"/>
          </w:tcPr>
          <w:p w14:paraId="42F22EFE"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83" w:type="dxa"/>
            <w:shd w:val="clear" w:color="auto" w:fill="FFFFFF"/>
          </w:tcPr>
          <w:p w14:paraId="6001A0A3" w14:textId="77777777" w:rsidR="00973276" w:rsidRPr="00D111B0" w:rsidRDefault="00973276" w:rsidP="007346B0">
            <w:pPr>
              <w:pStyle w:val="CETBodytext"/>
              <w:ind w:right="-1"/>
              <w:jc w:val="center"/>
              <w:rPr>
                <w:sz w:val="16"/>
                <w:szCs w:val="18"/>
                <w:lang w:val="en-GB"/>
              </w:rPr>
            </w:pPr>
            <w:r w:rsidRPr="00D111B0">
              <w:rPr>
                <w:sz w:val="16"/>
                <w:szCs w:val="18"/>
                <w:lang w:val="en-GB"/>
              </w:rPr>
              <w:t>756</w:t>
            </w:r>
          </w:p>
        </w:tc>
        <w:tc>
          <w:tcPr>
            <w:tcW w:w="776" w:type="dxa"/>
            <w:shd w:val="clear" w:color="auto" w:fill="FFFFFF"/>
          </w:tcPr>
          <w:p w14:paraId="397C694D"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730" w:type="dxa"/>
            <w:shd w:val="clear" w:color="auto" w:fill="FFFFFF"/>
          </w:tcPr>
          <w:p w14:paraId="74E091E0"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688" w:type="dxa"/>
            <w:shd w:val="clear" w:color="auto" w:fill="FFFFFF"/>
          </w:tcPr>
          <w:p w14:paraId="66493595"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3</w:t>
            </w:r>
          </w:p>
        </w:tc>
        <w:tc>
          <w:tcPr>
            <w:tcW w:w="708" w:type="dxa"/>
            <w:shd w:val="clear" w:color="auto" w:fill="FFFFFF"/>
          </w:tcPr>
          <w:p w14:paraId="21999509"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r>
      <w:tr w:rsidR="00973276" w:rsidRPr="00675F93" w14:paraId="7F0B7DD2" w14:textId="77777777" w:rsidTr="007346B0">
        <w:trPr>
          <w:gridAfter w:val="1"/>
          <w:wAfter w:w="84" w:type="dxa"/>
          <w:trHeight w:val="280"/>
        </w:trPr>
        <w:tc>
          <w:tcPr>
            <w:tcW w:w="851" w:type="dxa"/>
            <w:shd w:val="clear" w:color="auto" w:fill="FFFFFF"/>
          </w:tcPr>
          <w:p w14:paraId="74FBE60C" w14:textId="77777777" w:rsidR="00973276" w:rsidRPr="00675F93" w:rsidRDefault="00973276" w:rsidP="007346B0">
            <w:pPr>
              <w:pStyle w:val="CETBodytext"/>
              <w:jc w:val="center"/>
              <w:rPr>
                <w:lang w:val="en-GB"/>
              </w:rPr>
            </w:pPr>
            <w:r w:rsidRPr="00675F93">
              <w:rPr>
                <w:lang w:val="en-GB"/>
              </w:rPr>
              <w:t>EC-02</w:t>
            </w:r>
          </w:p>
        </w:tc>
        <w:tc>
          <w:tcPr>
            <w:tcW w:w="763" w:type="dxa"/>
            <w:shd w:val="clear" w:color="auto" w:fill="FFFFFF"/>
          </w:tcPr>
          <w:p w14:paraId="7EB54D72"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786" w:type="dxa"/>
            <w:shd w:val="clear" w:color="auto" w:fill="FFFFFF"/>
          </w:tcPr>
          <w:p w14:paraId="0C690E9F"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698" w:type="dxa"/>
            <w:shd w:val="clear" w:color="auto" w:fill="FFFFFF"/>
          </w:tcPr>
          <w:p w14:paraId="35629525"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51</w:t>
            </w:r>
          </w:p>
        </w:tc>
        <w:tc>
          <w:tcPr>
            <w:tcW w:w="1079" w:type="dxa"/>
            <w:shd w:val="clear" w:color="auto" w:fill="FFFFFF"/>
          </w:tcPr>
          <w:p w14:paraId="22008CCD"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Vapour</w:t>
            </w:r>
          </w:p>
        </w:tc>
        <w:tc>
          <w:tcPr>
            <w:tcW w:w="775" w:type="dxa"/>
            <w:shd w:val="clear" w:color="auto" w:fill="FFFFFF"/>
          </w:tcPr>
          <w:p w14:paraId="0A265E95"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83" w:type="dxa"/>
            <w:shd w:val="clear" w:color="auto" w:fill="FFFFFF"/>
          </w:tcPr>
          <w:p w14:paraId="7D071FE4" w14:textId="77777777" w:rsidR="00973276" w:rsidRPr="00D111B0" w:rsidRDefault="00973276" w:rsidP="007346B0">
            <w:pPr>
              <w:pStyle w:val="CETBodytext"/>
              <w:ind w:right="-1"/>
              <w:jc w:val="center"/>
              <w:rPr>
                <w:sz w:val="16"/>
                <w:szCs w:val="18"/>
                <w:lang w:val="en-GB"/>
              </w:rPr>
            </w:pPr>
            <w:r w:rsidRPr="00D111B0">
              <w:rPr>
                <w:sz w:val="16"/>
                <w:szCs w:val="18"/>
                <w:lang w:val="en-GB"/>
              </w:rPr>
              <w:t>3</w:t>
            </w:r>
          </w:p>
        </w:tc>
        <w:tc>
          <w:tcPr>
            <w:tcW w:w="776" w:type="dxa"/>
            <w:shd w:val="clear" w:color="auto" w:fill="FFFFFF"/>
          </w:tcPr>
          <w:p w14:paraId="155F5CA6"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730" w:type="dxa"/>
            <w:shd w:val="clear" w:color="auto" w:fill="FFFFFF"/>
          </w:tcPr>
          <w:p w14:paraId="067218A9"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688" w:type="dxa"/>
            <w:shd w:val="clear" w:color="auto" w:fill="FFFFFF"/>
          </w:tcPr>
          <w:p w14:paraId="6228C264"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4</w:t>
            </w:r>
          </w:p>
        </w:tc>
        <w:tc>
          <w:tcPr>
            <w:tcW w:w="708" w:type="dxa"/>
            <w:shd w:val="clear" w:color="auto" w:fill="FFFFFF"/>
          </w:tcPr>
          <w:p w14:paraId="50B65C9B"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r>
      <w:tr w:rsidR="00973276" w:rsidRPr="00675F93" w14:paraId="1FACDD51" w14:textId="77777777" w:rsidTr="007346B0">
        <w:trPr>
          <w:gridAfter w:val="1"/>
          <w:wAfter w:w="84" w:type="dxa"/>
          <w:trHeight w:val="280"/>
        </w:trPr>
        <w:tc>
          <w:tcPr>
            <w:tcW w:w="851" w:type="dxa"/>
            <w:shd w:val="clear" w:color="auto" w:fill="FFFFFF"/>
          </w:tcPr>
          <w:p w14:paraId="76E6E77C" w14:textId="77777777" w:rsidR="00973276" w:rsidRPr="00675F93" w:rsidRDefault="00973276" w:rsidP="007346B0">
            <w:pPr>
              <w:pStyle w:val="CETBodytext"/>
              <w:jc w:val="center"/>
              <w:rPr>
                <w:lang w:val="en-GB"/>
              </w:rPr>
            </w:pPr>
            <w:r w:rsidRPr="00675F93">
              <w:rPr>
                <w:lang w:val="en-GB"/>
              </w:rPr>
              <w:t>S-01</w:t>
            </w:r>
          </w:p>
        </w:tc>
        <w:tc>
          <w:tcPr>
            <w:tcW w:w="763" w:type="dxa"/>
            <w:shd w:val="clear" w:color="auto" w:fill="FFFFFF"/>
          </w:tcPr>
          <w:p w14:paraId="134B662D"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786" w:type="dxa"/>
            <w:shd w:val="clear" w:color="auto" w:fill="FFFFFF"/>
          </w:tcPr>
          <w:p w14:paraId="4E9B9600" w14:textId="77777777" w:rsidR="00973276" w:rsidRPr="00D111B0" w:rsidRDefault="00973276" w:rsidP="007346B0">
            <w:pPr>
              <w:pStyle w:val="CETBodytext"/>
              <w:jc w:val="center"/>
              <w:rPr>
                <w:sz w:val="16"/>
                <w:szCs w:val="18"/>
                <w:lang w:val="en-GB"/>
              </w:rPr>
            </w:pPr>
            <w:r w:rsidRPr="00D111B0">
              <w:rPr>
                <w:sz w:val="16"/>
                <w:szCs w:val="18"/>
                <w:lang w:val="en-GB"/>
              </w:rPr>
              <w:t>38</w:t>
            </w:r>
          </w:p>
        </w:tc>
        <w:tc>
          <w:tcPr>
            <w:tcW w:w="698" w:type="dxa"/>
            <w:shd w:val="clear" w:color="auto" w:fill="FFFFFF"/>
          </w:tcPr>
          <w:p w14:paraId="41D66D0B"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25</w:t>
            </w:r>
          </w:p>
        </w:tc>
        <w:tc>
          <w:tcPr>
            <w:tcW w:w="1079" w:type="dxa"/>
            <w:shd w:val="clear" w:color="auto" w:fill="FFFFFF"/>
          </w:tcPr>
          <w:p w14:paraId="5A22202D"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Liquid</w:t>
            </w:r>
          </w:p>
        </w:tc>
        <w:tc>
          <w:tcPr>
            <w:tcW w:w="775" w:type="dxa"/>
            <w:shd w:val="clear" w:color="auto" w:fill="FFFFFF"/>
          </w:tcPr>
          <w:p w14:paraId="6A394EBD"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83" w:type="dxa"/>
            <w:shd w:val="clear" w:color="auto" w:fill="FFFFFF"/>
          </w:tcPr>
          <w:p w14:paraId="338E942F" w14:textId="77777777" w:rsidR="00973276" w:rsidRPr="00D111B0" w:rsidRDefault="00973276" w:rsidP="007346B0">
            <w:pPr>
              <w:pStyle w:val="CETBodytext"/>
              <w:ind w:right="-1"/>
              <w:jc w:val="center"/>
              <w:rPr>
                <w:sz w:val="16"/>
                <w:szCs w:val="18"/>
                <w:lang w:val="en-GB"/>
              </w:rPr>
            </w:pPr>
            <w:r w:rsidRPr="00D111B0">
              <w:rPr>
                <w:sz w:val="16"/>
                <w:szCs w:val="18"/>
                <w:lang w:val="en-GB"/>
              </w:rPr>
              <w:t>15</w:t>
            </w:r>
          </w:p>
        </w:tc>
        <w:tc>
          <w:tcPr>
            <w:tcW w:w="776" w:type="dxa"/>
            <w:shd w:val="clear" w:color="auto" w:fill="FFFFFF"/>
          </w:tcPr>
          <w:p w14:paraId="7FD79BA6"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730" w:type="dxa"/>
            <w:shd w:val="clear" w:color="auto" w:fill="FFFFFF"/>
          </w:tcPr>
          <w:p w14:paraId="0D7B2193"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688" w:type="dxa"/>
            <w:shd w:val="clear" w:color="auto" w:fill="FFFFFF"/>
          </w:tcPr>
          <w:p w14:paraId="47C3B807"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2</w:t>
            </w:r>
          </w:p>
        </w:tc>
        <w:tc>
          <w:tcPr>
            <w:tcW w:w="708" w:type="dxa"/>
            <w:shd w:val="clear" w:color="auto" w:fill="FFFFFF"/>
          </w:tcPr>
          <w:p w14:paraId="3A77C427"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r>
      <w:tr w:rsidR="00973276" w:rsidRPr="00675F93" w14:paraId="7C28F87B" w14:textId="77777777" w:rsidTr="007346B0">
        <w:trPr>
          <w:gridAfter w:val="1"/>
          <w:wAfter w:w="84" w:type="dxa"/>
          <w:trHeight w:val="280"/>
        </w:trPr>
        <w:tc>
          <w:tcPr>
            <w:tcW w:w="851" w:type="dxa"/>
            <w:shd w:val="clear" w:color="auto" w:fill="FFFFFF"/>
          </w:tcPr>
          <w:p w14:paraId="45B33B66" w14:textId="77777777" w:rsidR="00973276" w:rsidRPr="00675F93" w:rsidRDefault="00973276" w:rsidP="007346B0">
            <w:pPr>
              <w:pStyle w:val="CETBodytext"/>
              <w:jc w:val="center"/>
              <w:rPr>
                <w:lang w:val="en-GB"/>
              </w:rPr>
            </w:pPr>
            <w:r w:rsidRPr="00675F93">
              <w:rPr>
                <w:lang w:val="en-GB"/>
              </w:rPr>
              <w:t>S-01</w:t>
            </w:r>
          </w:p>
        </w:tc>
        <w:tc>
          <w:tcPr>
            <w:tcW w:w="763" w:type="dxa"/>
            <w:shd w:val="clear" w:color="auto" w:fill="FFFFFF"/>
          </w:tcPr>
          <w:p w14:paraId="07FAA322"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786" w:type="dxa"/>
            <w:shd w:val="clear" w:color="auto" w:fill="FFFFFF"/>
          </w:tcPr>
          <w:p w14:paraId="3550F21F" w14:textId="77777777" w:rsidR="00973276" w:rsidRPr="00D111B0" w:rsidRDefault="00973276" w:rsidP="007346B0">
            <w:pPr>
              <w:pStyle w:val="CETBodytext"/>
              <w:jc w:val="center"/>
              <w:rPr>
                <w:sz w:val="16"/>
                <w:szCs w:val="18"/>
                <w:lang w:val="en-GB"/>
              </w:rPr>
            </w:pPr>
            <w:r w:rsidRPr="00D111B0">
              <w:rPr>
                <w:sz w:val="16"/>
                <w:szCs w:val="18"/>
                <w:lang w:val="en-GB"/>
              </w:rPr>
              <w:t>38</w:t>
            </w:r>
          </w:p>
        </w:tc>
        <w:tc>
          <w:tcPr>
            <w:tcW w:w="698" w:type="dxa"/>
            <w:shd w:val="clear" w:color="auto" w:fill="FFFFFF"/>
          </w:tcPr>
          <w:p w14:paraId="7D654D86"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25</w:t>
            </w:r>
          </w:p>
        </w:tc>
        <w:tc>
          <w:tcPr>
            <w:tcW w:w="1079" w:type="dxa"/>
            <w:shd w:val="clear" w:color="auto" w:fill="FFFFFF"/>
          </w:tcPr>
          <w:p w14:paraId="325C0BB6"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Vapour</w:t>
            </w:r>
          </w:p>
        </w:tc>
        <w:tc>
          <w:tcPr>
            <w:tcW w:w="775" w:type="dxa"/>
            <w:shd w:val="clear" w:color="auto" w:fill="FFFFFF"/>
          </w:tcPr>
          <w:p w14:paraId="103A0CAD"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83" w:type="dxa"/>
            <w:shd w:val="clear" w:color="auto" w:fill="FFFFFF"/>
          </w:tcPr>
          <w:p w14:paraId="1E050E3C" w14:textId="77777777" w:rsidR="00973276" w:rsidRPr="00D111B0" w:rsidRDefault="00973276" w:rsidP="007346B0">
            <w:pPr>
              <w:pStyle w:val="CETBodytext"/>
              <w:ind w:right="-1"/>
              <w:jc w:val="center"/>
              <w:rPr>
                <w:sz w:val="16"/>
                <w:szCs w:val="18"/>
                <w:lang w:val="en-GB"/>
              </w:rPr>
            </w:pPr>
            <w:r w:rsidRPr="00D111B0">
              <w:rPr>
                <w:sz w:val="16"/>
                <w:szCs w:val="18"/>
                <w:lang w:val="en-GB"/>
              </w:rPr>
              <w:t>1</w:t>
            </w:r>
          </w:p>
        </w:tc>
        <w:tc>
          <w:tcPr>
            <w:tcW w:w="776" w:type="dxa"/>
            <w:shd w:val="clear" w:color="auto" w:fill="FFFFFF"/>
          </w:tcPr>
          <w:p w14:paraId="42FFCEEA"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730" w:type="dxa"/>
            <w:shd w:val="clear" w:color="auto" w:fill="FFFFFF"/>
          </w:tcPr>
          <w:p w14:paraId="6AB1CCE8"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688" w:type="dxa"/>
            <w:shd w:val="clear" w:color="auto" w:fill="FFFFFF"/>
          </w:tcPr>
          <w:p w14:paraId="420EE1AF"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9</w:t>
            </w:r>
          </w:p>
        </w:tc>
        <w:tc>
          <w:tcPr>
            <w:tcW w:w="708" w:type="dxa"/>
            <w:shd w:val="clear" w:color="auto" w:fill="FFFFFF"/>
          </w:tcPr>
          <w:p w14:paraId="4FF4C4A6"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1</w:t>
            </w:r>
          </w:p>
        </w:tc>
      </w:tr>
      <w:tr w:rsidR="00973276" w:rsidRPr="00675F93" w14:paraId="4B44685D" w14:textId="77777777" w:rsidTr="007346B0">
        <w:trPr>
          <w:gridAfter w:val="1"/>
          <w:wAfter w:w="84" w:type="dxa"/>
          <w:trHeight w:val="280"/>
        </w:trPr>
        <w:tc>
          <w:tcPr>
            <w:tcW w:w="851" w:type="dxa"/>
            <w:shd w:val="clear" w:color="auto" w:fill="FFFFFF"/>
          </w:tcPr>
          <w:p w14:paraId="4AD18144" w14:textId="77777777" w:rsidR="00973276" w:rsidRPr="00675F93" w:rsidRDefault="00973276" w:rsidP="007346B0">
            <w:pPr>
              <w:pStyle w:val="CETBodytext"/>
              <w:jc w:val="center"/>
              <w:rPr>
                <w:lang w:val="en-GB"/>
              </w:rPr>
            </w:pPr>
            <w:r w:rsidRPr="00675F93">
              <w:rPr>
                <w:lang w:val="en-GB"/>
              </w:rPr>
              <w:t>S-02</w:t>
            </w:r>
          </w:p>
        </w:tc>
        <w:tc>
          <w:tcPr>
            <w:tcW w:w="763" w:type="dxa"/>
            <w:shd w:val="clear" w:color="auto" w:fill="FFFFFF"/>
          </w:tcPr>
          <w:p w14:paraId="6258EDD6"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786" w:type="dxa"/>
            <w:shd w:val="clear" w:color="auto" w:fill="FFFFFF"/>
          </w:tcPr>
          <w:p w14:paraId="08A9064F"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698" w:type="dxa"/>
            <w:shd w:val="clear" w:color="auto" w:fill="FFFFFF"/>
          </w:tcPr>
          <w:p w14:paraId="5763B6D3"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22</w:t>
            </w:r>
          </w:p>
        </w:tc>
        <w:tc>
          <w:tcPr>
            <w:tcW w:w="1079" w:type="dxa"/>
            <w:shd w:val="clear" w:color="auto" w:fill="FFFFFF"/>
          </w:tcPr>
          <w:p w14:paraId="2769AA59"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Liquid</w:t>
            </w:r>
          </w:p>
        </w:tc>
        <w:tc>
          <w:tcPr>
            <w:tcW w:w="775" w:type="dxa"/>
            <w:shd w:val="clear" w:color="auto" w:fill="FFFFFF"/>
          </w:tcPr>
          <w:p w14:paraId="1BB8EF2D"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83" w:type="dxa"/>
            <w:shd w:val="clear" w:color="auto" w:fill="FFFFFF"/>
          </w:tcPr>
          <w:p w14:paraId="20BC58D5" w14:textId="77777777" w:rsidR="00973276" w:rsidRPr="00D111B0" w:rsidRDefault="00973276" w:rsidP="007346B0">
            <w:pPr>
              <w:pStyle w:val="CETBodytext"/>
              <w:ind w:right="-1"/>
              <w:jc w:val="center"/>
              <w:rPr>
                <w:sz w:val="16"/>
                <w:szCs w:val="18"/>
                <w:lang w:val="en-GB"/>
              </w:rPr>
            </w:pPr>
            <w:r w:rsidRPr="00D111B0">
              <w:rPr>
                <w:sz w:val="16"/>
                <w:szCs w:val="18"/>
                <w:lang w:val="en-GB"/>
              </w:rPr>
              <w:t>14</w:t>
            </w:r>
          </w:p>
        </w:tc>
        <w:tc>
          <w:tcPr>
            <w:tcW w:w="776" w:type="dxa"/>
            <w:shd w:val="clear" w:color="auto" w:fill="FFFFFF"/>
          </w:tcPr>
          <w:p w14:paraId="74A8A1CB"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730" w:type="dxa"/>
            <w:shd w:val="clear" w:color="auto" w:fill="FFFFFF"/>
          </w:tcPr>
          <w:p w14:paraId="0453CE5A"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688" w:type="dxa"/>
            <w:shd w:val="clear" w:color="auto" w:fill="FFFFFF"/>
          </w:tcPr>
          <w:p w14:paraId="1E2011DD"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08" w:type="dxa"/>
            <w:shd w:val="clear" w:color="auto" w:fill="FFFFFF"/>
          </w:tcPr>
          <w:p w14:paraId="4F5A037B"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r>
      <w:tr w:rsidR="00973276" w:rsidRPr="00675F93" w14:paraId="00123489" w14:textId="77777777" w:rsidTr="007346B0">
        <w:trPr>
          <w:gridAfter w:val="1"/>
          <w:wAfter w:w="84" w:type="dxa"/>
          <w:trHeight w:val="280"/>
        </w:trPr>
        <w:tc>
          <w:tcPr>
            <w:tcW w:w="851" w:type="dxa"/>
            <w:tcBorders>
              <w:bottom w:val="single" w:sz="12" w:space="0" w:color="008000"/>
            </w:tcBorders>
            <w:shd w:val="clear" w:color="auto" w:fill="FFFFFF"/>
          </w:tcPr>
          <w:p w14:paraId="1A649A18" w14:textId="77777777" w:rsidR="00973276" w:rsidRPr="00675F93" w:rsidRDefault="00973276" w:rsidP="007346B0">
            <w:pPr>
              <w:pStyle w:val="CETBodytext"/>
              <w:jc w:val="center"/>
              <w:rPr>
                <w:lang w:val="en-GB"/>
              </w:rPr>
            </w:pPr>
            <w:r w:rsidRPr="00675F93">
              <w:rPr>
                <w:lang w:val="en-GB"/>
              </w:rPr>
              <w:t>S-02</w:t>
            </w:r>
          </w:p>
        </w:tc>
        <w:tc>
          <w:tcPr>
            <w:tcW w:w="763" w:type="dxa"/>
            <w:tcBorders>
              <w:bottom w:val="single" w:sz="12" w:space="0" w:color="008000"/>
            </w:tcBorders>
            <w:shd w:val="clear" w:color="auto" w:fill="FFFFFF"/>
          </w:tcPr>
          <w:p w14:paraId="20784A2F"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786" w:type="dxa"/>
            <w:tcBorders>
              <w:bottom w:val="single" w:sz="12" w:space="0" w:color="008000"/>
            </w:tcBorders>
            <w:shd w:val="clear" w:color="auto" w:fill="FFFFFF"/>
          </w:tcPr>
          <w:p w14:paraId="41C2C125" w14:textId="77777777" w:rsidR="00973276" w:rsidRPr="00D111B0" w:rsidRDefault="00973276" w:rsidP="007346B0">
            <w:pPr>
              <w:pStyle w:val="CETBodytext"/>
              <w:jc w:val="center"/>
              <w:rPr>
                <w:sz w:val="16"/>
                <w:szCs w:val="18"/>
                <w:lang w:val="en-GB"/>
              </w:rPr>
            </w:pPr>
            <w:r w:rsidRPr="00D111B0">
              <w:rPr>
                <w:sz w:val="16"/>
                <w:szCs w:val="18"/>
                <w:lang w:val="en-GB"/>
              </w:rPr>
              <w:t>1</w:t>
            </w:r>
          </w:p>
        </w:tc>
        <w:tc>
          <w:tcPr>
            <w:tcW w:w="698" w:type="dxa"/>
            <w:tcBorders>
              <w:bottom w:val="single" w:sz="12" w:space="0" w:color="008000"/>
            </w:tcBorders>
            <w:shd w:val="clear" w:color="auto" w:fill="FFFFFF"/>
          </w:tcPr>
          <w:p w14:paraId="67787AA3"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22</w:t>
            </w:r>
          </w:p>
        </w:tc>
        <w:tc>
          <w:tcPr>
            <w:tcW w:w="1079" w:type="dxa"/>
            <w:tcBorders>
              <w:bottom w:val="single" w:sz="12" w:space="0" w:color="008000"/>
            </w:tcBorders>
            <w:shd w:val="clear" w:color="auto" w:fill="FFFFFF"/>
          </w:tcPr>
          <w:p w14:paraId="1405A306"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Vapour</w:t>
            </w:r>
          </w:p>
        </w:tc>
        <w:tc>
          <w:tcPr>
            <w:tcW w:w="775" w:type="dxa"/>
            <w:tcBorders>
              <w:bottom w:val="single" w:sz="12" w:space="0" w:color="008000"/>
            </w:tcBorders>
            <w:shd w:val="clear" w:color="auto" w:fill="FFFFFF"/>
          </w:tcPr>
          <w:p w14:paraId="374BCE8F"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x</w:t>
            </w:r>
          </w:p>
        </w:tc>
        <w:tc>
          <w:tcPr>
            <w:tcW w:w="783" w:type="dxa"/>
            <w:tcBorders>
              <w:bottom w:val="single" w:sz="12" w:space="0" w:color="008000"/>
            </w:tcBorders>
            <w:shd w:val="clear" w:color="auto" w:fill="FFFFFF"/>
          </w:tcPr>
          <w:p w14:paraId="72401252" w14:textId="77777777" w:rsidR="00973276" w:rsidRPr="00D111B0" w:rsidRDefault="00973276" w:rsidP="007346B0">
            <w:pPr>
              <w:pStyle w:val="CETBodytext"/>
              <w:ind w:right="-1"/>
              <w:jc w:val="center"/>
              <w:rPr>
                <w:sz w:val="16"/>
                <w:szCs w:val="18"/>
                <w:lang w:val="en-GB"/>
              </w:rPr>
            </w:pPr>
            <w:r w:rsidRPr="00D111B0">
              <w:rPr>
                <w:sz w:val="16"/>
                <w:szCs w:val="18"/>
                <w:lang w:val="en-GB"/>
              </w:rPr>
              <w:t>1</w:t>
            </w:r>
          </w:p>
        </w:tc>
        <w:tc>
          <w:tcPr>
            <w:tcW w:w="776" w:type="dxa"/>
            <w:tcBorders>
              <w:bottom w:val="single" w:sz="12" w:space="0" w:color="008000"/>
            </w:tcBorders>
            <w:shd w:val="clear" w:color="auto" w:fill="FFFFFF"/>
          </w:tcPr>
          <w:p w14:paraId="1F0BD3D8"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730" w:type="dxa"/>
            <w:tcBorders>
              <w:bottom w:val="single" w:sz="12" w:space="0" w:color="008000"/>
            </w:tcBorders>
            <w:shd w:val="clear" w:color="auto" w:fill="FFFFFF"/>
          </w:tcPr>
          <w:p w14:paraId="23CAC948" w14:textId="77777777" w:rsidR="00973276" w:rsidRPr="00D111B0" w:rsidRDefault="00973276" w:rsidP="007346B0">
            <w:pPr>
              <w:pStyle w:val="CETBodytext"/>
              <w:ind w:right="-1"/>
              <w:jc w:val="center"/>
              <w:rPr>
                <w:sz w:val="16"/>
                <w:szCs w:val="18"/>
                <w:lang w:val="en-GB"/>
              </w:rPr>
            </w:pPr>
            <w:r w:rsidRPr="00D111B0">
              <w:rPr>
                <w:sz w:val="16"/>
                <w:szCs w:val="18"/>
                <w:lang w:val="en-GB"/>
              </w:rPr>
              <w:t>x</w:t>
            </w:r>
          </w:p>
        </w:tc>
        <w:tc>
          <w:tcPr>
            <w:tcW w:w="688" w:type="dxa"/>
            <w:tcBorders>
              <w:bottom w:val="single" w:sz="12" w:space="0" w:color="008000"/>
            </w:tcBorders>
            <w:shd w:val="clear" w:color="auto" w:fill="FFFFFF"/>
          </w:tcPr>
          <w:p w14:paraId="35989165"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14</w:t>
            </w:r>
          </w:p>
        </w:tc>
        <w:tc>
          <w:tcPr>
            <w:tcW w:w="708" w:type="dxa"/>
            <w:tcBorders>
              <w:bottom w:val="single" w:sz="12" w:space="0" w:color="008000"/>
            </w:tcBorders>
            <w:shd w:val="clear" w:color="auto" w:fill="FFFFFF"/>
          </w:tcPr>
          <w:p w14:paraId="390E990C" w14:textId="77777777" w:rsidR="00973276" w:rsidRPr="00D111B0" w:rsidRDefault="00973276" w:rsidP="007346B0">
            <w:pPr>
              <w:pStyle w:val="CETBodytext"/>
              <w:ind w:right="-1"/>
              <w:jc w:val="center"/>
              <w:rPr>
                <w:rFonts w:cs="Arial"/>
                <w:sz w:val="16"/>
                <w:szCs w:val="18"/>
                <w:lang w:val="en-GB"/>
              </w:rPr>
            </w:pPr>
            <w:r w:rsidRPr="00D111B0">
              <w:rPr>
                <w:rFonts w:cs="Arial"/>
                <w:sz w:val="16"/>
                <w:szCs w:val="18"/>
                <w:lang w:val="en-GB"/>
              </w:rPr>
              <w:t>1</w:t>
            </w:r>
          </w:p>
        </w:tc>
      </w:tr>
    </w:tbl>
    <w:p w14:paraId="557610B5" w14:textId="77777777" w:rsidR="00973276" w:rsidRDefault="00973276" w:rsidP="00973276">
      <w:pPr>
        <w:pStyle w:val="CETListbullets"/>
        <w:ind w:left="0" w:firstLine="0"/>
      </w:pPr>
    </w:p>
    <w:p w14:paraId="2D6BDEA7" w14:textId="77777777" w:rsidR="00973276" w:rsidRDefault="00973276" w:rsidP="00973276">
      <w:pPr>
        <w:pStyle w:val="CETListbullets"/>
        <w:ind w:left="0" w:firstLine="0"/>
      </w:pPr>
      <w:r w:rsidRPr="001F6FE2">
        <w:lastRenderedPageBreak/>
        <w:t>The re</w:t>
      </w:r>
      <w:bookmarkStart w:id="5" w:name="_GoBack"/>
      <w:bookmarkEnd w:id="5"/>
      <w:r w:rsidRPr="001F6FE2">
        <w:t xml:space="preserve">sults of the inherent safety assessment in terms of process KPIs are shown in </w:t>
      </w:r>
      <w:r w:rsidRPr="001F6FE2">
        <w:fldChar w:fldCharType="begin"/>
      </w:r>
      <w:r w:rsidRPr="001F6FE2">
        <w:instrText xml:space="preserve"> REF _Ref36741687 \h </w:instrText>
      </w:r>
      <w:r>
        <w:instrText xml:space="preserve"> \* MERGEFORMAT </w:instrText>
      </w:r>
      <w:r w:rsidRPr="001F6FE2">
        <w:fldChar w:fldCharType="separate"/>
      </w:r>
      <w:r w:rsidRPr="001F6FE2">
        <w:t xml:space="preserve">Figure </w:t>
      </w:r>
      <w:r w:rsidRPr="001F6FE2">
        <w:rPr>
          <w:noProof/>
        </w:rPr>
        <w:t>3</w:t>
      </w:r>
      <w:r w:rsidRPr="001F6FE2">
        <w:fldChar w:fldCharType="end"/>
      </w:r>
      <w:r>
        <w:t xml:space="preserve"> (a):</w:t>
      </w:r>
      <w:r w:rsidRPr="001F6FE2">
        <w:t xml:space="preserve"> values in the radar plot were normalised over the maximum figures obtained, both overall and per unit. The maximum damage area (PI) from the methanol process is</w:t>
      </w:r>
      <w:r>
        <w:t xml:space="preserve"> twice</w:t>
      </w:r>
      <w:r w:rsidRPr="001F6FE2">
        <w:t xml:space="preserve"> higher than the one caused by the equipment failures of the bio-based process. The distance increases when introducing </w:t>
      </w:r>
      <w:r>
        <w:t>frequencies</w:t>
      </w:r>
      <w:r w:rsidRPr="001F6FE2">
        <w:t xml:space="preserve"> of LOCs occurrences, </w:t>
      </w:r>
      <w:r>
        <w:t>given the figures</w:t>
      </w:r>
      <w:r w:rsidRPr="001F6FE2">
        <w:t xml:space="preserve"> for HI, FHI and THI</w:t>
      </w:r>
      <w:r>
        <w:t>.</w:t>
      </w:r>
    </w:p>
    <w:p w14:paraId="1E496730" w14:textId="77777777" w:rsidR="00973276" w:rsidRDefault="00973276" w:rsidP="00973276">
      <w:pPr>
        <w:pStyle w:val="CETListbullets"/>
        <w:ind w:left="0" w:firstLine="0"/>
      </w:pPr>
    </w:p>
    <w:p w14:paraId="010870F6" w14:textId="77777777" w:rsidR="00973276" w:rsidRDefault="00973276" w:rsidP="00973276">
      <w:pPr>
        <w:pStyle w:val="CETListbullets"/>
        <w:ind w:left="0" w:firstLine="0"/>
      </w:pPr>
      <w:r>
        <w:rPr>
          <w:noProof/>
          <w:lang w:val="it-IT" w:eastAsia="it-IT"/>
        </w:rPr>
        <w:drawing>
          <wp:inline distT="0" distB="0" distL="0" distR="0" wp14:anchorId="0F227C6D" wp14:editId="390C09AF">
            <wp:extent cx="2772000" cy="1811042"/>
            <wp:effectExtent l="0" t="0" r="9525"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2000" cy="1811042"/>
                    </a:xfrm>
                    <a:prstGeom prst="rect">
                      <a:avLst/>
                    </a:prstGeom>
                    <a:noFill/>
                  </pic:spPr>
                </pic:pic>
              </a:graphicData>
            </a:graphic>
          </wp:inline>
        </w:drawing>
      </w:r>
      <w:r>
        <w:rPr>
          <w:noProof/>
          <w:lang w:val="it-IT" w:eastAsia="it-IT"/>
        </w:rPr>
        <w:drawing>
          <wp:inline distT="0" distB="0" distL="0" distR="0" wp14:anchorId="1DDC5F3C" wp14:editId="2A3E406A">
            <wp:extent cx="2772000" cy="1812287"/>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2000" cy="1812287"/>
                    </a:xfrm>
                    <a:prstGeom prst="rect">
                      <a:avLst/>
                    </a:prstGeom>
                    <a:noFill/>
                  </pic:spPr>
                </pic:pic>
              </a:graphicData>
            </a:graphic>
          </wp:inline>
        </w:drawing>
      </w:r>
    </w:p>
    <w:p w14:paraId="3BE23CA6" w14:textId="77777777" w:rsidR="00973276" w:rsidRDefault="00973276" w:rsidP="00973276">
      <w:pPr>
        <w:pStyle w:val="CETCaption"/>
      </w:pPr>
      <w:bookmarkStart w:id="6" w:name="_Ref36741687"/>
      <w:r>
        <w:t xml:space="preserve">Figure </w:t>
      </w:r>
      <w:r>
        <w:fldChar w:fldCharType="begin"/>
      </w:r>
      <w:r>
        <w:instrText xml:space="preserve"> SEQ Figure \* ARABIC </w:instrText>
      </w:r>
      <w:r>
        <w:fldChar w:fldCharType="separate"/>
      </w:r>
      <w:r>
        <w:rPr>
          <w:noProof/>
        </w:rPr>
        <w:t>3</w:t>
      </w:r>
      <w:r>
        <w:fldChar w:fldCharType="end"/>
      </w:r>
      <w:bookmarkEnd w:id="6"/>
      <w:r>
        <w:t>. a) Inherent safety KPIs for 3</w:t>
      </w:r>
      <w:r w:rsidRPr="003A0FA7">
        <w:rPr>
          <w:vertAlign w:val="superscript"/>
        </w:rPr>
        <w:t>rd</w:t>
      </w:r>
      <w:r>
        <w:t xml:space="preserve"> generation biodiesel production process and catalytic hydrogenation of CO</w:t>
      </w:r>
      <w:r w:rsidRPr="003A0FA7">
        <w:rPr>
          <w:vertAlign w:val="subscript"/>
        </w:rPr>
        <w:t>2</w:t>
      </w:r>
      <w:r>
        <w:t xml:space="preserve"> to methanol process. b) Scenarios contribution to the overall flammability inherent hazard index.</w:t>
      </w:r>
    </w:p>
    <w:p w14:paraId="713D7762" w14:textId="77777777" w:rsidR="00973276" w:rsidRDefault="00973276" w:rsidP="00973276">
      <w:pPr>
        <w:pStyle w:val="CETListbullets"/>
        <w:ind w:left="0" w:firstLine="0"/>
      </w:pPr>
      <w:r>
        <w:t xml:space="preserve">PI and HI overall indexes were dominated by the toxic clouds’ damage distances. This scenario’s frequency and impact are indeed due to the combination of three main conditions: elevated inventories of methanol and chloroform, their high level of toxicity and their low vapour pressures, that make them easily pass in vapour phase. The different fire scenarios contributing to the FHI index are shown in </w:t>
      </w:r>
      <w:r>
        <w:fldChar w:fldCharType="begin"/>
      </w:r>
      <w:r>
        <w:instrText xml:space="preserve"> REF _Ref36741687 \h </w:instrText>
      </w:r>
      <w:r>
        <w:fldChar w:fldCharType="separate"/>
      </w:r>
      <w:r>
        <w:t xml:space="preserve">Figure </w:t>
      </w:r>
      <w:r>
        <w:rPr>
          <w:noProof/>
        </w:rPr>
        <w:t>3</w:t>
      </w:r>
      <w:r>
        <w:fldChar w:fldCharType="end"/>
      </w:r>
      <w:r>
        <w:t xml:space="preserve"> (b), for both processes.</w:t>
      </w:r>
    </w:p>
    <w:p w14:paraId="5E19D00E" w14:textId="77777777" w:rsidR="00973276" w:rsidRDefault="00973276" w:rsidP="00973276">
      <w:pPr>
        <w:pStyle w:val="CETListbullets"/>
        <w:ind w:left="0" w:firstLine="0"/>
      </w:pPr>
    </w:p>
    <w:p w14:paraId="1F4F80D4" w14:textId="77777777" w:rsidR="00973276" w:rsidRDefault="00973276" w:rsidP="00973276">
      <w:pPr>
        <w:pStyle w:val="CETListbullets"/>
        <w:keepNext/>
        <w:ind w:left="0" w:firstLine="0"/>
      </w:pPr>
      <w:r>
        <w:t xml:space="preserve"> </w:t>
      </w:r>
      <w:r>
        <w:rPr>
          <w:noProof/>
          <w:lang w:val="it-IT" w:eastAsia="it-IT"/>
        </w:rPr>
        <w:drawing>
          <wp:inline distT="0" distB="0" distL="0" distR="0" wp14:anchorId="3139DE27" wp14:editId="140C4820">
            <wp:extent cx="2772000" cy="1811831"/>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2000" cy="1811831"/>
                    </a:xfrm>
                    <a:prstGeom prst="rect">
                      <a:avLst/>
                    </a:prstGeom>
                    <a:noFill/>
                  </pic:spPr>
                </pic:pic>
              </a:graphicData>
            </a:graphic>
          </wp:inline>
        </w:drawing>
      </w:r>
      <w:r>
        <w:rPr>
          <w:noProof/>
          <w:lang w:val="it-IT" w:eastAsia="it-IT"/>
        </w:rPr>
        <w:drawing>
          <wp:inline distT="0" distB="0" distL="0" distR="0" wp14:anchorId="3637B1D1" wp14:editId="11AD6FA0">
            <wp:extent cx="2772000" cy="1812286"/>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2000" cy="1812286"/>
                    </a:xfrm>
                    <a:prstGeom prst="rect">
                      <a:avLst/>
                    </a:prstGeom>
                    <a:noFill/>
                  </pic:spPr>
                </pic:pic>
              </a:graphicData>
            </a:graphic>
          </wp:inline>
        </w:drawing>
      </w:r>
    </w:p>
    <w:p w14:paraId="480E1364" w14:textId="77777777" w:rsidR="00973276" w:rsidRDefault="00973276" w:rsidP="00973276">
      <w:pPr>
        <w:pStyle w:val="CETCaption"/>
      </w:pPr>
      <w:bookmarkStart w:id="7" w:name="_Ref36777544"/>
      <w:r>
        <w:t xml:space="preserve">Figure </w:t>
      </w:r>
      <w:r>
        <w:fldChar w:fldCharType="begin"/>
      </w:r>
      <w:r>
        <w:instrText xml:space="preserve"> SEQ Figure \* ARABIC </w:instrText>
      </w:r>
      <w:r>
        <w:fldChar w:fldCharType="separate"/>
      </w:r>
      <w:r>
        <w:rPr>
          <w:noProof/>
        </w:rPr>
        <w:t>4</w:t>
      </w:r>
      <w:r>
        <w:fldChar w:fldCharType="end"/>
      </w:r>
      <w:bookmarkEnd w:id="7"/>
      <w:r>
        <w:t xml:space="preserve">. a) PI indexes fractionated according to the hazardous compound responsible for the maximum damage distance. b) HI indexes according to the contributing substances. </w:t>
      </w:r>
    </w:p>
    <w:p w14:paraId="5F0ABD04" w14:textId="77777777" w:rsidR="00973276" w:rsidRPr="009E7586" w:rsidRDefault="00973276" w:rsidP="00973276">
      <w:pPr>
        <w:pStyle w:val="CETBodytext"/>
        <w:rPr>
          <w:lang w:val="en-GB"/>
        </w:rPr>
      </w:pPr>
      <w:r>
        <w:rPr>
          <w:lang w:val="en-GB"/>
        </w:rPr>
        <w:t xml:space="preserve">In </w:t>
      </w:r>
      <w:r>
        <w:rPr>
          <w:lang w:val="en-GB"/>
        </w:rPr>
        <w:fldChar w:fldCharType="begin"/>
      </w:r>
      <w:r>
        <w:rPr>
          <w:lang w:val="en-GB"/>
        </w:rPr>
        <w:instrText xml:space="preserve"> REF _Ref36777544 \h </w:instrText>
      </w:r>
      <w:r>
        <w:rPr>
          <w:lang w:val="en-GB"/>
        </w:rPr>
      </w:r>
      <w:r>
        <w:rPr>
          <w:lang w:val="en-GB"/>
        </w:rPr>
        <w:fldChar w:fldCharType="separate"/>
      </w:r>
      <w:r>
        <w:t xml:space="preserve">Figure </w:t>
      </w:r>
      <w:r>
        <w:rPr>
          <w:noProof/>
        </w:rPr>
        <w:t>4</w:t>
      </w:r>
      <w:r>
        <w:rPr>
          <w:lang w:val="en-GB"/>
        </w:rPr>
        <w:fldChar w:fldCharType="end"/>
      </w:r>
      <w:r>
        <w:rPr>
          <w:lang w:val="en-GB"/>
        </w:rPr>
        <w:t xml:space="preserve"> the incidences of the hazardous compound on the overall PI and HI are shown: the maximum damage areas are totally caused by the consequences of methanol releases for both processes. Looking at the HIs, if for the catalytic hydrogenation plant methanol inventories remain the main impacting substance, in the biodiesel plant the worst scenarios can be triggered also by chloroform and CO</w:t>
      </w:r>
      <w:r w:rsidRPr="007144BC">
        <w:rPr>
          <w:vertAlign w:val="subscript"/>
          <w:lang w:val="en-GB"/>
        </w:rPr>
        <w:t>2</w:t>
      </w:r>
      <w:r>
        <w:rPr>
          <w:lang w:val="en-GB"/>
        </w:rPr>
        <w:t>. It’s worth observing that only PBRs are responsible for the spreading of CO</w:t>
      </w:r>
      <w:r w:rsidRPr="007144BC">
        <w:rPr>
          <w:vertAlign w:val="subscript"/>
          <w:lang w:val="en-GB"/>
        </w:rPr>
        <w:t>2</w:t>
      </w:r>
      <w:r>
        <w:rPr>
          <w:lang w:val="en-GB"/>
        </w:rPr>
        <w:t xml:space="preserve"> toxic clouds, with a maximum damage distance of 5 m, but amplified by the very high numbers of bioreactors needed in parallel configuration to achieve the target production. Furthermore, in the biodiesel production process, H</w:t>
      </w:r>
      <w:r w:rsidRPr="00D23533">
        <w:rPr>
          <w:vertAlign w:val="subscript"/>
          <w:lang w:val="en-GB"/>
        </w:rPr>
        <w:t>2</w:t>
      </w:r>
      <w:r>
        <w:rPr>
          <w:lang w:val="en-GB"/>
        </w:rPr>
        <w:t>SO</w:t>
      </w:r>
      <w:r w:rsidRPr="00D23533">
        <w:rPr>
          <w:vertAlign w:val="subscript"/>
          <w:lang w:val="en-GB"/>
        </w:rPr>
        <w:t>4</w:t>
      </w:r>
      <w:r>
        <w:rPr>
          <w:lang w:val="en-GB"/>
        </w:rPr>
        <w:t xml:space="preserve"> doesn’t present risks for the human target after the progression of relevant accidents because it is in liquid phase at the operative conditions of the reactor and the pool generated by the releases is subjected to a minimal evaporation rate.</w:t>
      </w:r>
    </w:p>
    <w:p w14:paraId="3A022C8D" w14:textId="77777777" w:rsidR="00973276" w:rsidRDefault="00973276" w:rsidP="00973276">
      <w:pPr>
        <w:pStyle w:val="CETHeading1"/>
        <w:rPr>
          <w:lang w:val="en-GB"/>
        </w:rPr>
      </w:pPr>
      <w:r w:rsidRPr="00B57B36">
        <w:rPr>
          <w:lang w:val="en-GB"/>
        </w:rPr>
        <w:t>Conclusions</w:t>
      </w:r>
    </w:p>
    <w:p w14:paraId="0073FEDC" w14:textId="77777777" w:rsidR="00973276" w:rsidRDefault="00973276" w:rsidP="00973276">
      <w:r w:rsidRPr="00AE2F5F">
        <w:t>The inherent hazards of two alternative fuel production process</w:t>
      </w:r>
      <w:r>
        <w:t>es</w:t>
      </w:r>
      <w:r w:rsidRPr="00AE2F5F">
        <w:t xml:space="preserve"> were analysed through a consequence-based methodology which enabled the quantification of damage distances of probable scenarios towards the human target. Both the schemes were representative of industrial-scale facilities with equal productivities: 3</w:t>
      </w:r>
      <w:r w:rsidRPr="00AE2F5F">
        <w:rPr>
          <w:vertAlign w:val="superscript"/>
        </w:rPr>
        <w:t>rd</w:t>
      </w:r>
      <w:r w:rsidRPr="00AE2F5F">
        <w:t xml:space="preserve"> </w:t>
      </w:r>
      <w:r w:rsidRPr="00AE2F5F">
        <w:lastRenderedPageBreak/>
        <w:t>generation biodiesel and methanol from catalytic hydrogenation of CO</w:t>
      </w:r>
      <w:r w:rsidRPr="00AE2F5F">
        <w:rPr>
          <w:vertAlign w:val="subscript"/>
        </w:rPr>
        <w:t>2</w:t>
      </w:r>
      <w:r w:rsidRPr="00AE2F5F">
        <w:t>. After determining the inventories</w:t>
      </w:r>
      <w:r>
        <w:t xml:space="preserve"> of hazardous substances</w:t>
      </w:r>
      <w:r w:rsidRPr="00AE2F5F">
        <w:t xml:space="preserve"> present</w:t>
      </w:r>
      <w:r>
        <w:t xml:space="preserve"> in each equipment</w:t>
      </w:r>
      <w:r w:rsidRPr="00AE2F5F">
        <w:t>, five modes of release were simulated and consequences of toxics’ dispersion, fires</w:t>
      </w:r>
      <w:r>
        <w:t xml:space="preserve"> </w:t>
      </w:r>
      <w:r w:rsidRPr="00AE2F5F">
        <w:t xml:space="preserve">and explosions </w:t>
      </w:r>
      <w:r>
        <w:t>were quantified</w:t>
      </w:r>
      <w:r w:rsidRPr="00AE2F5F">
        <w:t>. The damage distances were re-worked into Key Performance In</w:t>
      </w:r>
      <w:r>
        <w:t>dicators</w:t>
      </w:r>
      <w:r w:rsidRPr="00AE2F5F">
        <w:t xml:space="preserve"> to enable the comparison between </w:t>
      </w:r>
      <w:r>
        <w:t xml:space="preserve">the two </w:t>
      </w:r>
      <w:r w:rsidRPr="00AE2F5F">
        <w:t xml:space="preserve">alternatives. The results enhanced the intrinsic risk associated to the methanol plant, due to the elevated alcohol inventories and the more severe operative conditions. The bio-based process, on the contrary, appears safer even though more hazardous substances are involved and the number of dangerous units is neatly higher. </w:t>
      </w:r>
      <w:r>
        <w:t>However,</w:t>
      </w:r>
      <w:r w:rsidRPr="00AE2F5F">
        <w:t xml:space="preserve"> it should be underlined that biological risks related to microorganisms </w:t>
      </w:r>
      <w:r>
        <w:t>are</w:t>
      </w:r>
      <w:r w:rsidRPr="00AE2F5F">
        <w:t>n’t yet an explored subject</w:t>
      </w:r>
      <w:r>
        <w:t xml:space="preserve"> and their quantification could have had an effect in the present study. </w:t>
      </w:r>
    </w:p>
    <w:p w14:paraId="7D04E508" w14:textId="77777777" w:rsidR="00973276" w:rsidRPr="00B57B36" w:rsidRDefault="00973276" w:rsidP="00973276">
      <w:pPr>
        <w:pStyle w:val="CETReference"/>
      </w:pPr>
      <w:r w:rsidRPr="00B57B36">
        <w:t>References</w:t>
      </w:r>
    </w:p>
    <w:p w14:paraId="3FD35D11" w14:textId="77777777" w:rsidR="00973276" w:rsidRPr="00B31EB6" w:rsidRDefault="00973276" w:rsidP="00973276">
      <w:pPr>
        <w:pStyle w:val="CETReferencetext"/>
      </w:pPr>
      <w:proofErr w:type="spellStart"/>
      <w:r w:rsidRPr="00B31EB6">
        <w:t>Bonan</w:t>
      </w:r>
      <w:proofErr w:type="spellEnd"/>
      <w:r w:rsidRPr="00B31EB6">
        <w:t>, G. B.</w:t>
      </w:r>
      <w:r>
        <w:t xml:space="preserve">, </w:t>
      </w:r>
      <w:proofErr w:type="spellStart"/>
      <w:r w:rsidRPr="00B31EB6">
        <w:t>Doney</w:t>
      </w:r>
      <w:proofErr w:type="spellEnd"/>
      <w:r w:rsidRPr="00B31EB6">
        <w:t>, S. C.</w:t>
      </w:r>
      <w:r>
        <w:t xml:space="preserve">, </w:t>
      </w:r>
      <w:r w:rsidRPr="00B31EB6">
        <w:t>2018</w:t>
      </w:r>
      <w:r>
        <w:t>,</w:t>
      </w:r>
      <w:r w:rsidRPr="00B31EB6">
        <w:t xml:space="preserve"> Climate, ecosystems, and planetary futures: The challenge to predict life in Earth system models, Science, 359(6375).</w:t>
      </w:r>
    </w:p>
    <w:p w14:paraId="2AA62F9E" w14:textId="77777777" w:rsidR="00973276" w:rsidRPr="00B31EB6" w:rsidRDefault="00973276" w:rsidP="00973276">
      <w:pPr>
        <w:pStyle w:val="CETReferencetext"/>
      </w:pPr>
      <w:r w:rsidRPr="00D523F3">
        <w:t xml:space="preserve">Casson Moreno V., Danzi E., </w:t>
      </w:r>
      <w:proofErr w:type="spellStart"/>
      <w:r w:rsidRPr="00D523F3">
        <w:t>Marmo</w:t>
      </w:r>
      <w:proofErr w:type="spellEnd"/>
      <w:r w:rsidRPr="00D523F3">
        <w:t xml:space="preserve"> L., </w:t>
      </w:r>
      <w:proofErr w:type="spellStart"/>
      <w:r w:rsidRPr="00D523F3">
        <w:t>Salzano</w:t>
      </w:r>
      <w:proofErr w:type="spellEnd"/>
      <w:r w:rsidRPr="00D523F3">
        <w:t xml:space="preserve"> E., Cozzani V., 2019, Major accident hazard in biodiesel production processes, Safety Science, 113, 490–503.</w:t>
      </w:r>
      <w:r w:rsidRPr="00B31EB6">
        <w:t xml:space="preserve"> </w:t>
      </w:r>
    </w:p>
    <w:p w14:paraId="447D7D17" w14:textId="77777777" w:rsidR="00973276" w:rsidRPr="00B31EB6" w:rsidRDefault="00973276" w:rsidP="00973276">
      <w:pPr>
        <w:pStyle w:val="CETReferencetext"/>
      </w:pPr>
      <w:proofErr w:type="spellStart"/>
      <w:r w:rsidRPr="00B31EB6">
        <w:t>Chisti</w:t>
      </w:r>
      <w:proofErr w:type="spellEnd"/>
      <w:r w:rsidRPr="00B31EB6">
        <w:t xml:space="preserve"> Y.</w:t>
      </w:r>
      <w:r>
        <w:t xml:space="preserve">, </w:t>
      </w:r>
      <w:r w:rsidRPr="00B31EB6">
        <w:t>2013</w:t>
      </w:r>
      <w:r>
        <w:t xml:space="preserve">, </w:t>
      </w:r>
      <w:r w:rsidRPr="00B31EB6">
        <w:t>Constraints to commercialization of algal fuels, Journal of Biotechnology</w:t>
      </w:r>
      <w:r>
        <w:t>,</w:t>
      </w:r>
      <w:r w:rsidRPr="00B31EB6">
        <w:t xml:space="preserve"> 167, 201–214</w:t>
      </w:r>
      <w:r>
        <w:t>.</w:t>
      </w:r>
    </w:p>
    <w:p w14:paraId="1D34BA24" w14:textId="77777777" w:rsidR="00973276" w:rsidRDefault="00973276" w:rsidP="00973276">
      <w:pPr>
        <w:pStyle w:val="CETReferencetext"/>
      </w:pPr>
      <w:r>
        <w:t>CRI. (2019). Technology. Retrieved from &lt;carbonrecycling.is/</w:t>
      </w:r>
      <w:proofErr w:type="spellStart"/>
      <w:r>
        <w:t>technicalservices</w:t>
      </w:r>
      <w:proofErr w:type="spellEnd"/>
      <w:r>
        <w:t>&gt;</w:t>
      </w:r>
    </w:p>
    <w:p w14:paraId="0AD5C84E" w14:textId="77777777" w:rsidR="00973276" w:rsidRPr="00B31EB6" w:rsidRDefault="00973276" w:rsidP="00973276">
      <w:pPr>
        <w:pStyle w:val="CETReferencetext"/>
      </w:pPr>
      <w:proofErr w:type="spellStart"/>
      <w:r w:rsidRPr="00D523F3">
        <w:t>Crivellari</w:t>
      </w:r>
      <w:proofErr w:type="spellEnd"/>
      <w:r w:rsidRPr="00D523F3">
        <w:t xml:space="preserve"> A., </w:t>
      </w:r>
      <w:proofErr w:type="spellStart"/>
      <w:r w:rsidRPr="00D523F3">
        <w:t>Tugnoli</w:t>
      </w:r>
      <w:proofErr w:type="spellEnd"/>
      <w:r w:rsidRPr="00D523F3">
        <w:t xml:space="preserve"> A., Cozzani V., 2018</w:t>
      </w:r>
      <w:r>
        <w:t xml:space="preserve">, </w:t>
      </w:r>
      <w:r w:rsidRPr="00B31EB6">
        <w:t xml:space="preserve">Systematic Methodology for Inherent Safety Indicators Assessment of Early Design Stages of Offshore Oil &amp; Gas Projects, Chemical Engineering Transactions 67, 691–696. </w:t>
      </w:r>
    </w:p>
    <w:p w14:paraId="467207EA" w14:textId="77777777" w:rsidR="00973276" w:rsidRDefault="00973276" w:rsidP="00973276">
      <w:pPr>
        <w:pStyle w:val="CETReferencetext"/>
      </w:pPr>
      <w:r>
        <w:t xml:space="preserve">De Sousa L. L., Da Hora D. S., Sales E. A., </w:t>
      </w:r>
      <w:proofErr w:type="spellStart"/>
      <w:r>
        <w:t>Perelo</w:t>
      </w:r>
      <w:proofErr w:type="spellEnd"/>
      <w:r>
        <w:t xml:space="preserve"> L. W., 2014, Cultivation of </w:t>
      </w:r>
      <w:proofErr w:type="spellStart"/>
      <w:r>
        <w:t>nannochloropsis</w:t>
      </w:r>
      <w:proofErr w:type="spellEnd"/>
      <w:r>
        <w:t xml:space="preserve"> sp. in brackish groundwater supplemented with municipal wastewater as a nutrient source, Brazilian Archives of Biology and Technology, 57(2), 171–177. </w:t>
      </w:r>
    </w:p>
    <w:p w14:paraId="1FA682F6" w14:textId="77777777" w:rsidR="00973276" w:rsidRPr="00B31EB6" w:rsidRDefault="00973276" w:rsidP="00973276">
      <w:pPr>
        <w:pStyle w:val="CETReferencetext"/>
      </w:pPr>
      <w:proofErr w:type="spellStart"/>
      <w:r w:rsidRPr="00B31EB6">
        <w:t>Iannaccone</w:t>
      </w:r>
      <w:proofErr w:type="spellEnd"/>
      <w:r w:rsidRPr="00B31EB6">
        <w:t xml:space="preserve"> T., Landucci G.</w:t>
      </w:r>
      <w:r>
        <w:t>,</w:t>
      </w:r>
      <w:r w:rsidRPr="00B31EB6">
        <w:t xml:space="preserve"> Cozzani V.</w:t>
      </w:r>
      <w:r>
        <w:t xml:space="preserve">, </w:t>
      </w:r>
      <w:r w:rsidRPr="00B31EB6">
        <w:t>2018</w:t>
      </w:r>
      <w:r>
        <w:t xml:space="preserve">, </w:t>
      </w:r>
      <w:r w:rsidRPr="00B31EB6">
        <w:t xml:space="preserve">Inherent Safety Assessment of LNG Fuelled Ships and Bunkering Operations: a Consequence-based Approach, Chemical Engineering Transactions, 67, 121–126. </w:t>
      </w:r>
    </w:p>
    <w:p w14:paraId="51FAE0DF" w14:textId="77777777" w:rsidR="00973276" w:rsidRDefault="00973276" w:rsidP="00973276">
      <w:pPr>
        <w:pStyle w:val="CETReferencetext"/>
      </w:pPr>
      <w:proofErr w:type="spellStart"/>
      <w:r>
        <w:t>Im</w:t>
      </w:r>
      <w:proofErr w:type="spellEnd"/>
      <w:r>
        <w:t xml:space="preserve"> H. J., Lee H. S., Park M. S., Yang J. W., Lee J. W., 2014, Concurrent extraction and reaction for the production of biodiesel from wet microalgae, Bioresource Technology, 152, 534–537. </w:t>
      </w:r>
    </w:p>
    <w:p w14:paraId="2091AC1F" w14:textId="77777777" w:rsidR="00973276" w:rsidRDefault="00973276" w:rsidP="00973276">
      <w:pPr>
        <w:pStyle w:val="CETReferencetext"/>
      </w:pPr>
      <w:r>
        <w:t xml:space="preserve">Islam M. A., Magnusson M., Brown R. J., </w:t>
      </w:r>
      <w:proofErr w:type="spellStart"/>
      <w:r>
        <w:t>Ayoko</w:t>
      </w:r>
      <w:proofErr w:type="spellEnd"/>
      <w:r>
        <w:t xml:space="preserve"> G. A., Nabi M. N., </w:t>
      </w:r>
      <w:proofErr w:type="spellStart"/>
      <w:r>
        <w:t>Heimann</w:t>
      </w:r>
      <w:proofErr w:type="spellEnd"/>
      <w:r>
        <w:t xml:space="preserve"> K., 2013, Microalgal species selection for biodiesel production based on fuel properties derived from fatty acid profiles, Energies, 6(11), 5676–5702. </w:t>
      </w:r>
    </w:p>
    <w:p w14:paraId="0F84E453" w14:textId="77777777" w:rsidR="00973276" w:rsidRDefault="00973276" w:rsidP="00973276">
      <w:pPr>
        <w:pStyle w:val="CETReferencetext"/>
      </w:pPr>
      <w:proofErr w:type="spellStart"/>
      <w:r>
        <w:t>Karaosmanoǧlu</w:t>
      </w:r>
      <w:proofErr w:type="spellEnd"/>
      <w:r>
        <w:t xml:space="preserve"> F., </w:t>
      </w:r>
      <w:proofErr w:type="spellStart"/>
      <w:r>
        <w:t>Ciǧizoǧlu</w:t>
      </w:r>
      <w:proofErr w:type="spellEnd"/>
      <w:r>
        <w:t xml:space="preserve"> K. B., </w:t>
      </w:r>
      <w:proofErr w:type="spellStart"/>
      <w:r>
        <w:t>Tüter</w:t>
      </w:r>
      <w:proofErr w:type="spellEnd"/>
      <w:r>
        <w:t xml:space="preserve"> M., </w:t>
      </w:r>
      <w:proofErr w:type="spellStart"/>
      <w:r>
        <w:t>Ertekin</w:t>
      </w:r>
      <w:proofErr w:type="spellEnd"/>
      <w:r>
        <w:t xml:space="preserve"> S., 1996, Investigation of the refining step of biodiesel production, Energy and Fuels, 10(4), 890–895. </w:t>
      </w:r>
    </w:p>
    <w:p w14:paraId="78380D6E" w14:textId="77777777" w:rsidR="00973276" w:rsidRDefault="00973276" w:rsidP="00973276">
      <w:pPr>
        <w:pStyle w:val="CETReferencetext"/>
      </w:pPr>
      <w:r>
        <w:t xml:space="preserve">Ma X. N., Chen T. P., Yang B., Liu J., Chen F, 2016, Lipid production from </w:t>
      </w:r>
      <w:proofErr w:type="spellStart"/>
      <w:r>
        <w:t>Nannochloropsis</w:t>
      </w:r>
      <w:proofErr w:type="spellEnd"/>
      <w:r>
        <w:t xml:space="preserve">, Marine Drugs, 14(4). </w:t>
      </w:r>
    </w:p>
    <w:p w14:paraId="19682787" w14:textId="77777777" w:rsidR="00973276" w:rsidRPr="00B31EB6" w:rsidRDefault="00973276" w:rsidP="00973276">
      <w:pPr>
        <w:pStyle w:val="CETReferencetext"/>
      </w:pPr>
      <w:proofErr w:type="spellStart"/>
      <w:r w:rsidRPr="00B31EB6">
        <w:t>Matzen</w:t>
      </w:r>
      <w:proofErr w:type="spellEnd"/>
      <w:r w:rsidRPr="00B31EB6">
        <w:t xml:space="preserve"> M., </w:t>
      </w:r>
      <w:proofErr w:type="spellStart"/>
      <w:r w:rsidRPr="00B31EB6">
        <w:t>Alhajji</w:t>
      </w:r>
      <w:proofErr w:type="spellEnd"/>
      <w:r w:rsidRPr="00B31EB6">
        <w:t xml:space="preserve"> M.</w:t>
      </w:r>
      <w:r>
        <w:t>,</w:t>
      </w:r>
      <w:r w:rsidRPr="00B31EB6">
        <w:t xml:space="preserve"> </w:t>
      </w:r>
      <w:proofErr w:type="spellStart"/>
      <w:r w:rsidRPr="00B31EB6">
        <w:t>Demirel</w:t>
      </w:r>
      <w:proofErr w:type="spellEnd"/>
      <w:r w:rsidRPr="00B31EB6">
        <w:t xml:space="preserve"> Y.</w:t>
      </w:r>
      <w:r>
        <w:t xml:space="preserve">, </w:t>
      </w:r>
      <w:r w:rsidRPr="00B31EB6">
        <w:t>2015</w:t>
      </w:r>
      <w:r>
        <w:t xml:space="preserve">, </w:t>
      </w:r>
      <w:r w:rsidRPr="00B31EB6">
        <w:t xml:space="preserve">Chemical storage of wind energy by renewable methanol production: Feasibility analysis using a multi-criteria decision matrix, Energy, 93, 343–353. </w:t>
      </w:r>
    </w:p>
    <w:p w14:paraId="4BC1358B" w14:textId="77777777" w:rsidR="00973276" w:rsidRDefault="00973276" w:rsidP="00973276">
      <w:pPr>
        <w:pStyle w:val="CETReferencetext"/>
      </w:pPr>
      <w:proofErr w:type="spellStart"/>
      <w:r>
        <w:t>Olah</w:t>
      </w:r>
      <w:proofErr w:type="spellEnd"/>
      <w:r>
        <w:t xml:space="preserve"> G. A., Goeppert A., Prakash G. K. S., 2018, Beyond Oil and Gas: the Methanol Economy, 3rd ed., Wiley-VCH, Weinheim</w:t>
      </w:r>
      <w:r w:rsidRPr="00B31EB6">
        <w:t xml:space="preserve"> </w:t>
      </w:r>
    </w:p>
    <w:p w14:paraId="4E2FE49F" w14:textId="77777777" w:rsidR="00973276" w:rsidRPr="00B31EB6" w:rsidRDefault="00973276" w:rsidP="00973276">
      <w:pPr>
        <w:pStyle w:val="CETReferencetext"/>
      </w:pPr>
      <w:proofErr w:type="spellStart"/>
      <w:r w:rsidRPr="00B31EB6">
        <w:t>Posten</w:t>
      </w:r>
      <w:proofErr w:type="spellEnd"/>
      <w:r w:rsidRPr="00B31EB6">
        <w:t xml:space="preserve"> C.</w:t>
      </w:r>
      <w:r>
        <w:t xml:space="preserve">, </w:t>
      </w:r>
      <w:proofErr w:type="spellStart"/>
      <w:r w:rsidRPr="00B31EB6">
        <w:t>Rosello-Sastre</w:t>
      </w:r>
      <w:proofErr w:type="spellEnd"/>
      <w:r w:rsidRPr="00B31EB6">
        <w:t xml:space="preserve"> R.</w:t>
      </w:r>
      <w:r>
        <w:t xml:space="preserve">, </w:t>
      </w:r>
      <w:r w:rsidRPr="00B31EB6">
        <w:t>2012</w:t>
      </w:r>
      <w:r>
        <w:t>,</w:t>
      </w:r>
      <w:r w:rsidRPr="00B31EB6">
        <w:t xml:space="preserve"> Microalgae Reactors, Ullmann’s </w:t>
      </w:r>
      <w:proofErr w:type="spellStart"/>
      <w:r w:rsidRPr="00B31EB6">
        <w:t>Encyclopedia</w:t>
      </w:r>
      <w:proofErr w:type="spellEnd"/>
      <w:r w:rsidRPr="00B31EB6">
        <w:t xml:space="preserve"> of Industrial Chemistry, 22, 57–480. </w:t>
      </w:r>
    </w:p>
    <w:p w14:paraId="1E627A69" w14:textId="77777777" w:rsidR="00973276" w:rsidRPr="00B31EB6" w:rsidRDefault="00973276" w:rsidP="00973276">
      <w:pPr>
        <w:pStyle w:val="CETReferencetext"/>
      </w:pPr>
      <w:proofErr w:type="spellStart"/>
      <w:r w:rsidRPr="00D523F3">
        <w:t>Scarponi</w:t>
      </w:r>
      <w:proofErr w:type="spellEnd"/>
      <w:r w:rsidRPr="00D523F3">
        <w:t xml:space="preserve"> G. E., </w:t>
      </w:r>
      <w:proofErr w:type="spellStart"/>
      <w:r w:rsidRPr="00D523F3">
        <w:t>Guglielmi</w:t>
      </w:r>
      <w:proofErr w:type="spellEnd"/>
      <w:r w:rsidRPr="00D523F3">
        <w:t xml:space="preserve"> D., Casson Moreno V., Cozzani V., 2015</w:t>
      </w:r>
      <w:r>
        <w:t xml:space="preserve">, </w:t>
      </w:r>
      <w:r w:rsidRPr="00B31EB6">
        <w:t xml:space="preserve">Assessment of Inherently Safer Alternatives in Biogas Production and Upgrading, AICHE Journal, 61, 857–866. </w:t>
      </w:r>
    </w:p>
    <w:p w14:paraId="42FECF08" w14:textId="77777777" w:rsidR="00973276" w:rsidRPr="00C1741C" w:rsidRDefault="00973276" w:rsidP="00973276">
      <w:pPr>
        <w:pStyle w:val="CETReferencetext"/>
        <w:rPr>
          <w:highlight w:val="yellow"/>
        </w:rPr>
      </w:pPr>
      <w:r w:rsidRPr="00B31EB6">
        <w:t>TNO</w:t>
      </w:r>
      <w:r>
        <w:t xml:space="preserve"> (Ed.), </w:t>
      </w:r>
      <w:r w:rsidRPr="00B31EB6">
        <w:t>2005</w:t>
      </w:r>
      <w:r>
        <w:t xml:space="preserve">, </w:t>
      </w:r>
      <w:r w:rsidRPr="00B31EB6">
        <w:t xml:space="preserve">The “Purple book” – Guidelines for quantitative risk </w:t>
      </w:r>
      <w:r w:rsidRPr="00C1741C">
        <w:t xml:space="preserve">assessment, The Hague, Netherlands </w:t>
      </w:r>
    </w:p>
    <w:p w14:paraId="44594B49" w14:textId="77777777" w:rsidR="00973276" w:rsidRPr="00B31EB6" w:rsidRDefault="00973276" w:rsidP="00973276">
      <w:pPr>
        <w:pStyle w:val="CETReferencetext"/>
      </w:pPr>
      <w:proofErr w:type="spellStart"/>
      <w:r w:rsidRPr="00B31EB6">
        <w:t>Tugnoli</w:t>
      </w:r>
      <w:proofErr w:type="spellEnd"/>
      <w:r w:rsidRPr="00B31EB6">
        <w:t xml:space="preserve"> A., Cozzani V.</w:t>
      </w:r>
      <w:r>
        <w:t xml:space="preserve">, </w:t>
      </w:r>
      <w:r w:rsidRPr="00B31EB6">
        <w:t>Landucc</w:t>
      </w:r>
      <w:r>
        <w:t>i</w:t>
      </w:r>
      <w:r w:rsidRPr="00B31EB6">
        <w:t xml:space="preserve"> G.</w:t>
      </w:r>
      <w:r>
        <w:t xml:space="preserve">, </w:t>
      </w:r>
      <w:r w:rsidRPr="00B31EB6">
        <w:t>2007</w:t>
      </w:r>
      <w:r>
        <w:t>, A</w:t>
      </w:r>
      <w:r w:rsidRPr="00B31EB6">
        <w:t xml:space="preserve"> Consequence Based Approach to the Quantitative Assessment of Inherent Safety, A.I. Chemical Engineering Journal, 53, 3171–3182. </w:t>
      </w:r>
    </w:p>
    <w:sectPr w:rsidR="00973276" w:rsidRPr="00B31EB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FCF90" w14:textId="77777777" w:rsidR="002414AF" w:rsidRDefault="002414AF" w:rsidP="004F5E36">
      <w:r>
        <w:separator/>
      </w:r>
    </w:p>
  </w:endnote>
  <w:endnote w:type="continuationSeparator" w:id="0">
    <w:p w14:paraId="4070363F" w14:textId="77777777" w:rsidR="002414AF" w:rsidRDefault="002414A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74FC5" w14:textId="77777777" w:rsidR="002414AF" w:rsidRDefault="002414AF" w:rsidP="004F5E36">
      <w:r>
        <w:separator/>
      </w:r>
    </w:p>
  </w:footnote>
  <w:footnote w:type="continuationSeparator" w:id="0">
    <w:p w14:paraId="470E2231" w14:textId="77777777" w:rsidR="002414AF" w:rsidRDefault="002414AF"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51566"/>
    <w:rsid w:val="00062A9A"/>
    <w:rsid w:val="00065058"/>
    <w:rsid w:val="00086C39"/>
    <w:rsid w:val="000A03B2"/>
    <w:rsid w:val="000D0268"/>
    <w:rsid w:val="000D34BE"/>
    <w:rsid w:val="000E102F"/>
    <w:rsid w:val="000E36F1"/>
    <w:rsid w:val="000E3A73"/>
    <w:rsid w:val="000E414A"/>
    <w:rsid w:val="000F093C"/>
    <w:rsid w:val="000F787B"/>
    <w:rsid w:val="001000BE"/>
    <w:rsid w:val="0012091F"/>
    <w:rsid w:val="00126BC2"/>
    <w:rsid w:val="001308B6"/>
    <w:rsid w:val="0013121F"/>
    <w:rsid w:val="00131FE6"/>
    <w:rsid w:val="0013263F"/>
    <w:rsid w:val="00134DE4"/>
    <w:rsid w:val="0014034D"/>
    <w:rsid w:val="00150E59"/>
    <w:rsid w:val="00152DE3"/>
    <w:rsid w:val="00164CF9"/>
    <w:rsid w:val="001667A6"/>
    <w:rsid w:val="00184AD6"/>
    <w:rsid w:val="001A4AF7"/>
    <w:rsid w:val="001B0349"/>
    <w:rsid w:val="001B65C1"/>
    <w:rsid w:val="001C684B"/>
    <w:rsid w:val="001D53FC"/>
    <w:rsid w:val="001F42A5"/>
    <w:rsid w:val="001F7B9D"/>
    <w:rsid w:val="002224B4"/>
    <w:rsid w:val="002414AF"/>
    <w:rsid w:val="002447EF"/>
    <w:rsid w:val="00251550"/>
    <w:rsid w:val="00263B05"/>
    <w:rsid w:val="0027221A"/>
    <w:rsid w:val="00275B61"/>
    <w:rsid w:val="00282656"/>
    <w:rsid w:val="00296B83"/>
    <w:rsid w:val="002B78CE"/>
    <w:rsid w:val="002C2FB6"/>
    <w:rsid w:val="002F3309"/>
    <w:rsid w:val="003009B7"/>
    <w:rsid w:val="00300E56"/>
    <w:rsid w:val="0030469C"/>
    <w:rsid w:val="00321CA6"/>
    <w:rsid w:val="00334C09"/>
    <w:rsid w:val="003723D4"/>
    <w:rsid w:val="00380F50"/>
    <w:rsid w:val="00381905"/>
    <w:rsid w:val="00384CC8"/>
    <w:rsid w:val="003871FD"/>
    <w:rsid w:val="003A1E30"/>
    <w:rsid w:val="003A7D1C"/>
    <w:rsid w:val="003B304B"/>
    <w:rsid w:val="003B3146"/>
    <w:rsid w:val="003F015E"/>
    <w:rsid w:val="00400414"/>
    <w:rsid w:val="0041446B"/>
    <w:rsid w:val="0044329C"/>
    <w:rsid w:val="004577FE"/>
    <w:rsid w:val="00457B9C"/>
    <w:rsid w:val="0046164A"/>
    <w:rsid w:val="004628D2"/>
    <w:rsid w:val="00462DCD"/>
    <w:rsid w:val="004648AD"/>
    <w:rsid w:val="004703A9"/>
    <w:rsid w:val="004760DE"/>
    <w:rsid w:val="004763D7"/>
    <w:rsid w:val="004A004E"/>
    <w:rsid w:val="004A24CF"/>
    <w:rsid w:val="004C3D1D"/>
    <w:rsid w:val="004C7913"/>
    <w:rsid w:val="004E4DD6"/>
    <w:rsid w:val="004F1E6D"/>
    <w:rsid w:val="004F5E36"/>
    <w:rsid w:val="00507B47"/>
    <w:rsid w:val="00507BEF"/>
    <w:rsid w:val="00507CC9"/>
    <w:rsid w:val="005119A5"/>
    <w:rsid w:val="005278B7"/>
    <w:rsid w:val="00532016"/>
    <w:rsid w:val="005346C8"/>
    <w:rsid w:val="00543E7D"/>
    <w:rsid w:val="00547A68"/>
    <w:rsid w:val="005531C9"/>
    <w:rsid w:val="00570C43"/>
    <w:rsid w:val="00583192"/>
    <w:rsid w:val="005B2110"/>
    <w:rsid w:val="005B61E6"/>
    <w:rsid w:val="005C77E1"/>
    <w:rsid w:val="005D6A2F"/>
    <w:rsid w:val="005E1A82"/>
    <w:rsid w:val="005E6988"/>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E737D"/>
    <w:rsid w:val="00720A24"/>
    <w:rsid w:val="00732386"/>
    <w:rsid w:val="0073514D"/>
    <w:rsid w:val="007447F3"/>
    <w:rsid w:val="0075499F"/>
    <w:rsid w:val="00762429"/>
    <w:rsid w:val="007661C8"/>
    <w:rsid w:val="0077098D"/>
    <w:rsid w:val="007931FA"/>
    <w:rsid w:val="007A4861"/>
    <w:rsid w:val="007A7BBA"/>
    <w:rsid w:val="007B0C50"/>
    <w:rsid w:val="007C1A43"/>
    <w:rsid w:val="0080013E"/>
    <w:rsid w:val="00813288"/>
    <w:rsid w:val="008168FC"/>
    <w:rsid w:val="00830996"/>
    <w:rsid w:val="008345F1"/>
    <w:rsid w:val="00865B07"/>
    <w:rsid w:val="008667EA"/>
    <w:rsid w:val="0087637F"/>
    <w:rsid w:val="00892AD5"/>
    <w:rsid w:val="008A1512"/>
    <w:rsid w:val="008D32B9"/>
    <w:rsid w:val="008D433B"/>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7D54"/>
    <w:rsid w:val="00971028"/>
    <w:rsid w:val="00973276"/>
    <w:rsid w:val="00996483"/>
    <w:rsid w:val="00996F5A"/>
    <w:rsid w:val="009B041A"/>
    <w:rsid w:val="009C37C3"/>
    <w:rsid w:val="009C7C86"/>
    <w:rsid w:val="009D2FF7"/>
    <w:rsid w:val="009E7884"/>
    <w:rsid w:val="009E788A"/>
    <w:rsid w:val="009F0E08"/>
    <w:rsid w:val="00A1763D"/>
    <w:rsid w:val="00A17CEC"/>
    <w:rsid w:val="00A27EF0"/>
    <w:rsid w:val="00A50B20"/>
    <w:rsid w:val="00A51390"/>
    <w:rsid w:val="00A60D13"/>
    <w:rsid w:val="00A72745"/>
    <w:rsid w:val="00A76EFC"/>
    <w:rsid w:val="00A91010"/>
    <w:rsid w:val="00A97F29"/>
    <w:rsid w:val="00AA702E"/>
    <w:rsid w:val="00AB0964"/>
    <w:rsid w:val="00AB5011"/>
    <w:rsid w:val="00AC7368"/>
    <w:rsid w:val="00AD16B9"/>
    <w:rsid w:val="00AE377D"/>
    <w:rsid w:val="00AF0EBA"/>
    <w:rsid w:val="00B02C8A"/>
    <w:rsid w:val="00B17FBD"/>
    <w:rsid w:val="00B315A6"/>
    <w:rsid w:val="00B31813"/>
    <w:rsid w:val="00B33365"/>
    <w:rsid w:val="00B57B36"/>
    <w:rsid w:val="00B8686D"/>
    <w:rsid w:val="00BB1DDC"/>
    <w:rsid w:val="00BC30C9"/>
    <w:rsid w:val="00BE3E58"/>
    <w:rsid w:val="00C01616"/>
    <w:rsid w:val="00C0162B"/>
    <w:rsid w:val="00C068ED"/>
    <w:rsid w:val="00C345B1"/>
    <w:rsid w:val="00C40142"/>
    <w:rsid w:val="00C57182"/>
    <w:rsid w:val="00C57863"/>
    <w:rsid w:val="00C655FD"/>
    <w:rsid w:val="00C75407"/>
    <w:rsid w:val="00C870A8"/>
    <w:rsid w:val="00C94434"/>
    <w:rsid w:val="00CA0D75"/>
    <w:rsid w:val="00CA1C95"/>
    <w:rsid w:val="00CA5A9C"/>
    <w:rsid w:val="00CC1DC1"/>
    <w:rsid w:val="00CC4C20"/>
    <w:rsid w:val="00CD3517"/>
    <w:rsid w:val="00CD5FE2"/>
    <w:rsid w:val="00CE7C68"/>
    <w:rsid w:val="00D02B4C"/>
    <w:rsid w:val="00D040C4"/>
    <w:rsid w:val="00D57C84"/>
    <w:rsid w:val="00D6057D"/>
    <w:rsid w:val="00D836C5"/>
    <w:rsid w:val="00D84576"/>
    <w:rsid w:val="00DA1399"/>
    <w:rsid w:val="00DA24C6"/>
    <w:rsid w:val="00DA4D7B"/>
    <w:rsid w:val="00DE264A"/>
    <w:rsid w:val="00DF5072"/>
    <w:rsid w:val="00E02D18"/>
    <w:rsid w:val="00E041E7"/>
    <w:rsid w:val="00E23CA1"/>
    <w:rsid w:val="00E409A8"/>
    <w:rsid w:val="00E50C12"/>
    <w:rsid w:val="00E65B91"/>
    <w:rsid w:val="00E7209D"/>
    <w:rsid w:val="00E77223"/>
    <w:rsid w:val="00E8528B"/>
    <w:rsid w:val="00E85B94"/>
    <w:rsid w:val="00E978D0"/>
    <w:rsid w:val="00EA4613"/>
    <w:rsid w:val="00EA7F91"/>
    <w:rsid w:val="00EB1523"/>
    <w:rsid w:val="00EB6219"/>
    <w:rsid w:val="00EC0E49"/>
    <w:rsid w:val="00EC101F"/>
    <w:rsid w:val="00EC1D9F"/>
    <w:rsid w:val="00EE0131"/>
    <w:rsid w:val="00EE17B0"/>
    <w:rsid w:val="00EF06D9"/>
    <w:rsid w:val="00F30C64"/>
    <w:rsid w:val="00F32CDB"/>
    <w:rsid w:val="00F565FE"/>
    <w:rsid w:val="00F63A70"/>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Rimandonotaapidipagina">
    <w:name w:val="footnote reference"/>
    <w:basedOn w:val="Carpredefinitoparagrafo"/>
    <w:uiPriority w:val="99"/>
    <w:semiHidden/>
    <w:unhideWhenUsed/>
    <w:rsid w:val="00973276"/>
    <w:rPr>
      <w:vertAlign w:val="superscript"/>
    </w:rPr>
  </w:style>
  <w:style w:type="character" w:styleId="Testosegnaposto">
    <w:name w:val="Placeholder Text"/>
    <w:basedOn w:val="Carpredefinitoparagrafo"/>
    <w:uiPriority w:val="99"/>
    <w:semiHidden/>
    <w:rsid w:val="00973276"/>
    <w:rPr>
      <w:color w:val="808080"/>
    </w:rPr>
  </w:style>
  <w:style w:type="paragraph" w:styleId="Paragrafoelenco">
    <w:name w:val="List Paragraph"/>
    <w:basedOn w:val="Normale"/>
    <w:uiPriority w:val="34"/>
    <w:rsid w:val="009732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Rimandonotaapidipagina">
    <w:name w:val="footnote reference"/>
    <w:basedOn w:val="Carpredefinitoparagrafo"/>
    <w:uiPriority w:val="99"/>
    <w:semiHidden/>
    <w:unhideWhenUsed/>
    <w:rsid w:val="00973276"/>
    <w:rPr>
      <w:vertAlign w:val="superscript"/>
    </w:rPr>
  </w:style>
  <w:style w:type="character" w:styleId="Testosegnaposto">
    <w:name w:val="Placeholder Text"/>
    <w:basedOn w:val="Carpredefinitoparagrafo"/>
    <w:uiPriority w:val="99"/>
    <w:semiHidden/>
    <w:rsid w:val="00973276"/>
    <w:rPr>
      <w:color w:val="808080"/>
    </w:rPr>
  </w:style>
  <w:style w:type="paragraph" w:styleId="Paragrafoelenco">
    <w:name w:val="List Paragraph"/>
    <w:basedOn w:val="Normale"/>
    <w:uiPriority w:val="34"/>
    <w:rsid w:val="00973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6199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C41A5-A54A-4C06-9A13-BE625191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8424</Words>
  <Characters>48018</Characters>
  <Application>Microsoft Office Word</Application>
  <DocSecurity>0</DocSecurity>
  <Lines>400</Lines>
  <Paragraphs>112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56330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38</cp:revision>
  <cp:lastPrinted>2015-05-12T18:31:00Z</cp:lastPrinted>
  <dcterms:created xsi:type="dcterms:W3CDTF">2017-11-20T08:58:00Z</dcterms:created>
  <dcterms:modified xsi:type="dcterms:W3CDTF">2020-08-31T08:38:00Z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