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68320E" w14:paraId="1FBD79F3" w14:textId="77777777" w:rsidTr="0068320E">
        <w:trPr>
          <w:trHeight w:val="852"/>
          <w:jc w:val="center"/>
        </w:trPr>
        <w:tc>
          <w:tcPr>
            <w:tcW w:w="6946" w:type="dxa"/>
            <w:vMerge w:val="restart"/>
            <w:tcBorders>
              <w:top w:val="nil"/>
              <w:left w:val="nil"/>
              <w:bottom w:val="nil"/>
              <w:right w:val="single" w:sz="4" w:space="0" w:color="auto"/>
            </w:tcBorders>
            <w:hideMark/>
          </w:tcPr>
          <w:p w14:paraId="12F68F0B" w14:textId="4BE9EF2A" w:rsidR="0068320E" w:rsidRDefault="0068320E" w:rsidP="00681719">
            <w:pPr>
              <w:tabs>
                <w:tab w:val="left" w:pos="-108"/>
              </w:tabs>
              <w:ind w:left="-108"/>
              <w:jc w:val="left"/>
              <w:rPr>
                <w:rFonts w:cs="Arial"/>
                <w:b/>
                <w:bCs/>
                <w:i/>
                <w:iCs/>
                <w:color w:val="000066"/>
                <w:sz w:val="12"/>
                <w:szCs w:val="12"/>
                <w:lang w:eastAsia="it-IT"/>
              </w:rPr>
            </w:pPr>
            <w:r>
              <w:rPr>
                <w:rFonts w:ascii="AdvP6960" w:hAnsi="AdvP6960" w:cs="AdvP6960"/>
                <w:noProof/>
                <w:color w:val="241F20"/>
                <w:szCs w:val="18"/>
                <w:lang w:val="it-IT" w:eastAsia="it-IT"/>
              </w:rPr>
              <w:drawing>
                <wp:inline distT="0" distB="0" distL="0" distR="0" wp14:anchorId="6D55AD88" wp14:editId="7467C47D">
                  <wp:extent cx="638175" cy="371475"/>
                  <wp:effectExtent l="0" t="0" r="9525" b="9525"/>
                  <wp:docPr id="3" name="Immagine 3"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et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17DA6713" w14:textId="77777777" w:rsidR="0068320E" w:rsidRDefault="0068320E" w:rsidP="00681719">
            <w:pPr>
              <w:tabs>
                <w:tab w:val="left" w:pos="-108"/>
              </w:tabs>
              <w:ind w:left="-108"/>
              <w:rPr>
                <w:rFonts w:cs="Arial"/>
                <w:b/>
                <w:bCs/>
                <w:i/>
                <w:iCs/>
                <w:color w:val="000066"/>
                <w:sz w:val="22"/>
                <w:szCs w:val="22"/>
                <w:lang w:eastAsia="it-IT"/>
              </w:rPr>
            </w:pPr>
            <w:r>
              <w:rPr>
                <w:rFonts w:cs="Arial"/>
                <w:b/>
                <w:bCs/>
                <w:i/>
                <w:iCs/>
                <w:color w:val="000066"/>
                <w:sz w:val="22"/>
                <w:szCs w:val="22"/>
                <w:lang w:eastAsia="it-IT"/>
              </w:rPr>
              <w:t>VOL. 82, 2020</w:t>
            </w:r>
          </w:p>
        </w:tc>
        <w:tc>
          <w:tcPr>
            <w:tcW w:w="1843" w:type="dxa"/>
            <w:tcBorders>
              <w:top w:val="nil"/>
              <w:left w:val="single" w:sz="4" w:space="0" w:color="auto"/>
              <w:bottom w:val="nil"/>
              <w:right w:val="single" w:sz="4" w:space="0" w:color="auto"/>
            </w:tcBorders>
            <w:hideMark/>
          </w:tcPr>
          <w:p w14:paraId="30B101B8" w14:textId="77777777" w:rsidR="0068320E" w:rsidRDefault="0068320E" w:rsidP="00681719">
            <w:pPr>
              <w:jc w:val="right"/>
              <w:rPr>
                <w:rFonts w:cs="Arial"/>
                <w:sz w:val="14"/>
                <w:szCs w:val="14"/>
              </w:rPr>
            </w:pPr>
            <w:r>
              <w:rPr>
                <w:rFonts w:cs="Arial"/>
                <w:sz w:val="14"/>
                <w:szCs w:val="14"/>
              </w:rPr>
              <w:t>A publication of</w:t>
            </w:r>
          </w:p>
          <w:p w14:paraId="119BC411" w14:textId="197354D2" w:rsidR="0068320E" w:rsidRDefault="0068320E" w:rsidP="00681719">
            <w:pPr>
              <w:jc w:val="right"/>
            </w:pPr>
            <w:r>
              <w:rPr>
                <w:noProof/>
                <w:lang w:val="it-IT" w:eastAsia="it-IT"/>
              </w:rPr>
              <w:drawing>
                <wp:inline distT="0" distB="0" distL="0" distR="0" wp14:anchorId="0AEF21F6" wp14:editId="343CBEE0">
                  <wp:extent cx="666750" cy="361950"/>
                  <wp:effectExtent l="0" t="0" r="0" b="0"/>
                  <wp:docPr id="1" name="Immagine 1"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aidiclogo_gran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68320E" w14:paraId="24BE9EC1" w14:textId="77777777" w:rsidTr="0068320E">
        <w:trPr>
          <w:trHeight w:val="567"/>
          <w:jc w:val="center"/>
        </w:trPr>
        <w:tc>
          <w:tcPr>
            <w:tcW w:w="0" w:type="auto"/>
            <w:vMerge/>
            <w:tcBorders>
              <w:top w:val="nil"/>
              <w:left w:val="nil"/>
              <w:bottom w:val="nil"/>
              <w:right w:val="single" w:sz="4" w:space="0" w:color="auto"/>
            </w:tcBorders>
            <w:vAlign w:val="center"/>
            <w:hideMark/>
          </w:tcPr>
          <w:p w14:paraId="42FC147A" w14:textId="77777777" w:rsidR="0068320E" w:rsidRDefault="0068320E" w:rsidP="00681719">
            <w:pPr>
              <w:tabs>
                <w:tab w:val="clear" w:pos="7100"/>
              </w:tabs>
              <w:jc w:val="left"/>
              <w:rPr>
                <w:rFonts w:cs="Arial"/>
                <w:b/>
                <w:bCs/>
                <w:i/>
                <w:iCs/>
                <w:color w:val="000066"/>
                <w:sz w:val="22"/>
                <w:szCs w:val="22"/>
                <w:lang w:eastAsia="it-IT"/>
              </w:rPr>
            </w:pPr>
          </w:p>
        </w:tc>
        <w:tc>
          <w:tcPr>
            <w:tcW w:w="1843" w:type="dxa"/>
            <w:tcBorders>
              <w:top w:val="nil"/>
              <w:left w:val="single" w:sz="4" w:space="0" w:color="auto"/>
              <w:bottom w:val="nil"/>
              <w:right w:val="single" w:sz="4" w:space="0" w:color="auto"/>
            </w:tcBorders>
            <w:hideMark/>
          </w:tcPr>
          <w:p w14:paraId="5BAA64CF" w14:textId="77777777" w:rsidR="0068320E" w:rsidRDefault="0068320E" w:rsidP="00681719">
            <w:pPr>
              <w:jc w:val="right"/>
              <w:rPr>
                <w:rFonts w:cs="Arial"/>
                <w:sz w:val="14"/>
                <w:szCs w:val="14"/>
              </w:rPr>
            </w:pPr>
            <w:r>
              <w:rPr>
                <w:rFonts w:cs="Arial"/>
                <w:sz w:val="14"/>
                <w:szCs w:val="14"/>
              </w:rPr>
              <w:t>The Italian Association</w:t>
            </w:r>
          </w:p>
          <w:p w14:paraId="32EA46E5" w14:textId="77777777" w:rsidR="0068320E" w:rsidRDefault="0068320E" w:rsidP="00681719">
            <w:pPr>
              <w:jc w:val="right"/>
              <w:rPr>
                <w:rFonts w:cs="Arial"/>
                <w:sz w:val="14"/>
                <w:szCs w:val="14"/>
              </w:rPr>
            </w:pPr>
            <w:r>
              <w:rPr>
                <w:rFonts w:cs="Arial"/>
                <w:sz w:val="14"/>
                <w:szCs w:val="14"/>
              </w:rPr>
              <w:t>of Chemical Engineering</w:t>
            </w:r>
          </w:p>
          <w:p w14:paraId="60AE9608" w14:textId="77777777" w:rsidR="0068320E" w:rsidRDefault="0068320E" w:rsidP="00681719">
            <w:pPr>
              <w:jc w:val="right"/>
              <w:rPr>
                <w:rFonts w:cs="Arial"/>
                <w:sz w:val="13"/>
                <w:szCs w:val="13"/>
              </w:rPr>
            </w:pPr>
            <w:r>
              <w:rPr>
                <w:rFonts w:cs="Arial"/>
                <w:sz w:val="13"/>
                <w:szCs w:val="13"/>
              </w:rPr>
              <w:t>Online at www.cetjournal.it</w:t>
            </w:r>
          </w:p>
        </w:tc>
      </w:tr>
      <w:tr w:rsidR="0068320E" w14:paraId="2A4FCF79" w14:textId="77777777" w:rsidTr="00681719">
        <w:trPr>
          <w:trHeight w:val="281"/>
          <w:jc w:val="center"/>
        </w:trPr>
        <w:tc>
          <w:tcPr>
            <w:tcW w:w="8789" w:type="dxa"/>
            <w:gridSpan w:val="2"/>
            <w:tcBorders>
              <w:top w:val="nil"/>
              <w:left w:val="nil"/>
              <w:bottom w:val="single" w:sz="4" w:space="0" w:color="auto"/>
              <w:right w:val="nil"/>
            </w:tcBorders>
            <w:hideMark/>
          </w:tcPr>
          <w:p w14:paraId="1B1C83AA" w14:textId="77777777" w:rsidR="00681719" w:rsidRPr="007931FA" w:rsidRDefault="00681719" w:rsidP="00681719">
            <w:pPr>
              <w:ind w:left="-107"/>
              <w:rPr>
                <w:rFonts w:ascii="Times New Roman" w:hAnsi="Times New Roman"/>
                <w:sz w:val="24"/>
                <w:szCs w:val="24"/>
                <w:lang w:val="en-US" w:eastAsia="it-IT"/>
              </w:rPr>
            </w:pPr>
            <w:r w:rsidRPr="00B57B36">
              <w:rPr>
                <w:rFonts w:ascii="Tahoma" w:hAnsi="Tahoma" w:cs="Tahoma"/>
                <w:iCs/>
                <w:color w:val="333333"/>
                <w:sz w:val="14"/>
                <w:szCs w:val="14"/>
                <w:lang w:eastAsia="it-IT"/>
              </w:rPr>
              <w:t xml:space="preserve">Guest Editors: </w:t>
            </w:r>
            <w:r>
              <w:rPr>
                <w:rFonts w:ascii="Tahoma" w:hAnsi="Tahoma" w:cs="Tahoma"/>
                <w:iCs/>
                <w:color w:val="333333"/>
                <w:sz w:val="14"/>
                <w:szCs w:val="14"/>
                <w:lang w:eastAsia="it-IT"/>
              </w:rPr>
              <w:t xml:space="preserve">Bruno Fabiano, Valerio </w:t>
            </w:r>
            <w:proofErr w:type="spellStart"/>
            <w:r>
              <w:rPr>
                <w:rFonts w:ascii="Tahoma" w:hAnsi="Tahoma" w:cs="Tahoma"/>
                <w:iCs/>
                <w:color w:val="333333"/>
                <w:sz w:val="14"/>
                <w:szCs w:val="14"/>
                <w:lang w:eastAsia="it-IT"/>
              </w:rPr>
              <w:t>Cozzani</w:t>
            </w:r>
            <w:proofErr w:type="spellEnd"/>
            <w:r>
              <w:rPr>
                <w:rFonts w:ascii="Tahoma" w:hAnsi="Tahoma" w:cs="Tahoma"/>
                <w:iCs/>
                <w:color w:val="333333"/>
                <w:sz w:val="14"/>
                <w:szCs w:val="14"/>
                <w:lang w:eastAsia="it-IT"/>
              </w:rPr>
              <w:t xml:space="preserve">, </w:t>
            </w:r>
            <w:proofErr w:type="spellStart"/>
            <w:r w:rsidRPr="00C068ED">
              <w:rPr>
                <w:rFonts w:ascii="Tahoma" w:hAnsi="Tahoma" w:cs="Tahoma"/>
                <w:color w:val="4B4942"/>
                <w:sz w:val="14"/>
                <w:szCs w:val="14"/>
              </w:rPr>
              <w:t>Genserik</w:t>
            </w:r>
            <w:proofErr w:type="spellEnd"/>
            <w:r w:rsidRPr="00C068ED">
              <w:rPr>
                <w:rFonts w:ascii="Tahoma" w:hAnsi="Tahoma" w:cs="Tahoma"/>
                <w:color w:val="4B4942"/>
                <w:sz w:val="14"/>
                <w:szCs w:val="14"/>
              </w:rPr>
              <w:t xml:space="preserve"> </w:t>
            </w:r>
            <w:proofErr w:type="spellStart"/>
            <w:r w:rsidRPr="00C068ED">
              <w:rPr>
                <w:rFonts w:ascii="Tahoma" w:hAnsi="Tahoma" w:cs="Tahoma"/>
                <w:color w:val="4B4942"/>
                <w:sz w:val="14"/>
                <w:szCs w:val="14"/>
              </w:rPr>
              <w:t>Reniers</w:t>
            </w:r>
            <w:proofErr w:type="spellEnd"/>
          </w:p>
          <w:p w14:paraId="1ECFF0A6" w14:textId="2FF3C356" w:rsidR="0068320E" w:rsidRDefault="00681719" w:rsidP="00681719">
            <w:pPr>
              <w:tabs>
                <w:tab w:val="left" w:pos="-108"/>
              </w:tabs>
              <w:ind w:left="-107"/>
              <w:jc w:val="left"/>
            </w:pPr>
            <w:r>
              <w:rPr>
                <w:rFonts w:ascii="Tahoma" w:hAnsi="Tahoma" w:cs="Tahoma"/>
                <w:iCs/>
                <w:color w:val="333333"/>
                <w:sz w:val="14"/>
                <w:szCs w:val="14"/>
                <w:lang w:eastAsia="it-IT"/>
              </w:rPr>
              <w:t>Copyright © 2020</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Pr>
                <w:rFonts w:ascii="Tahoma" w:hAnsi="Tahoma" w:cs="Tahoma"/>
                <w:sz w:val="14"/>
                <w:szCs w:val="14"/>
              </w:rPr>
              <w:t>978-88-</w:t>
            </w:r>
            <w:r w:rsidRPr="00EF06D9">
              <w:rPr>
                <w:rFonts w:ascii="Tahoma" w:hAnsi="Tahoma" w:cs="Tahoma"/>
                <w:sz w:val="14"/>
                <w:szCs w:val="14"/>
              </w:rPr>
              <w:t>95608-8</w:t>
            </w:r>
            <w:r>
              <w:rPr>
                <w:rFonts w:ascii="Tahoma" w:hAnsi="Tahoma" w:cs="Tahoma"/>
                <w:sz w:val="14"/>
                <w:szCs w:val="14"/>
              </w:rPr>
              <w:t>0</w:t>
            </w:r>
            <w:r w:rsidRPr="00EF06D9">
              <w:rPr>
                <w:rFonts w:ascii="Tahoma" w:hAnsi="Tahoma" w:cs="Tahoma"/>
                <w:sz w:val="14"/>
                <w:szCs w:val="14"/>
              </w:rPr>
              <w:t>-</w:t>
            </w:r>
            <w:r>
              <w:rPr>
                <w:rFonts w:ascii="Tahoma" w:hAnsi="Tahoma" w:cs="Tahoma"/>
                <w:sz w:val="14"/>
                <w:szCs w:val="14"/>
              </w:rPr>
              <w:t>8</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10DAA130" w14:textId="77777777" w:rsidR="000A03B2" w:rsidRPr="00931609" w:rsidRDefault="000A03B2" w:rsidP="00681719">
      <w:pPr>
        <w:pStyle w:val="CETAuthors"/>
        <w:sectPr w:rsidR="000A03B2" w:rsidRPr="00931609" w:rsidSect="008B32D8">
          <w:type w:val="continuous"/>
          <w:pgSz w:w="11906" w:h="16838" w:code="9"/>
          <w:pgMar w:top="1701" w:right="1418" w:bottom="1701" w:left="1701" w:header="1701" w:footer="0" w:gutter="0"/>
          <w:cols w:space="708"/>
          <w:titlePg/>
          <w:docGrid w:linePitch="360"/>
        </w:sectPr>
      </w:pPr>
    </w:p>
    <w:p w14:paraId="2E667253" w14:textId="7800AB7D" w:rsidR="00E978D0" w:rsidRPr="00681719" w:rsidRDefault="0054007A" w:rsidP="00681719">
      <w:pPr>
        <w:pStyle w:val="CETTitle"/>
      </w:pPr>
      <w:r w:rsidRPr="00681719">
        <w:lastRenderedPageBreak/>
        <w:t xml:space="preserve">Hydrogen </w:t>
      </w:r>
      <w:proofErr w:type="spellStart"/>
      <w:r w:rsidRPr="00681719">
        <w:t>Refueling</w:t>
      </w:r>
      <w:proofErr w:type="spellEnd"/>
      <w:r w:rsidRPr="00681719">
        <w:t xml:space="preserve"> Stations: Prevention and Scenario Management. Large Scale Experimental Investigation of Hydrogen Jet-Fires</w:t>
      </w:r>
    </w:p>
    <w:p w14:paraId="2B3CA35C" w14:textId="6FF6C664" w:rsidR="00E978D0" w:rsidRPr="00931609" w:rsidRDefault="004B6C7C" w:rsidP="00681719">
      <w:pPr>
        <w:pStyle w:val="CETAuthors"/>
        <w:rPr>
          <w:lang w:val="it-IT"/>
        </w:rPr>
      </w:pPr>
      <w:r w:rsidRPr="00931609">
        <w:rPr>
          <w:lang w:val="it-IT"/>
        </w:rPr>
        <w:t>Chiara Vianello</w:t>
      </w:r>
      <w:r w:rsidRPr="00931609">
        <w:rPr>
          <w:vertAlign w:val="superscript"/>
          <w:lang w:val="it-IT"/>
        </w:rPr>
        <w:t>a</w:t>
      </w:r>
      <w:r w:rsidRPr="00931609">
        <w:rPr>
          <w:lang w:val="it-IT"/>
        </w:rPr>
        <w:t>, Mattia Carboni</w:t>
      </w:r>
      <w:r w:rsidRPr="00931609">
        <w:rPr>
          <w:vertAlign w:val="superscript"/>
          <w:lang w:val="it-IT"/>
        </w:rPr>
        <w:t>a</w:t>
      </w:r>
      <w:r w:rsidRPr="00931609">
        <w:rPr>
          <w:lang w:val="it-IT"/>
        </w:rPr>
        <w:t>, Michele Mazzaro</w:t>
      </w:r>
      <w:r w:rsidRPr="00931609">
        <w:rPr>
          <w:vertAlign w:val="superscript"/>
          <w:lang w:val="it-IT"/>
        </w:rPr>
        <w:t>b</w:t>
      </w:r>
      <w:r w:rsidRPr="00931609">
        <w:rPr>
          <w:lang w:val="it-IT"/>
        </w:rPr>
        <w:t>, Paolo Mocellin</w:t>
      </w:r>
      <w:r w:rsidRPr="00931609">
        <w:rPr>
          <w:vertAlign w:val="superscript"/>
          <w:lang w:val="it-IT"/>
        </w:rPr>
        <w:t>a</w:t>
      </w:r>
      <w:r w:rsidRPr="00931609">
        <w:rPr>
          <w:lang w:val="it-IT"/>
        </w:rPr>
        <w:t>, Francesco Pilo</w:t>
      </w:r>
      <w:r w:rsidRPr="00931609">
        <w:rPr>
          <w:vertAlign w:val="superscript"/>
          <w:lang w:val="it-IT"/>
        </w:rPr>
        <w:t>c</w:t>
      </w:r>
      <w:r w:rsidRPr="00931609">
        <w:rPr>
          <w:lang w:val="it-IT"/>
        </w:rPr>
        <w:t>, Gianmaria Pio</w:t>
      </w:r>
      <w:r w:rsidRPr="00931609">
        <w:rPr>
          <w:vertAlign w:val="superscript"/>
          <w:lang w:val="it-IT"/>
        </w:rPr>
        <w:t>e</w:t>
      </w:r>
      <w:r w:rsidRPr="00931609">
        <w:rPr>
          <w:lang w:val="it-IT"/>
        </w:rPr>
        <w:t>, Paola Russo</w:t>
      </w:r>
      <w:r w:rsidRPr="00931609">
        <w:rPr>
          <w:vertAlign w:val="superscript"/>
          <w:lang w:val="it-IT"/>
        </w:rPr>
        <w:t>d</w:t>
      </w:r>
      <w:r w:rsidRPr="00931609">
        <w:rPr>
          <w:lang w:val="it-IT"/>
        </w:rPr>
        <w:t>, Ernesto Salzano</w:t>
      </w:r>
      <w:r w:rsidRPr="00931609">
        <w:rPr>
          <w:vertAlign w:val="superscript"/>
          <w:lang w:val="it-IT"/>
        </w:rPr>
        <w:t>e,*</w:t>
      </w:r>
    </w:p>
    <w:p w14:paraId="086C152C" w14:textId="77777777" w:rsidR="00884C73" w:rsidRPr="00931609" w:rsidRDefault="00884C73" w:rsidP="00681719">
      <w:pPr>
        <w:pStyle w:val="CETAddress"/>
        <w:spacing w:line="264" w:lineRule="auto"/>
        <w:rPr>
          <w:lang w:val="it-IT"/>
        </w:rPr>
      </w:pPr>
      <w:r w:rsidRPr="00931609">
        <w:rPr>
          <w:vertAlign w:val="superscript"/>
          <w:lang w:val="it-IT"/>
        </w:rPr>
        <w:t>a</w:t>
      </w:r>
      <w:r w:rsidRPr="00931609">
        <w:rPr>
          <w:lang w:val="it-IT"/>
        </w:rPr>
        <w:t xml:space="preserve">Dipartimento di Ingegneria Industriale, Università degli Studi di Padova. Via Marzolo 9, 35131 Padova, Italia. </w:t>
      </w:r>
    </w:p>
    <w:p w14:paraId="3574EB90" w14:textId="3711EF46" w:rsidR="00884C73" w:rsidRPr="00931609" w:rsidRDefault="00884C73" w:rsidP="00681719">
      <w:pPr>
        <w:pStyle w:val="CETAddress"/>
        <w:spacing w:line="264" w:lineRule="auto"/>
        <w:rPr>
          <w:lang w:val="it-IT"/>
        </w:rPr>
      </w:pPr>
      <w:r w:rsidRPr="00931609">
        <w:rPr>
          <w:vertAlign w:val="superscript"/>
          <w:lang w:val="it-IT"/>
        </w:rPr>
        <w:t>b</w:t>
      </w:r>
      <w:r w:rsidRPr="00931609">
        <w:rPr>
          <w:lang w:val="it-IT"/>
        </w:rPr>
        <w:t>Corpo Nazionale dei Vigili del Fuoco D</w:t>
      </w:r>
      <w:r w:rsidR="00681719">
        <w:rPr>
          <w:lang w:val="it-IT"/>
        </w:rPr>
        <w:t xml:space="preserve">irezione Centrale Prevenzione </w:t>
      </w:r>
      <w:r w:rsidRPr="00931609">
        <w:rPr>
          <w:lang w:val="it-IT"/>
        </w:rPr>
        <w:t xml:space="preserve">Sicurezza Tecnica. Largo S. Barbara 2, </w:t>
      </w:r>
      <w:r w:rsidR="00681719">
        <w:rPr>
          <w:lang w:val="it-IT"/>
        </w:rPr>
        <w:t>Roma</w:t>
      </w:r>
      <w:r w:rsidRPr="00931609">
        <w:rPr>
          <w:lang w:val="it-IT"/>
        </w:rPr>
        <w:t>, Italia.</w:t>
      </w:r>
    </w:p>
    <w:p w14:paraId="617DBE17" w14:textId="4A4436F0" w:rsidR="00884C73" w:rsidRPr="00931609" w:rsidRDefault="00884C73" w:rsidP="00681719">
      <w:pPr>
        <w:pStyle w:val="CETAddress"/>
        <w:spacing w:line="264" w:lineRule="auto"/>
        <w:rPr>
          <w:lang w:val="it-IT"/>
        </w:rPr>
      </w:pPr>
      <w:r w:rsidRPr="00931609">
        <w:rPr>
          <w:vertAlign w:val="superscript"/>
          <w:lang w:val="it-IT"/>
        </w:rPr>
        <w:t>c</w:t>
      </w:r>
      <w:r w:rsidRPr="00931609">
        <w:rPr>
          <w:lang w:val="it-IT"/>
        </w:rPr>
        <w:t>Corpo Nazionale dei Vigili del Fuoco Comando Venezia. Via Motorizzazione 7, 37100, Venezia, Italia.</w:t>
      </w:r>
    </w:p>
    <w:p w14:paraId="2FF25CD6" w14:textId="5E7A6BD1" w:rsidR="00884C73" w:rsidRPr="00931609" w:rsidRDefault="00884C73" w:rsidP="00681719">
      <w:pPr>
        <w:pStyle w:val="CETAddress"/>
        <w:spacing w:line="264" w:lineRule="auto"/>
        <w:rPr>
          <w:lang w:val="it-IT"/>
        </w:rPr>
      </w:pPr>
      <w:r w:rsidRPr="00931609">
        <w:rPr>
          <w:vertAlign w:val="superscript"/>
          <w:lang w:val="it-IT"/>
        </w:rPr>
        <w:t>d</w:t>
      </w:r>
      <w:r w:rsidRPr="00931609">
        <w:rPr>
          <w:lang w:val="it-IT"/>
        </w:rPr>
        <w:t xml:space="preserve">Università degli Studi di Roma La Sapienza. </w:t>
      </w:r>
    </w:p>
    <w:p w14:paraId="1856AD35" w14:textId="3C705761" w:rsidR="00884C73" w:rsidRPr="00931609" w:rsidRDefault="00884C73" w:rsidP="00681719">
      <w:pPr>
        <w:pStyle w:val="CETAddress"/>
        <w:spacing w:line="264" w:lineRule="auto"/>
        <w:rPr>
          <w:lang w:val="en-US"/>
        </w:rPr>
      </w:pPr>
      <w:r w:rsidRPr="00931609">
        <w:rPr>
          <w:vertAlign w:val="superscript"/>
          <w:lang w:val="it-IT"/>
        </w:rPr>
        <w:t>e</w:t>
      </w:r>
      <w:r w:rsidRPr="00931609">
        <w:rPr>
          <w:lang w:val="it-IT"/>
        </w:rPr>
        <w:t xml:space="preserve"> Dipartimento di Ingegneria Civile, Chimica, Ambientale e dei Materiali, Università di Bologna. </w:t>
      </w:r>
      <w:r w:rsidRPr="00931609">
        <w:rPr>
          <w:lang w:val="en-US"/>
        </w:rPr>
        <w:t>Via Terracini 28, Bologna</w:t>
      </w:r>
    </w:p>
    <w:p w14:paraId="255F92F6" w14:textId="554E835F" w:rsidR="00884C73" w:rsidRPr="00931609" w:rsidRDefault="00884C73" w:rsidP="00681719">
      <w:pPr>
        <w:pStyle w:val="CETAddress"/>
        <w:spacing w:line="264" w:lineRule="auto"/>
        <w:rPr>
          <w:lang w:val="en-US"/>
        </w:rPr>
      </w:pPr>
      <w:r w:rsidRPr="00931609">
        <w:rPr>
          <w:lang w:val="en-US"/>
        </w:rPr>
        <w:t>40131, Italia.</w:t>
      </w:r>
    </w:p>
    <w:p w14:paraId="0127A28D" w14:textId="31FB12B4" w:rsidR="00E978D0" w:rsidRPr="00931609" w:rsidRDefault="00884C73" w:rsidP="00681719">
      <w:pPr>
        <w:pStyle w:val="CETemail"/>
        <w:spacing w:line="264" w:lineRule="auto"/>
        <w:rPr>
          <w:lang w:val="en-US"/>
        </w:rPr>
      </w:pPr>
      <w:r w:rsidRPr="00931609">
        <w:rPr>
          <w:lang w:val="en-US"/>
        </w:rPr>
        <w:t>ernesto.salzano@unibo.it</w:t>
      </w:r>
    </w:p>
    <w:p w14:paraId="417CBF9E" w14:textId="217A3828" w:rsidR="00B33365" w:rsidRPr="00931609" w:rsidRDefault="00884C73" w:rsidP="00681719">
      <w:pPr>
        <w:pStyle w:val="CETBodytext"/>
      </w:pPr>
      <w:bookmarkStart w:id="0" w:name="_Hlk495475023"/>
      <w:r w:rsidRPr="00931609">
        <w:t>Hydrogen is becoming a</w:t>
      </w:r>
      <w:r w:rsidR="00A16C3D" w:rsidRPr="00931609">
        <w:t>n attractive</w:t>
      </w:r>
      <w:r w:rsidRPr="00931609">
        <w:t xml:space="preserve"> </w:t>
      </w:r>
      <w:r w:rsidR="0094154A" w:rsidRPr="00931609">
        <w:t xml:space="preserve">alternative </w:t>
      </w:r>
      <w:r w:rsidRPr="00931609">
        <w:t>for energy storage and transportation</w:t>
      </w:r>
      <w:r w:rsidR="00A16C3D" w:rsidRPr="00931609">
        <w:t xml:space="preserve">, because of </w:t>
      </w:r>
      <w:r w:rsidRPr="00931609">
        <w:t xml:space="preserve">the </w:t>
      </w:r>
      <w:r w:rsidR="00A16C3D" w:rsidRPr="00931609">
        <w:t>elevated e</w:t>
      </w:r>
      <w:r w:rsidRPr="00931609">
        <w:t xml:space="preserve">nergy content </w:t>
      </w:r>
      <w:r w:rsidR="00A16C3D" w:rsidRPr="00931609">
        <w:t>per unit of mass and possibility</w:t>
      </w:r>
      <w:r w:rsidRPr="00931609">
        <w:t xml:space="preserve"> to have zero</w:t>
      </w:r>
      <w:r w:rsidR="0094154A" w:rsidRPr="00931609">
        <w:t xml:space="preserve"> carbon</w:t>
      </w:r>
      <w:r w:rsidRPr="00931609">
        <w:t xml:space="preserve">-emission vehicles. For these reasons, hydrogen's </w:t>
      </w:r>
      <w:r w:rsidR="0094154A" w:rsidRPr="00931609">
        <w:t>share in global market</w:t>
      </w:r>
      <w:r w:rsidRPr="00931609">
        <w:t xml:space="preserve"> is expected to grow substantially in the coming </w:t>
      </w:r>
      <w:r w:rsidR="00A16C3D" w:rsidRPr="00931609">
        <w:t>years</w:t>
      </w:r>
      <w:r w:rsidRPr="00931609">
        <w:t>. Today, hydrogen-</w:t>
      </w:r>
      <w:proofErr w:type="spellStart"/>
      <w:r w:rsidRPr="00931609">
        <w:t>fueled</w:t>
      </w:r>
      <w:proofErr w:type="spellEnd"/>
      <w:r w:rsidRPr="00931609">
        <w:t xml:space="preserve"> buses and cars are already available, and several </w:t>
      </w:r>
      <w:proofErr w:type="spellStart"/>
      <w:r w:rsidRPr="00931609">
        <w:t>refueling</w:t>
      </w:r>
      <w:proofErr w:type="spellEnd"/>
      <w:r w:rsidRPr="00931609">
        <w:t xml:space="preserve"> stations are operating in different countries around the world. A key role of the deployment of hydrogen </w:t>
      </w:r>
      <w:proofErr w:type="spellStart"/>
      <w:r w:rsidRPr="00931609">
        <w:t>fueled</w:t>
      </w:r>
      <w:proofErr w:type="spellEnd"/>
      <w:r w:rsidRPr="00931609">
        <w:t xml:space="preserve">-vehicles is the presence of a widespread network of </w:t>
      </w:r>
      <w:proofErr w:type="spellStart"/>
      <w:r w:rsidRPr="00931609">
        <w:t>refueling</w:t>
      </w:r>
      <w:proofErr w:type="spellEnd"/>
      <w:r w:rsidRPr="00931609">
        <w:t xml:space="preserve"> stations, especially close to residential and industrial areas. This fact poses attention to the safety aspects related to hydrogen, with particular interest to its high flammability that can lead to catastrophic consequences for personnel and equipment. As a matter of fact, hydrogen is a comparatively less </w:t>
      </w:r>
      <w:r w:rsidR="00F6187F" w:rsidRPr="00931609">
        <w:t>hazardous</w:t>
      </w:r>
      <w:r w:rsidRPr="00931609">
        <w:t xml:space="preserve"> fuel compared to conventional fuels such as gasoline and diesel. Hydrogen infrastructures are characterized by operating pressure up to 100</w:t>
      </w:r>
      <w:r w:rsidR="00641B03" w:rsidRPr="00931609">
        <w:t>0</w:t>
      </w:r>
      <w:r w:rsidRPr="00931609">
        <w:t xml:space="preserve"> </w:t>
      </w:r>
      <w:r w:rsidR="00641B03" w:rsidRPr="00931609">
        <w:t>bar</w:t>
      </w:r>
      <w:r w:rsidRPr="00931609">
        <w:t xml:space="preserve"> that, in case of an unintended loss of containments, </w:t>
      </w:r>
      <w:r w:rsidR="00F6187F" w:rsidRPr="00931609">
        <w:t xml:space="preserve">may </w:t>
      </w:r>
      <w:r w:rsidRPr="00931609">
        <w:t xml:space="preserve">produce a highly under expanded turbulent jet. If ignited, this hydrogen jet may give rise to very severe scenarios, mainly related to high temperatures and the oriented flows. As </w:t>
      </w:r>
      <w:r w:rsidR="00A16C3D" w:rsidRPr="00931609">
        <w:t xml:space="preserve">recently </w:t>
      </w:r>
      <w:r w:rsidRPr="00931609">
        <w:t xml:space="preserve">suggested by Moradi </w:t>
      </w:r>
      <w:r w:rsidR="00BE7C03" w:rsidRPr="00931609">
        <w:t xml:space="preserve">and </w:t>
      </w:r>
      <w:r w:rsidR="00BE7C03" w:rsidRPr="00931609">
        <w:rPr>
          <w:rFonts w:cs="Arial"/>
          <w:noProof/>
          <w:szCs w:val="24"/>
        </w:rPr>
        <w:t>Groth</w:t>
      </w:r>
      <w:r w:rsidRPr="00931609">
        <w:t xml:space="preserve"> (</w:t>
      </w:r>
      <w:proofErr w:type="spellStart"/>
      <w:r w:rsidR="00BE7C03" w:rsidRPr="00931609">
        <w:t>Moradi</w:t>
      </w:r>
      <w:proofErr w:type="spellEnd"/>
      <w:r w:rsidR="00BE7C03" w:rsidRPr="00931609">
        <w:t xml:space="preserve"> and </w:t>
      </w:r>
      <w:proofErr w:type="spellStart"/>
      <w:r w:rsidR="00BE7C03" w:rsidRPr="00931609">
        <w:t>Groth</w:t>
      </w:r>
      <w:proofErr w:type="spellEnd"/>
      <w:r w:rsidR="00BE7C03" w:rsidRPr="00931609">
        <w:t xml:space="preserve">, </w:t>
      </w:r>
      <w:r w:rsidRPr="00931609">
        <w:t xml:space="preserve">2019), there is a lack of experimental and on-site data for almost all of the storage and delivery technologies relevant to the hydrogen infrastructures. Experimental data is vital to support model validation, especially in the case of the very peculiar combustion process of hydrogen. In this way, a real-scale experimental campaign is proposed to investigate the main characteristic of the hydrogen jet fire resulting from its rapid fired depressurizations. </w:t>
      </w:r>
      <w:r w:rsidR="00F6187F" w:rsidRPr="00931609">
        <w:t>The f</w:t>
      </w:r>
      <w:r w:rsidRPr="00931609">
        <w:t xml:space="preserve">ocus of the experimental campaign is </w:t>
      </w:r>
      <w:r w:rsidR="00F6187F" w:rsidRPr="00931609">
        <w:t xml:space="preserve">the </w:t>
      </w:r>
      <w:r w:rsidRPr="00931609">
        <w:t xml:space="preserve">evaluation of safety distance for person and device (i.e. </w:t>
      </w:r>
      <w:r w:rsidR="00A16C3D" w:rsidRPr="00931609">
        <w:t>pressurized tanks</w:t>
      </w:r>
      <w:r w:rsidRPr="00931609">
        <w:t xml:space="preserve">) in order to avoid critical conditions and domino effects in </w:t>
      </w:r>
      <w:proofErr w:type="spellStart"/>
      <w:r w:rsidRPr="00931609">
        <w:t>refueling</w:t>
      </w:r>
      <w:proofErr w:type="spellEnd"/>
      <w:r w:rsidRPr="00931609">
        <w:t xml:space="preserve"> station. Different initial conditions, i.e., storage pressures, are exploited, and the resulting jet across specified orifice </w:t>
      </w:r>
      <w:r w:rsidR="00F6187F" w:rsidRPr="00931609">
        <w:t>are</w:t>
      </w:r>
      <w:r w:rsidRPr="00931609">
        <w:t xml:space="preserve"> investigated. More specifically, temperatures at various locations are measured through an arrangement of thermocouples. Values up to 1</w:t>
      </w:r>
      <w:r w:rsidR="00641B03" w:rsidRPr="00931609">
        <w:t>2</w:t>
      </w:r>
      <w:r w:rsidRPr="00931609">
        <w:t>00 °C were obtained in the core of the jet. Moreover, it was found that the recorded temperatures, especially those at the outer portion of the jet, are very sensitive to the initial conditions.</w:t>
      </w:r>
    </w:p>
    <w:bookmarkEnd w:id="0"/>
    <w:p w14:paraId="476B2F2E" w14:textId="77777777" w:rsidR="00600535" w:rsidRPr="00931609" w:rsidRDefault="00600535" w:rsidP="00681719">
      <w:pPr>
        <w:pStyle w:val="CETHeading1"/>
        <w:spacing w:line="264" w:lineRule="auto"/>
        <w:rPr>
          <w:lang w:val="en-GB"/>
        </w:rPr>
      </w:pPr>
      <w:r w:rsidRPr="00931609">
        <w:rPr>
          <w:lang w:val="en-GB"/>
        </w:rPr>
        <w:t>Introduction</w:t>
      </w:r>
    </w:p>
    <w:p w14:paraId="2F53543D" w14:textId="7DB5ED54" w:rsidR="00A71AA6" w:rsidRPr="00931609" w:rsidRDefault="00355C85" w:rsidP="00681719">
      <w:pPr>
        <w:pStyle w:val="Paragrafoelenco"/>
        <w:tabs>
          <w:tab w:val="left" w:pos="1170"/>
        </w:tabs>
        <w:ind w:left="0"/>
        <w:rPr>
          <w:lang w:val="en-US"/>
        </w:rPr>
      </w:pPr>
      <w:r w:rsidRPr="00931609">
        <w:rPr>
          <w:lang w:val="en-US"/>
        </w:rPr>
        <w:t xml:space="preserve">The development of </w:t>
      </w:r>
      <w:r w:rsidR="00641B03" w:rsidRPr="00931609">
        <w:rPr>
          <w:lang w:val="en-US"/>
        </w:rPr>
        <w:t xml:space="preserve">the </w:t>
      </w:r>
      <w:r w:rsidRPr="00931609">
        <w:rPr>
          <w:lang w:val="en-US"/>
        </w:rPr>
        <w:t>hydrogen economy that has characterized the last years is in the public eyes. Elevated environmental sustainability, flexibility in terms of production sources</w:t>
      </w:r>
      <w:r w:rsidR="00641B03" w:rsidRPr="00931609">
        <w:rPr>
          <w:lang w:val="en-US"/>
        </w:rPr>
        <w:t>,</w:t>
      </w:r>
      <w:r w:rsidRPr="00931609">
        <w:rPr>
          <w:lang w:val="en-US"/>
        </w:rPr>
        <w:t xml:space="preserve"> and potential markets can be considered as some of the main driving forces of this trend. </w:t>
      </w:r>
      <w:r w:rsidRPr="00931609">
        <w:t>Indeed, hydrogen is already used as an energy carrier in motorized vehicles, for heating and cooling purposes and, also for storing excess generated electricity</w:t>
      </w:r>
      <w:r w:rsidR="00BE7C03" w:rsidRPr="00931609">
        <w:t xml:space="preserve"> (</w:t>
      </w:r>
      <w:proofErr w:type="spellStart"/>
      <w:r w:rsidR="00BE7C03" w:rsidRPr="00931609">
        <w:t>Moradi</w:t>
      </w:r>
      <w:proofErr w:type="spellEnd"/>
      <w:r w:rsidR="00BE7C03" w:rsidRPr="00931609">
        <w:t xml:space="preserve"> and </w:t>
      </w:r>
      <w:proofErr w:type="spellStart"/>
      <w:r w:rsidR="00BE7C03" w:rsidRPr="00931609">
        <w:t>Groth</w:t>
      </w:r>
      <w:proofErr w:type="spellEnd"/>
      <w:r w:rsidR="00BE7C03" w:rsidRPr="00931609">
        <w:t>, 2019)</w:t>
      </w:r>
      <w:r w:rsidRPr="00931609">
        <w:t xml:space="preserve">. </w:t>
      </w:r>
      <w:r w:rsidRPr="00931609">
        <w:rPr>
          <w:lang w:val="en-US"/>
        </w:rPr>
        <w:t>The peculiar physical and chemical properties of this species have required the development of tailor-made solutions addressing combustor, storage</w:t>
      </w:r>
      <w:r w:rsidR="00641B03" w:rsidRPr="00931609">
        <w:rPr>
          <w:lang w:val="en-US"/>
        </w:rPr>
        <w:t>,</w:t>
      </w:r>
      <w:r w:rsidRPr="00931609">
        <w:rPr>
          <w:lang w:val="en-US"/>
        </w:rPr>
        <w:t xml:space="preserve"> and transportation systems </w:t>
      </w:r>
      <w:r w:rsidRPr="00931609">
        <w:rPr>
          <w:lang w:val="en-US"/>
        </w:rPr>
        <w:lastRenderedPageBreak/>
        <w:t>related issues,</w:t>
      </w:r>
      <w:r w:rsidR="00641B03" w:rsidRPr="00931609">
        <w:rPr>
          <w:lang w:val="en-US"/>
        </w:rPr>
        <w:t xml:space="preserve"> </w:t>
      </w:r>
      <w:r w:rsidRPr="00931609">
        <w:t>indeed, lower density by volume characterizes hydrogen in comparison to fossil fuels</w:t>
      </w:r>
      <w:r w:rsidR="00BE7C03" w:rsidRPr="00931609">
        <w:t xml:space="preserve"> (White et al</w:t>
      </w:r>
      <w:r w:rsidR="00F66E00" w:rsidRPr="00931609">
        <w:t>.</w:t>
      </w:r>
      <w:r w:rsidR="00BE7C03" w:rsidRPr="00931609">
        <w:t>, 2006)</w:t>
      </w:r>
      <w:r w:rsidRPr="00931609">
        <w:rPr>
          <w:lang w:val="en-US"/>
        </w:rPr>
        <w:t>. The combustion issue has promoted the development of detailed kinetic mechanisms and empirical correlations</w:t>
      </w:r>
      <w:r w:rsidR="00E45862" w:rsidRPr="00931609">
        <w:rPr>
          <w:lang w:val="en-US"/>
        </w:rPr>
        <w:t>,</w:t>
      </w:r>
      <w:r w:rsidRPr="00931609">
        <w:rPr>
          <w:lang w:val="en-US"/>
        </w:rPr>
        <w:t xml:space="preserve"> </w:t>
      </w:r>
      <w:r w:rsidR="008A3763" w:rsidRPr="00931609">
        <w:rPr>
          <w:lang w:val="en-US"/>
        </w:rPr>
        <w:t xml:space="preserve">assessing the overall reactivity </w:t>
      </w:r>
      <w:r w:rsidRPr="00931609">
        <w:rPr>
          <w:lang w:val="en-US"/>
        </w:rPr>
        <w:t>under several conditions</w:t>
      </w:r>
      <w:r w:rsidR="00F66E00" w:rsidRPr="00931609">
        <w:rPr>
          <w:lang w:val="en-US"/>
        </w:rPr>
        <w:t xml:space="preserve"> (Salzano et al., 2018)</w:t>
      </w:r>
      <w:r w:rsidRPr="00931609">
        <w:rPr>
          <w:lang w:val="en-US"/>
        </w:rPr>
        <w:t xml:space="preserve">. The </w:t>
      </w:r>
      <w:r w:rsidR="00965E22" w:rsidRPr="00931609">
        <w:rPr>
          <w:lang w:val="en-US"/>
        </w:rPr>
        <w:t xml:space="preserve">storage issue </w:t>
      </w:r>
      <w:r w:rsidRPr="00931609">
        <w:rPr>
          <w:lang w:val="en-US"/>
        </w:rPr>
        <w:t xml:space="preserve">has been traditionally </w:t>
      </w:r>
      <w:r w:rsidR="00965E22" w:rsidRPr="00931609">
        <w:rPr>
          <w:lang w:val="en-US"/>
        </w:rPr>
        <w:t xml:space="preserve">addressed </w:t>
      </w:r>
      <w:r w:rsidRPr="00931609">
        <w:rPr>
          <w:lang w:val="en-US"/>
        </w:rPr>
        <w:t xml:space="preserve">by </w:t>
      </w:r>
      <w:r w:rsidR="00965E22" w:rsidRPr="00931609">
        <w:rPr>
          <w:lang w:val="en-US"/>
        </w:rPr>
        <w:t xml:space="preserve">implementing </w:t>
      </w:r>
      <w:r w:rsidRPr="00931609">
        <w:rPr>
          <w:lang w:val="en-US"/>
        </w:rPr>
        <w:t>compressed gas solutions</w:t>
      </w:r>
      <w:r w:rsidR="00F66E00" w:rsidRPr="00931609">
        <w:rPr>
          <w:lang w:val="en-US"/>
        </w:rPr>
        <w:t xml:space="preserve"> (</w:t>
      </w:r>
      <w:proofErr w:type="spellStart"/>
      <w:r w:rsidR="00F66E00" w:rsidRPr="00931609">
        <w:rPr>
          <w:lang w:val="en-US"/>
        </w:rPr>
        <w:t>Cirrone</w:t>
      </w:r>
      <w:proofErr w:type="spellEnd"/>
      <w:r w:rsidR="00F66E00" w:rsidRPr="00931609">
        <w:rPr>
          <w:lang w:val="en-US"/>
        </w:rPr>
        <w:t xml:space="preserve"> et al., 2018)</w:t>
      </w:r>
      <w:r w:rsidRPr="00931609">
        <w:rPr>
          <w:lang w:val="en-US"/>
        </w:rPr>
        <w:t xml:space="preserve"> or more recently by studying technological </w:t>
      </w:r>
      <w:r w:rsidR="00B359B4" w:rsidRPr="00931609">
        <w:rPr>
          <w:lang w:val="en-US"/>
        </w:rPr>
        <w:t>alternatives based on</w:t>
      </w:r>
      <w:r w:rsidRPr="00931609">
        <w:rPr>
          <w:lang w:val="en-US"/>
        </w:rPr>
        <w:t xml:space="preserve"> cryogenic </w:t>
      </w:r>
      <w:r w:rsidR="00B359B4" w:rsidRPr="00931609">
        <w:rPr>
          <w:lang w:val="en-US"/>
        </w:rPr>
        <w:t>liquefaction</w:t>
      </w:r>
      <w:r w:rsidR="00F66E00" w:rsidRPr="00931609">
        <w:rPr>
          <w:lang w:val="en-US"/>
        </w:rPr>
        <w:t xml:space="preserve"> (Brunner and Kircher, 2016)</w:t>
      </w:r>
      <w:r w:rsidRPr="00931609">
        <w:rPr>
          <w:lang w:val="en-US"/>
        </w:rPr>
        <w:t xml:space="preserve">. Both alternatives have posed </w:t>
      </w:r>
      <w:r w:rsidR="000E2D84" w:rsidRPr="00931609">
        <w:rPr>
          <w:lang w:val="en-US"/>
        </w:rPr>
        <w:t xml:space="preserve">serious </w:t>
      </w:r>
      <w:r w:rsidRPr="00931609">
        <w:rPr>
          <w:lang w:val="en-US"/>
        </w:rPr>
        <w:t>safety concerns because of the elevated ignitability, reactivity, and exothermicity of hydrogen</w:t>
      </w:r>
      <w:r w:rsidR="00B359B4" w:rsidRPr="00931609">
        <w:rPr>
          <w:lang w:val="en-US"/>
        </w:rPr>
        <w:t>/air mixtures</w:t>
      </w:r>
      <w:r w:rsidRPr="00931609">
        <w:rPr>
          <w:lang w:val="en-US"/>
        </w:rPr>
        <w:t xml:space="preserve"> regardless of the initial conditions </w:t>
      </w:r>
      <w:r w:rsidR="00B359B4" w:rsidRPr="00931609">
        <w:rPr>
          <w:lang w:val="en-US"/>
        </w:rPr>
        <w:t>and compositions</w:t>
      </w:r>
      <w:r w:rsidR="00F66E00" w:rsidRPr="00931609">
        <w:rPr>
          <w:lang w:val="en-US"/>
        </w:rPr>
        <w:t xml:space="preserve"> (Liu and Zhang, 2014)</w:t>
      </w:r>
      <w:r w:rsidRPr="00931609">
        <w:rPr>
          <w:lang w:val="en-US"/>
        </w:rPr>
        <w:t>. Either theoretical or experimental approaches have been adopted to gain more insights on this subject</w:t>
      </w:r>
      <w:r w:rsidR="00F66E00" w:rsidRPr="00931609">
        <w:rPr>
          <w:lang w:val="en-US"/>
        </w:rPr>
        <w:t xml:space="preserve"> (</w:t>
      </w:r>
      <w:proofErr w:type="spellStart"/>
      <w:r w:rsidR="00F66E00" w:rsidRPr="00931609">
        <w:rPr>
          <w:lang w:val="en-US"/>
        </w:rPr>
        <w:t>Bragin</w:t>
      </w:r>
      <w:proofErr w:type="spellEnd"/>
      <w:r w:rsidR="00F66E00" w:rsidRPr="00931609">
        <w:rPr>
          <w:lang w:val="en-US"/>
        </w:rPr>
        <w:t xml:space="preserve"> and </w:t>
      </w:r>
      <w:proofErr w:type="spellStart"/>
      <w:r w:rsidR="00F66E00" w:rsidRPr="00931609">
        <w:rPr>
          <w:lang w:val="en-US"/>
        </w:rPr>
        <w:t>Molkov</w:t>
      </w:r>
      <w:proofErr w:type="spellEnd"/>
      <w:r w:rsidR="00F66E00" w:rsidRPr="00931609">
        <w:rPr>
          <w:lang w:val="en-US"/>
        </w:rPr>
        <w:t>, 2010)</w:t>
      </w:r>
      <w:r w:rsidRPr="00931609">
        <w:rPr>
          <w:lang w:val="en-US"/>
        </w:rPr>
        <w:t>. Considering the nature of the compressed systems, jet</w:t>
      </w:r>
      <w:r w:rsidR="00F6187F" w:rsidRPr="00931609">
        <w:rPr>
          <w:lang w:val="en-US"/>
        </w:rPr>
        <w:t xml:space="preserve"> </w:t>
      </w:r>
      <w:r w:rsidRPr="00931609">
        <w:rPr>
          <w:lang w:val="en-US"/>
        </w:rPr>
        <w:t>fires are of primary interest</w:t>
      </w:r>
      <w:r w:rsidR="00F66E00" w:rsidRPr="00931609">
        <w:rPr>
          <w:lang w:val="en-US"/>
        </w:rPr>
        <w:t xml:space="preserve"> (</w:t>
      </w:r>
      <w:r w:rsidR="00F66E00" w:rsidRPr="00931609">
        <w:rPr>
          <w:rFonts w:cs="Arial"/>
          <w:noProof/>
          <w:szCs w:val="24"/>
        </w:rPr>
        <w:t>Lees</w:t>
      </w:r>
      <w:r w:rsidR="00FA4175" w:rsidRPr="00931609">
        <w:rPr>
          <w:rFonts w:cs="Arial"/>
          <w:noProof/>
          <w:szCs w:val="24"/>
        </w:rPr>
        <w:t>,</w:t>
      </w:r>
      <w:r w:rsidR="00F66E00" w:rsidRPr="00931609">
        <w:rPr>
          <w:rFonts w:cs="Arial"/>
          <w:noProof/>
          <w:szCs w:val="24"/>
        </w:rPr>
        <w:t xml:space="preserve"> 1996)</w:t>
      </w:r>
      <w:r w:rsidRPr="00931609">
        <w:rPr>
          <w:lang w:val="en-US"/>
        </w:rPr>
        <w:t xml:space="preserve">. </w:t>
      </w:r>
      <w:r w:rsidR="00B359B4" w:rsidRPr="00931609">
        <w:rPr>
          <w:lang w:val="en-US"/>
        </w:rPr>
        <w:t xml:space="preserve">In this sense, the majority of experimental studies </w:t>
      </w:r>
      <w:r w:rsidR="00B359B4" w:rsidRPr="00931609">
        <w:t xml:space="preserve">include </w:t>
      </w:r>
      <w:r w:rsidR="00C105B1" w:rsidRPr="00931609">
        <w:t>laboratory-scale tests for subsonic jet-flame burning hydrocarbons</w:t>
      </w:r>
      <w:r w:rsidR="00FC3161" w:rsidRPr="00931609">
        <w:t>,</w:t>
      </w:r>
      <w:r w:rsidR="00C105B1" w:rsidRPr="00931609">
        <w:t xml:space="preserve"> but data for larger-scale sonic jet-flames are less available</w:t>
      </w:r>
      <w:r w:rsidR="00F66E00" w:rsidRPr="00931609">
        <w:t xml:space="preserve"> </w:t>
      </w:r>
      <w:r w:rsidR="00F66E00" w:rsidRPr="00931609">
        <w:rPr>
          <w:lang w:val="en-US"/>
        </w:rPr>
        <w:t>(</w:t>
      </w:r>
      <w:r w:rsidR="00F66E00" w:rsidRPr="00931609">
        <w:rPr>
          <w:rFonts w:cs="Arial"/>
          <w:noProof/>
          <w:szCs w:val="24"/>
        </w:rPr>
        <w:t>Schefer et al., 2007)</w:t>
      </w:r>
      <w:r w:rsidR="00FA4175" w:rsidRPr="00931609">
        <w:t xml:space="preserve">. </w:t>
      </w:r>
      <w:r w:rsidR="00641B03" w:rsidRPr="00931609">
        <w:t>The c</w:t>
      </w:r>
      <w:r w:rsidR="00B359B4" w:rsidRPr="00931609">
        <w:t xml:space="preserve">omputational fluid dynamic approach has been largely used for the characterization of accidental release from </w:t>
      </w:r>
      <w:r w:rsidR="00641B03" w:rsidRPr="00931609">
        <w:t xml:space="preserve">a </w:t>
      </w:r>
      <w:r w:rsidR="00B359B4" w:rsidRPr="00931609">
        <w:t>pressurized vessel, as well</w:t>
      </w:r>
      <w:r w:rsidR="00F66E00" w:rsidRPr="00931609">
        <w:t xml:space="preserve"> (Xiao et al., 2018)</w:t>
      </w:r>
      <w:r w:rsidR="00B359B4" w:rsidRPr="00931609">
        <w:t xml:space="preserve">. </w:t>
      </w:r>
      <w:r w:rsidR="00A71AA6" w:rsidRPr="00931609">
        <w:t>Besides, e</w:t>
      </w:r>
      <w:proofErr w:type="spellStart"/>
      <w:r w:rsidR="00A71AA6" w:rsidRPr="00931609">
        <w:rPr>
          <w:lang w:val="en-US"/>
        </w:rPr>
        <w:t>mpirical</w:t>
      </w:r>
      <w:proofErr w:type="spellEnd"/>
      <w:r w:rsidR="00A71AA6" w:rsidRPr="00931609">
        <w:rPr>
          <w:lang w:val="en-US"/>
        </w:rPr>
        <w:t xml:space="preserve"> correlations estimating the mass flow rate </w:t>
      </w:r>
      <w:r w:rsidR="008869C6" w:rsidRPr="00931609">
        <w:rPr>
          <w:lang w:val="en-US"/>
        </w:rPr>
        <w:t>(</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c</m:t>
            </m:r>
          </m:sub>
        </m:sSub>
      </m:oMath>
      <w:r w:rsidR="008869C6" w:rsidRPr="00931609">
        <w:rPr>
          <w:lang w:val="en-US"/>
        </w:rPr>
        <w:t xml:space="preserve">) </w:t>
      </w:r>
      <w:r w:rsidR="00A71AA6" w:rsidRPr="00931609">
        <w:rPr>
          <w:lang w:val="en-US"/>
        </w:rPr>
        <w:t>a</w:t>
      </w:r>
      <w:r w:rsidR="006271CD" w:rsidRPr="00931609">
        <w:rPr>
          <w:lang w:val="en-US"/>
        </w:rPr>
        <w:t>nd other</w:t>
      </w:r>
      <w:r w:rsidR="000F7CE8" w:rsidRPr="00931609">
        <w:rPr>
          <w:lang w:val="en-US"/>
        </w:rPr>
        <w:t xml:space="preserve"> fundamental quantit</w:t>
      </w:r>
      <w:r w:rsidR="00E45862" w:rsidRPr="00931609">
        <w:rPr>
          <w:lang w:val="en-US"/>
        </w:rPr>
        <w:t>ies</w:t>
      </w:r>
      <w:r w:rsidR="000F7CE8" w:rsidRPr="00931609">
        <w:rPr>
          <w:lang w:val="en-US"/>
        </w:rPr>
        <w:t xml:space="preserve"> </w:t>
      </w:r>
      <w:r w:rsidR="00D0551A" w:rsidRPr="00931609">
        <w:rPr>
          <w:lang w:val="en-US"/>
        </w:rPr>
        <w:t xml:space="preserve">have </w:t>
      </w:r>
      <w:r w:rsidR="00A71AA6" w:rsidRPr="00931609">
        <w:rPr>
          <w:lang w:val="en-US"/>
        </w:rPr>
        <w:t>been developed and commonly implemented for the sake of consequence analysis</w:t>
      </w:r>
      <w:r w:rsidR="000F7CE8" w:rsidRPr="00931609">
        <w:rPr>
          <w:lang w:val="en-US"/>
        </w:rPr>
        <w:t xml:space="preserve">. Jets with a </w:t>
      </w:r>
      <w:r w:rsidR="00F6187F" w:rsidRPr="00931609">
        <w:rPr>
          <w:lang w:val="en-US"/>
        </w:rPr>
        <w:t>high-pressure</w:t>
      </w:r>
      <w:r w:rsidR="000F7CE8" w:rsidRPr="00931609">
        <w:rPr>
          <w:lang w:val="en-US"/>
        </w:rPr>
        <w:t xml:space="preserve"> ratio are classified as under</w:t>
      </w:r>
      <w:r w:rsidR="00F6187F" w:rsidRPr="00931609">
        <w:rPr>
          <w:lang w:val="en-US"/>
        </w:rPr>
        <w:t>-</w:t>
      </w:r>
      <w:r w:rsidR="000F7CE8" w:rsidRPr="00931609">
        <w:rPr>
          <w:lang w:val="en-US"/>
        </w:rPr>
        <w:t>expanded</w:t>
      </w:r>
      <w:r w:rsidR="00F66E00" w:rsidRPr="00931609">
        <w:rPr>
          <w:lang w:val="en-US"/>
        </w:rPr>
        <w:t xml:space="preserve"> (</w:t>
      </w:r>
      <w:r w:rsidR="004E46F8" w:rsidRPr="00931609">
        <w:rPr>
          <w:lang w:val="en-US"/>
        </w:rPr>
        <w:t>Hess et al.</w:t>
      </w:r>
      <w:r w:rsidR="00F66E00" w:rsidRPr="00931609">
        <w:rPr>
          <w:lang w:val="en-US"/>
        </w:rPr>
        <w:t xml:space="preserve">, </w:t>
      </w:r>
      <w:r w:rsidR="004E46F8" w:rsidRPr="00931609">
        <w:rPr>
          <w:lang w:val="en-US"/>
        </w:rPr>
        <w:t>1973</w:t>
      </w:r>
      <w:r w:rsidR="00F66E00" w:rsidRPr="00931609">
        <w:rPr>
          <w:lang w:val="en-US"/>
        </w:rPr>
        <w:t>)</w:t>
      </w:r>
      <w:r w:rsidR="000F7CE8" w:rsidRPr="00931609">
        <w:rPr>
          <w:lang w:val="en-US"/>
        </w:rPr>
        <w:t xml:space="preserve">. </w:t>
      </w:r>
      <w:r w:rsidR="00D0551A" w:rsidRPr="00931609">
        <w:rPr>
          <w:lang w:val="en-US"/>
        </w:rPr>
        <w:t>In the reservoir, the gas is assumed to be stagnant</w:t>
      </w:r>
      <w:r w:rsidR="00E45862" w:rsidRPr="00931609">
        <w:rPr>
          <w:lang w:val="en-US"/>
        </w:rPr>
        <w:t>,</w:t>
      </w:r>
      <w:r w:rsidR="00D0551A" w:rsidRPr="00931609">
        <w:rPr>
          <w:lang w:val="en-US"/>
        </w:rPr>
        <w:t xml:space="preserve"> </w:t>
      </w:r>
      <w:r w:rsidR="00F6187F" w:rsidRPr="00931609">
        <w:rPr>
          <w:lang w:val="en-US"/>
        </w:rPr>
        <w:t xml:space="preserve">whereas </w:t>
      </w:r>
      <w:r w:rsidR="00D0551A" w:rsidRPr="00931609">
        <w:rPr>
          <w:lang w:val="en-US"/>
        </w:rPr>
        <w:t xml:space="preserve">the expansion is assumed to </w:t>
      </w:r>
      <w:r w:rsidR="00F6187F" w:rsidRPr="00931609">
        <w:rPr>
          <w:lang w:val="en-US"/>
        </w:rPr>
        <w:t xml:space="preserve">undertake an </w:t>
      </w:r>
      <w:r w:rsidR="00D0551A" w:rsidRPr="00931609">
        <w:rPr>
          <w:lang w:val="en-US"/>
        </w:rPr>
        <w:t xml:space="preserve">adiabatic transformation. </w:t>
      </w:r>
      <w:r w:rsidR="008A3763" w:rsidRPr="00931609">
        <w:rPr>
          <w:lang w:val="en-US"/>
        </w:rPr>
        <w:t>Estimation of several properties is required for the sake of system characterization. To this aim, some of them c</w:t>
      </w:r>
      <w:r w:rsidR="00D0551A" w:rsidRPr="00931609">
        <w:rPr>
          <w:lang w:val="en-US"/>
        </w:rPr>
        <w:t>an be estimated as follows:</w:t>
      </w:r>
    </w:p>
    <w:p w14:paraId="62426BBD" w14:textId="62DBEEF0" w:rsidR="00A71AA6" w:rsidRPr="00931609" w:rsidRDefault="00D86BF9" w:rsidP="00681719">
      <w:pPr>
        <w:pStyle w:val="Paragrafoelenco"/>
        <w:tabs>
          <w:tab w:val="clear" w:pos="7100"/>
          <w:tab w:val="left" w:pos="8505"/>
        </w:tabs>
        <w:ind w:left="0"/>
        <w:rPr>
          <w:lang w:val="en-US"/>
        </w:rPr>
      </w:pPr>
      <m:oMath>
        <m:sSub>
          <m:sSubPr>
            <m:ctrlPr>
              <w:rPr>
                <w:rFonts w:ascii="Cambria Math" w:hAnsi="Cambria Math" w:cs="Arial"/>
                <w:i/>
                <w:szCs w:val="18"/>
                <w:lang w:val="en-US"/>
              </w:rPr>
            </m:ctrlPr>
          </m:sSubPr>
          <m:e>
            <m:r>
              <w:rPr>
                <w:rFonts w:ascii="Cambria Math" w:hAnsi="Cambria Math" w:cs="Arial"/>
                <w:szCs w:val="18"/>
                <w:lang w:val="en-US"/>
              </w:rPr>
              <m:t>P</m:t>
            </m:r>
          </m:e>
          <m:sub>
            <m:r>
              <w:rPr>
                <w:rFonts w:ascii="Cambria Math" w:hAnsi="Cambria Math" w:cs="Arial"/>
                <w:szCs w:val="18"/>
                <w:lang w:val="en-US"/>
              </w:rPr>
              <m:t>e</m:t>
            </m:r>
          </m:sub>
        </m:sSub>
        <m:r>
          <w:rPr>
            <w:rFonts w:ascii="Cambria Math" w:hAnsi="Cambria Math" w:cs="Arial"/>
            <w:szCs w:val="18"/>
            <w:lang w:val="en-US"/>
          </w:rPr>
          <m:t>=</m:t>
        </m:r>
        <m:sSub>
          <m:sSubPr>
            <m:ctrlPr>
              <w:rPr>
                <w:rFonts w:ascii="Cambria Math" w:hAnsi="Cambria Math" w:cs="Arial"/>
                <w:i/>
                <w:szCs w:val="18"/>
                <w:lang w:val="en-US"/>
              </w:rPr>
            </m:ctrlPr>
          </m:sSubPr>
          <m:e>
            <m:r>
              <w:rPr>
                <w:rFonts w:ascii="Cambria Math" w:hAnsi="Cambria Math" w:cs="Arial"/>
                <w:szCs w:val="18"/>
                <w:lang w:val="en-US"/>
              </w:rPr>
              <m:t>P</m:t>
            </m:r>
          </m:e>
          <m:sub>
            <m:r>
              <w:rPr>
                <w:rFonts w:ascii="Cambria Math" w:hAnsi="Cambria Math" w:cs="Arial"/>
                <w:szCs w:val="18"/>
                <w:lang w:val="en-US"/>
              </w:rPr>
              <m:t>0</m:t>
            </m:r>
          </m:sub>
        </m:sSub>
        <m:r>
          <w:rPr>
            <w:rFonts w:ascii="Cambria Math" w:hAnsi="Cambria Math" w:cs="Arial"/>
            <w:szCs w:val="18"/>
            <w:lang w:val="en-US"/>
          </w:rPr>
          <m:t xml:space="preserve">∙ </m:t>
        </m:r>
        <m:sSup>
          <m:sSupPr>
            <m:ctrlPr>
              <w:rPr>
                <w:rFonts w:ascii="Cambria Math" w:hAnsi="Cambria Math" w:cs="Arial"/>
                <w:i/>
                <w:szCs w:val="18"/>
                <w:lang w:val="en-US"/>
              </w:rPr>
            </m:ctrlPr>
          </m:sSupPr>
          <m:e>
            <m:d>
              <m:dPr>
                <m:ctrlPr>
                  <w:rPr>
                    <w:rFonts w:ascii="Cambria Math" w:hAnsi="Cambria Math" w:cs="Arial"/>
                    <w:i/>
                    <w:szCs w:val="18"/>
                    <w:lang w:val="en-US"/>
                  </w:rPr>
                </m:ctrlPr>
              </m:dPr>
              <m:e>
                <m:f>
                  <m:fPr>
                    <m:ctrlPr>
                      <w:rPr>
                        <w:rFonts w:ascii="Cambria Math" w:hAnsi="Cambria Math" w:cs="Arial"/>
                        <w:i/>
                        <w:szCs w:val="18"/>
                        <w:lang w:val="en-US"/>
                      </w:rPr>
                    </m:ctrlPr>
                  </m:fPr>
                  <m:num>
                    <m:r>
                      <w:rPr>
                        <w:rFonts w:ascii="Cambria Math" w:hAnsi="Cambria Math" w:cs="Arial"/>
                        <w:szCs w:val="18"/>
                        <w:lang w:val="en-US"/>
                      </w:rPr>
                      <m:t>2</m:t>
                    </m:r>
                  </m:num>
                  <m:den>
                    <m:r>
                      <w:rPr>
                        <w:rFonts w:ascii="Cambria Math" w:hAnsi="Cambria Math" w:cs="Arial"/>
                        <w:szCs w:val="18"/>
                        <w:lang w:val="en-US"/>
                      </w:rPr>
                      <m:t>γ+1</m:t>
                    </m:r>
                  </m:den>
                </m:f>
              </m:e>
            </m:d>
          </m:e>
          <m:sup>
            <m:f>
              <m:fPr>
                <m:ctrlPr>
                  <w:rPr>
                    <w:rFonts w:ascii="Cambria Math" w:hAnsi="Cambria Math" w:cs="Arial"/>
                    <w:i/>
                    <w:szCs w:val="18"/>
                    <w:lang w:val="en-US"/>
                  </w:rPr>
                </m:ctrlPr>
              </m:fPr>
              <m:num>
                <m:r>
                  <w:rPr>
                    <w:rFonts w:ascii="Cambria Math" w:hAnsi="Cambria Math" w:cs="Arial"/>
                    <w:szCs w:val="18"/>
                    <w:lang w:val="en-US"/>
                  </w:rPr>
                  <m:t>γ</m:t>
                </m:r>
              </m:num>
              <m:den>
                <m:r>
                  <w:rPr>
                    <w:rFonts w:ascii="Cambria Math" w:hAnsi="Cambria Math" w:cs="Arial"/>
                    <w:szCs w:val="18"/>
                    <w:lang w:val="en-US"/>
                  </w:rPr>
                  <m:t>γ-1</m:t>
                </m:r>
              </m:den>
            </m:f>
          </m:sup>
        </m:sSup>
      </m:oMath>
      <w:r w:rsidR="008A3763" w:rsidRPr="00931609">
        <w:rPr>
          <w:lang w:val="en-US"/>
        </w:rPr>
        <w:tab/>
      </w:r>
      <w:r w:rsidR="00D0551A" w:rsidRPr="00931609">
        <w:rPr>
          <w:lang w:val="en-US"/>
        </w:rPr>
        <w:t>(1)</w:t>
      </w:r>
    </w:p>
    <w:p w14:paraId="415134A7" w14:textId="7CB0C6F6" w:rsidR="00D0551A" w:rsidRPr="00931609" w:rsidRDefault="00D86BF9" w:rsidP="00681719">
      <w:pPr>
        <w:pStyle w:val="Paragrafoelenco"/>
        <w:tabs>
          <w:tab w:val="clear" w:pos="7100"/>
          <w:tab w:val="left" w:pos="8505"/>
        </w:tabs>
        <w:ind w:left="0"/>
        <w:rPr>
          <w:lang w:val="en-US"/>
        </w:rPr>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e</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r>
          <w:rPr>
            <w:rFonts w:ascii="Cambria Math" w:hAnsi="Cambria Math"/>
            <w:lang w:val="en-US"/>
          </w:rPr>
          <m:t xml:space="preserve">∙ </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num>
              <m:den>
                <m:r>
                  <w:rPr>
                    <w:rFonts w:ascii="Cambria Math" w:hAnsi="Cambria Math"/>
                    <w:lang w:val="en-US"/>
                  </w:rPr>
                  <m:t>γ+1</m:t>
                </m:r>
              </m:den>
            </m:f>
          </m:e>
        </m:d>
      </m:oMath>
      <w:r w:rsidR="00D0551A" w:rsidRPr="00931609">
        <w:rPr>
          <w:lang w:val="en-US"/>
        </w:rPr>
        <w:tab/>
        <w:t>(</w:t>
      </w:r>
      <w:r w:rsidR="00C74217" w:rsidRPr="00931609">
        <w:rPr>
          <w:lang w:val="en-US"/>
        </w:rPr>
        <w:t>2</w:t>
      </w:r>
      <w:r w:rsidR="00D0551A" w:rsidRPr="00931609">
        <w:rPr>
          <w:lang w:val="en-US"/>
        </w:rPr>
        <w:t>)</w:t>
      </w:r>
    </w:p>
    <w:p w14:paraId="6BDE10B8" w14:textId="37B24BD9" w:rsidR="00D0551A" w:rsidRPr="00931609" w:rsidRDefault="00D86BF9" w:rsidP="00681719">
      <w:pPr>
        <w:pStyle w:val="Paragrafoelenco"/>
        <w:tabs>
          <w:tab w:val="clear" w:pos="7100"/>
          <w:tab w:val="left" w:pos="8505"/>
        </w:tabs>
        <w:ind w:left="0"/>
        <w:rPr>
          <w:lang w:val="en-US"/>
        </w:rPr>
      </w:pP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e</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0</m:t>
            </m:r>
          </m:sub>
        </m:sSub>
        <m:r>
          <w:rPr>
            <w:rFonts w:ascii="Cambria Math" w:hAnsi="Cambria Math"/>
            <w:lang w:val="en-US"/>
          </w:rPr>
          <m:t xml:space="preserve">∙ </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num>
                  <m:den>
                    <m:r>
                      <w:rPr>
                        <w:rFonts w:ascii="Cambria Math" w:hAnsi="Cambria Math"/>
                        <w:lang w:val="en-US"/>
                      </w:rPr>
                      <m:t>γ+1</m:t>
                    </m:r>
                  </m:den>
                </m:f>
              </m:e>
            </m:d>
          </m:e>
          <m:sup>
            <m:f>
              <m:fPr>
                <m:ctrlPr>
                  <w:rPr>
                    <w:rFonts w:ascii="Cambria Math" w:hAnsi="Cambria Math"/>
                    <w:i/>
                    <w:lang w:val="en-US"/>
                  </w:rPr>
                </m:ctrlPr>
              </m:fPr>
              <m:num>
                <m:r>
                  <w:rPr>
                    <w:rFonts w:ascii="Cambria Math" w:hAnsi="Cambria Math"/>
                    <w:lang w:val="en-US"/>
                  </w:rPr>
                  <m:t>γ</m:t>
                </m:r>
              </m:num>
              <m:den>
                <m:r>
                  <w:rPr>
                    <w:rFonts w:ascii="Cambria Math" w:hAnsi="Cambria Math"/>
                    <w:lang w:val="en-US"/>
                  </w:rPr>
                  <m:t>γ-1</m:t>
                </m:r>
              </m:den>
            </m:f>
          </m:sup>
        </m:sSup>
      </m:oMath>
      <w:r w:rsidR="00D0551A" w:rsidRPr="00931609">
        <w:rPr>
          <w:lang w:val="en-US"/>
        </w:rPr>
        <w:t xml:space="preserve"> </w:t>
      </w:r>
      <w:r w:rsidR="00D0551A" w:rsidRPr="00931609">
        <w:rPr>
          <w:lang w:val="en-US"/>
        </w:rPr>
        <w:tab/>
        <w:t>(</w:t>
      </w:r>
      <w:r w:rsidR="00C74217" w:rsidRPr="00931609">
        <w:rPr>
          <w:lang w:val="en-US"/>
        </w:rPr>
        <w:t>3</w:t>
      </w:r>
      <w:r w:rsidR="00D0551A" w:rsidRPr="00931609">
        <w:rPr>
          <w:lang w:val="en-US"/>
        </w:rPr>
        <w:t>)</w:t>
      </w:r>
    </w:p>
    <w:p w14:paraId="46FDD9AF" w14:textId="5F81E632" w:rsidR="00D0551A" w:rsidRPr="00931609" w:rsidRDefault="00D86BF9" w:rsidP="00681719">
      <w:pPr>
        <w:pStyle w:val="Paragrafoelenco"/>
        <w:tabs>
          <w:tab w:val="clear" w:pos="7100"/>
          <w:tab w:val="left" w:pos="8505"/>
        </w:tabs>
        <w:ind w:left="0"/>
        <w:rPr>
          <w:lang w:val="en-US"/>
        </w:rPr>
      </w:pP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e</m:t>
            </m:r>
          </m:sub>
        </m:sSub>
        <m:r>
          <w:rPr>
            <w:rFonts w:ascii="Cambria Math" w:hAnsi="Cambria Math"/>
            <w:lang w:val="en-US"/>
          </w:rPr>
          <m:t>=</m:t>
        </m:r>
        <m:rad>
          <m:radPr>
            <m:degHide m:val="1"/>
            <m:ctrlPr>
              <w:rPr>
                <w:rFonts w:ascii="Cambria Math" w:hAnsi="Cambria Math"/>
                <w:i/>
                <w:lang w:val="en-US"/>
              </w:rPr>
            </m:ctrlPr>
          </m:radPr>
          <m:deg/>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2∙γ</m:t>
                    </m:r>
                  </m:num>
                  <m:den>
                    <m:r>
                      <w:rPr>
                        <w:rFonts w:ascii="Cambria Math" w:hAnsi="Cambria Math"/>
                        <w:lang w:val="en-US"/>
                      </w:rPr>
                      <m:t>γ+1</m:t>
                    </m:r>
                  </m:den>
                </m:f>
                <m:r>
                  <w:rPr>
                    <w:rFonts w:ascii="Cambria Math" w:hAnsi="Cambria Math"/>
                    <w:lang w:val="en-US"/>
                  </w:rPr>
                  <m:t>∙R∙</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e>
            </m:d>
          </m:e>
        </m:rad>
      </m:oMath>
      <w:r w:rsidR="00D0551A" w:rsidRPr="00931609">
        <w:rPr>
          <w:lang w:val="en-US"/>
        </w:rPr>
        <w:tab/>
        <w:t>(</w:t>
      </w:r>
      <w:r w:rsidR="00C74217" w:rsidRPr="00931609">
        <w:rPr>
          <w:lang w:val="en-US"/>
        </w:rPr>
        <w:t>4</w:t>
      </w:r>
      <w:r w:rsidR="00D0551A" w:rsidRPr="00931609">
        <w:rPr>
          <w:lang w:val="en-US"/>
        </w:rPr>
        <w:t>)</w:t>
      </w:r>
    </w:p>
    <w:p w14:paraId="4A7AB372" w14:textId="3B6D2F8F" w:rsidR="00D0551A" w:rsidRPr="00931609" w:rsidRDefault="00D86BF9" w:rsidP="00681719">
      <w:pPr>
        <w:pStyle w:val="Paragrafoelenco"/>
        <w:tabs>
          <w:tab w:val="clear" w:pos="7100"/>
          <w:tab w:val="left" w:pos="8505"/>
        </w:tabs>
        <w:ind w:left="0"/>
        <w:rPr>
          <w:lang w:val="en-US"/>
        </w:rPr>
      </w:pP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e</m:t>
            </m:r>
          </m:sub>
        </m:sSub>
        <m:r>
          <w:rPr>
            <w:rFonts w:ascii="Cambria Math" w:hAnsi="Cambria Math"/>
            <w:lang w:val="en-US"/>
          </w:rPr>
          <m:t>∙A∙</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e</m:t>
            </m:r>
          </m:sub>
        </m:sSub>
      </m:oMath>
      <w:r w:rsidR="00D0551A" w:rsidRPr="00931609">
        <w:rPr>
          <w:lang w:val="en-US"/>
        </w:rPr>
        <w:tab/>
        <w:t>(</w:t>
      </w:r>
      <w:r w:rsidR="00C74217" w:rsidRPr="00931609">
        <w:rPr>
          <w:lang w:val="en-US"/>
        </w:rPr>
        <w:t>5</w:t>
      </w:r>
      <w:r w:rsidR="00D0551A" w:rsidRPr="00931609">
        <w:rPr>
          <w:lang w:val="en-US"/>
        </w:rPr>
        <w:t>)</w:t>
      </w:r>
    </w:p>
    <w:p w14:paraId="6E513EC3" w14:textId="77777777" w:rsidR="00D0551A" w:rsidRPr="00931609" w:rsidRDefault="00D0551A" w:rsidP="00681719">
      <w:pPr>
        <w:pStyle w:val="Paragrafoelenco"/>
        <w:tabs>
          <w:tab w:val="left" w:pos="1170"/>
        </w:tabs>
        <w:ind w:left="0"/>
        <w:rPr>
          <w:lang w:val="en-US"/>
        </w:rPr>
      </w:pPr>
    </w:p>
    <w:p w14:paraId="1B6C48BA" w14:textId="69B9361B" w:rsidR="00905F60" w:rsidRPr="00931609" w:rsidRDefault="00F6187F" w:rsidP="00681719">
      <w:pPr>
        <w:tabs>
          <w:tab w:val="left" w:pos="1170"/>
        </w:tabs>
      </w:pPr>
      <w:r w:rsidRPr="00931609">
        <w:rPr>
          <w:lang w:val="en-US"/>
        </w:rPr>
        <w:t>w</w:t>
      </w:r>
      <w:r w:rsidR="00D0551A" w:rsidRPr="00931609">
        <w:rPr>
          <w:lang w:val="en-US"/>
        </w:rPr>
        <w:t>here</w:t>
      </w:r>
      <w:r w:rsidR="008A3763" w:rsidRPr="00931609">
        <w:rPr>
          <w:lang w:val="en-US"/>
        </w:rPr>
        <w:t xml:space="preserve"> </w:t>
      </w:r>
      <m:oMath>
        <m:r>
          <w:rPr>
            <w:rFonts w:ascii="Cambria Math" w:hAnsi="Cambria Math" w:cs="Arial"/>
            <w:szCs w:val="18"/>
            <w:lang w:val="en-US"/>
          </w:rPr>
          <m:t>γ</m:t>
        </m:r>
      </m:oMath>
      <w:r w:rsidR="00E660BF" w:rsidRPr="00931609">
        <w:rPr>
          <w:szCs w:val="18"/>
          <w:lang w:val="en-US"/>
        </w:rPr>
        <w:t>,</w:t>
      </w:r>
      <w:r w:rsidR="00E660BF" w:rsidRPr="00931609">
        <w:rPr>
          <w:i/>
          <w:iCs/>
          <w:lang w:val="en-US"/>
        </w:rPr>
        <w:t xml:space="preserve"> </w:t>
      </w:r>
      <w:r w:rsidR="008A3763" w:rsidRPr="00931609">
        <w:rPr>
          <w:i/>
          <w:iCs/>
          <w:lang w:val="en-US"/>
        </w:rPr>
        <w:t>P</w:t>
      </w:r>
      <w:r w:rsidR="00BD2557" w:rsidRPr="00931609">
        <w:rPr>
          <w:i/>
          <w:iCs/>
          <w:lang w:val="en-US"/>
        </w:rPr>
        <w:t xml:space="preserve"> </w:t>
      </w:r>
      <w:r w:rsidR="00BD2557" w:rsidRPr="00931609">
        <w:rPr>
          <w:iCs/>
          <w:lang w:val="en-US"/>
        </w:rPr>
        <w:t>(Pa)</w:t>
      </w:r>
      <w:r w:rsidR="00D0551A" w:rsidRPr="00931609">
        <w:rPr>
          <w:lang w:val="en-US"/>
        </w:rPr>
        <w:t xml:space="preserve">, </w:t>
      </w:r>
      <w:r w:rsidR="008A3763" w:rsidRPr="00931609">
        <w:rPr>
          <w:i/>
          <w:iCs/>
          <w:lang w:val="en-US"/>
        </w:rPr>
        <w:t>T</w:t>
      </w:r>
      <w:r w:rsidR="00BD2557" w:rsidRPr="00931609">
        <w:rPr>
          <w:i/>
          <w:iCs/>
          <w:lang w:val="en-US"/>
        </w:rPr>
        <w:t xml:space="preserve"> </w:t>
      </w:r>
      <w:r w:rsidR="00BD2557" w:rsidRPr="00931609">
        <w:rPr>
          <w:iCs/>
          <w:lang w:val="en-US"/>
        </w:rPr>
        <w:t>(K)</w:t>
      </w:r>
      <w:r w:rsidR="008A3763" w:rsidRPr="00931609">
        <w:rPr>
          <w:lang w:val="en-US"/>
        </w:rPr>
        <w:t xml:space="preserve">, </w:t>
      </w:r>
      <w:r w:rsidR="008A3763" w:rsidRPr="00931609">
        <w:rPr>
          <w:i/>
          <w:iCs/>
          <w:lang w:val="en-US"/>
        </w:rPr>
        <w:t>u</w:t>
      </w:r>
      <w:r w:rsidR="00BD2557" w:rsidRPr="00931609">
        <w:rPr>
          <w:i/>
          <w:iCs/>
          <w:lang w:val="en-US"/>
        </w:rPr>
        <w:t xml:space="preserve"> </w:t>
      </w:r>
      <w:r w:rsidR="00BD2557" w:rsidRPr="00931609">
        <w:rPr>
          <w:iCs/>
          <w:lang w:val="en-US"/>
        </w:rPr>
        <w:t>(m/s)</w:t>
      </w:r>
      <w:r w:rsidR="00E45862" w:rsidRPr="00931609">
        <w:rPr>
          <w:lang w:val="en-US"/>
        </w:rPr>
        <w:t>,</w:t>
      </w:r>
      <w:r w:rsidR="00D0551A" w:rsidRPr="00931609">
        <w:rPr>
          <w:lang w:val="en-US"/>
        </w:rPr>
        <w:t xml:space="preserve"> and </w:t>
      </w:r>
      <m:oMath>
        <m:r>
          <w:rPr>
            <w:rFonts w:ascii="Cambria Math" w:hAnsi="Cambria Math"/>
            <w:lang w:val="en-US"/>
          </w:rPr>
          <m:t>ρ</m:t>
        </m:r>
      </m:oMath>
      <w:r w:rsidR="00D0551A" w:rsidRPr="00931609">
        <w:rPr>
          <w:lang w:val="en-US"/>
        </w:rPr>
        <w:t xml:space="preserve"> </w:t>
      </w:r>
      <w:r w:rsidR="00BD2557" w:rsidRPr="00931609">
        <w:rPr>
          <w:lang w:val="en-US"/>
        </w:rPr>
        <w:t>(kg/m</w:t>
      </w:r>
      <w:r w:rsidR="00BD2557" w:rsidRPr="00931609">
        <w:rPr>
          <w:vertAlign w:val="superscript"/>
          <w:lang w:val="en-US"/>
        </w:rPr>
        <w:t>3</w:t>
      </w:r>
      <w:r w:rsidR="00BD2557" w:rsidRPr="00931609">
        <w:rPr>
          <w:lang w:val="en-US"/>
        </w:rPr>
        <w:t xml:space="preserve">) </w:t>
      </w:r>
      <w:r w:rsidR="00D0551A" w:rsidRPr="00931609">
        <w:rPr>
          <w:lang w:val="en-US"/>
        </w:rPr>
        <w:t xml:space="preserve">are </w:t>
      </w:r>
      <w:r w:rsidR="00E660BF" w:rsidRPr="00931609">
        <w:rPr>
          <w:lang w:val="en-US"/>
        </w:rPr>
        <w:t xml:space="preserve">the specific heat ratio, </w:t>
      </w:r>
      <w:r w:rsidR="00D0551A" w:rsidRPr="00931609">
        <w:rPr>
          <w:lang w:val="en-US"/>
        </w:rPr>
        <w:t>pressure, temperature</w:t>
      </w:r>
      <w:r w:rsidR="008A3763" w:rsidRPr="00931609">
        <w:rPr>
          <w:lang w:val="en-US"/>
        </w:rPr>
        <w:t>, gaseous velocity flowing t</w:t>
      </w:r>
      <w:r w:rsidR="00E45862" w:rsidRPr="00931609">
        <w:rPr>
          <w:lang w:val="en-US"/>
        </w:rPr>
        <w:t>h</w:t>
      </w:r>
      <w:r w:rsidR="008A3763" w:rsidRPr="00931609">
        <w:rPr>
          <w:lang w:val="en-US"/>
        </w:rPr>
        <w:t xml:space="preserve">rough an orifice having a surface </w:t>
      </w:r>
      <w:r w:rsidR="008A3763" w:rsidRPr="00931609">
        <w:rPr>
          <w:i/>
          <w:iCs/>
          <w:lang w:val="en-US"/>
        </w:rPr>
        <w:t>A</w:t>
      </w:r>
      <w:r w:rsidR="00BD2557" w:rsidRPr="00931609">
        <w:rPr>
          <w:i/>
          <w:iCs/>
          <w:lang w:val="en-US"/>
        </w:rPr>
        <w:t xml:space="preserve"> </w:t>
      </w:r>
      <w:r w:rsidR="00BD2557" w:rsidRPr="00931609">
        <w:rPr>
          <w:iCs/>
          <w:lang w:val="en-US"/>
        </w:rPr>
        <w:t>(m</w:t>
      </w:r>
      <w:r w:rsidR="00BD2557" w:rsidRPr="00931609">
        <w:rPr>
          <w:iCs/>
          <w:vertAlign w:val="superscript"/>
          <w:lang w:val="en-US"/>
        </w:rPr>
        <w:t>2</w:t>
      </w:r>
      <w:r w:rsidR="00BD2557" w:rsidRPr="00931609">
        <w:rPr>
          <w:lang w:val="en-US"/>
        </w:rPr>
        <w:t>)</w:t>
      </w:r>
      <w:r w:rsidR="008A3763" w:rsidRPr="00931609">
        <w:rPr>
          <w:lang w:val="en-US"/>
        </w:rPr>
        <w:t>,</w:t>
      </w:r>
      <w:r w:rsidR="00D0551A" w:rsidRPr="00931609">
        <w:rPr>
          <w:lang w:val="en-US"/>
        </w:rPr>
        <w:t xml:space="preserve"> and density</w:t>
      </w:r>
      <w:r w:rsidR="008869C6" w:rsidRPr="00931609">
        <w:rPr>
          <w:lang w:val="en-US"/>
        </w:rPr>
        <w:t xml:space="preserve">, respectively, </w:t>
      </w:r>
      <w:r w:rsidRPr="00931609">
        <w:rPr>
          <w:lang w:val="en-US"/>
        </w:rPr>
        <w:t>and</w:t>
      </w:r>
      <w:r w:rsidR="008869C6" w:rsidRPr="00931609">
        <w:rPr>
          <w:lang w:val="en-US"/>
        </w:rPr>
        <w:t xml:space="preserve"> </w:t>
      </w:r>
      <w:r w:rsidR="008A3763" w:rsidRPr="00931609">
        <w:rPr>
          <w:lang w:val="en-US"/>
        </w:rPr>
        <w:t xml:space="preserve">the subscripts 0 and </w:t>
      </w:r>
      <w:proofErr w:type="spellStart"/>
      <w:r w:rsidR="008A3763" w:rsidRPr="00931609">
        <w:rPr>
          <w:i/>
          <w:iCs/>
          <w:lang w:val="en-US"/>
        </w:rPr>
        <w:t>e</w:t>
      </w:r>
      <w:proofErr w:type="spellEnd"/>
      <w:r w:rsidR="008A3763" w:rsidRPr="00931609">
        <w:rPr>
          <w:i/>
          <w:iCs/>
          <w:lang w:val="en-US"/>
        </w:rPr>
        <w:t xml:space="preserve"> </w:t>
      </w:r>
      <w:r w:rsidR="008A3763" w:rsidRPr="00931609">
        <w:rPr>
          <w:lang w:val="en-US"/>
        </w:rPr>
        <w:t>stand for</w:t>
      </w:r>
      <w:r w:rsidR="008869C6" w:rsidRPr="00931609">
        <w:rPr>
          <w:lang w:val="en-US"/>
        </w:rPr>
        <w:t xml:space="preserve"> </w:t>
      </w:r>
      <w:r w:rsidR="008A3763" w:rsidRPr="00931609">
        <w:rPr>
          <w:lang w:val="en-US"/>
        </w:rPr>
        <w:t xml:space="preserve">reservoirs and </w:t>
      </w:r>
      <w:r w:rsidR="008869C6" w:rsidRPr="00931609">
        <w:rPr>
          <w:lang w:val="en-US"/>
        </w:rPr>
        <w:t>outlet</w:t>
      </w:r>
      <w:r w:rsidR="008A3763" w:rsidRPr="00931609">
        <w:rPr>
          <w:lang w:val="en-US"/>
        </w:rPr>
        <w:t xml:space="preserve"> conditions</w:t>
      </w:r>
      <w:r w:rsidR="008869C6" w:rsidRPr="00931609">
        <w:rPr>
          <w:lang w:val="en-US"/>
        </w:rPr>
        <w:t xml:space="preserve">. </w:t>
      </w:r>
      <w:r w:rsidR="00E660BF" w:rsidRPr="00931609">
        <w:rPr>
          <w:lang w:val="en-US"/>
        </w:rPr>
        <w:t xml:space="preserve">The term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c</m:t>
            </m:r>
          </m:sub>
        </m:sSub>
      </m:oMath>
      <w:r w:rsidR="00E660BF" w:rsidRPr="00931609">
        <w:rPr>
          <w:lang w:val="en-US"/>
        </w:rPr>
        <w:t xml:space="preserve"> </w:t>
      </w:r>
      <w:r w:rsidR="00BD2557" w:rsidRPr="00931609">
        <w:rPr>
          <w:lang w:val="en-US"/>
        </w:rPr>
        <w:t xml:space="preserve">(kg/s) </w:t>
      </w:r>
      <w:r w:rsidR="00E660BF" w:rsidRPr="00931609">
        <w:rPr>
          <w:lang w:val="en-US"/>
        </w:rPr>
        <w:t xml:space="preserve">is then the mass flow rate. </w:t>
      </w:r>
      <w:r w:rsidR="008A3763" w:rsidRPr="00931609">
        <w:rPr>
          <w:lang w:val="en-US"/>
        </w:rPr>
        <w:t xml:space="preserve">As mentioned before, </w:t>
      </w:r>
      <w:r w:rsidR="008869C6" w:rsidRPr="00931609">
        <w:rPr>
          <w:lang w:val="en-US"/>
        </w:rPr>
        <w:t>the velocity is assumed to be zero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0</m:t>
            </m:r>
          </m:sub>
        </m:sSub>
        <m:r>
          <w:rPr>
            <w:rFonts w:ascii="Cambria Math" w:hAnsi="Cambria Math"/>
            <w:lang w:val="en-US"/>
          </w:rPr>
          <m:t>=0)</m:t>
        </m:r>
      </m:oMath>
      <w:r w:rsidR="008869C6" w:rsidRPr="00931609">
        <w:rPr>
          <w:lang w:val="en-US"/>
        </w:rPr>
        <w:t xml:space="preserve"> </w:t>
      </w:r>
      <w:r w:rsidR="008A3763" w:rsidRPr="00931609">
        <w:rPr>
          <w:lang w:val="en-US"/>
        </w:rPr>
        <w:t>in the reservoirs</w:t>
      </w:r>
      <w:r w:rsidR="008869C6" w:rsidRPr="00931609">
        <w:rPr>
          <w:lang w:val="en-US"/>
        </w:rPr>
        <w:t>.</w:t>
      </w:r>
      <w:r w:rsidR="008A3763" w:rsidRPr="00931609">
        <w:rPr>
          <w:lang w:val="en-US"/>
        </w:rPr>
        <w:t xml:space="preserve"> </w:t>
      </w:r>
      <w:r w:rsidR="00980C42" w:rsidRPr="00931609">
        <w:rPr>
          <w:lang w:val="en-US"/>
        </w:rPr>
        <w:t>It should be noted that the Joule-Thomson effect was not take</w:t>
      </w:r>
      <w:r w:rsidR="00CE5AF2" w:rsidRPr="00931609">
        <w:rPr>
          <w:lang w:val="en-US"/>
        </w:rPr>
        <w:t>n</w:t>
      </w:r>
      <w:r w:rsidR="00980C42" w:rsidRPr="00931609">
        <w:rPr>
          <w:lang w:val="en-US"/>
        </w:rPr>
        <w:t xml:space="preserve"> into consideration. </w:t>
      </w:r>
      <w:r w:rsidR="00A71AA6" w:rsidRPr="00931609">
        <w:rPr>
          <w:lang w:val="en-US"/>
        </w:rPr>
        <w:t xml:space="preserve">The obtained awareness on the phenomena occurring during </w:t>
      </w:r>
      <w:r w:rsidR="00CD00C4" w:rsidRPr="00931609">
        <w:rPr>
          <w:lang w:val="en-US"/>
        </w:rPr>
        <w:t xml:space="preserve">this type of scenario for </w:t>
      </w:r>
      <w:r w:rsidR="00A71AA6" w:rsidRPr="00931609">
        <w:rPr>
          <w:lang w:val="en-US"/>
        </w:rPr>
        <w:t xml:space="preserve">compressed hydrogen and the economic convenience in handling of high-density gas have pushed toward the implementation of higher storage pressures. </w:t>
      </w:r>
      <w:r w:rsidR="00A71AA6" w:rsidRPr="00931609">
        <w:t xml:space="preserve">However, </w:t>
      </w:r>
      <w:r w:rsidR="00641B03" w:rsidRPr="00931609">
        <w:t xml:space="preserve">a </w:t>
      </w:r>
      <w:r w:rsidR="00A71AA6" w:rsidRPr="00931609">
        <w:t xml:space="preserve">dearth of experimental data on large scale </w:t>
      </w:r>
      <w:r w:rsidR="00CD00C4" w:rsidRPr="00931609">
        <w:t xml:space="preserve">tackling this issue at extreme conditions </w:t>
      </w:r>
      <w:r w:rsidR="00A71AA6" w:rsidRPr="00931609">
        <w:t xml:space="preserve">can be highlighted in the current literature. </w:t>
      </w:r>
      <w:r w:rsidR="00A71AA6" w:rsidRPr="00931609">
        <w:rPr>
          <w:lang w:val="en-US"/>
        </w:rPr>
        <w:t>In this light, additional experimental studies before large scale commercialization are essential to test the validity of the abovementioned correlations and procedures under conditions not considered, so far</w:t>
      </w:r>
      <w:r w:rsidR="00A71AA6" w:rsidRPr="00931609">
        <w:t xml:space="preserve">. For these reasons, </w:t>
      </w:r>
      <w:r w:rsidR="00CD00C4" w:rsidRPr="00931609">
        <w:t>a</w:t>
      </w:r>
      <w:r w:rsidR="00A71AA6" w:rsidRPr="00931609">
        <w:t xml:space="preserve"> horizontal hydrogen jet flame deriving from a release commonly deriving from tank operating at pressures within the range 2</w:t>
      </w:r>
      <w:r w:rsidR="00641B03" w:rsidRPr="00931609">
        <w:t>40</w:t>
      </w:r>
      <w:r w:rsidR="00A71AA6" w:rsidRPr="00931609">
        <w:t>-45</w:t>
      </w:r>
      <w:r w:rsidR="00641B03" w:rsidRPr="00931609">
        <w:t>0</w:t>
      </w:r>
      <w:r w:rsidR="00A71AA6" w:rsidRPr="00931609">
        <w:t xml:space="preserve"> </w:t>
      </w:r>
      <w:r w:rsidR="00641B03" w:rsidRPr="00931609">
        <w:t>bar</w:t>
      </w:r>
      <w:r w:rsidR="00A71AA6" w:rsidRPr="00931609">
        <w:t xml:space="preserve"> has been </w:t>
      </w:r>
      <w:r w:rsidR="00CD00C4" w:rsidRPr="00931609">
        <w:t xml:space="preserve">experimentally </w:t>
      </w:r>
      <w:r w:rsidR="00A71AA6" w:rsidRPr="00931609">
        <w:t xml:space="preserve">investigated in </w:t>
      </w:r>
      <w:r w:rsidR="00CD00C4" w:rsidRPr="00931609">
        <w:t>this work</w:t>
      </w:r>
      <w:r w:rsidR="00A71AA6" w:rsidRPr="00931609">
        <w:t xml:space="preserve">. </w:t>
      </w:r>
      <w:r w:rsidR="006A1276" w:rsidRPr="00931609">
        <w:t>The free hydrogen jets have been ignited</w:t>
      </w:r>
      <w:r w:rsidR="00FC3161" w:rsidRPr="00931609">
        <w:t>,</w:t>
      </w:r>
      <w:r w:rsidR="006A1276" w:rsidRPr="00931609">
        <w:t xml:space="preserve"> and the resulting thermal loads </w:t>
      </w:r>
      <w:r w:rsidR="00CD00C4" w:rsidRPr="00931609">
        <w:t xml:space="preserve">distribution with respect to the distance from the releasing point </w:t>
      </w:r>
      <w:r w:rsidR="006A1276" w:rsidRPr="00931609">
        <w:t>ha</w:t>
      </w:r>
      <w:r w:rsidR="0057009D" w:rsidRPr="00931609">
        <w:t>s</w:t>
      </w:r>
      <w:r w:rsidR="006A1276" w:rsidRPr="00931609">
        <w:t xml:space="preserve"> been </w:t>
      </w:r>
      <w:r w:rsidR="00FC3161" w:rsidRPr="00931609">
        <w:t>studi</w:t>
      </w:r>
      <w:r w:rsidR="006A1276" w:rsidRPr="00931609">
        <w:t>ed</w:t>
      </w:r>
      <w:r w:rsidR="00823DB8" w:rsidRPr="00931609">
        <w:t xml:space="preserve">. </w:t>
      </w:r>
    </w:p>
    <w:p w14:paraId="5B168FB8" w14:textId="368D026D" w:rsidR="007132C1" w:rsidRPr="00931609" w:rsidRDefault="00E660BF" w:rsidP="00681719">
      <w:pPr>
        <w:tabs>
          <w:tab w:val="clear" w:pos="7100"/>
        </w:tabs>
        <w:kinsoku w:val="0"/>
        <w:overflowPunct w:val="0"/>
        <w:textAlignment w:val="baseline"/>
        <w:rPr>
          <w:lang w:val="en-US"/>
        </w:rPr>
      </w:pPr>
      <w:r w:rsidRPr="00931609">
        <w:t>The length of the jet flame</w:t>
      </w:r>
      <w:r w:rsidR="007751AE" w:rsidRPr="00931609">
        <w:rPr>
          <w:iCs/>
        </w:rPr>
        <w:t xml:space="preserve"> </w:t>
      </w:r>
      <m:oMath>
        <m:r>
          <w:rPr>
            <w:rFonts w:ascii="Cambria Math" w:hAnsi="Cambria Math"/>
            <w:lang w:val="it-IT"/>
          </w:rPr>
          <m:t>LF</m:t>
        </m:r>
      </m:oMath>
      <w:r w:rsidR="00A76F69" w:rsidRPr="00931609">
        <w:t xml:space="preserve"> </w:t>
      </w:r>
      <w:r w:rsidRPr="00931609">
        <w:t xml:space="preserve">has been extensively reported in the open literature also for hydrogen. </w:t>
      </w:r>
      <w:proofErr w:type="spellStart"/>
      <w:r w:rsidRPr="00931609">
        <w:rPr>
          <w:lang w:val="en-US"/>
        </w:rPr>
        <w:t>Molkov</w:t>
      </w:r>
      <w:proofErr w:type="spellEnd"/>
      <w:r w:rsidRPr="00931609">
        <w:rPr>
          <w:lang w:val="en-US"/>
        </w:rPr>
        <w:t xml:space="preserve"> </w:t>
      </w:r>
      <w:r w:rsidR="00EC69E1" w:rsidRPr="00931609">
        <w:rPr>
          <w:lang w:val="en-US"/>
        </w:rPr>
        <w:t>et al.</w:t>
      </w:r>
      <w:r w:rsidRPr="00931609">
        <w:rPr>
          <w:lang w:val="en-US"/>
        </w:rPr>
        <w:t xml:space="preserve"> </w:t>
      </w:r>
      <w:r w:rsidR="004706EB" w:rsidRPr="00931609">
        <w:rPr>
          <w:lang w:val="en-US"/>
        </w:rPr>
        <w:t xml:space="preserve">(2013) </w:t>
      </w:r>
      <w:r w:rsidRPr="00931609">
        <w:rPr>
          <w:lang w:val="en-US"/>
        </w:rPr>
        <w:t xml:space="preserve">have developed </w:t>
      </w:r>
      <w:r w:rsidR="007132C1" w:rsidRPr="00931609">
        <w:rPr>
          <w:lang w:val="en-US"/>
        </w:rPr>
        <w:t>two</w:t>
      </w:r>
      <w:r w:rsidRPr="00931609">
        <w:rPr>
          <w:lang w:val="en-US"/>
        </w:rPr>
        <w:t xml:space="preserve"> simple correlation</w:t>
      </w:r>
      <w:r w:rsidR="007132C1" w:rsidRPr="00931609">
        <w:rPr>
          <w:lang w:val="en-US"/>
        </w:rPr>
        <w:t xml:space="preserve">s, one validated </w:t>
      </w:r>
      <w:r w:rsidR="00A76F69" w:rsidRPr="00931609">
        <w:rPr>
          <w:lang w:val="en-US"/>
        </w:rPr>
        <w:t>for</w:t>
      </w:r>
      <w:r w:rsidR="007132C1" w:rsidRPr="00931609">
        <w:rPr>
          <w:lang w:val="en-US"/>
        </w:rPr>
        <w:t xml:space="preserve"> subsonic, sonic, and supersonic hydrogen jet flames line (Eq.6), and one representing the upper limiting curve for conservative estimation (Eq.7):</w:t>
      </w:r>
    </w:p>
    <w:p w14:paraId="28B8D6D8" w14:textId="4CD05F86" w:rsidR="00E660BF" w:rsidRPr="00931609" w:rsidRDefault="00E660BF" w:rsidP="00681719">
      <w:pPr>
        <w:tabs>
          <w:tab w:val="clear" w:pos="7100"/>
        </w:tabs>
        <w:kinsoku w:val="0"/>
        <w:overflowPunct w:val="0"/>
        <w:jc w:val="left"/>
        <w:textAlignment w:val="baseline"/>
      </w:pPr>
    </w:p>
    <w:p w14:paraId="5616E96B" w14:textId="092B55E1" w:rsidR="00E660BF" w:rsidRPr="00931609" w:rsidRDefault="007751AE" w:rsidP="00681719">
      <w:pPr>
        <w:pStyle w:val="Paragrafoelenco"/>
        <w:tabs>
          <w:tab w:val="clear" w:pos="7100"/>
          <w:tab w:val="left" w:pos="8505"/>
        </w:tabs>
        <w:ind w:left="0"/>
        <w:rPr>
          <w:lang w:val="en-US"/>
        </w:rPr>
      </w:pPr>
      <m:oMath>
        <m:r>
          <w:rPr>
            <w:rFonts w:ascii="Cambria Math" w:hAnsi="Cambria Math"/>
            <w:lang w:val="it-IT"/>
          </w:rPr>
          <m:t>LF</m:t>
        </m:r>
        <m:r>
          <w:rPr>
            <w:rFonts w:ascii="Cambria Math" w:hAnsi="Cambria Math"/>
          </w:rPr>
          <m:t>=76∙</m:t>
        </m:r>
        <m:sSup>
          <m:sSupPr>
            <m:ctrlPr>
              <w:rPr>
                <w:rFonts w:ascii="Cambria Math" w:hAnsi="Cambria Math"/>
                <w:i/>
                <w:iCs/>
                <w:lang w:val="it-IT"/>
              </w:rPr>
            </m:ctrlPr>
          </m:sSupPr>
          <m:e>
            <m:d>
              <m:dPr>
                <m:ctrlPr>
                  <w:rPr>
                    <w:rFonts w:ascii="Cambria Math" w:hAnsi="Cambria Math"/>
                    <w:i/>
                    <w:iCs/>
                    <w:lang w:val="it-IT"/>
                  </w:rPr>
                </m:ctrlPr>
              </m:dPr>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c</m:t>
                    </m:r>
                  </m:sub>
                </m:sSub>
                <m:r>
                  <w:rPr>
                    <w:rFonts w:ascii="Cambria Math" w:hAnsi="Cambria Math"/>
                  </w:rPr>
                  <m:t>∙</m:t>
                </m:r>
                <m:r>
                  <w:rPr>
                    <w:rFonts w:ascii="Cambria Math" w:hAnsi="Cambria Math"/>
                    <w:lang w:val="it-IT"/>
                  </w:rPr>
                  <m:t>D</m:t>
                </m:r>
              </m:e>
            </m:d>
          </m:e>
          <m:sup>
            <m:r>
              <w:rPr>
                <w:rFonts w:ascii="Cambria Math" w:hAnsi="Cambria Math"/>
              </w:rPr>
              <m:t>0.347</m:t>
            </m:r>
          </m:sup>
        </m:sSup>
        <m:r>
          <w:rPr>
            <w:rFonts w:ascii="Cambria Math" w:hAnsi="Cambria Math"/>
          </w:rPr>
          <m:t> </m:t>
        </m:r>
      </m:oMath>
      <w:r w:rsidR="00E660BF" w:rsidRPr="00931609">
        <w:rPr>
          <w:lang w:val="en-US"/>
        </w:rPr>
        <w:tab/>
        <w:t>(6)</w:t>
      </w:r>
    </w:p>
    <w:p w14:paraId="6939E7C0" w14:textId="0C0C76B0" w:rsidR="007132C1" w:rsidRPr="00931609" w:rsidRDefault="00D86BF9" w:rsidP="00681719">
      <w:pPr>
        <w:pStyle w:val="Paragrafoelenco"/>
        <w:tabs>
          <w:tab w:val="clear" w:pos="7100"/>
          <w:tab w:val="left" w:pos="8505"/>
        </w:tabs>
        <w:ind w:left="0"/>
        <w:rPr>
          <w:lang w:val="en-US"/>
        </w:rPr>
      </w:pPr>
      <m:oMath>
        <m:sSub>
          <m:sSubPr>
            <m:ctrlPr>
              <w:rPr>
                <w:rFonts w:ascii="Cambria Math" w:hAnsi="Cambria Math"/>
                <w:i/>
                <w:lang w:val="it-IT"/>
              </w:rPr>
            </m:ctrlPr>
          </m:sSubPr>
          <m:e>
            <m:r>
              <w:rPr>
                <w:rFonts w:ascii="Cambria Math" w:hAnsi="Cambria Math"/>
                <w:lang w:val="it-IT"/>
              </w:rPr>
              <m:t>LF</m:t>
            </m:r>
          </m:e>
          <m:sub>
            <m:r>
              <w:rPr>
                <w:rFonts w:ascii="Cambria Math" w:hAnsi="Cambria Math"/>
                <w:lang w:val="it-IT"/>
              </w:rPr>
              <m:t>max</m:t>
            </m:r>
          </m:sub>
        </m:sSub>
        <m:r>
          <w:rPr>
            <w:rFonts w:ascii="Cambria Math" w:hAnsi="Cambria Math"/>
          </w:rPr>
          <m:t>=116∙</m:t>
        </m:r>
        <m:sSup>
          <m:sSupPr>
            <m:ctrlPr>
              <w:rPr>
                <w:rFonts w:ascii="Cambria Math" w:hAnsi="Cambria Math"/>
                <w:i/>
                <w:iCs/>
                <w:lang w:val="it-IT"/>
              </w:rPr>
            </m:ctrlPr>
          </m:sSupPr>
          <m:e>
            <m:d>
              <m:dPr>
                <m:ctrlPr>
                  <w:rPr>
                    <w:rFonts w:ascii="Cambria Math" w:hAnsi="Cambria Math"/>
                    <w:i/>
                    <w:iCs/>
                    <w:lang w:val="it-IT"/>
                  </w:rPr>
                </m:ctrlPr>
              </m:dPr>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c</m:t>
                    </m:r>
                  </m:sub>
                </m:sSub>
                <m:r>
                  <w:rPr>
                    <w:rFonts w:ascii="Cambria Math" w:hAnsi="Cambria Math"/>
                  </w:rPr>
                  <m:t>∙</m:t>
                </m:r>
                <m:r>
                  <w:rPr>
                    <w:rFonts w:ascii="Cambria Math" w:hAnsi="Cambria Math"/>
                    <w:lang w:val="it-IT"/>
                  </w:rPr>
                  <m:t>D</m:t>
                </m:r>
              </m:e>
            </m:d>
          </m:e>
          <m:sup>
            <m:r>
              <w:rPr>
                <w:rFonts w:ascii="Cambria Math" w:hAnsi="Cambria Math"/>
              </w:rPr>
              <m:t>0.347</m:t>
            </m:r>
          </m:sup>
        </m:sSup>
        <m:r>
          <w:rPr>
            <w:rFonts w:ascii="Cambria Math" w:hAnsi="Cambria Math"/>
          </w:rPr>
          <m:t> </m:t>
        </m:r>
      </m:oMath>
      <w:r w:rsidR="007132C1" w:rsidRPr="00931609">
        <w:rPr>
          <w:lang w:val="en-US"/>
        </w:rPr>
        <w:tab/>
        <w:t>(7)</w:t>
      </w:r>
    </w:p>
    <w:p w14:paraId="5E8A56B4" w14:textId="77777777" w:rsidR="007132C1" w:rsidRPr="00931609" w:rsidRDefault="007132C1" w:rsidP="00681719">
      <w:pPr>
        <w:pStyle w:val="Paragrafoelenco"/>
        <w:tabs>
          <w:tab w:val="clear" w:pos="7100"/>
          <w:tab w:val="left" w:pos="8505"/>
        </w:tabs>
        <w:ind w:left="0"/>
        <w:rPr>
          <w:lang w:val="en-US"/>
        </w:rPr>
      </w:pPr>
    </w:p>
    <w:p w14:paraId="41571C5D" w14:textId="3F814D82" w:rsidR="00905F60" w:rsidRPr="00931609" w:rsidRDefault="00BD2557" w:rsidP="00681719">
      <w:pPr>
        <w:tabs>
          <w:tab w:val="clear" w:pos="7100"/>
        </w:tabs>
        <w:autoSpaceDE w:val="0"/>
        <w:autoSpaceDN w:val="0"/>
        <w:adjustRightInd w:val="0"/>
      </w:pPr>
      <w:r w:rsidRPr="00931609">
        <w:rPr>
          <w:lang w:val="en-US"/>
        </w:rPr>
        <w:t xml:space="preserve">where D </w:t>
      </w:r>
      <w:r w:rsidR="00A76F69" w:rsidRPr="00931609">
        <w:rPr>
          <w:lang w:val="en-US"/>
        </w:rPr>
        <w:t xml:space="preserve">is </w:t>
      </w:r>
      <w:r w:rsidRPr="00931609">
        <w:rPr>
          <w:lang w:val="en-US"/>
        </w:rPr>
        <w:t xml:space="preserve">the diameter </w:t>
      </w:r>
      <w:r w:rsidR="00A76F69" w:rsidRPr="00931609">
        <w:rPr>
          <w:lang w:val="en-US"/>
        </w:rPr>
        <w:t xml:space="preserve">of the exit orifice </w:t>
      </w:r>
      <w:r w:rsidRPr="00931609">
        <w:rPr>
          <w:lang w:val="en-US"/>
        </w:rPr>
        <w:t xml:space="preserve">expressed in m. </w:t>
      </w:r>
      <w:r w:rsidR="00E660BF" w:rsidRPr="00931609">
        <w:rPr>
          <w:lang w:val="en-US"/>
        </w:rPr>
        <w:t>Th</w:t>
      </w:r>
      <w:r w:rsidR="00A76F69" w:rsidRPr="00931609">
        <w:rPr>
          <w:lang w:val="en-US"/>
        </w:rPr>
        <w:t>e</w:t>
      </w:r>
      <w:r w:rsidR="00E660BF" w:rsidRPr="00931609">
        <w:rPr>
          <w:lang w:val="en-US"/>
        </w:rPr>
        <w:t>s</w:t>
      </w:r>
      <w:r w:rsidR="00A76F69" w:rsidRPr="00931609">
        <w:rPr>
          <w:lang w:val="en-US"/>
        </w:rPr>
        <w:t>e</w:t>
      </w:r>
      <w:r w:rsidR="00E660BF" w:rsidRPr="00931609">
        <w:rPr>
          <w:lang w:val="en-US"/>
        </w:rPr>
        <w:t xml:space="preserve"> equation</w:t>
      </w:r>
      <w:r w:rsidR="00A76F69" w:rsidRPr="00931609">
        <w:rPr>
          <w:lang w:val="en-US"/>
        </w:rPr>
        <w:t>s</w:t>
      </w:r>
      <w:r w:rsidR="00E660BF" w:rsidRPr="00931609">
        <w:rPr>
          <w:lang w:val="en-US"/>
        </w:rPr>
        <w:t xml:space="preserve"> will be adopted in the next sections. </w:t>
      </w:r>
      <w:r w:rsidR="00905F60" w:rsidRPr="00931609">
        <w:t xml:space="preserve">The </w:t>
      </w:r>
      <w:r w:rsidR="00E660BF" w:rsidRPr="00931609">
        <w:t xml:space="preserve">value of </w:t>
      </w:r>
      <m:oMath>
        <m:r>
          <w:rPr>
            <w:rFonts w:ascii="Cambria Math" w:hAnsi="Cambria Math"/>
            <w:lang w:val="it-IT"/>
          </w:rPr>
          <m:t>LF</m:t>
        </m:r>
      </m:oMath>
      <w:r w:rsidR="00905F60" w:rsidRPr="00931609">
        <w:t xml:space="preserve"> is essential for the </w:t>
      </w:r>
      <w:r w:rsidR="00CD00C4" w:rsidRPr="00931609">
        <w:t>q</w:t>
      </w:r>
      <w:r w:rsidR="00823DB8" w:rsidRPr="00931609">
        <w:t>uantif</w:t>
      </w:r>
      <w:r w:rsidR="00CD00C4" w:rsidRPr="00931609">
        <w:t>ication of</w:t>
      </w:r>
      <w:r w:rsidR="00823DB8" w:rsidRPr="00931609">
        <w:t xml:space="preserve"> the </w:t>
      </w:r>
      <w:r w:rsidR="002749C6" w:rsidRPr="00931609">
        <w:t xml:space="preserve">consequences </w:t>
      </w:r>
      <w:r w:rsidR="00EA6A45" w:rsidRPr="00931609">
        <w:t xml:space="preserve">of </w:t>
      </w:r>
      <w:r w:rsidR="00823DB8" w:rsidRPr="00931609">
        <w:t>the safety distances</w:t>
      </w:r>
      <w:r w:rsidR="002356E4" w:rsidRPr="00931609">
        <w:t xml:space="preserve"> from the release point </w:t>
      </w:r>
      <w:r w:rsidR="00823DB8" w:rsidRPr="00931609">
        <w:t>to apply in a hydrogen storage facility.</w:t>
      </w:r>
      <w:r w:rsidR="00905F60" w:rsidRPr="00931609">
        <w:t xml:space="preserve"> Proust et al. (2011) used a video reduction technique to determine the flame length, and they reported that the flame length increases with the pressure up to 300 bar and never exceeds 7 m. Furthermore, they reported LF values of approximately 5.5 m and 5.0 m for pressures of 450 bar and 240 bar, respectively. </w:t>
      </w:r>
      <w:r w:rsidR="008F0AA0" w:rsidRPr="00931609">
        <w:t xml:space="preserve">Even though jet fires are often smaller than other types of fire, it is stated by </w:t>
      </w:r>
      <w:proofErr w:type="spellStart"/>
      <w:r w:rsidR="008F0AA0" w:rsidRPr="00931609">
        <w:t>Casal</w:t>
      </w:r>
      <w:proofErr w:type="spellEnd"/>
      <w:r w:rsidR="008F0AA0" w:rsidRPr="00931609">
        <w:t xml:space="preserve"> et al. (2012) </w:t>
      </w:r>
      <w:r w:rsidR="008F0AA0" w:rsidRPr="00931609">
        <w:rPr>
          <w:rFonts w:eastAsiaTheme="minorHAnsi" w:cs="Arial"/>
          <w:szCs w:val="18"/>
          <w:lang w:val="en-US"/>
        </w:rPr>
        <w:t xml:space="preserve">that in 50% of the jet fires accident reported in </w:t>
      </w:r>
      <w:r w:rsidR="00CE5AF2" w:rsidRPr="00931609">
        <w:rPr>
          <w:rFonts w:eastAsiaTheme="minorHAnsi" w:cs="Arial"/>
          <w:szCs w:val="18"/>
          <w:lang w:val="en-US"/>
        </w:rPr>
        <w:t xml:space="preserve">the </w:t>
      </w:r>
      <w:r w:rsidR="008F0AA0" w:rsidRPr="00931609">
        <w:rPr>
          <w:rFonts w:eastAsiaTheme="minorHAnsi" w:cs="Arial"/>
          <w:szCs w:val="18"/>
          <w:lang w:val="en-US"/>
        </w:rPr>
        <w:t>literature</w:t>
      </w:r>
      <w:r w:rsidR="00CE5AF2" w:rsidRPr="00931609">
        <w:rPr>
          <w:rFonts w:eastAsiaTheme="minorHAnsi" w:cs="Arial"/>
          <w:szCs w:val="18"/>
          <w:lang w:val="en-US"/>
        </w:rPr>
        <w:t>,</w:t>
      </w:r>
      <w:r w:rsidR="008F0AA0" w:rsidRPr="00931609">
        <w:rPr>
          <w:rFonts w:eastAsiaTheme="minorHAnsi" w:cs="Arial"/>
          <w:szCs w:val="18"/>
          <w:lang w:val="en-US"/>
        </w:rPr>
        <w:t xml:space="preserve"> an additional event with severe effects also occurred.</w:t>
      </w:r>
      <w:r w:rsidR="008F0AA0" w:rsidRPr="00931609">
        <w:t xml:space="preserve"> </w:t>
      </w:r>
      <w:r w:rsidR="00905F60" w:rsidRPr="00931609">
        <w:t>Starting from these consideration</w:t>
      </w:r>
      <w:r w:rsidR="00EA6A45" w:rsidRPr="00931609">
        <w:t>s</w:t>
      </w:r>
      <w:r w:rsidR="00905F60" w:rsidRPr="00931609">
        <w:t xml:space="preserve">, </w:t>
      </w:r>
      <w:proofErr w:type="spellStart"/>
      <w:r w:rsidR="00905F60" w:rsidRPr="00931609">
        <w:t>Molkov</w:t>
      </w:r>
      <w:proofErr w:type="spellEnd"/>
      <w:r w:rsidR="00905F60" w:rsidRPr="00931609">
        <w:t xml:space="preserve"> and </w:t>
      </w:r>
      <w:proofErr w:type="spellStart"/>
      <w:r w:rsidR="00905F60" w:rsidRPr="00931609">
        <w:t>Saffers</w:t>
      </w:r>
      <w:proofErr w:type="spellEnd"/>
      <w:r w:rsidR="00905F60" w:rsidRPr="00931609">
        <w:t xml:space="preserve"> (2013) have proposed a temperature-based criterion for the definition of safety distance based on </w:t>
      </w:r>
      <w:r w:rsidR="00EA6A45" w:rsidRPr="00931609">
        <w:t xml:space="preserve">the </w:t>
      </w:r>
      <w:r w:rsidR="00905F60" w:rsidRPr="00931609">
        <w:t xml:space="preserve">flame temperature of </w:t>
      </w:r>
      <w:r w:rsidR="00905F60" w:rsidRPr="00931609">
        <w:lastRenderedPageBreak/>
        <w:t xml:space="preserve">309 °C, which is expected as third-degree burns for a 20 s duration (“death” limit). Using the measured axial temperature of hydrogen flame as a function of distance from the nozzle, x, it is then possible to derive the stand-off distances. </w:t>
      </w:r>
    </w:p>
    <w:p w14:paraId="440B7FFE" w14:textId="01C294C3" w:rsidR="00823DB8" w:rsidRPr="00931609" w:rsidRDefault="00823DB8" w:rsidP="00681719">
      <w:pPr>
        <w:pStyle w:val="CETHeading1"/>
        <w:spacing w:line="264" w:lineRule="auto"/>
        <w:jc w:val="both"/>
        <w:rPr>
          <w:lang w:val="en-GB"/>
        </w:rPr>
      </w:pPr>
      <w:r w:rsidRPr="00931609">
        <w:rPr>
          <w:lang w:val="en-GB"/>
        </w:rPr>
        <w:t>Experimental set-up</w:t>
      </w:r>
    </w:p>
    <w:p w14:paraId="4AF2947A" w14:textId="030F2177" w:rsidR="00B3495B" w:rsidRPr="00931609" w:rsidRDefault="00CD046B" w:rsidP="00681719">
      <w:pPr>
        <w:pStyle w:val="CETBodytext"/>
        <w:rPr>
          <w:lang w:val="en-GB"/>
        </w:rPr>
      </w:pPr>
      <w:r w:rsidRPr="00931609">
        <w:rPr>
          <w:lang w:val="en-GB"/>
        </w:rPr>
        <w:t>The tests were carri</w:t>
      </w:r>
      <w:r w:rsidR="008869C6" w:rsidRPr="00931609">
        <w:rPr>
          <w:lang w:val="en-GB"/>
        </w:rPr>
        <w:t>e</w:t>
      </w:r>
      <w:r w:rsidRPr="00931609">
        <w:rPr>
          <w:lang w:val="en-GB"/>
        </w:rPr>
        <w:t xml:space="preserve">d out at the Trentino Training </w:t>
      </w:r>
      <w:proofErr w:type="spellStart"/>
      <w:r w:rsidRPr="00931609">
        <w:rPr>
          <w:lang w:val="en-GB"/>
        </w:rPr>
        <w:t>cent</w:t>
      </w:r>
      <w:r w:rsidR="00641B03" w:rsidRPr="00931609">
        <w:rPr>
          <w:lang w:val="en-GB"/>
        </w:rPr>
        <w:t>er</w:t>
      </w:r>
      <w:proofErr w:type="spellEnd"/>
      <w:r w:rsidRPr="00931609">
        <w:rPr>
          <w:lang w:val="en-GB"/>
        </w:rPr>
        <w:t xml:space="preserve"> located in </w:t>
      </w:r>
      <w:proofErr w:type="spellStart"/>
      <w:r w:rsidRPr="00931609">
        <w:rPr>
          <w:lang w:val="en-GB"/>
        </w:rPr>
        <w:t>Rovereto</w:t>
      </w:r>
      <w:proofErr w:type="spellEnd"/>
      <w:r w:rsidRPr="00931609">
        <w:rPr>
          <w:lang w:val="en-GB"/>
        </w:rPr>
        <w:t xml:space="preserve">, Italy. The </w:t>
      </w:r>
      <w:r w:rsidR="00F6187F" w:rsidRPr="00931609">
        <w:rPr>
          <w:lang w:val="en-GB"/>
        </w:rPr>
        <w:t>high-pressure</w:t>
      </w:r>
      <w:r w:rsidR="006215C9" w:rsidRPr="00931609">
        <w:rPr>
          <w:lang w:val="en-GB"/>
        </w:rPr>
        <w:t xml:space="preserve"> hydrogen storage was composed </w:t>
      </w:r>
      <w:r w:rsidR="00E45862" w:rsidRPr="00931609">
        <w:rPr>
          <w:lang w:val="en-GB"/>
        </w:rPr>
        <w:t>of</w:t>
      </w:r>
      <w:r w:rsidR="006215C9" w:rsidRPr="00931609">
        <w:rPr>
          <w:lang w:val="en-GB"/>
        </w:rPr>
        <w:t xml:space="preserve"> a </w:t>
      </w:r>
      <w:r w:rsidRPr="00931609">
        <w:rPr>
          <w:lang w:val="en-GB"/>
        </w:rPr>
        <w:t>trailer consist</w:t>
      </w:r>
      <w:r w:rsidR="006215C9" w:rsidRPr="00931609">
        <w:rPr>
          <w:lang w:val="en-GB"/>
        </w:rPr>
        <w:t>ing</w:t>
      </w:r>
      <w:r w:rsidRPr="00931609">
        <w:rPr>
          <w:lang w:val="en-GB"/>
        </w:rPr>
        <w:t xml:space="preserve"> of sixteen high-pressure storage </w:t>
      </w:r>
      <w:r w:rsidR="006215C9" w:rsidRPr="00931609">
        <w:rPr>
          <w:lang w:val="en-GB"/>
        </w:rPr>
        <w:t>bottles</w:t>
      </w:r>
      <w:r w:rsidRPr="00931609">
        <w:rPr>
          <w:lang w:val="en-GB"/>
        </w:rPr>
        <w:t xml:space="preserve"> with a volume of 50 L</w:t>
      </w:r>
      <w:r w:rsidR="006215C9" w:rsidRPr="00931609">
        <w:rPr>
          <w:lang w:val="en-GB"/>
        </w:rPr>
        <w:t xml:space="preserve"> each,</w:t>
      </w:r>
      <w:r w:rsidRPr="00931609">
        <w:rPr>
          <w:lang w:val="en-GB"/>
        </w:rPr>
        <w:t xml:space="preserve"> at the nominal pressure of 450 bar</w:t>
      </w:r>
      <w:r w:rsidR="00E45862" w:rsidRPr="00931609">
        <w:rPr>
          <w:lang w:val="en-GB"/>
        </w:rPr>
        <w:t>,</w:t>
      </w:r>
      <w:r w:rsidRPr="00931609">
        <w:rPr>
          <w:lang w:val="en-GB"/>
        </w:rPr>
        <w:t xml:space="preserve"> and a hydrogen purity of 99.999%vol (Figure 1</w:t>
      </w:r>
      <w:r w:rsidR="00641B03" w:rsidRPr="00931609">
        <w:rPr>
          <w:lang w:val="en-GB"/>
        </w:rPr>
        <w:t>, left</w:t>
      </w:r>
      <w:r w:rsidRPr="00931609">
        <w:rPr>
          <w:lang w:val="en-GB"/>
        </w:rPr>
        <w:t xml:space="preserve">). The </w:t>
      </w:r>
      <w:r w:rsidR="006215C9" w:rsidRPr="00931609">
        <w:rPr>
          <w:lang w:val="en-GB"/>
        </w:rPr>
        <w:t>hydrogen release</w:t>
      </w:r>
      <w:r w:rsidRPr="00931609">
        <w:rPr>
          <w:lang w:val="en-GB"/>
        </w:rPr>
        <w:t xml:space="preserve"> was provided by a 15 m long pipe</w:t>
      </w:r>
      <w:r w:rsidR="006215C9" w:rsidRPr="00931609">
        <w:rPr>
          <w:lang w:val="en-GB"/>
        </w:rPr>
        <w:t xml:space="preserve"> </w:t>
      </w:r>
      <w:r w:rsidR="00AE15EC" w:rsidRPr="00931609">
        <w:rPr>
          <w:lang w:val="en-GB"/>
        </w:rPr>
        <w:t>with a</w:t>
      </w:r>
      <w:r w:rsidR="00CE6FAA" w:rsidRPr="00931609">
        <w:rPr>
          <w:lang w:val="en-GB"/>
        </w:rPr>
        <w:t xml:space="preserve"> constant</w:t>
      </w:r>
      <w:r w:rsidR="00AE15EC" w:rsidRPr="00931609">
        <w:rPr>
          <w:lang w:val="en-GB"/>
        </w:rPr>
        <w:t xml:space="preserve"> internal diameter of 7 mm </w:t>
      </w:r>
      <w:r w:rsidR="006215C9" w:rsidRPr="00931609">
        <w:rPr>
          <w:lang w:val="en-GB"/>
        </w:rPr>
        <w:t xml:space="preserve">connected </w:t>
      </w:r>
      <w:r w:rsidR="00CE6FAA" w:rsidRPr="00931609">
        <w:rPr>
          <w:lang w:val="en-GB"/>
        </w:rPr>
        <w:t>to</w:t>
      </w:r>
      <w:r w:rsidR="00AE15EC" w:rsidRPr="00931609">
        <w:rPr>
          <w:lang w:val="en-GB"/>
        </w:rPr>
        <w:t xml:space="preserve"> a 3 mm </w:t>
      </w:r>
      <w:r w:rsidR="006215C9" w:rsidRPr="00931609">
        <w:rPr>
          <w:lang w:val="en-GB"/>
        </w:rPr>
        <w:t xml:space="preserve">orifice </w:t>
      </w:r>
      <w:r w:rsidR="00CE6FAA" w:rsidRPr="00931609">
        <w:rPr>
          <w:lang w:val="en-GB"/>
        </w:rPr>
        <w:t xml:space="preserve">nozzle. </w:t>
      </w:r>
      <w:r w:rsidR="005740F0" w:rsidRPr="00931609">
        <w:rPr>
          <w:lang w:val="en-GB"/>
        </w:rPr>
        <w:t>The wind was measured a</w:t>
      </w:r>
      <w:r w:rsidR="00E45862" w:rsidRPr="00931609">
        <w:rPr>
          <w:lang w:val="en-GB"/>
        </w:rPr>
        <w:t>t</w:t>
      </w:r>
      <w:r w:rsidR="005740F0" w:rsidRPr="00931609">
        <w:rPr>
          <w:lang w:val="en-GB"/>
        </w:rPr>
        <w:t xml:space="preserve"> </w:t>
      </w:r>
      <w:r w:rsidR="009A5463" w:rsidRPr="00931609">
        <w:rPr>
          <w:lang w:val="en-GB"/>
        </w:rPr>
        <w:t>a</w:t>
      </w:r>
      <w:r w:rsidR="005740F0" w:rsidRPr="00931609">
        <w:rPr>
          <w:lang w:val="en-GB"/>
        </w:rPr>
        <w:t xml:space="preserve"> height of 3 m</w:t>
      </w:r>
      <w:r w:rsidR="009A5463" w:rsidRPr="00931609">
        <w:rPr>
          <w:lang w:val="en-GB"/>
        </w:rPr>
        <w:t xml:space="preserve"> by a mobile weather station. The prevailing wind direction was coincident with the direction of the jet (i.e., north) for the entire duration of the experiment.</w:t>
      </w:r>
      <w:r w:rsidR="005740F0" w:rsidRPr="00931609">
        <w:rPr>
          <w:lang w:val="en-GB"/>
        </w:rPr>
        <w:t xml:space="preserve"> </w:t>
      </w:r>
      <w:r w:rsidRPr="00931609">
        <w:rPr>
          <w:lang w:val="en-GB"/>
        </w:rPr>
        <w:t>It was released horizontally 1 m above the ground and ignited by a methane-</w:t>
      </w:r>
      <w:r w:rsidR="006215C9" w:rsidRPr="00931609">
        <w:rPr>
          <w:lang w:val="en-GB"/>
        </w:rPr>
        <w:t xml:space="preserve">based </w:t>
      </w:r>
      <w:r w:rsidRPr="00931609">
        <w:rPr>
          <w:lang w:val="en-GB"/>
        </w:rPr>
        <w:t>burner</w:t>
      </w:r>
      <w:r w:rsidR="006215C9" w:rsidRPr="00931609">
        <w:rPr>
          <w:lang w:val="en-GB"/>
        </w:rPr>
        <w:t xml:space="preserve"> (Figure 1, right)</w:t>
      </w:r>
      <w:r w:rsidRPr="00931609">
        <w:rPr>
          <w:lang w:val="en-GB"/>
        </w:rPr>
        <w:t>.</w:t>
      </w:r>
      <w:r w:rsidR="008869C6" w:rsidRPr="00931609">
        <w:rPr>
          <w:lang w:val="en-GB"/>
        </w:rPr>
        <w:t xml:space="preserve"> </w:t>
      </w:r>
      <w:r w:rsidR="00225AEB" w:rsidRPr="00931609">
        <w:rPr>
          <w:lang w:val="en-GB"/>
        </w:rPr>
        <w:t>Two tests were conducted, the first at the initial pressure of 450 bar and the second at the initial pressure of 2</w:t>
      </w:r>
      <w:r w:rsidR="00641B03" w:rsidRPr="00931609">
        <w:rPr>
          <w:lang w:val="en-GB"/>
        </w:rPr>
        <w:t>4</w:t>
      </w:r>
      <w:r w:rsidR="00225AEB" w:rsidRPr="00931609">
        <w:rPr>
          <w:lang w:val="en-GB"/>
        </w:rPr>
        <w:t>0 bar.</w:t>
      </w:r>
      <w:r w:rsidR="009F357E" w:rsidRPr="00931609">
        <w:rPr>
          <w:lang w:val="en-GB"/>
        </w:rPr>
        <w:t xml:space="preserve"> </w:t>
      </w:r>
      <w:r w:rsidR="00225AEB" w:rsidRPr="00931609">
        <w:rPr>
          <w:lang w:val="en-GB"/>
        </w:rPr>
        <w:t xml:space="preserve">The main </w:t>
      </w:r>
      <w:r w:rsidR="00D560A1" w:rsidRPr="00931609">
        <w:rPr>
          <w:lang w:val="en-GB"/>
        </w:rPr>
        <w:t xml:space="preserve">test conditions are </w:t>
      </w:r>
      <w:r w:rsidR="006215C9" w:rsidRPr="00931609">
        <w:rPr>
          <w:lang w:val="en-GB"/>
        </w:rPr>
        <w:t>reported</w:t>
      </w:r>
      <w:r w:rsidR="00D560A1" w:rsidRPr="00931609">
        <w:rPr>
          <w:lang w:val="en-GB"/>
        </w:rPr>
        <w:t xml:space="preserve"> in Table 1.</w:t>
      </w:r>
    </w:p>
    <w:p w14:paraId="635C1053" w14:textId="40655683" w:rsidR="00B3495B" w:rsidRPr="00931609" w:rsidRDefault="00B3495B" w:rsidP="00681719">
      <w:pPr>
        <w:pStyle w:val="CETBodytext"/>
        <w:spacing w:before="240" w:after="80"/>
        <w:rPr>
          <w:i/>
          <w:lang w:val="en-GB"/>
        </w:rPr>
      </w:pPr>
      <w:r w:rsidRPr="00931609">
        <w:rPr>
          <w:i/>
        </w:rPr>
        <w:t>Table 1: Main test conditions.</w:t>
      </w:r>
    </w:p>
    <w:tbl>
      <w:tblPr>
        <w:tblW w:w="8787" w:type="dxa"/>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709"/>
        <w:gridCol w:w="1276"/>
        <w:gridCol w:w="1308"/>
        <w:gridCol w:w="1243"/>
        <w:gridCol w:w="994"/>
        <w:gridCol w:w="1416"/>
        <w:gridCol w:w="1134"/>
        <w:gridCol w:w="707"/>
      </w:tblGrid>
      <w:tr w:rsidR="00C74217" w:rsidRPr="00931609" w14:paraId="155FB8A2" w14:textId="75007F16" w:rsidTr="00C74217">
        <w:trPr>
          <w:trHeight w:val="316"/>
          <w:jc w:val="center"/>
        </w:trPr>
        <w:tc>
          <w:tcPr>
            <w:tcW w:w="709" w:type="dxa"/>
            <w:tcBorders>
              <w:top w:val="single" w:sz="12" w:space="0" w:color="008000"/>
              <w:bottom w:val="single" w:sz="6" w:space="0" w:color="008000"/>
            </w:tcBorders>
            <w:shd w:val="clear" w:color="auto" w:fill="FFFFFF"/>
          </w:tcPr>
          <w:p w14:paraId="0CEFAA3B" w14:textId="591FE620" w:rsidR="00C74217" w:rsidRPr="00931609" w:rsidRDefault="00C74217" w:rsidP="00681719">
            <w:pPr>
              <w:pStyle w:val="CETBodytext"/>
              <w:rPr>
                <w:lang w:val="en-GB"/>
              </w:rPr>
            </w:pPr>
            <w:r w:rsidRPr="00931609">
              <w:rPr>
                <w:lang w:val="en-GB"/>
              </w:rPr>
              <w:t>Test</w:t>
            </w:r>
          </w:p>
        </w:tc>
        <w:tc>
          <w:tcPr>
            <w:tcW w:w="1276" w:type="dxa"/>
            <w:tcBorders>
              <w:top w:val="single" w:sz="12" w:space="0" w:color="008000"/>
              <w:bottom w:val="single" w:sz="6" w:space="0" w:color="008000"/>
            </w:tcBorders>
            <w:shd w:val="clear" w:color="auto" w:fill="FFFFFF"/>
          </w:tcPr>
          <w:p w14:paraId="61625992" w14:textId="5EFA8994" w:rsidR="00C74217" w:rsidRPr="00931609" w:rsidRDefault="00C74217" w:rsidP="00681719">
            <w:pPr>
              <w:pStyle w:val="CETBodytext"/>
              <w:jc w:val="center"/>
              <w:rPr>
                <w:lang w:val="en-GB"/>
              </w:rPr>
            </w:pPr>
            <w:r w:rsidRPr="00931609">
              <w:rPr>
                <w:lang w:val="en-GB"/>
              </w:rPr>
              <w:t>Orifice diameter (mm)</w:t>
            </w:r>
          </w:p>
        </w:tc>
        <w:tc>
          <w:tcPr>
            <w:tcW w:w="1308" w:type="dxa"/>
            <w:tcBorders>
              <w:top w:val="single" w:sz="12" w:space="0" w:color="008000"/>
              <w:bottom w:val="single" w:sz="6" w:space="0" w:color="008000"/>
            </w:tcBorders>
            <w:shd w:val="clear" w:color="auto" w:fill="FFFFFF"/>
          </w:tcPr>
          <w:p w14:paraId="15132277" w14:textId="5AA5010E" w:rsidR="00C74217" w:rsidRPr="00931609" w:rsidRDefault="00C74217" w:rsidP="00681719">
            <w:pPr>
              <w:pStyle w:val="CETBodytext"/>
              <w:jc w:val="center"/>
              <w:rPr>
                <w:lang w:val="en-GB"/>
              </w:rPr>
            </w:pPr>
            <w:r w:rsidRPr="00931609">
              <w:rPr>
                <w:lang w:val="en-GB"/>
              </w:rPr>
              <w:t>Initial reservoir pressure (bar)</w:t>
            </w:r>
          </w:p>
        </w:tc>
        <w:tc>
          <w:tcPr>
            <w:tcW w:w="1243" w:type="dxa"/>
            <w:tcBorders>
              <w:top w:val="single" w:sz="12" w:space="0" w:color="008000"/>
              <w:bottom w:val="single" w:sz="6" w:space="0" w:color="008000"/>
            </w:tcBorders>
            <w:shd w:val="clear" w:color="auto" w:fill="FFFFFF"/>
          </w:tcPr>
          <w:p w14:paraId="1A1DDC57" w14:textId="4282CA5B" w:rsidR="00C74217" w:rsidRPr="00931609" w:rsidRDefault="00C74217" w:rsidP="00681719">
            <w:pPr>
              <w:pStyle w:val="CETBodytext"/>
              <w:ind w:right="-1"/>
              <w:jc w:val="center"/>
              <w:rPr>
                <w:rFonts w:cs="Arial"/>
                <w:szCs w:val="18"/>
                <w:lang w:val="en-GB"/>
              </w:rPr>
            </w:pPr>
            <w:r w:rsidRPr="00931609">
              <w:rPr>
                <w:lang w:val="en-GB"/>
              </w:rPr>
              <w:t>Final reservoir pressure (bar)</w:t>
            </w:r>
          </w:p>
        </w:tc>
        <w:tc>
          <w:tcPr>
            <w:tcW w:w="994" w:type="dxa"/>
            <w:tcBorders>
              <w:top w:val="single" w:sz="12" w:space="0" w:color="008000"/>
              <w:bottom w:val="single" w:sz="6" w:space="0" w:color="008000"/>
            </w:tcBorders>
            <w:shd w:val="clear" w:color="auto" w:fill="FFFFFF"/>
          </w:tcPr>
          <w:p w14:paraId="069AB66C" w14:textId="7E5B9441" w:rsidR="00C74217" w:rsidRPr="00931609" w:rsidRDefault="00C74217" w:rsidP="00681719">
            <w:pPr>
              <w:pStyle w:val="CETBodytext"/>
              <w:ind w:right="-1"/>
              <w:jc w:val="center"/>
              <w:rPr>
                <w:rFonts w:cs="Arial"/>
                <w:szCs w:val="18"/>
                <w:lang w:val="en-GB"/>
              </w:rPr>
            </w:pPr>
            <w:r w:rsidRPr="00931609">
              <w:rPr>
                <w:lang w:val="en-GB"/>
              </w:rPr>
              <w:t>Release duration (s)</w:t>
            </w:r>
          </w:p>
        </w:tc>
        <w:tc>
          <w:tcPr>
            <w:tcW w:w="1416" w:type="dxa"/>
            <w:tcBorders>
              <w:top w:val="single" w:sz="12" w:space="0" w:color="008000"/>
              <w:bottom w:val="single" w:sz="6" w:space="0" w:color="008000"/>
            </w:tcBorders>
            <w:shd w:val="clear" w:color="auto" w:fill="FFFFFF"/>
          </w:tcPr>
          <w:p w14:paraId="78550547" w14:textId="3FDB9D8F" w:rsidR="00C74217" w:rsidRPr="00931609" w:rsidRDefault="00C74217" w:rsidP="00681719">
            <w:pPr>
              <w:pStyle w:val="CETBodytext"/>
              <w:ind w:right="-1"/>
              <w:jc w:val="center"/>
              <w:rPr>
                <w:lang w:val="en-GB"/>
              </w:rPr>
            </w:pPr>
            <w:r w:rsidRPr="00931609">
              <w:rPr>
                <w:lang w:val="en-GB"/>
              </w:rPr>
              <w:t>Ambient temperature (°C)</w:t>
            </w:r>
          </w:p>
        </w:tc>
        <w:tc>
          <w:tcPr>
            <w:tcW w:w="1134" w:type="dxa"/>
            <w:tcBorders>
              <w:top w:val="single" w:sz="12" w:space="0" w:color="008000"/>
              <w:bottom w:val="single" w:sz="6" w:space="0" w:color="008000"/>
            </w:tcBorders>
            <w:shd w:val="clear" w:color="auto" w:fill="FFFFFF"/>
          </w:tcPr>
          <w:p w14:paraId="70B86FE6" w14:textId="47301A41" w:rsidR="00C74217" w:rsidRPr="00931609" w:rsidRDefault="00C74217" w:rsidP="00681719">
            <w:pPr>
              <w:pStyle w:val="CETBodytext"/>
              <w:ind w:right="-1"/>
              <w:jc w:val="center"/>
              <w:rPr>
                <w:lang w:val="en-GB"/>
              </w:rPr>
            </w:pPr>
            <w:r w:rsidRPr="00931609">
              <w:rPr>
                <w:lang w:val="en-GB"/>
              </w:rPr>
              <w:t>Wind velocity (m/s)</w:t>
            </w:r>
          </w:p>
        </w:tc>
        <w:tc>
          <w:tcPr>
            <w:tcW w:w="707" w:type="dxa"/>
            <w:tcBorders>
              <w:top w:val="single" w:sz="12" w:space="0" w:color="008000"/>
              <w:bottom w:val="single" w:sz="6" w:space="0" w:color="008000"/>
            </w:tcBorders>
            <w:shd w:val="clear" w:color="auto" w:fill="FFFFFF"/>
          </w:tcPr>
          <w:p w14:paraId="2F18757D" w14:textId="7C399952" w:rsidR="00C74217" w:rsidRPr="00931609" w:rsidRDefault="00C74217" w:rsidP="00681719">
            <w:pPr>
              <w:pStyle w:val="CETBodytext"/>
              <w:ind w:right="-1"/>
              <w:jc w:val="center"/>
              <w:rPr>
                <w:lang w:val="en-GB"/>
              </w:rPr>
            </w:pPr>
            <w:r w:rsidRPr="00931609">
              <w:rPr>
                <w:lang w:val="en-GB"/>
              </w:rPr>
              <w:t>Wind direction</w:t>
            </w:r>
          </w:p>
        </w:tc>
      </w:tr>
      <w:tr w:rsidR="00C74217" w:rsidRPr="00931609" w14:paraId="196F5814" w14:textId="5860180C" w:rsidTr="00C74217">
        <w:trPr>
          <w:trHeight w:val="316"/>
          <w:jc w:val="center"/>
        </w:trPr>
        <w:tc>
          <w:tcPr>
            <w:tcW w:w="709" w:type="dxa"/>
            <w:shd w:val="clear" w:color="auto" w:fill="FFFFFF"/>
          </w:tcPr>
          <w:p w14:paraId="143AD0D5" w14:textId="640303FE" w:rsidR="00C74217" w:rsidRPr="00931609" w:rsidRDefault="00C74217" w:rsidP="00681719">
            <w:pPr>
              <w:pStyle w:val="CETBodytext"/>
              <w:rPr>
                <w:lang w:val="en-GB"/>
              </w:rPr>
            </w:pPr>
            <w:r w:rsidRPr="00931609">
              <w:rPr>
                <w:lang w:val="en-GB"/>
              </w:rPr>
              <w:t>Test 1</w:t>
            </w:r>
          </w:p>
        </w:tc>
        <w:tc>
          <w:tcPr>
            <w:tcW w:w="1276" w:type="dxa"/>
            <w:shd w:val="clear" w:color="auto" w:fill="FFFFFF"/>
            <w:vAlign w:val="center"/>
          </w:tcPr>
          <w:p w14:paraId="2F6A34C6" w14:textId="099C195B" w:rsidR="00C74217" w:rsidRPr="00931609" w:rsidRDefault="00C74217" w:rsidP="00681719">
            <w:pPr>
              <w:pStyle w:val="CETBodytext"/>
              <w:jc w:val="center"/>
              <w:rPr>
                <w:lang w:val="en-GB"/>
              </w:rPr>
            </w:pPr>
            <w:r w:rsidRPr="00931609">
              <w:rPr>
                <w:lang w:val="en-GB"/>
              </w:rPr>
              <w:t>3</w:t>
            </w:r>
          </w:p>
        </w:tc>
        <w:tc>
          <w:tcPr>
            <w:tcW w:w="1308" w:type="dxa"/>
            <w:shd w:val="clear" w:color="auto" w:fill="FFFFFF"/>
            <w:vAlign w:val="center"/>
          </w:tcPr>
          <w:p w14:paraId="18776F04" w14:textId="32EBEA2E" w:rsidR="00C74217" w:rsidRPr="00931609" w:rsidRDefault="00C74217" w:rsidP="00681719">
            <w:pPr>
              <w:pStyle w:val="CETBodytext"/>
              <w:jc w:val="center"/>
              <w:rPr>
                <w:lang w:val="en-GB"/>
              </w:rPr>
            </w:pPr>
            <w:r w:rsidRPr="00931609">
              <w:rPr>
                <w:lang w:val="en-GB"/>
              </w:rPr>
              <w:t>450</w:t>
            </w:r>
          </w:p>
        </w:tc>
        <w:tc>
          <w:tcPr>
            <w:tcW w:w="1243" w:type="dxa"/>
            <w:shd w:val="clear" w:color="auto" w:fill="FFFFFF"/>
            <w:vAlign w:val="center"/>
          </w:tcPr>
          <w:p w14:paraId="38EAB330" w14:textId="34C76B00" w:rsidR="00C74217" w:rsidRPr="00931609" w:rsidRDefault="00C74217" w:rsidP="00681719">
            <w:pPr>
              <w:pStyle w:val="CETBodytext"/>
              <w:ind w:right="-1"/>
              <w:jc w:val="center"/>
              <w:rPr>
                <w:rFonts w:cs="Arial"/>
                <w:szCs w:val="18"/>
                <w:lang w:val="en-GB"/>
              </w:rPr>
            </w:pPr>
            <w:r w:rsidRPr="00931609">
              <w:rPr>
                <w:lang w:val="en-GB"/>
              </w:rPr>
              <w:t>380</w:t>
            </w:r>
          </w:p>
        </w:tc>
        <w:tc>
          <w:tcPr>
            <w:tcW w:w="994" w:type="dxa"/>
            <w:shd w:val="clear" w:color="auto" w:fill="FFFFFF"/>
            <w:vAlign w:val="center"/>
          </w:tcPr>
          <w:p w14:paraId="1EE8FDE6" w14:textId="0160CA12" w:rsidR="00C74217" w:rsidRPr="00931609" w:rsidRDefault="00164AF0" w:rsidP="00681719">
            <w:pPr>
              <w:pStyle w:val="CETBodytext"/>
              <w:ind w:right="-1"/>
              <w:jc w:val="center"/>
              <w:rPr>
                <w:rFonts w:cs="Arial"/>
                <w:szCs w:val="18"/>
                <w:lang w:val="en-GB"/>
              </w:rPr>
            </w:pPr>
            <w:r w:rsidRPr="00931609">
              <w:rPr>
                <w:lang w:val="en-GB"/>
              </w:rPr>
              <w:t>1</w:t>
            </w:r>
            <w:r w:rsidR="00C74217" w:rsidRPr="00931609">
              <w:rPr>
                <w:lang w:val="en-GB"/>
              </w:rPr>
              <w:t>5</w:t>
            </w:r>
          </w:p>
        </w:tc>
        <w:tc>
          <w:tcPr>
            <w:tcW w:w="1416" w:type="dxa"/>
            <w:shd w:val="clear" w:color="auto" w:fill="FFFFFF"/>
            <w:vAlign w:val="center"/>
          </w:tcPr>
          <w:p w14:paraId="6B6122A4" w14:textId="1B200162" w:rsidR="00C74217" w:rsidRPr="00931609" w:rsidRDefault="00C74217" w:rsidP="00681719">
            <w:pPr>
              <w:pStyle w:val="CETBodytext"/>
              <w:ind w:right="-1"/>
              <w:jc w:val="center"/>
              <w:rPr>
                <w:lang w:val="en-GB"/>
              </w:rPr>
            </w:pPr>
            <w:r w:rsidRPr="00931609">
              <w:rPr>
                <w:lang w:val="en-GB"/>
              </w:rPr>
              <w:t>15</w:t>
            </w:r>
          </w:p>
        </w:tc>
        <w:tc>
          <w:tcPr>
            <w:tcW w:w="1134" w:type="dxa"/>
            <w:shd w:val="clear" w:color="auto" w:fill="FFFFFF"/>
            <w:vAlign w:val="center"/>
          </w:tcPr>
          <w:p w14:paraId="087ACF5D" w14:textId="191E45C6" w:rsidR="00C74217" w:rsidRPr="00931609" w:rsidRDefault="00C74217" w:rsidP="00681719">
            <w:pPr>
              <w:pStyle w:val="CETBodytext"/>
              <w:ind w:right="-1"/>
              <w:jc w:val="center"/>
              <w:rPr>
                <w:lang w:val="en-GB"/>
              </w:rPr>
            </w:pPr>
            <w:r w:rsidRPr="00931609">
              <w:rPr>
                <w:lang w:val="en-GB"/>
              </w:rPr>
              <w:t>2</w:t>
            </w:r>
          </w:p>
        </w:tc>
        <w:tc>
          <w:tcPr>
            <w:tcW w:w="707" w:type="dxa"/>
            <w:shd w:val="clear" w:color="auto" w:fill="FFFFFF"/>
          </w:tcPr>
          <w:p w14:paraId="798763D1" w14:textId="4658E2D9" w:rsidR="00C74217" w:rsidRPr="00931609" w:rsidRDefault="009A5463" w:rsidP="00681719">
            <w:pPr>
              <w:pStyle w:val="CETBodytext"/>
              <w:ind w:right="-1"/>
              <w:jc w:val="center"/>
              <w:rPr>
                <w:lang w:val="en-GB"/>
              </w:rPr>
            </w:pPr>
            <w:r w:rsidRPr="00931609">
              <w:rPr>
                <w:lang w:val="en-GB"/>
              </w:rPr>
              <w:t>North</w:t>
            </w:r>
          </w:p>
        </w:tc>
      </w:tr>
      <w:tr w:rsidR="00C74217" w:rsidRPr="00931609" w14:paraId="5323920E" w14:textId="5A0D3280" w:rsidTr="00681719">
        <w:trPr>
          <w:trHeight w:val="114"/>
          <w:jc w:val="center"/>
        </w:trPr>
        <w:tc>
          <w:tcPr>
            <w:tcW w:w="709" w:type="dxa"/>
            <w:shd w:val="clear" w:color="auto" w:fill="FFFFFF"/>
          </w:tcPr>
          <w:p w14:paraId="5F92A75E" w14:textId="442C52A8" w:rsidR="00C74217" w:rsidRPr="00931609" w:rsidRDefault="00C74217" w:rsidP="00681719">
            <w:pPr>
              <w:pStyle w:val="CETBodytext"/>
              <w:ind w:right="-1"/>
              <w:rPr>
                <w:rFonts w:cs="Arial"/>
                <w:szCs w:val="18"/>
                <w:lang w:val="en-GB"/>
              </w:rPr>
            </w:pPr>
            <w:r w:rsidRPr="00931609">
              <w:rPr>
                <w:lang w:val="en-GB"/>
              </w:rPr>
              <w:t>Test 2</w:t>
            </w:r>
          </w:p>
        </w:tc>
        <w:tc>
          <w:tcPr>
            <w:tcW w:w="1276" w:type="dxa"/>
            <w:shd w:val="clear" w:color="auto" w:fill="FFFFFF"/>
            <w:vAlign w:val="center"/>
          </w:tcPr>
          <w:p w14:paraId="182BB285" w14:textId="173CE6CB" w:rsidR="00C74217" w:rsidRPr="00931609" w:rsidRDefault="00C74217" w:rsidP="00681719">
            <w:pPr>
              <w:pStyle w:val="CETBodytext"/>
              <w:ind w:right="-1"/>
              <w:jc w:val="center"/>
              <w:rPr>
                <w:rFonts w:cs="Arial"/>
                <w:szCs w:val="18"/>
                <w:lang w:val="en-GB"/>
              </w:rPr>
            </w:pPr>
            <w:r w:rsidRPr="00931609">
              <w:rPr>
                <w:lang w:val="en-GB"/>
              </w:rPr>
              <w:t>3</w:t>
            </w:r>
          </w:p>
        </w:tc>
        <w:tc>
          <w:tcPr>
            <w:tcW w:w="1308" w:type="dxa"/>
            <w:shd w:val="clear" w:color="auto" w:fill="FFFFFF"/>
            <w:vAlign w:val="center"/>
          </w:tcPr>
          <w:p w14:paraId="5F6C44F9" w14:textId="2E1FF69D" w:rsidR="00C74217" w:rsidRPr="00931609" w:rsidRDefault="00C74217" w:rsidP="00681719">
            <w:pPr>
              <w:pStyle w:val="CETBodytext"/>
              <w:ind w:right="-1"/>
              <w:jc w:val="center"/>
              <w:rPr>
                <w:rFonts w:cs="Arial"/>
                <w:szCs w:val="18"/>
                <w:lang w:val="en-GB"/>
              </w:rPr>
            </w:pPr>
            <w:r w:rsidRPr="00931609">
              <w:rPr>
                <w:lang w:val="en-GB"/>
              </w:rPr>
              <w:t>2</w:t>
            </w:r>
            <w:r w:rsidR="00C31771" w:rsidRPr="00931609">
              <w:rPr>
                <w:lang w:val="en-GB"/>
              </w:rPr>
              <w:t>4</w:t>
            </w:r>
            <w:r w:rsidRPr="00931609">
              <w:rPr>
                <w:lang w:val="en-GB"/>
              </w:rPr>
              <w:t>0</w:t>
            </w:r>
          </w:p>
        </w:tc>
        <w:tc>
          <w:tcPr>
            <w:tcW w:w="1243" w:type="dxa"/>
            <w:shd w:val="clear" w:color="auto" w:fill="FFFFFF"/>
            <w:vAlign w:val="center"/>
          </w:tcPr>
          <w:p w14:paraId="579EE82F" w14:textId="37080CCC" w:rsidR="00C74217" w:rsidRPr="00931609" w:rsidRDefault="00C74217" w:rsidP="00681719">
            <w:pPr>
              <w:pStyle w:val="CETBodytext"/>
              <w:ind w:right="-1"/>
              <w:jc w:val="center"/>
              <w:rPr>
                <w:rFonts w:cs="Arial"/>
                <w:szCs w:val="18"/>
                <w:lang w:val="en-GB"/>
              </w:rPr>
            </w:pPr>
            <w:r w:rsidRPr="00931609">
              <w:rPr>
                <w:lang w:val="en-GB"/>
              </w:rPr>
              <w:t>2</w:t>
            </w:r>
            <w:r w:rsidR="00C31771" w:rsidRPr="00931609">
              <w:rPr>
                <w:lang w:val="en-GB"/>
              </w:rPr>
              <w:t>2</w:t>
            </w:r>
            <w:r w:rsidRPr="00931609">
              <w:rPr>
                <w:lang w:val="en-GB"/>
              </w:rPr>
              <w:t>0</w:t>
            </w:r>
          </w:p>
        </w:tc>
        <w:tc>
          <w:tcPr>
            <w:tcW w:w="994" w:type="dxa"/>
            <w:shd w:val="clear" w:color="auto" w:fill="FFFFFF"/>
            <w:vAlign w:val="center"/>
          </w:tcPr>
          <w:p w14:paraId="063E4A37" w14:textId="0F3167B0" w:rsidR="00C74217" w:rsidRPr="00931609" w:rsidRDefault="00BC7857" w:rsidP="00681719">
            <w:pPr>
              <w:pStyle w:val="CETBodytext"/>
              <w:ind w:right="-1"/>
              <w:jc w:val="center"/>
              <w:rPr>
                <w:rFonts w:cs="Arial"/>
                <w:szCs w:val="18"/>
                <w:lang w:val="en-GB"/>
              </w:rPr>
            </w:pPr>
            <w:r w:rsidRPr="00931609">
              <w:rPr>
                <w:lang w:val="en-GB"/>
              </w:rPr>
              <w:t>15</w:t>
            </w:r>
          </w:p>
        </w:tc>
        <w:tc>
          <w:tcPr>
            <w:tcW w:w="1416" w:type="dxa"/>
            <w:shd w:val="clear" w:color="auto" w:fill="FFFFFF"/>
            <w:vAlign w:val="center"/>
          </w:tcPr>
          <w:p w14:paraId="1EB1CC1E" w14:textId="5F196E47" w:rsidR="00C74217" w:rsidRPr="00931609" w:rsidRDefault="00C74217" w:rsidP="00681719">
            <w:pPr>
              <w:pStyle w:val="CETBodytext"/>
              <w:ind w:right="-1"/>
              <w:jc w:val="center"/>
              <w:rPr>
                <w:lang w:val="en-GB"/>
              </w:rPr>
            </w:pPr>
            <w:r w:rsidRPr="00931609">
              <w:rPr>
                <w:lang w:val="en-GB"/>
              </w:rPr>
              <w:t>18</w:t>
            </w:r>
          </w:p>
        </w:tc>
        <w:tc>
          <w:tcPr>
            <w:tcW w:w="1134" w:type="dxa"/>
            <w:shd w:val="clear" w:color="auto" w:fill="FFFFFF"/>
            <w:vAlign w:val="center"/>
          </w:tcPr>
          <w:p w14:paraId="25F04DDA" w14:textId="0A8585F8" w:rsidR="00C74217" w:rsidRPr="00931609" w:rsidRDefault="00345045" w:rsidP="00681719">
            <w:pPr>
              <w:pStyle w:val="CETBodytext"/>
              <w:ind w:right="-1"/>
              <w:jc w:val="center"/>
              <w:rPr>
                <w:lang w:val="en-GB"/>
              </w:rPr>
            </w:pPr>
            <w:r w:rsidRPr="00931609">
              <w:rPr>
                <w:lang w:val="en-GB"/>
              </w:rPr>
              <w:t>1</w:t>
            </w:r>
          </w:p>
        </w:tc>
        <w:tc>
          <w:tcPr>
            <w:tcW w:w="707" w:type="dxa"/>
            <w:shd w:val="clear" w:color="auto" w:fill="FFFFFF"/>
          </w:tcPr>
          <w:p w14:paraId="47572FCB" w14:textId="3710C57B" w:rsidR="00C74217" w:rsidRPr="00931609" w:rsidRDefault="00FA4175" w:rsidP="00681719">
            <w:pPr>
              <w:pStyle w:val="CETBodytext"/>
              <w:ind w:right="-1"/>
              <w:jc w:val="center"/>
              <w:rPr>
                <w:lang w:val="en-GB"/>
              </w:rPr>
            </w:pPr>
            <w:r w:rsidRPr="00931609">
              <w:rPr>
                <w:lang w:val="en-GB"/>
              </w:rPr>
              <w:t>N</w:t>
            </w:r>
            <w:r w:rsidR="009A5463" w:rsidRPr="00931609">
              <w:rPr>
                <w:lang w:val="en-GB"/>
              </w:rPr>
              <w:t>orth</w:t>
            </w:r>
          </w:p>
        </w:tc>
      </w:tr>
    </w:tbl>
    <w:p w14:paraId="268EA1B1" w14:textId="77777777" w:rsidR="00924334" w:rsidRPr="00931609" w:rsidRDefault="00CD046B" w:rsidP="00681719">
      <w:pPr>
        <w:pStyle w:val="CETBodytext"/>
        <w:spacing w:before="240"/>
        <w:rPr>
          <w:lang w:val="en-GB"/>
        </w:rPr>
      </w:pPr>
      <w:r w:rsidRPr="00931609">
        <w:rPr>
          <w:noProof/>
          <w:lang w:val="it-IT" w:eastAsia="it-IT"/>
        </w:rPr>
        <w:drawing>
          <wp:inline distT="0" distB="0" distL="0" distR="0" wp14:anchorId="73A2924D" wp14:editId="0FA413B2">
            <wp:extent cx="2751771" cy="2063750"/>
            <wp:effectExtent l="0" t="0" r="3810" b="8255"/>
            <wp:docPr id="7" name="Immagin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915.JPG"/>
                    <pic:cNvPicPr/>
                  </pic:nvPicPr>
                  <pic:blipFill>
                    <a:blip r:embed="rId14"/>
                    <a:stretch>
                      <a:fillRect/>
                    </a:stretch>
                  </pic:blipFill>
                  <pic:spPr>
                    <a:xfrm>
                      <a:off x="0" y="0"/>
                      <a:ext cx="2751771" cy="2063750"/>
                    </a:xfrm>
                    <a:prstGeom prst="rect">
                      <a:avLst/>
                    </a:prstGeom>
                  </pic:spPr>
                </pic:pic>
              </a:graphicData>
            </a:graphic>
          </wp:inline>
        </w:drawing>
      </w:r>
      <w:r w:rsidR="009661CA" w:rsidRPr="00931609">
        <w:rPr>
          <w:lang w:val="en-GB"/>
        </w:rPr>
        <w:t xml:space="preserve"> </w:t>
      </w:r>
      <w:r w:rsidR="006215C9" w:rsidRPr="00931609">
        <w:rPr>
          <w:noProof/>
          <w:lang w:val="it-IT" w:eastAsia="it-IT"/>
        </w:rPr>
        <w:drawing>
          <wp:inline distT="0" distB="0" distL="0" distR="0" wp14:anchorId="7FA367FD" wp14:editId="677A01BF">
            <wp:extent cx="2583695" cy="2057400"/>
            <wp:effectExtent l="0" t="0" r="7620" b="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3695" cy="2057400"/>
                    </a:xfrm>
                    <a:prstGeom prst="rect">
                      <a:avLst/>
                    </a:prstGeom>
                    <a:noFill/>
                  </pic:spPr>
                </pic:pic>
              </a:graphicData>
            </a:graphic>
          </wp:inline>
        </w:drawing>
      </w:r>
    </w:p>
    <w:p w14:paraId="76085716" w14:textId="46C2499B" w:rsidR="00CD046B" w:rsidRPr="00931609" w:rsidRDefault="00CD046B" w:rsidP="00681719">
      <w:pPr>
        <w:pStyle w:val="CETCaption"/>
      </w:pPr>
      <w:r w:rsidRPr="00931609">
        <w:t>Figure 1: Storage facility (left) and hydrogen release line and methane-air burner (right).</w:t>
      </w:r>
    </w:p>
    <w:p w14:paraId="1F855251" w14:textId="3ABECB06" w:rsidR="00CD046B" w:rsidRPr="00931609" w:rsidRDefault="00CD046B" w:rsidP="00681719">
      <w:pPr>
        <w:pStyle w:val="CETBodytext"/>
      </w:pPr>
      <w:r w:rsidRPr="00931609">
        <w:t xml:space="preserve">The temperature field was measured with an arrangement of sixteen type-K thermocouples </w:t>
      </w:r>
      <w:r w:rsidR="009A5463" w:rsidRPr="00931609">
        <w:t>characterized by a wide range of temperatures detectable,</w:t>
      </w:r>
      <w:r w:rsidRPr="00931609">
        <w:t xml:space="preserve"> an accuracy of </w:t>
      </w:r>
      <m:oMath>
        <m:r>
          <w:rPr>
            <w:rFonts w:ascii="Cambria Math" w:hAnsi="Cambria Math"/>
          </w:rPr>
          <m:t>±</m:t>
        </m:r>
      </m:oMath>
      <w:r w:rsidRPr="00931609">
        <w:t xml:space="preserve"> 2.5 K</w:t>
      </w:r>
      <w:r w:rsidR="009B78D2" w:rsidRPr="00931609">
        <w:t xml:space="preserve"> and</w:t>
      </w:r>
      <w:r w:rsidR="009A5463" w:rsidRPr="00931609">
        <w:t>,</w:t>
      </w:r>
      <w:r w:rsidR="009B78D2" w:rsidRPr="00931609">
        <w:t xml:space="preserve"> a data acquisition rate of 30 samples per second</w:t>
      </w:r>
      <w:r w:rsidR="009A5463" w:rsidRPr="00931609">
        <w:t>. The position of each thermocouple is</w:t>
      </w:r>
      <w:r w:rsidR="006215C9" w:rsidRPr="00931609">
        <w:t xml:space="preserve"> reported in </w:t>
      </w:r>
      <w:r w:rsidRPr="00931609">
        <w:t>Fig</w:t>
      </w:r>
      <w:r w:rsidR="006215C9" w:rsidRPr="00931609">
        <w:t xml:space="preserve">ure </w:t>
      </w:r>
      <w:r w:rsidRPr="00931609">
        <w:t>2</w:t>
      </w:r>
      <w:r w:rsidR="000E0BD9" w:rsidRPr="00931609">
        <w:t>.</w:t>
      </w:r>
    </w:p>
    <w:p w14:paraId="4A379C61" w14:textId="77777777" w:rsidR="00924334" w:rsidRPr="00931609" w:rsidRDefault="00B80C0D" w:rsidP="00681719">
      <w:pPr>
        <w:pStyle w:val="CETBodytext"/>
        <w:spacing w:before="120" w:after="240"/>
      </w:pPr>
      <w:r w:rsidRPr="00931609">
        <w:rPr>
          <w:noProof/>
          <w:lang w:val="it-IT" w:eastAsia="it-IT"/>
        </w:rPr>
        <w:drawing>
          <wp:inline distT="0" distB="0" distL="0" distR="0" wp14:anchorId="51A4CF14" wp14:editId="6BB2CB22">
            <wp:extent cx="4495800" cy="1779490"/>
            <wp:effectExtent l="0" t="0" r="0" b="0"/>
            <wp:docPr id="11" name="Immagin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5959" t="12810" r="-1"/>
                    <a:stretch/>
                  </pic:blipFill>
                  <pic:spPr bwMode="auto">
                    <a:xfrm>
                      <a:off x="0" y="0"/>
                      <a:ext cx="4580639" cy="1813070"/>
                    </a:xfrm>
                    <a:prstGeom prst="rect">
                      <a:avLst/>
                    </a:prstGeom>
                    <a:noFill/>
                    <a:ln>
                      <a:noFill/>
                    </a:ln>
                    <a:extLst>
                      <a:ext uri="{53640926-AAD7-44D8-BBD7-CCE9431645EC}">
                        <a14:shadowObscured xmlns:a14="http://schemas.microsoft.com/office/drawing/2010/main"/>
                      </a:ext>
                    </a:extLst>
                  </pic:spPr>
                </pic:pic>
              </a:graphicData>
            </a:graphic>
          </wp:inline>
        </w:drawing>
      </w:r>
    </w:p>
    <w:p w14:paraId="25B46750" w14:textId="3A96E763" w:rsidR="00CD046B" w:rsidRPr="00681719" w:rsidRDefault="00CD046B" w:rsidP="00681719">
      <w:pPr>
        <w:pStyle w:val="CETBodytext"/>
        <w:spacing w:before="240" w:after="240"/>
        <w:rPr>
          <w:i/>
          <w:lang w:val="en-GB"/>
        </w:rPr>
      </w:pPr>
      <w:r w:rsidRPr="00681719">
        <w:rPr>
          <w:i/>
        </w:rPr>
        <w:t>Figure 2: Arrangement of the sixteen type-K thermocouples</w:t>
      </w:r>
      <w:r w:rsidR="00872E99" w:rsidRPr="00681719">
        <w:rPr>
          <w:i/>
        </w:rPr>
        <w:t>.</w:t>
      </w:r>
    </w:p>
    <w:p w14:paraId="3B1AAE1E" w14:textId="11D8BF17" w:rsidR="00CD046B" w:rsidRPr="00931609" w:rsidRDefault="002D5D5B" w:rsidP="00681719">
      <w:pPr>
        <w:pStyle w:val="CETBodytext"/>
        <w:rPr>
          <w:lang w:val="en-GB"/>
        </w:rPr>
      </w:pPr>
      <w:r w:rsidRPr="00931609">
        <w:rPr>
          <w:lang w:val="en-GB"/>
        </w:rPr>
        <w:lastRenderedPageBreak/>
        <w:t xml:space="preserve">Visible and infrared (IR) digital images of the flame were recorded to characterize the flame structure. </w:t>
      </w:r>
      <w:r w:rsidR="009B78D2" w:rsidRPr="00931609">
        <w:rPr>
          <w:lang w:val="en-GB"/>
        </w:rPr>
        <w:t>They were obtained using a FLIR T1010 thermal imaging camera</w:t>
      </w:r>
      <w:r w:rsidR="00CE5AF2" w:rsidRPr="00931609">
        <w:rPr>
          <w:lang w:val="en-GB"/>
        </w:rPr>
        <w:t>,</w:t>
      </w:r>
      <w:r w:rsidR="009B78D2" w:rsidRPr="00931609">
        <w:rPr>
          <w:lang w:val="en-GB"/>
        </w:rPr>
        <w:t xml:space="preserve"> and the images were stored at 30 Hz video frame rate.</w:t>
      </w:r>
      <w:r w:rsidR="00CE5AF2" w:rsidRPr="00931609">
        <w:rPr>
          <w:lang w:val="en-GB"/>
        </w:rPr>
        <w:t xml:space="preserve"> </w:t>
      </w:r>
      <w:r w:rsidRPr="00931609">
        <w:rPr>
          <w:lang w:val="en-GB"/>
        </w:rPr>
        <w:t>The IR images are useful to identify high temperatures regions of the flame since IR emission results primarily from vibrationally excited H</w:t>
      </w:r>
      <w:r w:rsidRPr="00931609">
        <w:rPr>
          <w:vertAlign w:val="subscript"/>
          <w:lang w:val="en-GB"/>
        </w:rPr>
        <w:t>2</w:t>
      </w:r>
      <w:r w:rsidRPr="00931609">
        <w:rPr>
          <w:lang w:val="en-GB"/>
        </w:rPr>
        <w:t>O molecules emitted in high-temperature combustion processes as products</w:t>
      </w:r>
      <w:r w:rsidR="005D7C17" w:rsidRPr="00931609">
        <w:rPr>
          <w:lang w:val="en-GB"/>
        </w:rPr>
        <w:t xml:space="preserve"> (</w:t>
      </w:r>
      <w:proofErr w:type="spellStart"/>
      <w:r w:rsidR="005D7C17" w:rsidRPr="00931609">
        <w:rPr>
          <w:lang w:val="en-GB"/>
        </w:rPr>
        <w:t>Schefer</w:t>
      </w:r>
      <w:proofErr w:type="spellEnd"/>
      <w:r w:rsidR="005D7C17" w:rsidRPr="00931609">
        <w:rPr>
          <w:lang w:val="en-GB"/>
        </w:rPr>
        <w:t xml:space="preserve"> et al., 2006)</w:t>
      </w:r>
      <w:r w:rsidRPr="00931609">
        <w:rPr>
          <w:lang w:val="en-GB"/>
        </w:rPr>
        <w:t>.</w:t>
      </w:r>
      <w:r w:rsidR="009661CA" w:rsidRPr="00931609">
        <w:rPr>
          <w:lang w:val="en-GB"/>
        </w:rPr>
        <w:t xml:space="preserve"> These aspects will be </w:t>
      </w:r>
      <w:proofErr w:type="spellStart"/>
      <w:r w:rsidR="009661CA" w:rsidRPr="00931609">
        <w:rPr>
          <w:lang w:val="en-GB"/>
        </w:rPr>
        <w:t>analy</w:t>
      </w:r>
      <w:r w:rsidR="00EA6A45" w:rsidRPr="00931609">
        <w:rPr>
          <w:lang w:val="en-GB"/>
        </w:rPr>
        <w:t>z</w:t>
      </w:r>
      <w:r w:rsidR="009661CA" w:rsidRPr="00931609">
        <w:rPr>
          <w:lang w:val="en-GB"/>
        </w:rPr>
        <w:t>ed</w:t>
      </w:r>
      <w:proofErr w:type="spellEnd"/>
      <w:r w:rsidR="009661CA" w:rsidRPr="00931609">
        <w:rPr>
          <w:lang w:val="en-GB"/>
        </w:rPr>
        <w:t xml:space="preserve"> in future works</w:t>
      </w:r>
      <w:r w:rsidR="001A69BC" w:rsidRPr="00931609">
        <w:rPr>
          <w:lang w:val="en-GB"/>
        </w:rPr>
        <w:t>.</w:t>
      </w:r>
    </w:p>
    <w:p w14:paraId="4F8329A2" w14:textId="1DCBD55B" w:rsidR="008869C6" w:rsidRPr="00931609" w:rsidRDefault="008869C6" w:rsidP="00681719">
      <w:pPr>
        <w:pStyle w:val="CETHeading1"/>
        <w:spacing w:line="264" w:lineRule="auto"/>
        <w:rPr>
          <w:lang w:val="en-GB"/>
        </w:rPr>
      </w:pPr>
      <w:r w:rsidRPr="00931609">
        <w:rPr>
          <w:lang w:val="en-GB"/>
        </w:rPr>
        <w:t>Results and discussions</w:t>
      </w:r>
    </w:p>
    <w:p w14:paraId="53F53D81" w14:textId="4BD03E78" w:rsidR="00BD2557" w:rsidRPr="00931609" w:rsidRDefault="00E53F3C" w:rsidP="00681719">
      <w:pPr>
        <w:pStyle w:val="CETBodytext"/>
        <w:rPr>
          <w:lang w:val="en-GB"/>
        </w:rPr>
      </w:pPr>
      <w:r w:rsidRPr="00931609">
        <w:rPr>
          <w:lang w:val="en-GB"/>
        </w:rPr>
        <w:t xml:space="preserve">Figure 3 </w:t>
      </w:r>
      <w:r w:rsidR="009661CA" w:rsidRPr="00931609">
        <w:rPr>
          <w:lang w:val="en-GB"/>
        </w:rPr>
        <w:t>shows</w:t>
      </w:r>
      <w:r w:rsidRPr="00931609">
        <w:rPr>
          <w:lang w:val="en-GB"/>
        </w:rPr>
        <w:t xml:space="preserve"> the temperatures registered by the thermocouple</w:t>
      </w:r>
      <w:r w:rsidR="001E2BAE" w:rsidRPr="00931609">
        <w:rPr>
          <w:lang w:val="en-GB"/>
        </w:rPr>
        <w:t>s</w:t>
      </w:r>
      <w:r w:rsidRPr="00931609">
        <w:rPr>
          <w:lang w:val="en-GB"/>
        </w:rPr>
        <w:t xml:space="preserve"> for Test 1. </w:t>
      </w:r>
      <w:r w:rsidR="009661CA" w:rsidRPr="00931609">
        <w:rPr>
          <w:lang w:val="en-GB"/>
        </w:rPr>
        <w:t xml:space="preserve">Similar trends are produced by Test 2 at </w:t>
      </w:r>
      <w:r w:rsidR="00EA6A45" w:rsidRPr="00931609">
        <w:rPr>
          <w:lang w:val="en-GB"/>
        </w:rPr>
        <w:t xml:space="preserve">a </w:t>
      </w:r>
      <w:r w:rsidR="009661CA" w:rsidRPr="00931609">
        <w:rPr>
          <w:lang w:val="en-GB"/>
        </w:rPr>
        <w:t>lower pressure</w:t>
      </w:r>
      <w:r w:rsidR="00BD2557" w:rsidRPr="00931609">
        <w:rPr>
          <w:lang w:val="en-GB"/>
        </w:rPr>
        <w:t xml:space="preserve"> (Figure </w:t>
      </w:r>
      <w:r w:rsidR="00585E1F" w:rsidRPr="00931609">
        <w:rPr>
          <w:lang w:val="en-GB"/>
        </w:rPr>
        <w:t>4</w:t>
      </w:r>
      <w:r w:rsidR="00BD2557" w:rsidRPr="00931609">
        <w:rPr>
          <w:lang w:val="en-GB"/>
        </w:rPr>
        <w:t>)</w:t>
      </w:r>
      <w:r w:rsidR="00585E1F" w:rsidRPr="00931609">
        <w:rPr>
          <w:lang w:val="en-GB"/>
        </w:rPr>
        <w:t>.</w:t>
      </w:r>
    </w:p>
    <w:p w14:paraId="0EF96AF2" w14:textId="77777777" w:rsidR="001A69BC" w:rsidRPr="00931609" w:rsidRDefault="001A69BC" w:rsidP="00681719">
      <w:pPr>
        <w:pStyle w:val="CETBodytext"/>
        <w:rPr>
          <w:lang w:val="en-GB"/>
        </w:rPr>
      </w:pPr>
    </w:p>
    <w:p w14:paraId="3A3FDE52" w14:textId="1420B990" w:rsidR="00924334" w:rsidRPr="00931609" w:rsidRDefault="00BD2557" w:rsidP="00681719">
      <w:pPr>
        <w:pStyle w:val="CETBodytext"/>
        <w:tabs>
          <w:tab w:val="clear" w:pos="7100"/>
          <w:tab w:val="left" w:pos="2127"/>
        </w:tabs>
        <w:rPr>
          <w:rFonts w:asciiTheme="minorHAnsi" w:eastAsiaTheme="minorHAnsi" w:hAnsiTheme="minorHAnsi" w:cstheme="minorBidi"/>
          <w:sz w:val="22"/>
          <w:szCs w:val="22"/>
        </w:rPr>
      </w:pPr>
      <w:r w:rsidRPr="00931609">
        <w:rPr>
          <w:rFonts w:asciiTheme="minorHAnsi" w:eastAsiaTheme="minorHAnsi" w:hAnsiTheme="minorHAnsi" w:cstheme="minorBidi"/>
          <w:sz w:val="22"/>
          <w:szCs w:val="22"/>
          <w:lang w:val="it-IT"/>
        </w:rPr>
        <w:object w:dxaOrig="7596" w:dyaOrig="5820" w14:anchorId="3E4E4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oject Path: C:\Users\carbmat91702\Desktop\PROVA4_modulo2018.opju&#10;PE Folder: /PROVA4_modulo2018/Folder1/&#10;Short Name: Graph1" style="width:220.8pt;height:168.6pt" o:ole="">
            <v:imagedata r:id="rId17" o:title=""/>
          </v:shape>
          <o:OLEObject Type="Embed" ProgID="Origin95.Graph" ShapeID="_x0000_i1025" DrawAspect="Content" ObjectID="_1660133036" r:id="rId18"/>
        </w:object>
      </w:r>
      <w:r w:rsidRPr="00931609">
        <w:rPr>
          <w:rFonts w:asciiTheme="minorHAnsi" w:eastAsiaTheme="minorHAnsi" w:hAnsiTheme="minorHAnsi" w:cstheme="minorBidi"/>
          <w:sz w:val="22"/>
          <w:szCs w:val="22"/>
          <w:lang w:val="it-IT"/>
        </w:rPr>
        <w:object w:dxaOrig="7488" w:dyaOrig="5724" w14:anchorId="5B7A0458">
          <v:shape id="_x0000_i1026" type="#_x0000_t75" alt="Project Path: C:\Users\carbmat91702\Desktop\PROVA4_modulo2014.opju&#10;PE Folder: /PROVA4_modulo2014/Folder1/&#10;Short Name: Graph1" style="width:216.6pt;height:162.6pt" o:ole="">
            <v:imagedata r:id="rId19" o:title=""/>
          </v:shape>
          <o:OLEObject Type="Embed" ProgID="Origin95.Graph" ShapeID="_x0000_i1026" DrawAspect="Content" ObjectID="_1660133037" r:id="rId20"/>
        </w:object>
      </w:r>
      <w:r w:rsidR="00246EA9" w:rsidRPr="00931609">
        <w:rPr>
          <w:rFonts w:asciiTheme="minorHAnsi" w:eastAsiaTheme="minorHAnsi" w:hAnsiTheme="minorHAnsi" w:cstheme="minorBidi"/>
          <w:sz w:val="22"/>
          <w:szCs w:val="22"/>
        </w:rPr>
        <w:tab/>
      </w:r>
      <w:r w:rsidR="00246EA9" w:rsidRPr="00931609">
        <w:t>a)</w:t>
      </w:r>
      <w:r w:rsidR="00246EA9" w:rsidRPr="00931609">
        <w:rPr>
          <w:rFonts w:asciiTheme="minorHAnsi" w:eastAsiaTheme="minorHAnsi" w:hAnsiTheme="minorHAnsi" w:cstheme="minorBidi"/>
          <w:sz w:val="22"/>
          <w:szCs w:val="22"/>
        </w:rPr>
        <w:t xml:space="preserve"> </w:t>
      </w:r>
      <w:r w:rsidR="00246EA9" w:rsidRPr="00931609">
        <w:rPr>
          <w:rFonts w:asciiTheme="minorHAnsi" w:eastAsiaTheme="minorHAnsi" w:hAnsiTheme="minorHAnsi" w:cstheme="minorBidi"/>
          <w:sz w:val="22"/>
          <w:szCs w:val="22"/>
        </w:rPr>
        <w:tab/>
      </w:r>
      <w:r w:rsidR="00246EA9" w:rsidRPr="00931609">
        <w:rPr>
          <w:rFonts w:asciiTheme="minorHAnsi" w:eastAsiaTheme="minorHAnsi" w:hAnsiTheme="minorHAnsi" w:cstheme="minorBidi"/>
          <w:sz w:val="22"/>
          <w:szCs w:val="22"/>
        </w:rPr>
        <w:tab/>
      </w:r>
      <w:r w:rsidR="00246EA9" w:rsidRPr="00931609">
        <w:rPr>
          <w:rFonts w:asciiTheme="minorHAnsi" w:eastAsiaTheme="minorHAnsi" w:hAnsiTheme="minorHAnsi" w:cstheme="minorBidi"/>
          <w:sz w:val="22"/>
          <w:szCs w:val="22"/>
        </w:rPr>
        <w:tab/>
      </w:r>
      <w:r w:rsidR="00246EA9" w:rsidRPr="00931609">
        <w:rPr>
          <w:rFonts w:asciiTheme="minorHAnsi" w:eastAsiaTheme="minorHAnsi" w:hAnsiTheme="minorHAnsi" w:cstheme="minorBidi"/>
          <w:sz w:val="22"/>
          <w:szCs w:val="22"/>
        </w:rPr>
        <w:tab/>
      </w:r>
      <w:r w:rsidR="00246EA9" w:rsidRPr="00931609">
        <w:rPr>
          <w:rFonts w:asciiTheme="minorHAnsi" w:eastAsiaTheme="minorHAnsi" w:hAnsiTheme="minorHAnsi" w:cstheme="minorBidi"/>
          <w:sz w:val="22"/>
          <w:szCs w:val="22"/>
        </w:rPr>
        <w:tab/>
      </w:r>
      <w:r w:rsidR="00246EA9" w:rsidRPr="00931609">
        <w:rPr>
          <w:rFonts w:asciiTheme="minorHAnsi" w:eastAsiaTheme="minorHAnsi" w:hAnsiTheme="minorHAnsi" w:cstheme="minorBidi"/>
          <w:sz w:val="22"/>
          <w:szCs w:val="22"/>
        </w:rPr>
        <w:tab/>
        <w:t xml:space="preserve">  </w:t>
      </w:r>
      <w:r w:rsidR="00246EA9" w:rsidRPr="00931609">
        <w:t>b)</w:t>
      </w:r>
    </w:p>
    <w:p w14:paraId="023FBE12" w14:textId="1BAD8E8D" w:rsidR="00BD2557" w:rsidRPr="00931609" w:rsidRDefault="00BD2557" w:rsidP="00681719">
      <w:pPr>
        <w:pStyle w:val="CETBodytext"/>
        <w:spacing w:before="240" w:after="240"/>
      </w:pPr>
      <w:r w:rsidRPr="00931609">
        <w:t xml:space="preserve">Figure 3: Temperature (°C) with respect to space and time for Test 1 (initial pressure 450 bar). </w:t>
      </w:r>
      <w:r w:rsidR="005B77CE" w:rsidRPr="00931609">
        <w:t xml:space="preserve">Figure 3a refers to the first </w:t>
      </w:r>
      <w:r w:rsidR="0019581F" w:rsidRPr="00931609">
        <w:t>eight</w:t>
      </w:r>
      <w:r w:rsidR="005B77CE" w:rsidRPr="00931609">
        <w:t xml:space="preserve"> thermocouples, closer to the </w:t>
      </w:r>
      <w:r w:rsidR="001559FC" w:rsidRPr="00931609">
        <w:t>hydrogen release point</w:t>
      </w:r>
      <w:r w:rsidR="005B77CE" w:rsidRPr="00931609">
        <w:t>, while Figure 3b to the more distant ones.</w:t>
      </w:r>
    </w:p>
    <w:p w14:paraId="4AD2A119" w14:textId="448A5773" w:rsidR="005B77CE" w:rsidRPr="00931609" w:rsidRDefault="00BD2557" w:rsidP="00681719">
      <w:pPr>
        <w:pStyle w:val="CETBodytext"/>
        <w:tabs>
          <w:tab w:val="clear" w:pos="7100"/>
          <w:tab w:val="left" w:pos="2127"/>
        </w:tabs>
        <w:rPr>
          <w:rFonts w:asciiTheme="minorHAnsi" w:eastAsiaTheme="minorHAnsi" w:hAnsiTheme="minorHAnsi" w:cstheme="minorBidi"/>
          <w:sz w:val="22"/>
          <w:szCs w:val="22"/>
        </w:rPr>
      </w:pPr>
      <w:r w:rsidRPr="00931609">
        <w:rPr>
          <w:rFonts w:asciiTheme="minorHAnsi" w:eastAsiaTheme="minorHAnsi" w:hAnsiTheme="minorHAnsi" w:cstheme="minorBidi"/>
          <w:sz w:val="22"/>
          <w:szCs w:val="22"/>
          <w:lang w:val="it-IT"/>
        </w:rPr>
        <w:object w:dxaOrig="7836" w:dyaOrig="6000" w14:anchorId="73059675">
          <v:shape id="_x0000_i1027" type="#_x0000_t75" alt=" " style="width:213pt;height:164.4pt" o:ole="">
            <v:imagedata r:id="rId21" o:title=""/>
          </v:shape>
          <o:OLEObject Type="Embed" ProgID="Origin95.Graph" ShapeID="_x0000_i1027" DrawAspect="Content" ObjectID="_1660133038" r:id="rId22"/>
        </w:object>
      </w:r>
      <w:r w:rsidRPr="00931609">
        <w:rPr>
          <w:rFonts w:asciiTheme="minorHAnsi" w:eastAsiaTheme="minorHAnsi" w:hAnsiTheme="minorHAnsi" w:cstheme="minorBidi"/>
          <w:sz w:val="22"/>
          <w:szCs w:val="22"/>
          <w:lang w:val="it-IT"/>
        </w:rPr>
        <w:object w:dxaOrig="9444" w:dyaOrig="7236" w14:anchorId="3869F553">
          <v:shape id="_x0000_i1028" type="#_x0000_t75" alt=" " style="width:214.2pt;height:164.4pt" o:ole="">
            <v:imagedata r:id="rId23" o:title=""/>
          </v:shape>
          <o:OLEObject Type="Embed" ProgID="Origin95.Graph" ShapeID="_x0000_i1028" DrawAspect="Content" ObjectID="_1660133039" r:id="rId24"/>
        </w:object>
      </w:r>
      <w:r w:rsidR="005B77CE" w:rsidRPr="00931609">
        <w:rPr>
          <w:rFonts w:asciiTheme="minorHAnsi" w:eastAsiaTheme="minorHAnsi" w:hAnsiTheme="minorHAnsi" w:cstheme="minorBidi"/>
          <w:sz w:val="22"/>
          <w:szCs w:val="22"/>
        </w:rPr>
        <w:t xml:space="preserve"> </w:t>
      </w:r>
      <w:r w:rsidR="005B77CE" w:rsidRPr="00931609">
        <w:rPr>
          <w:rFonts w:asciiTheme="minorHAnsi" w:eastAsiaTheme="minorHAnsi" w:hAnsiTheme="minorHAnsi" w:cstheme="minorBidi"/>
          <w:sz w:val="22"/>
          <w:szCs w:val="22"/>
        </w:rPr>
        <w:tab/>
      </w:r>
      <w:r w:rsidR="005B77CE" w:rsidRPr="00931609">
        <w:t>a)</w:t>
      </w:r>
      <w:r w:rsidR="005B77CE" w:rsidRPr="00931609">
        <w:rPr>
          <w:rFonts w:asciiTheme="minorHAnsi" w:eastAsiaTheme="minorHAnsi" w:hAnsiTheme="minorHAnsi" w:cstheme="minorBidi"/>
          <w:sz w:val="22"/>
          <w:szCs w:val="22"/>
        </w:rPr>
        <w:t xml:space="preserve"> </w:t>
      </w:r>
      <w:r w:rsidR="005B77CE" w:rsidRPr="00931609">
        <w:rPr>
          <w:rFonts w:asciiTheme="minorHAnsi" w:eastAsiaTheme="minorHAnsi" w:hAnsiTheme="minorHAnsi" w:cstheme="minorBidi"/>
          <w:sz w:val="22"/>
          <w:szCs w:val="22"/>
        </w:rPr>
        <w:tab/>
      </w:r>
      <w:r w:rsidR="005B77CE" w:rsidRPr="00931609">
        <w:rPr>
          <w:rFonts w:asciiTheme="minorHAnsi" w:eastAsiaTheme="minorHAnsi" w:hAnsiTheme="minorHAnsi" w:cstheme="minorBidi"/>
          <w:sz w:val="22"/>
          <w:szCs w:val="22"/>
        </w:rPr>
        <w:tab/>
      </w:r>
      <w:r w:rsidR="005B77CE" w:rsidRPr="00931609">
        <w:rPr>
          <w:rFonts w:asciiTheme="minorHAnsi" w:eastAsiaTheme="minorHAnsi" w:hAnsiTheme="minorHAnsi" w:cstheme="minorBidi"/>
          <w:sz w:val="22"/>
          <w:szCs w:val="22"/>
        </w:rPr>
        <w:tab/>
      </w:r>
      <w:r w:rsidR="005B77CE" w:rsidRPr="00931609">
        <w:rPr>
          <w:rFonts w:asciiTheme="minorHAnsi" w:eastAsiaTheme="minorHAnsi" w:hAnsiTheme="minorHAnsi" w:cstheme="minorBidi"/>
          <w:sz w:val="22"/>
          <w:szCs w:val="22"/>
        </w:rPr>
        <w:tab/>
      </w:r>
      <w:r w:rsidR="005B77CE" w:rsidRPr="00931609">
        <w:rPr>
          <w:rFonts w:asciiTheme="minorHAnsi" w:eastAsiaTheme="minorHAnsi" w:hAnsiTheme="minorHAnsi" w:cstheme="minorBidi"/>
          <w:sz w:val="22"/>
          <w:szCs w:val="22"/>
        </w:rPr>
        <w:tab/>
      </w:r>
      <w:r w:rsidR="005B77CE" w:rsidRPr="00931609">
        <w:rPr>
          <w:rFonts w:asciiTheme="minorHAnsi" w:eastAsiaTheme="minorHAnsi" w:hAnsiTheme="minorHAnsi" w:cstheme="minorBidi"/>
          <w:sz w:val="22"/>
          <w:szCs w:val="22"/>
        </w:rPr>
        <w:tab/>
      </w:r>
      <w:r w:rsidR="005B77CE" w:rsidRPr="00931609">
        <w:t>b)</w:t>
      </w:r>
    </w:p>
    <w:p w14:paraId="4CB4574B" w14:textId="4A243C3F" w:rsidR="00BD2557" w:rsidRPr="00931609" w:rsidRDefault="00BD2557" w:rsidP="00681719">
      <w:pPr>
        <w:pStyle w:val="CETBodytext"/>
        <w:spacing w:before="240" w:after="240"/>
        <w:rPr>
          <w:i/>
        </w:rPr>
      </w:pPr>
      <w:r w:rsidRPr="00931609">
        <w:rPr>
          <w:i/>
        </w:rPr>
        <w:t>Figure 4: Temperature (°C) with respect to space and time for Test 2 (initial pressure 240 bar).</w:t>
      </w:r>
      <w:r w:rsidR="009F0032" w:rsidRPr="00931609">
        <w:t xml:space="preserve"> </w:t>
      </w:r>
      <w:r w:rsidR="009F0032" w:rsidRPr="00931609">
        <w:rPr>
          <w:i/>
        </w:rPr>
        <w:t>Figure 4a refers to the first 8 thermocouples, closer to the hydrogen release point, while Figure 4b to the more distant ones</w:t>
      </w:r>
    </w:p>
    <w:p w14:paraId="357170FD" w14:textId="343CF90F" w:rsidR="00720603" w:rsidRPr="00931609" w:rsidRDefault="009661CA" w:rsidP="00681719">
      <w:pPr>
        <w:pStyle w:val="CETBodytext"/>
        <w:rPr>
          <w:lang w:val="en-GB"/>
        </w:rPr>
      </w:pPr>
      <w:r w:rsidRPr="00931609">
        <w:rPr>
          <w:lang w:val="en-GB"/>
        </w:rPr>
        <w:t>As it can be observed in Figure 3</w:t>
      </w:r>
      <w:r w:rsidR="009F0032" w:rsidRPr="00931609">
        <w:rPr>
          <w:lang w:val="en-GB"/>
        </w:rPr>
        <w:t>a</w:t>
      </w:r>
      <w:r w:rsidRPr="00931609">
        <w:rPr>
          <w:lang w:val="en-GB"/>
        </w:rPr>
        <w:t>, t</w:t>
      </w:r>
      <w:r w:rsidR="00D360DC" w:rsidRPr="00931609">
        <w:rPr>
          <w:lang w:val="en-GB"/>
        </w:rPr>
        <w:t>he temperature inside the plume can be as high as 1200 °C</w:t>
      </w:r>
      <w:r w:rsidR="00895BCC" w:rsidRPr="00931609">
        <w:rPr>
          <w:lang w:val="en-GB"/>
        </w:rPr>
        <w:t xml:space="preserve"> (</w:t>
      </w:r>
      <w:r w:rsidR="00AE15EC" w:rsidRPr="00931609">
        <w:rPr>
          <w:lang w:val="en-GB"/>
        </w:rPr>
        <w:t>i.e., 1220°C)</w:t>
      </w:r>
      <w:r w:rsidR="00D360DC" w:rsidRPr="00931609">
        <w:rPr>
          <w:lang w:val="en-GB"/>
        </w:rPr>
        <w:t xml:space="preserve">, as registered by thermocouples A3 and A4. </w:t>
      </w:r>
      <w:r w:rsidR="00880731" w:rsidRPr="00931609">
        <w:rPr>
          <w:lang w:val="en-GB"/>
        </w:rPr>
        <w:t xml:space="preserve">Slightly higher temperatures </w:t>
      </w:r>
      <w:r w:rsidR="0000649C" w:rsidRPr="00931609">
        <w:rPr>
          <w:lang w:val="en-GB"/>
        </w:rPr>
        <w:t>(i.e.</w:t>
      </w:r>
      <w:r w:rsidR="00CE5AF2" w:rsidRPr="00931609">
        <w:rPr>
          <w:lang w:val="en-GB"/>
        </w:rPr>
        <w:t>,</w:t>
      </w:r>
      <w:r w:rsidR="0000649C" w:rsidRPr="00931609">
        <w:rPr>
          <w:lang w:val="en-GB"/>
        </w:rPr>
        <w:t xml:space="preserve"> 1400°C) </w:t>
      </w:r>
      <w:r w:rsidR="00880731" w:rsidRPr="00931609">
        <w:rPr>
          <w:lang w:val="en-GB"/>
        </w:rPr>
        <w:t>are reported by Proust et al. (2011)</w:t>
      </w:r>
      <w:r w:rsidR="0000649C" w:rsidRPr="00931609">
        <w:rPr>
          <w:lang w:val="en-GB"/>
        </w:rPr>
        <w:t>, for 2 and 3 mm leakage diameter</w:t>
      </w:r>
      <w:r w:rsidR="00880731" w:rsidRPr="00931609">
        <w:rPr>
          <w:lang w:val="en-GB"/>
        </w:rPr>
        <w:t>.</w:t>
      </w:r>
      <w:r w:rsidR="0000649C" w:rsidRPr="00931609">
        <w:rPr>
          <w:lang w:val="en-GB"/>
        </w:rPr>
        <w:t xml:space="preserve"> This difference can be due to the higher initial hydrogen reservoir pressure (from 900 bar down)</w:t>
      </w:r>
      <w:r w:rsidR="00A8788B" w:rsidRPr="00931609">
        <w:rPr>
          <w:lang w:val="en-GB"/>
        </w:rPr>
        <w:t xml:space="preserve">. </w:t>
      </w:r>
      <w:r w:rsidR="00CE5AF2" w:rsidRPr="00931609">
        <w:rPr>
          <w:lang w:val="en-GB"/>
        </w:rPr>
        <w:t>Moreover</w:t>
      </w:r>
      <w:r w:rsidR="00A8788B" w:rsidRPr="00931609">
        <w:rPr>
          <w:lang w:val="en-GB"/>
        </w:rPr>
        <w:t>, an intermediate temperature (i.e.</w:t>
      </w:r>
      <w:r w:rsidR="00CE5AF2" w:rsidRPr="00931609">
        <w:rPr>
          <w:lang w:val="en-GB"/>
        </w:rPr>
        <w:t>,</w:t>
      </w:r>
      <w:r w:rsidR="00A8788B" w:rsidRPr="00931609">
        <w:rPr>
          <w:lang w:val="en-GB"/>
        </w:rPr>
        <w:t xml:space="preserve"> 1300°C) is reported by</w:t>
      </w:r>
      <w:r w:rsidR="00A8788B" w:rsidRPr="00931609">
        <w:t xml:space="preserve"> </w:t>
      </w:r>
      <w:r w:rsidR="00A8788B" w:rsidRPr="00931609">
        <w:rPr>
          <w:lang w:val="en-GB"/>
        </w:rPr>
        <w:t xml:space="preserve">Hansen (2019). </w:t>
      </w:r>
      <w:r w:rsidR="00F22382" w:rsidRPr="00931609">
        <w:rPr>
          <w:lang w:val="en-GB"/>
        </w:rPr>
        <w:t xml:space="preserve">For both tests (Figure 3a and 4a), an initial temperature rise is followed by a profile stabilization at a maximum temperature when focusing on the axial measuring points. Trends are </w:t>
      </w:r>
      <w:r w:rsidR="00F22382" w:rsidRPr="00931609">
        <w:rPr>
          <w:lang w:val="en-GB"/>
        </w:rPr>
        <w:lastRenderedPageBreak/>
        <w:t>similar for tests at 450 (Test 1)</w:t>
      </w:r>
      <w:r w:rsidR="0019581F" w:rsidRPr="00931609">
        <w:rPr>
          <w:lang w:val="en-GB"/>
        </w:rPr>
        <w:t>,</w:t>
      </w:r>
      <w:r w:rsidR="00F22382" w:rsidRPr="00931609">
        <w:rPr>
          <w:lang w:val="en-GB"/>
        </w:rPr>
        <w:t xml:space="preserve"> and 240 bar (Test 2)</w:t>
      </w:r>
      <w:r w:rsidR="0019581F" w:rsidRPr="00931609">
        <w:rPr>
          <w:lang w:val="en-GB"/>
        </w:rPr>
        <w:t>,</w:t>
      </w:r>
      <w:r w:rsidR="00F22382" w:rsidRPr="00931609">
        <w:rPr>
          <w:lang w:val="en-GB"/>
        </w:rPr>
        <w:t xml:space="preserve"> and maximum axial temperatures are higher than 800°C. No stabilized temperature profiles are observed for external and distant thermocouples</w:t>
      </w:r>
      <w:r w:rsidR="00720603" w:rsidRPr="00931609">
        <w:rPr>
          <w:lang w:val="en-GB"/>
        </w:rPr>
        <w:t xml:space="preserve"> in Test 1</w:t>
      </w:r>
      <w:r w:rsidR="00F22382" w:rsidRPr="00931609">
        <w:rPr>
          <w:lang w:val="en-GB"/>
        </w:rPr>
        <w:t>.</w:t>
      </w:r>
      <w:r w:rsidR="00720603" w:rsidRPr="00931609">
        <w:rPr>
          <w:lang w:val="en-GB"/>
        </w:rPr>
        <w:t xml:space="preserve"> Within the experimental trial, </w:t>
      </w:r>
      <w:r w:rsidR="00767C4C" w:rsidRPr="00931609">
        <w:rPr>
          <w:lang w:val="en-GB"/>
        </w:rPr>
        <w:t>only for Test 2 al lower pressure</w:t>
      </w:r>
      <w:r w:rsidR="0019581F" w:rsidRPr="00931609">
        <w:rPr>
          <w:lang w:val="en-GB"/>
        </w:rPr>
        <w:t>,</w:t>
      </w:r>
      <w:r w:rsidR="00767C4C" w:rsidRPr="00931609">
        <w:rPr>
          <w:lang w:val="en-GB"/>
        </w:rPr>
        <w:t xml:space="preserve"> the distant profiles are stationary.</w:t>
      </w:r>
      <w:r w:rsidR="00F22382" w:rsidRPr="00931609">
        <w:rPr>
          <w:lang w:val="en-GB"/>
        </w:rPr>
        <w:t xml:space="preserve"> Overall, higher temperatures are measured in Test 1 that is characterized by</w:t>
      </w:r>
      <w:r w:rsidR="00720603" w:rsidRPr="00931609">
        <w:rPr>
          <w:lang w:val="en-GB"/>
        </w:rPr>
        <w:t xml:space="preserve"> larger initial discharge pressure. </w:t>
      </w:r>
    </w:p>
    <w:p w14:paraId="59DEFD6F" w14:textId="5157EED0" w:rsidR="00FD0E5B" w:rsidRPr="00931609" w:rsidRDefault="00585E1F" w:rsidP="00681719">
      <w:pPr>
        <w:pStyle w:val="CETBodytext"/>
        <w:rPr>
          <w:i/>
        </w:rPr>
      </w:pPr>
      <w:r w:rsidRPr="00931609">
        <w:rPr>
          <w:lang w:val="en-GB"/>
        </w:rPr>
        <w:t xml:space="preserve">The main differences between Test 1 and Test 2 are registered in the </w:t>
      </w:r>
      <w:r w:rsidR="00A76F69" w:rsidRPr="00931609">
        <w:rPr>
          <w:lang w:val="en-GB"/>
        </w:rPr>
        <w:t>other more distant</w:t>
      </w:r>
      <w:r w:rsidRPr="00931609">
        <w:rPr>
          <w:lang w:val="en-GB"/>
        </w:rPr>
        <w:t xml:space="preserve"> thermocouples</w:t>
      </w:r>
      <w:r w:rsidR="009F0032" w:rsidRPr="00931609">
        <w:rPr>
          <w:lang w:val="en-GB"/>
        </w:rPr>
        <w:t xml:space="preserve"> (Figure 3b and Figure 4b)</w:t>
      </w:r>
      <w:r w:rsidRPr="00931609">
        <w:rPr>
          <w:lang w:val="en-GB"/>
        </w:rPr>
        <w:t xml:space="preserve">. </w:t>
      </w:r>
      <w:r w:rsidR="00A76F69" w:rsidRPr="00931609">
        <w:rPr>
          <w:lang w:val="en-GB"/>
        </w:rPr>
        <w:t>F</w:t>
      </w:r>
      <w:r w:rsidRPr="00931609">
        <w:t>or Test 1,</w:t>
      </w:r>
      <w:r w:rsidR="00D360DC" w:rsidRPr="00931609">
        <w:t xml:space="preserve"> at 6 m from the release point, the flame </w:t>
      </w:r>
      <w:r w:rsidR="009661CA" w:rsidRPr="00931609">
        <w:t>behaves under buoyancy</w:t>
      </w:r>
      <w:r w:rsidR="004F755C" w:rsidRPr="00931609">
        <w:t>,</w:t>
      </w:r>
      <w:r w:rsidR="009661CA" w:rsidRPr="00931609">
        <w:t xml:space="preserve"> and </w:t>
      </w:r>
      <w:r w:rsidR="004F755C" w:rsidRPr="00931609">
        <w:t xml:space="preserve">it </w:t>
      </w:r>
      <w:r w:rsidR="009661CA" w:rsidRPr="00931609">
        <w:t>lifts</w:t>
      </w:r>
      <w:r w:rsidR="00D360DC" w:rsidRPr="00931609">
        <w:t>, as demonstrated by the elevated temperatures registered at the height of 2.10 m by thermocouples B5 and D6.</w:t>
      </w:r>
      <w:r w:rsidR="00C82719" w:rsidRPr="00931609">
        <w:t xml:space="preserve"> </w:t>
      </w:r>
      <w:bookmarkStart w:id="1" w:name="_Hlk37234922"/>
      <w:r w:rsidR="00FD0E5B" w:rsidRPr="00931609">
        <w:rPr>
          <w:lang w:val="en-GB"/>
        </w:rPr>
        <w:t xml:space="preserve">Using the </w:t>
      </w:r>
      <w:r w:rsidR="0059096D" w:rsidRPr="00931609">
        <w:rPr>
          <w:lang w:val="en-GB"/>
        </w:rPr>
        <w:t>model</w:t>
      </w:r>
      <w:r w:rsidR="00FD0E5B" w:rsidRPr="00931609">
        <w:rPr>
          <w:lang w:val="en-GB"/>
        </w:rPr>
        <w:t xml:space="preserve"> reported above (Eqs.1-5), the following quantities can be estimated (Table </w:t>
      </w:r>
      <w:r w:rsidR="001A69BC" w:rsidRPr="00931609">
        <w:rPr>
          <w:lang w:val="en-GB"/>
        </w:rPr>
        <w:t>2</w:t>
      </w:r>
      <w:r w:rsidR="00FD0E5B" w:rsidRPr="00931609">
        <w:rPr>
          <w:lang w:val="en-GB"/>
        </w:rPr>
        <w:t>).</w:t>
      </w:r>
    </w:p>
    <w:p w14:paraId="480939B3" w14:textId="11E314D5" w:rsidR="00FD0E5B" w:rsidRPr="00931609" w:rsidRDefault="00FD0E5B" w:rsidP="00681719">
      <w:pPr>
        <w:pStyle w:val="CETBodytext"/>
        <w:spacing w:before="240" w:after="80"/>
        <w:rPr>
          <w:i/>
          <w:lang w:val="en-GB"/>
        </w:rPr>
      </w:pPr>
      <w:r w:rsidRPr="00931609">
        <w:rPr>
          <w:i/>
          <w:lang w:val="en-GB"/>
        </w:rPr>
        <w:t xml:space="preserve">Table </w:t>
      </w:r>
      <w:r w:rsidR="001A69BC" w:rsidRPr="00931609">
        <w:rPr>
          <w:i/>
          <w:lang w:val="en-GB"/>
        </w:rPr>
        <w:t>2</w:t>
      </w:r>
      <w:r w:rsidRPr="00931609">
        <w:rPr>
          <w:i/>
          <w:lang w:val="en-GB"/>
        </w:rPr>
        <w:t xml:space="preserve">: Hydrogen jet conditions derived from Eqs. 1-5. </w:t>
      </w:r>
    </w:p>
    <w:tbl>
      <w:tblPr>
        <w:tblW w:w="8809" w:type="dxa"/>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01"/>
        <w:gridCol w:w="1101"/>
        <w:gridCol w:w="1101"/>
        <w:gridCol w:w="1101"/>
        <w:gridCol w:w="1101"/>
        <w:gridCol w:w="1101"/>
        <w:gridCol w:w="1101"/>
        <w:gridCol w:w="1102"/>
      </w:tblGrid>
      <w:tr w:rsidR="00FD0E5B" w:rsidRPr="00931609" w14:paraId="4C780381" w14:textId="77777777" w:rsidTr="007A21EF">
        <w:trPr>
          <w:trHeight w:val="316"/>
          <w:jc w:val="center"/>
        </w:trPr>
        <w:tc>
          <w:tcPr>
            <w:tcW w:w="1101" w:type="dxa"/>
            <w:tcBorders>
              <w:top w:val="single" w:sz="12" w:space="0" w:color="008000"/>
              <w:bottom w:val="single" w:sz="6" w:space="0" w:color="008000"/>
            </w:tcBorders>
            <w:shd w:val="clear" w:color="auto" w:fill="FFFFFF"/>
          </w:tcPr>
          <w:p w14:paraId="24F758CD" w14:textId="77777777" w:rsidR="00FD0E5B" w:rsidRPr="00931609" w:rsidRDefault="00FD0E5B" w:rsidP="00681719">
            <w:pPr>
              <w:pStyle w:val="CETBodytext"/>
              <w:rPr>
                <w:lang w:val="en-GB"/>
              </w:rPr>
            </w:pPr>
            <w:r w:rsidRPr="00931609">
              <w:rPr>
                <w:lang w:val="en-GB"/>
              </w:rPr>
              <w:t>Test</w:t>
            </w:r>
          </w:p>
        </w:tc>
        <w:tc>
          <w:tcPr>
            <w:tcW w:w="1101" w:type="dxa"/>
            <w:tcBorders>
              <w:top w:val="single" w:sz="12" w:space="0" w:color="008000"/>
              <w:bottom w:val="single" w:sz="6" w:space="0" w:color="008000"/>
            </w:tcBorders>
            <w:shd w:val="clear" w:color="auto" w:fill="FFFFFF"/>
          </w:tcPr>
          <w:p w14:paraId="401682F8" w14:textId="77777777" w:rsidR="00FD0E5B" w:rsidRPr="00931609" w:rsidRDefault="00D86BF9" w:rsidP="00681719">
            <w:pPr>
              <w:pStyle w:val="CETBodytext"/>
              <w:jc w:val="center"/>
              <w:rPr>
                <w:lang w:val="en-GB"/>
              </w:rPr>
            </w:pPr>
            <m:oMath>
              <m:sSub>
                <m:sSubPr>
                  <m:ctrlPr>
                    <w:rPr>
                      <w:rFonts w:ascii="Cambria Math" w:hAnsi="Cambria Math" w:cs="Arial"/>
                      <w:i/>
                      <w:szCs w:val="18"/>
                    </w:rPr>
                  </m:ctrlPr>
                </m:sSubPr>
                <m:e>
                  <m:r>
                    <w:rPr>
                      <w:rFonts w:ascii="Cambria Math" w:hAnsi="Cambria Math" w:cs="Arial"/>
                      <w:szCs w:val="18"/>
                    </w:rPr>
                    <m:t>P</m:t>
                  </m:r>
                </m:e>
                <m:sub>
                  <m:r>
                    <w:rPr>
                      <w:rFonts w:ascii="Cambria Math" w:hAnsi="Cambria Math" w:cs="Arial"/>
                      <w:szCs w:val="18"/>
                    </w:rPr>
                    <m:t>e</m:t>
                  </m:r>
                </m:sub>
              </m:sSub>
            </m:oMath>
            <w:r w:rsidR="00FD0E5B" w:rsidRPr="00931609">
              <w:rPr>
                <w:szCs w:val="18"/>
              </w:rPr>
              <w:t xml:space="preserve"> (bar)</w:t>
            </w:r>
          </w:p>
        </w:tc>
        <w:tc>
          <w:tcPr>
            <w:tcW w:w="1101" w:type="dxa"/>
            <w:tcBorders>
              <w:top w:val="single" w:sz="12" w:space="0" w:color="008000"/>
              <w:bottom w:val="single" w:sz="6" w:space="0" w:color="008000"/>
            </w:tcBorders>
            <w:shd w:val="clear" w:color="auto" w:fill="FFFFFF"/>
          </w:tcPr>
          <w:p w14:paraId="3AAB3D69" w14:textId="77777777" w:rsidR="00FD0E5B" w:rsidRPr="00931609" w:rsidRDefault="00D86BF9" w:rsidP="00681719">
            <w:pPr>
              <w:pStyle w:val="CETBodytext"/>
              <w:jc w:val="center"/>
              <w:rPr>
                <w:lang w:val="en-GB"/>
              </w:rPr>
            </w:pP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00FD0E5B" w:rsidRPr="00931609">
              <w:t xml:space="preserve"> (°C)</w:t>
            </w:r>
          </w:p>
        </w:tc>
        <w:tc>
          <w:tcPr>
            <w:tcW w:w="1101" w:type="dxa"/>
            <w:tcBorders>
              <w:top w:val="single" w:sz="12" w:space="0" w:color="008000"/>
              <w:bottom w:val="single" w:sz="6" w:space="0" w:color="008000"/>
            </w:tcBorders>
            <w:shd w:val="clear" w:color="auto" w:fill="FFFFFF"/>
          </w:tcPr>
          <w:p w14:paraId="565FAC66" w14:textId="77777777" w:rsidR="00FD0E5B" w:rsidRPr="00931609" w:rsidRDefault="00D86BF9" w:rsidP="00681719">
            <w:pPr>
              <w:pStyle w:val="CETBodytext"/>
              <w:ind w:right="-1"/>
              <w:jc w:val="center"/>
              <w:rPr>
                <w:rFonts w:cs="Arial"/>
                <w:szCs w:val="18"/>
                <w:lang w:val="en-GB"/>
              </w:rPr>
            </w:pPr>
            <m:oMath>
              <m:sSub>
                <m:sSubPr>
                  <m:ctrlPr>
                    <w:rPr>
                      <w:rFonts w:ascii="Cambria Math" w:hAnsi="Cambria Math"/>
                      <w:i/>
                    </w:rPr>
                  </m:ctrlPr>
                </m:sSubPr>
                <m:e>
                  <m:r>
                    <w:rPr>
                      <w:rFonts w:ascii="Cambria Math" w:hAnsi="Cambria Math"/>
                    </w:rPr>
                    <m:t>ρ</m:t>
                  </m:r>
                </m:e>
                <m:sub>
                  <m:r>
                    <w:rPr>
                      <w:rFonts w:ascii="Cambria Math" w:hAnsi="Cambria Math"/>
                    </w:rPr>
                    <m:t>e</m:t>
                  </m:r>
                </m:sub>
              </m:sSub>
            </m:oMath>
            <w:r w:rsidR="00FD0E5B" w:rsidRPr="00931609">
              <w:rPr>
                <w:rFonts w:cs="Arial"/>
              </w:rPr>
              <w:t>(kg/m</w:t>
            </w:r>
            <w:r w:rsidR="00FD0E5B" w:rsidRPr="00931609">
              <w:rPr>
                <w:rFonts w:cs="Arial"/>
                <w:vertAlign w:val="superscript"/>
              </w:rPr>
              <w:t>3</w:t>
            </w:r>
            <w:r w:rsidR="00FD0E5B" w:rsidRPr="00931609">
              <w:rPr>
                <w:rFonts w:cs="Arial"/>
              </w:rPr>
              <w:t>)</w:t>
            </w:r>
          </w:p>
        </w:tc>
        <w:tc>
          <w:tcPr>
            <w:tcW w:w="1101" w:type="dxa"/>
            <w:tcBorders>
              <w:top w:val="single" w:sz="12" w:space="0" w:color="008000"/>
              <w:bottom w:val="single" w:sz="6" w:space="0" w:color="008000"/>
            </w:tcBorders>
            <w:shd w:val="clear" w:color="auto" w:fill="FFFFFF"/>
          </w:tcPr>
          <w:p w14:paraId="2F65BB4B" w14:textId="77777777" w:rsidR="00FD0E5B" w:rsidRPr="00931609" w:rsidRDefault="00D86BF9" w:rsidP="00681719">
            <w:pPr>
              <w:pStyle w:val="CETBodytext"/>
              <w:ind w:right="-1"/>
              <w:jc w:val="center"/>
              <w:rPr>
                <w:rFonts w:cs="Arial"/>
                <w:szCs w:val="18"/>
                <w:lang w:val="en-GB"/>
              </w:rPr>
            </w:pPr>
            <m:oMath>
              <m:sSub>
                <m:sSubPr>
                  <m:ctrlPr>
                    <w:rPr>
                      <w:rFonts w:ascii="Cambria Math" w:hAnsi="Cambria Math"/>
                      <w:i/>
                    </w:rPr>
                  </m:ctrlPr>
                </m:sSubPr>
                <m:e>
                  <m:r>
                    <w:rPr>
                      <w:rFonts w:ascii="Cambria Math" w:hAnsi="Cambria Math"/>
                    </w:rPr>
                    <m:t>u</m:t>
                  </m:r>
                </m:e>
                <m:sub>
                  <m:r>
                    <w:rPr>
                      <w:rFonts w:ascii="Cambria Math" w:hAnsi="Cambria Math"/>
                    </w:rPr>
                    <m:t>e</m:t>
                  </m:r>
                </m:sub>
              </m:sSub>
            </m:oMath>
            <w:r w:rsidR="00FD0E5B" w:rsidRPr="00931609">
              <w:rPr>
                <w:rFonts w:cs="Arial"/>
              </w:rPr>
              <w:t>(m/s)</w:t>
            </w:r>
          </w:p>
        </w:tc>
        <w:tc>
          <w:tcPr>
            <w:tcW w:w="1101" w:type="dxa"/>
            <w:tcBorders>
              <w:top w:val="single" w:sz="12" w:space="0" w:color="008000"/>
              <w:bottom w:val="single" w:sz="6" w:space="0" w:color="008000"/>
            </w:tcBorders>
            <w:shd w:val="clear" w:color="auto" w:fill="FFFFFF"/>
          </w:tcPr>
          <w:p w14:paraId="6CCEF7D9" w14:textId="77777777" w:rsidR="00FD0E5B" w:rsidRPr="00931609" w:rsidRDefault="00FD0E5B" w:rsidP="00681719">
            <w:pPr>
              <w:pStyle w:val="CETBodytext"/>
              <w:ind w:right="-1"/>
              <w:jc w:val="center"/>
              <w:rPr>
                <w:lang w:val="en-GB"/>
              </w:rPr>
            </w:pPr>
            <m:oMath>
              <m:r>
                <w:rPr>
                  <w:rFonts w:ascii="Cambria Math" w:hAnsi="Cambria Math"/>
                </w:rPr>
                <m:t>A</m:t>
              </m:r>
            </m:oMath>
            <w:r w:rsidRPr="00931609">
              <w:t xml:space="preserve"> (m</w:t>
            </w:r>
            <w:r w:rsidRPr="00931609">
              <w:rPr>
                <w:vertAlign w:val="superscript"/>
              </w:rPr>
              <w:t>2</w:t>
            </w:r>
            <w:r w:rsidRPr="00931609">
              <w:t>)</w:t>
            </w:r>
          </w:p>
        </w:tc>
        <w:tc>
          <w:tcPr>
            <w:tcW w:w="1101" w:type="dxa"/>
            <w:tcBorders>
              <w:top w:val="single" w:sz="12" w:space="0" w:color="008000"/>
              <w:bottom w:val="single" w:sz="6" w:space="0" w:color="008000"/>
            </w:tcBorders>
            <w:shd w:val="clear" w:color="auto" w:fill="FFFFFF"/>
          </w:tcPr>
          <w:p w14:paraId="5B07243C" w14:textId="152E26AA" w:rsidR="00FD0E5B" w:rsidRPr="00931609" w:rsidRDefault="00D86BF9" w:rsidP="00681719">
            <w:pPr>
              <w:pStyle w:val="CETBodytext"/>
              <w:ind w:right="-1"/>
              <w:jc w:val="center"/>
              <w:rPr>
                <w:lang w:val="en-GB"/>
              </w:rPr>
            </w:pPr>
            <m:oMath>
              <m:sSub>
                <m:sSubPr>
                  <m:ctrlPr>
                    <w:rPr>
                      <w:rFonts w:ascii="Cambria Math" w:hAnsi="Cambria Math"/>
                      <w:i/>
                    </w:rPr>
                  </m:ctrlPr>
                </m:sSubPr>
                <m:e>
                  <m:r>
                    <w:rPr>
                      <w:rFonts w:ascii="Cambria Math" w:hAnsi="Cambria Math"/>
                    </w:rPr>
                    <m:t>w</m:t>
                  </m:r>
                </m:e>
                <m:sub>
                  <m:r>
                    <w:rPr>
                      <w:rFonts w:ascii="Cambria Math" w:hAnsi="Cambria Math"/>
                    </w:rPr>
                    <m:t>c</m:t>
                  </m:r>
                </m:sub>
              </m:sSub>
            </m:oMath>
            <w:r w:rsidR="00FD0E5B" w:rsidRPr="00931609">
              <w:t>(</w:t>
            </w:r>
            <w:r w:rsidR="004F755C" w:rsidRPr="00931609">
              <w:t>k</w:t>
            </w:r>
            <w:r w:rsidR="00FD0E5B" w:rsidRPr="00931609">
              <w:t>g/s)</w:t>
            </w:r>
          </w:p>
        </w:tc>
        <w:tc>
          <w:tcPr>
            <w:tcW w:w="1102" w:type="dxa"/>
            <w:tcBorders>
              <w:top w:val="single" w:sz="12" w:space="0" w:color="008000"/>
              <w:bottom w:val="single" w:sz="6" w:space="0" w:color="008000"/>
            </w:tcBorders>
            <w:shd w:val="clear" w:color="auto" w:fill="FFFFFF"/>
          </w:tcPr>
          <w:p w14:paraId="3C05FAEC" w14:textId="77777777" w:rsidR="00FD0E5B" w:rsidRPr="00931609" w:rsidRDefault="00FD0E5B" w:rsidP="00681719">
            <w:pPr>
              <w:pStyle w:val="CETBodytext"/>
              <w:ind w:right="-1"/>
              <w:jc w:val="center"/>
              <w:rPr>
                <w:rFonts w:cs="Arial"/>
              </w:rPr>
            </w:pPr>
            <w:r w:rsidRPr="00931609">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h</m:t>
                  </m:r>
                </m:e>
                <m:sub>
                  <m:sSup>
                    <m:sSupPr>
                      <m:ctrlPr>
                        <w:rPr>
                          <w:rFonts w:ascii="Cambria Math" w:hAnsi="Cambria Math"/>
                          <w:i/>
                        </w:rPr>
                      </m:ctrlPr>
                    </m:sSupPr>
                    <m:e>
                      <m:r>
                        <w:rPr>
                          <w:rFonts w:ascii="Cambria Math" w:hAnsi="Cambria Math"/>
                        </w:rPr>
                        <m:t>c</m:t>
                      </m:r>
                    </m:e>
                    <m:sup>
                      <m:r>
                        <w:rPr>
                          <w:rFonts w:ascii="Cambria Math" w:hAnsi="Cambria Math"/>
                        </w:rPr>
                        <m:t>*</m:t>
                      </m:r>
                    </m:sup>
                  </m:sSup>
                </m:sub>
              </m:sSub>
            </m:oMath>
            <w:r w:rsidRPr="00931609">
              <w:rPr>
                <w:rFonts w:cs="Arial"/>
              </w:rPr>
              <w:t xml:space="preserve"> (kW)</w:t>
            </w:r>
          </w:p>
        </w:tc>
      </w:tr>
      <w:tr w:rsidR="00FD0E5B" w:rsidRPr="00931609" w14:paraId="446F96F2" w14:textId="77777777" w:rsidTr="007A21EF">
        <w:trPr>
          <w:trHeight w:val="316"/>
          <w:jc w:val="center"/>
        </w:trPr>
        <w:tc>
          <w:tcPr>
            <w:tcW w:w="1101" w:type="dxa"/>
            <w:shd w:val="clear" w:color="auto" w:fill="FFFFFF"/>
          </w:tcPr>
          <w:p w14:paraId="332B488D" w14:textId="77777777" w:rsidR="00FD0E5B" w:rsidRPr="00931609" w:rsidRDefault="00FD0E5B" w:rsidP="00681719">
            <w:pPr>
              <w:pStyle w:val="CETBodytext"/>
              <w:rPr>
                <w:lang w:val="en-GB"/>
              </w:rPr>
            </w:pPr>
            <w:r w:rsidRPr="00931609">
              <w:rPr>
                <w:lang w:val="en-GB"/>
              </w:rPr>
              <w:t>Test 1</w:t>
            </w:r>
          </w:p>
        </w:tc>
        <w:tc>
          <w:tcPr>
            <w:tcW w:w="1101" w:type="dxa"/>
            <w:shd w:val="clear" w:color="auto" w:fill="FFFFFF"/>
            <w:vAlign w:val="center"/>
          </w:tcPr>
          <w:p w14:paraId="1E8B1727" w14:textId="77777777" w:rsidR="00FD0E5B" w:rsidRPr="00931609" w:rsidRDefault="00FD0E5B" w:rsidP="00681719">
            <w:pPr>
              <w:pStyle w:val="CETBodytext"/>
              <w:jc w:val="center"/>
              <w:rPr>
                <w:lang w:val="en-GB"/>
              </w:rPr>
            </w:pPr>
            <w:r w:rsidRPr="00931609">
              <w:rPr>
                <w:lang w:val="en-GB"/>
              </w:rPr>
              <w:t>236.97</w:t>
            </w:r>
          </w:p>
        </w:tc>
        <w:tc>
          <w:tcPr>
            <w:tcW w:w="1101" w:type="dxa"/>
            <w:shd w:val="clear" w:color="auto" w:fill="FFFFFF"/>
            <w:vAlign w:val="center"/>
          </w:tcPr>
          <w:p w14:paraId="5903E30C" w14:textId="77777777" w:rsidR="00FD0E5B" w:rsidRPr="00931609" w:rsidRDefault="00FD0E5B" w:rsidP="00681719">
            <w:pPr>
              <w:pStyle w:val="CETBodytext"/>
              <w:jc w:val="center"/>
              <w:rPr>
                <w:lang w:val="en-GB"/>
              </w:rPr>
            </w:pPr>
            <w:r w:rsidRPr="00931609">
              <w:rPr>
                <w:lang w:val="en-GB"/>
              </w:rPr>
              <w:t>-34.02</w:t>
            </w:r>
          </w:p>
        </w:tc>
        <w:tc>
          <w:tcPr>
            <w:tcW w:w="1101" w:type="dxa"/>
            <w:shd w:val="clear" w:color="auto" w:fill="FFFFFF"/>
            <w:vAlign w:val="center"/>
          </w:tcPr>
          <w:p w14:paraId="052A1FD3" w14:textId="77777777" w:rsidR="00FD0E5B" w:rsidRPr="00931609" w:rsidRDefault="00FD0E5B" w:rsidP="00681719">
            <w:pPr>
              <w:pStyle w:val="CETBodytext"/>
              <w:ind w:right="-1"/>
              <w:jc w:val="center"/>
              <w:rPr>
                <w:rFonts w:cs="Arial"/>
                <w:szCs w:val="18"/>
                <w:lang w:val="en-GB"/>
              </w:rPr>
            </w:pPr>
            <w:r w:rsidRPr="00931609">
              <w:rPr>
                <w:rFonts w:cs="Arial"/>
                <w:szCs w:val="18"/>
                <w:lang w:val="en-GB"/>
              </w:rPr>
              <w:t>15.21</w:t>
            </w:r>
          </w:p>
        </w:tc>
        <w:tc>
          <w:tcPr>
            <w:tcW w:w="1101" w:type="dxa"/>
            <w:shd w:val="clear" w:color="auto" w:fill="FFFFFF"/>
            <w:vAlign w:val="center"/>
          </w:tcPr>
          <w:p w14:paraId="3C139AAC" w14:textId="77777777" w:rsidR="00FD0E5B" w:rsidRPr="00931609" w:rsidRDefault="00FD0E5B" w:rsidP="00681719">
            <w:pPr>
              <w:pStyle w:val="CETBodytext"/>
              <w:ind w:right="-1"/>
              <w:jc w:val="center"/>
              <w:rPr>
                <w:rFonts w:cs="Arial"/>
                <w:szCs w:val="18"/>
                <w:lang w:val="en-GB"/>
              </w:rPr>
            </w:pPr>
            <w:r w:rsidRPr="00931609">
              <w:rPr>
                <w:rFonts w:cs="Arial"/>
                <w:szCs w:val="18"/>
                <w:lang w:val="en-GB"/>
              </w:rPr>
              <w:t>1183.90</w:t>
            </w:r>
          </w:p>
        </w:tc>
        <w:tc>
          <w:tcPr>
            <w:tcW w:w="1101" w:type="dxa"/>
            <w:shd w:val="clear" w:color="auto" w:fill="FFFFFF"/>
            <w:vAlign w:val="center"/>
          </w:tcPr>
          <w:p w14:paraId="57219B17" w14:textId="77777777" w:rsidR="00FD0E5B" w:rsidRPr="00931609" w:rsidRDefault="00FD0E5B" w:rsidP="00681719">
            <w:pPr>
              <w:pStyle w:val="CETBodytext"/>
              <w:ind w:right="-1"/>
              <w:jc w:val="center"/>
              <w:rPr>
                <w:lang w:val="en-GB"/>
              </w:rPr>
            </w:pPr>
            <w:r w:rsidRPr="00931609">
              <w:rPr>
                <w:lang w:val="en-GB"/>
              </w:rPr>
              <w:t>7.1 x 10</w:t>
            </w:r>
            <w:r w:rsidRPr="00931609">
              <w:rPr>
                <w:vertAlign w:val="superscript"/>
                <w:lang w:val="en-GB"/>
              </w:rPr>
              <w:t>-6</w:t>
            </w:r>
          </w:p>
        </w:tc>
        <w:tc>
          <w:tcPr>
            <w:tcW w:w="1101" w:type="dxa"/>
            <w:shd w:val="clear" w:color="auto" w:fill="FFFFFF"/>
            <w:vAlign w:val="center"/>
          </w:tcPr>
          <w:p w14:paraId="3F479CB2" w14:textId="31121D76" w:rsidR="00FD0E5B" w:rsidRPr="00931609" w:rsidRDefault="004F755C" w:rsidP="00681719">
            <w:pPr>
              <w:pStyle w:val="CETBodytext"/>
              <w:ind w:right="-1"/>
              <w:jc w:val="center"/>
              <w:rPr>
                <w:lang w:val="en-GB"/>
              </w:rPr>
            </w:pPr>
            <w:r w:rsidRPr="00931609">
              <w:rPr>
                <w:lang w:val="en-GB"/>
              </w:rPr>
              <w:t>0.127</w:t>
            </w:r>
          </w:p>
        </w:tc>
        <w:tc>
          <w:tcPr>
            <w:tcW w:w="1102" w:type="dxa"/>
            <w:shd w:val="clear" w:color="auto" w:fill="FFFFFF"/>
          </w:tcPr>
          <w:p w14:paraId="39531C40" w14:textId="77777777" w:rsidR="00FD0E5B" w:rsidRPr="00931609" w:rsidRDefault="00FD0E5B" w:rsidP="00681719">
            <w:pPr>
              <w:pStyle w:val="CETBodytext"/>
              <w:ind w:right="-1"/>
              <w:jc w:val="center"/>
              <w:rPr>
                <w:lang w:val="en-GB"/>
              </w:rPr>
            </w:pPr>
            <w:r w:rsidRPr="00931609">
              <w:rPr>
                <w:lang w:val="en-GB"/>
              </w:rPr>
              <w:t>15265</w:t>
            </w:r>
          </w:p>
        </w:tc>
      </w:tr>
      <w:tr w:rsidR="00FD0E5B" w:rsidRPr="00931609" w14:paraId="11B931ED" w14:textId="77777777" w:rsidTr="007A21EF">
        <w:trPr>
          <w:trHeight w:val="316"/>
          <w:jc w:val="center"/>
        </w:trPr>
        <w:tc>
          <w:tcPr>
            <w:tcW w:w="1101" w:type="dxa"/>
            <w:shd w:val="clear" w:color="auto" w:fill="FFFFFF"/>
          </w:tcPr>
          <w:p w14:paraId="07FE97A3" w14:textId="77777777" w:rsidR="00FD0E5B" w:rsidRPr="00931609" w:rsidRDefault="00FD0E5B" w:rsidP="00681719">
            <w:pPr>
              <w:pStyle w:val="CETBodytext"/>
              <w:ind w:right="-1"/>
              <w:rPr>
                <w:rFonts w:cs="Arial"/>
                <w:szCs w:val="18"/>
                <w:lang w:val="en-GB"/>
              </w:rPr>
            </w:pPr>
            <w:r w:rsidRPr="00931609">
              <w:rPr>
                <w:lang w:val="en-GB"/>
              </w:rPr>
              <w:t>Test 2</w:t>
            </w:r>
          </w:p>
        </w:tc>
        <w:tc>
          <w:tcPr>
            <w:tcW w:w="1101" w:type="dxa"/>
            <w:shd w:val="clear" w:color="auto" w:fill="FFFFFF"/>
            <w:vAlign w:val="center"/>
          </w:tcPr>
          <w:p w14:paraId="4D0BF3E6" w14:textId="77777777" w:rsidR="00FD0E5B" w:rsidRPr="00931609" w:rsidRDefault="00FD0E5B" w:rsidP="00681719">
            <w:pPr>
              <w:pStyle w:val="CETBodytext"/>
              <w:ind w:right="-1"/>
              <w:jc w:val="center"/>
              <w:rPr>
                <w:rFonts w:cs="Arial"/>
                <w:szCs w:val="18"/>
                <w:lang w:val="en-GB"/>
              </w:rPr>
            </w:pPr>
            <w:r w:rsidRPr="00931609">
              <w:rPr>
                <w:rFonts w:cs="Arial"/>
                <w:szCs w:val="18"/>
                <w:lang w:val="en-GB"/>
              </w:rPr>
              <w:t>115.85</w:t>
            </w:r>
          </w:p>
        </w:tc>
        <w:tc>
          <w:tcPr>
            <w:tcW w:w="1101" w:type="dxa"/>
            <w:shd w:val="clear" w:color="auto" w:fill="FFFFFF"/>
            <w:vAlign w:val="center"/>
          </w:tcPr>
          <w:p w14:paraId="5E98946C" w14:textId="77777777" w:rsidR="00FD0E5B" w:rsidRPr="00931609" w:rsidRDefault="00FD0E5B" w:rsidP="00681719">
            <w:pPr>
              <w:pStyle w:val="CETBodytext"/>
              <w:ind w:right="-1"/>
              <w:jc w:val="center"/>
              <w:rPr>
                <w:rFonts w:cs="Arial"/>
                <w:szCs w:val="18"/>
                <w:lang w:val="en-GB"/>
              </w:rPr>
            </w:pPr>
            <w:r w:rsidRPr="00931609">
              <w:rPr>
                <w:rFonts w:cs="Arial"/>
                <w:szCs w:val="18"/>
                <w:lang w:val="en-GB"/>
              </w:rPr>
              <w:t>-31.53</w:t>
            </w:r>
          </w:p>
        </w:tc>
        <w:tc>
          <w:tcPr>
            <w:tcW w:w="1101" w:type="dxa"/>
            <w:shd w:val="clear" w:color="auto" w:fill="FFFFFF"/>
            <w:vAlign w:val="center"/>
          </w:tcPr>
          <w:p w14:paraId="1E82D338" w14:textId="77777777" w:rsidR="00FD0E5B" w:rsidRPr="00931609" w:rsidRDefault="00FD0E5B" w:rsidP="00681719">
            <w:pPr>
              <w:pStyle w:val="CETBodytext"/>
              <w:ind w:right="-1"/>
              <w:jc w:val="center"/>
              <w:rPr>
                <w:rFonts w:cs="Arial"/>
                <w:szCs w:val="18"/>
                <w:lang w:val="en-GB"/>
              </w:rPr>
            </w:pPr>
            <w:r w:rsidRPr="00931609">
              <w:rPr>
                <w:rFonts w:cs="Arial"/>
                <w:szCs w:val="18"/>
                <w:lang w:val="en-GB"/>
              </w:rPr>
              <w:t>8.32</w:t>
            </w:r>
          </w:p>
        </w:tc>
        <w:tc>
          <w:tcPr>
            <w:tcW w:w="1101" w:type="dxa"/>
            <w:shd w:val="clear" w:color="auto" w:fill="FFFFFF"/>
            <w:vAlign w:val="center"/>
          </w:tcPr>
          <w:p w14:paraId="1BEDD8F9" w14:textId="77777777" w:rsidR="00FD0E5B" w:rsidRPr="00931609" w:rsidRDefault="00FD0E5B" w:rsidP="00681719">
            <w:pPr>
              <w:pStyle w:val="CETBodytext"/>
              <w:ind w:right="-1"/>
              <w:jc w:val="center"/>
              <w:rPr>
                <w:rFonts w:cs="Arial"/>
                <w:szCs w:val="18"/>
                <w:lang w:val="en-GB"/>
              </w:rPr>
            </w:pPr>
            <w:r w:rsidRPr="00931609">
              <w:rPr>
                <w:rFonts w:cs="Arial"/>
                <w:szCs w:val="18"/>
                <w:lang w:val="en-GB"/>
              </w:rPr>
              <w:t>1190.05</w:t>
            </w:r>
          </w:p>
        </w:tc>
        <w:tc>
          <w:tcPr>
            <w:tcW w:w="1101" w:type="dxa"/>
            <w:shd w:val="clear" w:color="auto" w:fill="FFFFFF"/>
            <w:vAlign w:val="center"/>
          </w:tcPr>
          <w:p w14:paraId="0EA982D4" w14:textId="77777777" w:rsidR="00FD0E5B" w:rsidRPr="00931609" w:rsidRDefault="00FD0E5B" w:rsidP="00681719">
            <w:pPr>
              <w:pStyle w:val="CETBodytext"/>
              <w:ind w:right="-1"/>
              <w:jc w:val="center"/>
              <w:rPr>
                <w:lang w:val="en-GB"/>
              </w:rPr>
            </w:pPr>
            <w:r w:rsidRPr="00931609">
              <w:rPr>
                <w:lang w:val="en-GB"/>
              </w:rPr>
              <w:t>7.1 x 10</w:t>
            </w:r>
            <w:r w:rsidRPr="00931609">
              <w:rPr>
                <w:vertAlign w:val="superscript"/>
                <w:lang w:val="en-GB"/>
              </w:rPr>
              <w:t>-6</w:t>
            </w:r>
          </w:p>
        </w:tc>
        <w:tc>
          <w:tcPr>
            <w:tcW w:w="1101" w:type="dxa"/>
            <w:shd w:val="clear" w:color="auto" w:fill="FFFFFF"/>
            <w:vAlign w:val="center"/>
          </w:tcPr>
          <w:p w14:paraId="180CC59A" w14:textId="612A27BC" w:rsidR="00FD0E5B" w:rsidRPr="00931609" w:rsidRDefault="004F755C" w:rsidP="00681719">
            <w:pPr>
              <w:pStyle w:val="CETBodytext"/>
              <w:ind w:right="-1"/>
              <w:jc w:val="center"/>
              <w:rPr>
                <w:lang w:val="en-GB"/>
              </w:rPr>
            </w:pPr>
            <w:r w:rsidRPr="00931609">
              <w:rPr>
                <w:lang w:val="en-GB"/>
              </w:rPr>
              <w:t>0.070</w:t>
            </w:r>
          </w:p>
        </w:tc>
        <w:tc>
          <w:tcPr>
            <w:tcW w:w="1102" w:type="dxa"/>
            <w:shd w:val="clear" w:color="auto" w:fill="FFFFFF"/>
          </w:tcPr>
          <w:p w14:paraId="3D055C78" w14:textId="77777777" w:rsidR="00FD0E5B" w:rsidRPr="00931609" w:rsidRDefault="00FD0E5B" w:rsidP="00681719">
            <w:pPr>
              <w:pStyle w:val="CETBodytext"/>
              <w:ind w:right="-1"/>
              <w:jc w:val="center"/>
              <w:rPr>
                <w:lang w:val="en-GB"/>
              </w:rPr>
            </w:pPr>
            <w:r w:rsidRPr="00931609">
              <w:rPr>
                <w:lang w:val="en-GB"/>
              </w:rPr>
              <w:t>8396</w:t>
            </w:r>
          </w:p>
        </w:tc>
      </w:tr>
    </w:tbl>
    <w:p w14:paraId="08BD0BC5" w14:textId="48B12AD3" w:rsidR="00FD0E5B" w:rsidRPr="00931609" w:rsidRDefault="00FD0E5B" w:rsidP="00681719">
      <w:pPr>
        <w:pStyle w:val="CETBodytext"/>
        <w:rPr>
          <w:lang w:val="en-GB"/>
        </w:rPr>
      </w:pPr>
      <w:r w:rsidRPr="00931609">
        <w:rPr>
          <w:lang w:val="en-GB"/>
        </w:rPr>
        <w:t>*</w:t>
      </w:r>
      <w:r w:rsidR="001A69BC" w:rsidRPr="00931609">
        <w:rPr>
          <w:lang w:val="en-GB"/>
        </w:rPr>
        <w:t xml:space="preserve"> </w:t>
      </w: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=119.962 kJ/kg</m:t>
        </m:r>
      </m:oMath>
      <w:r w:rsidRPr="00931609">
        <w:t xml:space="preserve"> for hydrogen heat of combustion (Turns, 2012).</w:t>
      </w:r>
    </w:p>
    <w:p w14:paraId="577940A8" w14:textId="77777777" w:rsidR="00FD0E5B" w:rsidRPr="00931609" w:rsidRDefault="00FD0E5B" w:rsidP="00681719">
      <w:pPr>
        <w:pStyle w:val="CETBodytext"/>
        <w:rPr>
          <w:lang w:val="en-GB"/>
        </w:rPr>
      </w:pPr>
    </w:p>
    <w:p w14:paraId="3B1D25B9" w14:textId="50BE6947" w:rsidR="008337E5" w:rsidRPr="00931609" w:rsidRDefault="00FD0E5B" w:rsidP="00681719">
      <w:pPr>
        <w:pStyle w:val="CETBodytext"/>
      </w:pPr>
      <w:r w:rsidRPr="00931609">
        <w:rPr>
          <w:lang w:val="en-GB"/>
        </w:rPr>
        <w:t xml:space="preserve">The calculated mass flow rates are in line with those measured by Proust et al. (2011). These values allow for an estimation of the heat produces by the hydrogen jet fires. </w:t>
      </w:r>
      <w:r w:rsidRPr="00931609">
        <w:t>S</w:t>
      </w:r>
      <w:r w:rsidR="004719CE" w:rsidRPr="00931609">
        <w:t xml:space="preserve">tarting from these </w:t>
      </w:r>
      <w:r w:rsidRPr="00931609">
        <w:t xml:space="preserve">evaluations, the </w:t>
      </w:r>
      <w:r w:rsidR="00DA5106" w:rsidRPr="00931609">
        <w:t xml:space="preserve">safety </w:t>
      </w:r>
      <w:r w:rsidRPr="00931609">
        <w:t xml:space="preserve">parameters </w:t>
      </w:r>
      <w:r w:rsidR="00DA5106" w:rsidRPr="00931609">
        <w:t xml:space="preserve">can be obtained </w:t>
      </w:r>
      <w:r w:rsidR="008337E5" w:rsidRPr="00931609">
        <w:t xml:space="preserve">(Table </w:t>
      </w:r>
      <w:r w:rsidR="001A69BC" w:rsidRPr="00931609">
        <w:t>3</w:t>
      </w:r>
      <w:r w:rsidR="008337E5" w:rsidRPr="00931609">
        <w:t>).</w:t>
      </w:r>
    </w:p>
    <w:bookmarkEnd w:id="1"/>
    <w:p w14:paraId="1231392B" w14:textId="21A9D954" w:rsidR="008337E5" w:rsidRPr="00931609" w:rsidRDefault="008337E5" w:rsidP="00681719">
      <w:pPr>
        <w:pStyle w:val="CETBodytext"/>
        <w:spacing w:before="240" w:after="80"/>
        <w:rPr>
          <w:i/>
          <w:lang w:val="en-GB"/>
        </w:rPr>
      </w:pPr>
      <w:r w:rsidRPr="00931609">
        <w:rPr>
          <w:i/>
          <w:lang w:val="en-GB"/>
        </w:rPr>
        <w:t xml:space="preserve">Table </w:t>
      </w:r>
      <w:r w:rsidR="001A69BC" w:rsidRPr="00931609">
        <w:rPr>
          <w:i/>
          <w:lang w:val="en-GB"/>
        </w:rPr>
        <w:t>3</w:t>
      </w:r>
      <w:r w:rsidRPr="00931609">
        <w:rPr>
          <w:i/>
          <w:lang w:val="en-GB"/>
        </w:rPr>
        <w:t xml:space="preserve">: </w:t>
      </w:r>
      <w:r w:rsidR="001E2BAE" w:rsidRPr="00931609">
        <w:rPr>
          <w:i/>
          <w:lang w:val="en-GB"/>
        </w:rPr>
        <w:t xml:space="preserve">Safety distance </w:t>
      </w:r>
      <w:r w:rsidR="00FD0E5B" w:rsidRPr="00931609">
        <w:rPr>
          <w:i/>
          <w:lang w:val="en-GB"/>
        </w:rPr>
        <w:t xml:space="preserve">for </w:t>
      </w:r>
      <w:r w:rsidR="001E2BAE" w:rsidRPr="00931609">
        <w:rPr>
          <w:i/>
          <w:lang w:val="en-GB"/>
        </w:rPr>
        <w:t>third-degree burns</w:t>
      </w:r>
      <w:r w:rsidR="00FD0E5B" w:rsidRPr="00931609">
        <w:rPr>
          <w:i/>
          <w:lang w:val="en-GB"/>
        </w:rPr>
        <w:t xml:space="preserve">. The values are calculated by considering a temperature limit of 309 °C and 20 s for the time of </w:t>
      </w:r>
      <w:r w:rsidR="001E2BAE" w:rsidRPr="00931609">
        <w:rPr>
          <w:i/>
          <w:lang w:val="en-GB"/>
        </w:rPr>
        <w:t>exposure.</w:t>
      </w:r>
    </w:p>
    <w:tbl>
      <w:tblPr>
        <w:tblW w:w="5000" w:type="pct"/>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96"/>
        <w:gridCol w:w="2197"/>
        <w:gridCol w:w="2197"/>
        <w:gridCol w:w="2197"/>
      </w:tblGrid>
      <w:tr w:rsidR="00FD0E5B" w:rsidRPr="00931609" w14:paraId="78A7D1B3" w14:textId="77777777" w:rsidTr="00FD0E5B">
        <w:trPr>
          <w:trHeight w:val="316"/>
          <w:jc w:val="center"/>
        </w:trPr>
        <w:tc>
          <w:tcPr>
            <w:tcW w:w="1250" w:type="pct"/>
            <w:tcBorders>
              <w:top w:val="single" w:sz="12" w:space="0" w:color="008000"/>
              <w:bottom w:val="single" w:sz="6" w:space="0" w:color="008000"/>
            </w:tcBorders>
            <w:shd w:val="clear" w:color="auto" w:fill="FFFFFF"/>
          </w:tcPr>
          <w:p w14:paraId="056AE963" w14:textId="77777777" w:rsidR="00FD0E5B" w:rsidRPr="00931609" w:rsidRDefault="00FD0E5B" w:rsidP="00681719">
            <w:pPr>
              <w:pStyle w:val="CETBodytext"/>
              <w:rPr>
                <w:lang w:val="en-GB"/>
              </w:rPr>
            </w:pPr>
            <w:r w:rsidRPr="00931609">
              <w:rPr>
                <w:lang w:val="en-GB"/>
              </w:rPr>
              <w:t>Test</w:t>
            </w:r>
          </w:p>
        </w:tc>
        <w:tc>
          <w:tcPr>
            <w:tcW w:w="1250" w:type="pct"/>
            <w:tcBorders>
              <w:top w:val="single" w:sz="12" w:space="0" w:color="008000"/>
              <w:bottom w:val="single" w:sz="6" w:space="0" w:color="008000"/>
            </w:tcBorders>
            <w:shd w:val="clear" w:color="auto" w:fill="FFFFFF"/>
          </w:tcPr>
          <w:p w14:paraId="7B11EF86" w14:textId="66D164F9" w:rsidR="00FD0E5B" w:rsidRPr="00931609" w:rsidRDefault="00FD0E5B" w:rsidP="00681719">
            <w:pPr>
              <w:pStyle w:val="CETBodytext"/>
              <w:ind w:right="-1"/>
              <w:jc w:val="center"/>
              <w:rPr>
                <w:rFonts w:cs="Arial"/>
                <w:szCs w:val="18"/>
                <w:lang w:val="en-GB"/>
              </w:rPr>
            </w:pPr>
            <w:r w:rsidRPr="00931609">
              <w:rPr>
                <w:rFonts w:cs="Arial"/>
                <w:szCs w:val="18"/>
                <w:lang w:val="en-GB"/>
              </w:rPr>
              <w:t xml:space="preserve">Flame length, LF (m) </w:t>
            </w:r>
          </w:p>
        </w:tc>
        <w:tc>
          <w:tcPr>
            <w:tcW w:w="1250" w:type="pct"/>
            <w:tcBorders>
              <w:top w:val="single" w:sz="12" w:space="0" w:color="008000"/>
              <w:bottom w:val="single" w:sz="6" w:space="0" w:color="008000"/>
            </w:tcBorders>
            <w:shd w:val="clear" w:color="auto" w:fill="FFFFFF"/>
          </w:tcPr>
          <w:p w14:paraId="0F33F4F5" w14:textId="16589E6A" w:rsidR="00FD0E5B" w:rsidRPr="00931609" w:rsidRDefault="00FD0E5B" w:rsidP="00681719">
            <w:pPr>
              <w:pStyle w:val="CETBodytext"/>
              <w:ind w:right="-1"/>
              <w:jc w:val="center"/>
              <w:rPr>
                <w:lang w:val="en-GB"/>
              </w:rPr>
            </w:pPr>
            <w:r w:rsidRPr="00931609">
              <w:rPr>
                <w:lang w:val="en-GB"/>
              </w:rPr>
              <w:t>Separation distance, x (m)</w:t>
            </w:r>
          </w:p>
        </w:tc>
        <w:tc>
          <w:tcPr>
            <w:tcW w:w="1250" w:type="pct"/>
            <w:tcBorders>
              <w:top w:val="single" w:sz="12" w:space="0" w:color="008000"/>
              <w:bottom w:val="single" w:sz="6" w:space="0" w:color="008000"/>
            </w:tcBorders>
            <w:shd w:val="clear" w:color="auto" w:fill="FFFFFF"/>
          </w:tcPr>
          <w:p w14:paraId="57491479" w14:textId="0193C074" w:rsidR="00FD0E5B" w:rsidRPr="00931609" w:rsidRDefault="00FD0E5B" w:rsidP="00681719">
            <w:pPr>
              <w:pStyle w:val="CETBodytext"/>
              <w:ind w:right="-1"/>
              <w:jc w:val="center"/>
              <w:rPr>
                <w:lang w:val="en-GB"/>
              </w:rPr>
            </w:pPr>
            <w:r w:rsidRPr="00931609">
              <w:rPr>
                <w:rFonts w:cs="Arial"/>
                <w:szCs w:val="18"/>
                <w:lang w:val="en-GB"/>
              </w:rPr>
              <w:t>x/LF</w:t>
            </w:r>
          </w:p>
        </w:tc>
      </w:tr>
      <w:tr w:rsidR="00FD0E5B" w:rsidRPr="00931609" w14:paraId="100BB537" w14:textId="77777777" w:rsidTr="00FD0E5B">
        <w:trPr>
          <w:trHeight w:val="316"/>
          <w:jc w:val="center"/>
        </w:trPr>
        <w:tc>
          <w:tcPr>
            <w:tcW w:w="1250" w:type="pct"/>
            <w:shd w:val="clear" w:color="auto" w:fill="FFFFFF"/>
          </w:tcPr>
          <w:p w14:paraId="5924AC39" w14:textId="77777777" w:rsidR="00FD0E5B" w:rsidRPr="00931609" w:rsidRDefault="00FD0E5B" w:rsidP="00681719">
            <w:pPr>
              <w:pStyle w:val="CETBodytext"/>
              <w:rPr>
                <w:lang w:val="en-GB"/>
              </w:rPr>
            </w:pPr>
            <w:r w:rsidRPr="00931609">
              <w:rPr>
                <w:lang w:val="en-GB"/>
              </w:rPr>
              <w:t>Test 1</w:t>
            </w:r>
          </w:p>
        </w:tc>
        <w:tc>
          <w:tcPr>
            <w:tcW w:w="1250" w:type="pct"/>
            <w:shd w:val="clear" w:color="auto" w:fill="FFFFFF"/>
            <w:vAlign w:val="center"/>
          </w:tcPr>
          <w:p w14:paraId="0E1C6EC4" w14:textId="6AC68B2E" w:rsidR="00FD0E5B" w:rsidRPr="00931609" w:rsidRDefault="00FD0E5B" w:rsidP="00681719">
            <w:pPr>
              <w:pStyle w:val="CETBodytext"/>
              <w:ind w:right="-1"/>
              <w:jc w:val="center"/>
              <w:rPr>
                <w:rFonts w:cs="Arial"/>
                <w:szCs w:val="18"/>
                <w:lang w:val="en-GB"/>
              </w:rPr>
            </w:pPr>
            <w:r w:rsidRPr="00931609">
              <w:rPr>
                <w:rFonts w:cs="Arial"/>
                <w:szCs w:val="18"/>
                <w:lang w:val="en-GB"/>
              </w:rPr>
              <w:t>5.5</w:t>
            </w:r>
          </w:p>
        </w:tc>
        <w:tc>
          <w:tcPr>
            <w:tcW w:w="1250" w:type="pct"/>
            <w:shd w:val="clear" w:color="auto" w:fill="FFFFFF"/>
            <w:vAlign w:val="center"/>
          </w:tcPr>
          <w:p w14:paraId="5E8C4B63" w14:textId="11B044B0" w:rsidR="00FD0E5B" w:rsidRPr="00931609" w:rsidRDefault="00FD0E5B" w:rsidP="00681719">
            <w:pPr>
              <w:pStyle w:val="CETBodytext"/>
              <w:ind w:right="-1"/>
              <w:jc w:val="center"/>
              <w:rPr>
                <w:lang w:val="en-GB"/>
              </w:rPr>
            </w:pPr>
            <w:r w:rsidRPr="00931609">
              <w:rPr>
                <w:lang w:val="en-GB"/>
              </w:rPr>
              <w:t>9</w:t>
            </w:r>
          </w:p>
        </w:tc>
        <w:tc>
          <w:tcPr>
            <w:tcW w:w="1250" w:type="pct"/>
            <w:shd w:val="clear" w:color="auto" w:fill="FFFFFF"/>
            <w:vAlign w:val="center"/>
          </w:tcPr>
          <w:p w14:paraId="4734F53F" w14:textId="7BB334B9" w:rsidR="00FD0E5B" w:rsidRPr="00931609" w:rsidRDefault="00FD0E5B" w:rsidP="00681719">
            <w:pPr>
              <w:pStyle w:val="CETBodytext"/>
              <w:ind w:right="-1"/>
              <w:jc w:val="center"/>
              <w:rPr>
                <w:lang w:val="en-GB"/>
              </w:rPr>
            </w:pPr>
            <w:r w:rsidRPr="00931609">
              <w:rPr>
                <w:lang w:val="en-GB"/>
              </w:rPr>
              <w:t>1.6</w:t>
            </w:r>
          </w:p>
        </w:tc>
      </w:tr>
      <w:tr w:rsidR="00FD0E5B" w:rsidRPr="00931609" w14:paraId="4640BBA5" w14:textId="77777777" w:rsidTr="00FD0E5B">
        <w:trPr>
          <w:trHeight w:val="316"/>
          <w:jc w:val="center"/>
        </w:trPr>
        <w:tc>
          <w:tcPr>
            <w:tcW w:w="1250" w:type="pct"/>
            <w:shd w:val="clear" w:color="auto" w:fill="FFFFFF"/>
          </w:tcPr>
          <w:p w14:paraId="033292A2" w14:textId="264B1D54" w:rsidR="00FD0E5B" w:rsidRPr="00931609" w:rsidRDefault="00FD0E5B" w:rsidP="00681719">
            <w:pPr>
              <w:pStyle w:val="CETBodytext"/>
              <w:ind w:right="-1"/>
              <w:rPr>
                <w:lang w:val="en-GB"/>
              </w:rPr>
            </w:pPr>
            <w:r w:rsidRPr="00931609">
              <w:rPr>
                <w:lang w:val="en-GB"/>
              </w:rPr>
              <w:t>Test 2</w:t>
            </w:r>
          </w:p>
        </w:tc>
        <w:tc>
          <w:tcPr>
            <w:tcW w:w="1250" w:type="pct"/>
            <w:shd w:val="clear" w:color="auto" w:fill="FFFFFF"/>
            <w:vAlign w:val="center"/>
          </w:tcPr>
          <w:p w14:paraId="22563A1B" w14:textId="2A447C67" w:rsidR="00FD0E5B" w:rsidRPr="00931609" w:rsidRDefault="00FD0E5B" w:rsidP="00681719">
            <w:pPr>
              <w:pStyle w:val="CETBodytext"/>
              <w:ind w:right="-1"/>
              <w:jc w:val="center"/>
              <w:rPr>
                <w:rFonts w:cs="Arial"/>
                <w:szCs w:val="18"/>
                <w:lang w:val="en-GB"/>
              </w:rPr>
            </w:pPr>
            <w:r w:rsidRPr="00931609">
              <w:rPr>
                <w:rFonts w:cs="Arial"/>
                <w:szCs w:val="18"/>
                <w:lang w:val="en-GB"/>
              </w:rPr>
              <w:t>5.0</w:t>
            </w:r>
          </w:p>
        </w:tc>
        <w:tc>
          <w:tcPr>
            <w:tcW w:w="1250" w:type="pct"/>
            <w:shd w:val="clear" w:color="auto" w:fill="FFFFFF"/>
            <w:vAlign w:val="center"/>
          </w:tcPr>
          <w:p w14:paraId="52BBDBCB" w14:textId="3247C8EA" w:rsidR="00FD0E5B" w:rsidRPr="00931609" w:rsidRDefault="00FD0E5B" w:rsidP="00681719">
            <w:pPr>
              <w:pStyle w:val="CETBodytext"/>
              <w:ind w:right="-1"/>
              <w:jc w:val="center"/>
              <w:rPr>
                <w:lang w:val="en-GB"/>
              </w:rPr>
            </w:pPr>
            <w:r w:rsidRPr="00931609">
              <w:rPr>
                <w:lang w:val="en-GB"/>
              </w:rPr>
              <w:t>7</w:t>
            </w:r>
          </w:p>
        </w:tc>
        <w:tc>
          <w:tcPr>
            <w:tcW w:w="1250" w:type="pct"/>
            <w:shd w:val="clear" w:color="auto" w:fill="FFFFFF"/>
            <w:vAlign w:val="center"/>
          </w:tcPr>
          <w:p w14:paraId="0BEBCFCB" w14:textId="168F848F" w:rsidR="00FD0E5B" w:rsidRPr="00931609" w:rsidRDefault="00FD0E5B" w:rsidP="00681719">
            <w:pPr>
              <w:pStyle w:val="CETBodytext"/>
              <w:ind w:right="-1"/>
              <w:jc w:val="center"/>
              <w:rPr>
                <w:lang w:val="en-GB"/>
              </w:rPr>
            </w:pPr>
            <w:r w:rsidRPr="00931609">
              <w:rPr>
                <w:lang w:val="en-GB"/>
              </w:rPr>
              <w:t>1.4</w:t>
            </w:r>
          </w:p>
        </w:tc>
      </w:tr>
    </w:tbl>
    <w:p w14:paraId="5C2BB8EB" w14:textId="53A51992" w:rsidR="008435BE" w:rsidRPr="00931609" w:rsidRDefault="008435BE" w:rsidP="00681719">
      <w:pPr>
        <w:pStyle w:val="CETBodytext"/>
      </w:pPr>
    </w:p>
    <w:p w14:paraId="0B2B38D1" w14:textId="3B872CC9" w:rsidR="00A76F69" w:rsidRPr="00931609" w:rsidRDefault="00FC2CB2" w:rsidP="00681719">
      <w:pPr>
        <w:pStyle w:val="CETBodytext"/>
      </w:pPr>
      <w:r w:rsidRPr="00931609">
        <w:t>The safety distance can be compared with the jet flame</w:t>
      </w:r>
      <w:r w:rsidR="00585E1F" w:rsidRPr="00931609">
        <w:t xml:space="preserve"> length</w:t>
      </w:r>
      <w:r w:rsidRPr="00931609">
        <w:t xml:space="preserve"> calculated by Eq. </w:t>
      </w:r>
      <w:r w:rsidR="00585E1F" w:rsidRPr="00931609">
        <w:t>6 and Eq. 7</w:t>
      </w:r>
      <w:r w:rsidR="00FD0E5B" w:rsidRPr="00931609">
        <w:t xml:space="preserve">, as reported in </w:t>
      </w:r>
      <w:r w:rsidR="00585E1F" w:rsidRPr="00931609">
        <w:t>Figure 5.</w:t>
      </w:r>
      <w:r w:rsidR="00A76F69" w:rsidRPr="00931609">
        <w:t xml:space="preserve"> Both Test 1 and Test 2 flame lengths are included within the two trends proposed by </w:t>
      </w:r>
      <w:proofErr w:type="spellStart"/>
      <w:r w:rsidR="00A76F69" w:rsidRPr="00931609">
        <w:t>Molkov</w:t>
      </w:r>
      <w:proofErr w:type="spellEnd"/>
      <w:r w:rsidR="00A76F69" w:rsidRPr="00931609">
        <w:t xml:space="preserve"> and </w:t>
      </w:r>
      <w:proofErr w:type="spellStart"/>
      <w:r w:rsidR="00A76F69" w:rsidRPr="00931609">
        <w:t>Saffers</w:t>
      </w:r>
      <w:proofErr w:type="spellEnd"/>
      <w:r w:rsidR="00A76F69" w:rsidRPr="00931609">
        <w:t xml:space="preserve"> (2013). They are </w:t>
      </w:r>
      <w:r w:rsidR="004732B3" w:rsidRPr="00931609">
        <w:t xml:space="preserve">slightly higher than the </w:t>
      </w:r>
      <w:r w:rsidR="00A76F69" w:rsidRPr="00931609">
        <w:t xml:space="preserve">blue, which represents the best fit line of several experimental </w:t>
      </w:r>
      <w:r w:rsidR="004732B3" w:rsidRPr="00931609">
        <w:t xml:space="preserve">data </w:t>
      </w:r>
      <w:r w:rsidR="00A76F69" w:rsidRPr="00931609">
        <w:t>reported in the cited literature</w:t>
      </w:r>
      <w:r w:rsidR="00FD0E5B" w:rsidRPr="00931609">
        <w:t>,</w:t>
      </w:r>
      <w:r w:rsidR="00A76F69" w:rsidRPr="00931609">
        <w:t xml:space="preserve"> </w:t>
      </w:r>
      <w:r w:rsidR="004732B3" w:rsidRPr="00931609">
        <w:t xml:space="preserve">however </w:t>
      </w:r>
      <w:r w:rsidR="00A76F69" w:rsidRPr="00931609">
        <w:t xml:space="preserve">surely within the uncertainties there reported. </w:t>
      </w:r>
    </w:p>
    <w:p w14:paraId="4869F493" w14:textId="5E8EA5A0" w:rsidR="00A76F69" w:rsidRPr="00931609" w:rsidRDefault="00CB66DF" w:rsidP="00681719">
      <w:pPr>
        <w:pStyle w:val="CETBodytext"/>
      </w:pPr>
      <w:r w:rsidRPr="00931609">
        <w:t>On the other hand, t</w:t>
      </w:r>
      <w:r w:rsidR="00A76F69" w:rsidRPr="00931609">
        <w:t>he value</w:t>
      </w:r>
      <w:r w:rsidR="00FD0E5B" w:rsidRPr="00931609">
        <w:t>s</w:t>
      </w:r>
      <w:r w:rsidR="00A76F69" w:rsidRPr="00931609">
        <w:t xml:space="preserve"> of </w:t>
      </w:r>
      <m:oMath>
        <m:sSub>
          <m:sSubPr>
            <m:ctrlPr>
              <w:rPr>
                <w:rFonts w:ascii="Cambria Math" w:hAnsi="Cambria Math"/>
                <w:i/>
              </w:rPr>
            </m:ctrlPr>
          </m:sSubPr>
          <m:e>
            <m:r>
              <w:rPr>
                <w:rFonts w:ascii="Cambria Math" w:hAnsi="Cambria Math"/>
              </w:rPr>
              <m:t>w</m:t>
            </m:r>
          </m:e>
          <m:sub>
            <m:r>
              <w:rPr>
                <w:rFonts w:ascii="Cambria Math" w:hAnsi="Cambria Math"/>
              </w:rPr>
              <m:t>c</m:t>
            </m:r>
          </m:sub>
        </m:sSub>
      </m:oMath>
      <w:r w:rsidRPr="00931609">
        <w:t xml:space="preserve"> </w:t>
      </w:r>
      <w:r w:rsidR="00FD0E5B" w:rsidRPr="00931609">
        <w:t xml:space="preserve">can be </w:t>
      </w:r>
      <w:r w:rsidR="004732B3" w:rsidRPr="00931609">
        <w:t xml:space="preserve">inversely </w:t>
      </w:r>
      <w:r w:rsidRPr="00931609">
        <w:t xml:space="preserve">evaluated </w:t>
      </w:r>
      <w:r w:rsidR="00FD0E5B" w:rsidRPr="00931609">
        <w:t>by</w:t>
      </w:r>
      <w:r w:rsidR="004732B3" w:rsidRPr="00931609">
        <w:t xml:space="preserve"> using</w:t>
      </w:r>
      <w:r w:rsidR="00FD0E5B" w:rsidRPr="00931609">
        <w:t xml:space="preserve"> </w:t>
      </w:r>
      <w:r w:rsidR="004732B3" w:rsidRPr="00931609">
        <w:t xml:space="preserve">the </w:t>
      </w:r>
      <w:r w:rsidRPr="00931609">
        <w:t xml:space="preserve">Eq. 6 </w:t>
      </w:r>
      <w:r w:rsidR="00275D46" w:rsidRPr="00931609">
        <w:t>and</w:t>
      </w:r>
      <w:r w:rsidR="004732B3" w:rsidRPr="00931609">
        <w:t xml:space="preserve"> the experimental LF values</w:t>
      </w:r>
      <w:r w:rsidR="00275D46" w:rsidRPr="00931609">
        <w:t>. In this way, they</w:t>
      </w:r>
      <w:r w:rsidR="004732B3" w:rsidRPr="00931609">
        <w:t xml:space="preserve"> </w:t>
      </w:r>
      <w:r w:rsidRPr="00931609">
        <w:t xml:space="preserve">are respectively </w:t>
      </w:r>
      <w:r w:rsidR="00275D46" w:rsidRPr="00931609">
        <w:t>0.</w:t>
      </w:r>
      <w:r w:rsidR="00FD0E5B" w:rsidRPr="00931609">
        <w:t>172</w:t>
      </w:r>
      <w:r w:rsidRPr="00931609">
        <w:t xml:space="preserve"> kg/s and </w:t>
      </w:r>
      <w:r w:rsidR="0057009D" w:rsidRPr="00931609">
        <w:t>0.</w:t>
      </w:r>
      <w:r w:rsidR="00FD0E5B" w:rsidRPr="00931609">
        <w:t xml:space="preserve">130 </w:t>
      </w:r>
      <w:r w:rsidRPr="00931609">
        <w:t xml:space="preserve">kg/s, </w:t>
      </w:r>
      <w:r w:rsidR="00FD0E5B" w:rsidRPr="00931609">
        <w:t xml:space="preserve">which are </w:t>
      </w:r>
      <w:r w:rsidR="00275D46" w:rsidRPr="00931609">
        <w:t>relatively</w:t>
      </w:r>
      <w:r w:rsidR="00FD0E5B" w:rsidRPr="00931609">
        <w:t xml:space="preserve"> </w:t>
      </w:r>
      <w:r w:rsidR="0057009D" w:rsidRPr="00931609">
        <w:t>higher</w:t>
      </w:r>
      <w:r w:rsidR="00FD0E5B" w:rsidRPr="00931609">
        <w:t xml:space="preserve"> </w:t>
      </w:r>
      <w:r w:rsidR="0057009D" w:rsidRPr="00931609">
        <w:t>than</w:t>
      </w:r>
      <w:r w:rsidR="00FD0E5B" w:rsidRPr="00931609">
        <w:t xml:space="preserve"> </w:t>
      </w:r>
      <w:r w:rsidR="00275D46" w:rsidRPr="00931609">
        <w:t>0.</w:t>
      </w:r>
      <w:r w:rsidR="00FD0E5B" w:rsidRPr="00931609">
        <w:t>127</w:t>
      </w:r>
      <w:r w:rsidR="0057009D" w:rsidRPr="00931609">
        <w:t xml:space="preserve"> </w:t>
      </w:r>
      <w:r w:rsidR="00FD0E5B" w:rsidRPr="00931609">
        <w:t xml:space="preserve">kg/s and </w:t>
      </w:r>
      <w:r w:rsidR="00275D46" w:rsidRPr="00931609">
        <w:t>0.</w:t>
      </w:r>
      <w:r w:rsidR="00FD0E5B" w:rsidRPr="00931609">
        <w:t>0</w:t>
      </w:r>
      <w:r w:rsidR="00275D46" w:rsidRPr="00931609">
        <w:t>70</w:t>
      </w:r>
      <w:r w:rsidR="00FD0E5B" w:rsidRPr="00931609">
        <w:t xml:space="preserve"> kg/s</w:t>
      </w:r>
      <w:r w:rsidR="004732B3" w:rsidRPr="00931609">
        <w:t xml:space="preserve"> here calculated</w:t>
      </w:r>
      <w:r w:rsidR="00FD0E5B" w:rsidRPr="00931609">
        <w:t xml:space="preserve">. This discrepancy </w:t>
      </w:r>
      <w:r w:rsidR="004732B3" w:rsidRPr="00931609">
        <w:t xml:space="preserve">is possibly </w:t>
      </w:r>
      <w:r w:rsidR="00FD0E5B" w:rsidRPr="00931609">
        <w:t xml:space="preserve">related to </w:t>
      </w:r>
      <w:r w:rsidR="004732B3" w:rsidRPr="00931609">
        <w:t xml:space="preserve">the experimental uncertainties, to the </w:t>
      </w:r>
      <w:r w:rsidR="00FD0E5B" w:rsidRPr="00931609">
        <w:t xml:space="preserve">non-ideality of </w:t>
      </w:r>
      <w:r w:rsidR="00720603" w:rsidRPr="00931609">
        <w:t xml:space="preserve">the </w:t>
      </w:r>
      <w:r w:rsidR="00FD0E5B" w:rsidRPr="00931609">
        <w:t xml:space="preserve">hydrogen </w:t>
      </w:r>
      <w:r w:rsidR="004732B3" w:rsidRPr="00931609">
        <w:t xml:space="preserve">release, and the concept of the limit temperature for the jet flame boundary. </w:t>
      </w:r>
    </w:p>
    <w:p w14:paraId="1F9CAC1F" w14:textId="0F5B0CFE" w:rsidR="00CB66DF" w:rsidRPr="00931609" w:rsidRDefault="00CB66DF" w:rsidP="00681719">
      <w:pPr>
        <w:pStyle w:val="CETBodytext"/>
      </w:pPr>
    </w:p>
    <w:p w14:paraId="3DFC3068" w14:textId="39EF9A1E" w:rsidR="004732B3" w:rsidRPr="00931609" w:rsidRDefault="0057009D" w:rsidP="00681719">
      <w:pPr>
        <w:pStyle w:val="CETBodytext"/>
        <w:jc w:val="left"/>
      </w:pPr>
      <w:r w:rsidRPr="00931609">
        <w:rPr>
          <w:noProof/>
          <w:lang w:val="it-IT" w:eastAsia="it-IT"/>
        </w:rPr>
        <w:drawing>
          <wp:inline distT="0" distB="0" distL="0" distR="0" wp14:anchorId="18BFE9E2" wp14:editId="7F67DF92">
            <wp:extent cx="3520440" cy="2695976"/>
            <wp:effectExtent l="0" t="0" r="0" b="0"/>
            <wp:docPr id="2" name="Immagine 2" descr="Project Path: C:\Users\carbmat91702\OneDrive - Università degli Studi di Padova\ONEDRIVE\DOTTORATO PADOVA\IDROGENO\Prove 15032019\Cisap\double-X_ver.2_ CISAP.opju&#10;PE Folder: &#10;Short Name: Graph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8571" cy="2778784"/>
                    </a:xfrm>
                    <a:prstGeom prst="rect">
                      <a:avLst/>
                    </a:prstGeom>
                    <a:noFill/>
                    <a:ln>
                      <a:noFill/>
                    </a:ln>
                  </pic:spPr>
                </pic:pic>
              </a:graphicData>
            </a:graphic>
          </wp:inline>
        </w:drawing>
      </w:r>
    </w:p>
    <w:p w14:paraId="0ED9E937" w14:textId="77777777" w:rsidR="004732B3" w:rsidRPr="00931609" w:rsidRDefault="004732B3" w:rsidP="00681719">
      <w:pPr>
        <w:pStyle w:val="CETBodytext"/>
        <w:spacing w:before="240" w:after="240"/>
        <w:rPr>
          <w:i/>
        </w:rPr>
      </w:pPr>
      <w:r w:rsidRPr="00931609">
        <w:rPr>
          <w:i/>
        </w:rPr>
        <w:t>Figure 5: Flame length with respect to the mass flow rate.</w:t>
      </w:r>
    </w:p>
    <w:p w14:paraId="2E874950" w14:textId="77777777" w:rsidR="00A76F69" w:rsidRPr="00931609" w:rsidRDefault="00A76F69" w:rsidP="00681719">
      <w:pPr>
        <w:pStyle w:val="CETHeading1"/>
        <w:spacing w:line="264" w:lineRule="auto"/>
        <w:rPr>
          <w:lang w:val="en-GB"/>
        </w:rPr>
      </w:pPr>
      <w:r w:rsidRPr="00931609">
        <w:rPr>
          <w:lang w:val="en-GB"/>
        </w:rPr>
        <w:lastRenderedPageBreak/>
        <w:t>Conclusions</w:t>
      </w:r>
    </w:p>
    <w:p w14:paraId="7FFD2248" w14:textId="4EF8EB95" w:rsidR="00A76F69" w:rsidRPr="00931609" w:rsidRDefault="00A76F69" w:rsidP="00681719">
      <w:pPr>
        <w:pStyle w:val="CETBodytext"/>
        <w:rPr>
          <w:lang w:val="en-GB"/>
        </w:rPr>
      </w:pPr>
      <w:r w:rsidRPr="00931609">
        <w:rPr>
          <w:lang w:val="en-GB"/>
        </w:rPr>
        <w:t>This work presents an experimental investigation on high</w:t>
      </w:r>
      <w:r w:rsidR="004F755C" w:rsidRPr="00931609">
        <w:rPr>
          <w:lang w:val="en-GB"/>
        </w:rPr>
        <w:t>-</w:t>
      </w:r>
      <w:r w:rsidRPr="00931609">
        <w:rPr>
          <w:lang w:val="en-GB"/>
        </w:rPr>
        <w:t>pressure hydrogen release from a horizontal pipeline. The temperature distribution was evaluated by means of conveniently allocated thermocouples and visible and infrared digital techniques.</w:t>
      </w:r>
      <w:r w:rsidR="009A5463" w:rsidRPr="00931609">
        <w:rPr>
          <w:lang w:val="en-GB"/>
        </w:rPr>
        <w:t xml:space="preserve"> </w:t>
      </w:r>
      <w:r w:rsidRPr="00931609">
        <w:rPr>
          <w:lang w:val="en-GB"/>
        </w:rPr>
        <w:t>Obtained results were compared with data published in the literature, and empirical correlation</w:t>
      </w:r>
      <w:r w:rsidR="0057009D" w:rsidRPr="00931609">
        <w:rPr>
          <w:lang w:val="en-GB"/>
        </w:rPr>
        <w:t>s</w:t>
      </w:r>
      <w:r w:rsidRPr="00931609">
        <w:rPr>
          <w:lang w:val="en-GB"/>
        </w:rPr>
        <w:t xml:space="preserve"> developed to characterize the accidental release of hydrogen from lower pressure systems. The agreement between the different data sources confirms the validity of the adopted approaches at higher pressure, as well. This conclusion represents an essential step for the evaluation of domino-related risks in hydrogen </w:t>
      </w:r>
      <w:proofErr w:type="spellStart"/>
      <w:r w:rsidR="0057009D" w:rsidRPr="00931609">
        <w:rPr>
          <w:lang w:val="en-GB"/>
        </w:rPr>
        <w:t>refueling</w:t>
      </w:r>
      <w:proofErr w:type="spellEnd"/>
      <w:r w:rsidRPr="00931609">
        <w:rPr>
          <w:lang w:val="en-GB"/>
        </w:rPr>
        <w:t xml:space="preserve"> stations.</w:t>
      </w:r>
      <w:r w:rsidR="009A5463" w:rsidRPr="00931609">
        <w:rPr>
          <w:lang w:val="en-GB"/>
        </w:rPr>
        <w:t xml:space="preserve"> For future tests, the use of the optical technique as large-scale background oriented </w:t>
      </w:r>
      <w:r w:rsidR="00720603" w:rsidRPr="00931609">
        <w:rPr>
          <w:lang w:val="en-GB"/>
        </w:rPr>
        <w:t>S</w:t>
      </w:r>
      <w:r w:rsidR="009A5463" w:rsidRPr="00931609">
        <w:rPr>
          <w:lang w:val="en-GB"/>
        </w:rPr>
        <w:t xml:space="preserve">chlieren could be of great assistance to characterized hydrogen flame. Furthermore, the addition of a flowmeter to the experimental set-up could be very useful to identify the hydrogen mass flow rate at the exit of the nozzle. </w:t>
      </w:r>
    </w:p>
    <w:p w14:paraId="1481C214" w14:textId="77777777" w:rsidR="004732B3" w:rsidRPr="00931609" w:rsidRDefault="004732B3" w:rsidP="00681719">
      <w:pPr>
        <w:pStyle w:val="CETReference"/>
      </w:pPr>
      <w:r w:rsidRPr="00931609">
        <w:t>References</w:t>
      </w:r>
    </w:p>
    <w:p w14:paraId="6BF65D91" w14:textId="77777777" w:rsidR="004732B3" w:rsidRPr="00931609" w:rsidRDefault="004732B3" w:rsidP="00681719">
      <w:pPr>
        <w:pStyle w:val="CETReferencetext"/>
      </w:pPr>
      <w:proofErr w:type="spellStart"/>
      <w:r w:rsidRPr="00931609">
        <w:t>Bragin</w:t>
      </w:r>
      <w:proofErr w:type="spellEnd"/>
      <w:r w:rsidRPr="00931609">
        <w:t xml:space="preserve"> M.V. and </w:t>
      </w:r>
      <w:proofErr w:type="spellStart"/>
      <w:r w:rsidRPr="00931609">
        <w:t>Molkov</w:t>
      </w:r>
      <w:proofErr w:type="spellEnd"/>
      <w:r w:rsidRPr="00931609">
        <w:t xml:space="preserve"> V., 2010, Physics of spontaneous ignition of high-pressure hydrogen release and transition to jet fire, Int. J. Hydrogen Energy, 36, 2589–2596.</w:t>
      </w:r>
    </w:p>
    <w:p w14:paraId="65707D48" w14:textId="467B7E49" w:rsidR="004732B3" w:rsidRPr="00931609" w:rsidRDefault="004732B3" w:rsidP="00681719">
      <w:pPr>
        <w:pStyle w:val="CETReferencetext"/>
      </w:pPr>
      <w:r w:rsidRPr="00931609">
        <w:t xml:space="preserve">Brunner T. and Kircher O., 2016, </w:t>
      </w:r>
      <w:proofErr w:type="spellStart"/>
      <w:r w:rsidRPr="00931609">
        <w:t>Cryo</w:t>
      </w:r>
      <w:proofErr w:type="spellEnd"/>
      <w:r w:rsidRPr="00931609">
        <w:t xml:space="preserve">-Compressed Hydrogen Storage, </w:t>
      </w:r>
      <w:proofErr w:type="spellStart"/>
      <w:r w:rsidRPr="00931609">
        <w:t>Hydrog</w:t>
      </w:r>
      <w:proofErr w:type="spellEnd"/>
      <w:r w:rsidRPr="00931609">
        <w:t>. Sci. Eng. Mater. Process. Syst. Technol., 2, 711–732.</w:t>
      </w:r>
    </w:p>
    <w:p w14:paraId="0AA8A079" w14:textId="3CCA907B" w:rsidR="00050901" w:rsidRPr="00931609" w:rsidRDefault="00050901" w:rsidP="00681719">
      <w:pPr>
        <w:pStyle w:val="CETReferencetext"/>
        <w:rPr>
          <w:lang w:val="en-US"/>
        </w:rPr>
      </w:pPr>
      <w:proofErr w:type="spellStart"/>
      <w:r w:rsidRPr="00931609">
        <w:rPr>
          <w:lang w:val="en-US"/>
        </w:rPr>
        <w:t>Casal</w:t>
      </w:r>
      <w:proofErr w:type="spellEnd"/>
      <w:r w:rsidRPr="00931609">
        <w:rPr>
          <w:lang w:val="en-US"/>
        </w:rPr>
        <w:t xml:space="preserve"> J., M. G. Mares, M. Muñoz,</w:t>
      </w:r>
      <w:r w:rsidR="00EF65B5" w:rsidRPr="00931609">
        <w:rPr>
          <w:lang w:val="en-US"/>
        </w:rPr>
        <w:t xml:space="preserve"> A. Palacios, 2012, Jet Fires: a “Minor” Fire Hazard?, </w:t>
      </w:r>
      <w:r w:rsidR="00EF65B5" w:rsidRPr="00931609">
        <w:t xml:space="preserve">Chemical Engineering Transactions, </w:t>
      </w:r>
      <w:r w:rsidR="00CE5AF2" w:rsidRPr="00931609">
        <w:t>26</w:t>
      </w:r>
      <w:r w:rsidR="00EF65B5" w:rsidRPr="00931609">
        <w:t>, 1</w:t>
      </w:r>
      <w:r w:rsidR="00CE5AF2" w:rsidRPr="00931609">
        <w:t>3</w:t>
      </w:r>
      <w:r w:rsidR="00EF65B5" w:rsidRPr="00931609">
        <w:t>-2</w:t>
      </w:r>
      <w:r w:rsidR="00CE5AF2" w:rsidRPr="00931609">
        <w:t>0</w:t>
      </w:r>
      <w:r w:rsidR="00EF65B5" w:rsidRPr="00931609">
        <w:t>.</w:t>
      </w:r>
    </w:p>
    <w:p w14:paraId="27832BDE" w14:textId="70078EC8" w:rsidR="004732B3" w:rsidRPr="00931609" w:rsidRDefault="004732B3" w:rsidP="00681719">
      <w:pPr>
        <w:pStyle w:val="CETReferencetext"/>
      </w:pPr>
      <w:proofErr w:type="spellStart"/>
      <w:r w:rsidRPr="00931609">
        <w:t>Cirrone</w:t>
      </w:r>
      <w:proofErr w:type="spellEnd"/>
      <w:r w:rsidRPr="00931609">
        <w:t xml:space="preserve"> D.M.C., Makarov D., and </w:t>
      </w:r>
      <w:proofErr w:type="spellStart"/>
      <w:r w:rsidRPr="00931609">
        <w:t>Molkov</w:t>
      </w:r>
      <w:proofErr w:type="spellEnd"/>
      <w:r w:rsidRPr="00931609">
        <w:t xml:space="preserve"> V., 2018, Simulation of thermal hazards from hydrogen under-expanded jet fire, Int. J. Hydrogen Energy, 2–8.</w:t>
      </w:r>
    </w:p>
    <w:p w14:paraId="6CFD72FC" w14:textId="07CCFEE5" w:rsidR="00A8788B" w:rsidRDefault="00A8788B" w:rsidP="00681719">
      <w:pPr>
        <w:pStyle w:val="CETReferencetext"/>
      </w:pPr>
      <w:r w:rsidRPr="00931609">
        <w:t>Hansen O.R., 2019, Hydrogen Infrastructure - Efficient risk assessment and design optimization approach, Chemical Engineering Transactions, 77, 19-24.</w:t>
      </w:r>
    </w:p>
    <w:p w14:paraId="40FA59AE" w14:textId="77777777" w:rsidR="00681719" w:rsidRPr="00931609" w:rsidRDefault="00681719" w:rsidP="00681719">
      <w:pPr>
        <w:pStyle w:val="CETReferencetext"/>
      </w:pPr>
      <w:r w:rsidRPr="00931609">
        <w:t xml:space="preserve">Hess K, </w:t>
      </w:r>
      <w:proofErr w:type="spellStart"/>
      <w:r w:rsidRPr="00931609">
        <w:t>Leuckel</w:t>
      </w:r>
      <w:proofErr w:type="spellEnd"/>
      <w:r w:rsidRPr="00931609">
        <w:t xml:space="preserve"> W, </w:t>
      </w:r>
      <w:proofErr w:type="spellStart"/>
      <w:r w:rsidRPr="00931609">
        <w:t>Stoeckel</w:t>
      </w:r>
      <w:proofErr w:type="spellEnd"/>
      <w:r w:rsidRPr="00931609">
        <w:t xml:space="preserve"> A, 1973, </w:t>
      </w:r>
      <w:proofErr w:type="spellStart"/>
      <w:r w:rsidRPr="00931609">
        <w:t>Ausbildung</w:t>
      </w:r>
      <w:proofErr w:type="spellEnd"/>
      <w:r w:rsidRPr="00931609">
        <w:t xml:space="preserve"> von </w:t>
      </w:r>
      <w:proofErr w:type="spellStart"/>
      <w:r w:rsidRPr="00931609">
        <w:t>Explosiblen</w:t>
      </w:r>
      <w:proofErr w:type="spellEnd"/>
      <w:r w:rsidRPr="00931609">
        <w:t xml:space="preserve"> </w:t>
      </w:r>
      <w:proofErr w:type="spellStart"/>
      <w:r w:rsidRPr="00931609">
        <w:t>Gaswolken</w:t>
      </w:r>
      <w:proofErr w:type="spellEnd"/>
      <w:r w:rsidRPr="00931609">
        <w:t xml:space="preserve"> </w:t>
      </w:r>
      <w:proofErr w:type="spellStart"/>
      <w:r w:rsidRPr="00931609">
        <w:t>bei</w:t>
      </w:r>
      <w:proofErr w:type="spellEnd"/>
      <w:r w:rsidRPr="00931609">
        <w:t xml:space="preserve"> </w:t>
      </w:r>
      <w:proofErr w:type="spellStart"/>
      <w:r w:rsidRPr="00931609">
        <w:t>Uberdachentspannung</w:t>
      </w:r>
      <w:proofErr w:type="spellEnd"/>
      <w:r w:rsidRPr="00931609">
        <w:t xml:space="preserve"> und </w:t>
      </w:r>
      <w:proofErr w:type="spellStart"/>
      <w:r w:rsidRPr="00931609">
        <w:t>MaBnahmen</w:t>
      </w:r>
      <w:proofErr w:type="spellEnd"/>
      <w:r w:rsidRPr="00931609">
        <w:t xml:space="preserve"> </w:t>
      </w:r>
      <w:proofErr w:type="spellStart"/>
      <w:r w:rsidRPr="00931609">
        <w:t>zu</w:t>
      </w:r>
      <w:proofErr w:type="spellEnd"/>
      <w:r w:rsidRPr="00931609">
        <w:t xml:space="preserve"> </w:t>
      </w:r>
      <w:proofErr w:type="spellStart"/>
      <w:r w:rsidRPr="00931609">
        <w:t>deren</w:t>
      </w:r>
      <w:proofErr w:type="spellEnd"/>
      <w:r w:rsidRPr="00931609">
        <w:t xml:space="preserve"> </w:t>
      </w:r>
      <w:proofErr w:type="spellStart"/>
      <w:r w:rsidRPr="00931609">
        <w:t>Vermeidung</w:t>
      </w:r>
      <w:proofErr w:type="spellEnd"/>
      <w:r w:rsidRPr="00931609">
        <w:t xml:space="preserve">, Chem. </w:t>
      </w:r>
      <w:proofErr w:type="spellStart"/>
      <w:r w:rsidRPr="00931609">
        <w:t>Ing</w:t>
      </w:r>
      <w:proofErr w:type="spellEnd"/>
      <w:r w:rsidRPr="00931609">
        <w:t>. Tech, 45, 5323-5329.</w:t>
      </w:r>
    </w:p>
    <w:p w14:paraId="6E36AF06" w14:textId="77777777" w:rsidR="004732B3" w:rsidRPr="00931609" w:rsidRDefault="004732B3" w:rsidP="00681719">
      <w:pPr>
        <w:pStyle w:val="CETReferencetext"/>
      </w:pPr>
      <w:r w:rsidRPr="00931609">
        <w:t>Lees F. P., 1996, Loss Prevention in the Process Industries Hazard Identification, Assessment and Control, Butterworth-Heinemann.</w:t>
      </w:r>
    </w:p>
    <w:p w14:paraId="0A2C0B52" w14:textId="15D2DE44" w:rsidR="00FA4175" w:rsidRPr="00931609" w:rsidRDefault="00FA4175" w:rsidP="00681719">
      <w:pPr>
        <w:pStyle w:val="CETReferencetext"/>
      </w:pPr>
      <w:r w:rsidRPr="00931609">
        <w:t>Liu X. and Zhang Q., 2014, Influence of initial pressure and temperature on flammability limits of hydrogen-air, Int. J. Hydrogen Energy. 39, 6774–6782.</w:t>
      </w:r>
    </w:p>
    <w:p w14:paraId="56BAEFFA" w14:textId="77777777" w:rsidR="00FA4175" w:rsidRPr="00931609" w:rsidRDefault="00FA4175" w:rsidP="00681719">
      <w:pPr>
        <w:pStyle w:val="CETReferencetext"/>
      </w:pPr>
      <w:proofErr w:type="spellStart"/>
      <w:r w:rsidRPr="00931609">
        <w:t>Molkov</w:t>
      </w:r>
      <w:proofErr w:type="spellEnd"/>
      <w:r w:rsidRPr="00931609">
        <w:t xml:space="preserve"> V. and </w:t>
      </w:r>
      <w:proofErr w:type="spellStart"/>
      <w:r w:rsidRPr="00931609">
        <w:t>Saffers</w:t>
      </w:r>
      <w:proofErr w:type="spellEnd"/>
      <w:r w:rsidRPr="00931609">
        <w:t xml:space="preserve"> J. B., 2013, Hydrogen jet flames, Int. J. Hydrogen Energy, 38, 8141–8158.</w:t>
      </w:r>
    </w:p>
    <w:p w14:paraId="5C952395" w14:textId="77777777" w:rsidR="00FA4175" w:rsidRPr="00931609" w:rsidRDefault="00FA4175" w:rsidP="00681719">
      <w:pPr>
        <w:pStyle w:val="CETReferencetext"/>
      </w:pPr>
      <w:r w:rsidRPr="00931609">
        <w:t xml:space="preserve">Moradi R. and </w:t>
      </w:r>
      <w:proofErr w:type="spellStart"/>
      <w:r w:rsidRPr="00931609">
        <w:t>Groth</w:t>
      </w:r>
      <w:proofErr w:type="spellEnd"/>
      <w:r w:rsidRPr="00931609">
        <w:t xml:space="preserve"> K. M., 2019, Hydrogen storage and delivery: Review of the state of the art technologies and risk and reliability analysis, Int. J. Hydrogen Energy, 44, 12254–12269.</w:t>
      </w:r>
    </w:p>
    <w:p w14:paraId="6082FC32" w14:textId="77777777" w:rsidR="00FA4175" w:rsidRPr="00931609" w:rsidRDefault="00FA4175" w:rsidP="00681719">
      <w:pPr>
        <w:pStyle w:val="CETReferencetext"/>
      </w:pPr>
      <w:r w:rsidRPr="00931609">
        <w:t xml:space="preserve">Proust C., </w:t>
      </w:r>
      <w:proofErr w:type="spellStart"/>
      <w:r w:rsidRPr="00931609">
        <w:t>Jamois</w:t>
      </w:r>
      <w:proofErr w:type="spellEnd"/>
      <w:r w:rsidRPr="00931609">
        <w:t xml:space="preserve"> D., and Studer E., 2011, High pressure hydrogen fires, Int. J. Hydrogen Energy, 36, 2367–2373.</w:t>
      </w:r>
    </w:p>
    <w:p w14:paraId="1C11E7AD" w14:textId="77777777" w:rsidR="00FA4175" w:rsidRPr="00931609" w:rsidRDefault="00FA4175" w:rsidP="00681719">
      <w:pPr>
        <w:pStyle w:val="CETReferencetext"/>
      </w:pPr>
      <w:r w:rsidRPr="00931609">
        <w:t>Salzano E., Pio G., Ricca A., and Palma V., 2018, The effect of a hydrogen addition to the premixed flame structure of light alkanes, Fuel, 234, 1064–1070.</w:t>
      </w:r>
    </w:p>
    <w:p w14:paraId="75F1A5B2" w14:textId="77777777" w:rsidR="00FA4175" w:rsidRPr="00931609" w:rsidRDefault="00FA4175" w:rsidP="00681719">
      <w:pPr>
        <w:pStyle w:val="CETReferencetext"/>
      </w:pPr>
      <w:proofErr w:type="spellStart"/>
      <w:r w:rsidRPr="00931609">
        <w:t>Schefer</w:t>
      </w:r>
      <w:proofErr w:type="spellEnd"/>
      <w:r w:rsidRPr="00931609">
        <w:t xml:space="preserve"> R. W., </w:t>
      </w:r>
      <w:proofErr w:type="spellStart"/>
      <w:r w:rsidRPr="00931609">
        <w:t>Houf</w:t>
      </w:r>
      <w:proofErr w:type="spellEnd"/>
      <w:r w:rsidRPr="00931609">
        <w:t xml:space="preserve"> W. G., Bourne B., and Colton J., 2006, Spatial and radiative properties of an open-flame hydrogen plume, Int. J. Hydrogen Energy, 31, 1332–1340.</w:t>
      </w:r>
    </w:p>
    <w:p w14:paraId="526E934D" w14:textId="77777777" w:rsidR="00FA4175" w:rsidRPr="00931609" w:rsidRDefault="00FA4175" w:rsidP="00681719">
      <w:pPr>
        <w:pStyle w:val="CETReferencetext"/>
      </w:pPr>
      <w:proofErr w:type="spellStart"/>
      <w:r w:rsidRPr="00931609">
        <w:t>Schefer</w:t>
      </w:r>
      <w:proofErr w:type="spellEnd"/>
      <w:r w:rsidRPr="00931609">
        <w:t xml:space="preserve"> R. W., </w:t>
      </w:r>
      <w:proofErr w:type="spellStart"/>
      <w:r w:rsidRPr="00931609">
        <w:t>Houf</w:t>
      </w:r>
      <w:proofErr w:type="spellEnd"/>
      <w:r w:rsidRPr="00931609">
        <w:t xml:space="preserve"> W. G, Williams T. C., Bourne B., and Colton J., 2007, Characterization of high-pressure, </w:t>
      </w:r>
      <w:proofErr w:type="spellStart"/>
      <w:r w:rsidRPr="00931609">
        <w:t>underexpanded</w:t>
      </w:r>
      <w:proofErr w:type="spellEnd"/>
      <w:r w:rsidRPr="00931609">
        <w:t xml:space="preserve"> hydrogen-jet flames, Int. J. Hydrogen Energy, 32, 2081–2093.</w:t>
      </w:r>
    </w:p>
    <w:p w14:paraId="7715D1B4" w14:textId="77777777" w:rsidR="00FA4175" w:rsidRPr="00931609" w:rsidRDefault="00FA4175" w:rsidP="00681719">
      <w:pPr>
        <w:pStyle w:val="CETReferencetext"/>
      </w:pPr>
      <w:r w:rsidRPr="00931609">
        <w:t>Turns S. R., 2012, An introduction to combustion, McGraw-Hill.</w:t>
      </w:r>
    </w:p>
    <w:p w14:paraId="1B1AD357" w14:textId="77777777" w:rsidR="00FA4175" w:rsidRPr="00931609" w:rsidRDefault="00FA4175" w:rsidP="00681719">
      <w:pPr>
        <w:pStyle w:val="CETReferencetext"/>
      </w:pPr>
      <w:r w:rsidRPr="00931609">
        <w:t>White C. M., Steeper R. R., and Lutz A. E., 2006, The hydrogen-</w:t>
      </w:r>
      <w:proofErr w:type="spellStart"/>
      <w:r w:rsidRPr="00931609">
        <w:t>fueled</w:t>
      </w:r>
      <w:proofErr w:type="spellEnd"/>
      <w:r w:rsidRPr="00931609">
        <w:t xml:space="preserve"> internal combustion engine: a technical review, Int. J. Hydrogen Energy, 31, 1292–1305.</w:t>
      </w:r>
    </w:p>
    <w:p w14:paraId="5A55DF36" w14:textId="1FD6123C" w:rsidR="002E783D" w:rsidRDefault="00FA4175" w:rsidP="00681719">
      <w:pPr>
        <w:pStyle w:val="CETReferencetext"/>
      </w:pPr>
      <w:r w:rsidRPr="00931609">
        <w:t xml:space="preserve">Xiao J., </w:t>
      </w:r>
      <w:proofErr w:type="spellStart"/>
      <w:r w:rsidRPr="00931609">
        <w:t>Kuznetsov</w:t>
      </w:r>
      <w:proofErr w:type="spellEnd"/>
      <w:r w:rsidRPr="00931609">
        <w:t xml:space="preserve"> M., and Travis J. R., 2018, Experimental and numerical investigations of hydrogen jet fire in a vented compartment, Int. J. Hydrogen Energy, 43, 10167–10184.</w:t>
      </w:r>
    </w:p>
    <w:p w14:paraId="20B4CF91" w14:textId="53F735D5" w:rsidR="00DD17AD" w:rsidRDefault="00DD17AD" w:rsidP="00681719">
      <w:pPr>
        <w:pStyle w:val="CETReferencetext"/>
      </w:pPr>
      <w:bookmarkStart w:id="2" w:name="_GoBack"/>
      <w:bookmarkEnd w:id="2"/>
    </w:p>
    <w:sectPr w:rsidR="00DD17AD"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BD1B3" w14:textId="77777777" w:rsidR="00D86BF9" w:rsidRDefault="00D86BF9" w:rsidP="004F5E36">
      <w:r>
        <w:separator/>
      </w:r>
    </w:p>
  </w:endnote>
  <w:endnote w:type="continuationSeparator" w:id="0">
    <w:p w14:paraId="0C31015E" w14:textId="77777777" w:rsidR="00D86BF9" w:rsidRDefault="00D86BF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libri"/>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DD49C" w14:textId="77777777" w:rsidR="00D86BF9" w:rsidRDefault="00D86BF9" w:rsidP="004F5E36">
      <w:r>
        <w:separator/>
      </w:r>
    </w:p>
  </w:footnote>
  <w:footnote w:type="continuationSeparator" w:id="0">
    <w:p w14:paraId="2FD83EE2" w14:textId="77777777" w:rsidR="00D86BF9" w:rsidRDefault="00D86BF9"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3415DD2"/>
    <w:multiLevelType w:val="hybridMultilevel"/>
    <w:tmpl w:val="2D94D9C4"/>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kwNqkFAAB+DfstAAAA"/>
  </w:docVars>
  <w:rsids>
    <w:rsidRoot w:val="000E414A"/>
    <w:rsid w:val="000027C0"/>
    <w:rsid w:val="000052FB"/>
    <w:rsid w:val="00005DFB"/>
    <w:rsid w:val="0000649C"/>
    <w:rsid w:val="000117CB"/>
    <w:rsid w:val="000218D2"/>
    <w:rsid w:val="0003148D"/>
    <w:rsid w:val="00050901"/>
    <w:rsid w:val="00051566"/>
    <w:rsid w:val="00055DF1"/>
    <w:rsid w:val="00062A9A"/>
    <w:rsid w:val="00065058"/>
    <w:rsid w:val="00086C39"/>
    <w:rsid w:val="000954F0"/>
    <w:rsid w:val="00097C39"/>
    <w:rsid w:val="000A03B2"/>
    <w:rsid w:val="000C012B"/>
    <w:rsid w:val="000C1EEF"/>
    <w:rsid w:val="000D0268"/>
    <w:rsid w:val="000D34BE"/>
    <w:rsid w:val="000E0BD9"/>
    <w:rsid w:val="000E102F"/>
    <w:rsid w:val="000E2D84"/>
    <w:rsid w:val="000E36F1"/>
    <w:rsid w:val="000E3A73"/>
    <w:rsid w:val="000E414A"/>
    <w:rsid w:val="000F093C"/>
    <w:rsid w:val="000F787B"/>
    <w:rsid w:val="000F7CE8"/>
    <w:rsid w:val="0011003D"/>
    <w:rsid w:val="0012091F"/>
    <w:rsid w:val="00126BC2"/>
    <w:rsid w:val="001308B6"/>
    <w:rsid w:val="0013121F"/>
    <w:rsid w:val="00131FE6"/>
    <w:rsid w:val="0013263F"/>
    <w:rsid w:val="00134DE4"/>
    <w:rsid w:val="0014034D"/>
    <w:rsid w:val="00150E59"/>
    <w:rsid w:val="00152DE3"/>
    <w:rsid w:val="001559FC"/>
    <w:rsid w:val="00164AF0"/>
    <w:rsid w:val="00164CF9"/>
    <w:rsid w:val="001667A6"/>
    <w:rsid w:val="00184AD6"/>
    <w:rsid w:val="0019581F"/>
    <w:rsid w:val="001A1294"/>
    <w:rsid w:val="001A4AF7"/>
    <w:rsid w:val="001A69BC"/>
    <w:rsid w:val="001B0225"/>
    <w:rsid w:val="001B0349"/>
    <w:rsid w:val="001B4D93"/>
    <w:rsid w:val="001B65C1"/>
    <w:rsid w:val="001C670D"/>
    <w:rsid w:val="001C684B"/>
    <w:rsid w:val="001D53FC"/>
    <w:rsid w:val="001D6C72"/>
    <w:rsid w:val="001D6F98"/>
    <w:rsid w:val="001E2BAE"/>
    <w:rsid w:val="001E70B0"/>
    <w:rsid w:val="001F1E16"/>
    <w:rsid w:val="001F42A5"/>
    <w:rsid w:val="001F7B9D"/>
    <w:rsid w:val="00201D07"/>
    <w:rsid w:val="0020489F"/>
    <w:rsid w:val="002224B4"/>
    <w:rsid w:val="00223EA2"/>
    <w:rsid w:val="00225AEB"/>
    <w:rsid w:val="002356E4"/>
    <w:rsid w:val="002447EF"/>
    <w:rsid w:val="00246EA9"/>
    <w:rsid w:val="00251550"/>
    <w:rsid w:val="002634B9"/>
    <w:rsid w:val="00263B05"/>
    <w:rsid w:val="0027221A"/>
    <w:rsid w:val="00272714"/>
    <w:rsid w:val="002749C6"/>
    <w:rsid w:val="00275B61"/>
    <w:rsid w:val="00275D46"/>
    <w:rsid w:val="00282656"/>
    <w:rsid w:val="00296B83"/>
    <w:rsid w:val="002A6A5B"/>
    <w:rsid w:val="002B78CE"/>
    <w:rsid w:val="002C2FB6"/>
    <w:rsid w:val="002D5D5B"/>
    <w:rsid w:val="002E348B"/>
    <w:rsid w:val="002E783D"/>
    <w:rsid w:val="002F3309"/>
    <w:rsid w:val="003009B7"/>
    <w:rsid w:val="00300E56"/>
    <w:rsid w:val="0030469C"/>
    <w:rsid w:val="00305CE3"/>
    <w:rsid w:val="00321CA6"/>
    <w:rsid w:val="00334C09"/>
    <w:rsid w:val="00345045"/>
    <w:rsid w:val="00355C85"/>
    <w:rsid w:val="003723D4"/>
    <w:rsid w:val="00381905"/>
    <w:rsid w:val="00384CC8"/>
    <w:rsid w:val="003871FD"/>
    <w:rsid w:val="003A1E30"/>
    <w:rsid w:val="003A7D1C"/>
    <w:rsid w:val="003B304B"/>
    <w:rsid w:val="003B3146"/>
    <w:rsid w:val="003C738E"/>
    <w:rsid w:val="003F015E"/>
    <w:rsid w:val="00400414"/>
    <w:rsid w:val="0041446B"/>
    <w:rsid w:val="004268A4"/>
    <w:rsid w:val="0044329C"/>
    <w:rsid w:val="00445334"/>
    <w:rsid w:val="004577FE"/>
    <w:rsid w:val="00457B9C"/>
    <w:rsid w:val="004605C4"/>
    <w:rsid w:val="0046164A"/>
    <w:rsid w:val="004628D2"/>
    <w:rsid w:val="00462DCD"/>
    <w:rsid w:val="004648AD"/>
    <w:rsid w:val="004703A9"/>
    <w:rsid w:val="004706EB"/>
    <w:rsid w:val="004719CE"/>
    <w:rsid w:val="004732B3"/>
    <w:rsid w:val="004760DE"/>
    <w:rsid w:val="004763D7"/>
    <w:rsid w:val="0047761A"/>
    <w:rsid w:val="00483016"/>
    <w:rsid w:val="0049008E"/>
    <w:rsid w:val="004A004E"/>
    <w:rsid w:val="004A0A4B"/>
    <w:rsid w:val="004A24CF"/>
    <w:rsid w:val="004B6C7C"/>
    <w:rsid w:val="004C3D1D"/>
    <w:rsid w:val="004C7913"/>
    <w:rsid w:val="004E1659"/>
    <w:rsid w:val="004E46F8"/>
    <w:rsid w:val="004E4DD6"/>
    <w:rsid w:val="004F5AA4"/>
    <w:rsid w:val="004F5E36"/>
    <w:rsid w:val="004F6CD0"/>
    <w:rsid w:val="004F755C"/>
    <w:rsid w:val="00507B47"/>
    <w:rsid w:val="00507BEF"/>
    <w:rsid w:val="00507CC9"/>
    <w:rsid w:val="005119A5"/>
    <w:rsid w:val="00523B92"/>
    <w:rsid w:val="00524802"/>
    <w:rsid w:val="005257D7"/>
    <w:rsid w:val="005278B7"/>
    <w:rsid w:val="00530557"/>
    <w:rsid w:val="00532016"/>
    <w:rsid w:val="005346C8"/>
    <w:rsid w:val="0054007A"/>
    <w:rsid w:val="00543E7D"/>
    <w:rsid w:val="00547A68"/>
    <w:rsid w:val="005531C6"/>
    <w:rsid w:val="005531C9"/>
    <w:rsid w:val="00555764"/>
    <w:rsid w:val="0057009D"/>
    <w:rsid w:val="00570C43"/>
    <w:rsid w:val="005740F0"/>
    <w:rsid w:val="00585E1F"/>
    <w:rsid w:val="0059096D"/>
    <w:rsid w:val="005B0F8B"/>
    <w:rsid w:val="005B2110"/>
    <w:rsid w:val="005B61E6"/>
    <w:rsid w:val="005B77CE"/>
    <w:rsid w:val="005C1464"/>
    <w:rsid w:val="005C77E1"/>
    <w:rsid w:val="005D63F6"/>
    <w:rsid w:val="005D6A2F"/>
    <w:rsid w:val="005D7C17"/>
    <w:rsid w:val="005E1A82"/>
    <w:rsid w:val="005E794C"/>
    <w:rsid w:val="005F0A28"/>
    <w:rsid w:val="005F0E5E"/>
    <w:rsid w:val="005F3A5F"/>
    <w:rsid w:val="00600535"/>
    <w:rsid w:val="00604E0D"/>
    <w:rsid w:val="00610CD6"/>
    <w:rsid w:val="0061682C"/>
    <w:rsid w:val="00620DEE"/>
    <w:rsid w:val="006215C9"/>
    <w:rsid w:val="00621F92"/>
    <w:rsid w:val="0062280A"/>
    <w:rsid w:val="00625639"/>
    <w:rsid w:val="006271CD"/>
    <w:rsid w:val="00631B33"/>
    <w:rsid w:val="0064184D"/>
    <w:rsid w:val="00641B03"/>
    <w:rsid w:val="006422CC"/>
    <w:rsid w:val="00647D0F"/>
    <w:rsid w:val="006541F5"/>
    <w:rsid w:val="00656DDB"/>
    <w:rsid w:val="00660E3E"/>
    <w:rsid w:val="00662E74"/>
    <w:rsid w:val="00671BC9"/>
    <w:rsid w:val="006777E4"/>
    <w:rsid w:val="00680C23"/>
    <w:rsid w:val="00681719"/>
    <w:rsid w:val="0068320E"/>
    <w:rsid w:val="00693766"/>
    <w:rsid w:val="006A1276"/>
    <w:rsid w:val="006A3281"/>
    <w:rsid w:val="006B4888"/>
    <w:rsid w:val="006C2515"/>
    <w:rsid w:val="006C2C89"/>
    <w:rsid w:val="006C2E45"/>
    <w:rsid w:val="006C359C"/>
    <w:rsid w:val="006C5579"/>
    <w:rsid w:val="006E737D"/>
    <w:rsid w:val="006F15CD"/>
    <w:rsid w:val="006F69BB"/>
    <w:rsid w:val="007132C1"/>
    <w:rsid w:val="00720603"/>
    <w:rsid w:val="00720A24"/>
    <w:rsid w:val="00732386"/>
    <w:rsid w:val="0073514D"/>
    <w:rsid w:val="007447F3"/>
    <w:rsid w:val="00744E5C"/>
    <w:rsid w:val="0075499F"/>
    <w:rsid w:val="0076467C"/>
    <w:rsid w:val="007661C8"/>
    <w:rsid w:val="00767C4C"/>
    <w:rsid w:val="0077098D"/>
    <w:rsid w:val="007751AE"/>
    <w:rsid w:val="007773C6"/>
    <w:rsid w:val="007931FA"/>
    <w:rsid w:val="007A4861"/>
    <w:rsid w:val="007A7BBA"/>
    <w:rsid w:val="007B0C50"/>
    <w:rsid w:val="007B76A8"/>
    <w:rsid w:val="007C1A43"/>
    <w:rsid w:val="007E1372"/>
    <w:rsid w:val="007E1911"/>
    <w:rsid w:val="007F7A57"/>
    <w:rsid w:val="0080013E"/>
    <w:rsid w:val="00807783"/>
    <w:rsid w:val="00813288"/>
    <w:rsid w:val="008168FC"/>
    <w:rsid w:val="00823DB8"/>
    <w:rsid w:val="00830996"/>
    <w:rsid w:val="008337E5"/>
    <w:rsid w:val="008345F1"/>
    <w:rsid w:val="008435BE"/>
    <w:rsid w:val="008558BC"/>
    <w:rsid w:val="00865B07"/>
    <w:rsid w:val="008667EA"/>
    <w:rsid w:val="008673D7"/>
    <w:rsid w:val="00872E99"/>
    <w:rsid w:val="00872F62"/>
    <w:rsid w:val="0087637F"/>
    <w:rsid w:val="00880731"/>
    <w:rsid w:val="00884C73"/>
    <w:rsid w:val="008869C6"/>
    <w:rsid w:val="008919D9"/>
    <w:rsid w:val="00892AD5"/>
    <w:rsid w:val="0089505C"/>
    <w:rsid w:val="00895BCC"/>
    <w:rsid w:val="00897504"/>
    <w:rsid w:val="008A1512"/>
    <w:rsid w:val="008A3763"/>
    <w:rsid w:val="008B32D8"/>
    <w:rsid w:val="008B71F6"/>
    <w:rsid w:val="008D32B9"/>
    <w:rsid w:val="008D433B"/>
    <w:rsid w:val="008E1AF9"/>
    <w:rsid w:val="008E566E"/>
    <w:rsid w:val="008F0AA0"/>
    <w:rsid w:val="0090161A"/>
    <w:rsid w:val="00901EB6"/>
    <w:rsid w:val="00904C62"/>
    <w:rsid w:val="00905405"/>
    <w:rsid w:val="00905F60"/>
    <w:rsid w:val="009176BD"/>
    <w:rsid w:val="00922BA8"/>
    <w:rsid w:val="00924334"/>
    <w:rsid w:val="00924DAC"/>
    <w:rsid w:val="00927058"/>
    <w:rsid w:val="00931609"/>
    <w:rsid w:val="0094154A"/>
    <w:rsid w:val="00942750"/>
    <w:rsid w:val="0094282B"/>
    <w:rsid w:val="009450CE"/>
    <w:rsid w:val="00947179"/>
    <w:rsid w:val="0095164B"/>
    <w:rsid w:val="00954090"/>
    <w:rsid w:val="009573E7"/>
    <w:rsid w:val="00963E05"/>
    <w:rsid w:val="00964244"/>
    <w:rsid w:val="00965E22"/>
    <w:rsid w:val="009661CA"/>
    <w:rsid w:val="00967D54"/>
    <w:rsid w:val="0097012F"/>
    <w:rsid w:val="00971028"/>
    <w:rsid w:val="00980C42"/>
    <w:rsid w:val="00996483"/>
    <w:rsid w:val="00996F5A"/>
    <w:rsid w:val="009A5463"/>
    <w:rsid w:val="009B041A"/>
    <w:rsid w:val="009B78D2"/>
    <w:rsid w:val="009C37C3"/>
    <w:rsid w:val="009C4988"/>
    <w:rsid w:val="009C7C86"/>
    <w:rsid w:val="009D232D"/>
    <w:rsid w:val="009D2FF7"/>
    <w:rsid w:val="009E1489"/>
    <w:rsid w:val="009E7884"/>
    <w:rsid w:val="009E788A"/>
    <w:rsid w:val="009F0032"/>
    <w:rsid w:val="009F0E08"/>
    <w:rsid w:val="009F357E"/>
    <w:rsid w:val="00A04720"/>
    <w:rsid w:val="00A14614"/>
    <w:rsid w:val="00A16C3D"/>
    <w:rsid w:val="00A1763D"/>
    <w:rsid w:val="00A17CEC"/>
    <w:rsid w:val="00A24152"/>
    <w:rsid w:val="00A24772"/>
    <w:rsid w:val="00A27EF0"/>
    <w:rsid w:val="00A50B20"/>
    <w:rsid w:val="00A51390"/>
    <w:rsid w:val="00A60D13"/>
    <w:rsid w:val="00A71AA6"/>
    <w:rsid w:val="00A72745"/>
    <w:rsid w:val="00A76EFC"/>
    <w:rsid w:val="00A76F69"/>
    <w:rsid w:val="00A8788B"/>
    <w:rsid w:val="00A91010"/>
    <w:rsid w:val="00A97F29"/>
    <w:rsid w:val="00AA3CF1"/>
    <w:rsid w:val="00AA702E"/>
    <w:rsid w:val="00AB0964"/>
    <w:rsid w:val="00AB2C78"/>
    <w:rsid w:val="00AB5011"/>
    <w:rsid w:val="00AC7368"/>
    <w:rsid w:val="00AD16B9"/>
    <w:rsid w:val="00AE15EC"/>
    <w:rsid w:val="00AE377D"/>
    <w:rsid w:val="00B02C8A"/>
    <w:rsid w:val="00B17FBD"/>
    <w:rsid w:val="00B22C87"/>
    <w:rsid w:val="00B315A6"/>
    <w:rsid w:val="00B31813"/>
    <w:rsid w:val="00B33365"/>
    <w:rsid w:val="00B3495B"/>
    <w:rsid w:val="00B359B4"/>
    <w:rsid w:val="00B57B36"/>
    <w:rsid w:val="00B80C0D"/>
    <w:rsid w:val="00B8686D"/>
    <w:rsid w:val="00BA027F"/>
    <w:rsid w:val="00BA332D"/>
    <w:rsid w:val="00BB1DDC"/>
    <w:rsid w:val="00BC11F1"/>
    <w:rsid w:val="00BC30C9"/>
    <w:rsid w:val="00BC6E4B"/>
    <w:rsid w:val="00BC7857"/>
    <w:rsid w:val="00BD2557"/>
    <w:rsid w:val="00BE3E58"/>
    <w:rsid w:val="00BE7C03"/>
    <w:rsid w:val="00C01616"/>
    <w:rsid w:val="00C0162B"/>
    <w:rsid w:val="00C068ED"/>
    <w:rsid w:val="00C105B1"/>
    <w:rsid w:val="00C2130A"/>
    <w:rsid w:val="00C31771"/>
    <w:rsid w:val="00C33860"/>
    <w:rsid w:val="00C345B1"/>
    <w:rsid w:val="00C40142"/>
    <w:rsid w:val="00C57182"/>
    <w:rsid w:val="00C57863"/>
    <w:rsid w:val="00C655FD"/>
    <w:rsid w:val="00C74217"/>
    <w:rsid w:val="00C75407"/>
    <w:rsid w:val="00C82719"/>
    <w:rsid w:val="00C870A8"/>
    <w:rsid w:val="00C87986"/>
    <w:rsid w:val="00C94434"/>
    <w:rsid w:val="00C94CA5"/>
    <w:rsid w:val="00CA0D75"/>
    <w:rsid w:val="00CA1C95"/>
    <w:rsid w:val="00CA313F"/>
    <w:rsid w:val="00CA5A9C"/>
    <w:rsid w:val="00CB01F5"/>
    <w:rsid w:val="00CB66DF"/>
    <w:rsid w:val="00CC4C20"/>
    <w:rsid w:val="00CD00C4"/>
    <w:rsid w:val="00CD046B"/>
    <w:rsid w:val="00CD3517"/>
    <w:rsid w:val="00CD5FE2"/>
    <w:rsid w:val="00CD7382"/>
    <w:rsid w:val="00CD7938"/>
    <w:rsid w:val="00CE2B6C"/>
    <w:rsid w:val="00CE5AF2"/>
    <w:rsid w:val="00CE6FAA"/>
    <w:rsid w:val="00CE7C68"/>
    <w:rsid w:val="00CF45DE"/>
    <w:rsid w:val="00D02B4C"/>
    <w:rsid w:val="00D040C4"/>
    <w:rsid w:val="00D0551A"/>
    <w:rsid w:val="00D12EA7"/>
    <w:rsid w:val="00D222DC"/>
    <w:rsid w:val="00D360DC"/>
    <w:rsid w:val="00D43EE3"/>
    <w:rsid w:val="00D560A1"/>
    <w:rsid w:val="00D579B2"/>
    <w:rsid w:val="00D57C84"/>
    <w:rsid w:val="00D6057D"/>
    <w:rsid w:val="00D626D5"/>
    <w:rsid w:val="00D836C5"/>
    <w:rsid w:val="00D84576"/>
    <w:rsid w:val="00D86BF9"/>
    <w:rsid w:val="00D9443E"/>
    <w:rsid w:val="00DA1399"/>
    <w:rsid w:val="00DA24C6"/>
    <w:rsid w:val="00DA40E2"/>
    <w:rsid w:val="00DA4D7B"/>
    <w:rsid w:val="00DA5106"/>
    <w:rsid w:val="00DD17AD"/>
    <w:rsid w:val="00DD4F1B"/>
    <w:rsid w:val="00DE264A"/>
    <w:rsid w:val="00DE3957"/>
    <w:rsid w:val="00DF3560"/>
    <w:rsid w:val="00DF5072"/>
    <w:rsid w:val="00DF586A"/>
    <w:rsid w:val="00E02D18"/>
    <w:rsid w:val="00E041E7"/>
    <w:rsid w:val="00E07912"/>
    <w:rsid w:val="00E23CA1"/>
    <w:rsid w:val="00E409A8"/>
    <w:rsid w:val="00E45862"/>
    <w:rsid w:val="00E50C12"/>
    <w:rsid w:val="00E53F3C"/>
    <w:rsid w:val="00E65B91"/>
    <w:rsid w:val="00E660BF"/>
    <w:rsid w:val="00E7209D"/>
    <w:rsid w:val="00E77223"/>
    <w:rsid w:val="00E836FA"/>
    <w:rsid w:val="00E8528B"/>
    <w:rsid w:val="00E85B94"/>
    <w:rsid w:val="00E978D0"/>
    <w:rsid w:val="00EA4613"/>
    <w:rsid w:val="00EA6A45"/>
    <w:rsid w:val="00EA7F91"/>
    <w:rsid w:val="00EB1523"/>
    <w:rsid w:val="00EC0E49"/>
    <w:rsid w:val="00EC101F"/>
    <w:rsid w:val="00EC69E1"/>
    <w:rsid w:val="00EE0131"/>
    <w:rsid w:val="00EE17B0"/>
    <w:rsid w:val="00EF06D9"/>
    <w:rsid w:val="00EF65B5"/>
    <w:rsid w:val="00F035C7"/>
    <w:rsid w:val="00F1365F"/>
    <w:rsid w:val="00F22382"/>
    <w:rsid w:val="00F30C64"/>
    <w:rsid w:val="00F3256F"/>
    <w:rsid w:val="00F32CDB"/>
    <w:rsid w:val="00F6187F"/>
    <w:rsid w:val="00F63A70"/>
    <w:rsid w:val="00F66E00"/>
    <w:rsid w:val="00F7094E"/>
    <w:rsid w:val="00F805A7"/>
    <w:rsid w:val="00F874D2"/>
    <w:rsid w:val="00FA21D0"/>
    <w:rsid w:val="00FA4175"/>
    <w:rsid w:val="00FA5F5F"/>
    <w:rsid w:val="00FA62F9"/>
    <w:rsid w:val="00FB730C"/>
    <w:rsid w:val="00FC2695"/>
    <w:rsid w:val="00FC2CB2"/>
    <w:rsid w:val="00FC3161"/>
    <w:rsid w:val="00FC3E03"/>
    <w:rsid w:val="00FC3FC1"/>
    <w:rsid w:val="00FC5312"/>
    <w:rsid w:val="00FD0E5B"/>
    <w:rsid w:val="00FD61AB"/>
    <w:rsid w:val="00FF6136"/>
    <w:rsid w:val="00FF66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94154A"/>
    <w:pPr>
      <w:ind w:left="720"/>
      <w:contextualSpacing/>
    </w:pPr>
  </w:style>
  <w:style w:type="character" w:styleId="Testosegnaposto">
    <w:name w:val="Placeholder Text"/>
    <w:basedOn w:val="Carpredefinitoparagrafo"/>
    <w:uiPriority w:val="99"/>
    <w:semiHidden/>
    <w:rsid w:val="00D0551A"/>
    <w:rPr>
      <w:color w:val="808080"/>
    </w:rPr>
  </w:style>
  <w:style w:type="character" w:styleId="Rimandonotaapidipagina">
    <w:name w:val="footnote reference"/>
    <w:basedOn w:val="Carpredefinitoparagrafo"/>
    <w:uiPriority w:val="99"/>
    <w:semiHidden/>
    <w:unhideWhenUsed/>
    <w:rsid w:val="009F357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94154A"/>
    <w:pPr>
      <w:ind w:left="720"/>
      <w:contextualSpacing/>
    </w:pPr>
  </w:style>
  <w:style w:type="character" w:styleId="Testosegnaposto">
    <w:name w:val="Placeholder Text"/>
    <w:basedOn w:val="Carpredefinitoparagrafo"/>
    <w:uiPriority w:val="99"/>
    <w:semiHidden/>
    <w:rsid w:val="00D0551A"/>
    <w:rPr>
      <w:color w:val="808080"/>
    </w:rPr>
  </w:style>
  <w:style w:type="character" w:styleId="Rimandonotaapidipagina">
    <w:name w:val="footnote reference"/>
    <w:basedOn w:val="Carpredefinitoparagrafo"/>
    <w:uiPriority w:val="99"/>
    <w:semiHidden/>
    <w:unhideWhenUsed/>
    <w:rsid w:val="009F35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87584">
      <w:bodyDiv w:val="1"/>
      <w:marLeft w:val="0"/>
      <w:marRight w:val="0"/>
      <w:marTop w:val="0"/>
      <w:marBottom w:val="0"/>
      <w:divBdr>
        <w:top w:val="none" w:sz="0" w:space="0" w:color="auto"/>
        <w:left w:val="none" w:sz="0" w:space="0" w:color="auto"/>
        <w:bottom w:val="none" w:sz="0" w:space="0" w:color="auto"/>
        <w:right w:val="none" w:sz="0" w:space="0" w:color="auto"/>
      </w:divBdr>
    </w:div>
    <w:div w:id="652562663">
      <w:bodyDiv w:val="1"/>
      <w:marLeft w:val="0"/>
      <w:marRight w:val="0"/>
      <w:marTop w:val="0"/>
      <w:marBottom w:val="0"/>
      <w:divBdr>
        <w:top w:val="none" w:sz="0" w:space="0" w:color="auto"/>
        <w:left w:val="none" w:sz="0" w:space="0" w:color="auto"/>
        <w:bottom w:val="none" w:sz="0" w:space="0" w:color="auto"/>
        <w:right w:val="none" w:sz="0" w:space="0" w:color="auto"/>
      </w:divBdr>
    </w:div>
    <w:div w:id="68999106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02262">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4413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emf"/><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0.w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3D25C92F72D5B478BD2BA312D179A27" ma:contentTypeVersion="13" ma:contentTypeDescription="Creare un nuovo documento." ma:contentTypeScope="" ma:versionID="efc441e966f97a2806c0e223409e0860">
  <xsd:schema xmlns:xsd="http://www.w3.org/2001/XMLSchema" xmlns:xs="http://www.w3.org/2001/XMLSchema" xmlns:p="http://schemas.microsoft.com/office/2006/metadata/properties" xmlns:ns3="2e5e719d-bce3-4d42-9711-6529e305b1fe" xmlns:ns4="88c35c16-e1d2-4989-9aef-9190cf1e2062" targetNamespace="http://schemas.microsoft.com/office/2006/metadata/properties" ma:root="true" ma:fieldsID="9918235ed46dbd3ae1b9eb88a8d4963c" ns3:_="" ns4:_="">
    <xsd:import namespace="2e5e719d-bce3-4d42-9711-6529e305b1fe"/>
    <xsd:import namespace="88c35c16-e1d2-4989-9aef-9190cf1e206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e719d-bce3-4d42-9711-6529e305b1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c35c16-e1d2-4989-9aef-9190cf1e2062"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SharingHintHash" ma:index="20"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F1C9C-2A17-4A77-AFB3-77A5D9C15E3A}">
  <ds:schemaRefs>
    <ds:schemaRef ds:uri="http://schemas.microsoft.com/sharepoint/v3/contenttype/forms"/>
  </ds:schemaRefs>
</ds:datastoreItem>
</file>

<file path=customXml/itemProps2.xml><?xml version="1.0" encoding="utf-8"?>
<ds:datastoreItem xmlns:ds="http://schemas.openxmlformats.org/officeDocument/2006/customXml" ds:itemID="{CAE01F2A-0869-4482-961A-243B3519E1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FDF82E-1607-47BD-B0F6-A8DBD98B1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e719d-bce3-4d42-9711-6529e305b1fe"/>
    <ds:schemaRef ds:uri="88c35c16-e1d2-4989-9aef-9190cf1e2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4D3740-9173-4D0A-84B0-016536817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2844</Words>
  <Characters>16217</Characters>
  <Application>Microsoft Office Word</Application>
  <DocSecurity>0</DocSecurity>
  <Lines>135</Lines>
  <Paragraphs>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raffaella</cp:lastModifiedBy>
  <cp:revision>7</cp:revision>
  <cp:lastPrinted>2015-05-12T18:31:00Z</cp:lastPrinted>
  <dcterms:created xsi:type="dcterms:W3CDTF">2020-06-10T14:01:00Z</dcterms:created>
  <dcterms:modified xsi:type="dcterms:W3CDTF">2020-08-28T13:17:00Z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http://csl.mendeley.com/styles/448197871/elsevier-with-titles-3</vt:lpwstr>
  </property>
  <property fmtid="{D5CDD505-2E9C-101B-9397-08002B2CF9AE}" pid="17" name="Mendeley Recent Style Name 6_1">
    <vt:lpwstr>Elsevier (numeric, with titles) - Gianmaria Pio, Master degree</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https://csl.mendeley.com/styles/448197871/IEEEGP</vt:lpwstr>
  </property>
  <property fmtid="{D5CDD505-2E9C-101B-9397-08002B2CF9AE}" pid="21" name="Mendeley Recent Style Name 8_1">
    <vt:lpwstr>IEEE - Gianmaria Pio, Master degree</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748d3932-8da0-39f1-bf88-b31af14acd62</vt:lpwstr>
  </property>
  <property fmtid="{D5CDD505-2E9C-101B-9397-08002B2CF9AE}" pid="26" name="Mendeley Citation Style_1">
    <vt:lpwstr>https://csl.mendeley.com/styles/448197871/IEEEGP</vt:lpwstr>
  </property>
  <property fmtid="{D5CDD505-2E9C-101B-9397-08002B2CF9AE}" pid="27" name="ContentTypeId">
    <vt:lpwstr>0x010100E3D25C92F72D5B478BD2BA312D179A27</vt:lpwstr>
  </property>
</Properties>
</file>