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963E90" w14:paraId="0BCE2C5F" w14:textId="77777777" w:rsidTr="00963E90">
        <w:trPr>
          <w:trHeight w:val="852"/>
          <w:jc w:val="center"/>
        </w:trPr>
        <w:tc>
          <w:tcPr>
            <w:tcW w:w="6946" w:type="dxa"/>
            <w:vMerge w:val="restart"/>
            <w:tcBorders>
              <w:top w:val="nil"/>
              <w:left w:val="nil"/>
              <w:bottom w:val="nil"/>
              <w:right w:val="single" w:sz="4" w:space="0" w:color="auto"/>
            </w:tcBorders>
            <w:hideMark/>
          </w:tcPr>
          <w:p w14:paraId="52462D6E" w14:textId="05F85C77" w:rsidR="00963E90" w:rsidRDefault="00963E90" w:rsidP="00965BAA">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6D5C7972" wp14:editId="79607F16">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6949A86E" w14:textId="77777777" w:rsidR="00963E90" w:rsidRDefault="00963E90" w:rsidP="00965BAA">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49CF6B23" w14:textId="77777777" w:rsidR="00963E90" w:rsidRDefault="00963E90" w:rsidP="00965BAA">
            <w:pPr>
              <w:jc w:val="right"/>
              <w:rPr>
                <w:rFonts w:cs="Arial"/>
                <w:sz w:val="14"/>
                <w:szCs w:val="14"/>
              </w:rPr>
            </w:pPr>
            <w:r>
              <w:rPr>
                <w:rFonts w:cs="Arial"/>
                <w:sz w:val="14"/>
                <w:szCs w:val="14"/>
              </w:rPr>
              <w:t>A publication of</w:t>
            </w:r>
          </w:p>
          <w:p w14:paraId="354DFC20" w14:textId="4F2FFB55" w:rsidR="00963E90" w:rsidRDefault="00963E90" w:rsidP="00965BAA">
            <w:pPr>
              <w:jc w:val="right"/>
            </w:pPr>
            <w:r>
              <w:rPr>
                <w:noProof/>
                <w:lang w:val="it-IT" w:eastAsia="it-IT"/>
              </w:rPr>
              <w:drawing>
                <wp:inline distT="0" distB="0" distL="0" distR="0" wp14:anchorId="0FABF0EB" wp14:editId="27B46914">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963E90" w14:paraId="4091C86D" w14:textId="77777777" w:rsidTr="00963E90">
        <w:trPr>
          <w:trHeight w:val="567"/>
          <w:jc w:val="center"/>
        </w:trPr>
        <w:tc>
          <w:tcPr>
            <w:tcW w:w="0" w:type="auto"/>
            <w:vMerge/>
            <w:tcBorders>
              <w:top w:val="nil"/>
              <w:left w:val="nil"/>
              <w:bottom w:val="nil"/>
              <w:right w:val="single" w:sz="4" w:space="0" w:color="auto"/>
            </w:tcBorders>
            <w:vAlign w:val="center"/>
            <w:hideMark/>
          </w:tcPr>
          <w:p w14:paraId="7F88FCB1" w14:textId="77777777" w:rsidR="00963E90" w:rsidRDefault="00963E90" w:rsidP="00965BAA">
            <w:pPr>
              <w:tabs>
                <w:tab w:val="clear" w:pos="7100"/>
              </w:tabs>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45531DBE" w14:textId="77777777" w:rsidR="00963E90" w:rsidRDefault="00963E90" w:rsidP="00965BAA">
            <w:pPr>
              <w:jc w:val="right"/>
              <w:rPr>
                <w:rFonts w:cs="Arial"/>
                <w:sz w:val="14"/>
                <w:szCs w:val="14"/>
              </w:rPr>
            </w:pPr>
            <w:r>
              <w:rPr>
                <w:rFonts w:cs="Arial"/>
                <w:sz w:val="14"/>
                <w:szCs w:val="14"/>
              </w:rPr>
              <w:t>The Italian Association</w:t>
            </w:r>
          </w:p>
          <w:p w14:paraId="20A8DD37" w14:textId="77777777" w:rsidR="00963E90" w:rsidRDefault="00963E90" w:rsidP="00965BAA">
            <w:pPr>
              <w:jc w:val="right"/>
              <w:rPr>
                <w:rFonts w:cs="Arial"/>
                <w:sz w:val="14"/>
                <w:szCs w:val="14"/>
              </w:rPr>
            </w:pPr>
            <w:r>
              <w:rPr>
                <w:rFonts w:cs="Arial"/>
                <w:sz w:val="14"/>
                <w:szCs w:val="14"/>
              </w:rPr>
              <w:t>of Chemical Engineering</w:t>
            </w:r>
          </w:p>
          <w:p w14:paraId="093B3CA2" w14:textId="77777777" w:rsidR="00963E90" w:rsidRDefault="00963E90" w:rsidP="00965BAA">
            <w:pPr>
              <w:jc w:val="right"/>
              <w:rPr>
                <w:rFonts w:cs="Arial"/>
                <w:sz w:val="13"/>
                <w:szCs w:val="13"/>
              </w:rPr>
            </w:pPr>
            <w:r>
              <w:rPr>
                <w:rFonts w:cs="Arial"/>
                <w:sz w:val="13"/>
                <w:szCs w:val="13"/>
              </w:rPr>
              <w:t>Online at www.cetjournal.it</w:t>
            </w:r>
          </w:p>
        </w:tc>
      </w:tr>
      <w:tr w:rsidR="00963E90" w14:paraId="3F8C80EB" w14:textId="77777777" w:rsidTr="00963E90">
        <w:trPr>
          <w:trHeight w:val="68"/>
          <w:jc w:val="center"/>
        </w:trPr>
        <w:tc>
          <w:tcPr>
            <w:tcW w:w="8789" w:type="dxa"/>
            <w:gridSpan w:val="2"/>
            <w:tcBorders>
              <w:top w:val="nil"/>
              <w:left w:val="nil"/>
              <w:bottom w:val="single" w:sz="4" w:space="0" w:color="auto"/>
              <w:right w:val="nil"/>
            </w:tcBorders>
            <w:hideMark/>
          </w:tcPr>
          <w:p w14:paraId="33C2D291" w14:textId="77777777" w:rsidR="00963E90" w:rsidRDefault="00963E90" w:rsidP="00965BAA">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5414DDC4" w14:textId="77777777" w:rsidR="00963E90" w:rsidRDefault="00963E90" w:rsidP="00965BAA">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3FE3F12" w14:textId="77777777" w:rsidR="000A03B2" w:rsidRPr="00B57B36" w:rsidRDefault="000A03B2" w:rsidP="00965BAA">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1BC6450C" w14:textId="77777777" w:rsidR="00E978D0" w:rsidRPr="00B57B36" w:rsidRDefault="00701A9A" w:rsidP="00965BAA">
      <w:pPr>
        <w:pStyle w:val="CETTitle"/>
      </w:pPr>
      <w:r>
        <w:lastRenderedPageBreak/>
        <w:t>Ground Interaction on High-Pressure Jets: Effect on Different Substances</w:t>
      </w:r>
    </w:p>
    <w:p w14:paraId="205396FB" w14:textId="2707453A" w:rsidR="00E978D0" w:rsidRPr="00B337E7" w:rsidRDefault="00701A9A" w:rsidP="00965BAA">
      <w:pPr>
        <w:pStyle w:val="CETAuthors"/>
        <w:rPr>
          <w:lang w:val="it-IT"/>
        </w:rPr>
      </w:pPr>
      <w:r w:rsidRPr="00B337E7">
        <w:rPr>
          <w:lang w:val="it-IT"/>
        </w:rPr>
        <w:t>Cristian Colombini</w:t>
      </w:r>
      <w:r w:rsidR="00FA7689" w:rsidRPr="00FA7689">
        <w:rPr>
          <w:vertAlign w:val="superscript"/>
          <w:lang w:val="it-IT"/>
        </w:rPr>
        <w:t>a,b</w:t>
      </w:r>
      <w:r w:rsidR="00600535" w:rsidRPr="00B337E7">
        <w:rPr>
          <w:lang w:val="it-IT"/>
        </w:rPr>
        <w:t xml:space="preserve">, </w:t>
      </w:r>
      <w:r w:rsidRPr="00B337E7">
        <w:rPr>
          <w:lang w:val="it-IT"/>
        </w:rPr>
        <w:t>Luca Carlini</w:t>
      </w:r>
      <w:r w:rsidR="00FA7689" w:rsidRPr="00FA7689">
        <w:rPr>
          <w:vertAlign w:val="superscript"/>
          <w:lang w:val="it-IT"/>
        </w:rPr>
        <w:t>a</w:t>
      </w:r>
      <w:r w:rsidRPr="00B337E7">
        <w:rPr>
          <w:lang w:val="it-IT"/>
        </w:rPr>
        <w:t>, Renato Rota</w:t>
      </w:r>
      <w:r w:rsidR="00FA7689" w:rsidRPr="00FA7689">
        <w:rPr>
          <w:vertAlign w:val="superscript"/>
          <w:lang w:val="it-IT"/>
        </w:rPr>
        <w:t>a</w:t>
      </w:r>
      <w:r w:rsidRPr="00B337E7">
        <w:rPr>
          <w:lang w:val="it-IT"/>
        </w:rPr>
        <w:t>, Valentina Busini</w:t>
      </w:r>
      <w:r w:rsidR="00965BAA">
        <w:rPr>
          <w:vertAlign w:val="superscript"/>
          <w:lang w:val="it-IT"/>
        </w:rPr>
        <w:t>a,</w:t>
      </w:r>
      <w:r w:rsidR="00600535" w:rsidRPr="00FA7689">
        <w:rPr>
          <w:vertAlign w:val="superscript"/>
          <w:lang w:val="it-IT"/>
        </w:rPr>
        <w:t>*</w:t>
      </w:r>
    </w:p>
    <w:p w14:paraId="41D3E8CF" w14:textId="03BEEF6D" w:rsidR="00701A9A" w:rsidRDefault="00FA7689" w:rsidP="00965BAA">
      <w:pPr>
        <w:pStyle w:val="CETAddress"/>
        <w:spacing w:line="264" w:lineRule="auto"/>
        <w:rPr>
          <w:bdr w:val="none" w:sz="0" w:space="0" w:color="auto" w:frame="1"/>
        </w:rPr>
      </w:pPr>
      <w:r w:rsidRPr="00FA7689">
        <w:rPr>
          <w:bdr w:val="none" w:sz="0" w:space="0" w:color="auto" w:frame="1"/>
          <w:vertAlign w:val="superscript"/>
        </w:rPr>
        <w:t>a</w:t>
      </w:r>
      <w:r>
        <w:rPr>
          <w:bdr w:val="none" w:sz="0" w:space="0" w:color="auto" w:frame="1"/>
        </w:rPr>
        <w:t xml:space="preserve"> </w:t>
      </w:r>
      <w:r w:rsidR="00701A9A">
        <w:rPr>
          <w:bdr w:val="none" w:sz="0" w:space="0" w:color="auto" w:frame="1"/>
        </w:rPr>
        <w:t xml:space="preserve">Politecnico di Milano - </w:t>
      </w:r>
      <w:r w:rsidR="00701A9A" w:rsidRPr="0076459A">
        <w:rPr>
          <w:bdr w:val="none" w:sz="0" w:space="0" w:color="auto" w:frame="1"/>
        </w:rPr>
        <w:t xml:space="preserve">Department of Chemistry, Materials and Chemical Engineering “Giulio Natta”, </w:t>
      </w:r>
      <w:r w:rsidR="00701A9A">
        <w:rPr>
          <w:bdr w:val="none" w:sz="0" w:space="0" w:color="auto" w:frame="1"/>
        </w:rPr>
        <w:t>Via Mancinelli 7</w:t>
      </w:r>
      <w:r w:rsidR="00701A9A" w:rsidRPr="0076459A">
        <w:rPr>
          <w:bdr w:val="none" w:sz="0" w:space="0" w:color="auto" w:frame="1"/>
        </w:rPr>
        <w:t>, 2013</w:t>
      </w:r>
      <w:r w:rsidR="00701A9A">
        <w:rPr>
          <w:bdr w:val="none" w:sz="0" w:space="0" w:color="auto" w:frame="1"/>
        </w:rPr>
        <w:t>1</w:t>
      </w:r>
      <w:r w:rsidR="00701A9A" w:rsidRPr="0076459A">
        <w:rPr>
          <w:bdr w:val="none" w:sz="0" w:space="0" w:color="auto" w:frame="1"/>
        </w:rPr>
        <w:t>, Milano, Italy</w:t>
      </w:r>
    </w:p>
    <w:p w14:paraId="77982423" w14:textId="0ACB5355" w:rsidR="00FA7689" w:rsidRDefault="00FA7689" w:rsidP="00965BAA">
      <w:pPr>
        <w:pStyle w:val="CETAddress"/>
        <w:spacing w:line="264" w:lineRule="auto"/>
        <w:rPr>
          <w:bdr w:val="none" w:sz="0" w:space="0" w:color="auto" w:frame="1"/>
        </w:rPr>
      </w:pPr>
      <w:r>
        <w:rPr>
          <w:bdr w:val="none" w:sz="0" w:space="0" w:color="auto" w:frame="1"/>
          <w:vertAlign w:val="superscript"/>
        </w:rPr>
        <w:t>b</w:t>
      </w:r>
      <w:r>
        <w:rPr>
          <w:bdr w:val="none" w:sz="0" w:space="0" w:color="auto" w:frame="1"/>
        </w:rPr>
        <w:t xml:space="preserve"> Presently at RINA Consulting S.p.A. – EOGRS Group</w:t>
      </w:r>
      <w:r w:rsidRPr="0076459A">
        <w:rPr>
          <w:bdr w:val="none" w:sz="0" w:space="0" w:color="auto" w:frame="1"/>
        </w:rPr>
        <w:t xml:space="preserve">, </w:t>
      </w:r>
      <w:r>
        <w:rPr>
          <w:bdr w:val="none" w:sz="0" w:space="0" w:color="auto" w:frame="1"/>
        </w:rPr>
        <w:t>Via Cecchi 6</w:t>
      </w:r>
      <w:r w:rsidRPr="0076459A">
        <w:rPr>
          <w:bdr w:val="none" w:sz="0" w:space="0" w:color="auto" w:frame="1"/>
        </w:rPr>
        <w:t xml:space="preserve">, </w:t>
      </w:r>
      <w:r>
        <w:rPr>
          <w:bdr w:val="none" w:sz="0" w:space="0" w:color="auto" w:frame="1"/>
        </w:rPr>
        <w:t>16129</w:t>
      </w:r>
      <w:r w:rsidRPr="0076459A">
        <w:rPr>
          <w:bdr w:val="none" w:sz="0" w:space="0" w:color="auto" w:frame="1"/>
        </w:rPr>
        <w:t xml:space="preserve">, </w:t>
      </w:r>
      <w:r>
        <w:rPr>
          <w:bdr w:val="none" w:sz="0" w:space="0" w:color="auto" w:frame="1"/>
        </w:rPr>
        <w:t>Genova</w:t>
      </w:r>
      <w:r w:rsidRPr="0076459A">
        <w:rPr>
          <w:bdr w:val="none" w:sz="0" w:space="0" w:color="auto" w:frame="1"/>
        </w:rPr>
        <w:t>, Italy</w:t>
      </w:r>
    </w:p>
    <w:p w14:paraId="37C9F068" w14:textId="597E95B2" w:rsidR="00701A9A" w:rsidRPr="00542068" w:rsidRDefault="00701A9A" w:rsidP="00965BAA">
      <w:pPr>
        <w:pStyle w:val="CETemail"/>
        <w:spacing w:line="264" w:lineRule="auto"/>
      </w:pPr>
      <w:r w:rsidRPr="00542068">
        <w:t>valentina.busini@polimi.it</w:t>
      </w:r>
    </w:p>
    <w:p w14:paraId="5918A3D1" w14:textId="77777777" w:rsidR="00701A9A" w:rsidRPr="00701A9A" w:rsidRDefault="00701A9A" w:rsidP="00965BAA">
      <w:pPr>
        <w:pStyle w:val="CETBodytext"/>
        <w:rPr>
          <w:rFonts w:eastAsia="Arial Unicode MS"/>
        </w:rPr>
      </w:pPr>
      <w:r w:rsidRPr="00701A9A">
        <w:rPr>
          <w:rFonts w:eastAsia="Arial Unicode MS"/>
        </w:rPr>
        <w:t>Due to the severity of their consequences, accidental high-pressure flammable gas releases are relevant hazards in the process safety. In the recent decades, several are the efforts spent on the study of high-pressure jets in open field (</w:t>
      </w:r>
      <w:r w:rsidRPr="00701A9A">
        <w:rPr>
          <w:rFonts w:eastAsia="Arial Unicode MS"/>
          <w:i/>
          <w:iCs/>
        </w:rPr>
        <w:t>i.e.</w:t>
      </w:r>
      <w:r w:rsidRPr="00701A9A">
        <w:rPr>
          <w:rFonts w:eastAsia="Arial Unicode MS"/>
        </w:rPr>
        <w:t xml:space="preserve">, free jets). In particular, easy-to-use mathematical models have been developed. These, by hand calculations, allow to quickly assess various physical variables that are of paramount importance in safety evaluations. </w:t>
      </w:r>
    </w:p>
    <w:p w14:paraId="21516132" w14:textId="77777777" w:rsidR="00701A9A" w:rsidRPr="00C464FA" w:rsidRDefault="00701A9A" w:rsidP="00965BAA">
      <w:pPr>
        <w:pStyle w:val="CETBodytext"/>
      </w:pPr>
      <w:r w:rsidRPr="00701A9A">
        <w:rPr>
          <w:rFonts w:eastAsia="Arial Unicode MS"/>
        </w:rPr>
        <w:t xml:space="preserve">However, it is easily as </w:t>
      </w:r>
      <w:r w:rsidRPr="00C464FA">
        <w:rPr>
          <w:rFonts w:eastAsia="Arial Unicode MS"/>
        </w:rPr>
        <w:t>possible that, in a realistic accidental scenario</w:t>
      </w:r>
      <w:r w:rsidR="005F2790">
        <w:rPr>
          <w:rFonts w:eastAsia="Arial Unicode MS"/>
        </w:rPr>
        <w:t>,</w:t>
      </w:r>
      <w:r w:rsidRPr="00C464FA">
        <w:rPr>
          <w:rFonts w:eastAsia="Arial Unicode MS"/>
        </w:rPr>
        <w:t xml:space="preserve"> the unwanted leak may involve either the ground or an equipment placed in its vicinity. As demonstrated by recent works, when a jet interacts with an obstacle, its behavior can significantly change. Hence, in the safety assessment of this situation, the mathematical models derived for the free jet scenario can lead to incorrect predictions. Focusing on</w:t>
      </w:r>
      <w:r w:rsidRPr="00C464FA">
        <w:t xml:space="preserve"> the scenario of an accidental high-pressure unignited flammable jet, this work shows how the proximity to the ground can influence the lower flammability limit cloud extent of different substances. Varying the height above the ground of the source term, the effect of the ground was systematically studied through a Computational Fluid Dynamics analysis considering high-pressure unignited methane, propane and hydrogen jets. The main achievement is the demonstration that releases of compounds with similar or larger molecular weight than that of air are similarly affected by the ground while, releases of compounds lighter than air interact with the ground in a sensibly different way.</w:t>
      </w:r>
    </w:p>
    <w:p w14:paraId="0D1B1D10" w14:textId="77777777" w:rsidR="00CD5847" w:rsidRPr="00C464FA" w:rsidRDefault="00CD5847" w:rsidP="00965BAA">
      <w:pPr>
        <w:pStyle w:val="CETHeading1"/>
        <w:spacing w:line="264" w:lineRule="auto"/>
        <w:rPr>
          <w:lang w:val="en-GB"/>
        </w:rPr>
      </w:pPr>
      <w:r w:rsidRPr="00C464FA">
        <w:rPr>
          <w:lang w:val="en-GB"/>
        </w:rPr>
        <w:t>Introduction</w:t>
      </w:r>
    </w:p>
    <w:p w14:paraId="6436B52B" w14:textId="77933A6D" w:rsidR="006B2F32" w:rsidRPr="00C464FA" w:rsidRDefault="00222ADD" w:rsidP="00965BAA">
      <w:pPr>
        <w:pStyle w:val="CETBodytext"/>
      </w:pPr>
      <w:r w:rsidRPr="00C464FA">
        <w:t xml:space="preserve">A large part of industrial </w:t>
      </w:r>
      <w:r w:rsidR="00913AA5" w:rsidRPr="00C464FA">
        <w:t xml:space="preserve">compounds </w:t>
      </w:r>
      <w:r w:rsidRPr="00C464FA">
        <w:t xml:space="preserve">is normally </w:t>
      </w:r>
      <w:r w:rsidR="00913AA5" w:rsidRPr="00C464FA">
        <w:t xml:space="preserve">handled </w:t>
      </w:r>
      <w:r w:rsidRPr="00C464FA">
        <w:t xml:space="preserve">in </w:t>
      </w:r>
      <w:r w:rsidR="00913AA5" w:rsidRPr="00C464FA">
        <w:t xml:space="preserve">gaseous </w:t>
      </w:r>
      <w:r w:rsidRPr="00C464FA">
        <w:t>form</w:t>
      </w:r>
      <w:r w:rsidR="00276CDE" w:rsidRPr="00C464FA">
        <w:t xml:space="preserve"> </w:t>
      </w:r>
      <w:r w:rsidR="0001293D" w:rsidRPr="00C464FA">
        <w:t>at</w:t>
      </w:r>
      <w:r w:rsidR="00913AA5" w:rsidRPr="00C464FA">
        <w:t xml:space="preserve"> high-pressure conditions</w:t>
      </w:r>
      <w:r w:rsidRPr="00C464FA">
        <w:t xml:space="preserve">. </w:t>
      </w:r>
      <w:r w:rsidR="00A0048D" w:rsidRPr="00C464FA">
        <w:t>Among the safety implications to be considered</w:t>
      </w:r>
      <w:r w:rsidR="00CD5847" w:rsidRPr="00C464FA">
        <w:t>, accidental high-pressure releases are relevant hazard</w:t>
      </w:r>
      <w:r w:rsidR="0001293D" w:rsidRPr="00C464FA">
        <w:t xml:space="preserve">s </w:t>
      </w:r>
      <w:r w:rsidR="00CD5847" w:rsidRPr="00C464FA">
        <w:t>in the process safety</w:t>
      </w:r>
      <w:r w:rsidRPr="00C464FA">
        <w:t xml:space="preserve"> (</w:t>
      </w:r>
      <w:r w:rsidR="00BE2184" w:rsidRPr="00C464FA">
        <w:t>Liao et al., 2018</w:t>
      </w:r>
      <w:r w:rsidRPr="00C464FA">
        <w:t>)</w:t>
      </w:r>
      <w:r w:rsidR="00CD5847" w:rsidRPr="00C464FA">
        <w:t xml:space="preserve">. </w:t>
      </w:r>
      <w:r w:rsidR="00276CDE" w:rsidRPr="00C464FA">
        <w:t xml:space="preserve">In the case that a flammable substance is involved, if </w:t>
      </w:r>
      <w:r w:rsidR="005F2790">
        <w:t xml:space="preserve">immediate or delayed </w:t>
      </w:r>
      <w:r w:rsidR="00276CDE" w:rsidRPr="00C464FA">
        <w:t xml:space="preserve">ignition occurs, the consequences can be relevant: as reported by </w:t>
      </w:r>
      <w:proofErr w:type="spellStart"/>
      <w:r w:rsidR="00276CDE" w:rsidRPr="00C464FA">
        <w:t>Casal</w:t>
      </w:r>
      <w:proofErr w:type="spellEnd"/>
      <w:r w:rsidR="00276CDE" w:rsidRPr="00C464FA">
        <w:t xml:space="preserve"> et al. (2012), a </w:t>
      </w:r>
      <w:r w:rsidR="005F2790">
        <w:t>jet or flash</w:t>
      </w:r>
      <w:r w:rsidR="00B337E7" w:rsidRPr="00C464FA">
        <w:t xml:space="preserve"> </w:t>
      </w:r>
      <w:r w:rsidR="00276CDE" w:rsidRPr="00C464FA">
        <w:t xml:space="preserve">fire </w:t>
      </w:r>
      <w:r w:rsidR="00B337E7">
        <w:t>(whose hazardous distance can be roughly estimated as the maximum distance reached by L</w:t>
      </w:r>
      <w:r w:rsidR="00BD74B3">
        <w:t>ower Flammability Limit (L</w:t>
      </w:r>
      <w:r w:rsidR="00B337E7">
        <w:t>FL</w:t>
      </w:r>
      <w:r w:rsidR="00BD74B3">
        <w:t>)</w:t>
      </w:r>
      <w:r w:rsidR="00B337E7">
        <w:t xml:space="preserve"> concentration value) </w:t>
      </w:r>
      <w:r w:rsidR="002A2C9C" w:rsidRPr="00C464FA">
        <w:t xml:space="preserve">can be intended as a major accident initiator. </w:t>
      </w:r>
    </w:p>
    <w:p w14:paraId="21D121F7" w14:textId="77777777" w:rsidR="00167353" w:rsidRPr="00C464FA" w:rsidRDefault="00CD5847" w:rsidP="00965BAA">
      <w:pPr>
        <w:pStyle w:val="CETBodytext"/>
      </w:pPr>
      <w:r w:rsidRPr="00C464FA">
        <w:t xml:space="preserve">Among the works available in literature focusing on such a critical scenario, in the recent decades several </w:t>
      </w:r>
      <w:r w:rsidR="0001293D" w:rsidRPr="00C464FA">
        <w:t>have been</w:t>
      </w:r>
      <w:r w:rsidRPr="00C464FA">
        <w:t xml:space="preserve"> the efforts spent on the study of high-pressure releases as free jets</w:t>
      </w:r>
      <w:r w:rsidR="00276CDE" w:rsidRPr="00C464FA">
        <w:t xml:space="preserve"> (intended as a release occurring in an unconfined environment</w:t>
      </w:r>
      <w:r w:rsidR="0001293D" w:rsidRPr="00C464FA">
        <w:t>)</w:t>
      </w:r>
      <w:r w:rsidR="00455582" w:rsidRPr="00C464FA">
        <w:t xml:space="preserve">. </w:t>
      </w:r>
      <w:r w:rsidRPr="00C464FA">
        <w:t xml:space="preserve">Thanks to these works, as reported </w:t>
      </w:r>
      <w:r w:rsidR="00E06519" w:rsidRPr="00C464FA">
        <w:t>by</w:t>
      </w:r>
      <w:r w:rsidR="00227F9D" w:rsidRPr="00C464FA">
        <w:t xml:space="preserve"> </w:t>
      </w:r>
      <w:proofErr w:type="spellStart"/>
      <w:r w:rsidR="00227F9D" w:rsidRPr="00C464FA">
        <w:t>Franquet</w:t>
      </w:r>
      <w:proofErr w:type="spellEnd"/>
      <w:r w:rsidR="00227F9D" w:rsidRPr="00C464FA">
        <w:t xml:space="preserve"> et al. (2015)</w:t>
      </w:r>
      <w:r w:rsidRPr="00C464FA">
        <w:t xml:space="preserve">, nowadays the overall structure of a high-pressure jet is very well known. In particular, a result of such a deep gathered comprehension has been the development of easy-to-use mathematical models that, by hand calculations, allow the quick estimation of various important physical variables characterizing the free jet. Therefore, for this kind of process safety issue, the </w:t>
      </w:r>
      <w:r w:rsidR="0001293D" w:rsidRPr="00C464FA">
        <w:t>risk analysis</w:t>
      </w:r>
      <w:r w:rsidRPr="00C464FA">
        <w:t xml:space="preserve"> can be performed exploiting practical tools</w:t>
      </w:r>
      <w:r w:rsidR="00227F9D" w:rsidRPr="00C464FA">
        <w:t xml:space="preserve">. </w:t>
      </w:r>
    </w:p>
    <w:p w14:paraId="6F10D76C" w14:textId="77777777" w:rsidR="00CD5847" w:rsidRPr="00C464FA" w:rsidRDefault="00CD5847" w:rsidP="00965BAA">
      <w:pPr>
        <w:pStyle w:val="CETBodytext"/>
      </w:pPr>
      <w:r w:rsidRPr="00C464FA">
        <w:t>However, it is easily as possible that, in a more realistic situation (with respect to the free jet one), the accidental leak</w:t>
      </w:r>
      <w:r w:rsidR="00227F9D" w:rsidRPr="00C464FA">
        <w:t xml:space="preserve"> may</w:t>
      </w:r>
      <w:r w:rsidRPr="00C464FA">
        <w:t xml:space="preserve"> involve either the ground or an equipment placed in its vicinity. It is in this more lifelike problem that, troubles using the aforementioned tools start to rise: as will be </w:t>
      </w:r>
      <w:r w:rsidR="006B2F32" w:rsidRPr="00C464FA">
        <w:t>shown</w:t>
      </w:r>
      <w:r w:rsidRPr="00C464FA">
        <w:t xml:space="preserve"> in this work (and in accordance with the literature</w:t>
      </w:r>
      <w:r w:rsidR="006B2F32" w:rsidRPr="00C464FA">
        <w:t xml:space="preserve"> (</w:t>
      </w:r>
      <w:proofErr w:type="spellStart"/>
      <w:r w:rsidR="006B2F32" w:rsidRPr="00C464FA">
        <w:t>Colombini</w:t>
      </w:r>
      <w:proofErr w:type="spellEnd"/>
      <w:r w:rsidR="006B2F32" w:rsidRPr="00C464FA">
        <w:t xml:space="preserve"> and </w:t>
      </w:r>
      <w:proofErr w:type="spellStart"/>
      <w:r w:rsidR="006B2F32" w:rsidRPr="00C464FA">
        <w:t>Busini</w:t>
      </w:r>
      <w:proofErr w:type="spellEnd"/>
      <w:r w:rsidR="006B2F32" w:rsidRPr="00C464FA">
        <w:t>, 2019</w:t>
      </w:r>
      <w:r w:rsidRPr="00C464FA">
        <w:t xml:space="preserve">), when a jet </w:t>
      </w:r>
      <w:r w:rsidR="006B2F32" w:rsidRPr="00C464FA">
        <w:t>interacts</w:t>
      </w:r>
      <w:r w:rsidRPr="00C464FA">
        <w:t xml:space="preserve"> </w:t>
      </w:r>
      <w:r w:rsidR="006B2F32" w:rsidRPr="00C464FA">
        <w:t xml:space="preserve">with </w:t>
      </w:r>
      <w:r w:rsidRPr="00C464FA">
        <w:t>an obstacle, its behavior significantly change</w:t>
      </w:r>
      <w:r w:rsidR="00B337E7">
        <w:t>s</w:t>
      </w:r>
      <w:r w:rsidRPr="00C464FA">
        <w:t xml:space="preserve">. Hence, </w:t>
      </w:r>
      <w:r w:rsidR="00137D5B" w:rsidRPr="00C464FA">
        <w:t>to describe this accidental scenario</w:t>
      </w:r>
      <w:r w:rsidRPr="00C464FA">
        <w:t xml:space="preserve">, the useful mathematical models derived for the free jet </w:t>
      </w:r>
      <w:r w:rsidR="00137D5B" w:rsidRPr="00C464FA">
        <w:t>situation</w:t>
      </w:r>
      <w:r w:rsidRPr="00C464FA">
        <w:t xml:space="preserve"> fail, leading to incorrect predictions</w:t>
      </w:r>
      <w:r w:rsidR="00137D5B" w:rsidRPr="00C464FA">
        <w:t xml:space="preserve"> (</w:t>
      </w:r>
      <w:proofErr w:type="spellStart"/>
      <w:r w:rsidR="00137D5B" w:rsidRPr="00C464FA">
        <w:t>Pontiggia</w:t>
      </w:r>
      <w:proofErr w:type="spellEnd"/>
      <w:r w:rsidR="00137D5B" w:rsidRPr="00C464FA">
        <w:t xml:space="preserve"> et al., 2014)</w:t>
      </w:r>
      <w:r w:rsidRPr="00C464FA">
        <w:t>.</w:t>
      </w:r>
    </w:p>
    <w:p w14:paraId="74252A24" w14:textId="60D21E36" w:rsidR="00E64DA5" w:rsidRPr="00C464FA" w:rsidRDefault="006B2F32" w:rsidP="00965BAA">
      <w:pPr>
        <w:pStyle w:val="CETBodytext"/>
      </w:pPr>
      <w:r w:rsidRPr="00C464FA">
        <w:lastRenderedPageBreak/>
        <w:t xml:space="preserve">Therefore, to properly </w:t>
      </w:r>
      <w:r w:rsidR="00137D5B" w:rsidRPr="00C464FA">
        <w:t>simulate</w:t>
      </w:r>
      <w:r w:rsidRPr="00C464FA">
        <w:t xml:space="preserve"> this kind of </w:t>
      </w:r>
      <w:r w:rsidR="00941AC8" w:rsidRPr="00C464FA">
        <w:t xml:space="preserve">accidental </w:t>
      </w:r>
      <w:r w:rsidRPr="00C464FA">
        <w:t>scenario, only a Computational Fluid Dynamics (CFD) analysis can be feasible and reliable</w:t>
      </w:r>
      <w:r w:rsidR="00941AC8" w:rsidRPr="00C464FA">
        <w:t>.</w:t>
      </w:r>
      <w:r w:rsidRPr="00C464FA">
        <w:t xml:space="preserve"> </w:t>
      </w:r>
      <w:r w:rsidR="00941AC8" w:rsidRPr="00C464FA">
        <w:t xml:space="preserve">This because CFD models are the only numerical tool able to account for the influence of obstacles or, more </w:t>
      </w:r>
      <w:r w:rsidR="0001293D" w:rsidRPr="00C464FA">
        <w:t>in general</w:t>
      </w:r>
      <w:r w:rsidR="00941AC8" w:rsidRPr="00C464FA">
        <w:t>, of a complex geometry on the jet release (Batt et al., 2016). However, shortcomings are present: the</w:t>
      </w:r>
      <w:r w:rsidRPr="00C464FA">
        <w:t xml:space="preserve"> computational demand and </w:t>
      </w:r>
      <w:r w:rsidR="00557A25" w:rsidRPr="00C464FA">
        <w:t xml:space="preserve">the </w:t>
      </w:r>
      <w:r w:rsidRPr="00C464FA">
        <w:t>required user knowledge</w:t>
      </w:r>
      <w:r w:rsidR="00941AC8" w:rsidRPr="00C464FA">
        <w:t xml:space="preserve"> limit the CFD use in the daily risk assessment and consequences analysis activities</w:t>
      </w:r>
      <w:r w:rsidR="00557A25" w:rsidRPr="00C464FA">
        <w:t xml:space="preserve"> </w:t>
      </w:r>
      <w:r w:rsidRPr="00C464FA">
        <w:t>(</w:t>
      </w:r>
      <w:proofErr w:type="spellStart"/>
      <w:r w:rsidRPr="00C464FA">
        <w:t>Zuliani</w:t>
      </w:r>
      <w:proofErr w:type="spellEnd"/>
      <w:r w:rsidRPr="00C464FA">
        <w:t xml:space="preserve"> et al., 2016). </w:t>
      </w:r>
    </w:p>
    <w:p w14:paraId="50CE9419" w14:textId="77DDF81F" w:rsidR="00E64DA5" w:rsidRPr="00C464FA" w:rsidRDefault="00E64DA5" w:rsidP="00965BAA">
      <w:pPr>
        <w:pStyle w:val="CETBodytext"/>
      </w:pPr>
      <w:r w:rsidRPr="00C464FA">
        <w:t>The ground can</w:t>
      </w:r>
      <w:r w:rsidR="006B2F32" w:rsidRPr="00C464FA">
        <w:t xml:space="preserve"> be counted </w:t>
      </w:r>
      <w:r w:rsidR="0014059C" w:rsidRPr="00C464FA">
        <w:t>among the</w:t>
      </w:r>
      <w:r w:rsidRPr="00C464FA">
        <w:t xml:space="preserve"> industrial obstacle</w:t>
      </w:r>
      <w:r w:rsidR="0014059C" w:rsidRPr="00C464FA">
        <w:t>s</w:t>
      </w:r>
      <w:r w:rsidRPr="00C464FA">
        <w:t>. The main reason is that its effect on the jet development is the increase of the damage area involved (</w:t>
      </w:r>
      <w:r w:rsidR="008A7557" w:rsidRPr="00C464FA">
        <w:t>Hall et al</w:t>
      </w:r>
      <w:r w:rsidRPr="00C464FA">
        <w:t xml:space="preserve">., </w:t>
      </w:r>
      <w:r w:rsidR="008A7557" w:rsidRPr="00C464FA">
        <w:t>2017</w:t>
      </w:r>
      <w:r w:rsidRPr="00C464FA">
        <w:t xml:space="preserve">). </w:t>
      </w:r>
      <w:r w:rsidR="00557A25" w:rsidRPr="00C464FA">
        <w:t>With regards to</w:t>
      </w:r>
      <w:r w:rsidRPr="00C464FA">
        <w:t xml:space="preserve"> this accidental scenario, in the past some works have been carried out. In particular</w:t>
      </w:r>
      <w:r w:rsidR="008A7557" w:rsidRPr="00C464FA">
        <w:t xml:space="preserve">, flat surface influence, </w:t>
      </w:r>
      <w:r w:rsidR="0089735C">
        <w:t>which</w:t>
      </w:r>
      <w:r w:rsidR="0089735C" w:rsidRPr="00C464FA">
        <w:t xml:space="preserve"> </w:t>
      </w:r>
      <w:r w:rsidR="008A7557" w:rsidRPr="00C464FA">
        <w:t>can be either horizontally or vertically oriented,</w:t>
      </w:r>
      <w:r w:rsidR="00F602D3" w:rsidRPr="00C464FA">
        <w:t xml:space="preserve"> ha</w:t>
      </w:r>
      <w:r w:rsidR="0001293D" w:rsidRPr="00C464FA">
        <w:t>s</w:t>
      </w:r>
      <w:r w:rsidR="00F602D3" w:rsidRPr="00C464FA">
        <w:t xml:space="preserve"> been analyzed varying some scenario parameters (such as source-surface distance, upstream pressure, orifice diameter) both numerically (</w:t>
      </w:r>
      <w:proofErr w:type="spellStart"/>
      <w:r w:rsidR="00F602D3" w:rsidRPr="00C464FA">
        <w:t>Benard</w:t>
      </w:r>
      <w:proofErr w:type="spellEnd"/>
      <w:r w:rsidR="00F602D3" w:rsidRPr="00C464FA">
        <w:t xml:space="preserve"> et al., 2007;</w:t>
      </w:r>
      <w:r w:rsidR="00455582" w:rsidRPr="00C464FA">
        <w:t xml:space="preserve"> </w:t>
      </w:r>
      <w:proofErr w:type="spellStart"/>
      <w:r w:rsidR="00F602D3" w:rsidRPr="00C464FA">
        <w:t>Hourri</w:t>
      </w:r>
      <w:proofErr w:type="spellEnd"/>
      <w:r w:rsidR="00F602D3" w:rsidRPr="00C464FA">
        <w:t xml:space="preserve"> et al., 2009; Angers et al., 2011; </w:t>
      </w:r>
      <w:proofErr w:type="spellStart"/>
      <w:r w:rsidR="00F602D3" w:rsidRPr="00C464FA">
        <w:t>Benard</w:t>
      </w:r>
      <w:proofErr w:type="spellEnd"/>
      <w:r w:rsidR="00F602D3" w:rsidRPr="00C464FA">
        <w:t xml:space="preserve"> et al., 2016) and experimentally (</w:t>
      </w:r>
      <w:proofErr w:type="spellStart"/>
      <w:r w:rsidR="00F602D3" w:rsidRPr="00C464FA">
        <w:t>Desilets</w:t>
      </w:r>
      <w:proofErr w:type="spellEnd"/>
      <w:r w:rsidR="00F602D3" w:rsidRPr="00C464FA">
        <w:t xml:space="preserve"> et al., 2009; Hall et al., 2017). </w:t>
      </w:r>
    </w:p>
    <w:p w14:paraId="20146803" w14:textId="77777777" w:rsidR="0014059C" w:rsidRPr="00C464FA" w:rsidRDefault="006B2F32" w:rsidP="00965BAA">
      <w:pPr>
        <w:pStyle w:val="CETBodytext"/>
      </w:pPr>
      <w:r w:rsidRPr="00C464FA">
        <w:t>However, none of th</w:t>
      </w:r>
      <w:r w:rsidR="0014059C" w:rsidRPr="00C464FA">
        <w:t>ese</w:t>
      </w:r>
      <w:r w:rsidRPr="00C464FA">
        <w:t xml:space="preserve"> literature works </w:t>
      </w:r>
      <w:r w:rsidR="0001293D" w:rsidRPr="00C464FA">
        <w:t>investigated</w:t>
      </w:r>
      <w:r w:rsidR="0014059C" w:rsidRPr="00C464FA">
        <w:t xml:space="preserve"> </w:t>
      </w:r>
      <w:r w:rsidR="0001293D" w:rsidRPr="00C464FA">
        <w:t>what happens if d</w:t>
      </w:r>
      <w:r w:rsidR="0014059C" w:rsidRPr="00C464FA">
        <w:t xml:space="preserve">ifferent substances </w:t>
      </w:r>
      <w:r w:rsidR="0001293D" w:rsidRPr="00C464FA">
        <w:t>are involved</w:t>
      </w:r>
      <w:r w:rsidR="0014059C" w:rsidRPr="00C464FA">
        <w:t xml:space="preserve">. </w:t>
      </w:r>
    </w:p>
    <w:p w14:paraId="49E70844" w14:textId="498CBE88" w:rsidR="00BE13B3" w:rsidRPr="00C464FA" w:rsidRDefault="0014059C" w:rsidP="00965BAA">
      <w:pPr>
        <w:pStyle w:val="CETBodytext"/>
      </w:pPr>
      <w:r w:rsidRPr="00C464FA">
        <w:t xml:space="preserve">In the present work, the ground influence was </w:t>
      </w:r>
      <w:r w:rsidR="006B2F32" w:rsidRPr="00C464FA">
        <w:t>investigat</w:t>
      </w:r>
      <w:r w:rsidRPr="00C464FA">
        <w:t>ed</w:t>
      </w:r>
      <w:r w:rsidR="006B2F32" w:rsidRPr="00C464FA">
        <w:t xml:space="preserve"> </w:t>
      </w:r>
      <w:r w:rsidRPr="00C464FA">
        <w:t xml:space="preserve">in terms of how </w:t>
      </w:r>
      <w:r w:rsidR="006B2F32" w:rsidRPr="00C464FA">
        <w:t>the flammable area extent of a high-pressure jet</w:t>
      </w:r>
      <w:r w:rsidR="00BE13B3" w:rsidRPr="00C464FA">
        <w:t xml:space="preserve"> </w:t>
      </w:r>
      <w:r w:rsidRPr="00C464FA">
        <w:t xml:space="preserve">is enlarged </w:t>
      </w:r>
      <w:r w:rsidR="004B7FAF" w:rsidRPr="00C464FA">
        <w:t xml:space="preserve">(in terms of Maximum axially-oriented Extent (ME) of the </w:t>
      </w:r>
      <w:r w:rsidR="00BD74B3">
        <w:t>LFL</w:t>
      </w:r>
      <w:r w:rsidR="004B7FAF" w:rsidRPr="00C464FA">
        <w:t xml:space="preserve"> cloud) </w:t>
      </w:r>
      <w:r w:rsidRPr="00C464FA">
        <w:t xml:space="preserve">varying the height of the source above the ground. </w:t>
      </w:r>
    </w:p>
    <w:p w14:paraId="3F34F5FD" w14:textId="77777777" w:rsidR="006B2F32" w:rsidRPr="00C464FA" w:rsidRDefault="0001293D" w:rsidP="00965BAA">
      <w:pPr>
        <w:pStyle w:val="CETBodytext"/>
      </w:pPr>
      <w:r w:rsidRPr="00C464FA">
        <w:t>In particular, the aim was to compare how t</w:t>
      </w:r>
      <w:r w:rsidR="0014059C" w:rsidRPr="00C464FA">
        <w:t xml:space="preserve">hree </w:t>
      </w:r>
      <w:r w:rsidRPr="00C464FA">
        <w:t>widely used flammable</w:t>
      </w:r>
      <w:r w:rsidR="0014059C" w:rsidRPr="00C464FA">
        <w:t xml:space="preserve"> substances</w:t>
      </w:r>
      <w:r w:rsidR="00C15012" w:rsidRPr="00C464FA">
        <w:t xml:space="preserve"> (namely methane, propane and hydrogen) behave when their release is modified by the ground presence.</w:t>
      </w:r>
      <w:r w:rsidR="0014059C" w:rsidRPr="00C464FA">
        <w:t xml:space="preserve"> All the three were considered at their </w:t>
      </w:r>
      <w:r w:rsidR="00BE13B3" w:rsidRPr="00C464FA">
        <w:t xml:space="preserve">typical </w:t>
      </w:r>
      <w:r w:rsidR="004B7FAF" w:rsidRPr="00C464FA">
        <w:t>handling</w:t>
      </w:r>
      <w:r w:rsidR="0014059C" w:rsidRPr="00C464FA">
        <w:t xml:space="preserve"> conditions. For methane and propane, the numerical outcomes were computed by using </w:t>
      </w:r>
      <w:r w:rsidR="00BE13B3" w:rsidRPr="00C464FA">
        <w:t>the developed</w:t>
      </w:r>
      <w:r w:rsidR="0014059C" w:rsidRPr="00C464FA">
        <w:t xml:space="preserve"> CFD model, while, for the </w:t>
      </w:r>
      <w:r w:rsidR="00BE13B3" w:rsidRPr="00C464FA">
        <w:t xml:space="preserve">hydrogen case, data were taken from the work of </w:t>
      </w:r>
      <w:proofErr w:type="spellStart"/>
      <w:r w:rsidR="00BE13B3" w:rsidRPr="00C464FA">
        <w:t>Benard</w:t>
      </w:r>
      <w:proofErr w:type="spellEnd"/>
      <w:r w:rsidR="00BE13B3" w:rsidRPr="00C464FA">
        <w:t xml:space="preserve"> et al. (2016).</w:t>
      </w:r>
    </w:p>
    <w:p w14:paraId="6DCDCA37" w14:textId="376F38AB" w:rsidR="002258E9" w:rsidRPr="00C464FA" w:rsidRDefault="00C068AC" w:rsidP="00965BAA">
      <w:pPr>
        <w:pStyle w:val="CETBodytext"/>
      </w:pPr>
      <w:r w:rsidRPr="00C464FA">
        <w:t xml:space="preserve">As </w:t>
      </w:r>
      <w:r w:rsidR="00137D5B" w:rsidRPr="00C464FA">
        <w:t>stated</w:t>
      </w:r>
      <w:r w:rsidRPr="00C464FA">
        <w:t xml:space="preserve">, </w:t>
      </w:r>
      <w:r w:rsidR="002258E9" w:rsidRPr="00C464FA">
        <w:t xml:space="preserve">the aim is to </w:t>
      </w:r>
      <w:r w:rsidR="00B337E7">
        <w:t>compare</w:t>
      </w:r>
      <w:r w:rsidR="00B337E7" w:rsidRPr="00C464FA">
        <w:t xml:space="preserve"> </w:t>
      </w:r>
      <w:r w:rsidR="002258E9" w:rsidRPr="00C464FA">
        <w:t>how the ground affects high-pressure jets of three different substances.</w:t>
      </w:r>
    </w:p>
    <w:p w14:paraId="0AD3A1FC" w14:textId="77777777" w:rsidR="002258E9" w:rsidRPr="00C464FA" w:rsidRDefault="002258E9" w:rsidP="00965BAA">
      <w:pPr>
        <w:pStyle w:val="CETBodytext"/>
      </w:pPr>
      <w:r w:rsidRPr="00C464FA">
        <w:t xml:space="preserve">However, perform such a comparison highlighting only the </w:t>
      </w:r>
      <w:r w:rsidR="0008098C" w:rsidRPr="00C464FA">
        <w:t>effect</w:t>
      </w:r>
      <w:r w:rsidRPr="00C464FA">
        <w:t xml:space="preserve"> of </w:t>
      </w:r>
      <w:r w:rsidR="0008098C" w:rsidRPr="00C464FA">
        <w:t>considering</w:t>
      </w:r>
      <w:r w:rsidRPr="00C464FA">
        <w:t xml:space="preserve"> different substances </w:t>
      </w:r>
      <w:r w:rsidR="0008098C" w:rsidRPr="00C464FA">
        <w:t>is not as immediate as it seems.</w:t>
      </w:r>
      <w:r w:rsidR="004B7FAF" w:rsidRPr="00C464FA">
        <w:t xml:space="preserve"> In fact, other aspects change when changing the substance:</w:t>
      </w:r>
    </w:p>
    <w:p w14:paraId="73F9F9B7" w14:textId="77777777" w:rsidR="004B7FAF" w:rsidRPr="00C464FA" w:rsidRDefault="00C15012" w:rsidP="00965BAA">
      <w:pPr>
        <w:pStyle w:val="CETBodytext"/>
        <w:numPr>
          <w:ilvl w:val="0"/>
          <w:numId w:val="25"/>
        </w:numPr>
      </w:pPr>
      <w:r w:rsidRPr="00C464FA">
        <w:t xml:space="preserve">considering the </w:t>
      </w:r>
      <w:r w:rsidR="004B7FAF" w:rsidRPr="00C464FA">
        <w:t>correspondent LFL value means different observed concentrations</w:t>
      </w:r>
    </w:p>
    <w:p w14:paraId="57EDD206" w14:textId="77777777" w:rsidR="004C790B" w:rsidRPr="00C464FA" w:rsidRDefault="00C15012" w:rsidP="00965BAA">
      <w:pPr>
        <w:pStyle w:val="CETBodytext"/>
        <w:numPr>
          <w:ilvl w:val="0"/>
          <w:numId w:val="25"/>
        </w:numPr>
      </w:pPr>
      <w:r w:rsidRPr="00C464FA">
        <w:t xml:space="preserve">considering </w:t>
      </w:r>
      <w:r w:rsidR="004B7FAF" w:rsidRPr="00C464FA">
        <w:t>typical handling condition</w:t>
      </w:r>
      <w:r w:rsidR="002437B6" w:rsidRPr="00C464FA">
        <w:t>s</w:t>
      </w:r>
      <w:r w:rsidR="004B7FAF" w:rsidRPr="00C464FA">
        <w:t xml:space="preserve"> means different </w:t>
      </w:r>
      <w:r w:rsidR="002A2C9C" w:rsidRPr="00C464FA">
        <w:t>source</w:t>
      </w:r>
      <w:r w:rsidR="004B7FAF" w:rsidRPr="00C464FA">
        <w:t xml:space="preserve"> pressures </w:t>
      </w:r>
    </w:p>
    <w:p w14:paraId="599F036C" w14:textId="77777777" w:rsidR="004B7FAF" w:rsidRPr="00C464FA" w:rsidRDefault="004B7FAF" w:rsidP="00965BAA">
      <w:pPr>
        <w:pStyle w:val="CETBodytext"/>
      </w:pPr>
      <w:r w:rsidRPr="00C464FA">
        <w:t xml:space="preserve">Therefore, to fruitfully </w:t>
      </w:r>
      <w:r w:rsidR="002A2C9C" w:rsidRPr="00C464FA">
        <w:t xml:space="preserve">show </w:t>
      </w:r>
      <w:r w:rsidRPr="00C464FA">
        <w:t xml:space="preserve">which is the </w:t>
      </w:r>
      <w:r w:rsidR="001B6E75" w:rsidRPr="00C464FA">
        <w:t>dependency of the ME upon</w:t>
      </w:r>
      <w:r w:rsidR="002A2C9C" w:rsidRPr="00C464FA">
        <w:t xml:space="preserve"> only the </w:t>
      </w:r>
      <w:r w:rsidRPr="00C464FA">
        <w:t xml:space="preserve">substance </w:t>
      </w:r>
      <w:r w:rsidR="002437B6" w:rsidRPr="00C464FA">
        <w:t>change</w:t>
      </w:r>
      <w:r w:rsidR="002A2C9C" w:rsidRPr="00C464FA">
        <w:t xml:space="preserve">, it was needed to define a proper </w:t>
      </w:r>
      <w:r w:rsidR="004C790B" w:rsidRPr="00C464FA">
        <w:t>space</w:t>
      </w:r>
      <w:r w:rsidR="002A2C9C" w:rsidRPr="00C464FA">
        <w:t xml:space="preserve"> </w:t>
      </w:r>
      <w:r w:rsidR="004C790B" w:rsidRPr="00C464FA">
        <w:t>that allowed to</w:t>
      </w:r>
      <w:r w:rsidR="002A2C9C" w:rsidRPr="00C464FA">
        <w:t xml:space="preserve"> offset both </w:t>
      </w:r>
      <w:r w:rsidR="00137D5B" w:rsidRPr="00C464FA">
        <w:t xml:space="preserve">the </w:t>
      </w:r>
      <w:r w:rsidR="002A2C9C" w:rsidRPr="00C464FA">
        <w:t>different concentrations observed</w:t>
      </w:r>
      <w:r w:rsidR="00F602D3" w:rsidRPr="00C464FA">
        <w:t>,</w:t>
      </w:r>
      <w:r w:rsidR="002A2C9C" w:rsidRPr="00C464FA">
        <w:t xml:space="preserve"> and </w:t>
      </w:r>
      <w:r w:rsidR="00137D5B" w:rsidRPr="00C464FA">
        <w:t xml:space="preserve">the </w:t>
      </w:r>
      <w:r w:rsidR="002A2C9C" w:rsidRPr="00C464FA">
        <w:t>different source pressures</w:t>
      </w:r>
      <w:r w:rsidR="002437B6" w:rsidRPr="00C464FA">
        <w:t xml:space="preserve"> considered</w:t>
      </w:r>
      <w:r w:rsidR="002A2C9C" w:rsidRPr="00C464FA">
        <w:t xml:space="preserve">. </w:t>
      </w:r>
    </w:p>
    <w:p w14:paraId="489FB56C" w14:textId="77777777" w:rsidR="00441FC1" w:rsidRPr="00C464FA" w:rsidRDefault="00441FC1" w:rsidP="00965BAA">
      <w:pPr>
        <w:pStyle w:val="CETHeading1"/>
        <w:spacing w:line="264" w:lineRule="auto"/>
        <w:rPr>
          <w:lang w:val="en-GB"/>
        </w:rPr>
      </w:pPr>
      <w:r w:rsidRPr="00C464FA">
        <w:rPr>
          <w:lang w:val="en-GB"/>
        </w:rPr>
        <w:t xml:space="preserve">Materials and </w:t>
      </w:r>
      <w:r w:rsidR="00951FD9">
        <w:rPr>
          <w:lang w:val="en-GB"/>
        </w:rPr>
        <w:t>m</w:t>
      </w:r>
      <w:r w:rsidRPr="00C464FA">
        <w:rPr>
          <w:lang w:val="en-GB"/>
        </w:rPr>
        <w:t>ethod</w:t>
      </w:r>
      <w:r w:rsidR="00B51263" w:rsidRPr="00C464FA">
        <w:rPr>
          <w:lang w:val="en-GB"/>
        </w:rPr>
        <w:t>s</w:t>
      </w:r>
    </w:p>
    <w:p w14:paraId="31FFC3DB" w14:textId="77777777" w:rsidR="00D935F4" w:rsidRPr="00C464FA" w:rsidRDefault="001A3F46" w:rsidP="00965BAA">
      <w:pPr>
        <w:pStyle w:val="CETBodytext"/>
      </w:pPr>
      <w:r w:rsidRPr="00C464FA">
        <w:t xml:space="preserve">For all the three fluids considered in the present work, an upstream pressure greater than the critical </w:t>
      </w:r>
      <w:r w:rsidR="00D935F4" w:rsidRPr="00C464FA">
        <w:t>threshold</w:t>
      </w:r>
      <w:r w:rsidRPr="00C464FA">
        <w:t xml:space="preserve"> </w:t>
      </w:r>
      <w:r w:rsidR="00D935F4" w:rsidRPr="00C464FA">
        <w:t xml:space="preserve">to achieve chocked </w:t>
      </w:r>
      <w:r w:rsidR="00170083" w:rsidRPr="00C464FA">
        <w:t>conditions</w:t>
      </w:r>
      <w:r w:rsidR="00D935F4" w:rsidRPr="00C464FA">
        <w:t xml:space="preserve"> is noticed (</w:t>
      </w:r>
      <w:r w:rsidR="00976115" w:rsidRPr="00C464FA">
        <w:t>Cameron and Raman, 2005</w:t>
      </w:r>
      <w:r w:rsidR="00D935F4" w:rsidRPr="00C464FA">
        <w:t xml:space="preserve">). In this case, supercritical releases are expected to occur. </w:t>
      </w:r>
      <w:r w:rsidR="000F5D67" w:rsidRPr="00C464FA">
        <w:t xml:space="preserve">By the numerical point of view, this implies </w:t>
      </w:r>
      <w:r w:rsidR="00A65B0B" w:rsidRPr="00C464FA">
        <w:t>a computationally expensive problem to face. The reason lies in the need of simulating complex phenomena such as shock waves formation and Mach disk establishment downstream to the jet orifice (</w:t>
      </w:r>
      <w:proofErr w:type="spellStart"/>
      <w:r w:rsidR="00976115" w:rsidRPr="00C464FA">
        <w:t>Franquet</w:t>
      </w:r>
      <w:proofErr w:type="spellEnd"/>
      <w:r w:rsidR="00976115" w:rsidRPr="00C464FA">
        <w:t xml:space="preserve"> et al., 2015</w:t>
      </w:r>
      <w:r w:rsidR="00A65B0B" w:rsidRPr="00C464FA">
        <w:t>). Since in the present work the far field zone of the jet is of primary interest, a way to overcome the aforementioned phenomena simulation is to model them exploiting well established analytical correlations (</w:t>
      </w:r>
      <w:proofErr w:type="spellStart"/>
      <w:r w:rsidR="00976115" w:rsidRPr="00C464FA">
        <w:t>Tolias</w:t>
      </w:r>
      <w:proofErr w:type="spellEnd"/>
      <w:r w:rsidR="00976115" w:rsidRPr="00C464FA">
        <w:t xml:space="preserve"> et al., 2019</w:t>
      </w:r>
      <w:r w:rsidR="00A65B0B" w:rsidRPr="00C464FA">
        <w:t>). Named as Equivalent Diameter Model</w:t>
      </w:r>
      <w:r w:rsidR="00170083" w:rsidRPr="00C464FA">
        <w:t>s</w:t>
      </w:r>
      <w:r w:rsidR="00A65B0B" w:rsidRPr="00C464FA">
        <w:t xml:space="preserve"> (EDM), among the various </w:t>
      </w:r>
      <w:r w:rsidR="00D24B9A" w:rsidRPr="00C464FA">
        <w:t xml:space="preserve">approaches to model the jet source term </w:t>
      </w:r>
      <w:r w:rsidR="00A65B0B" w:rsidRPr="00C464FA">
        <w:t xml:space="preserve">available in literature, the widely adopted model of Birch et al. (1984) was </w:t>
      </w:r>
      <w:r w:rsidR="00170083" w:rsidRPr="00C464FA">
        <w:t>chosen</w:t>
      </w:r>
      <w:r w:rsidR="00A65B0B" w:rsidRPr="00C464FA">
        <w:t xml:space="preserve">. </w:t>
      </w:r>
    </w:p>
    <w:p w14:paraId="3C09774F" w14:textId="40DDB7E3" w:rsidR="004C790B" w:rsidRPr="00C464FA" w:rsidRDefault="00170083" w:rsidP="00965BAA">
      <w:pPr>
        <w:pStyle w:val="CETBodytext"/>
      </w:pPr>
      <w:r w:rsidRPr="00C464FA">
        <w:t>Given</w:t>
      </w:r>
      <w:r w:rsidR="003F274A" w:rsidRPr="00C464FA">
        <w:t xml:space="preserve"> the outdoor location of the accidental scenario investigated, p</w:t>
      </w:r>
      <w:r w:rsidR="00441FC1" w:rsidRPr="00C464FA">
        <w:t xml:space="preserve">articular attention was </w:t>
      </w:r>
      <w:r w:rsidR="0089735C" w:rsidRPr="00C464FA">
        <w:t>paid</w:t>
      </w:r>
      <w:r w:rsidR="00441FC1" w:rsidRPr="00C464FA">
        <w:t xml:space="preserve"> to model realistic wind conditions. </w:t>
      </w:r>
      <w:r w:rsidR="003F274A" w:rsidRPr="00C464FA">
        <w:t>T</w:t>
      </w:r>
      <w:r w:rsidR="00441FC1" w:rsidRPr="00C464FA">
        <w:t>o consider the atmospheric conditions of an open field scenario, a velocity profile in accordance with the atmospheric class 5</w:t>
      </w:r>
      <w:r w:rsidR="00441FC1" w:rsidRPr="00C464FA">
        <w:rPr>
          <w:i/>
        </w:rPr>
        <w:t>D</w:t>
      </w:r>
      <w:r w:rsidR="00976115" w:rsidRPr="00C464FA">
        <w:t xml:space="preserve"> </w:t>
      </w:r>
      <w:r w:rsidR="004C790B" w:rsidRPr="00C464FA">
        <w:t xml:space="preserve">of the </w:t>
      </w:r>
      <w:proofErr w:type="spellStart"/>
      <w:r w:rsidR="004C790B" w:rsidRPr="00C464FA">
        <w:t>Pasquill’s</w:t>
      </w:r>
      <w:proofErr w:type="spellEnd"/>
      <w:r w:rsidR="004C790B" w:rsidRPr="00C464FA">
        <w:t xml:space="preserve"> categories </w:t>
      </w:r>
      <w:r w:rsidR="00441FC1" w:rsidRPr="00C464FA">
        <w:t>was supplied to the solver through a User Defined Function (UDF) (</w:t>
      </w:r>
      <w:proofErr w:type="spellStart"/>
      <w:r w:rsidR="00441FC1" w:rsidRPr="00C464FA">
        <w:t>Pontiggia</w:t>
      </w:r>
      <w:proofErr w:type="spellEnd"/>
      <w:r w:rsidR="00441FC1" w:rsidRPr="00C464FA">
        <w:t xml:space="preserve"> et al., 20</w:t>
      </w:r>
      <w:r w:rsidR="00455582" w:rsidRPr="00C464FA">
        <w:t>14</w:t>
      </w:r>
      <w:r w:rsidR="00441FC1" w:rsidRPr="00C464FA">
        <w:t>).</w:t>
      </w:r>
    </w:p>
    <w:p w14:paraId="5232E7DE" w14:textId="77777777" w:rsidR="00EC715E" w:rsidRPr="00C464FA" w:rsidRDefault="00EC715E" w:rsidP="00965BAA">
      <w:pPr>
        <w:pStyle w:val="CETBodytext"/>
      </w:pPr>
      <w:r w:rsidRPr="00C464FA">
        <w:t>To perform the CFD analysis, Ansys Workbench (release 19.1) was used and, Fluent was deployed to numerically solve the flow governing equations</w:t>
      </w:r>
      <w:r w:rsidR="003A63CD" w:rsidRPr="00C464FA">
        <w:t>.</w:t>
      </w:r>
      <w:r w:rsidRPr="00C464FA">
        <w:t xml:space="preserve"> </w:t>
      </w:r>
    </w:p>
    <w:p w14:paraId="05F60525" w14:textId="77777777" w:rsidR="00441FC1" w:rsidRDefault="004C790B" w:rsidP="00965BAA">
      <w:pPr>
        <w:pStyle w:val="CETBodytext"/>
      </w:pPr>
      <w:r w:rsidRPr="00C464FA">
        <w:t xml:space="preserve">By the numerical resolution point of view, to obtain a good quality representation of the flow field </w:t>
      </w:r>
      <w:r w:rsidR="00F52294" w:rsidRPr="00C464FA">
        <w:t>as well as</w:t>
      </w:r>
      <w:r w:rsidRPr="00C464FA">
        <w:t xml:space="preserve"> a time-saving tool,</w:t>
      </w:r>
      <w:r w:rsidR="00F52294" w:rsidRPr="00C464FA">
        <w:t xml:space="preserve"> the </w:t>
      </w:r>
      <w:r w:rsidRPr="00C464FA">
        <w:t>Reynolds</w:t>
      </w:r>
      <w:r w:rsidR="00F52294" w:rsidRPr="00C464FA">
        <w:t>’s</w:t>
      </w:r>
      <w:r w:rsidRPr="00C464FA">
        <w:t xml:space="preserve"> </w:t>
      </w:r>
      <w:r w:rsidR="00F52294" w:rsidRPr="00C464FA">
        <w:t>Average of the governing equations (</w:t>
      </w:r>
      <w:proofErr w:type="spellStart"/>
      <w:r w:rsidR="00F52294" w:rsidRPr="00C464FA">
        <w:rPr>
          <w:i/>
          <w:iCs/>
        </w:rPr>
        <w:t>i.e</w:t>
      </w:r>
      <w:proofErr w:type="spellEnd"/>
      <w:r w:rsidR="00F52294" w:rsidRPr="00C464FA">
        <w:rPr>
          <w:i/>
          <w:iCs/>
        </w:rPr>
        <w:t xml:space="preserve">, </w:t>
      </w:r>
      <w:r w:rsidR="00F52294" w:rsidRPr="00C464FA">
        <w:t>the</w:t>
      </w:r>
      <w:r w:rsidR="00F52294" w:rsidRPr="00C464FA">
        <w:rPr>
          <w:i/>
          <w:iCs/>
        </w:rPr>
        <w:t xml:space="preserve"> </w:t>
      </w:r>
      <w:r w:rsidR="00F52294" w:rsidRPr="00C464FA">
        <w:t>RANS approach)</w:t>
      </w:r>
      <w:r w:rsidR="00EC715E" w:rsidRPr="00C464FA">
        <w:t xml:space="preserve"> was used</w:t>
      </w:r>
      <w:r w:rsidRPr="00C464FA">
        <w:t>. To avoid the need of resolve the boundary layer</w:t>
      </w:r>
      <w:r w:rsidRPr="004C790B">
        <w:t xml:space="preserve"> of the ground, among the possible turbulence models available, the k-</w:t>
      </w:r>
      <w:r w:rsidRPr="004C790B">
        <w:rPr>
          <w:rFonts w:ascii="Cambria Math" w:hAnsi="Cambria Math"/>
        </w:rPr>
        <w:t>ω</w:t>
      </w:r>
      <w:r w:rsidRPr="004C790B">
        <w:t xml:space="preserve"> SST was </w:t>
      </w:r>
      <w:r w:rsidR="00EB4419">
        <w:t>chosen</w:t>
      </w:r>
      <w:r w:rsidRPr="004C790B">
        <w:t>.</w:t>
      </w:r>
    </w:p>
    <w:p w14:paraId="21B28D59" w14:textId="77777777" w:rsidR="00441FC1" w:rsidRDefault="00441FC1" w:rsidP="00965BAA">
      <w:pPr>
        <w:pStyle w:val="CETHeading1"/>
        <w:spacing w:line="264" w:lineRule="auto"/>
        <w:rPr>
          <w:lang w:val="en-GB"/>
        </w:rPr>
      </w:pPr>
      <w:r>
        <w:rPr>
          <w:lang w:val="en-GB"/>
        </w:rPr>
        <w:t xml:space="preserve">Results and </w:t>
      </w:r>
      <w:r w:rsidR="00951FD9">
        <w:rPr>
          <w:lang w:val="en-GB"/>
        </w:rPr>
        <w:t>d</w:t>
      </w:r>
      <w:r>
        <w:rPr>
          <w:lang w:val="en-GB"/>
        </w:rPr>
        <w:t>iscussion</w:t>
      </w:r>
    </w:p>
    <w:p w14:paraId="59E56127" w14:textId="7B70F248" w:rsidR="00574705" w:rsidRPr="00C464FA" w:rsidRDefault="00174878" w:rsidP="00965BAA">
      <w:pPr>
        <w:pStyle w:val="CETBodytext"/>
      </w:pPr>
      <w:r w:rsidRPr="00DA57E2">
        <w:t xml:space="preserve">Guessing a spill from a </w:t>
      </w:r>
      <w:r w:rsidRPr="00C464FA">
        <w:t>storage tank (or a pipeline), for all the three substances released</w:t>
      </w:r>
      <w:r w:rsidR="00C15012" w:rsidRPr="00C464FA">
        <w:t>,</w:t>
      </w:r>
      <w:r w:rsidRPr="00C464FA">
        <w:t xml:space="preserve"> the leakage was considered to be constant in time (</w:t>
      </w:r>
      <w:r w:rsidRPr="00C464FA">
        <w:rPr>
          <w:i/>
          <w:iCs/>
        </w:rPr>
        <w:t>i.e.</w:t>
      </w:r>
      <w:r w:rsidRPr="00C464FA">
        <w:t xml:space="preserve">, steady state condition). Details of the </w:t>
      </w:r>
      <w:r w:rsidR="009E7908" w:rsidRPr="00C464FA">
        <w:t>actual source term</w:t>
      </w:r>
      <w:r w:rsidRPr="00C464FA">
        <w:t xml:space="preserve"> </w:t>
      </w:r>
      <w:r w:rsidR="00BD4D89" w:rsidRPr="00C464FA">
        <w:t>(namely, stagnation pressure (p), temperature (T) and actual orifice diameter (d)) together with</w:t>
      </w:r>
      <w:r w:rsidR="0050017F" w:rsidRPr="00C464FA">
        <w:t xml:space="preserve"> the </w:t>
      </w:r>
      <w:r w:rsidR="00B878AA" w:rsidRPr="00C464FA">
        <w:t>correspondent</w:t>
      </w:r>
      <w:r w:rsidR="009E7908" w:rsidRPr="00C464FA">
        <w:t xml:space="preserve"> equivalent conditions computed with the </w:t>
      </w:r>
      <w:r w:rsidR="00BD4D89" w:rsidRPr="00C464FA">
        <w:t xml:space="preserve">Birch et al. (1984) </w:t>
      </w:r>
      <w:r w:rsidR="009E7908" w:rsidRPr="00C464FA">
        <w:t>EDM</w:t>
      </w:r>
      <w:r w:rsidR="00B878AA" w:rsidRPr="00C464FA">
        <w:t xml:space="preserve"> </w:t>
      </w:r>
      <w:r w:rsidR="00BD4D89" w:rsidRPr="00C464FA">
        <w:t>(namely, mass flow rate (</w:t>
      </w:r>
      <m:oMath>
        <m:acc>
          <m:accPr>
            <m:chr m:val="̇"/>
            <m:ctrlPr>
              <w:rPr>
                <w:rFonts w:ascii="Cambria Math" w:hAnsi="Cambria Math"/>
                <w:i/>
              </w:rPr>
            </m:ctrlPr>
          </m:accPr>
          <m:e>
            <m:r>
              <w:rPr>
                <w:rFonts w:ascii="Cambria Math" w:hAnsi="Cambria Math"/>
              </w:rPr>
              <m:t>m</m:t>
            </m:r>
          </m:e>
        </m:acc>
      </m:oMath>
      <w:r w:rsidR="00BD4D89" w:rsidRPr="00C464FA">
        <w:t>), total temperature (T</w:t>
      </w:r>
      <w:r w:rsidR="00BD4D89" w:rsidRPr="00C464FA">
        <w:rPr>
          <w:vertAlign w:val="subscript"/>
        </w:rPr>
        <w:t>TOT</w:t>
      </w:r>
      <w:r w:rsidR="00BD4D89" w:rsidRPr="00C464FA">
        <w:t xml:space="preserve">) and equivalent </w:t>
      </w:r>
      <w:r w:rsidR="001103CD" w:rsidRPr="00C464FA">
        <w:t xml:space="preserve">source </w:t>
      </w:r>
      <w:r w:rsidR="00BD4D89" w:rsidRPr="00C464FA">
        <w:t>diameter (</w:t>
      </w:r>
      <w:proofErr w:type="spellStart"/>
      <w:r w:rsidR="00BD4D89" w:rsidRPr="00C464FA">
        <w:t>d</w:t>
      </w:r>
      <w:r w:rsidR="00BD4D89" w:rsidRPr="00C464FA">
        <w:rPr>
          <w:vertAlign w:val="subscript"/>
        </w:rPr>
        <w:t>EQ</w:t>
      </w:r>
      <w:proofErr w:type="spellEnd"/>
      <w:r w:rsidR="00BD4D89" w:rsidRPr="00C464FA">
        <w:t>))</w:t>
      </w:r>
      <w:r w:rsidR="00B878AA" w:rsidRPr="00C464FA">
        <w:t xml:space="preserve"> are reported in Table 1.</w:t>
      </w:r>
      <w:r w:rsidR="009E7908" w:rsidRPr="00C464FA">
        <w:t xml:space="preserve"> </w:t>
      </w:r>
      <w:r w:rsidRPr="00C464FA">
        <w:t xml:space="preserve">The ground was modeled as an adiabatic wall surface, </w:t>
      </w:r>
      <w:r w:rsidR="00B85063" w:rsidRPr="00C464FA">
        <w:t>with a</w:t>
      </w:r>
      <w:r w:rsidRPr="00C464FA">
        <w:t xml:space="preserve"> roughness height equal to 0.01 m</w:t>
      </w:r>
      <w:r w:rsidR="0089735C">
        <w:t>,</w:t>
      </w:r>
      <w:r w:rsidR="00B85063" w:rsidRPr="00C464FA">
        <w:t xml:space="preserve"> </w:t>
      </w:r>
      <w:r w:rsidRPr="00C464FA">
        <w:t>simulating a concrete forecourt.</w:t>
      </w:r>
      <w:r w:rsidR="00DB035A" w:rsidRPr="00C464FA">
        <w:t xml:space="preserve"> </w:t>
      </w:r>
      <w:r w:rsidR="00996E9E" w:rsidRPr="00C464FA">
        <w:t xml:space="preserve">While, </w:t>
      </w:r>
      <w:r w:rsidR="00996E9E" w:rsidRPr="00C464FA">
        <w:lastRenderedPageBreak/>
        <w:t>as described in Section 2, the wind inlet and the lateral and top boundaries were set according</w:t>
      </w:r>
      <w:r w:rsidR="00DF1E36" w:rsidRPr="00C464FA">
        <w:t xml:space="preserve"> to the aim of</w:t>
      </w:r>
      <w:r w:rsidR="00996E9E" w:rsidRPr="00C464FA">
        <w:t xml:space="preserve"> provid</w:t>
      </w:r>
      <w:r w:rsidR="00DF1E36" w:rsidRPr="00C464FA">
        <w:t>ing</w:t>
      </w:r>
      <w:r w:rsidR="00996E9E" w:rsidRPr="00C464FA">
        <w:t xml:space="preserve"> realistic wind conditions. An environmental temperature equal to 300 K was considered. </w:t>
      </w:r>
      <w:r w:rsidR="00DB035A" w:rsidRPr="00C464FA">
        <w:t>For the simulations carried out in the present work</w:t>
      </w:r>
      <w:r w:rsidR="00122E1F" w:rsidRPr="00C464FA">
        <w:t xml:space="preserve">, Table 2 reports </w:t>
      </w:r>
      <w:r w:rsidR="00955119">
        <w:t>how</w:t>
      </w:r>
      <w:r w:rsidR="00955119" w:rsidRPr="00C464FA">
        <w:t xml:space="preserve"> </w:t>
      </w:r>
      <w:r w:rsidR="00122E1F" w:rsidRPr="00C464FA">
        <w:t xml:space="preserve">the boundary conditions were set. </w:t>
      </w:r>
    </w:p>
    <w:p w14:paraId="4FCCFC7E" w14:textId="77777777" w:rsidR="00574705" w:rsidRPr="00C464FA" w:rsidRDefault="00122E1F" w:rsidP="00965BAA">
      <w:pPr>
        <w:pStyle w:val="CETBodytext"/>
      </w:pPr>
      <w:r w:rsidRPr="00C464FA">
        <w:t>Computational domain dimensions were properly sized in order to avoid any interference with the boundaries but, at the same time, avoiding a</w:t>
      </w:r>
      <w:r w:rsidR="000D3B1E" w:rsidRPr="00C464FA">
        <w:t xml:space="preserve"> useless </w:t>
      </w:r>
      <w:r w:rsidRPr="00C464FA">
        <w:t xml:space="preserve">waste of computational </w:t>
      </w:r>
      <w:r w:rsidR="000D3B1E" w:rsidRPr="00C464FA">
        <w:t xml:space="preserve">resources. To this aim, the work of </w:t>
      </w:r>
      <w:proofErr w:type="spellStart"/>
      <w:r w:rsidR="000D3B1E" w:rsidRPr="00C464FA">
        <w:t>Hourri</w:t>
      </w:r>
      <w:proofErr w:type="spellEnd"/>
      <w:r w:rsidR="000D3B1E" w:rsidRPr="00C464FA">
        <w:t xml:space="preserve"> et al. (2009) was taken as reference. A rectangular box of 90x10x10 m was built for each of the simulations performed. </w:t>
      </w:r>
      <w:r w:rsidR="006568E4" w:rsidRPr="00C464FA">
        <w:t xml:space="preserve">Notice that, a vertical planar symmetry </w:t>
      </w:r>
      <w:r w:rsidR="009E516D" w:rsidRPr="00C464FA">
        <w:t xml:space="preserve">in correspondence of the jet axis was used. </w:t>
      </w:r>
      <w:r w:rsidR="000D3B1E" w:rsidRPr="00C464FA">
        <w:t xml:space="preserve">For what concerns the fluid volume discretization, a full unstructured tetrahedral grid was </w:t>
      </w:r>
      <w:r w:rsidR="00574705" w:rsidRPr="00C464FA">
        <w:t>made</w:t>
      </w:r>
      <w:r w:rsidR="000D3B1E" w:rsidRPr="00C464FA">
        <w:t xml:space="preserve">. Ranging between </w:t>
      </w:r>
      <w:r w:rsidR="009D24F0" w:rsidRPr="00C464FA">
        <w:t xml:space="preserve">7.3 and 7.8 million of elements, the prescribed quality criteria were always fulfilled. Moreover, also the grid independence of the results was positively achieved. </w:t>
      </w:r>
    </w:p>
    <w:p w14:paraId="303123C4" w14:textId="77777777" w:rsidR="00DB035A" w:rsidRPr="00C464FA" w:rsidRDefault="00DB035A" w:rsidP="00965BAA">
      <w:pPr>
        <w:pStyle w:val="CETTabletitle"/>
        <w:spacing w:line="264" w:lineRule="auto"/>
      </w:pPr>
      <w:r w:rsidRPr="00C464FA">
        <w:t xml:space="preserve">Table 1: Actual and equivalent source term </w:t>
      </w:r>
      <w:r w:rsidR="009D24F0" w:rsidRPr="00C464FA">
        <w:t>characteristics</w:t>
      </w:r>
      <w:r w:rsidRPr="00C464FA">
        <w:t xml:space="preserve"> for the methane and the propane release</w:t>
      </w:r>
      <w:r w:rsidR="00C644DC" w:rsidRPr="00C464FA">
        <w:t>s</w:t>
      </w:r>
      <w:r w:rsidRPr="00C464FA">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4"/>
        <w:gridCol w:w="1984"/>
        <w:gridCol w:w="1984"/>
        <w:gridCol w:w="1984"/>
      </w:tblGrid>
      <w:tr w:rsidR="00B337E7" w:rsidRPr="00C464FA" w14:paraId="3D8CBC78" w14:textId="77777777" w:rsidTr="0086139C">
        <w:trPr>
          <w:trHeight w:val="284"/>
        </w:trPr>
        <w:tc>
          <w:tcPr>
            <w:tcW w:w="1984" w:type="dxa"/>
            <w:tcBorders>
              <w:top w:val="single" w:sz="12" w:space="0" w:color="008000"/>
              <w:bottom w:val="single" w:sz="6" w:space="0" w:color="008000"/>
            </w:tcBorders>
            <w:shd w:val="clear" w:color="auto" w:fill="FFFFFF"/>
          </w:tcPr>
          <w:p w14:paraId="6835DB23" w14:textId="77777777" w:rsidR="00B337E7" w:rsidRPr="00C464FA" w:rsidRDefault="00B337E7" w:rsidP="00965BAA">
            <w:pPr>
              <w:pStyle w:val="CETBodytext"/>
              <w:jc w:val="center"/>
              <w:rPr>
                <w:lang w:val="en-GB"/>
              </w:rPr>
            </w:pPr>
            <w:r w:rsidRPr="00C464FA">
              <w:rPr>
                <w:lang w:val="en-GB"/>
              </w:rPr>
              <w:t>Characteristic</w:t>
            </w:r>
          </w:p>
        </w:tc>
        <w:tc>
          <w:tcPr>
            <w:tcW w:w="1984" w:type="dxa"/>
            <w:tcBorders>
              <w:top w:val="single" w:sz="12" w:space="0" w:color="008000"/>
              <w:bottom w:val="single" w:sz="6" w:space="0" w:color="008000"/>
            </w:tcBorders>
            <w:shd w:val="clear" w:color="auto" w:fill="FFFFFF"/>
          </w:tcPr>
          <w:p w14:paraId="07F406AB" w14:textId="77777777" w:rsidR="00F44DC5" w:rsidRDefault="00B337E7" w:rsidP="00965BAA">
            <w:pPr>
              <w:pStyle w:val="CETBodytext"/>
              <w:jc w:val="center"/>
              <w:rPr>
                <w:lang w:val="en-GB"/>
              </w:rPr>
            </w:pPr>
            <w:r w:rsidRPr="00C464FA">
              <w:rPr>
                <w:lang w:val="en-GB"/>
              </w:rPr>
              <w:t>Methane</w:t>
            </w:r>
          </w:p>
          <w:p w14:paraId="7524ABBF" w14:textId="3EFCEBEF" w:rsidR="00B337E7" w:rsidRPr="00C464FA" w:rsidRDefault="00B337E7" w:rsidP="00965BAA">
            <w:pPr>
              <w:pStyle w:val="CETBodytext"/>
              <w:jc w:val="center"/>
              <w:rPr>
                <w:lang w:val="en-GB"/>
              </w:rPr>
            </w:pPr>
            <w:r>
              <w:rPr>
                <w:lang w:val="en-GB"/>
              </w:rPr>
              <w:t xml:space="preserve"> (</w:t>
            </w:r>
            <w:proofErr w:type="spellStart"/>
            <w:r>
              <w:rPr>
                <w:lang w:val="en-GB"/>
              </w:rPr>
              <w:t>Colombini</w:t>
            </w:r>
            <w:proofErr w:type="spellEnd"/>
            <w:r>
              <w:rPr>
                <w:lang w:val="en-GB"/>
              </w:rPr>
              <w:t xml:space="preserve"> et al., 2020)</w:t>
            </w:r>
          </w:p>
        </w:tc>
        <w:tc>
          <w:tcPr>
            <w:tcW w:w="1984" w:type="dxa"/>
            <w:tcBorders>
              <w:top w:val="single" w:sz="12" w:space="0" w:color="008000"/>
              <w:bottom w:val="single" w:sz="6" w:space="0" w:color="008000"/>
            </w:tcBorders>
            <w:shd w:val="clear" w:color="auto" w:fill="FFFFFF"/>
          </w:tcPr>
          <w:p w14:paraId="0C6819BA" w14:textId="77777777" w:rsidR="00F44DC5" w:rsidRDefault="00B337E7" w:rsidP="00965BAA">
            <w:pPr>
              <w:pStyle w:val="CETBodytext"/>
              <w:jc w:val="center"/>
              <w:rPr>
                <w:lang w:val="en-GB"/>
              </w:rPr>
            </w:pPr>
            <w:r w:rsidRPr="00C464FA">
              <w:rPr>
                <w:lang w:val="en-GB"/>
              </w:rPr>
              <w:t>Propane</w:t>
            </w:r>
            <w:r>
              <w:rPr>
                <w:lang w:val="en-GB"/>
              </w:rPr>
              <w:t xml:space="preserve"> </w:t>
            </w:r>
          </w:p>
          <w:p w14:paraId="1ADDBD05" w14:textId="37B0959B" w:rsidR="00B337E7" w:rsidRPr="00C464FA" w:rsidRDefault="00B337E7" w:rsidP="00965BAA">
            <w:pPr>
              <w:pStyle w:val="CETBodytext"/>
              <w:jc w:val="center"/>
              <w:rPr>
                <w:lang w:val="en-GB"/>
              </w:rPr>
            </w:pPr>
            <w:r>
              <w:rPr>
                <w:lang w:val="en-GB"/>
              </w:rPr>
              <w:t>(this work)</w:t>
            </w:r>
          </w:p>
        </w:tc>
        <w:tc>
          <w:tcPr>
            <w:tcW w:w="1984" w:type="dxa"/>
            <w:tcBorders>
              <w:top w:val="single" w:sz="12" w:space="0" w:color="008000"/>
              <w:bottom w:val="single" w:sz="6" w:space="0" w:color="008000"/>
            </w:tcBorders>
            <w:shd w:val="clear" w:color="auto" w:fill="FFFFFF"/>
          </w:tcPr>
          <w:p w14:paraId="3F91F1BA" w14:textId="77777777" w:rsidR="00F44DC5" w:rsidRDefault="00B337E7" w:rsidP="00965BAA">
            <w:pPr>
              <w:pStyle w:val="CETBodytext"/>
              <w:jc w:val="center"/>
              <w:rPr>
                <w:lang w:val="en-GB"/>
              </w:rPr>
            </w:pPr>
            <w:r>
              <w:rPr>
                <w:lang w:val="en-GB"/>
              </w:rPr>
              <w:t xml:space="preserve">Hydrogen </w:t>
            </w:r>
          </w:p>
          <w:p w14:paraId="47A91B65" w14:textId="10AFB3D0" w:rsidR="00B337E7" w:rsidRPr="00C464FA" w:rsidRDefault="00B337E7" w:rsidP="00965BAA">
            <w:pPr>
              <w:pStyle w:val="CETBodytext"/>
              <w:jc w:val="center"/>
              <w:rPr>
                <w:lang w:val="en-GB"/>
              </w:rPr>
            </w:pPr>
            <w:r>
              <w:rPr>
                <w:lang w:val="en-GB"/>
              </w:rPr>
              <w:t>(</w:t>
            </w:r>
            <w:proofErr w:type="spellStart"/>
            <w:r>
              <w:rPr>
                <w:lang w:val="en-GB"/>
              </w:rPr>
              <w:t>Benard</w:t>
            </w:r>
            <w:proofErr w:type="spellEnd"/>
            <w:r>
              <w:rPr>
                <w:lang w:val="en-GB"/>
              </w:rPr>
              <w:t xml:space="preserve"> et al., 2016)</w:t>
            </w:r>
          </w:p>
        </w:tc>
      </w:tr>
      <w:tr w:rsidR="00B337E7" w:rsidRPr="00C464FA" w14:paraId="4451B9B7" w14:textId="77777777" w:rsidTr="0086139C">
        <w:trPr>
          <w:trHeight w:val="284"/>
        </w:trPr>
        <w:tc>
          <w:tcPr>
            <w:tcW w:w="1984" w:type="dxa"/>
            <w:shd w:val="clear" w:color="auto" w:fill="FFFFFF"/>
          </w:tcPr>
          <w:p w14:paraId="5B272C12"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p [bar]</w:t>
            </w:r>
          </w:p>
        </w:tc>
        <w:tc>
          <w:tcPr>
            <w:tcW w:w="1984" w:type="dxa"/>
            <w:shd w:val="clear" w:color="auto" w:fill="FFFFFF"/>
          </w:tcPr>
          <w:p w14:paraId="08D29EA3"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65</w:t>
            </w:r>
          </w:p>
        </w:tc>
        <w:tc>
          <w:tcPr>
            <w:tcW w:w="1984" w:type="dxa"/>
            <w:shd w:val="clear" w:color="auto" w:fill="FFFFFF"/>
          </w:tcPr>
          <w:p w14:paraId="131C7C81"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8</w:t>
            </w:r>
          </w:p>
        </w:tc>
        <w:tc>
          <w:tcPr>
            <w:tcW w:w="1984" w:type="dxa"/>
            <w:shd w:val="clear" w:color="auto" w:fill="FFFFFF"/>
          </w:tcPr>
          <w:p w14:paraId="46E11790" w14:textId="796BB3D8" w:rsidR="00B337E7" w:rsidRPr="00C464FA" w:rsidRDefault="00E42F75" w:rsidP="00965BAA">
            <w:pPr>
              <w:pStyle w:val="CETBodytext"/>
              <w:ind w:right="-1"/>
              <w:jc w:val="center"/>
              <w:rPr>
                <w:rFonts w:cs="Arial"/>
                <w:szCs w:val="18"/>
                <w:lang w:val="en-GB"/>
              </w:rPr>
            </w:pPr>
            <w:r>
              <w:rPr>
                <w:rFonts w:cs="Arial"/>
                <w:szCs w:val="18"/>
                <w:lang w:val="en-GB"/>
              </w:rPr>
              <w:t>101</w:t>
            </w:r>
          </w:p>
        </w:tc>
      </w:tr>
      <w:tr w:rsidR="00B337E7" w:rsidRPr="00C464FA" w14:paraId="0A09BB21" w14:textId="77777777" w:rsidTr="0086139C">
        <w:trPr>
          <w:trHeight w:val="284"/>
        </w:trPr>
        <w:tc>
          <w:tcPr>
            <w:tcW w:w="1984" w:type="dxa"/>
            <w:shd w:val="clear" w:color="auto" w:fill="FFFFFF"/>
          </w:tcPr>
          <w:p w14:paraId="0E4E897C" w14:textId="77777777" w:rsidR="00B337E7" w:rsidRPr="00C464FA" w:rsidRDefault="00B337E7" w:rsidP="00965BAA">
            <w:pPr>
              <w:pStyle w:val="CETBodytext"/>
              <w:ind w:right="-1"/>
              <w:jc w:val="center"/>
              <w:rPr>
                <w:lang w:val="en-GB"/>
              </w:rPr>
            </w:pPr>
            <w:r w:rsidRPr="00C464FA">
              <w:rPr>
                <w:lang w:val="en-GB"/>
              </w:rPr>
              <w:t>T [K]</w:t>
            </w:r>
          </w:p>
        </w:tc>
        <w:tc>
          <w:tcPr>
            <w:tcW w:w="1984" w:type="dxa"/>
            <w:shd w:val="clear" w:color="auto" w:fill="FFFFFF"/>
          </w:tcPr>
          <w:p w14:paraId="75FD1204"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278</w:t>
            </w:r>
          </w:p>
        </w:tc>
        <w:tc>
          <w:tcPr>
            <w:tcW w:w="1984" w:type="dxa"/>
            <w:shd w:val="clear" w:color="auto" w:fill="FFFFFF"/>
          </w:tcPr>
          <w:p w14:paraId="08A91798"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278</w:t>
            </w:r>
          </w:p>
        </w:tc>
        <w:tc>
          <w:tcPr>
            <w:tcW w:w="1984" w:type="dxa"/>
            <w:shd w:val="clear" w:color="auto" w:fill="FFFFFF"/>
          </w:tcPr>
          <w:p w14:paraId="59FAEAAC" w14:textId="6E7DAA23" w:rsidR="00B337E7" w:rsidRPr="00C464FA" w:rsidRDefault="00E42F75" w:rsidP="00965BAA">
            <w:pPr>
              <w:pStyle w:val="CETBodytext"/>
              <w:ind w:right="-1"/>
              <w:jc w:val="center"/>
              <w:rPr>
                <w:rFonts w:cs="Arial"/>
                <w:szCs w:val="18"/>
                <w:lang w:val="en-GB"/>
              </w:rPr>
            </w:pPr>
            <w:r>
              <w:rPr>
                <w:rFonts w:cs="Arial"/>
                <w:szCs w:val="18"/>
                <w:lang w:val="en-GB"/>
              </w:rPr>
              <w:t>293</w:t>
            </w:r>
          </w:p>
        </w:tc>
      </w:tr>
      <w:tr w:rsidR="00B337E7" w:rsidRPr="00C464FA" w14:paraId="3F1EB1E1" w14:textId="77777777" w:rsidTr="0086139C">
        <w:trPr>
          <w:trHeight w:val="284"/>
        </w:trPr>
        <w:tc>
          <w:tcPr>
            <w:tcW w:w="1984" w:type="dxa"/>
            <w:shd w:val="clear" w:color="auto" w:fill="FFFFFF"/>
          </w:tcPr>
          <w:p w14:paraId="325C9105"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d [m]</w:t>
            </w:r>
          </w:p>
        </w:tc>
        <w:tc>
          <w:tcPr>
            <w:tcW w:w="1984" w:type="dxa"/>
            <w:shd w:val="clear" w:color="auto" w:fill="FFFFFF"/>
          </w:tcPr>
          <w:p w14:paraId="243430DA"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0.0254</w:t>
            </w:r>
          </w:p>
        </w:tc>
        <w:tc>
          <w:tcPr>
            <w:tcW w:w="1984" w:type="dxa"/>
            <w:shd w:val="clear" w:color="auto" w:fill="FFFFFF"/>
          </w:tcPr>
          <w:p w14:paraId="0142F257"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0.0254</w:t>
            </w:r>
          </w:p>
        </w:tc>
        <w:tc>
          <w:tcPr>
            <w:tcW w:w="1984" w:type="dxa"/>
            <w:shd w:val="clear" w:color="auto" w:fill="FFFFFF"/>
          </w:tcPr>
          <w:p w14:paraId="0057B09A" w14:textId="76364680" w:rsidR="00B337E7" w:rsidRPr="00C464FA" w:rsidRDefault="00E42F75" w:rsidP="00965BAA">
            <w:pPr>
              <w:pStyle w:val="CETBodytext"/>
              <w:ind w:right="-1"/>
              <w:jc w:val="center"/>
              <w:rPr>
                <w:rFonts w:cs="Arial"/>
                <w:szCs w:val="18"/>
                <w:lang w:val="en-GB"/>
              </w:rPr>
            </w:pPr>
            <w:r>
              <w:rPr>
                <w:rFonts w:cs="Arial"/>
                <w:szCs w:val="18"/>
                <w:lang w:val="en-GB"/>
              </w:rPr>
              <w:t>0.00635</w:t>
            </w:r>
          </w:p>
        </w:tc>
      </w:tr>
      <w:tr w:rsidR="00B337E7" w:rsidRPr="00C464FA" w14:paraId="493EC19C" w14:textId="77777777" w:rsidTr="0086139C">
        <w:trPr>
          <w:trHeight w:val="284"/>
        </w:trPr>
        <w:tc>
          <w:tcPr>
            <w:tcW w:w="1984" w:type="dxa"/>
            <w:shd w:val="clear" w:color="auto" w:fill="FFFFFF"/>
          </w:tcPr>
          <w:p w14:paraId="179AD0FB" w14:textId="77777777" w:rsidR="00B337E7" w:rsidRPr="00C464FA" w:rsidRDefault="00B96581" w:rsidP="00965BAA">
            <w:pPr>
              <w:pStyle w:val="CETBodytext"/>
              <w:ind w:right="-1"/>
              <w:jc w:val="center"/>
              <w:rPr>
                <w:rFonts w:cs="Arial"/>
                <w:szCs w:val="18"/>
                <w:lang w:val="en-GB"/>
              </w:rPr>
            </w:pPr>
            <m:oMath>
              <m:acc>
                <m:accPr>
                  <m:chr m:val="̇"/>
                  <m:ctrlPr>
                    <w:rPr>
                      <w:rFonts w:ascii="Cambria Math" w:hAnsi="Cambria Math"/>
                      <w:i/>
                    </w:rPr>
                  </m:ctrlPr>
                </m:accPr>
                <m:e>
                  <m:r>
                    <w:rPr>
                      <w:rFonts w:ascii="Cambria Math" w:hAnsi="Cambria Math"/>
                    </w:rPr>
                    <m:t>m</m:t>
                  </m:r>
                </m:e>
              </m:acc>
            </m:oMath>
            <w:r w:rsidR="00B337E7" w:rsidRPr="00C464FA">
              <w:rPr>
                <w:rFonts w:cs="Arial"/>
              </w:rPr>
              <w:t xml:space="preserve"> [kg/s]</w:t>
            </w:r>
          </w:p>
        </w:tc>
        <w:tc>
          <w:tcPr>
            <w:tcW w:w="1984" w:type="dxa"/>
            <w:shd w:val="clear" w:color="auto" w:fill="FFFFFF"/>
          </w:tcPr>
          <w:p w14:paraId="294FD8CB"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5.18</w:t>
            </w:r>
          </w:p>
        </w:tc>
        <w:tc>
          <w:tcPr>
            <w:tcW w:w="1984" w:type="dxa"/>
            <w:shd w:val="clear" w:color="auto" w:fill="FFFFFF"/>
          </w:tcPr>
          <w:p w14:paraId="773CB2A4"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0.9548</w:t>
            </w:r>
          </w:p>
        </w:tc>
        <w:tc>
          <w:tcPr>
            <w:tcW w:w="1984" w:type="dxa"/>
            <w:shd w:val="clear" w:color="auto" w:fill="FFFFFF"/>
          </w:tcPr>
          <w:p w14:paraId="6E9E480B" w14:textId="373ABA3D" w:rsidR="00B337E7" w:rsidRPr="00C464FA" w:rsidRDefault="00E42F75" w:rsidP="00965BAA">
            <w:pPr>
              <w:pStyle w:val="CETBodytext"/>
              <w:ind w:right="-1"/>
              <w:jc w:val="center"/>
              <w:rPr>
                <w:rFonts w:cs="Arial"/>
                <w:szCs w:val="18"/>
                <w:lang w:val="en-GB"/>
              </w:rPr>
            </w:pPr>
            <w:r>
              <w:rPr>
                <w:rFonts w:cs="Arial"/>
                <w:szCs w:val="18"/>
                <w:lang w:val="en-GB"/>
              </w:rPr>
              <w:t>0.</w:t>
            </w:r>
            <w:r w:rsidR="00457CF4">
              <w:rPr>
                <w:rFonts w:cs="Arial"/>
                <w:szCs w:val="18"/>
                <w:lang w:val="en-GB"/>
              </w:rPr>
              <w:t>1987</w:t>
            </w:r>
          </w:p>
        </w:tc>
      </w:tr>
      <w:tr w:rsidR="00B337E7" w:rsidRPr="00C464FA" w14:paraId="691D3D4E" w14:textId="77777777" w:rsidTr="0086139C">
        <w:trPr>
          <w:trHeight w:val="284"/>
        </w:trPr>
        <w:tc>
          <w:tcPr>
            <w:tcW w:w="1984" w:type="dxa"/>
            <w:shd w:val="clear" w:color="auto" w:fill="FFFFFF"/>
            <w:vAlign w:val="center"/>
          </w:tcPr>
          <w:p w14:paraId="07966201"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T</w:t>
            </w:r>
            <w:r w:rsidRPr="00C464FA">
              <w:rPr>
                <w:rFonts w:cs="Arial"/>
                <w:szCs w:val="18"/>
                <w:vertAlign w:val="subscript"/>
                <w:lang w:val="en-GB"/>
              </w:rPr>
              <w:t>TOT</w:t>
            </w:r>
            <w:r w:rsidRPr="00C464FA">
              <w:rPr>
                <w:rFonts w:cs="Arial"/>
                <w:szCs w:val="18"/>
                <w:lang w:val="en-GB"/>
              </w:rPr>
              <w:t xml:space="preserve"> [K]</w:t>
            </w:r>
          </w:p>
        </w:tc>
        <w:tc>
          <w:tcPr>
            <w:tcW w:w="1984" w:type="dxa"/>
            <w:shd w:val="clear" w:color="auto" w:fill="auto"/>
          </w:tcPr>
          <w:p w14:paraId="2F3A7C28"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343</w:t>
            </w:r>
          </w:p>
        </w:tc>
        <w:tc>
          <w:tcPr>
            <w:tcW w:w="1984" w:type="dxa"/>
          </w:tcPr>
          <w:p w14:paraId="71B9E26B"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318</w:t>
            </w:r>
          </w:p>
        </w:tc>
        <w:tc>
          <w:tcPr>
            <w:tcW w:w="1984" w:type="dxa"/>
          </w:tcPr>
          <w:p w14:paraId="0330258D" w14:textId="05B97838" w:rsidR="00B337E7" w:rsidRPr="00C464FA" w:rsidRDefault="00E42F75" w:rsidP="00965BAA">
            <w:pPr>
              <w:pStyle w:val="CETBodytext"/>
              <w:ind w:right="-1"/>
              <w:jc w:val="center"/>
              <w:rPr>
                <w:rFonts w:cs="Arial"/>
                <w:szCs w:val="18"/>
                <w:lang w:val="en-GB"/>
              </w:rPr>
            </w:pPr>
            <w:r>
              <w:rPr>
                <w:rFonts w:cs="Arial"/>
                <w:szCs w:val="18"/>
                <w:lang w:val="en-GB"/>
              </w:rPr>
              <w:t>Not reported</w:t>
            </w:r>
          </w:p>
        </w:tc>
      </w:tr>
      <w:tr w:rsidR="00B337E7" w:rsidRPr="00C464FA" w14:paraId="4715D873" w14:textId="77777777" w:rsidTr="0086139C">
        <w:trPr>
          <w:trHeight w:val="284"/>
        </w:trPr>
        <w:tc>
          <w:tcPr>
            <w:tcW w:w="1984" w:type="dxa"/>
            <w:shd w:val="clear" w:color="auto" w:fill="FFFFFF"/>
            <w:vAlign w:val="center"/>
          </w:tcPr>
          <w:p w14:paraId="21C5C430" w14:textId="77777777" w:rsidR="00B337E7" w:rsidRPr="00C464FA" w:rsidRDefault="00B337E7" w:rsidP="00965BAA">
            <w:pPr>
              <w:pStyle w:val="CETBodytext"/>
              <w:ind w:right="-1"/>
              <w:jc w:val="center"/>
              <w:rPr>
                <w:rFonts w:cs="Arial"/>
                <w:szCs w:val="18"/>
                <w:lang w:val="en-GB"/>
              </w:rPr>
            </w:pPr>
            <w:proofErr w:type="spellStart"/>
            <w:r w:rsidRPr="00C464FA">
              <w:rPr>
                <w:rFonts w:cs="Arial"/>
                <w:szCs w:val="18"/>
                <w:lang w:val="en-GB"/>
              </w:rPr>
              <w:t>d</w:t>
            </w:r>
            <w:r w:rsidRPr="00C464FA">
              <w:rPr>
                <w:rFonts w:cs="Arial"/>
                <w:szCs w:val="18"/>
                <w:vertAlign w:val="subscript"/>
                <w:lang w:val="en-GB"/>
              </w:rPr>
              <w:t>EQ</w:t>
            </w:r>
            <w:proofErr w:type="spellEnd"/>
            <w:r w:rsidRPr="00C464FA">
              <w:rPr>
                <w:rFonts w:cs="Arial"/>
                <w:szCs w:val="18"/>
                <w:vertAlign w:val="subscript"/>
                <w:lang w:val="en-GB"/>
              </w:rPr>
              <w:t xml:space="preserve"> </w:t>
            </w:r>
            <w:r w:rsidRPr="00C464FA">
              <w:rPr>
                <w:rFonts w:cs="Arial"/>
                <w:szCs w:val="18"/>
                <w:lang w:val="en-GB"/>
              </w:rPr>
              <w:t>[m]</w:t>
            </w:r>
          </w:p>
        </w:tc>
        <w:tc>
          <w:tcPr>
            <w:tcW w:w="1984" w:type="dxa"/>
            <w:shd w:val="clear" w:color="auto" w:fill="auto"/>
          </w:tcPr>
          <w:p w14:paraId="3B0430AB"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0.1458</w:t>
            </w:r>
          </w:p>
        </w:tc>
        <w:tc>
          <w:tcPr>
            <w:tcW w:w="1984" w:type="dxa"/>
          </w:tcPr>
          <w:p w14:paraId="2ACBD1AF" w14:textId="77777777" w:rsidR="00B337E7" w:rsidRPr="00C464FA" w:rsidRDefault="00B337E7" w:rsidP="00965BAA">
            <w:pPr>
              <w:pStyle w:val="CETBodytext"/>
              <w:ind w:right="-1"/>
              <w:jc w:val="center"/>
              <w:rPr>
                <w:rFonts w:cs="Arial"/>
                <w:szCs w:val="18"/>
                <w:lang w:val="en-GB"/>
              </w:rPr>
            </w:pPr>
            <w:r w:rsidRPr="00C464FA">
              <w:rPr>
                <w:rFonts w:cs="Arial"/>
                <w:szCs w:val="18"/>
                <w:lang w:val="en-GB"/>
              </w:rPr>
              <w:t>0.0518</w:t>
            </w:r>
          </w:p>
        </w:tc>
        <w:tc>
          <w:tcPr>
            <w:tcW w:w="1984" w:type="dxa"/>
          </w:tcPr>
          <w:p w14:paraId="6837FDF0" w14:textId="14803A54" w:rsidR="00B337E7" w:rsidRPr="00C464FA" w:rsidRDefault="00E42F75" w:rsidP="00965BAA">
            <w:pPr>
              <w:pStyle w:val="CETBodytext"/>
              <w:ind w:right="-1"/>
              <w:jc w:val="center"/>
              <w:rPr>
                <w:rFonts w:cs="Arial"/>
                <w:szCs w:val="18"/>
                <w:lang w:val="en-GB"/>
              </w:rPr>
            </w:pPr>
            <w:r>
              <w:rPr>
                <w:rFonts w:cs="Arial"/>
                <w:szCs w:val="18"/>
                <w:lang w:val="en-GB"/>
              </w:rPr>
              <w:t>Not reported</w:t>
            </w:r>
          </w:p>
        </w:tc>
      </w:tr>
    </w:tbl>
    <w:p w14:paraId="2C1D7BB6" w14:textId="77777777" w:rsidR="009D24F0" w:rsidRPr="00C464FA" w:rsidRDefault="009D24F0" w:rsidP="00965BAA">
      <w:pPr>
        <w:pStyle w:val="CETTabletitle"/>
        <w:spacing w:line="264" w:lineRule="auto"/>
      </w:pPr>
      <w:r w:rsidRPr="00C464FA">
        <w:t xml:space="preserve">Table 2: </w:t>
      </w:r>
      <w:r w:rsidR="0027226E" w:rsidRPr="00C464FA">
        <w:t xml:space="preserve">Boundary conditions used in all the simulation.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835"/>
      </w:tblGrid>
      <w:tr w:rsidR="009F749A" w:rsidRPr="00C464FA" w14:paraId="565F8F3A" w14:textId="77777777" w:rsidTr="0086139C">
        <w:trPr>
          <w:trHeight w:val="284"/>
        </w:trPr>
        <w:tc>
          <w:tcPr>
            <w:tcW w:w="2268" w:type="dxa"/>
            <w:tcBorders>
              <w:top w:val="single" w:sz="12" w:space="0" w:color="008000"/>
              <w:bottom w:val="single" w:sz="6" w:space="0" w:color="008000"/>
            </w:tcBorders>
            <w:shd w:val="clear" w:color="auto" w:fill="FFFFFF"/>
          </w:tcPr>
          <w:p w14:paraId="021FB6FC" w14:textId="77777777" w:rsidR="009F749A" w:rsidRPr="00C464FA" w:rsidRDefault="009F749A" w:rsidP="00965BAA">
            <w:pPr>
              <w:pStyle w:val="CETBodytext"/>
              <w:jc w:val="center"/>
              <w:rPr>
                <w:lang w:val="en-GB"/>
              </w:rPr>
            </w:pPr>
            <w:r w:rsidRPr="00C464FA">
              <w:rPr>
                <w:lang w:val="en-GB"/>
              </w:rPr>
              <w:t>Boundary</w:t>
            </w:r>
          </w:p>
        </w:tc>
        <w:tc>
          <w:tcPr>
            <w:tcW w:w="2835" w:type="dxa"/>
            <w:tcBorders>
              <w:top w:val="single" w:sz="12" w:space="0" w:color="008000"/>
              <w:bottom w:val="single" w:sz="6" w:space="0" w:color="008000"/>
            </w:tcBorders>
            <w:shd w:val="clear" w:color="auto" w:fill="FFFFFF"/>
          </w:tcPr>
          <w:p w14:paraId="15BB8810" w14:textId="77777777" w:rsidR="009F749A" w:rsidRPr="00C464FA" w:rsidRDefault="009F749A" w:rsidP="00965BAA">
            <w:pPr>
              <w:pStyle w:val="CETBodytext"/>
              <w:jc w:val="center"/>
              <w:rPr>
                <w:lang w:val="en-GB"/>
              </w:rPr>
            </w:pPr>
            <w:r w:rsidRPr="00C464FA">
              <w:rPr>
                <w:lang w:val="en-GB"/>
              </w:rPr>
              <w:t>Type</w:t>
            </w:r>
          </w:p>
        </w:tc>
      </w:tr>
      <w:tr w:rsidR="009F749A" w:rsidRPr="00C464FA" w14:paraId="4EEDD431" w14:textId="77777777" w:rsidTr="0086139C">
        <w:trPr>
          <w:trHeight w:val="284"/>
        </w:trPr>
        <w:tc>
          <w:tcPr>
            <w:tcW w:w="2268" w:type="dxa"/>
            <w:shd w:val="clear" w:color="auto" w:fill="FFFFFF"/>
          </w:tcPr>
          <w:p w14:paraId="2B068481" w14:textId="77777777" w:rsidR="009F749A" w:rsidRPr="00C464FA" w:rsidRDefault="009F749A" w:rsidP="00965BAA">
            <w:pPr>
              <w:pStyle w:val="CETBodytext"/>
              <w:ind w:right="-1"/>
              <w:jc w:val="center"/>
              <w:rPr>
                <w:rFonts w:cs="Arial"/>
                <w:szCs w:val="18"/>
                <w:lang w:val="en-GB"/>
              </w:rPr>
            </w:pPr>
            <w:r w:rsidRPr="00C464FA">
              <w:rPr>
                <w:rFonts w:cs="Arial"/>
                <w:szCs w:val="18"/>
                <w:lang w:val="en-GB"/>
              </w:rPr>
              <w:t>Ground</w:t>
            </w:r>
          </w:p>
        </w:tc>
        <w:tc>
          <w:tcPr>
            <w:tcW w:w="2835" w:type="dxa"/>
            <w:shd w:val="clear" w:color="auto" w:fill="FFFFFF"/>
          </w:tcPr>
          <w:p w14:paraId="341619F0" w14:textId="77777777" w:rsidR="009F749A" w:rsidRPr="00C464FA" w:rsidRDefault="009F749A" w:rsidP="00965BAA">
            <w:pPr>
              <w:pStyle w:val="CETBodytext"/>
              <w:ind w:right="-1"/>
              <w:jc w:val="center"/>
              <w:rPr>
                <w:rFonts w:cs="Arial"/>
                <w:szCs w:val="18"/>
                <w:lang w:val="en-GB"/>
              </w:rPr>
            </w:pPr>
            <w:r w:rsidRPr="00C464FA">
              <w:rPr>
                <w:rFonts w:cs="Arial"/>
                <w:szCs w:val="18"/>
                <w:lang w:val="en-GB"/>
              </w:rPr>
              <w:t>Wall</w:t>
            </w:r>
          </w:p>
        </w:tc>
      </w:tr>
      <w:tr w:rsidR="009F749A" w:rsidRPr="00C464FA" w14:paraId="175AA17B" w14:textId="77777777" w:rsidTr="0086139C">
        <w:trPr>
          <w:trHeight w:val="284"/>
        </w:trPr>
        <w:tc>
          <w:tcPr>
            <w:tcW w:w="2268" w:type="dxa"/>
            <w:shd w:val="clear" w:color="auto" w:fill="FFFFFF"/>
          </w:tcPr>
          <w:p w14:paraId="14F24AFF" w14:textId="77777777" w:rsidR="009F749A" w:rsidRPr="00C464FA" w:rsidRDefault="009F749A" w:rsidP="00965BAA">
            <w:pPr>
              <w:pStyle w:val="CETBodytext"/>
              <w:ind w:right="-1"/>
              <w:jc w:val="center"/>
              <w:rPr>
                <w:lang w:val="en-GB"/>
              </w:rPr>
            </w:pPr>
            <w:r w:rsidRPr="00C464FA">
              <w:rPr>
                <w:lang w:val="en-GB"/>
              </w:rPr>
              <w:t>Jet inlet</w:t>
            </w:r>
          </w:p>
        </w:tc>
        <w:tc>
          <w:tcPr>
            <w:tcW w:w="2835" w:type="dxa"/>
            <w:shd w:val="clear" w:color="auto" w:fill="FFFFFF"/>
          </w:tcPr>
          <w:p w14:paraId="2E33E165" w14:textId="77777777" w:rsidR="009F749A" w:rsidRPr="00C464FA" w:rsidRDefault="009F749A" w:rsidP="00965BAA">
            <w:pPr>
              <w:pStyle w:val="CETBodytext"/>
              <w:ind w:right="-1"/>
              <w:jc w:val="center"/>
              <w:rPr>
                <w:rFonts w:cs="Arial"/>
                <w:szCs w:val="18"/>
                <w:lang w:val="en-GB"/>
              </w:rPr>
            </w:pPr>
            <w:r w:rsidRPr="00C464FA">
              <w:rPr>
                <w:rFonts w:cs="Arial"/>
                <w:szCs w:val="18"/>
                <w:lang w:val="en-GB"/>
              </w:rPr>
              <w:t>Mass flow inlet</w:t>
            </w:r>
          </w:p>
        </w:tc>
      </w:tr>
      <w:tr w:rsidR="009F749A" w:rsidRPr="00C464FA" w14:paraId="544C8A2B" w14:textId="77777777" w:rsidTr="0086139C">
        <w:trPr>
          <w:trHeight w:val="284"/>
        </w:trPr>
        <w:tc>
          <w:tcPr>
            <w:tcW w:w="2268" w:type="dxa"/>
            <w:shd w:val="clear" w:color="auto" w:fill="FFFFFF"/>
          </w:tcPr>
          <w:p w14:paraId="0AF1B198"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Symmetry</w:t>
            </w:r>
          </w:p>
        </w:tc>
        <w:tc>
          <w:tcPr>
            <w:tcW w:w="2835" w:type="dxa"/>
            <w:shd w:val="clear" w:color="auto" w:fill="FFFFFF"/>
          </w:tcPr>
          <w:p w14:paraId="7536D9C0"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Symmetry</w:t>
            </w:r>
          </w:p>
        </w:tc>
      </w:tr>
      <w:tr w:rsidR="009F749A" w:rsidRPr="00C464FA" w14:paraId="07571ED7" w14:textId="77777777" w:rsidTr="0086139C">
        <w:trPr>
          <w:trHeight w:val="284"/>
        </w:trPr>
        <w:tc>
          <w:tcPr>
            <w:tcW w:w="2268" w:type="dxa"/>
            <w:shd w:val="clear" w:color="auto" w:fill="FFFFFF"/>
          </w:tcPr>
          <w:p w14:paraId="175D715C"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Lateral boundary</w:t>
            </w:r>
          </w:p>
        </w:tc>
        <w:tc>
          <w:tcPr>
            <w:tcW w:w="2835" w:type="dxa"/>
            <w:shd w:val="clear" w:color="auto" w:fill="FFFFFF"/>
          </w:tcPr>
          <w:p w14:paraId="76D292D0"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 xml:space="preserve">Velocity inlet </w:t>
            </w:r>
          </w:p>
        </w:tc>
      </w:tr>
      <w:tr w:rsidR="009F749A" w:rsidRPr="00C464FA" w14:paraId="1A7CF446" w14:textId="77777777" w:rsidTr="0086139C">
        <w:trPr>
          <w:trHeight w:val="284"/>
        </w:trPr>
        <w:tc>
          <w:tcPr>
            <w:tcW w:w="2268" w:type="dxa"/>
            <w:shd w:val="clear" w:color="auto" w:fill="FFFFFF"/>
            <w:vAlign w:val="center"/>
          </w:tcPr>
          <w:p w14:paraId="3446D986"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Top boundary</w:t>
            </w:r>
          </w:p>
        </w:tc>
        <w:tc>
          <w:tcPr>
            <w:tcW w:w="2835" w:type="dxa"/>
            <w:shd w:val="clear" w:color="auto" w:fill="auto"/>
          </w:tcPr>
          <w:p w14:paraId="1D13C518"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Velocity inlet</w:t>
            </w:r>
          </w:p>
        </w:tc>
      </w:tr>
      <w:tr w:rsidR="009F749A" w:rsidRPr="00C464FA" w14:paraId="07731C08" w14:textId="77777777" w:rsidTr="0086139C">
        <w:trPr>
          <w:trHeight w:val="284"/>
        </w:trPr>
        <w:tc>
          <w:tcPr>
            <w:tcW w:w="2268" w:type="dxa"/>
            <w:shd w:val="clear" w:color="auto" w:fill="FFFFFF"/>
            <w:vAlign w:val="center"/>
          </w:tcPr>
          <w:p w14:paraId="46B3F101"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Wind inlet</w:t>
            </w:r>
          </w:p>
        </w:tc>
        <w:tc>
          <w:tcPr>
            <w:tcW w:w="2835" w:type="dxa"/>
            <w:shd w:val="clear" w:color="auto" w:fill="auto"/>
          </w:tcPr>
          <w:p w14:paraId="00318976"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Velocity inlet</w:t>
            </w:r>
          </w:p>
        </w:tc>
      </w:tr>
      <w:tr w:rsidR="009F749A" w:rsidRPr="00C464FA" w14:paraId="0FD5FCDD" w14:textId="77777777" w:rsidTr="0086139C">
        <w:trPr>
          <w:trHeight w:val="284"/>
        </w:trPr>
        <w:tc>
          <w:tcPr>
            <w:tcW w:w="2268" w:type="dxa"/>
            <w:shd w:val="clear" w:color="auto" w:fill="FFFFFF"/>
            <w:vAlign w:val="center"/>
          </w:tcPr>
          <w:p w14:paraId="6607202B"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Wind outlet</w:t>
            </w:r>
          </w:p>
        </w:tc>
        <w:tc>
          <w:tcPr>
            <w:tcW w:w="2835" w:type="dxa"/>
            <w:shd w:val="clear" w:color="auto" w:fill="FFFFFF"/>
          </w:tcPr>
          <w:p w14:paraId="3A6A01DB"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Pressure outlet</w:t>
            </w:r>
          </w:p>
        </w:tc>
      </w:tr>
      <w:tr w:rsidR="009F749A" w:rsidRPr="00C464FA" w14:paraId="1414D65F" w14:textId="77777777" w:rsidTr="0086139C">
        <w:trPr>
          <w:trHeight w:val="284"/>
        </w:trPr>
        <w:tc>
          <w:tcPr>
            <w:tcW w:w="2268" w:type="dxa"/>
            <w:shd w:val="clear" w:color="auto" w:fill="FFFFFF"/>
            <w:vAlign w:val="center"/>
          </w:tcPr>
          <w:p w14:paraId="1F5256A5"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Nozzle</w:t>
            </w:r>
          </w:p>
        </w:tc>
        <w:tc>
          <w:tcPr>
            <w:tcW w:w="2835" w:type="dxa"/>
            <w:shd w:val="clear" w:color="auto" w:fill="FFFFFF"/>
          </w:tcPr>
          <w:p w14:paraId="34D2BFCC" w14:textId="77777777" w:rsidR="009F749A" w:rsidRPr="00C464FA" w:rsidRDefault="00996E9E" w:rsidP="00965BAA">
            <w:pPr>
              <w:pStyle w:val="CETBodytext"/>
              <w:ind w:right="-1"/>
              <w:jc w:val="center"/>
              <w:rPr>
                <w:rFonts w:cs="Arial"/>
                <w:szCs w:val="18"/>
                <w:lang w:val="en-GB"/>
              </w:rPr>
            </w:pPr>
            <w:r w:rsidRPr="00C464FA">
              <w:rPr>
                <w:rFonts w:cs="Arial"/>
                <w:szCs w:val="18"/>
                <w:lang w:val="en-GB"/>
              </w:rPr>
              <w:t>Wall</w:t>
            </w:r>
          </w:p>
        </w:tc>
      </w:tr>
    </w:tbl>
    <w:p w14:paraId="7E70A524" w14:textId="77777777" w:rsidR="00DB035A" w:rsidRPr="00C464FA" w:rsidRDefault="00DB035A" w:rsidP="00965BAA">
      <w:pPr>
        <w:pStyle w:val="CETBodytext"/>
      </w:pPr>
    </w:p>
    <w:p w14:paraId="390F226C" w14:textId="77777777" w:rsidR="003C2811" w:rsidRPr="00C464FA" w:rsidRDefault="003C2811" w:rsidP="00965BAA">
      <w:pPr>
        <w:pStyle w:val="CETBodytext"/>
      </w:pPr>
      <w:r w:rsidRPr="00C464FA">
        <w:t xml:space="preserve">To investigate the influence that the ground has on the jet behavior, the height of the source above the ground (h) was systematically varied. Figure 1 shows, qualitatively, the effect that this parameter variation has on the jet development of both methane and propane releases. Same figure can be found in the work of </w:t>
      </w:r>
      <w:proofErr w:type="spellStart"/>
      <w:r w:rsidRPr="00C464FA">
        <w:t>Benard</w:t>
      </w:r>
      <w:proofErr w:type="spellEnd"/>
      <w:r w:rsidRPr="00C464FA">
        <w:t xml:space="preserve"> et al. (2016) about the hydrogen one. While, quantitatively, Figure 2 shows how the ME of each of the LFL clouds varies as </w:t>
      </w:r>
      <w:r w:rsidR="00B337E7">
        <w:t xml:space="preserve">a </w:t>
      </w:r>
      <w:r w:rsidRPr="00C464FA">
        <w:t xml:space="preserve">function of h. </w:t>
      </w:r>
    </w:p>
    <w:p w14:paraId="14A8519E" w14:textId="19D012BC" w:rsidR="004141D1" w:rsidRPr="00C464FA" w:rsidRDefault="003C2811" w:rsidP="00965BAA">
      <w:pPr>
        <w:pStyle w:val="CETBodytext"/>
      </w:pPr>
      <w:r w:rsidRPr="00C464FA">
        <w:t xml:space="preserve">For all the three compounds, it is noticeable that: </w:t>
      </w:r>
      <w:proofErr w:type="spellStart"/>
      <w:r w:rsidRPr="00C464FA">
        <w:t>i</w:t>
      </w:r>
      <w:proofErr w:type="spellEnd"/>
      <w:r w:rsidRPr="00C464FA">
        <w:t>) there is a</w:t>
      </w:r>
      <w:r w:rsidR="00B337E7">
        <w:t>n</w:t>
      </w:r>
      <w:r w:rsidRPr="00C464FA">
        <w:t xml:space="preserve"> h threshold value (h*) after that the ground does not influence anymore the jets; such value changes based on the considered compound. ii) When h&lt;h*, the ground influence increas</w:t>
      </w:r>
      <w:r w:rsidR="00B337E7">
        <w:t>e</w:t>
      </w:r>
      <w:r w:rsidRPr="00C464FA">
        <w:t xml:space="preserve"> ME. </w:t>
      </w:r>
      <w:r w:rsidR="00B337E7">
        <w:t>T</w:t>
      </w:r>
      <w:r w:rsidRPr="00C464FA">
        <w:t>he</w:t>
      </w:r>
      <w:r w:rsidR="00B337E7">
        <w:t>se</w:t>
      </w:r>
      <w:r w:rsidRPr="00C464FA">
        <w:t xml:space="preserve"> results are in accordance with the physics that characterize</w:t>
      </w:r>
      <w:r w:rsidR="00B337E7">
        <w:t>s</w:t>
      </w:r>
      <w:r w:rsidRPr="00C464FA">
        <w:t xml:space="preserve"> the jet development (</w:t>
      </w:r>
      <w:r w:rsidRPr="00C464FA">
        <w:rPr>
          <w:i/>
          <w:iCs/>
        </w:rPr>
        <w:t>i.e.</w:t>
      </w:r>
      <w:r w:rsidRPr="00C464FA">
        <w:t xml:space="preserve">, the </w:t>
      </w:r>
      <w:proofErr w:type="spellStart"/>
      <w:r w:rsidRPr="00C464FA">
        <w:t>Coanda</w:t>
      </w:r>
      <w:proofErr w:type="spellEnd"/>
      <w:r w:rsidRPr="00C464FA">
        <w:t xml:space="preserve"> effect (</w:t>
      </w:r>
      <w:proofErr w:type="spellStart"/>
      <w:r w:rsidRPr="00C464FA">
        <w:t>Miozzi</w:t>
      </w:r>
      <w:proofErr w:type="spellEnd"/>
      <w:r w:rsidRPr="00C464FA">
        <w:t xml:space="preserve"> et al., 2010)). </w:t>
      </w:r>
    </w:p>
    <w:p w14:paraId="184FDFB6" w14:textId="5A0A9F7F" w:rsidR="006E2EAB" w:rsidRPr="00C464FA" w:rsidRDefault="004141D1" w:rsidP="00965BAA">
      <w:pPr>
        <w:pStyle w:val="CETBodytext"/>
      </w:pPr>
      <w:r w:rsidRPr="00C464FA">
        <w:t>Then, t</w:t>
      </w:r>
      <w:r w:rsidR="003C2811" w:rsidRPr="00C464FA">
        <w:t xml:space="preserve">o effectively show which is the dependency of the ME upon only the substance change, it was needed to define a proper space that allowed to offset both the different </w:t>
      </w:r>
      <w:r w:rsidR="00B337E7">
        <w:t xml:space="preserve">LFL </w:t>
      </w:r>
      <w:r w:rsidR="003C2811" w:rsidRPr="00C464FA">
        <w:t>concentrations observed, and the different source pressures considered. To offset the stagnation pressure effect, for each data set, the y axis was normalized by dividing for the correspondent ME of the free jet (ME</w:t>
      </w:r>
      <w:r w:rsidR="003C2811" w:rsidRPr="00C464FA">
        <w:rPr>
          <w:vertAlign w:val="subscript"/>
        </w:rPr>
        <w:t>FJ</w:t>
      </w:r>
      <w:r w:rsidR="003C2811" w:rsidRPr="00C464FA">
        <w:t>), while, the x axis was divided by the correspondent equivalent source diameter (</w:t>
      </w:r>
      <w:proofErr w:type="spellStart"/>
      <w:r w:rsidR="003C2811" w:rsidRPr="00C464FA">
        <w:t>d</w:t>
      </w:r>
      <w:r w:rsidR="003C2811" w:rsidRPr="00C464FA">
        <w:rPr>
          <w:vertAlign w:val="subscript"/>
        </w:rPr>
        <w:t>EQ</w:t>
      </w:r>
      <w:proofErr w:type="spellEnd"/>
      <w:r w:rsidR="003C2811" w:rsidRPr="00C464FA">
        <w:t>); th</w:t>
      </w:r>
      <w:r w:rsidR="00CA7B6A" w:rsidRPr="00C464FA">
        <w:t>is normalization</w:t>
      </w:r>
      <w:r w:rsidR="003C2811" w:rsidRPr="00C464FA">
        <w:t xml:space="preserve"> works because </w:t>
      </w:r>
      <w:r w:rsidR="009F2560" w:rsidRPr="00C464FA">
        <w:t xml:space="preserve">both </w:t>
      </w:r>
      <w:r w:rsidR="003C2811" w:rsidRPr="00C464FA">
        <w:t>the ME</w:t>
      </w:r>
      <w:r w:rsidR="003C2811" w:rsidRPr="00C464FA">
        <w:rPr>
          <w:vertAlign w:val="subscript"/>
        </w:rPr>
        <w:t>FJ</w:t>
      </w:r>
      <w:r w:rsidR="003C2811" w:rsidRPr="00C464FA">
        <w:t xml:space="preserve"> and the </w:t>
      </w:r>
      <w:proofErr w:type="spellStart"/>
      <w:r w:rsidR="003C2811" w:rsidRPr="00C464FA">
        <w:t>d</w:t>
      </w:r>
      <w:r w:rsidR="003C2811" w:rsidRPr="00C464FA">
        <w:rPr>
          <w:vertAlign w:val="subscript"/>
        </w:rPr>
        <w:t>EQ</w:t>
      </w:r>
      <w:proofErr w:type="spellEnd"/>
      <w:r w:rsidR="003C2811" w:rsidRPr="00C464FA">
        <w:t xml:space="preserve"> depend on the pressure</w:t>
      </w:r>
      <w:r w:rsidR="00B337E7">
        <w:t xml:space="preserve"> (</w:t>
      </w:r>
      <w:proofErr w:type="spellStart"/>
      <w:r w:rsidR="00B337E7">
        <w:t>Colombini</w:t>
      </w:r>
      <w:proofErr w:type="spellEnd"/>
      <w:r w:rsidR="00B337E7">
        <w:t xml:space="preserve"> et al., 2020)</w:t>
      </w:r>
      <w:r w:rsidR="003C2811" w:rsidRPr="00C464FA">
        <w:t>. To offset the effect of the observed concentration level, only the x axis required a further manipulation since both ME and ME</w:t>
      </w:r>
      <w:r w:rsidR="003C2811" w:rsidRPr="00C464FA">
        <w:rPr>
          <w:vertAlign w:val="subscript"/>
        </w:rPr>
        <w:t>FJ</w:t>
      </w:r>
      <w:r w:rsidR="003C2811" w:rsidRPr="00C464FA">
        <w:t xml:space="preserve"> already depend on the concentration considered. In particular, the ratio c</w:t>
      </w:r>
      <w:r w:rsidR="009F2560" w:rsidRPr="00C464FA">
        <w:rPr>
          <w:vertAlign w:val="subscript"/>
        </w:rPr>
        <w:t>i</w:t>
      </w:r>
      <w:r w:rsidR="003C2811" w:rsidRPr="00C464FA">
        <w:t>/</w:t>
      </w:r>
      <w:proofErr w:type="spellStart"/>
      <w:r w:rsidR="003C2811" w:rsidRPr="00C464FA">
        <w:t>c</w:t>
      </w:r>
      <w:r w:rsidR="003C2811" w:rsidRPr="00C464FA">
        <w:rPr>
          <w:vertAlign w:val="subscript"/>
        </w:rPr>
        <w:t>RIF</w:t>
      </w:r>
      <w:proofErr w:type="spellEnd"/>
      <w:r w:rsidR="003C2811" w:rsidRPr="00C464FA">
        <w:rPr>
          <w:vertAlign w:val="subscript"/>
        </w:rPr>
        <w:t xml:space="preserve">, </w:t>
      </w:r>
      <w:r w:rsidR="003C2811" w:rsidRPr="00C464FA">
        <w:t>where c</w:t>
      </w:r>
      <w:r w:rsidR="009F2560" w:rsidRPr="00C464FA">
        <w:rPr>
          <w:vertAlign w:val="subscript"/>
        </w:rPr>
        <w:t>i</w:t>
      </w:r>
      <w:r w:rsidR="003C2811" w:rsidRPr="00C464FA">
        <w:t xml:space="preserve"> is the </w:t>
      </w:r>
      <w:r w:rsidR="009F2560" w:rsidRPr="00C464FA">
        <w:t xml:space="preserve">LFL </w:t>
      </w:r>
      <w:r w:rsidR="003C2811" w:rsidRPr="00C464FA">
        <w:t xml:space="preserve">concentration value </w:t>
      </w:r>
      <w:r w:rsidR="009F2560" w:rsidRPr="00C464FA">
        <w:t>of each</w:t>
      </w:r>
      <w:r w:rsidR="003C2811" w:rsidRPr="00C464FA">
        <w:t xml:space="preserve"> substance and </w:t>
      </w:r>
      <w:proofErr w:type="spellStart"/>
      <w:r w:rsidR="003C2811" w:rsidRPr="00C464FA">
        <w:t>c</w:t>
      </w:r>
      <w:r w:rsidR="003C2811" w:rsidRPr="00C464FA">
        <w:rPr>
          <w:vertAlign w:val="subscript"/>
        </w:rPr>
        <w:t>RIF</w:t>
      </w:r>
      <w:proofErr w:type="spellEnd"/>
      <w:r w:rsidR="003C2811" w:rsidRPr="00C464FA">
        <w:t xml:space="preserve"> a reference concentration arbitrarily chosen (in this case, the methane LFL), was used to perform the scaling.</w:t>
      </w:r>
      <w:r w:rsidRPr="00C464FA">
        <w:t xml:space="preserve"> </w:t>
      </w:r>
      <w:r w:rsidR="0004798C" w:rsidRPr="00C464FA">
        <w:t xml:space="preserve">In Figure </w:t>
      </w:r>
      <w:r w:rsidR="00B337E7">
        <w:t>3</w:t>
      </w:r>
      <w:r w:rsidR="0004798C" w:rsidRPr="00C464FA">
        <w:t xml:space="preserve">, </w:t>
      </w:r>
      <w:r w:rsidR="00CA7B6A" w:rsidRPr="00C464FA">
        <w:t>the layout</w:t>
      </w:r>
      <w:r w:rsidRPr="00C464FA">
        <w:t xml:space="preserve"> of the</w:t>
      </w:r>
      <w:r w:rsidR="0004798C" w:rsidRPr="00C464FA">
        <w:t xml:space="preserve"> results appears to be very similar to the one seen in the dimensional space (Figure </w:t>
      </w:r>
      <w:r w:rsidR="00B337E7">
        <w:t>2</w:t>
      </w:r>
      <w:r w:rsidR="0004798C" w:rsidRPr="00C464FA">
        <w:t xml:space="preserve">). </w:t>
      </w:r>
      <w:r w:rsidRPr="00C464FA">
        <w:t xml:space="preserve"> </w:t>
      </w:r>
      <w:r w:rsidR="0004798C" w:rsidRPr="00C464FA">
        <w:t xml:space="preserve">From this plot, it is possible to remark that different substances are differently influenced by the ground. </w:t>
      </w:r>
    </w:p>
    <w:p w14:paraId="4B45FD44" w14:textId="77777777" w:rsidR="004D4CA0" w:rsidRPr="00C464FA" w:rsidRDefault="004D4CA0" w:rsidP="00965BAA">
      <w:pPr>
        <w:pStyle w:val="CETBodytext"/>
      </w:pPr>
    </w:p>
    <w:tbl>
      <w:tblPr>
        <w:tblStyle w:val="Grigliatabella"/>
        <w:tblpPr w:leftFromText="141" w:rightFromText="141" w:vertAnchor="text" w:horzAnchor="margin" w:tblpXSpec="center"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2"/>
        <w:gridCol w:w="51"/>
      </w:tblGrid>
      <w:tr w:rsidR="004A3694" w:rsidRPr="00C464FA" w14:paraId="6925D13B" w14:textId="77777777" w:rsidTr="007A473C">
        <w:tc>
          <w:tcPr>
            <w:tcW w:w="5318" w:type="dxa"/>
            <w:gridSpan w:val="2"/>
            <w:vAlign w:val="center"/>
          </w:tcPr>
          <w:p w14:paraId="571203BA" w14:textId="77777777" w:rsidR="004A3694" w:rsidRPr="00C464FA" w:rsidRDefault="00FD39FD" w:rsidP="00965BAA">
            <w:pPr>
              <w:jc w:val="left"/>
              <w:rPr>
                <w:rFonts w:cs="Arial"/>
                <w:szCs w:val="18"/>
              </w:rPr>
            </w:pPr>
            <w:r w:rsidRPr="00C464FA">
              <w:rPr>
                <w:rFonts w:cs="Arial"/>
                <w:noProof/>
                <w:szCs w:val="18"/>
                <w:lang w:val="it-IT" w:eastAsia="it-IT"/>
              </w:rPr>
              <w:lastRenderedPageBreak/>
              <w:drawing>
                <wp:inline distT="0" distB="0" distL="0" distR="0" wp14:anchorId="1209DE14" wp14:editId="3D7B0AFC">
                  <wp:extent cx="5714975" cy="2519603"/>
                  <wp:effectExtent l="0" t="0" r="63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1.jpg"/>
                          <pic:cNvPicPr/>
                        </pic:nvPicPr>
                        <pic:blipFill rotWithShape="1">
                          <a:blip r:embed="rId11"/>
                          <a:srcRect l="-44"/>
                          <a:stretch/>
                        </pic:blipFill>
                        <pic:spPr bwMode="auto">
                          <a:xfrm>
                            <a:off x="0" y="0"/>
                            <a:ext cx="5714975" cy="2519603"/>
                          </a:xfrm>
                          <a:prstGeom prst="rect">
                            <a:avLst/>
                          </a:prstGeom>
                          <a:ln>
                            <a:noFill/>
                          </a:ln>
                          <a:extLst>
                            <a:ext uri="{53640926-AAD7-44D8-BBD7-CCE9431645EC}">
                              <a14:shadowObscured xmlns:a14="http://schemas.microsoft.com/office/drawing/2010/main"/>
                            </a:ext>
                          </a:extLst>
                        </pic:spPr>
                      </pic:pic>
                    </a:graphicData>
                  </a:graphic>
                </wp:inline>
              </w:drawing>
            </w:r>
          </w:p>
        </w:tc>
      </w:tr>
      <w:tr w:rsidR="00FD39FD" w:rsidRPr="00C464FA" w14:paraId="17C0411E" w14:textId="77777777" w:rsidTr="007A473C">
        <w:tc>
          <w:tcPr>
            <w:tcW w:w="5318" w:type="dxa"/>
            <w:gridSpan w:val="2"/>
            <w:vAlign w:val="center"/>
          </w:tcPr>
          <w:p w14:paraId="6AD8BC64" w14:textId="77777777" w:rsidR="00FD39FD" w:rsidRPr="00C464FA" w:rsidRDefault="00FD39FD" w:rsidP="00965BAA">
            <w:pPr>
              <w:pStyle w:val="CETCaption"/>
            </w:pPr>
            <w:r w:rsidRPr="00C464FA">
              <w:t xml:space="preserve">(a) </w:t>
            </w:r>
          </w:p>
        </w:tc>
      </w:tr>
      <w:tr w:rsidR="00FD39FD" w:rsidRPr="00C464FA" w14:paraId="1196F47C" w14:textId="77777777" w:rsidTr="007A473C">
        <w:tc>
          <w:tcPr>
            <w:tcW w:w="5318" w:type="dxa"/>
            <w:gridSpan w:val="2"/>
            <w:vAlign w:val="center"/>
          </w:tcPr>
          <w:p w14:paraId="458EC7E2" w14:textId="77777777" w:rsidR="00FD39FD" w:rsidRPr="00C464FA" w:rsidRDefault="00FD39FD" w:rsidP="00965BAA">
            <w:pPr>
              <w:jc w:val="left"/>
              <w:rPr>
                <w:rFonts w:cs="Arial"/>
                <w:szCs w:val="18"/>
              </w:rPr>
            </w:pPr>
            <w:r w:rsidRPr="00C464FA">
              <w:rPr>
                <w:rFonts w:cs="Arial"/>
                <w:noProof/>
                <w:szCs w:val="18"/>
                <w:lang w:val="it-IT" w:eastAsia="it-IT"/>
              </w:rPr>
              <w:drawing>
                <wp:inline distT="0" distB="0" distL="0" distR="0" wp14:anchorId="5AC2CD9D" wp14:editId="540843B6">
                  <wp:extent cx="3682597" cy="2282173"/>
                  <wp:effectExtent l="0" t="0" r="0" b="444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1.jpg"/>
                          <pic:cNvPicPr/>
                        </pic:nvPicPr>
                        <pic:blipFill>
                          <a:blip r:embed="rId12"/>
                          <a:stretch>
                            <a:fillRect/>
                          </a:stretch>
                        </pic:blipFill>
                        <pic:spPr bwMode="auto">
                          <a:xfrm>
                            <a:off x="0" y="0"/>
                            <a:ext cx="3722030" cy="2306611"/>
                          </a:xfrm>
                          <a:prstGeom prst="rect">
                            <a:avLst/>
                          </a:prstGeom>
                          <a:ln>
                            <a:noFill/>
                          </a:ln>
                          <a:extLst>
                            <a:ext uri="{53640926-AAD7-44D8-BBD7-CCE9431645EC}">
                              <a14:shadowObscured xmlns:a14="http://schemas.microsoft.com/office/drawing/2010/main"/>
                            </a:ext>
                          </a:extLst>
                        </pic:spPr>
                      </pic:pic>
                    </a:graphicData>
                  </a:graphic>
                </wp:inline>
              </w:drawing>
            </w:r>
          </w:p>
        </w:tc>
      </w:tr>
      <w:tr w:rsidR="00FD39FD" w:rsidRPr="00C464FA" w14:paraId="664AF432" w14:textId="77777777" w:rsidTr="007A473C">
        <w:tc>
          <w:tcPr>
            <w:tcW w:w="5318" w:type="dxa"/>
            <w:gridSpan w:val="2"/>
            <w:vAlign w:val="center"/>
          </w:tcPr>
          <w:p w14:paraId="672DE22E" w14:textId="77777777" w:rsidR="00FD39FD" w:rsidRPr="00C464FA" w:rsidRDefault="00FD39FD" w:rsidP="00965BAA">
            <w:pPr>
              <w:pStyle w:val="CETCaption"/>
              <w:rPr>
                <w:rFonts w:cs="Arial"/>
                <w:szCs w:val="18"/>
              </w:rPr>
            </w:pPr>
            <w:r w:rsidRPr="00C464FA">
              <w:rPr>
                <w:noProof/>
              </w:rPr>
              <w:t xml:space="preserve">(b) </w:t>
            </w:r>
          </w:p>
        </w:tc>
      </w:tr>
      <w:tr w:rsidR="00FD39FD" w:rsidRPr="00C464FA" w14:paraId="2E2A4E3D" w14:textId="77777777" w:rsidTr="007A473C">
        <w:trPr>
          <w:gridAfter w:val="1"/>
          <w:wAfter w:w="30" w:type="dxa"/>
        </w:trPr>
        <w:tc>
          <w:tcPr>
            <w:tcW w:w="5288" w:type="dxa"/>
            <w:vAlign w:val="center"/>
          </w:tcPr>
          <w:p w14:paraId="64871B2C" w14:textId="77777777" w:rsidR="00FD39FD" w:rsidRPr="00C464FA" w:rsidRDefault="00FD39FD" w:rsidP="00965BAA">
            <w:pPr>
              <w:pStyle w:val="CETCaption"/>
            </w:pPr>
            <w:r w:rsidRPr="00C464FA">
              <w:t>Figure 1: Effect of the h variation on the (a) methane and (b) propane LFL clouds.</w:t>
            </w:r>
          </w:p>
        </w:tc>
      </w:tr>
    </w:tbl>
    <w:p w14:paraId="3F3EB703" w14:textId="77777777" w:rsidR="00455582" w:rsidRPr="00C464FA" w:rsidRDefault="00455582" w:rsidP="00965BAA">
      <w:pPr>
        <w:pStyle w:val="CETBodytext"/>
      </w:pPr>
      <w:r w:rsidRPr="00C464FA">
        <w:t>However, when considering substances heavier than</w:t>
      </w:r>
      <w:r w:rsidR="00CA7B6A" w:rsidRPr="00C464FA">
        <w:t xml:space="preserve">, </w:t>
      </w:r>
      <w:r w:rsidRPr="00C464FA">
        <w:t>or</w:t>
      </w:r>
      <w:r w:rsidR="00CA7B6A" w:rsidRPr="00C464FA">
        <w:t xml:space="preserve"> </w:t>
      </w:r>
      <w:r w:rsidRPr="00C464FA">
        <w:t>similar to</w:t>
      </w:r>
      <w:r w:rsidR="00CA7B6A" w:rsidRPr="00C464FA">
        <w:t xml:space="preserve">, </w:t>
      </w:r>
      <w:r w:rsidRPr="00C464FA">
        <w:t>air (</w:t>
      </w:r>
      <w:r w:rsidR="00CA7B6A" w:rsidRPr="00C464FA">
        <w:t>it is the case for</w:t>
      </w:r>
      <w:r w:rsidRPr="00C464FA">
        <w:t xml:space="preserve"> propane and methane) the behavior of the jet (and thus the ground influence) appear</w:t>
      </w:r>
      <w:r w:rsidR="00CA7B6A" w:rsidRPr="00C464FA">
        <w:t>s</w:t>
      </w:r>
      <w:r w:rsidRPr="00C464FA">
        <w:t xml:space="preserve"> to be way less different than that of considering a much lighter one (</w:t>
      </w:r>
      <w:r w:rsidRPr="00C464FA">
        <w:rPr>
          <w:i/>
          <w:iCs/>
        </w:rPr>
        <w:t>i.e.</w:t>
      </w:r>
      <w:r w:rsidRPr="00C464FA">
        <w:t xml:space="preserve">, hydrogen). In particular, the heavier the gas is, the steeper the curve is. This leads to remark that the ground affects much more high momentum releases of heavy compounds. The reason can be explained by the different buoyancy effect: hydrogen jets driving up, while methane and propane jets stay parallel to the ground (and thus resulting much more affected by it). Meaning that the high momentum of the flow prevails on the buoyancy effects, this also justifies why methane and propane ME increases up to 4 times with respect to </w:t>
      </w:r>
      <w:r w:rsidR="009F2560" w:rsidRPr="00C464FA">
        <w:t>ME</w:t>
      </w:r>
      <w:r w:rsidR="009F2560" w:rsidRPr="00C464FA">
        <w:rPr>
          <w:vertAlign w:val="subscript"/>
        </w:rPr>
        <w:t>FJ</w:t>
      </w:r>
      <w:r w:rsidR="009F2560" w:rsidRPr="00C464FA">
        <w:t xml:space="preserve"> </w:t>
      </w:r>
      <w:r w:rsidRPr="00C464FA">
        <w:t xml:space="preserve">while hydrogen ME of only 1.5. </w:t>
      </w:r>
    </w:p>
    <w:p w14:paraId="63C0287F" w14:textId="26117883" w:rsidR="004A3694" w:rsidRDefault="00455582" w:rsidP="00965BAA">
      <w:pPr>
        <w:pStyle w:val="CETBodytext"/>
      </w:pPr>
      <w:r w:rsidRPr="00C464FA">
        <w:t xml:space="preserve">Contrarily to what seen for the ground influence, Figure </w:t>
      </w:r>
      <w:r w:rsidR="00B337E7">
        <w:t>3</w:t>
      </w:r>
      <w:r w:rsidR="00B337E7" w:rsidRPr="00C464FA">
        <w:t xml:space="preserve"> </w:t>
      </w:r>
      <w:r w:rsidRPr="00C464FA">
        <w:t>shows that the dimensionless h* value, about 13, is practically shared by all three compound</w:t>
      </w:r>
      <w:bookmarkStart w:id="1" w:name="_GoBack"/>
      <w:bookmarkEnd w:id="1"/>
      <w:r w:rsidRPr="00C464FA">
        <w:t>s.</w:t>
      </w:r>
    </w:p>
    <w:p w14:paraId="602BB849" w14:textId="0849B817" w:rsidR="0086139C" w:rsidRDefault="0086139C" w:rsidP="00965BAA">
      <w:pPr>
        <w:pStyle w:val="CETBodytext"/>
      </w:pPr>
      <w:r>
        <w:rPr>
          <w:noProof/>
          <w:lang w:val="it-IT" w:eastAsia="it-IT"/>
        </w:rPr>
        <w:lastRenderedPageBreak/>
        <w:drawing>
          <wp:inline distT="0" distB="0" distL="0" distR="0" wp14:anchorId="0F280F98" wp14:editId="0EEAE767">
            <wp:extent cx="3779520" cy="2704011"/>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608"/>
                    <a:stretch/>
                  </pic:blipFill>
                  <pic:spPr bwMode="auto">
                    <a:xfrm>
                      <a:off x="0" y="0"/>
                      <a:ext cx="3780000" cy="2704354"/>
                    </a:xfrm>
                    <a:prstGeom prst="rect">
                      <a:avLst/>
                    </a:prstGeom>
                    <a:ln>
                      <a:noFill/>
                    </a:ln>
                    <a:extLst>
                      <a:ext uri="{53640926-AAD7-44D8-BBD7-CCE9431645EC}">
                        <a14:shadowObscured xmlns:a14="http://schemas.microsoft.com/office/drawing/2010/main"/>
                      </a:ext>
                    </a:extLst>
                  </pic:spPr>
                </pic:pic>
              </a:graphicData>
            </a:graphic>
          </wp:inline>
        </w:drawing>
      </w:r>
    </w:p>
    <w:p w14:paraId="663C5005" w14:textId="32D6C6A7" w:rsidR="0086139C" w:rsidRDefault="0086139C" w:rsidP="0086139C">
      <w:pPr>
        <w:pStyle w:val="CETCaption"/>
      </w:pPr>
      <w:r>
        <w:t xml:space="preserve">Figure 2: ME over h for the three considered substances, where </w:t>
      </w:r>
      <w:proofErr w:type="spellStart"/>
      <w:r>
        <w:t>LFL</w:t>
      </w:r>
      <w:r w:rsidRPr="00C075C2">
        <w:rPr>
          <w:vertAlign w:val="subscript"/>
        </w:rPr>
        <w:t>Methane</w:t>
      </w:r>
      <w:proofErr w:type="spellEnd"/>
      <w:r>
        <w:t xml:space="preserve"> = 5, </w:t>
      </w:r>
      <w:proofErr w:type="spellStart"/>
      <w:r>
        <w:t>LFL</w:t>
      </w:r>
      <w:r w:rsidRPr="00C075C2">
        <w:rPr>
          <w:vertAlign w:val="subscript"/>
        </w:rPr>
        <w:t>Propane</w:t>
      </w:r>
      <w:proofErr w:type="spellEnd"/>
      <w:r>
        <w:t xml:space="preserve"> = 2.1, </w:t>
      </w:r>
      <w:proofErr w:type="spellStart"/>
      <w:r>
        <w:t>LFL</w:t>
      </w:r>
      <w:r w:rsidRPr="00C075C2">
        <w:rPr>
          <w:vertAlign w:val="subscript"/>
        </w:rPr>
        <w:t>Hydrogen</w:t>
      </w:r>
      <w:proofErr w:type="spellEnd"/>
      <w:r>
        <w:t xml:space="preserve"> = 4 expressed in % of </w:t>
      </w:r>
      <w:proofErr w:type="spellStart"/>
      <w:r>
        <w:t>vol</w:t>
      </w:r>
      <w:r w:rsidRPr="00C075C2">
        <w:rPr>
          <w:vertAlign w:val="subscript"/>
        </w:rPr>
        <w:t>SUB</w:t>
      </w:r>
      <w:proofErr w:type="spellEnd"/>
      <w:r>
        <w:t>/</w:t>
      </w:r>
      <w:proofErr w:type="spellStart"/>
      <w:r>
        <w:t>vol</w:t>
      </w:r>
      <w:r w:rsidRPr="00C075C2">
        <w:rPr>
          <w:vertAlign w:val="subscript"/>
        </w:rPr>
        <w:t>AIR</w:t>
      </w:r>
      <w:proofErr w:type="spellEnd"/>
      <w:r>
        <w:t>.</w:t>
      </w:r>
    </w:p>
    <w:p w14:paraId="1018E61F" w14:textId="2640FE6B" w:rsidR="0086139C" w:rsidRPr="00C464FA" w:rsidRDefault="0086139C" w:rsidP="0086139C">
      <w:pPr>
        <w:pStyle w:val="CETCaption"/>
      </w:pPr>
      <w:r>
        <w:rPr>
          <w:noProof/>
          <w:lang w:val="it-IT" w:eastAsia="it-IT"/>
        </w:rPr>
        <w:drawing>
          <wp:inline distT="0" distB="0" distL="0" distR="0" wp14:anchorId="266D0978" wp14:editId="4010F5B8">
            <wp:extent cx="3779520" cy="2704012"/>
            <wp:effectExtent l="0" t="0" r="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608"/>
                    <a:stretch/>
                  </pic:blipFill>
                  <pic:spPr bwMode="auto">
                    <a:xfrm>
                      <a:off x="0" y="0"/>
                      <a:ext cx="3780000" cy="2704355"/>
                    </a:xfrm>
                    <a:prstGeom prst="rect">
                      <a:avLst/>
                    </a:prstGeom>
                    <a:ln>
                      <a:noFill/>
                    </a:ln>
                    <a:extLst>
                      <a:ext uri="{53640926-AAD7-44D8-BBD7-CCE9431645EC}">
                        <a14:shadowObscured xmlns:a14="http://schemas.microsoft.com/office/drawing/2010/main"/>
                      </a:ext>
                    </a:extLst>
                  </pic:spPr>
                </pic:pic>
              </a:graphicData>
            </a:graphic>
          </wp:inline>
        </w:drawing>
      </w:r>
    </w:p>
    <w:p w14:paraId="25565757" w14:textId="0D715184" w:rsidR="0027226E" w:rsidRDefault="0086139C" w:rsidP="0086139C">
      <w:pPr>
        <w:pStyle w:val="CETCaption"/>
        <w:rPr>
          <w:highlight w:val="yellow"/>
        </w:rPr>
      </w:pPr>
      <w:r>
        <w:t>Figure 3: Dimensionless space defined to offset both different stagnation pressures and different concentrations.</w:t>
      </w:r>
    </w:p>
    <w:p w14:paraId="26263F1A" w14:textId="77777777" w:rsidR="00441FC1" w:rsidRDefault="00441FC1" w:rsidP="00965BAA">
      <w:pPr>
        <w:pStyle w:val="CETHeading1"/>
        <w:spacing w:line="264" w:lineRule="auto"/>
        <w:rPr>
          <w:lang w:val="en-GB"/>
        </w:rPr>
      </w:pPr>
      <w:r>
        <w:rPr>
          <w:lang w:val="en-GB"/>
        </w:rPr>
        <w:t xml:space="preserve">Conclusions </w:t>
      </w:r>
    </w:p>
    <w:p w14:paraId="244F91A7" w14:textId="2F217158" w:rsidR="004870B1" w:rsidRDefault="00C50B31" w:rsidP="00965BAA">
      <w:pPr>
        <w:pStyle w:val="CETBodytext"/>
        <w:rPr>
          <w:lang w:val="en-GB"/>
        </w:rPr>
      </w:pPr>
      <w:r>
        <w:rPr>
          <w:lang w:val="en-GB"/>
        </w:rPr>
        <w:t>In this work, the scenario of a high-pressure jet parallel to the ground</w:t>
      </w:r>
      <w:r w:rsidR="00B7667F">
        <w:rPr>
          <w:lang w:val="en-GB"/>
        </w:rPr>
        <w:t xml:space="preserve">, </w:t>
      </w:r>
      <w:r>
        <w:rPr>
          <w:lang w:val="en-GB"/>
        </w:rPr>
        <w:t>and interacting with it</w:t>
      </w:r>
      <w:r w:rsidR="00B7667F">
        <w:rPr>
          <w:lang w:val="en-GB"/>
        </w:rPr>
        <w:t xml:space="preserve">, </w:t>
      </w:r>
      <w:r>
        <w:rPr>
          <w:lang w:val="en-GB"/>
        </w:rPr>
        <w:t xml:space="preserve">was investigated. </w:t>
      </w:r>
      <w:r w:rsidR="00434DBB">
        <w:rPr>
          <w:lang w:val="en-GB"/>
        </w:rPr>
        <w:t>Varying the height of the source above the ground, t</w:t>
      </w:r>
      <w:r>
        <w:rPr>
          <w:lang w:val="en-GB"/>
        </w:rPr>
        <w:t>he influence that such kind of obstacle has on the jet was analysed for three widely used process substances, namely methane, propane and hydrogen.</w:t>
      </w:r>
      <w:r w:rsidR="00434DBB">
        <w:rPr>
          <w:lang w:val="en-GB"/>
        </w:rPr>
        <w:t xml:space="preserve"> </w:t>
      </w:r>
    </w:p>
    <w:p w14:paraId="1B9378E7" w14:textId="1E7D960C" w:rsidR="00434DBB" w:rsidRDefault="00434DBB" w:rsidP="00965BAA">
      <w:pPr>
        <w:pStyle w:val="CETBodytext"/>
        <w:rPr>
          <w:lang w:val="en-GB"/>
        </w:rPr>
      </w:pPr>
      <w:r>
        <w:rPr>
          <w:lang w:val="en-GB"/>
        </w:rPr>
        <w:t xml:space="preserve">With regards to the </w:t>
      </w:r>
      <w:r w:rsidR="00067F42">
        <w:rPr>
          <w:lang w:val="en-GB"/>
        </w:rPr>
        <w:t xml:space="preserve">preliminary </w:t>
      </w:r>
      <w:r>
        <w:rPr>
          <w:lang w:val="en-GB"/>
        </w:rPr>
        <w:t xml:space="preserve">results </w:t>
      </w:r>
      <w:r w:rsidR="00AD30D2">
        <w:rPr>
          <w:lang w:val="en-GB"/>
        </w:rPr>
        <w:t>shown</w:t>
      </w:r>
      <w:r w:rsidR="00B7667F">
        <w:rPr>
          <w:lang w:val="en-GB"/>
        </w:rPr>
        <w:t>,</w:t>
      </w:r>
      <w:r>
        <w:rPr>
          <w:lang w:val="en-GB"/>
        </w:rPr>
        <w:t xml:space="preserve"> it is possible to conclude that:</w:t>
      </w:r>
    </w:p>
    <w:p w14:paraId="03920978" w14:textId="0322656D" w:rsidR="00AD30D2" w:rsidRPr="00C7049A" w:rsidRDefault="00AD30D2" w:rsidP="00965BAA">
      <w:pPr>
        <w:pStyle w:val="CETListbullets"/>
        <w:numPr>
          <w:ilvl w:val="0"/>
          <w:numId w:val="26"/>
        </w:numPr>
      </w:pPr>
      <w:r>
        <w:t xml:space="preserve">the dimensionless space defined appears to be adequate to provide a </w:t>
      </w:r>
      <w:r w:rsidR="00815691">
        <w:t>direct</w:t>
      </w:r>
      <w:r>
        <w:t xml:space="preserve"> comparison among results obtained </w:t>
      </w:r>
      <w:r w:rsidR="002A45E3">
        <w:t>when</w:t>
      </w:r>
      <w:r>
        <w:t xml:space="preserve"> considering different storage conditions as well as different concentrations observed</w:t>
      </w:r>
      <w:r w:rsidR="00B7667F">
        <w:t>;</w:t>
      </w:r>
    </w:p>
    <w:p w14:paraId="1481E204" w14:textId="086C118D" w:rsidR="00AD30D2" w:rsidRPr="00C7049A" w:rsidRDefault="00AD30D2" w:rsidP="00965BAA">
      <w:pPr>
        <w:pStyle w:val="CETListbullets"/>
        <w:numPr>
          <w:ilvl w:val="0"/>
          <w:numId w:val="26"/>
        </w:numPr>
      </w:pPr>
      <w:r>
        <w:t xml:space="preserve">both qualitatively and quantitatively, </w:t>
      </w:r>
      <w:r w:rsidR="002A45E3">
        <w:t xml:space="preserve">the ground </w:t>
      </w:r>
      <w:r w:rsidR="00067F42">
        <w:t>influence</w:t>
      </w:r>
      <w:r w:rsidR="002A45E3">
        <w:t xml:space="preserve"> </w:t>
      </w:r>
      <w:r w:rsidR="00067F42">
        <w:t>appears to be similar when considering</w:t>
      </w:r>
      <w:r w:rsidR="002A45E3">
        <w:t xml:space="preserve"> high-pressure jets </w:t>
      </w:r>
      <w:r w:rsidR="009F2560">
        <w:t>of</w:t>
      </w:r>
      <w:r w:rsidR="002A45E3">
        <w:t xml:space="preserve"> compounds heavier than</w:t>
      </w:r>
      <w:r w:rsidR="00B7667F">
        <w:t xml:space="preserve">, </w:t>
      </w:r>
      <w:r w:rsidR="002A45E3">
        <w:t>or similar to</w:t>
      </w:r>
      <w:r w:rsidR="00B7667F">
        <w:t xml:space="preserve">, </w:t>
      </w:r>
      <w:r w:rsidR="002A45E3">
        <w:t>air</w:t>
      </w:r>
      <w:r w:rsidR="00B7667F">
        <w:t>;</w:t>
      </w:r>
    </w:p>
    <w:p w14:paraId="55C86761" w14:textId="7A3119AA" w:rsidR="00AD30D2" w:rsidRDefault="00067F42" w:rsidP="00965BAA">
      <w:pPr>
        <w:pStyle w:val="CETListbullets"/>
        <w:numPr>
          <w:ilvl w:val="0"/>
          <w:numId w:val="26"/>
        </w:numPr>
      </w:pPr>
      <w:r>
        <w:t xml:space="preserve">both qualitatively and quantitatively, the ground influence appears to be different </w:t>
      </w:r>
      <w:r w:rsidR="002A45E3">
        <w:t xml:space="preserve">when considering </w:t>
      </w:r>
      <w:r w:rsidR="00C64F3B">
        <w:t xml:space="preserve">a </w:t>
      </w:r>
      <w:r w:rsidR="002A45E3">
        <w:t>released</w:t>
      </w:r>
      <w:r w:rsidR="00C64F3B">
        <w:t xml:space="preserve"> </w:t>
      </w:r>
      <w:r w:rsidR="002A45E3">
        <w:t>compound much lighter than air</w:t>
      </w:r>
      <w:r>
        <w:t>;</w:t>
      </w:r>
    </w:p>
    <w:p w14:paraId="0432C95C" w14:textId="66F8827A" w:rsidR="002A45E3" w:rsidRPr="00C7049A" w:rsidRDefault="00067F42" w:rsidP="00965BAA">
      <w:pPr>
        <w:pStyle w:val="CETListbullets"/>
        <w:numPr>
          <w:ilvl w:val="0"/>
          <w:numId w:val="26"/>
        </w:numPr>
      </w:pPr>
      <w:r>
        <w:lastRenderedPageBreak/>
        <w:t xml:space="preserve">by order of magnitude, </w:t>
      </w:r>
      <w:r w:rsidR="00C64F3B">
        <w:t>the dimensionless height</w:t>
      </w:r>
      <w:r w:rsidR="0046507C">
        <w:t xml:space="preserve"> that defines</w:t>
      </w:r>
      <w:r w:rsidR="00C64F3B">
        <w:t xml:space="preserve"> </w:t>
      </w:r>
      <w:r w:rsidR="00ED4EB8">
        <w:t>when the ground effect starts</w:t>
      </w:r>
      <w:r w:rsidR="0046507C">
        <w:t xml:space="preserve">, </w:t>
      </w:r>
      <w:r w:rsidR="0073534E">
        <w:t xml:space="preserve">it </w:t>
      </w:r>
      <w:r>
        <w:t>appears to be</w:t>
      </w:r>
      <w:r w:rsidR="00C64F3B">
        <w:t xml:space="preserve"> comparable for all the three compounds</w:t>
      </w:r>
      <w:r w:rsidR="00B7667F">
        <w:t>.</w:t>
      </w:r>
    </w:p>
    <w:p w14:paraId="2B638F16" w14:textId="6D959C67" w:rsidR="004870B1" w:rsidRDefault="00C64F3B" w:rsidP="00965BAA">
      <w:pPr>
        <w:pStyle w:val="CETBodytext"/>
        <w:rPr>
          <w:lang w:val="en-GB"/>
        </w:rPr>
      </w:pPr>
      <w:r>
        <w:rPr>
          <w:lang w:val="en-GB"/>
        </w:rPr>
        <w:t xml:space="preserve">Broadly speaking, the ground </w:t>
      </w:r>
      <w:r w:rsidR="00067F42">
        <w:rPr>
          <w:lang w:val="en-GB"/>
        </w:rPr>
        <w:t xml:space="preserve">effect is to </w:t>
      </w:r>
      <w:r w:rsidR="00390170">
        <w:rPr>
          <w:lang w:val="en-GB"/>
        </w:rPr>
        <w:t>increase the damage area.</w:t>
      </w:r>
      <w:r>
        <w:rPr>
          <w:lang w:val="en-GB"/>
        </w:rPr>
        <w:t xml:space="preserve"> </w:t>
      </w:r>
      <w:r w:rsidR="00A1273C">
        <w:rPr>
          <w:lang w:val="en-GB"/>
        </w:rPr>
        <w:t xml:space="preserve">The results of the present work indicate that for </w:t>
      </w:r>
      <w:r>
        <w:rPr>
          <w:lang w:val="en-GB"/>
        </w:rPr>
        <w:t>compounds heavier than</w:t>
      </w:r>
      <w:r w:rsidR="00B7667F">
        <w:rPr>
          <w:lang w:val="en-GB"/>
        </w:rPr>
        <w:t xml:space="preserve">, </w:t>
      </w:r>
      <w:r>
        <w:rPr>
          <w:lang w:val="en-GB"/>
        </w:rPr>
        <w:t>or similar to</w:t>
      </w:r>
      <w:r w:rsidR="00B7667F">
        <w:rPr>
          <w:lang w:val="en-GB"/>
        </w:rPr>
        <w:t xml:space="preserve">, </w:t>
      </w:r>
      <w:r>
        <w:rPr>
          <w:lang w:val="en-GB"/>
        </w:rPr>
        <w:t>air</w:t>
      </w:r>
      <w:r w:rsidR="00B7667F">
        <w:rPr>
          <w:lang w:val="en-GB"/>
        </w:rPr>
        <w:t xml:space="preserve"> </w:t>
      </w:r>
      <w:r w:rsidR="007810C3">
        <w:rPr>
          <w:lang w:val="en-GB"/>
        </w:rPr>
        <w:t>a larger inc</w:t>
      </w:r>
      <w:r w:rsidR="00884050">
        <w:rPr>
          <w:lang w:val="en-GB"/>
        </w:rPr>
        <w:t>r</w:t>
      </w:r>
      <w:r w:rsidR="007810C3">
        <w:rPr>
          <w:lang w:val="en-GB"/>
        </w:rPr>
        <w:t>ease of the hazardous distance should be expected</w:t>
      </w:r>
      <w:r w:rsidR="0046507C">
        <w:rPr>
          <w:lang w:val="en-GB"/>
        </w:rPr>
        <w:t xml:space="preserve"> with respect to the case of considering lighter compounds. </w:t>
      </w:r>
    </w:p>
    <w:p w14:paraId="16DF2538" w14:textId="77777777" w:rsidR="00DF3566" w:rsidRPr="002F4664" w:rsidRDefault="00DF3566" w:rsidP="00965BAA">
      <w:pPr>
        <w:pStyle w:val="CETReference"/>
        <w:spacing w:line="264" w:lineRule="auto"/>
        <w:rPr>
          <w:lang w:val="en-US"/>
        </w:rPr>
      </w:pPr>
      <w:r w:rsidRPr="002F4664">
        <w:rPr>
          <w:lang w:val="en-US"/>
        </w:rPr>
        <w:t>References</w:t>
      </w:r>
    </w:p>
    <w:p w14:paraId="09A398C8" w14:textId="77777777" w:rsidR="00272196" w:rsidRPr="0086139C" w:rsidRDefault="00272196" w:rsidP="0086139C">
      <w:pPr>
        <w:pStyle w:val="CETReferencetext"/>
      </w:pPr>
      <w:r w:rsidRPr="0086139C">
        <w:t xml:space="preserve">Angers B., </w:t>
      </w:r>
      <w:proofErr w:type="spellStart"/>
      <w:r w:rsidRPr="0086139C">
        <w:t>Hourri</w:t>
      </w:r>
      <w:proofErr w:type="spellEnd"/>
      <w:r w:rsidRPr="0086139C">
        <w:t xml:space="preserve"> A., </w:t>
      </w:r>
      <w:proofErr w:type="spellStart"/>
      <w:r w:rsidRPr="0086139C">
        <w:t>Bénard</w:t>
      </w:r>
      <w:proofErr w:type="spellEnd"/>
      <w:r w:rsidRPr="0086139C">
        <w:t xml:space="preserve">, P., </w:t>
      </w:r>
      <w:proofErr w:type="spellStart"/>
      <w:r w:rsidRPr="0086139C">
        <w:t>Tchouvelev</w:t>
      </w:r>
      <w:proofErr w:type="spellEnd"/>
      <w:r w:rsidRPr="0086139C">
        <w:t xml:space="preserve"> A., 2011, Numerical Investigation of a Vertical Surface on the Flammable Extent of Hydrogen and Methane Vertical Jets, International Journal of Hydrogen Energy, 36(3), 2567-72.</w:t>
      </w:r>
    </w:p>
    <w:p w14:paraId="6428F66A" w14:textId="77777777" w:rsidR="00272196" w:rsidRPr="0086139C" w:rsidRDefault="00272196" w:rsidP="0086139C">
      <w:pPr>
        <w:pStyle w:val="CETReferencetext"/>
      </w:pPr>
      <w:r w:rsidRPr="0086139C">
        <w:t xml:space="preserve">Batt R., Gant S., </w:t>
      </w:r>
      <w:proofErr w:type="spellStart"/>
      <w:r w:rsidRPr="0086139C">
        <w:t>Lacome</w:t>
      </w:r>
      <w:proofErr w:type="spellEnd"/>
      <w:r w:rsidRPr="0086139C">
        <w:t xml:space="preserve"> J., </w:t>
      </w:r>
      <w:proofErr w:type="spellStart"/>
      <w:r w:rsidRPr="0086139C">
        <w:t>Truchot</w:t>
      </w:r>
      <w:proofErr w:type="spellEnd"/>
      <w:r w:rsidRPr="0086139C">
        <w:t xml:space="preserve"> B., 2016, Modelling of Stably-Stratified Atmospheric Boundary Layers with Commercial CFD Software for use in Risk Assessment, Chemical Engineering Transactions, 48, 61-66 DOI:10.3303/CET1648011.</w:t>
      </w:r>
    </w:p>
    <w:p w14:paraId="12821E79" w14:textId="77777777" w:rsidR="00272196" w:rsidRPr="0086139C" w:rsidRDefault="00272196" w:rsidP="0086139C">
      <w:pPr>
        <w:pStyle w:val="CETReferencetext"/>
      </w:pPr>
      <w:proofErr w:type="spellStart"/>
      <w:r w:rsidRPr="0086139C">
        <w:t>Bénard</w:t>
      </w:r>
      <w:proofErr w:type="spellEnd"/>
      <w:r w:rsidRPr="0086139C">
        <w:t xml:space="preserve"> P., </w:t>
      </w:r>
      <w:proofErr w:type="spellStart"/>
      <w:r w:rsidRPr="0086139C">
        <w:t>Tchouvelev</w:t>
      </w:r>
      <w:proofErr w:type="spellEnd"/>
      <w:r w:rsidRPr="0086139C">
        <w:t xml:space="preserve"> A.V., </w:t>
      </w:r>
      <w:proofErr w:type="spellStart"/>
      <w:r w:rsidRPr="0086139C">
        <w:t>Hourri</w:t>
      </w:r>
      <w:proofErr w:type="spellEnd"/>
      <w:r w:rsidRPr="0086139C">
        <w:t xml:space="preserve"> A., Chen Z., Angers B., 2007, High Pressure Hydrogen Jets in the Presence of a Surface, Proceedings of the International Conference on Hydrogen Safety, 11–13 September, San </w:t>
      </w:r>
      <w:proofErr w:type="spellStart"/>
      <w:r w:rsidRPr="0086139C">
        <w:t>Sebastain</w:t>
      </w:r>
      <w:proofErr w:type="spellEnd"/>
      <w:r w:rsidRPr="0086139C">
        <w:t>, Spain.</w:t>
      </w:r>
    </w:p>
    <w:p w14:paraId="24D7B2E5" w14:textId="77777777" w:rsidR="00272196" w:rsidRPr="0086139C" w:rsidRDefault="00272196" w:rsidP="0086139C">
      <w:pPr>
        <w:pStyle w:val="CETReferencetext"/>
      </w:pPr>
      <w:proofErr w:type="spellStart"/>
      <w:r w:rsidRPr="0086139C">
        <w:t>Bénard</w:t>
      </w:r>
      <w:proofErr w:type="spellEnd"/>
      <w:r w:rsidRPr="0086139C">
        <w:t xml:space="preserve"> P., </w:t>
      </w:r>
      <w:proofErr w:type="spellStart"/>
      <w:r w:rsidRPr="0086139C">
        <w:t>Hourri</w:t>
      </w:r>
      <w:proofErr w:type="spellEnd"/>
      <w:r w:rsidRPr="0086139C">
        <w:t xml:space="preserve"> A., Angers B., </w:t>
      </w:r>
      <w:proofErr w:type="spellStart"/>
      <w:r w:rsidRPr="0086139C">
        <w:t>Tchouvelev</w:t>
      </w:r>
      <w:proofErr w:type="spellEnd"/>
      <w:r w:rsidRPr="0086139C">
        <w:t xml:space="preserve"> A., 2016, Adjacent Surface Effect on the Flammable Cloud of Hydrogen and Methane Jets: Numerical Investigation and Engineering Correlations, International Journal of Hydrogen Energy, 41, 18654-662.</w:t>
      </w:r>
    </w:p>
    <w:p w14:paraId="01F6B1BE" w14:textId="77777777" w:rsidR="00272196" w:rsidRPr="0086139C" w:rsidRDefault="00272196" w:rsidP="0086139C">
      <w:pPr>
        <w:pStyle w:val="CETReferencetext"/>
      </w:pPr>
      <w:r w:rsidRPr="0086139C">
        <w:rPr>
          <w:rFonts w:eastAsiaTheme="minorHAnsi"/>
        </w:rPr>
        <w:t xml:space="preserve">Birch A.D., Brown D.R., Dodson M.G., </w:t>
      </w:r>
      <w:proofErr w:type="spellStart"/>
      <w:r w:rsidRPr="0086139C">
        <w:rPr>
          <w:rFonts w:eastAsiaTheme="minorHAnsi"/>
        </w:rPr>
        <w:t>Swaffield</w:t>
      </w:r>
      <w:proofErr w:type="spellEnd"/>
      <w:r w:rsidRPr="0086139C">
        <w:rPr>
          <w:rFonts w:eastAsiaTheme="minorHAnsi"/>
        </w:rPr>
        <w:t xml:space="preserve"> F., 1984, The Structure and Concentration Decay of High- Pressure Jets of Natural Gas, Combustion Science and Technology, 36, 249-261.</w:t>
      </w:r>
    </w:p>
    <w:p w14:paraId="700D827D" w14:textId="77777777" w:rsidR="00272196" w:rsidRPr="0086139C" w:rsidRDefault="00272196" w:rsidP="0086139C">
      <w:pPr>
        <w:pStyle w:val="CETReferencetext"/>
      </w:pPr>
      <w:r w:rsidRPr="0086139C">
        <w:t>Cameron, I., Raman, R., 2005. Process System Risk Management, first ed. Elsevier Amsterdam., The Netherlands.</w:t>
      </w:r>
    </w:p>
    <w:p w14:paraId="5153E5A8" w14:textId="77777777" w:rsidR="00F05FF1" w:rsidRPr="0086139C" w:rsidRDefault="00F05FF1" w:rsidP="0086139C">
      <w:pPr>
        <w:pStyle w:val="CETReferencetext"/>
      </w:pPr>
      <w:proofErr w:type="spellStart"/>
      <w:r w:rsidRPr="0086139C">
        <w:t>Casal</w:t>
      </w:r>
      <w:proofErr w:type="spellEnd"/>
      <w:r w:rsidRPr="0086139C">
        <w:t xml:space="preserve">, J., Gómez-Mares, M., Muñoz, M., Palacios, A., 2012, Jet fires: A ‘minor’ fire hazard? Chem. Eng. Trans. 26, 13–20. </w:t>
      </w:r>
      <w:hyperlink r:id="rId15" w:history="1">
        <w:r w:rsidRPr="0086139C">
          <w:t xml:space="preserve"> DOI: </w:t>
        </w:r>
        <w:r w:rsidRPr="0086139C">
          <w:rPr>
            <w:rStyle w:val="Collegamentoipertestuale"/>
            <w:color w:val="auto"/>
            <w:u w:val="none"/>
          </w:rPr>
          <w:t>10.3303/CET1226003</w:t>
        </w:r>
      </w:hyperlink>
      <w:r w:rsidRPr="0086139C">
        <w:t>.</w:t>
      </w:r>
    </w:p>
    <w:p w14:paraId="1A9E2C55" w14:textId="3BB98022" w:rsidR="00F05FF1" w:rsidRPr="0086139C" w:rsidRDefault="00F05FF1" w:rsidP="0086139C">
      <w:pPr>
        <w:pStyle w:val="CETReferencetext"/>
      </w:pPr>
      <w:proofErr w:type="spellStart"/>
      <w:r w:rsidRPr="0086139C">
        <w:t>Colombini</w:t>
      </w:r>
      <w:proofErr w:type="spellEnd"/>
      <w:r w:rsidRPr="0086139C">
        <w:t xml:space="preserve">, C., </w:t>
      </w:r>
      <w:proofErr w:type="spellStart"/>
      <w:r w:rsidRPr="0086139C">
        <w:t>Busini</w:t>
      </w:r>
      <w:proofErr w:type="spellEnd"/>
      <w:r w:rsidRPr="0086139C">
        <w:t xml:space="preserve">, V., 2019, Obstacle Influence on High-Pressure Jets based on Computational Fluid Dynamics Simulations. </w:t>
      </w:r>
      <w:r w:rsidR="000D7A4A" w:rsidRPr="0086139C">
        <w:t xml:space="preserve">Chemical Engineering Transactions, </w:t>
      </w:r>
      <w:r w:rsidRPr="0086139C">
        <w:t xml:space="preserve">77, 811–816. </w:t>
      </w:r>
      <w:hyperlink r:id="rId16" w:history="1">
        <w:r w:rsidRPr="0086139C">
          <w:rPr>
            <w:rStyle w:val="Collegamentoipertestuale"/>
            <w:color w:val="auto"/>
            <w:u w:val="none"/>
          </w:rPr>
          <w:t>https://doi.org/10.3303/CET1977136</w:t>
        </w:r>
      </w:hyperlink>
      <w:r w:rsidRPr="0086139C">
        <w:t>.</w:t>
      </w:r>
    </w:p>
    <w:p w14:paraId="3F396E23" w14:textId="276AAB1D" w:rsidR="00F2570F" w:rsidRPr="0086139C" w:rsidRDefault="00F2570F" w:rsidP="0086139C">
      <w:pPr>
        <w:pStyle w:val="CETReferencetext"/>
      </w:pPr>
      <w:proofErr w:type="spellStart"/>
      <w:r w:rsidRPr="0086139C">
        <w:t>Colombini</w:t>
      </w:r>
      <w:proofErr w:type="spellEnd"/>
      <w:r w:rsidRPr="0086139C">
        <w:t xml:space="preserve">, C., </w:t>
      </w:r>
      <w:proofErr w:type="spellStart"/>
      <w:r w:rsidRPr="0086139C">
        <w:t>Martani</w:t>
      </w:r>
      <w:proofErr w:type="spellEnd"/>
      <w:r w:rsidRPr="0086139C">
        <w:t xml:space="preserve">, A., </w:t>
      </w:r>
      <w:proofErr w:type="spellStart"/>
      <w:r w:rsidRPr="0086139C">
        <w:t>Rota</w:t>
      </w:r>
      <w:proofErr w:type="spellEnd"/>
      <w:r w:rsidRPr="0086139C">
        <w:t xml:space="preserve">, R., </w:t>
      </w:r>
      <w:proofErr w:type="spellStart"/>
      <w:r w:rsidR="000D7A4A" w:rsidRPr="0086139C">
        <w:t>B</w:t>
      </w:r>
      <w:r w:rsidRPr="0086139C">
        <w:t>usini</w:t>
      </w:r>
      <w:proofErr w:type="spellEnd"/>
      <w:r w:rsidRPr="0086139C">
        <w:t>, V., 2020, Ground Influence on High-Pressure Methane Jets: Practical Tools for Risk Assessment</w:t>
      </w:r>
      <w:r w:rsidR="000D7A4A" w:rsidRPr="0086139C">
        <w:t>, Journal of Loss Prevention in the Process Industries, submitted.</w:t>
      </w:r>
    </w:p>
    <w:p w14:paraId="41178B9A" w14:textId="77777777" w:rsidR="00F05FF1" w:rsidRPr="0086139C" w:rsidRDefault="00F05FF1" w:rsidP="0086139C">
      <w:pPr>
        <w:pStyle w:val="CETReferencetext"/>
      </w:pPr>
      <w:proofErr w:type="spellStart"/>
      <w:r w:rsidRPr="0086139C">
        <w:t>Desilets</w:t>
      </w:r>
      <w:proofErr w:type="spellEnd"/>
      <w:r w:rsidRPr="0086139C">
        <w:t xml:space="preserve">, S., Cote, S., </w:t>
      </w:r>
      <w:proofErr w:type="spellStart"/>
      <w:r w:rsidRPr="0086139C">
        <w:t>Nadau</w:t>
      </w:r>
      <w:proofErr w:type="spellEnd"/>
      <w:r w:rsidRPr="0086139C">
        <w:t xml:space="preserve">, G., </w:t>
      </w:r>
      <w:proofErr w:type="spellStart"/>
      <w:r w:rsidRPr="0086139C">
        <w:t>Benard</w:t>
      </w:r>
      <w:proofErr w:type="spellEnd"/>
      <w:r w:rsidRPr="0086139C">
        <w:t xml:space="preserve">, P., </w:t>
      </w:r>
      <w:proofErr w:type="spellStart"/>
      <w:r w:rsidRPr="0086139C">
        <w:t>Tchouvelev</w:t>
      </w:r>
      <w:proofErr w:type="spellEnd"/>
      <w:r w:rsidRPr="0086139C">
        <w:t>, A., 2009, Experimental results and comparison with simulated data of a low pressure hydrogen, proceedings of the 3rd International Conference on Hydrogen Safety, 16-18 September, Ajaccio, Corsica.</w:t>
      </w:r>
    </w:p>
    <w:p w14:paraId="3F535ACD" w14:textId="77777777" w:rsidR="00F05FF1" w:rsidRPr="0086139C" w:rsidRDefault="00F05FF1" w:rsidP="0086139C">
      <w:pPr>
        <w:pStyle w:val="CETReferencetext"/>
      </w:pPr>
      <w:proofErr w:type="spellStart"/>
      <w:r w:rsidRPr="0086139C">
        <w:t>Franquet</w:t>
      </w:r>
      <w:proofErr w:type="spellEnd"/>
      <w:r w:rsidRPr="0086139C">
        <w:t xml:space="preserve">, E., Perrier, V., </w:t>
      </w:r>
      <w:proofErr w:type="spellStart"/>
      <w:r w:rsidRPr="0086139C">
        <w:t>Gibout</w:t>
      </w:r>
      <w:proofErr w:type="spellEnd"/>
      <w:r w:rsidRPr="0086139C">
        <w:t xml:space="preserve">, S., </w:t>
      </w:r>
      <w:proofErr w:type="spellStart"/>
      <w:r w:rsidRPr="0086139C">
        <w:t>Bruel</w:t>
      </w:r>
      <w:proofErr w:type="spellEnd"/>
      <w:r w:rsidRPr="0086139C">
        <w:t xml:space="preserve">, P., 2015, Free </w:t>
      </w:r>
      <w:proofErr w:type="spellStart"/>
      <w:r w:rsidRPr="0086139C">
        <w:t>underexpanded</w:t>
      </w:r>
      <w:proofErr w:type="spellEnd"/>
      <w:r w:rsidRPr="0086139C">
        <w:t xml:space="preserve"> jets in a quiescent medium: A review. </w:t>
      </w:r>
      <w:proofErr w:type="spellStart"/>
      <w:r w:rsidRPr="0086139C">
        <w:t>Prog</w:t>
      </w:r>
      <w:proofErr w:type="spellEnd"/>
      <w:r w:rsidRPr="0086139C">
        <w:t xml:space="preserve">. </w:t>
      </w:r>
      <w:proofErr w:type="spellStart"/>
      <w:r w:rsidRPr="0086139C">
        <w:t>Aerosp</w:t>
      </w:r>
      <w:proofErr w:type="spellEnd"/>
      <w:r w:rsidRPr="0086139C">
        <w:t xml:space="preserve">. Sci. 77, 25–53. </w:t>
      </w:r>
      <w:hyperlink r:id="rId17" w:history="1">
        <w:r w:rsidRPr="0086139C">
          <w:t xml:space="preserve"> DOI: </w:t>
        </w:r>
        <w:r w:rsidRPr="0086139C">
          <w:rPr>
            <w:rStyle w:val="Collegamentoipertestuale"/>
            <w:color w:val="auto"/>
            <w:u w:val="none"/>
          </w:rPr>
          <w:t>10.1016/j.paerosci.2015.06.006</w:t>
        </w:r>
      </w:hyperlink>
      <w:r w:rsidRPr="0086139C">
        <w:t>.</w:t>
      </w:r>
    </w:p>
    <w:p w14:paraId="7BCF4BBA" w14:textId="77777777" w:rsidR="003A63CD" w:rsidRPr="0086139C" w:rsidRDefault="003A63CD" w:rsidP="0086139C">
      <w:pPr>
        <w:pStyle w:val="CETReferencetext"/>
      </w:pPr>
      <w:r w:rsidRPr="0086139C">
        <w:t xml:space="preserve">Hall J.E., Hooker P., O'Sullivan L., Angers B., </w:t>
      </w:r>
      <w:proofErr w:type="spellStart"/>
      <w:r w:rsidRPr="0086139C">
        <w:t>Hourri</w:t>
      </w:r>
      <w:proofErr w:type="spellEnd"/>
      <w:r w:rsidRPr="0086139C">
        <w:t xml:space="preserve"> A., Bernard P., 2017, Flammability Profiles Associated with High-Pressure Hydrogen Jets Released in Close Proximity to Surfaces, international journal of hydrogen energy, 42, 7413-21.</w:t>
      </w:r>
    </w:p>
    <w:p w14:paraId="5A9915EE" w14:textId="77777777" w:rsidR="003A63CD" w:rsidRPr="0086139C" w:rsidRDefault="003A63CD" w:rsidP="0086139C">
      <w:pPr>
        <w:pStyle w:val="CETReferencetext"/>
      </w:pPr>
      <w:proofErr w:type="spellStart"/>
      <w:r w:rsidRPr="0086139C">
        <w:t>Hourri</w:t>
      </w:r>
      <w:proofErr w:type="spellEnd"/>
      <w:r w:rsidRPr="0086139C">
        <w:t xml:space="preserve"> A., Angers B., </w:t>
      </w:r>
      <w:proofErr w:type="spellStart"/>
      <w:r w:rsidRPr="0086139C">
        <w:t>Bénard</w:t>
      </w:r>
      <w:proofErr w:type="spellEnd"/>
      <w:r w:rsidRPr="0086139C">
        <w:t xml:space="preserve"> P., 2009, Surface Effects on Flammable Extent of Hydrogen and Methane Jets, International Journal of Hydrogen Energy, 34, 1569-1577.</w:t>
      </w:r>
    </w:p>
    <w:p w14:paraId="3DEB32F0" w14:textId="77777777" w:rsidR="0022432B" w:rsidRPr="0086139C" w:rsidRDefault="0022432B" w:rsidP="0086139C">
      <w:pPr>
        <w:pStyle w:val="CETReferencetext"/>
      </w:pPr>
      <w:r w:rsidRPr="0086139C">
        <w:t xml:space="preserve">Liao, N., Huang, K., Chen, L., Wang, Z, Wu, J., Zhang, F., 2018, Numerical simulation of gas dispersion during cold venting of natural gas pipelines. Adv. Mech. Eng. 10, 1–14. </w:t>
      </w:r>
      <w:hyperlink r:id="rId18" w:history="1">
        <w:r w:rsidRPr="0086139C">
          <w:t xml:space="preserve"> DOI: </w:t>
        </w:r>
        <w:r w:rsidRPr="0086139C">
          <w:rPr>
            <w:rStyle w:val="Collegamentoipertestuale"/>
            <w:color w:val="auto"/>
            <w:u w:val="none"/>
          </w:rPr>
          <w:t>10.1177/1687814018755244</w:t>
        </w:r>
      </w:hyperlink>
      <w:r w:rsidRPr="0086139C">
        <w:t>.</w:t>
      </w:r>
    </w:p>
    <w:p w14:paraId="030DF51C" w14:textId="77777777" w:rsidR="0022432B" w:rsidRPr="0086139C" w:rsidRDefault="0022432B" w:rsidP="0086139C">
      <w:pPr>
        <w:pStyle w:val="CETReferencetext"/>
      </w:pPr>
      <w:proofErr w:type="spellStart"/>
      <w:r w:rsidRPr="0086139C">
        <w:t>Miozzi</w:t>
      </w:r>
      <w:proofErr w:type="spellEnd"/>
      <w:r w:rsidRPr="0086139C">
        <w:t xml:space="preserve">, M., </w:t>
      </w:r>
      <w:proofErr w:type="spellStart"/>
      <w:r w:rsidRPr="0086139C">
        <w:t>Lalli</w:t>
      </w:r>
      <w:proofErr w:type="spellEnd"/>
      <w:r w:rsidRPr="0086139C">
        <w:t xml:space="preserve">, F., Romano, G.P., 2010, Experimental investigation of a free-surface turbulent jet with </w:t>
      </w:r>
      <w:proofErr w:type="spellStart"/>
      <w:r w:rsidRPr="0086139C">
        <w:t>Coanda</w:t>
      </w:r>
      <w:proofErr w:type="spellEnd"/>
      <w:r w:rsidRPr="0086139C">
        <w:t xml:space="preserve"> effect. Exp. Fluids 49, 341–353. </w:t>
      </w:r>
      <w:hyperlink r:id="rId19" w:history="1">
        <w:r w:rsidRPr="0086139C">
          <w:t xml:space="preserve"> DOI: </w:t>
        </w:r>
        <w:r w:rsidRPr="0086139C">
          <w:rPr>
            <w:rStyle w:val="Collegamentoipertestuale"/>
            <w:color w:val="auto"/>
            <w:u w:val="none"/>
          </w:rPr>
          <w:t>10.1007/s00348-010-0885-1</w:t>
        </w:r>
      </w:hyperlink>
      <w:r w:rsidRPr="0086139C">
        <w:t>.</w:t>
      </w:r>
    </w:p>
    <w:p w14:paraId="4980F76E" w14:textId="77777777" w:rsidR="00F05FF1" w:rsidRPr="0086139C" w:rsidRDefault="00F05FF1" w:rsidP="0086139C">
      <w:pPr>
        <w:pStyle w:val="CETReferencetext"/>
      </w:pPr>
      <w:proofErr w:type="spellStart"/>
      <w:r w:rsidRPr="0086139C">
        <w:t>Pontiggia</w:t>
      </w:r>
      <w:proofErr w:type="spellEnd"/>
      <w:r w:rsidRPr="0086139C">
        <w:t xml:space="preserve"> M., </w:t>
      </w:r>
      <w:proofErr w:type="spellStart"/>
      <w:r w:rsidRPr="0086139C">
        <w:t>Busini</w:t>
      </w:r>
      <w:proofErr w:type="spellEnd"/>
      <w:r w:rsidRPr="0086139C">
        <w:t xml:space="preserve"> V., </w:t>
      </w:r>
      <w:proofErr w:type="spellStart"/>
      <w:r w:rsidRPr="0086139C">
        <w:t>Ronzoni</w:t>
      </w:r>
      <w:proofErr w:type="spellEnd"/>
      <w:r w:rsidRPr="0086139C">
        <w:t xml:space="preserve"> M., </w:t>
      </w:r>
      <w:proofErr w:type="spellStart"/>
      <w:r w:rsidRPr="0086139C">
        <w:t>Uguccioni</w:t>
      </w:r>
      <w:proofErr w:type="spellEnd"/>
      <w:r w:rsidRPr="0086139C">
        <w:t xml:space="preserve"> G., </w:t>
      </w:r>
      <w:proofErr w:type="spellStart"/>
      <w:r w:rsidRPr="0086139C">
        <w:t>Rota</w:t>
      </w:r>
      <w:proofErr w:type="spellEnd"/>
      <w:r w:rsidRPr="0086139C">
        <w:t xml:space="preserve"> R., 2014, Effect of Large Obstacles on High Momentum Jets Dispersion, Chemical Engineering Transactions, 36, 523-528 DOI: 10.3303/CET1436088.</w:t>
      </w:r>
    </w:p>
    <w:p w14:paraId="73A12302" w14:textId="77777777" w:rsidR="004628D2" w:rsidRPr="0086139C" w:rsidRDefault="0022432B" w:rsidP="0086139C">
      <w:pPr>
        <w:pStyle w:val="CETReferencetext"/>
      </w:pPr>
      <w:proofErr w:type="spellStart"/>
      <w:r w:rsidRPr="0086139C">
        <w:t>Tolias</w:t>
      </w:r>
      <w:proofErr w:type="spellEnd"/>
      <w:r w:rsidRPr="0086139C">
        <w:t xml:space="preserve">, I. C., </w:t>
      </w:r>
      <w:proofErr w:type="spellStart"/>
      <w:r w:rsidRPr="0086139C">
        <w:t>Giannissi</w:t>
      </w:r>
      <w:proofErr w:type="spellEnd"/>
      <w:r w:rsidRPr="0086139C">
        <w:t xml:space="preserve">, S.G., </w:t>
      </w:r>
      <w:proofErr w:type="spellStart"/>
      <w:r w:rsidRPr="0086139C">
        <w:t>Venetsanos</w:t>
      </w:r>
      <w:proofErr w:type="spellEnd"/>
      <w:r w:rsidRPr="0086139C">
        <w:t xml:space="preserve">, A.G., Keenan, J., </w:t>
      </w:r>
      <w:proofErr w:type="spellStart"/>
      <w:r w:rsidRPr="0086139C">
        <w:t>Shentsov</w:t>
      </w:r>
      <w:proofErr w:type="spellEnd"/>
      <w:r w:rsidRPr="0086139C">
        <w:t xml:space="preserve">, V., Makarov, D., </w:t>
      </w:r>
      <w:proofErr w:type="spellStart"/>
      <w:r w:rsidRPr="0086139C">
        <w:t>Coldrick</w:t>
      </w:r>
      <w:proofErr w:type="spellEnd"/>
      <w:r w:rsidRPr="0086139C">
        <w:t xml:space="preserve">, S., </w:t>
      </w:r>
      <w:proofErr w:type="spellStart"/>
      <w:r w:rsidRPr="0086139C">
        <w:t>Kotchourko</w:t>
      </w:r>
      <w:proofErr w:type="spellEnd"/>
      <w:r w:rsidRPr="0086139C">
        <w:t xml:space="preserve">, A., Ren, K., </w:t>
      </w:r>
      <w:proofErr w:type="spellStart"/>
      <w:r w:rsidRPr="0086139C">
        <w:t>Jedicke</w:t>
      </w:r>
      <w:proofErr w:type="spellEnd"/>
      <w:r w:rsidRPr="0086139C">
        <w:t xml:space="preserve">, O., </w:t>
      </w:r>
      <w:proofErr w:type="spellStart"/>
      <w:r w:rsidRPr="0086139C">
        <w:t>Melideo</w:t>
      </w:r>
      <w:proofErr w:type="spellEnd"/>
      <w:r w:rsidRPr="0086139C">
        <w:t xml:space="preserve">, D., </w:t>
      </w:r>
      <w:proofErr w:type="spellStart"/>
      <w:r w:rsidRPr="0086139C">
        <w:t>Baraldi</w:t>
      </w:r>
      <w:proofErr w:type="spellEnd"/>
      <w:r w:rsidRPr="0086139C">
        <w:t xml:space="preserve">, D., Slater, S., </w:t>
      </w:r>
      <w:proofErr w:type="spellStart"/>
      <w:r w:rsidRPr="0086139C">
        <w:t>Duclos</w:t>
      </w:r>
      <w:proofErr w:type="spellEnd"/>
      <w:r w:rsidRPr="0086139C">
        <w:t xml:space="preserve">, A., </w:t>
      </w:r>
      <w:proofErr w:type="spellStart"/>
      <w:r w:rsidRPr="0086139C">
        <w:t>Verbecke</w:t>
      </w:r>
      <w:proofErr w:type="spellEnd"/>
      <w:r w:rsidRPr="0086139C">
        <w:t xml:space="preserve">, F., </w:t>
      </w:r>
      <w:proofErr w:type="spellStart"/>
      <w:r w:rsidRPr="0086139C">
        <w:t>Molkov</w:t>
      </w:r>
      <w:proofErr w:type="spellEnd"/>
      <w:r w:rsidRPr="0086139C">
        <w:t xml:space="preserve">, V., 2019, Best practice guidelines in numerical simulations and CFD benchmarking for hydrogen safety applications. Int. J. Hydrogen Energy 44, 9050–9062. </w:t>
      </w:r>
      <w:hyperlink r:id="rId20" w:history="1">
        <w:r w:rsidRPr="0086139C">
          <w:t xml:space="preserve"> DOI: </w:t>
        </w:r>
        <w:r w:rsidRPr="0086139C">
          <w:rPr>
            <w:rStyle w:val="Collegamentoipertestuale"/>
            <w:color w:val="auto"/>
            <w:u w:val="none"/>
          </w:rPr>
          <w:t>10.1016/j.ijhydene.2018.06.005</w:t>
        </w:r>
      </w:hyperlink>
      <w:r w:rsidRPr="0086139C">
        <w:t>.</w:t>
      </w:r>
    </w:p>
    <w:p w14:paraId="07C8F1BA" w14:textId="77777777" w:rsidR="00272196" w:rsidRPr="0086139C" w:rsidRDefault="00272196" w:rsidP="0086139C">
      <w:pPr>
        <w:pStyle w:val="CETReferencetext"/>
      </w:pPr>
      <w:proofErr w:type="spellStart"/>
      <w:r w:rsidRPr="0086139C">
        <w:t>Zuliani</w:t>
      </w:r>
      <w:proofErr w:type="spellEnd"/>
      <w:r w:rsidRPr="0086139C">
        <w:t xml:space="preserve"> C., De </w:t>
      </w:r>
      <w:proofErr w:type="spellStart"/>
      <w:r w:rsidRPr="0086139C">
        <w:t>Lorenzi</w:t>
      </w:r>
      <w:proofErr w:type="spellEnd"/>
      <w:r w:rsidRPr="0086139C">
        <w:t xml:space="preserve"> C., </w:t>
      </w:r>
      <w:proofErr w:type="spellStart"/>
      <w:r w:rsidRPr="0086139C">
        <w:t>Ditali</w:t>
      </w:r>
      <w:proofErr w:type="spellEnd"/>
      <w:r w:rsidRPr="0086139C">
        <w:t xml:space="preserve"> S., 2016, Application of CFD Simulation to Safety Problems – Challenges and Experience Including a Comparative Analysis of Hot Plume Dispersion from a Ground Flare, Chemical Engineering Transactions, 53, 79-84. DOI: 10.3303/CET1653014.</w:t>
      </w:r>
    </w:p>
    <w:sectPr w:rsidR="00272196" w:rsidRPr="0086139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486C7" w14:textId="77777777" w:rsidR="00B96581" w:rsidRDefault="00B96581" w:rsidP="004F5E36">
      <w:r>
        <w:separator/>
      </w:r>
    </w:p>
  </w:endnote>
  <w:endnote w:type="continuationSeparator" w:id="0">
    <w:p w14:paraId="3CC41215" w14:textId="77777777" w:rsidR="00B96581" w:rsidRDefault="00B965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F0D61" w14:textId="77777777" w:rsidR="00B96581" w:rsidRDefault="00B96581" w:rsidP="004F5E36">
      <w:r>
        <w:separator/>
      </w:r>
    </w:p>
  </w:footnote>
  <w:footnote w:type="continuationSeparator" w:id="0">
    <w:p w14:paraId="271DBDB7" w14:textId="77777777" w:rsidR="00B96581" w:rsidRDefault="00B9658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B3550B8"/>
    <w:multiLevelType w:val="hybridMultilevel"/>
    <w:tmpl w:val="F2868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896AF9"/>
    <w:multiLevelType w:val="hybridMultilevel"/>
    <w:tmpl w:val="427CE7D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3BA4543C"/>
    <w:lvl w:ilvl="0" w:tplc="14B0F7A8">
      <w:start w:val="1"/>
      <w:numFmt w:val="bullet"/>
      <w:pStyle w:val="CETnumberingbullets"/>
      <w:lvlText w:val=""/>
      <w:lvlJc w:val="left"/>
      <w:pPr>
        <w:ind w:left="340" w:hanging="227"/>
      </w:pPr>
      <w:rPr>
        <w:rFonts w:ascii="Symbol" w:hAnsi="Symbol" w:hint="default"/>
      </w:rPr>
    </w:lvl>
    <w:lvl w:ilvl="1" w:tplc="01940B6C">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0B7C87"/>
    <w:multiLevelType w:val="hybridMultilevel"/>
    <w:tmpl w:val="41C0B99A"/>
    <w:lvl w:ilvl="0" w:tplc="0410000F">
      <w:start w:val="1"/>
      <w:numFmt w:val="decimal"/>
      <w:lvlText w:val="%1."/>
      <w:lvlJc w:val="left"/>
      <w:pPr>
        <w:ind w:left="720" w:hanging="360"/>
      </w:pPr>
    </w:lvl>
    <w:lvl w:ilvl="1" w:tplc="0410000F">
      <w:start w:val="1"/>
      <w:numFmt w:val="decimal"/>
      <w:lvlText w:val="%2."/>
      <w:lvlJc w:val="left"/>
      <w:pPr>
        <w:ind w:left="36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294F64"/>
    <w:multiLevelType w:val="hybridMultilevel"/>
    <w:tmpl w:val="08EA694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B2406E"/>
    <w:multiLevelType w:val="hybridMultilevel"/>
    <w:tmpl w:val="04B61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3"/>
  </w:num>
  <w:num w:numId="16">
    <w:abstractNumId w:val="22"/>
  </w:num>
  <w:num w:numId="17">
    <w:abstractNumId w:val="13"/>
  </w:num>
  <w:num w:numId="18">
    <w:abstractNumId w:val="14"/>
    <w:lvlOverride w:ilvl="0">
      <w:startOverride w:val="1"/>
    </w:lvlOverride>
  </w:num>
  <w:num w:numId="19">
    <w:abstractNumId w:val="18"/>
  </w:num>
  <w:num w:numId="20">
    <w:abstractNumId w:val="17"/>
  </w:num>
  <w:num w:numId="21">
    <w:abstractNumId w:val="15"/>
  </w:num>
  <w:num w:numId="22">
    <w:abstractNumId w:val="16"/>
  </w:num>
  <w:num w:numId="23">
    <w:abstractNumId w:val="12"/>
  </w:num>
  <w:num w:numId="24">
    <w:abstractNumId w:val="11"/>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93D"/>
    <w:rsid w:val="00017C29"/>
    <w:rsid w:val="0003148D"/>
    <w:rsid w:val="00040F15"/>
    <w:rsid w:val="0004798C"/>
    <w:rsid w:val="00051566"/>
    <w:rsid w:val="00062A9A"/>
    <w:rsid w:val="00065058"/>
    <w:rsid w:val="00067F42"/>
    <w:rsid w:val="000704C9"/>
    <w:rsid w:val="0008098C"/>
    <w:rsid w:val="00085DFA"/>
    <w:rsid w:val="00086C39"/>
    <w:rsid w:val="000A03B2"/>
    <w:rsid w:val="000D0268"/>
    <w:rsid w:val="000D34BE"/>
    <w:rsid w:val="000D3B1E"/>
    <w:rsid w:val="000D7A4A"/>
    <w:rsid w:val="000D7FE7"/>
    <w:rsid w:val="000E102F"/>
    <w:rsid w:val="000E36F1"/>
    <w:rsid w:val="000E3A73"/>
    <w:rsid w:val="000E414A"/>
    <w:rsid w:val="000F093C"/>
    <w:rsid w:val="000F2931"/>
    <w:rsid w:val="000F5D67"/>
    <w:rsid w:val="000F787B"/>
    <w:rsid w:val="001103CD"/>
    <w:rsid w:val="0012091F"/>
    <w:rsid w:val="00122E1F"/>
    <w:rsid w:val="00126BC2"/>
    <w:rsid w:val="001308B6"/>
    <w:rsid w:val="0013121F"/>
    <w:rsid w:val="00131FE6"/>
    <w:rsid w:val="0013263F"/>
    <w:rsid w:val="00134DE4"/>
    <w:rsid w:val="00137D5B"/>
    <w:rsid w:val="0014034D"/>
    <w:rsid w:val="0014059C"/>
    <w:rsid w:val="00150E59"/>
    <w:rsid w:val="00152DE3"/>
    <w:rsid w:val="001609DB"/>
    <w:rsid w:val="00164CF9"/>
    <w:rsid w:val="001667A6"/>
    <w:rsid w:val="00167353"/>
    <w:rsid w:val="00170083"/>
    <w:rsid w:val="00174878"/>
    <w:rsid w:val="00184AD6"/>
    <w:rsid w:val="001A3F46"/>
    <w:rsid w:val="001A4AF7"/>
    <w:rsid w:val="001B0349"/>
    <w:rsid w:val="001B65C1"/>
    <w:rsid w:val="001B6E75"/>
    <w:rsid w:val="001C684B"/>
    <w:rsid w:val="001D53FC"/>
    <w:rsid w:val="001F42A5"/>
    <w:rsid w:val="001F7B9D"/>
    <w:rsid w:val="0021402F"/>
    <w:rsid w:val="002224B4"/>
    <w:rsid w:val="00222ADD"/>
    <w:rsid w:val="0022432B"/>
    <w:rsid w:val="002258E9"/>
    <w:rsid w:val="00227F9D"/>
    <w:rsid w:val="002437B6"/>
    <w:rsid w:val="002447EF"/>
    <w:rsid w:val="00251550"/>
    <w:rsid w:val="00263B05"/>
    <w:rsid w:val="00272196"/>
    <w:rsid w:val="0027221A"/>
    <w:rsid w:val="0027226E"/>
    <w:rsid w:val="00275B61"/>
    <w:rsid w:val="00276CDE"/>
    <w:rsid w:val="00282656"/>
    <w:rsid w:val="002913AE"/>
    <w:rsid w:val="00296B83"/>
    <w:rsid w:val="002A2C9C"/>
    <w:rsid w:val="002A45E3"/>
    <w:rsid w:val="002B0960"/>
    <w:rsid w:val="002B78CE"/>
    <w:rsid w:val="002C2FB6"/>
    <w:rsid w:val="002F3309"/>
    <w:rsid w:val="002F4664"/>
    <w:rsid w:val="003009B7"/>
    <w:rsid w:val="00300E56"/>
    <w:rsid w:val="0030469C"/>
    <w:rsid w:val="00321CA6"/>
    <w:rsid w:val="00334C09"/>
    <w:rsid w:val="00360C6D"/>
    <w:rsid w:val="003723D4"/>
    <w:rsid w:val="00381905"/>
    <w:rsid w:val="00384CC8"/>
    <w:rsid w:val="003871FD"/>
    <w:rsid w:val="00390170"/>
    <w:rsid w:val="003A1E30"/>
    <w:rsid w:val="003A63CD"/>
    <w:rsid w:val="003A7D1C"/>
    <w:rsid w:val="003B304B"/>
    <w:rsid w:val="003B3146"/>
    <w:rsid w:val="003C2811"/>
    <w:rsid w:val="003E7A75"/>
    <w:rsid w:val="003F015E"/>
    <w:rsid w:val="003F274A"/>
    <w:rsid w:val="00400414"/>
    <w:rsid w:val="004069C2"/>
    <w:rsid w:val="004141D1"/>
    <w:rsid w:val="0041446B"/>
    <w:rsid w:val="00434DBB"/>
    <w:rsid w:val="0043732B"/>
    <w:rsid w:val="00441FC1"/>
    <w:rsid w:val="0044329C"/>
    <w:rsid w:val="00455582"/>
    <w:rsid w:val="004577FE"/>
    <w:rsid w:val="004579A8"/>
    <w:rsid w:val="00457B9C"/>
    <w:rsid w:val="00457CF4"/>
    <w:rsid w:val="0046164A"/>
    <w:rsid w:val="004628D2"/>
    <w:rsid w:val="00462DCD"/>
    <w:rsid w:val="004648AD"/>
    <w:rsid w:val="0046507C"/>
    <w:rsid w:val="004703A9"/>
    <w:rsid w:val="004760DE"/>
    <w:rsid w:val="004763D7"/>
    <w:rsid w:val="004870B1"/>
    <w:rsid w:val="004A004E"/>
    <w:rsid w:val="004A24CF"/>
    <w:rsid w:val="004A3694"/>
    <w:rsid w:val="004B7FAF"/>
    <w:rsid w:val="004C2B47"/>
    <w:rsid w:val="004C3D1D"/>
    <w:rsid w:val="004C790B"/>
    <w:rsid w:val="004C7913"/>
    <w:rsid w:val="004D21A7"/>
    <w:rsid w:val="004D4CA0"/>
    <w:rsid w:val="004E4DD6"/>
    <w:rsid w:val="004F5E36"/>
    <w:rsid w:val="0050017F"/>
    <w:rsid w:val="005061E6"/>
    <w:rsid w:val="00507B47"/>
    <w:rsid w:val="00507BEF"/>
    <w:rsid w:val="00507CC9"/>
    <w:rsid w:val="005119A5"/>
    <w:rsid w:val="005278B7"/>
    <w:rsid w:val="00532016"/>
    <w:rsid w:val="005346C8"/>
    <w:rsid w:val="00540F29"/>
    <w:rsid w:val="00542068"/>
    <w:rsid w:val="00543E7D"/>
    <w:rsid w:val="00547A68"/>
    <w:rsid w:val="0055131A"/>
    <w:rsid w:val="005531C9"/>
    <w:rsid w:val="00557A25"/>
    <w:rsid w:val="00570C43"/>
    <w:rsid w:val="005734DD"/>
    <w:rsid w:val="00574705"/>
    <w:rsid w:val="005B2110"/>
    <w:rsid w:val="005B61E6"/>
    <w:rsid w:val="005C77E1"/>
    <w:rsid w:val="005D6A2F"/>
    <w:rsid w:val="005E1A82"/>
    <w:rsid w:val="005E794C"/>
    <w:rsid w:val="005F0A28"/>
    <w:rsid w:val="005F0E5E"/>
    <w:rsid w:val="005F2790"/>
    <w:rsid w:val="00600535"/>
    <w:rsid w:val="00610CD6"/>
    <w:rsid w:val="00620DEE"/>
    <w:rsid w:val="00621F92"/>
    <w:rsid w:val="0062280A"/>
    <w:rsid w:val="00625639"/>
    <w:rsid w:val="00626D22"/>
    <w:rsid w:val="00631B33"/>
    <w:rsid w:val="00634319"/>
    <w:rsid w:val="0064184D"/>
    <w:rsid w:val="006422CC"/>
    <w:rsid w:val="006568E4"/>
    <w:rsid w:val="00660E3E"/>
    <w:rsid w:val="00662E74"/>
    <w:rsid w:val="00663E1C"/>
    <w:rsid w:val="00680C23"/>
    <w:rsid w:val="00693766"/>
    <w:rsid w:val="006A3281"/>
    <w:rsid w:val="006B2F32"/>
    <w:rsid w:val="006B4888"/>
    <w:rsid w:val="006C2E45"/>
    <w:rsid w:val="006C359C"/>
    <w:rsid w:val="006C5579"/>
    <w:rsid w:val="006E152B"/>
    <w:rsid w:val="006E2EAB"/>
    <w:rsid w:val="006E737D"/>
    <w:rsid w:val="006F69BB"/>
    <w:rsid w:val="00701A9A"/>
    <w:rsid w:val="00720A24"/>
    <w:rsid w:val="00732386"/>
    <w:rsid w:val="0073514D"/>
    <w:rsid w:val="0073534E"/>
    <w:rsid w:val="007447F3"/>
    <w:rsid w:val="0075499F"/>
    <w:rsid w:val="007661C8"/>
    <w:rsid w:val="0077098D"/>
    <w:rsid w:val="007810C3"/>
    <w:rsid w:val="007931FA"/>
    <w:rsid w:val="007A473C"/>
    <w:rsid w:val="007A4861"/>
    <w:rsid w:val="007A7BBA"/>
    <w:rsid w:val="007B0C50"/>
    <w:rsid w:val="007C1A43"/>
    <w:rsid w:val="0080013E"/>
    <w:rsid w:val="00813288"/>
    <w:rsid w:val="00815691"/>
    <w:rsid w:val="008168FC"/>
    <w:rsid w:val="008210FA"/>
    <w:rsid w:val="00830996"/>
    <w:rsid w:val="008345F1"/>
    <w:rsid w:val="0086139C"/>
    <w:rsid w:val="00865B07"/>
    <w:rsid w:val="008667EA"/>
    <w:rsid w:val="0087637F"/>
    <w:rsid w:val="00884050"/>
    <w:rsid w:val="00892AD5"/>
    <w:rsid w:val="0089735C"/>
    <w:rsid w:val="008A1512"/>
    <w:rsid w:val="008A7557"/>
    <w:rsid w:val="008B32D8"/>
    <w:rsid w:val="008C0F3D"/>
    <w:rsid w:val="008C5C03"/>
    <w:rsid w:val="008D32B9"/>
    <w:rsid w:val="008D433B"/>
    <w:rsid w:val="008E566E"/>
    <w:rsid w:val="0090161A"/>
    <w:rsid w:val="00901EB6"/>
    <w:rsid w:val="00904C62"/>
    <w:rsid w:val="00913AA5"/>
    <w:rsid w:val="00922BA8"/>
    <w:rsid w:val="00924DAC"/>
    <w:rsid w:val="00927058"/>
    <w:rsid w:val="00941AC8"/>
    <w:rsid w:val="00942750"/>
    <w:rsid w:val="009450CE"/>
    <w:rsid w:val="00947179"/>
    <w:rsid w:val="0095164B"/>
    <w:rsid w:val="00951FD9"/>
    <w:rsid w:val="00954090"/>
    <w:rsid w:val="00955119"/>
    <w:rsid w:val="009573E7"/>
    <w:rsid w:val="0096283C"/>
    <w:rsid w:val="00963E05"/>
    <w:rsid w:val="00963E90"/>
    <w:rsid w:val="00965BAA"/>
    <w:rsid w:val="00967D54"/>
    <w:rsid w:val="00971028"/>
    <w:rsid w:val="00976115"/>
    <w:rsid w:val="00976C92"/>
    <w:rsid w:val="00996483"/>
    <w:rsid w:val="00996E9E"/>
    <w:rsid w:val="00996F5A"/>
    <w:rsid w:val="009B041A"/>
    <w:rsid w:val="009C37C3"/>
    <w:rsid w:val="009C7C86"/>
    <w:rsid w:val="009D24F0"/>
    <w:rsid w:val="009D2FF7"/>
    <w:rsid w:val="009E516D"/>
    <w:rsid w:val="009E7884"/>
    <w:rsid w:val="009E788A"/>
    <w:rsid w:val="009E7908"/>
    <w:rsid w:val="009F0E08"/>
    <w:rsid w:val="009F2560"/>
    <w:rsid w:val="009F749A"/>
    <w:rsid w:val="00A0048D"/>
    <w:rsid w:val="00A1273C"/>
    <w:rsid w:val="00A1763D"/>
    <w:rsid w:val="00A17CEC"/>
    <w:rsid w:val="00A27EF0"/>
    <w:rsid w:val="00A4131A"/>
    <w:rsid w:val="00A50B20"/>
    <w:rsid w:val="00A51390"/>
    <w:rsid w:val="00A60D13"/>
    <w:rsid w:val="00A634E0"/>
    <w:rsid w:val="00A65B0B"/>
    <w:rsid w:val="00A72745"/>
    <w:rsid w:val="00A76EFC"/>
    <w:rsid w:val="00A77A62"/>
    <w:rsid w:val="00A91010"/>
    <w:rsid w:val="00A92283"/>
    <w:rsid w:val="00A97F29"/>
    <w:rsid w:val="00AA702E"/>
    <w:rsid w:val="00AB0964"/>
    <w:rsid w:val="00AB5011"/>
    <w:rsid w:val="00AC7368"/>
    <w:rsid w:val="00AD16B9"/>
    <w:rsid w:val="00AD30D2"/>
    <w:rsid w:val="00AE377D"/>
    <w:rsid w:val="00B02C8A"/>
    <w:rsid w:val="00B17FBD"/>
    <w:rsid w:val="00B315A6"/>
    <w:rsid w:val="00B31813"/>
    <w:rsid w:val="00B33365"/>
    <w:rsid w:val="00B337E7"/>
    <w:rsid w:val="00B349E6"/>
    <w:rsid w:val="00B50D27"/>
    <w:rsid w:val="00B51263"/>
    <w:rsid w:val="00B57B36"/>
    <w:rsid w:val="00B67314"/>
    <w:rsid w:val="00B7667F"/>
    <w:rsid w:val="00B766E9"/>
    <w:rsid w:val="00B81AAF"/>
    <w:rsid w:val="00B85063"/>
    <w:rsid w:val="00B8686D"/>
    <w:rsid w:val="00B878AA"/>
    <w:rsid w:val="00B90175"/>
    <w:rsid w:val="00B96581"/>
    <w:rsid w:val="00BB1DDC"/>
    <w:rsid w:val="00BC30C9"/>
    <w:rsid w:val="00BD324B"/>
    <w:rsid w:val="00BD4D89"/>
    <w:rsid w:val="00BD74B3"/>
    <w:rsid w:val="00BE13B3"/>
    <w:rsid w:val="00BE2184"/>
    <w:rsid w:val="00BE3E58"/>
    <w:rsid w:val="00C01616"/>
    <w:rsid w:val="00C0162B"/>
    <w:rsid w:val="00C068AC"/>
    <w:rsid w:val="00C068ED"/>
    <w:rsid w:val="00C075C2"/>
    <w:rsid w:val="00C15012"/>
    <w:rsid w:val="00C20FA7"/>
    <w:rsid w:val="00C230DE"/>
    <w:rsid w:val="00C345B1"/>
    <w:rsid w:val="00C40142"/>
    <w:rsid w:val="00C40DBE"/>
    <w:rsid w:val="00C464FA"/>
    <w:rsid w:val="00C50B31"/>
    <w:rsid w:val="00C57182"/>
    <w:rsid w:val="00C57863"/>
    <w:rsid w:val="00C644DC"/>
    <w:rsid w:val="00C64F3B"/>
    <w:rsid w:val="00C655FD"/>
    <w:rsid w:val="00C707EC"/>
    <w:rsid w:val="00C75407"/>
    <w:rsid w:val="00C870A8"/>
    <w:rsid w:val="00C94434"/>
    <w:rsid w:val="00CA0D75"/>
    <w:rsid w:val="00CA1C95"/>
    <w:rsid w:val="00CA5A9C"/>
    <w:rsid w:val="00CA7B6A"/>
    <w:rsid w:val="00CB1B35"/>
    <w:rsid w:val="00CB59D1"/>
    <w:rsid w:val="00CC4C20"/>
    <w:rsid w:val="00CD2665"/>
    <w:rsid w:val="00CD3517"/>
    <w:rsid w:val="00CD5847"/>
    <w:rsid w:val="00CD5FE2"/>
    <w:rsid w:val="00CE7C68"/>
    <w:rsid w:val="00D02B4C"/>
    <w:rsid w:val="00D040C4"/>
    <w:rsid w:val="00D04CFF"/>
    <w:rsid w:val="00D24B9A"/>
    <w:rsid w:val="00D26F06"/>
    <w:rsid w:val="00D341E0"/>
    <w:rsid w:val="00D57C84"/>
    <w:rsid w:val="00D6057D"/>
    <w:rsid w:val="00D628BF"/>
    <w:rsid w:val="00D836C5"/>
    <w:rsid w:val="00D84576"/>
    <w:rsid w:val="00D8790E"/>
    <w:rsid w:val="00D930DD"/>
    <w:rsid w:val="00D935F4"/>
    <w:rsid w:val="00DA1399"/>
    <w:rsid w:val="00DA24C6"/>
    <w:rsid w:val="00DA4D7B"/>
    <w:rsid w:val="00DB035A"/>
    <w:rsid w:val="00DE264A"/>
    <w:rsid w:val="00DF1E36"/>
    <w:rsid w:val="00DF3566"/>
    <w:rsid w:val="00DF5072"/>
    <w:rsid w:val="00E02D18"/>
    <w:rsid w:val="00E041E7"/>
    <w:rsid w:val="00E06519"/>
    <w:rsid w:val="00E23CA1"/>
    <w:rsid w:val="00E406B0"/>
    <w:rsid w:val="00E409A8"/>
    <w:rsid w:val="00E42F75"/>
    <w:rsid w:val="00E50C12"/>
    <w:rsid w:val="00E60E47"/>
    <w:rsid w:val="00E64DA5"/>
    <w:rsid w:val="00E65B91"/>
    <w:rsid w:val="00E7209D"/>
    <w:rsid w:val="00E77223"/>
    <w:rsid w:val="00E8528B"/>
    <w:rsid w:val="00E85B94"/>
    <w:rsid w:val="00E978D0"/>
    <w:rsid w:val="00EA4613"/>
    <w:rsid w:val="00EA7F91"/>
    <w:rsid w:val="00EB1523"/>
    <w:rsid w:val="00EB4419"/>
    <w:rsid w:val="00EC0E49"/>
    <w:rsid w:val="00EC101F"/>
    <w:rsid w:val="00EC5976"/>
    <w:rsid w:val="00EC715E"/>
    <w:rsid w:val="00ED4EB8"/>
    <w:rsid w:val="00EE0131"/>
    <w:rsid w:val="00EE17B0"/>
    <w:rsid w:val="00EE554E"/>
    <w:rsid w:val="00EF0526"/>
    <w:rsid w:val="00EF06D9"/>
    <w:rsid w:val="00F05FF1"/>
    <w:rsid w:val="00F2309C"/>
    <w:rsid w:val="00F2570F"/>
    <w:rsid w:val="00F30C64"/>
    <w:rsid w:val="00F32CDB"/>
    <w:rsid w:val="00F44DC5"/>
    <w:rsid w:val="00F52294"/>
    <w:rsid w:val="00F602D3"/>
    <w:rsid w:val="00F63A70"/>
    <w:rsid w:val="00F874D2"/>
    <w:rsid w:val="00FA11F8"/>
    <w:rsid w:val="00FA21D0"/>
    <w:rsid w:val="00FA26E4"/>
    <w:rsid w:val="00FA5F5F"/>
    <w:rsid w:val="00FA7689"/>
    <w:rsid w:val="00FB2FF0"/>
    <w:rsid w:val="00FB730C"/>
    <w:rsid w:val="00FC2695"/>
    <w:rsid w:val="00FC3E03"/>
    <w:rsid w:val="00FC3FC1"/>
    <w:rsid w:val="00FD39FD"/>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2B6FD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701A9A"/>
    <w:pPr>
      <w:ind w:left="720"/>
      <w:contextualSpacing/>
    </w:pPr>
  </w:style>
  <w:style w:type="character" w:customStyle="1" w:styleId="Menzionenonrisolta1">
    <w:name w:val="Menzione non risolta1"/>
    <w:basedOn w:val="Carpredefinitoparagrafo"/>
    <w:uiPriority w:val="99"/>
    <w:semiHidden/>
    <w:unhideWhenUsed/>
    <w:rsid w:val="0022432B"/>
    <w:rPr>
      <w:color w:val="605E5C"/>
      <w:shd w:val="clear" w:color="auto" w:fill="E1DFDD"/>
    </w:rPr>
  </w:style>
  <w:style w:type="character" w:styleId="Collegamentovisitato">
    <w:name w:val="FollowedHyperlink"/>
    <w:basedOn w:val="Carpredefinitoparagrafo"/>
    <w:uiPriority w:val="99"/>
    <w:semiHidden/>
    <w:unhideWhenUsed/>
    <w:rsid w:val="002243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701A9A"/>
    <w:pPr>
      <w:ind w:left="720"/>
      <w:contextualSpacing/>
    </w:pPr>
  </w:style>
  <w:style w:type="character" w:customStyle="1" w:styleId="Menzionenonrisolta1">
    <w:name w:val="Menzione non risolta1"/>
    <w:basedOn w:val="Carpredefinitoparagrafo"/>
    <w:uiPriority w:val="99"/>
    <w:semiHidden/>
    <w:unhideWhenUsed/>
    <w:rsid w:val="0022432B"/>
    <w:rPr>
      <w:color w:val="605E5C"/>
      <w:shd w:val="clear" w:color="auto" w:fill="E1DFDD"/>
    </w:rPr>
  </w:style>
  <w:style w:type="character" w:styleId="Collegamentovisitato">
    <w:name w:val="FollowedHyperlink"/>
    <w:basedOn w:val="Carpredefinitoparagrafo"/>
    <w:uiPriority w:val="99"/>
    <w:semiHidden/>
    <w:unhideWhenUsed/>
    <w:rsid w:val="00224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394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oi.org/10.1177/16878140187552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i.org/10.1016/j.paerosci.2015.06.006" TargetMode="External"/><Relationship Id="rId2" Type="http://schemas.openxmlformats.org/officeDocument/2006/relationships/numbering" Target="numbering.xml"/><Relationship Id="rId16" Type="http://schemas.openxmlformats.org/officeDocument/2006/relationships/hyperlink" Target="https://doi.org/10.3303/CET1977136" TargetMode="External"/><Relationship Id="rId20" Type="http://schemas.openxmlformats.org/officeDocument/2006/relationships/hyperlink" Target="https://doi.org/10.1016/j.ijhydene.2018.06.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3303/CET1226003" TargetMode="External"/><Relationship Id="rId10" Type="http://schemas.openxmlformats.org/officeDocument/2006/relationships/image" Target="media/image2.jpeg"/><Relationship Id="rId19" Type="http://schemas.openxmlformats.org/officeDocument/2006/relationships/hyperlink" Target="https://doi.org/10.1007/s00348-010-0885-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73E9-6BDE-4FBD-AC8F-57EDD985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6</Pages>
  <Words>2951</Words>
  <Characters>17151</Characters>
  <Application>Microsoft Office Word</Application>
  <DocSecurity>0</DocSecurity>
  <Lines>272</Lines>
  <Paragraphs>114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23</cp:revision>
  <cp:lastPrinted>2015-05-12T18:31:00Z</cp:lastPrinted>
  <dcterms:created xsi:type="dcterms:W3CDTF">2020-04-14T20:16:00Z</dcterms:created>
  <dcterms:modified xsi:type="dcterms:W3CDTF">2020-08-31T13:45:00Z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