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04132" w14:paraId="52201916" w14:textId="77777777" w:rsidTr="00004132">
        <w:trPr>
          <w:trHeight w:val="852"/>
          <w:jc w:val="center"/>
        </w:trPr>
        <w:tc>
          <w:tcPr>
            <w:tcW w:w="6946" w:type="dxa"/>
            <w:vMerge w:val="restart"/>
            <w:tcBorders>
              <w:top w:val="nil"/>
              <w:left w:val="nil"/>
              <w:bottom w:val="nil"/>
              <w:right w:val="single" w:sz="4" w:space="0" w:color="auto"/>
            </w:tcBorders>
            <w:hideMark/>
          </w:tcPr>
          <w:p w14:paraId="412A3604" w14:textId="43C36DB1" w:rsidR="00004132" w:rsidRDefault="00004132">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34D85445" wp14:editId="5839FD9E">
                  <wp:extent cx="638175" cy="371475"/>
                  <wp:effectExtent l="0" t="0" r="9525" b="9525"/>
                  <wp:docPr id="3" name="Immagine 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0B671CC2" w14:textId="77777777" w:rsidR="00004132" w:rsidRDefault="00004132">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0DC70822" w14:textId="77777777" w:rsidR="00004132" w:rsidRDefault="00004132">
            <w:pPr>
              <w:spacing w:line="140" w:lineRule="atLeast"/>
              <w:jc w:val="right"/>
              <w:rPr>
                <w:rFonts w:cs="Arial"/>
                <w:sz w:val="14"/>
                <w:szCs w:val="14"/>
              </w:rPr>
            </w:pPr>
            <w:r>
              <w:rPr>
                <w:rFonts w:cs="Arial"/>
                <w:sz w:val="14"/>
                <w:szCs w:val="14"/>
              </w:rPr>
              <w:t>A publication of</w:t>
            </w:r>
          </w:p>
          <w:p w14:paraId="278FC909" w14:textId="0015BE5F" w:rsidR="00004132" w:rsidRDefault="00004132">
            <w:pPr>
              <w:jc w:val="right"/>
            </w:pPr>
            <w:r>
              <w:rPr>
                <w:noProof/>
                <w:lang w:val="it-IT" w:eastAsia="it-IT"/>
              </w:rPr>
              <w:drawing>
                <wp:inline distT="0" distB="0" distL="0" distR="0" wp14:anchorId="6A25A4A5" wp14:editId="760A3164">
                  <wp:extent cx="666750" cy="361950"/>
                  <wp:effectExtent l="0" t="0" r="0" b="0"/>
                  <wp:docPr id="2"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004132" w14:paraId="380C43A9" w14:textId="77777777" w:rsidTr="00004132">
        <w:trPr>
          <w:trHeight w:val="567"/>
          <w:jc w:val="center"/>
        </w:trPr>
        <w:tc>
          <w:tcPr>
            <w:tcW w:w="0" w:type="auto"/>
            <w:vMerge/>
            <w:tcBorders>
              <w:top w:val="nil"/>
              <w:left w:val="nil"/>
              <w:bottom w:val="nil"/>
              <w:right w:val="single" w:sz="4" w:space="0" w:color="auto"/>
            </w:tcBorders>
            <w:vAlign w:val="center"/>
            <w:hideMark/>
          </w:tcPr>
          <w:p w14:paraId="346F5163" w14:textId="77777777" w:rsidR="00004132" w:rsidRDefault="00004132">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2D920820" w14:textId="77777777" w:rsidR="00004132" w:rsidRDefault="00004132">
            <w:pPr>
              <w:spacing w:line="140" w:lineRule="atLeast"/>
              <w:jc w:val="right"/>
              <w:rPr>
                <w:rFonts w:cs="Arial"/>
                <w:sz w:val="14"/>
                <w:szCs w:val="14"/>
              </w:rPr>
            </w:pPr>
            <w:r>
              <w:rPr>
                <w:rFonts w:cs="Arial"/>
                <w:sz w:val="14"/>
                <w:szCs w:val="14"/>
              </w:rPr>
              <w:t>The Italian Association</w:t>
            </w:r>
          </w:p>
          <w:p w14:paraId="564E8033" w14:textId="77777777" w:rsidR="00004132" w:rsidRDefault="00004132">
            <w:pPr>
              <w:spacing w:line="140" w:lineRule="atLeast"/>
              <w:jc w:val="right"/>
              <w:rPr>
                <w:rFonts w:cs="Arial"/>
                <w:sz w:val="14"/>
                <w:szCs w:val="14"/>
              </w:rPr>
            </w:pPr>
            <w:r>
              <w:rPr>
                <w:rFonts w:cs="Arial"/>
                <w:sz w:val="14"/>
                <w:szCs w:val="14"/>
              </w:rPr>
              <w:t>of Chemical Engineering</w:t>
            </w:r>
          </w:p>
          <w:p w14:paraId="1C9916CC" w14:textId="77777777" w:rsidR="00004132" w:rsidRDefault="00004132">
            <w:pPr>
              <w:spacing w:line="140" w:lineRule="atLeast"/>
              <w:jc w:val="right"/>
              <w:rPr>
                <w:rFonts w:cs="Arial"/>
                <w:sz w:val="13"/>
                <w:szCs w:val="13"/>
              </w:rPr>
            </w:pPr>
            <w:r>
              <w:rPr>
                <w:rFonts w:cs="Arial"/>
                <w:sz w:val="13"/>
                <w:szCs w:val="13"/>
              </w:rPr>
              <w:t>Online at www.cetjournal.it</w:t>
            </w:r>
          </w:p>
        </w:tc>
      </w:tr>
      <w:tr w:rsidR="00004132" w14:paraId="43260DBC" w14:textId="77777777" w:rsidTr="00004132">
        <w:trPr>
          <w:trHeight w:val="68"/>
          <w:jc w:val="center"/>
        </w:trPr>
        <w:tc>
          <w:tcPr>
            <w:tcW w:w="8789" w:type="dxa"/>
            <w:gridSpan w:val="2"/>
            <w:tcBorders>
              <w:top w:val="nil"/>
              <w:left w:val="nil"/>
              <w:bottom w:val="single" w:sz="4" w:space="0" w:color="auto"/>
              <w:right w:val="nil"/>
            </w:tcBorders>
            <w:hideMark/>
          </w:tcPr>
          <w:p w14:paraId="498C8309" w14:textId="77777777" w:rsidR="00004132" w:rsidRDefault="00004132">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2E8BC58A" w14:textId="77777777" w:rsidR="00004132" w:rsidRDefault="00004132">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0A03B2">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7691F763" w:rsidR="00E978D0" w:rsidRPr="00D7284E" w:rsidRDefault="00493CC2" w:rsidP="00D7284E">
      <w:pPr>
        <w:pStyle w:val="CETTitle"/>
      </w:pPr>
      <w:r w:rsidRPr="00D7284E">
        <w:lastRenderedPageBreak/>
        <w:t xml:space="preserve">Multifactor Geochemical </w:t>
      </w:r>
      <w:proofErr w:type="spellStart"/>
      <w:r w:rsidRPr="00D7284E">
        <w:t>Modeling</w:t>
      </w:r>
      <w:proofErr w:type="spellEnd"/>
      <w:r w:rsidRPr="00D7284E">
        <w:t xml:space="preserve"> Of Biodegradable Subsurface Hydrocarbon Contamination</w:t>
      </w:r>
    </w:p>
    <w:p w14:paraId="2B3CA35C" w14:textId="6F0694BB" w:rsidR="00E978D0" w:rsidRPr="00B57B36" w:rsidRDefault="00D63B87" w:rsidP="00AB5011">
      <w:pPr>
        <w:pStyle w:val="CETAuthors"/>
      </w:pPr>
      <w:r>
        <w:t xml:space="preserve">Valery P. </w:t>
      </w:r>
      <w:r w:rsidRPr="00D63B87">
        <w:t>Meshalkin</w:t>
      </w:r>
      <w:r w:rsidRPr="00D63B87">
        <w:rPr>
          <w:vertAlign w:val="superscript"/>
        </w:rPr>
        <w:t>a</w:t>
      </w:r>
      <w:r w:rsidR="00600535" w:rsidRPr="00B57B36">
        <w:t xml:space="preserve">, </w:t>
      </w:r>
      <w:r>
        <w:t>Sergey</w:t>
      </w:r>
      <w:r w:rsidR="00600535" w:rsidRPr="00B57B36">
        <w:t xml:space="preserve"> </w:t>
      </w:r>
      <w:r>
        <w:t>V</w:t>
      </w:r>
      <w:r w:rsidR="00600535" w:rsidRPr="00B57B36">
        <w:t xml:space="preserve">. </w:t>
      </w:r>
      <w:r>
        <w:t>Ostakh</w:t>
      </w:r>
      <w:r w:rsidR="00600535" w:rsidRPr="00B57B36">
        <w:rPr>
          <w:vertAlign w:val="superscript"/>
        </w:rPr>
        <w:t>b</w:t>
      </w:r>
      <w:r w:rsidR="00600535" w:rsidRPr="00B57B36">
        <w:t xml:space="preserve">, </w:t>
      </w:r>
      <w:r>
        <w:t>Violetta</w:t>
      </w:r>
      <w:r w:rsidRPr="00B57B36">
        <w:t xml:space="preserve"> </w:t>
      </w:r>
      <w:r>
        <w:t>S</w:t>
      </w:r>
      <w:r w:rsidRPr="00B57B36">
        <w:t xml:space="preserve">. </w:t>
      </w:r>
      <w:r>
        <w:t>Kusheeva</w:t>
      </w:r>
      <w:r w:rsidRPr="00B57B36">
        <w:rPr>
          <w:vertAlign w:val="superscript"/>
        </w:rPr>
        <w:t>b</w:t>
      </w:r>
      <w:r w:rsidRPr="00B57B36">
        <w:t>*</w:t>
      </w:r>
    </w:p>
    <w:p w14:paraId="5053C5A8" w14:textId="23139BC8" w:rsidR="00E978D0" w:rsidRPr="00B57B36" w:rsidRDefault="00E978D0" w:rsidP="00D948D0">
      <w:pPr>
        <w:pStyle w:val="CETAddress"/>
      </w:pPr>
      <w:r w:rsidRPr="00B57B36">
        <w:rPr>
          <w:vertAlign w:val="superscript"/>
        </w:rPr>
        <w:t>a</w:t>
      </w:r>
      <w:r w:rsidR="00D63B87" w:rsidRPr="00D63B87">
        <w:t xml:space="preserve">D.Mendeleev University of Chemical Technology of Russia, 125047, </w:t>
      </w:r>
      <w:r w:rsidR="00D63B87">
        <w:t>Russian Federation,</w:t>
      </w:r>
      <w:r w:rsidR="00D63B87" w:rsidRPr="00D63B87">
        <w:t xml:space="preserve"> Moscow, Miusskaya Square, 9</w:t>
      </w:r>
    </w:p>
    <w:p w14:paraId="38D29194" w14:textId="65059AE1" w:rsidR="00E978D0" w:rsidRPr="00B57B36" w:rsidRDefault="00E978D0" w:rsidP="00D948D0">
      <w:pPr>
        <w:pStyle w:val="CETAddress"/>
      </w:pPr>
      <w:r w:rsidRPr="00B57B36">
        <w:rPr>
          <w:vertAlign w:val="superscript"/>
        </w:rPr>
        <w:t>b</w:t>
      </w:r>
      <w:r w:rsidR="00D63B87" w:rsidRPr="00D63B87">
        <w:t>National University of Oil and Gas «Gubkin University»</w:t>
      </w:r>
      <w:r w:rsidRPr="00B57B36">
        <w:t xml:space="preserve">, </w:t>
      </w:r>
      <w:r w:rsidR="00D63B87" w:rsidRPr="00D63B87">
        <w:t xml:space="preserve">119991, </w:t>
      </w:r>
      <w:r w:rsidR="00D63B87">
        <w:t xml:space="preserve">Russian Federation, </w:t>
      </w:r>
      <w:r w:rsidR="00D63B87" w:rsidRPr="00D63B87">
        <w:t>Moscow, Leninsky Prospekt, 65</w:t>
      </w:r>
    </w:p>
    <w:p w14:paraId="0127A28D" w14:textId="4DD012D8" w:rsidR="00E978D0" w:rsidRPr="00B57B36" w:rsidRDefault="00D63B87" w:rsidP="00E978D0">
      <w:pPr>
        <w:pStyle w:val="CETemail"/>
      </w:pPr>
      <w:r>
        <w:t>v_kusheeva</w:t>
      </w:r>
      <w:r w:rsidR="00600535" w:rsidRPr="00B57B36">
        <w:t>@</w:t>
      </w:r>
      <w:r>
        <w:t>mail.ru</w:t>
      </w:r>
    </w:p>
    <w:p w14:paraId="6BA423DF" w14:textId="77777777" w:rsidR="00193E13" w:rsidRPr="00193E13" w:rsidRDefault="00193E13" w:rsidP="00193E13">
      <w:pPr>
        <w:pStyle w:val="CETBodytext"/>
      </w:pPr>
      <w:bookmarkStart w:id="1" w:name="_Hlk495475023"/>
      <w:r w:rsidRPr="00193E13">
        <w:t>Accidents at oil pipelines, leaks from underground or buried tanks and pipelines, unloading and loading operations on oil loading racks, and other dumping loads are the most dangerous sources of subsurface hydrocarbon pollution. Vertical infiltration of oil and oil products leads to the formation of technogenic deposits and abnormal geochemical zones.</w:t>
      </w:r>
    </w:p>
    <w:p w14:paraId="130105D2" w14:textId="77777777" w:rsidR="00193E13" w:rsidRPr="00193E13" w:rsidRDefault="00193E13" w:rsidP="00193E13">
      <w:pPr>
        <w:pStyle w:val="CETBodytext"/>
      </w:pPr>
      <w:r w:rsidRPr="00193E13">
        <w:t>The various microbiological conditions of contaminated soils and lands determine the direction of multi-stage reactions of hydrocarbon transformation and complicate the process of identifying the corresponding geochemical anomalies and the source of its formation.</w:t>
      </w:r>
    </w:p>
    <w:p w14:paraId="2948FAAB" w14:textId="77777777" w:rsidR="00193E13" w:rsidRPr="00193E13" w:rsidRDefault="00193E13" w:rsidP="00193E13">
      <w:pPr>
        <w:pStyle w:val="CETBodytext"/>
      </w:pPr>
      <w:r w:rsidRPr="00193E13">
        <w:t>The aim of this work is to use geochemical modeling approaches to identify and eliminate subsurface oil pollution based on a single automated network of observation and injection wells with forced circulation of suspended mixture of microorganisms.</w:t>
      </w:r>
    </w:p>
    <w:p w14:paraId="6FC5407E" w14:textId="443065AF" w:rsidR="00193E13" w:rsidRPr="00193E13" w:rsidRDefault="00193E13" w:rsidP="00193E13">
      <w:pPr>
        <w:pStyle w:val="CETBodytext"/>
      </w:pPr>
      <w:r w:rsidRPr="00193E13">
        <w:t>The total soil microbiological activity, characterized by a gradient in the zone of hydrocarbon contamination distribution and described by the Mono</w:t>
      </w:r>
      <w:r w:rsidR="004248A4">
        <w:t>d</w:t>
      </w:r>
      <w:r w:rsidRPr="00193E13">
        <w:t xml:space="preserve"> equation, was chosen as a quantitative bioindicator for assessment the degree of contamination. In this case, the data of the model experiment on the biological treatment of the hydrocarbon contamination zone were used to correct the proposed dependencies.</w:t>
      </w:r>
    </w:p>
    <w:p w14:paraId="534685D3" w14:textId="2FC19DA1" w:rsidR="00193E13" w:rsidRPr="00193E13" w:rsidRDefault="00193E13" w:rsidP="00193E13">
      <w:pPr>
        <w:pStyle w:val="CETBodytext"/>
      </w:pPr>
      <w:r w:rsidRPr="00193E13">
        <w:t xml:space="preserve">Activated oil destructing microorganisms contribute to the decomposition of hydrocarbon pollution as part of suspended mixture, therefore, their quantity will correlate with the concentration of the pollutant in the medium and can be used for its approximate estimation. </w:t>
      </w:r>
    </w:p>
    <w:p w14:paraId="04B319EE" w14:textId="5388D854" w:rsidR="00600535" w:rsidRPr="00193E13" w:rsidRDefault="00193E13" w:rsidP="00193E13">
      <w:pPr>
        <w:pStyle w:val="CETBodytext"/>
      </w:pPr>
      <w:r w:rsidRPr="00193E13">
        <w:t>The results of multifactor geochemical modeling using the data of a full-scale experiment allow not only to develop a comprehensive knowledge system about the nature of the subsurface hydrocarbon pollution distribution, but also to adapt the measures for identifying and eliminating this pollution having regard to the areas with the greatest degree of disturbance.</w:t>
      </w:r>
    </w:p>
    <w:bookmarkEnd w:id="1"/>
    <w:p w14:paraId="476B2F2E" w14:textId="580BBE83" w:rsidR="00600535" w:rsidRDefault="00600535" w:rsidP="00600535">
      <w:pPr>
        <w:pStyle w:val="CETHeading1"/>
        <w:rPr>
          <w:lang w:val="en-GB"/>
        </w:rPr>
      </w:pPr>
      <w:r w:rsidRPr="00B57B36">
        <w:rPr>
          <w:lang w:val="en-GB"/>
        </w:rPr>
        <w:t>Introduction</w:t>
      </w:r>
    </w:p>
    <w:p w14:paraId="7D10F475" w14:textId="1369B1DF" w:rsidR="009457AB" w:rsidRPr="009457AB" w:rsidRDefault="009457AB" w:rsidP="002D1A70">
      <w:pPr>
        <w:pStyle w:val="CETBodytext"/>
        <w:rPr>
          <w:lang w:val="en-GB"/>
        </w:rPr>
      </w:pPr>
      <w:r w:rsidRPr="009457AB">
        <w:rPr>
          <w:lang w:val="en-GB"/>
        </w:rPr>
        <w:t xml:space="preserve">At present, the poorly studied processes of migration and transformation of hydrocarbon pollution in the geological environment not only </w:t>
      </w:r>
      <w:r>
        <w:rPr>
          <w:lang w:val="en-GB"/>
        </w:rPr>
        <w:t>endanger</w:t>
      </w:r>
      <w:r w:rsidRPr="009457AB">
        <w:rPr>
          <w:lang w:val="en-GB"/>
        </w:rPr>
        <w:t xml:space="preserve"> the ecological balance of natural objects, but also offset any beneficial effect of environmental protection measures, </w:t>
      </w:r>
      <w:r>
        <w:rPr>
          <w:lang w:val="en-GB"/>
        </w:rPr>
        <w:t xml:space="preserve">that are </w:t>
      </w:r>
      <w:r w:rsidRPr="009457AB">
        <w:rPr>
          <w:lang w:val="en-GB"/>
        </w:rPr>
        <w:t>often of an undirected</w:t>
      </w:r>
      <w:r>
        <w:rPr>
          <w:lang w:val="en-GB"/>
        </w:rPr>
        <w:t xml:space="preserve"> and</w:t>
      </w:r>
      <w:r w:rsidRPr="009457AB">
        <w:rPr>
          <w:lang w:val="en-GB"/>
        </w:rPr>
        <w:t xml:space="preserve"> </w:t>
      </w:r>
      <w:r>
        <w:rPr>
          <w:lang w:val="en-GB"/>
        </w:rPr>
        <w:t>nominal</w:t>
      </w:r>
      <w:r w:rsidRPr="009457AB">
        <w:rPr>
          <w:lang w:val="en-GB"/>
        </w:rPr>
        <w:t xml:space="preserve"> nature</w:t>
      </w:r>
      <w:r w:rsidR="00B047FC">
        <w:rPr>
          <w:lang w:val="en-GB"/>
        </w:rPr>
        <w:t xml:space="preserve"> (</w:t>
      </w:r>
      <w:proofErr w:type="spellStart"/>
      <w:r w:rsidR="00B047FC" w:rsidRPr="00B047FC">
        <w:rPr>
          <w:lang w:val="en-GB"/>
        </w:rPr>
        <w:t>Petangeli</w:t>
      </w:r>
      <w:proofErr w:type="spellEnd"/>
      <w:r w:rsidR="00B047FC" w:rsidRPr="00B047FC">
        <w:rPr>
          <w:lang w:val="en-GB"/>
        </w:rPr>
        <w:t xml:space="preserve"> </w:t>
      </w:r>
      <w:proofErr w:type="spellStart"/>
      <w:r w:rsidR="00B047FC" w:rsidRPr="00B047FC">
        <w:rPr>
          <w:lang w:val="en-GB"/>
        </w:rPr>
        <w:t>Papini</w:t>
      </w:r>
      <w:proofErr w:type="spellEnd"/>
      <w:r w:rsidR="00B047FC" w:rsidRPr="00B047FC">
        <w:rPr>
          <w:lang w:val="en-GB"/>
        </w:rPr>
        <w:t xml:space="preserve">, </w:t>
      </w:r>
      <w:proofErr w:type="spellStart"/>
      <w:r w:rsidR="00B047FC" w:rsidRPr="00B047FC">
        <w:rPr>
          <w:lang w:val="en-GB"/>
        </w:rPr>
        <w:t>Ostakh</w:t>
      </w:r>
      <w:proofErr w:type="spellEnd"/>
      <w:r w:rsidR="00B047FC" w:rsidRPr="00B047FC">
        <w:rPr>
          <w:lang w:val="en-GB"/>
        </w:rPr>
        <w:t xml:space="preserve">, </w:t>
      </w:r>
      <w:proofErr w:type="spellStart"/>
      <w:r w:rsidR="00B047FC" w:rsidRPr="00B047FC">
        <w:rPr>
          <w:lang w:val="en-GB"/>
        </w:rPr>
        <w:t>Kusheeva</w:t>
      </w:r>
      <w:proofErr w:type="spellEnd"/>
      <w:r w:rsidR="00B047FC">
        <w:rPr>
          <w:lang w:val="en-GB"/>
        </w:rPr>
        <w:t>, 2018)</w:t>
      </w:r>
      <w:r w:rsidRPr="009457AB">
        <w:rPr>
          <w:lang w:val="en-GB"/>
        </w:rPr>
        <w:t>.</w:t>
      </w:r>
    </w:p>
    <w:p w14:paraId="636963F9" w14:textId="77777777" w:rsidR="00F64926" w:rsidRDefault="00F64926" w:rsidP="00F64926">
      <w:pPr>
        <w:pStyle w:val="CETBodytext"/>
        <w:rPr>
          <w:lang w:val="en-GB"/>
        </w:rPr>
      </w:pPr>
      <w:r w:rsidRPr="009457AB">
        <w:rPr>
          <w:lang w:val="en-GB"/>
        </w:rPr>
        <w:t xml:space="preserve">Hydrocarbon </w:t>
      </w:r>
      <w:r>
        <w:rPr>
          <w:lang w:val="en-GB"/>
        </w:rPr>
        <w:t>contamination</w:t>
      </w:r>
      <w:r w:rsidRPr="009457AB">
        <w:rPr>
          <w:lang w:val="en-GB"/>
        </w:rPr>
        <w:t xml:space="preserve"> of the geological environment is a priority environmental problem for many regions and countries. This problem concerns not only oil production regions: geological pollution is observed almost everywhere, especially clearly manifested in areas</w:t>
      </w:r>
      <w:r>
        <w:rPr>
          <w:lang w:val="en-GB"/>
        </w:rPr>
        <w:t xml:space="preserve"> of the</w:t>
      </w:r>
      <w:r w:rsidRPr="009457AB">
        <w:rPr>
          <w:lang w:val="en-GB"/>
        </w:rPr>
        <w:t xml:space="preserve"> lithosphere affected by the </w:t>
      </w:r>
      <w:r>
        <w:rPr>
          <w:lang w:val="en-GB"/>
        </w:rPr>
        <w:t>oil production</w:t>
      </w:r>
      <w:r w:rsidRPr="009457AB">
        <w:rPr>
          <w:lang w:val="en-GB"/>
        </w:rPr>
        <w:t>, storage, transportation and processing of oil and oil products.</w:t>
      </w:r>
    </w:p>
    <w:p w14:paraId="74F1C0A0" w14:textId="4F5BF89B" w:rsidR="00A4574C" w:rsidRPr="00CD1432" w:rsidRDefault="00F64926" w:rsidP="00FB736C">
      <w:pPr>
        <w:pStyle w:val="CETBodytext"/>
        <w:rPr>
          <w:lang w:val="en-GB"/>
        </w:rPr>
      </w:pPr>
      <w:r w:rsidRPr="00A4574C">
        <w:rPr>
          <w:lang w:val="en-GB"/>
        </w:rPr>
        <w:t xml:space="preserve">Such </w:t>
      </w:r>
      <w:r>
        <w:rPr>
          <w:lang w:val="en-GB"/>
        </w:rPr>
        <w:t>environmental impact</w:t>
      </w:r>
      <w:r w:rsidRPr="00A4574C">
        <w:rPr>
          <w:lang w:val="en-GB"/>
        </w:rPr>
        <w:t xml:space="preserve"> can </w:t>
      </w:r>
      <w:r>
        <w:rPr>
          <w:lang w:val="en-GB"/>
        </w:rPr>
        <w:t>initiate</w:t>
      </w:r>
      <w:r w:rsidRPr="00A4574C">
        <w:rPr>
          <w:lang w:val="en-GB"/>
        </w:rPr>
        <w:t xml:space="preserve"> </w:t>
      </w:r>
      <w:r w:rsidRPr="00E22417">
        <w:rPr>
          <w:lang w:val="en-GB"/>
        </w:rPr>
        <w:tab/>
        <w:t xml:space="preserve">irreversible </w:t>
      </w:r>
      <w:r>
        <w:rPr>
          <w:lang w:val="en-GB"/>
        </w:rPr>
        <w:t>changes</w:t>
      </w:r>
      <w:r w:rsidRPr="00E22417">
        <w:rPr>
          <w:lang w:val="en-GB"/>
        </w:rPr>
        <w:t xml:space="preserve"> </w:t>
      </w:r>
      <w:r w:rsidRPr="00A4574C">
        <w:rPr>
          <w:lang w:val="en-GB"/>
        </w:rPr>
        <w:t xml:space="preserve">or </w:t>
      </w:r>
      <w:r>
        <w:rPr>
          <w:lang w:val="en-GB"/>
        </w:rPr>
        <w:t>destruction</w:t>
      </w:r>
      <w:r w:rsidRPr="00A4574C">
        <w:rPr>
          <w:lang w:val="en-GB"/>
        </w:rPr>
        <w:t xml:space="preserve"> of landscapes, and also</w:t>
      </w:r>
      <w:r>
        <w:rPr>
          <w:lang w:val="en-GB"/>
        </w:rPr>
        <w:t xml:space="preserve"> lead to</w:t>
      </w:r>
      <w:r w:rsidRPr="00A4574C">
        <w:rPr>
          <w:lang w:val="en-GB"/>
        </w:rPr>
        <w:t xml:space="preserve"> pollution and degradation</w:t>
      </w:r>
      <w:r>
        <w:rPr>
          <w:lang w:val="en-GB"/>
        </w:rPr>
        <w:t xml:space="preserve"> of adjacent environmental components, such as surface water-bodies, soils and the atmosphere</w:t>
      </w:r>
      <w:r w:rsidRPr="00A4574C">
        <w:rPr>
          <w:lang w:val="en-GB"/>
        </w:rPr>
        <w:t>. The semantic network of the considered technogenic (artificial) eco</w:t>
      </w:r>
      <w:r>
        <w:rPr>
          <w:lang w:val="en-GB"/>
        </w:rPr>
        <w:t>logical</w:t>
      </w:r>
      <w:r w:rsidRPr="00CD1432">
        <w:rPr>
          <w:lang w:val="en-GB"/>
        </w:rPr>
        <w:t xml:space="preserve"> </w:t>
      </w:r>
      <w:r w:rsidRPr="00A4574C">
        <w:rPr>
          <w:lang w:val="en-GB"/>
        </w:rPr>
        <w:t xml:space="preserve">anomalies formation </w:t>
      </w:r>
      <w:r>
        <w:rPr>
          <w:lang w:val="en-GB"/>
        </w:rPr>
        <w:t>make allowance</w:t>
      </w:r>
      <w:r w:rsidRPr="00A4574C">
        <w:rPr>
          <w:lang w:val="en-GB"/>
        </w:rPr>
        <w:t xml:space="preserve"> for their diversity in size, form of localization and internal structure (Figure 1).</w:t>
      </w:r>
      <w:r>
        <w:rPr>
          <w:lang w:val="en-GB"/>
        </w:rPr>
        <w:t xml:space="preserve"> The</w:t>
      </w:r>
      <w:r w:rsidRPr="00CD1432">
        <w:rPr>
          <w:lang w:val="en-GB"/>
        </w:rPr>
        <w:t xml:space="preserve"> </w:t>
      </w:r>
      <w:r>
        <w:rPr>
          <w:lang w:val="en-GB"/>
        </w:rPr>
        <w:t>presented</w:t>
      </w:r>
      <w:r w:rsidRPr="00CD1432">
        <w:rPr>
          <w:lang w:val="en-GB"/>
        </w:rPr>
        <w:t xml:space="preserve"> </w:t>
      </w:r>
      <w:r>
        <w:rPr>
          <w:lang w:val="en-GB"/>
        </w:rPr>
        <w:t>network</w:t>
      </w:r>
      <w:r w:rsidRPr="00CD1432">
        <w:rPr>
          <w:lang w:val="en-GB"/>
        </w:rPr>
        <w:t xml:space="preserve"> </w:t>
      </w:r>
      <w:r>
        <w:rPr>
          <w:lang w:val="en-GB"/>
        </w:rPr>
        <w:t>has</w:t>
      </w:r>
      <w:r w:rsidRPr="00CD1432">
        <w:rPr>
          <w:lang w:val="en-GB"/>
        </w:rPr>
        <w:t xml:space="preserve"> </w:t>
      </w:r>
      <w:r>
        <w:rPr>
          <w:lang w:val="en-GB"/>
        </w:rPr>
        <w:t>a complex and complicated</w:t>
      </w:r>
      <w:r w:rsidRPr="00CD1432">
        <w:rPr>
          <w:lang w:val="en-GB"/>
        </w:rPr>
        <w:t xml:space="preserve"> </w:t>
      </w:r>
      <w:r>
        <w:rPr>
          <w:lang w:val="en-GB"/>
        </w:rPr>
        <w:t>nature.</w:t>
      </w:r>
    </w:p>
    <w:p w14:paraId="60ECEC38" w14:textId="632B29A5" w:rsidR="00F357E4" w:rsidRDefault="003576B4" w:rsidP="00025B66">
      <w:pPr>
        <w:pStyle w:val="CETCaption"/>
        <w:rPr>
          <w:noProof/>
        </w:rPr>
      </w:pPr>
      <w:r>
        <w:rPr>
          <w:noProof/>
          <w:lang w:val="it-IT" w:eastAsia="it-IT"/>
        </w:rPr>
        <w:lastRenderedPageBreak/>
        <w:drawing>
          <wp:inline distT="0" distB="0" distL="0" distR="0" wp14:anchorId="23A91E0F" wp14:editId="01724291">
            <wp:extent cx="4592781" cy="320168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312" b="1529"/>
                    <a:stretch/>
                  </pic:blipFill>
                  <pic:spPr bwMode="auto">
                    <a:xfrm>
                      <a:off x="0" y="0"/>
                      <a:ext cx="4622448" cy="3222364"/>
                    </a:xfrm>
                    <a:prstGeom prst="rect">
                      <a:avLst/>
                    </a:prstGeom>
                    <a:noFill/>
                    <a:ln>
                      <a:noFill/>
                    </a:ln>
                    <a:extLst>
                      <a:ext uri="{53640926-AAD7-44D8-BBD7-CCE9431645EC}">
                        <a14:shadowObscured xmlns:a14="http://schemas.microsoft.com/office/drawing/2010/main"/>
                      </a:ext>
                    </a:extLst>
                  </pic:spPr>
                </pic:pic>
              </a:graphicData>
            </a:graphic>
          </wp:inline>
        </w:drawing>
      </w:r>
    </w:p>
    <w:p w14:paraId="1142D5D6" w14:textId="173A1F3B" w:rsidR="00A04C91" w:rsidRPr="004D211F" w:rsidRDefault="00025B66" w:rsidP="004D211F">
      <w:pPr>
        <w:pStyle w:val="CETCaption"/>
      </w:pPr>
      <w:r>
        <w:t>Figure 1</w:t>
      </w:r>
      <w:r w:rsidRPr="00025B66">
        <w:t>:</w:t>
      </w:r>
      <w:r w:rsidR="004D211F" w:rsidRPr="004D211F">
        <w:t xml:space="preserve"> </w:t>
      </w:r>
      <w:r>
        <w:t>S</w:t>
      </w:r>
      <w:r w:rsidRPr="00025B66">
        <w:t>emantic network</w:t>
      </w:r>
      <w:r w:rsidR="004D211F">
        <w:t xml:space="preserve"> of</w:t>
      </w:r>
      <w:r w:rsidR="00AA00CC" w:rsidRPr="00A04C91">
        <w:t xml:space="preserve"> </w:t>
      </w:r>
      <w:r w:rsidR="004D211F" w:rsidRPr="004D211F">
        <w:t>processes and phenomena caused by pollution of the geological environment</w:t>
      </w:r>
      <w:r w:rsidR="004D211F">
        <w:t>:</w:t>
      </w:r>
      <w:r w:rsidR="004D211F" w:rsidRPr="004D211F">
        <w:t xml:space="preserve"> </w:t>
      </w:r>
      <w:r w:rsidR="00A04C91" w:rsidRPr="00A04C91">
        <w:t>1</w:t>
      </w:r>
      <w:r w:rsidR="004D211F">
        <w:t> </w:t>
      </w:r>
      <w:r w:rsidR="00A04C91" w:rsidRPr="00A04C91">
        <w:t>- hydrocarbon pollution (</w:t>
      </w:r>
      <w:r w:rsidR="00A04C91">
        <w:t>primary</w:t>
      </w:r>
      <w:r w:rsidR="00A04C91" w:rsidRPr="00A04C91">
        <w:t xml:space="preserve"> source): accidents, leaks, oily emissions</w:t>
      </w:r>
      <w:r w:rsidR="00A04C91">
        <w:t>;</w:t>
      </w:r>
      <w:r w:rsidR="00A04C91" w:rsidRPr="00A04C91">
        <w:t xml:space="preserve"> 2 - pollution of the soil surface and vegetation; 3 - pollution of the deep </w:t>
      </w:r>
      <w:r w:rsidR="00A04C91">
        <w:t>soil</w:t>
      </w:r>
      <w:r w:rsidR="00A04C91" w:rsidRPr="00A04C91">
        <w:t xml:space="preserve"> layers; 4 - pollution of a water body; 5 - air </w:t>
      </w:r>
      <w:r w:rsidR="00A04C91">
        <w:t xml:space="preserve">emissions; </w:t>
      </w:r>
      <w:r w:rsidR="00A04C91" w:rsidRPr="00A04C91">
        <w:t>6 - pollution of the geological environment</w:t>
      </w:r>
      <w:r w:rsidR="00A04C91">
        <w:t xml:space="preserve">; </w:t>
      </w:r>
      <w:r w:rsidR="00A04C91" w:rsidRPr="00A04C91">
        <w:t>7 - evaporation in soil air</w:t>
      </w:r>
      <w:r w:rsidR="00152094">
        <w:t xml:space="preserve">; </w:t>
      </w:r>
      <w:r w:rsidR="00A04C91" w:rsidRPr="00A04C91">
        <w:t>8 - sorption on soil particles</w:t>
      </w:r>
      <w:r w:rsidR="00152094">
        <w:t xml:space="preserve">; </w:t>
      </w:r>
      <w:r w:rsidR="00A04C91" w:rsidRPr="00A04C91">
        <w:t>9 - dissolution in ground moisture</w:t>
      </w:r>
      <w:r w:rsidR="002D785F">
        <w:t xml:space="preserve">; </w:t>
      </w:r>
      <w:r w:rsidR="00A04C91" w:rsidRPr="00A04C91">
        <w:t xml:space="preserve">10 </w:t>
      </w:r>
      <w:r w:rsidR="00BF6A74">
        <w:t>-</w:t>
      </w:r>
      <w:r w:rsidR="00A04C91" w:rsidRPr="00A04C91">
        <w:t xml:space="preserve"> biodegradation</w:t>
      </w:r>
      <w:r w:rsidR="002D785F">
        <w:t xml:space="preserve">; </w:t>
      </w:r>
      <w:r w:rsidR="00A04C91" w:rsidRPr="00A04C91">
        <w:t xml:space="preserve">11 </w:t>
      </w:r>
      <w:r w:rsidR="002D785F">
        <w:t>-</w:t>
      </w:r>
      <w:r w:rsidR="00A04C91" w:rsidRPr="00A04C91">
        <w:t xml:space="preserve"> </w:t>
      </w:r>
      <w:r w:rsidR="002D785F" w:rsidRPr="002D785F">
        <w:t xml:space="preserve">emulsifying </w:t>
      </w:r>
      <w:r w:rsidR="002D785F">
        <w:t>in</w:t>
      </w:r>
      <w:r w:rsidR="00A04C91" w:rsidRPr="00A04C91">
        <w:t xml:space="preserve"> groundwater</w:t>
      </w:r>
      <w:r w:rsidR="002D785F">
        <w:t xml:space="preserve">; </w:t>
      </w:r>
      <w:r w:rsidR="00A04C91" w:rsidRPr="00A04C91">
        <w:t>12 - dissolution in groundwater</w:t>
      </w:r>
      <w:r w:rsidR="002D785F">
        <w:t xml:space="preserve">; </w:t>
      </w:r>
      <w:r w:rsidR="00A04C91" w:rsidRPr="00A04C91">
        <w:t>13 - biochemical transformations</w:t>
      </w:r>
      <w:r w:rsidR="002D785F">
        <w:t xml:space="preserve">; </w:t>
      </w:r>
      <w:r w:rsidR="00A04C91" w:rsidRPr="00A04C91">
        <w:t>14 - advective transfer</w:t>
      </w:r>
      <w:r w:rsidR="002D785F">
        <w:t xml:space="preserve">; </w:t>
      </w:r>
      <w:r w:rsidR="00A04C91" w:rsidRPr="00A04C91">
        <w:t xml:space="preserve">15 - </w:t>
      </w:r>
      <w:r w:rsidR="003F604F" w:rsidRPr="00A04C91">
        <w:t xml:space="preserve">pollutant plume </w:t>
      </w:r>
      <w:r w:rsidR="00A04C91" w:rsidRPr="00A04C91">
        <w:t>formation</w:t>
      </w:r>
      <w:r w:rsidR="003F604F">
        <w:t>;</w:t>
      </w:r>
      <w:r w:rsidR="00A04C91" w:rsidRPr="00A04C91">
        <w:t xml:space="preserve"> 16 - sorption on particles of </w:t>
      </w:r>
      <w:r w:rsidR="003F604F">
        <w:t>low</w:t>
      </w:r>
      <w:r w:rsidR="00A04C91" w:rsidRPr="00A04C91">
        <w:t xml:space="preserve"> permeable </w:t>
      </w:r>
      <w:r w:rsidR="003F604F" w:rsidRPr="003F604F">
        <w:t>silts</w:t>
      </w:r>
      <w:r w:rsidR="003F604F">
        <w:t xml:space="preserve">; </w:t>
      </w:r>
      <w:r w:rsidR="00A04C91" w:rsidRPr="00A04C91">
        <w:t xml:space="preserve">17 - diffusion and capillary </w:t>
      </w:r>
      <w:r w:rsidR="002505B2" w:rsidRPr="002505B2">
        <w:t>percolation</w:t>
      </w:r>
      <w:r w:rsidR="002505B2">
        <w:t xml:space="preserve">; </w:t>
      </w:r>
      <w:r w:rsidR="00A04C91" w:rsidRPr="00A04C91">
        <w:t xml:space="preserve">18 - adhesion of high viscosity </w:t>
      </w:r>
      <w:r w:rsidR="002505B2">
        <w:t xml:space="preserve">oil products; </w:t>
      </w:r>
      <w:r w:rsidR="00A04C91" w:rsidRPr="00A04C91">
        <w:t>19 - back diffusion</w:t>
      </w:r>
      <w:r w:rsidR="002505B2">
        <w:t xml:space="preserve">; </w:t>
      </w:r>
      <w:r w:rsidR="00A04C91" w:rsidRPr="00A04C91">
        <w:t xml:space="preserve">20 - secondary pollution of </w:t>
      </w:r>
      <w:r w:rsidR="002505B2">
        <w:t xml:space="preserve">the atmosphere; </w:t>
      </w:r>
      <w:r w:rsidR="00A04C91" w:rsidRPr="00A04C91">
        <w:t xml:space="preserve">21 - oil </w:t>
      </w:r>
      <w:r w:rsidR="002505B2">
        <w:t>seepage</w:t>
      </w:r>
      <w:r w:rsidR="00A04C91" w:rsidRPr="00A04C91">
        <w:t xml:space="preserve"> in </w:t>
      </w:r>
      <w:r w:rsidR="002505B2" w:rsidRPr="002505B2">
        <w:t>watercourse</w:t>
      </w:r>
      <w:r w:rsidR="00A04C91" w:rsidRPr="00A04C91">
        <w:t xml:space="preserve"> and </w:t>
      </w:r>
      <w:r w:rsidR="002505B2">
        <w:t xml:space="preserve">water bodies; </w:t>
      </w:r>
      <w:r w:rsidR="00A04C91" w:rsidRPr="00A04C91">
        <w:t xml:space="preserve">22 </w:t>
      </w:r>
      <w:r w:rsidR="002505B2">
        <w:t>–</w:t>
      </w:r>
      <w:r w:rsidR="00A04C91" w:rsidRPr="00A04C91">
        <w:t xml:space="preserve"> </w:t>
      </w:r>
      <w:r w:rsidR="002505B2">
        <w:t xml:space="preserve">pollutant </w:t>
      </w:r>
      <w:r w:rsidR="00A04C91" w:rsidRPr="00A04C91">
        <w:t>accumulation in bottom sediments</w:t>
      </w:r>
      <w:r w:rsidR="002505B2">
        <w:t xml:space="preserve">; </w:t>
      </w:r>
      <w:r w:rsidR="00A04C91" w:rsidRPr="00A04C91">
        <w:t xml:space="preserve">23 - adaptation of soil </w:t>
      </w:r>
      <w:proofErr w:type="spellStart"/>
      <w:r w:rsidR="00A04C91" w:rsidRPr="00A04C91">
        <w:t>biogeocenosis</w:t>
      </w:r>
      <w:proofErr w:type="spellEnd"/>
      <w:r w:rsidR="00A04C91" w:rsidRPr="00A04C91">
        <w:t xml:space="preserve"> up to </w:t>
      </w:r>
      <w:r w:rsidR="00005A8F" w:rsidRPr="00005A8F">
        <w:t>extermination</w:t>
      </w:r>
      <w:r>
        <w:t xml:space="preserve">; </w:t>
      </w:r>
      <w:r w:rsidR="00A04C91" w:rsidRPr="00A04C91">
        <w:t xml:space="preserve">24 - land degradation up </w:t>
      </w:r>
      <w:r w:rsidR="00A04C91" w:rsidRPr="004D211F">
        <w:t>to complete loss of fertility</w:t>
      </w:r>
      <w:r w:rsidR="004248A4">
        <w:t>.</w:t>
      </w:r>
    </w:p>
    <w:p w14:paraId="3E3C1E77" w14:textId="717DC05F" w:rsidR="00FB736C" w:rsidRPr="000E54DC" w:rsidRDefault="004D211F" w:rsidP="004D211F">
      <w:pPr>
        <w:pStyle w:val="CETBodytext"/>
        <w:rPr>
          <w:lang w:val="en-GB"/>
        </w:rPr>
      </w:pPr>
      <w:r w:rsidRPr="004D211F">
        <w:rPr>
          <w:lang w:val="en-GB"/>
        </w:rPr>
        <w:t>Oil-containing technogenic flows with melt and atmospheric waters fall into local soils, creating specific technogenic geochemical anomalies.</w:t>
      </w:r>
      <w:r w:rsidR="003576B4">
        <w:rPr>
          <w:lang w:val="en-GB"/>
        </w:rPr>
        <w:t xml:space="preserve"> </w:t>
      </w:r>
      <w:r w:rsidRPr="004D211F">
        <w:rPr>
          <w:lang w:val="en-GB"/>
        </w:rPr>
        <w:t xml:space="preserve">The acuteness of the problem requires the search for new solutions that would allow </w:t>
      </w:r>
      <w:r>
        <w:rPr>
          <w:lang w:val="en-GB"/>
        </w:rPr>
        <w:t>to carry out</w:t>
      </w:r>
      <w:r w:rsidRPr="004D211F">
        <w:rPr>
          <w:lang w:val="en-GB"/>
        </w:rPr>
        <w:t xml:space="preserve"> the most efficient remediation of the contaminated geological environment and </w:t>
      </w:r>
      <w:r w:rsidR="000E54DC">
        <w:rPr>
          <w:lang w:val="en-GB"/>
        </w:rPr>
        <w:t>decrease</w:t>
      </w:r>
      <w:r w:rsidRPr="004D211F">
        <w:rPr>
          <w:lang w:val="en-GB"/>
        </w:rPr>
        <w:t xml:space="preserve"> the burden of deposited oil-containing wastes on the adjacent components of </w:t>
      </w:r>
      <w:r w:rsidR="000E54DC">
        <w:rPr>
          <w:lang w:val="en-GB"/>
        </w:rPr>
        <w:t>environmental</w:t>
      </w:r>
      <w:r w:rsidRPr="004D211F">
        <w:rPr>
          <w:lang w:val="en-GB"/>
        </w:rPr>
        <w:t xml:space="preserve"> systems.</w:t>
      </w:r>
    </w:p>
    <w:p w14:paraId="2A63BDB1" w14:textId="3A075846" w:rsidR="00FB736C" w:rsidRPr="00483441" w:rsidRDefault="00100455" w:rsidP="00483441">
      <w:pPr>
        <w:pStyle w:val="CETHeading1"/>
        <w:rPr>
          <w:lang w:val="ru-RU"/>
        </w:rPr>
      </w:pPr>
      <w:r>
        <w:rPr>
          <w:lang w:val="en-GB"/>
        </w:rPr>
        <w:t>Research objectives</w:t>
      </w:r>
    </w:p>
    <w:p w14:paraId="3561A46B" w14:textId="6C90660D" w:rsidR="000E54DC" w:rsidRPr="000E54DC" w:rsidRDefault="000E54DC" w:rsidP="000E54DC">
      <w:pPr>
        <w:pStyle w:val="CETBodytext"/>
        <w:rPr>
          <w:lang w:val="en-GB"/>
        </w:rPr>
      </w:pPr>
      <w:r>
        <w:rPr>
          <w:lang w:val="en-GB"/>
        </w:rPr>
        <w:t>By now</w:t>
      </w:r>
      <w:r w:rsidRPr="000E54DC">
        <w:rPr>
          <w:lang w:val="en-GB"/>
        </w:rPr>
        <w:t xml:space="preserve"> the basic ideas about the physical mechanisms of mass transfer in groundwater have</w:t>
      </w:r>
      <w:r>
        <w:rPr>
          <w:lang w:val="en-GB"/>
        </w:rPr>
        <w:t xml:space="preserve"> been</w:t>
      </w:r>
      <w:r w:rsidRPr="000E54DC">
        <w:rPr>
          <w:lang w:val="en-GB"/>
        </w:rPr>
        <w:t xml:space="preserve"> developed</w:t>
      </w:r>
      <w:r w:rsidR="00D74344">
        <w:rPr>
          <w:lang w:val="en-GB"/>
        </w:rPr>
        <w:t xml:space="preserve"> (</w:t>
      </w:r>
      <w:proofErr w:type="spellStart"/>
      <w:r w:rsidR="00D74344" w:rsidRPr="00D74344">
        <w:rPr>
          <w:lang w:val="en-GB"/>
        </w:rPr>
        <w:t>Shengqi</w:t>
      </w:r>
      <w:proofErr w:type="spellEnd"/>
      <w:r w:rsidR="00D74344" w:rsidRPr="00D74344">
        <w:t xml:space="preserve"> </w:t>
      </w:r>
      <w:r w:rsidR="00D74344" w:rsidRPr="00D74344">
        <w:rPr>
          <w:lang w:val="en-GB"/>
        </w:rPr>
        <w:t>et al.,</w:t>
      </w:r>
      <w:r w:rsidR="00D74344">
        <w:rPr>
          <w:lang w:val="en-GB"/>
        </w:rPr>
        <w:t xml:space="preserve"> 2020).</w:t>
      </w:r>
      <w:r w:rsidRPr="000E54DC">
        <w:rPr>
          <w:lang w:val="en-GB"/>
        </w:rPr>
        <w:t xml:space="preserve"> According to them, the migration of components </w:t>
      </w:r>
      <w:r w:rsidR="0008326B">
        <w:rPr>
          <w:lang w:val="en-GB"/>
        </w:rPr>
        <w:t>is based on</w:t>
      </w:r>
      <w:r w:rsidRPr="000E54DC">
        <w:rPr>
          <w:lang w:val="en-GB"/>
        </w:rPr>
        <w:t xml:space="preserve"> their convective </w:t>
      </w:r>
      <w:r w:rsidR="003A3F5C">
        <w:rPr>
          <w:lang w:val="en-GB"/>
        </w:rPr>
        <w:t xml:space="preserve">transport </w:t>
      </w:r>
      <w:r w:rsidRPr="000E54DC">
        <w:rPr>
          <w:lang w:val="en-GB"/>
        </w:rPr>
        <w:t xml:space="preserve">(taking into account the mechanism of gravitational differentiation) and diffusion-dispersive </w:t>
      </w:r>
      <w:r w:rsidR="003A3F5C">
        <w:rPr>
          <w:lang w:val="en-GB"/>
        </w:rPr>
        <w:t>spreading</w:t>
      </w:r>
      <w:r w:rsidRPr="000E54DC">
        <w:rPr>
          <w:lang w:val="en-GB"/>
        </w:rPr>
        <w:t>, which are superimposed on the physicochemical processes of</w:t>
      </w:r>
      <w:r w:rsidR="008F67FE">
        <w:rPr>
          <w:lang w:val="en-GB"/>
        </w:rPr>
        <w:t xml:space="preserve"> pollutant</w:t>
      </w:r>
      <w:r w:rsidRPr="000E54DC">
        <w:rPr>
          <w:lang w:val="en-GB"/>
        </w:rPr>
        <w:t xml:space="preserve"> transformation in underground solutions and its interaction with rocks </w:t>
      </w:r>
      <w:r w:rsidR="00441FD9" w:rsidRPr="00441FD9">
        <w:rPr>
          <w:color w:val="000000" w:themeColor="text1"/>
          <w:lang w:val="en-GB"/>
        </w:rPr>
        <w:t>(</w:t>
      </w:r>
      <w:proofErr w:type="spellStart"/>
      <w:r w:rsidR="00441FD9" w:rsidRPr="00441FD9">
        <w:rPr>
          <w:color w:val="000000" w:themeColor="text1"/>
          <w:lang w:val="en-GB"/>
        </w:rPr>
        <w:t>Mironenko</w:t>
      </w:r>
      <w:proofErr w:type="spellEnd"/>
      <w:r w:rsidR="00441FD9" w:rsidRPr="00441FD9">
        <w:rPr>
          <w:color w:val="000000" w:themeColor="text1"/>
          <w:lang w:val="en-GB"/>
        </w:rPr>
        <w:t xml:space="preserve">, </w:t>
      </w:r>
      <w:proofErr w:type="spellStart"/>
      <w:r w:rsidR="00441FD9" w:rsidRPr="00441FD9">
        <w:rPr>
          <w:color w:val="000000" w:themeColor="text1"/>
          <w:lang w:val="en-GB"/>
        </w:rPr>
        <w:t>Rumynin</w:t>
      </w:r>
      <w:proofErr w:type="spellEnd"/>
      <w:r w:rsidR="00441FD9" w:rsidRPr="00441FD9">
        <w:rPr>
          <w:color w:val="000000" w:themeColor="text1"/>
          <w:lang w:val="en-GB"/>
        </w:rPr>
        <w:t>, 2002)</w:t>
      </w:r>
      <w:r w:rsidRPr="00441FD9">
        <w:rPr>
          <w:color w:val="000000" w:themeColor="text1"/>
          <w:lang w:val="en-GB"/>
        </w:rPr>
        <w:t>.</w:t>
      </w:r>
    </w:p>
    <w:p w14:paraId="49284BFE" w14:textId="296BE64D" w:rsidR="000E54DC" w:rsidRDefault="002C0EEE" w:rsidP="000E54DC">
      <w:pPr>
        <w:pStyle w:val="CETBodytext"/>
        <w:rPr>
          <w:lang w:val="en-GB"/>
        </w:rPr>
      </w:pPr>
      <w:r>
        <w:rPr>
          <w:lang w:val="en-GB"/>
        </w:rPr>
        <w:t xml:space="preserve">Hydrocarbon contamination </w:t>
      </w:r>
      <w:r w:rsidR="000E54DC" w:rsidRPr="000E54DC">
        <w:rPr>
          <w:lang w:val="en-GB"/>
        </w:rPr>
        <w:t xml:space="preserve">(hereinafter - HC </w:t>
      </w:r>
      <w:r>
        <w:rPr>
          <w:lang w:val="en-GB"/>
        </w:rPr>
        <w:t>contamination</w:t>
      </w:r>
      <w:r w:rsidR="000E54DC" w:rsidRPr="000E54DC">
        <w:rPr>
          <w:lang w:val="en-GB"/>
        </w:rPr>
        <w:t>) is slightly</w:t>
      </w:r>
      <w:r>
        <w:rPr>
          <w:lang w:val="en-GB"/>
        </w:rPr>
        <w:t>-soluble</w:t>
      </w:r>
      <w:r w:rsidR="000E54DC" w:rsidRPr="000E54DC">
        <w:rPr>
          <w:lang w:val="en-GB"/>
        </w:rPr>
        <w:t xml:space="preserve"> in groundwater and therefore forms a separate phase</w:t>
      </w:r>
      <w:r w:rsidR="000E54DC">
        <w:rPr>
          <w:lang w:val="en-GB"/>
        </w:rPr>
        <w:t xml:space="preserve"> </w:t>
      </w:r>
      <w:r w:rsidR="00B20565" w:rsidRPr="00B20565">
        <w:rPr>
          <w:color w:val="000000" w:themeColor="text1"/>
          <w:lang w:val="en-GB"/>
        </w:rPr>
        <w:t>(</w:t>
      </w:r>
      <w:proofErr w:type="spellStart"/>
      <w:r w:rsidR="00B20565" w:rsidRPr="00B20565">
        <w:rPr>
          <w:color w:val="000000" w:themeColor="text1"/>
          <w:lang w:val="en-GB"/>
        </w:rPr>
        <w:t>Riccardi</w:t>
      </w:r>
      <w:proofErr w:type="spellEnd"/>
      <w:r w:rsidR="00B20565" w:rsidRPr="00B20565">
        <w:rPr>
          <w:color w:val="000000" w:themeColor="text1"/>
          <w:lang w:val="en-GB"/>
        </w:rPr>
        <w:t xml:space="preserve"> </w:t>
      </w:r>
      <w:r w:rsidR="00B20565">
        <w:rPr>
          <w:color w:val="000000" w:themeColor="text1"/>
          <w:lang w:val="en-GB"/>
        </w:rPr>
        <w:t>et</w:t>
      </w:r>
      <w:r w:rsidR="00B047FC">
        <w:rPr>
          <w:color w:val="000000" w:themeColor="text1"/>
          <w:lang w:val="en-GB"/>
        </w:rPr>
        <w:t xml:space="preserve"> </w:t>
      </w:r>
      <w:r w:rsidR="00B20565">
        <w:rPr>
          <w:color w:val="000000" w:themeColor="text1"/>
          <w:lang w:val="en-GB"/>
        </w:rPr>
        <w:t>al., 2008</w:t>
      </w:r>
      <w:r w:rsidR="00B20565" w:rsidRPr="00B20565">
        <w:rPr>
          <w:color w:val="000000" w:themeColor="text1"/>
          <w:lang w:val="en-GB"/>
        </w:rPr>
        <w:t>)</w:t>
      </w:r>
      <w:r w:rsidR="000E54DC" w:rsidRPr="000E54DC">
        <w:rPr>
          <w:lang w:val="en-GB"/>
        </w:rPr>
        <w:t xml:space="preserve">. </w:t>
      </w:r>
      <w:r>
        <w:rPr>
          <w:lang w:val="en-GB"/>
        </w:rPr>
        <w:t>It</w:t>
      </w:r>
      <w:r w:rsidR="000E54DC" w:rsidRPr="000E54DC">
        <w:rPr>
          <w:lang w:val="en-GB"/>
        </w:rPr>
        <w:t xml:space="preserve"> makes the </w:t>
      </w:r>
      <w:r w:rsidRPr="000E54DC">
        <w:rPr>
          <w:lang w:val="en-GB"/>
        </w:rPr>
        <w:t>behaviour</w:t>
      </w:r>
      <w:r w:rsidR="000E54DC" w:rsidRPr="000E54DC">
        <w:rPr>
          <w:lang w:val="en-GB"/>
        </w:rPr>
        <w:t xml:space="preserve"> of HC pollutants difficult</w:t>
      </w:r>
      <w:r>
        <w:rPr>
          <w:lang w:val="en-GB"/>
        </w:rPr>
        <w:t xml:space="preserve"> to forecast</w:t>
      </w:r>
      <w:r w:rsidR="000E54DC" w:rsidRPr="000E54DC">
        <w:rPr>
          <w:lang w:val="en-GB"/>
        </w:rPr>
        <w:t>, especially in the aeration zone, where two mobile phases, liquid and gaseous, initially exist.</w:t>
      </w:r>
    </w:p>
    <w:p w14:paraId="37939649" w14:textId="33F563A0" w:rsidR="00826605" w:rsidRDefault="00826605" w:rsidP="00826605">
      <w:pPr>
        <w:pStyle w:val="CETBodytext"/>
      </w:pPr>
      <w:r>
        <w:t>P</w:t>
      </w:r>
      <w:r w:rsidRPr="00826605">
        <w:t>henomenological dependencies</w:t>
      </w:r>
      <w:r>
        <w:t xml:space="preserve">, including </w:t>
      </w:r>
      <w:r w:rsidRPr="00826605">
        <w:t>those studied by indicator testing methods</w:t>
      </w:r>
      <w:r>
        <w:t xml:space="preserve"> </w:t>
      </w:r>
      <w:r w:rsidR="00FC61FF" w:rsidRPr="00FC61FF">
        <w:rPr>
          <w:color w:val="000000" w:themeColor="text1"/>
        </w:rPr>
        <w:t>(</w:t>
      </w:r>
      <w:proofErr w:type="spellStart"/>
      <w:r w:rsidR="00FC61FF" w:rsidRPr="00FC61FF">
        <w:rPr>
          <w:color w:val="000000" w:themeColor="text1"/>
        </w:rPr>
        <w:t>Agaoglu</w:t>
      </w:r>
      <w:proofErr w:type="spellEnd"/>
      <w:r w:rsidR="00FC61FF" w:rsidRPr="00FC61FF">
        <w:rPr>
          <w:color w:val="000000" w:themeColor="text1"/>
        </w:rPr>
        <w:t xml:space="preserve">, </w:t>
      </w:r>
      <w:proofErr w:type="spellStart"/>
      <w:r w:rsidR="00FC61FF" w:rsidRPr="00FC61FF">
        <w:rPr>
          <w:color w:val="000000" w:themeColor="text1"/>
        </w:rPr>
        <w:t>Scheytt</w:t>
      </w:r>
      <w:proofErr w:type="spellEnd"/>
      <w:r w:rsidR="00FC61FF" w:rsidRPr="00FC61FF">
        <w:rPr>
          <w:color w:val="000000" w:themeColor="text1"/>
        </w:rPr>
        <w:t xml:space="preserve">, </w:t>
      </w:r>
      <w:proofErr w:type="spellStart"/>
      <w:r w:rsidR="00FC61FF" w:rsidRPr="00FC61FF">
        <w:rPr>
          <w:color w:val="000000" w:themeColor="text1"/>
        </w:rPr>
        <w:t>Copty</w:t>
      </w:r>
      <w:proofErr w:type="spellEnd"/>
      <w:r w:rsidR="00FC61FF">
        <w:rPr>
          <w:color w:val="000000" w:themeColor="text1"/>
        </w:rPr>
        <w:t>, 2016</w:t>
      </w:r>
      <w:r w:rsidR="00FC61FF" w:rsidRPr="00FC61FF">
        <w:rPr>
          <w:color w:val="000000" w:themeColor="text1"/>
        </w:rPr>
        <w:t>)</w:t>
      </w:r>
      <w:r>
        <w:t>, for example, are now widely used to consider the behavior of two immiscible liquids.</w:t>
      </w:r>
    </w:p>
    <w:p w14:paraId="7F8B5D6C" w14:textId="31B10252" w:rsidR="00C21E4E" w:rsidRPr="00C21E4E" w:rsidRDefault="00826605" w:rsidP="0012048B">
      <w:pPr>
        <w:pStyle w:val="CETBodytext"/>
        <w:rPr>
          <w:lang w:val="en-GB"/>
        </w:rPr>
      </w:pPr>
      <w:r w:rsidRPr="00826605">
        <w:t>The basis of experimental studies involving indicator testing is the launch of chemical and biological indicators into aquifers, followed by monitoring</w:t>
      </w:r>
      <w:r w:rsidR="00C21E4E">
        <w:t xml:space="preserve"> of</w:t>
      </w:r>
      <w:r w:rsidRPr="00826605">
        <w:t xml:space="preserve"> their migration</w:t>
      </w:r>
      <w:r w:rsidR="00FC61FF">
        <w:t xml:space="preserve"> (</w:t>
      </w:r>
      <w:proofErr w:type="spellStart"/>
      <w:r w:rsidR="00FC61FF" w:rsidRPr="00FC61FF">
        <w:t>Jin</w:t>
      </w:r>
      <w:proofErr w:type="spellEnd"/>
      <w:r w:rsidR="00FC61FF">
        <w:t xml:space="preserve"> et al., 1995)</w:t>
      </w:r>
      <w:r w:rsidRPr="00826605">
        <w:t xml:space="preserve">. Implemented indicator testing can be aimed at determining parameters reflecting the migration of </w:t>
      </w:r>
      <w:r w:rsidR="00C21E4E">
        <w:t>HC</w:t>
      </w:r>
      <w:r w:rsidRPr="00826605">
        <w:t xml:space="preserve"> </w:t>
      </w:r>
      <w:r w:rsidR="00C21E4E">
        <w:t>contamination</w:t>
      </w:r>
      <w:r w:rsidRPr="00826605">
        <w:t xml:space="preserve"> (mainly from surface</w:t>
      </w:r>
      <w:r w:rsidR="00C21E4E">
        <w:t xml:space="preserve"> primary</w:t>
      </w:r>
      <w:r w:rsidRPr="00826605">
        <w:t xml:space="preserve"> technogenic sources) in the field of injection and pumping wells.</w:t>
      </w:r>
      <w:r w:rsidR="00D7284E">
        <w:t xml:space="preserve"> </w:t>
      </w:r>
      <w:r w:rsidR="00C21E4E" w:rsidRPr="00C21E4E">
        <w:rPr>
          <w:lang w:val="en-GB"/>
        </w:rPr>
        <w:t xml:space="preserve">The aim of this work is to study the possibilities of multifactor geochemical </w:t>
      </w:r>
      <w:proofErr w:type="spellStart"/>
      <w:r w:rsidR="00C21E4E" w:rsidRPr="00C21E4E">
        <w:rPr>
          <w:lang w:val="en-GB"/>
        </w:rPr>
        <w:t>modeling</w:t>
      </w:r>
      <w:proofErr w:type="spellEnd"/>
      <w:r w:rsidR="00C21E4E" w:rsidRPr="00C21E4E">
        <w:rPr>
          <w:lang w:val="en-GB"/>
        </w:rPr>
        <w:t xml:space="preserve"> of biodegradable </w:t>
      </w:r>
      <w:r w:rsidR="00C21E4E">
        <w:rPr>
          <w:lang w:val="en-GB"/>
        </w:rPr>
        <w:t xml:space="preserve">hydrocarbon contamination </w:t>
      </w:r>
      <w:r w:rsidR="00C21E4E" w:rsidRPr="00C21E4E">
        <w:rPr>
          <w:lang w:val="en-GB"/>
        </w:rPr>
        <w:t xml:space="preserve">of the </w:t>
      </w:r>
      <w:r w:rsidR="00C21E4E">
        <w:rPr>
          <w:lang w:val="en-GB"/>
        </w:rPr>
        <w:t>geological environment</w:t>
      </w:r>
      <w:r w:rsidR="00C21E4E" w:rsidRPr="00C21E4E">
        <w:rPr>
          <w:lang w:val="en-GB"/>
        </w:rPr>
        <w:t xml:space="preserve"> to justify alternative </w:t>
      </w:r>
      <w:r w:rsidR="00FC34AF" w:rsidRPr="00C21E4E">
        <w:rPr>
          <w:lang w:val="en-GB"/>
        </w:rPr>
        <w:t>technological solutions</w:t>
      </w:r>
      <w:r w:rsidR="00DD7F9A">
        <w:rPr>
          <w:lang w:val="en-GB"/>
        </w:rPr>
        <w:t xml:space="preserve"> for remediation and minimisation of ecological consequences</w:t>
      </w:r>
      <w:r w:rsidR="00FC34AF" w:rsidRPr="00FC34AF">
        <w:rPr>
          <w:lang w:val="en-GB"/>
        </w:rPr>
        <w:t xml:space="preserve"> </w:t>
      </w:r>
      <w:r w:rsidR="00C21E4E" w:rsidRPr="00C21E4E">
        <w:rPr>
          <w:lang w:val="en-GB"/>
        </w:rPr>
        <w:t xml:space="preserve">and evaluate </w:t>
      </w:r>
      <w:r w:rsidR="00DD7F9A">
        <w:rPr>
          <w:lang w:val="en-GB"/>
        </w:rPr>
        <w:t>its</w:t>
      </w:r>
      <w:r w:rsidR="00C21E4E" w:rsidRPr="00C21E4E">
        <w:rPr>
          <w:lang w:val="en-GB"/>
        </w:rPr>
        <w:t xml:space="preserve"> environmental and economic efficiency.</w:t>
      </w:r>
    </w:p>
    <w:p w14:paraId="5D33101D" w14:textId="18BF5F10" w:rsidR="00E038E4" w:rsidRPr="008B2A6A" w:rsidRDefault="008B2A6A" w:rsidP="00B15872">
      <w:pPr>
        <w:pStyle w:val="CETHeading1"/>
        <w:rPr>
          <w:lang w:val="en-GB"/>
        </w:rPr>
      </w:pPr>
      <w:r>
        <w:rPr>
          <w:lang w:val="en-GB"/>
        </w:rPr>
        <w:lastRenderedPageBreak/>
        <w:t>Justification</w:t>
      </w:r>
      <w:r w:rsidRPr="008B2A6A">
        <w:rPr>
          <w:lang w:val="en-GB"/>
        </w:rPr>
        <w:t xml:space="preserve"> </w:t>
      </w:r>
      <w:r>
        <w:rPr>
          <w:lang w:val="en-GB"/>
        </w:rPr>
        <w:t>of</w:t>
      </w:r>
      <w:r w:rsidRPr="008B2A6A">
        <w:rPr>
          <w:lang w:val="en-GB"/>
        </w:rPr>
        <w:t xml:space="preserve"> </w:t>
      </w:r>
      <w:r>
        <w:rPr>
          <w:lang w:val="en-GB"/>
        </w:rPr>
        <w:t>indicator</w:t>
      </w:r>
      <w:r w:rsidRPr="008B2A6A">
        <w:rPr>
          <w:lang w:val="en-GB"/>
        </w:rPr>
        <w:t xml:space="preserve"> </w:t>
      </w:r>
      <w:r>
        <w:rPr>
          <w:lang w:val="en-GB"/>
        </w:rPr>
        <w:t>selection</w:t>
      </w:r>
      <w:r w:rsidRPr="008B2A6A">
        <w:rPr>
          <w:lang w:val="en-GB"/>
        </w:rPr>
        <w:t xml:space="preserve"> </w:t>
      </w:r>
      <w:r>
        <w:rPr>
          <w:lang w:val="en-GB"/>
        </w:rPr>
        <w:t>and</w:t>
      </w:r>
      <w:r w:rsidRPr="008B2A6A">
        <w:rPr>
          <w:lang w:val="en-GB"/>
        </w:rPr>
        <w:t xml:space="preserve"> </w:t>
      </w:r>
      <w:r>
        <w:rPr>
          <w:lang w:val="en-GB"/>
        </w:rPr>
        <w:t>description of its dynamic during experiment</w:t>
      </w:r>
    </w:p>
    <w:p w14:paraId="5EF73CC4" w14:textId="0DE30D18" w:rsidR="00DD7F9A" w:rsidRPr="00DD7F9A" w:rsidRDefault="00DD7F9A" w:rsidP="00FB736C">
      <w:pPr>
        <w:pStyle w:val="CETBodytext"/>
        <w:rPr>
          <w:lang w:val="en-GB"/>
        </w:rPr>
      </w:pPr>
      <w:r w:rsidRPr="00DD7F9A">
        <w:rPr>
          <w:lang w:val="en-GB"/>
        </w:rPr>
        <w:t xml:space="preserve">For the early </w:t>
      </w:r>
      <w:r>
        <w:rPr>
          <w:lang w:val="en-GB"/>
        </w:rPr>
        <w:t>preventing</w:t>
      </w:r>
      <w:r w:rsidRPr="00DD7F9A">
        <w:rPr>
          <w:lang w:val="en-GB"/>
        </w:rPr>
        <w:t xml:space="preserve"> of </w:t>
      </w:r>
      <w:r>
        <w:rPr>
          <w:lang w:val="en-GB"/>
        </w:rPr>
        <w:t>geological environment contamination</w:t>
      </w:r>
      <w:r w:rsidRPr="00DD7F9A">
        <w:rPr>
          <w:lang w:val="en-GB"/>
        </w:rPr>
        <w:t>, as well as for assessing the dynamics of oil-containing technogenic flows, it is relevant to determine stable informative geo-indication parameters.</w:t>
      </w:r>
    </w:p>
    <w:p w14:paraId="0F59A8A8" w14:textId="4AF0063A" w:rsidR="00DD7F9A" w:rsidRDefault="00DD7F9A" w:rsidP="00DD7F9A">
      <w:pPr>
        <w:pStyle w:val="CETBodytext"/>
        <w:rPr>
          <w:lang w:val="en-GB"/>
        </w:rPr>
      </w:pPr>
      <w:r w:rsidRPr="00DD7F9A">
        <w:rPr>
          <w:lang w:val="en-GB"/>
        </w:rPr>
        <w:t>Experimental studies should be carried out with indicators that are sufficiently inert and stable in natural waters</w:t>
      </w:r>
      <w:r>
        <w:rPr>
          <w:lang w:val="en-GB"/>
        </w:rPr>
        <w:t xml:space="preserve">, </w:t>
      </w:r>
      <w:r w:rsidRPr="00DD7F9A">
        <w:rPr>
          <w:lang w:val="en-GB"/>
        </w:rPr>
        <w:t>can be easily determined (preferably in the field) by analytical chemistry and bio</w:t>
      </w:r>
      <w:r w:rsidR="0008326B">
        <w:rPr>
          <w:lang w:val="en-GB"/>
        </w:rPr>
        <w:t>i</w:t>
      </w:r>
      <w:r w:rsidRPr="00DD7F9A">
        <w:rPr>
          <w:lang w:val="en-GB"/>
        </w:rPr>
        <w:t>ndication methods</w:t>
      </w:r>
      <w:r>
        <w:rPr>
          <w:lang w:val="en-GB"/>
        </w:rPr>
        <w:t>,</w:t>
      </w:r>
      <w:r w:rsidRPr="00DD7F9A">
        <w:rPr>
          <w:lang w:val="en-GB"/>
        </w:rPr>
        <w:t xml:space="preserve"> </w:t>
      </w:r>
      <w:r>
        <w:rPr>
          <w:lang w:val="en-GB"/>
        </w:rPr>
        <w:t>and</w:t>
      </w:r>
      <w:r w:rsidRPr="00DD7F9A">
        <w:rPr>
          <w:lang w:val="en-GB"/>
        </w:rPr>
        <w:t xml:space="preserve"> have little effect on the filtration properties of rocks</w:t>
      </w:r>
      <w:r>
        <w:rPr>
          <w:lang w:val="en-GB"/>
        </w:rPr>
        <w:t>.</w:t>
      </w:r>
    </w:p>
    <w:p w14:paraId="152C0C17" w14:textId="46E9B88C" w:rsidR="00DD7F9A" w:rsidRPr="00DD7F9A" w:rsidRDefault="00DD7F9A" w:rsidP="00DD7F9A">
      <w:pPr>
        <w:pStyle w:val="CETBodytext"/>
        <w:rPr>
          <w:lang w:val="en-GB"/>
        </w:rPr>
      </w:pPr>
      <w:r w:rsidRPr="00DD7F9A">
        <w:rPr>
          <w:lang w:val="en-GB"/>
        </w:rPr>
        <w:t>At the same time, the choice of indicators is determined by their ability to identify and emphasize certain features of the physical processes of in-situ mass transfer during testing of heterogeneous media.</w:t>
      </w:r>
    </w:p>
    <w:p w14:paraId="244A911B" w14:textId="3E01E1D2" w:rsidR="00E35AF6" w:rsidRPr="00E35AF6" w:rsidRDefault="00E35AF6" w:rsidP="00E35AF6">
      <w:pPr>
        <w:pStyle w:val="CETBodytext"/>
        <w:rPr>
          <w:lang w:val="en-GB"/>
        </w:rPr>
      </w:pPr>
      <w:r>
        <w:rPr>
          <w:lang w:val="en-GB"/>
        </w:rPr>
        <w:t>E</w:t>
      </w:r>
      <w:r w:rsidRPr="00E35AF6">
        <w:rPr>
          <w:lang w:val="en-GB"/>
        </w:rPr>
        <w:t>lectrolytes are not applicable for the</w:t>
      </w:r>
      <w:r>
        <w:rPr>
          <w:lang w:val="en-GB"/>
        </w:rPr>
        <w:t xml:space="preserve"> performance targets</w:t>
      </w:r>
      <w:r w:rsidRPr="00E35AF6">
        <w:rPr>
          <w:lang w:val="en-GB"/>
        </w:rPr>
        <w:t>, because they are water soluble, therefore, do not form a separate phase and cannot characterize the spread of oil fluid in the geological environment.</w:t>
      </w:r>
    </w:p>
    <w:p w14:paraId="5BAD902C" w14:textId="7A9908A7" w:rsidR="00E35AF6" w:rsidRPr="00E35AF6" w:rsidRDefault="00E35AF6" w:rsidP="00E35AF6">
      <w:pPr>
        <w:pStyle w:val="CETBodytext"/>
        <w:rPr>
          <w:lang w:val="en-GB"/>
        </w:rPr>
      </w:pPr>
      <w:r w:rsidRPr="00E35AF6">
        <w:rPr>
          <w:lang w:val="en-GB"/>
        </w:rPr>
        <w:t xml:space="preserve">The main advantage of using organic </w:t>
      </w:r>
      <w:r>
        <w:rPr>
          <w:lang w:val="en-GB"/>
        </w:rPr>
        <w:t>colourants</w:t>
      </w:r>
      <w:r w:rsidRPr="00E35AF6">
        <w:rPr>
          <w:lang w:val="en-GB"/>
        </w:rPr>
        <w:t xml:space="preserve"> (fluorescein, uranium) is the simplicity of visual and instrumental registration, while downhole colorimetry of solutions using special immersion probes with high sensitivity of determination is also possible</w:t>
      </w:r>
      <w:r w:rsidR="00EA4583">
        <w:rPr>
          <w:lang w:val="en-GB"/>
        </w:rPr>
        <w:t xml:space="preserve"> (</w:t>
      </w:r>
      <w:r w:rsidR="00EA4583" w:rsidRPr="009A61D6">
        <w:rPr>
          <w:lang w:val="en-GB"/>
        </w:rPr>
        <w:t xml:space="preserve">Luciano, </w:t>
      </w:r>
      <w:proofErr w:type="spellStart"/>
      <w:r w:rsidR="00EA4583" w:rsidRPr="009A61D6">
        <w:rPr>
          <w:lang w:val="en-GB"/>
        </w:rPr>
        <w:t>Viotti</w:t>
      </w:r>
      <w:proofErr w:type="spellEnd"/>
      <w:r w:rsidR="00EA4583" w:rsidRPr="009A61D6">
        <w:rPr>
          <w:lang w:val="en-GB"/>
        </w:rPr>
        <w:t xml:space="preserve">, </w:t>
      </w:r>
      <w:proofErr w:type="spellStart"/>
      <w:r w:rsidR="00EA4583" w:rsidRPr="009A61D6">
        <w:rPr>
          <w:lang w:val="en-GB"/>
        </w:rPr>
        <w:t>Petrangeli</w:t>
      </w:r>
      <w:proofErr w:type="spellEnd"/>
      <w:r w:rsidR="00EA4583" w:rsidRPr="009A61D6">
        <w:rPr>
          <w:lang w:val="en-GB"/>
        </w:rPr>
        <w:t xml:space="preserve"> </w:t>
      </w:r>
      <w:proofErr w:type="spellStart"/>
      <w:r w:rsidR="00EA4583" w:rsidRPr="009A61D6">
        <w:rPr>
          <w:lang w:val="en-GB"/>
        </w:rPr>
        <w:t>Papini</w:t>
      </w:r>
      <w:proofErr w:type="spellEnd"/>
      <w:r w:rsidR="00EA4583">
        <w:rPr>
          <w:lang w:val="en-GB"/>
        </w:rPr>
        <w:t>, 2010)</w:t>
      </w:r>
      <w:r w:rsidRPr="00E35AF6">
        <w:rPr>
          <w:lang w:val="en-GB"/>
        </w:rPr>
        <w:t xml:space="preserve">. At the same time, the organic nature of the </w:t>
      </w:r>
      <w:r w:rsidR="00100455" w:rsidRPr="00E35AF6">
        <w:rPr>
          <w:lang w:val="en-GB"/>
        </w:rPr>
        <w:t>colouring</w:t>
      </w:r>
      <w:r w:rsidRPr="00E35AF6">
        <w:rPr>
          <w:lang w:val="en-GB"/>
        </w:rPr>
        <w:t xml:space="preserve"> substances affects the peculiarities of their physicochemical interaction with rocks - they </w:t>
      </w:r>
      <w:r>
        <w:rPr>
          <w:lang w:val="en-GB"/>
        </w:rPr>
        <w:t>can be</w:t>
      </w:r>
      <w:r w:rsidRPr="00E35AF6">
        <w:rPr>
          <w:lang w:val="en-GB"/>
        </w:rPr>
        <w:t xml:space="preserve"> </w:t>
      </w:r>
      <w:proofErr w:type="spellStart"/>
      <w:r w:rsidRPr="00E35AF6">
        <w:rPr>
          <w:lang w:val="en-GB"/>
        </w:rPr>
        <w:t>sorbed</w:t>
      </w:r>
      <w:proofErr w:type="spellEnd"/>
      <w:r w:rsidRPr="00E35AF6">
        <w:rPr>
          <w:lang w:val="en-GB"/>
        </w:rPr>
        <w:t xml:space="preserve"> </w:t>
      </w:r>
      <w:r>
        <w:rPr>
          <w:lang w:val="en-GB"/>
        </w:rPr>
        <w:t>in a varying degree</w:t>
      </w:r>
      <w:r w:rsidRPr="00E35AF6">
        <w:rPr>
          <w:lang w:val="en-GB"/>
        </w:rPr>
        <w:t xml:space="preserve">, and the intensity and kinetics of sorption are difficult to predict in advance. Despite all this, </w:t>
      </w:r>
      <w:r w:rsidR="00100455">
        <w:rPr>
          <w:lang w:val="en-GB"/>
        </w:rPr>
        <w:t>testing with organic colouring indicators</w:t>
      </w:r>
      <w:r w:rsidRPr="00E35AF6">
        <w:rPr>
          <w:lang w:val="en-GB"/>
        </w:rPr>
        <w:t xml:space="preserve"> </w:t>
      </w:r>
      <w:r w:rsidR="00100455">
        <w:rPr>
          <w:lang w:val="en-GB"/>
        </w:rPr>
        <w:t>is</w:t>
      </w:r>
      <w:r w:rsidRPr="00E35AF6">
        <w:rPr>
          <w:lang w:val="en-GB"/>
        </w:rPr>
        <w:t xml:space="preserve"> very effective, at least in the steps leading up to the main experiment.</w:t>
      </w:r>
    </w:p>
    <w:p w14:paraId="62B87CA3" w14:textId="39FD5A2C" w:rsidR="008B2A6A" w:rsidRPr="008B2A6A" w:rsidRDefault="008B2A6A" w:rsidP="002D1A70">
      <w:pPr>
        <w:pStyle w:val="CETBodytext"/>
        <w:rPr>
          <w:lang w:val="en-GB"/>
        </w:rPr>
      </w:pPr>
      <w:r w:rsidRPr="008B2A6A">
        <w:rPr>
          <w:lang w:val="en-GB"/>
        </w:rPr>
        <w:t xml:space="preserve">In the case of experiments in heterogeneous media with </w:t>
      </w:r>
      <w:r>
        <w:rPr>
          <w:lang w:val="en-GB"/>
        </w:rPr>
        <w:t>low</w:t>
      </w:r>
      <w:r w:rsidRPr="008B2A6A">
        <w:rPr>
          <w:lang w:val="en-GB"/>
        </w:rPr>
        <w:t xml:space="preserve"> permeable </w:t>
      </w:r>
      <w:r>
        <w:rPr>
          <w:lang w:val="en-GB"/>
        </w:rPr>
        <w:t>zones</w:t>
      </w:r>
      <w:r w:rsidR="009A61D6">
        <w:rPr>
          <w:lang w:val="en-GB"/>
        </w:rPr>
        <w:t xml:space="preserve"> (</w:t>
      </w:r>
      <w:proofErr w:type="spellStart"/>
      <w:r w:rsidR="00EA4583" w:rsidRPr="00EA4583">
        <w:rPr>
          <w:lang w:val="en-GB"/>
        </w:rPr>
        <w:t>Tatti</w:t>
      </w:r>
      <w:proofErr w:type="spellEnd"/>
      <w:r w:rsidR="00EA4583">
        <w:rPr>
          <w:lang w:val="en-GB"/>
        </w:rPr>
        <w:t xml:space="preserve"> et</w:t>
      </w:r>
      <w:r w:rsidR="00B047FC">
        <w:rPr>
          <w:lang w:val="en-GB"/>
        </w:rPr>
        <w:t xml:space="preserve"> </w:t>
      </w:r>
      <w:r w:rsidR="00EA4583">
        <w:rPr>
          <w:lang w:val="en-GB"/>
        </w:rPr>
        <w:t>al., 2018</w:t>
      </w:r>
      <w:r w:rsidR="009A61D6">
        <w:rPr>
          <w:lang w:val="en-GB"/>
        </w:rPr>
        <w:t>)</w:t>
      </w:r>
      <w:r w:rsidRPr="008B2A6A">
        <w:rPr>
          <w:lang w:val="en-GB"/>
        </w:rPr>
        <w:t xml:space="preserve">, it is necessary to use rather sophisticated method of indication that do not shift substantially specified or measured conditions at the boundaries of the </w:t>
      </w:r>
      <w:r>
        <w:rPr>
          <w:lang w:val="en-GB"/>
        </w:rPr>
        <w:t>researched zones</w:t>
      </w:r>
      <w:r w:rsidRPr="008B2A6A">
        <w:rPr>
          <w:lang w:val="en-GB"/>
        </w:rPr>
        <w:t xml:space="preserve">: the time of the sample volume accumulation should be much less than the total time of registration of the calculated </w:t>
      </w:r>
      <w:r>
        <w:rPr>
          <w:lang w:val="en-GB"/>
        </w:rPr>
        <w:t>part</w:t>
      </w:r>
      <w:r w:rsidRPr="008B2A6A">
        <w:rPr>
          <w:lang w:val="en-GB"/>
        </w:rPr>
        <w:t xml:space="preserve"> of the experimental curve.</w:t>
      </w:r>
    </w:p>
    <w:p w14:paraId="5471299E" w14:textId="77777777" w:rsidR="00441FD9" w:rsidRDefault="00AD4FE8" w:rsidP="00186BEC">
      <w:pPr>
        <w:pStyle w:val="CETBodytext"/>
        <w:rPr>
          <w:lang w:val="en-GB"/>
        </w:rPr>
      </w:pPr>
      <w:r w:rsidRPr="00AD4FE8">
        <w:rPr>
          <w:lang w:val="en-GB"/>
        </w:rPr>
        <w:t>Therefore, in particular, it may seem appropriate to use indirect methods for continuously monitoring the dynamics of pollution</w:t>
      </w:r>
      <w:r>
        <w:rPr>
          <w:lang w:val="en-GB"/>
        </w:rPr>
        <w:t xml:space="preserve"> and its distribution</w:t>
      </w:r>
      <w:r w:rsidRPr="00AD4FE8">
        <w:rPr>
          <w:lang w:val="en-GB"/>
        </w:rPr>
        <w:t xml:space="preserve"> </w:t>
      </w:r>
      <w:r>
        <w:rPr>
          <w:lang w:val="en-GB"/>
        </w:rPr>
        <w:t>in</w:t>
      </w:r>
      <w:r w:rsidRPr="00AD4FE8">
        <w:rPr>
          <w:lang w:val="en-GB"/>
        </w:rPr>
        <w:t xml:space="preserve"> the </w:t>
      </w:r>
      <w:r>
        <w:rPr>
          <w:lang w:val="en-GB"/>
        </w:rPr>
        <w:t>geological environment</w:t>
      </w:r>
      <w:r w:rsidRPr="00AD4FE8">
        <w:rPr>
          <w:lang w:val="en-GB"/>
        </w:rPr>
        <w:t>.</w:t>
      </w:r>
      <w:r w:rsidR="00441FD9">
        <w:rPr>
          <w:lang w:val="en-GB"/>
        </w:rPr>
        <w:t xml:space="preserve"> </w:t>
      </w:r>
    </w:p>
    <w:p w14:paraId="54EC4A34" w14:textId="11255B3A" w:rsidR="00281C05" w:rsidRPr="00281C05" w:rsidRDefault="00281C05" w:rsidP="00186BEC">
      <w:pPr>
        <w:pStyle w:val="CETBodytext"/>
        <w:rPr>
          <w:lang w:val="en-GB"/>
        </w:rPr>
      </w:pPr>
      <w:r w:rsidRPr="00281C05">
        <w:rPr>
          <w:lang w:val="en-GB"/>
        </w:rPr>
        <w:t>The oil-oxidizing activity of the micro</w:t>
      </w:r>
      <w:r w:rsidR="00ED0DC2">
        <w:rPr>
          <w:lang w:val="en-GB"/>
        </w:rPr>
        <w:t>bial</w:t>
      </w:r>
      <w:r w:rsidRPr="00281C05">
        <w:rPr>
          <w:lang w:val="en-GB"/>
        </w:rPr>
        <w:t xml:space="preserve"> consortium is an indirect indicator of the studied hydrocarbon fluid presence in the </w:t>
      </w:r>
      <w:r w:rsidR="00ED0DC2">
        <w:rPr>
          <w:lang w:val="en-GB"/>
        </w:rPr>
        <w:t>researched field</w:t>
      </w:r>
      <w:r w:rsidRPr="00281C05">
        <w:rPr>
          <w:lang w:val="en-GB"/>
        </w:rPr>
        <w:t xml:space="preserve"> of the geological environment.</w:t>
      </w:r>
    </w:p>
    <w:p w14:paraId="0CC7301B" w14:textId="64063BBC" w:rsidR="00ED0DC2" w:rsidRPr="00ED0DC2" w:rsidRDefault="00441FD9" w:rsidP="00186BEC">
      <w:pPr>
        <w:rPr>
          <w:szCs w:val="28"/>
        </w:rPr>
      </w:pPr>
      <w:r>
        <w:rPr>
          <w:szCs w:val="28"/>
        </w:rPr>
        <w:t>The research</w:t>
      </w:r>
      <w:r w:rsidR="00ED0DC2" w:rsidRPr="00ED0DC2">
        <w:rPr>
          <w:szCs w:val="28"/>
        </w:rPr>
        <w:t xml:space="preserve"> </w:t>
      </w:r>
      <w:r w:rsidR="00ED0DC2">
        <w:rPr>
          <w:szCs w:val="28"/>
        </w:rPr>
        <w:t xml:space="preserve">microbial </w:t>
      </w:r>
      <w:r w:rsidR="00ED0DC2" w:rsidRPr="00ED0DC2">
        <w:rPr>
          <w:szCs w:val="28"/>
        </w:rPr>
        <w:t xml:space="preserve">consortium is a suspension containing living cells of </w:t>
      </w:r>
      <w:r w:rsidRPr="0086728B">
        <w:rPr>
          <w:szCs w:val="28"/>
        </w:rPr>
        <w:t xml:space="preserve">hydrocarbon-oxidizing </w:t>
      </w:r>
      <w:r w:rsidR="00ED0DC2" w:rsidRPr="00ED0DC2">
        <w:rPr>
          <w:szCs w:val="28"/>
        </w:rPr>
        <w:t xml:space="preserve">microorganisms. At the same time, their number can </w:t>
      </w:r>
      <w:r w:rsidR="00A75DE8">
        <w:rPr>
          <w:szCs w:val="28"/>
        </w:rPr>
        <w:t>be used</w:t>
      </w:r>
      <w:r w:rsidR="00ED0DC2" w:rsidRPr="00ED0DC2">
        <w:rPr>
          <w:szCs w:val="28"/>
        </w:rPr>
        <w:t xml:space="preserve"> as a quantitative factor for assessing the degree of </w:t>
      </w:r>
      <w:r w:rsidR="00A75DE8">
        <w:rPr>
          <w:szCs w:val="28"/>
        </w:rPr>
        <w:t>environmental contamination</w:t>
      </w:r>
      <w:r w:rsidR="00ED0DC2" w:rsidRPr="00ED0DC2">
        <w:rPr>
          <w:szCs w:val="28"/>
        </w:rPr>
        <w:t xml:space="preserve">. In the course of </w:t>
      </w:r>
      <w:r w:rsidR="00A75DE8" w:rsidRPr="00ED0DC2">
        <w:rPr>
          <w:szCs w:val="28"/>
        </w:rPr>
        <w:t xml:space="preserve">pollutants </w:t>
      </w:r>
      <w:r w:rsidR="00ED0DC2" w:rsidRPr="00ED0DC2">
        <w:rPr>
          <w:szCs w:val="28"/>
        </w:rPr>
        <w:t>biodegradation, this factor allows to assess the intensity, stage and nature of these processes.</w:t>
      </w:r>
    </w:p>
    <w:p w14:paraId="061785D8" w14:textId="07A9B959" w:rsidR="0086728B" w:rsidRPr="0086728B" w:rsidRDefault="0086728B" w:rsidP="0086728B">
      <w:pPr>
        <w:rPr>
          <w:szCs w:val="28"/>
        </w:rPr>
      </w:pPr>
      <w:r w:rsidRPr="0086728B">
        <w:rPr>
          <w:szCs w:val="28"/>
        </w:rPr>
        <w:t xml:space="preserve">A microbial cell oxidizes hydrocarbon </w:t>
      </w:r>
      <w:r>
        <w:rPr>
          <w:szCs w:val="28"/>
        </w:rPr>
        <w:t>contamination</w:t>
      </w:r>
      <w:r w:rsidRPr="0086728B">
        <w:rPr>
          <w:szCs w:val="28"/>
        </w:rPr>
        <w:t xml:space="preserve">, adsorbing on </w:t>
      </w:r>
      <w:r>
        <w:rPr>
          <w:szCs w:val="28"/>
        </w:rPr>
        <w:t>its</w:t>
      </w:r>
      <w:r w:rsidRPr="0086728B">
        <w:rPr>
          <w:szCs w:val="28"/>
        </w:rPr>
        <w:t xml:space="preserve"> surface; as a result, the oil-oxidizing activity of cultures depends on </w:t>
      </w:r>
      <w:r w:rsidR="00AB3BD1">
        <w:rPr>
          <w:szCs w:val="28"/>
        </w:rPr>
        <w:t>their</w:t>
      </w:r>
      <w:r w:rsidRPr="0086728B">
        <w:rPr>
          <w:szCs w:val="28"/>
        </w:rPr>
        <w:t xml:space="preserve"> ability to utilize a hydrocarbon substrate</w:t>
      </w:r>
      <w:r w:rsidRPr="00087184">
        <w:rPr>
          <w:color w:val="000000" w:themeColor="text1"/>
          <w:szCs w:val="28"/>
        </w:rPr>
        <w:t xml:space="preserve"> </w:t>
      </w:r>
      <w:r w:rsidR="00087184">
        <w:rPr>
          <w:color w:val="000000" w:themeColor="text1"/>
          <w:szCs w:val="28"/>
        </w:rPr>
        <w:t>(</w:t>
      </w:r>
      <w:proofErr w:type="spellStart"/>
      <w:r w:rsidR="00087184">
        <w:rPr>
          <w:color w:val="000000" w:themeColor="text1"/>
          <w:szCs w:val="28"/>
        </w:rPr>
        <w:t>Kusheeva</w:t>
      </w:r>
      <w:proofErr w:type="spellEnd"/>
      <w:r w:rsidR="00087184">
        <w:rPr>
          <w:color w:val="000000" w:themeColor="text1"/>
          <w:szCs w:val="28"/>
        </w:rPr>
        <w:t xml:space="preserve">, </w:t>
      </w:r>
      <w:proofErr w:type="spellStart"/>
      <w:r w:rsidR="00087184">
        <w:rPr>
          <w:color w:val="000000" w:themeColor="text1"/>
          <w:szCs w:val="28"/>
        </w:rPr>
        <w:t>Ostakh</w:t>
      </w:r>
      <w:proofErr w:type="spellEnd"/>
      <w:r w:rsidR="00087184">
        <w:rPr>
          <w:color w:val="000000" w:themeColor="text1"/>
          <w:szCs w:val="28"/>
        </w:rPr>
        <w:t>, 2018)</w:t>
      </w:r>
      <w:r w:rsidRPr="00087184">
        <w:rPr>
          <w:color w:val="000000" w:themeColor="text1"/>
          <w:szCs w:val="28"/>
        </w:rPr>
        <w:t>.</w:t>
      </w:r>
    </w:p>
    <w:p w14:paraId="463C3796" w14:textId="3B80439D" w:rsidR="00E460A5" w:rsidRPr="00E460A5" w:rsidRDefault="00E460A5" w:rsidP="00E460A5">
      <w:pPr>
        <w:pStyle w:val="CETBodytext"/>
        <w:rPr>
          <w:rFonts w:eastAsiaTheme="minorEastAsia"/>
          <w:lang w:val="en-GB"/>
        </w:rPr>
      </w:pPr>
      <w:r w:rsidRPr="00E460A5">
        <w:rPr>
          <w:rFonts w:eastAsiaTheme="minorEastAsia"/>
          <w:lang w:val="en-GB"/>
        </w:rPr>
        <w:t xml:space="preserve">The processes that affect the number of microorganisms in the environment are </w:t>
      </w:r>
      <w:r w:rsidR="00AB3BD1" w:rsidRPr="00AB3BD1">
        <w:rPr>
          <w:rFonts w:eastAsiaTheme="minorEastAsia"/>
          <w:lang w:val="en-GB"/>
        </w:rPr>
        <w:t>following</w:t>
      </w:r>
      <w:r w:rsidRPr="00394F88">
        <w:rPr>
          <w:rFonts w:eastAsiaTheme="minorEastAsia"/>
          <w:color w:val="000000" w:themeColor="text1"/>
          <w:lang w:val="en-GB"/>
        </w:rPr>
        <w:t xml:space="preserve"> </w:t>
      </w:r>
      <w:r w:rsidR="00EA4583" w:rsidRPr="00394F88">
        <w:rPr>
          <w:rFonts w:eastAsiaTheme="minorEastAsia"/>
          <w:color w:val="000000" w:themeColor="text1"/>
          <w:lang w:val="en-GB"/>
        </w:rPr>
        <w:t>(</w:t>
      </w:r>
      <w:r w:rsidR="00394F88" w:rsidRPr="00394F88">
        <w:rPr>
          <w:rFonts w:eastAsiaTheme="minorEastAsia"/>
          <w:color w:val="000000" w:themeColor="text1"/>
          <w:lang w:val="en-GB"/>
        </w:rPr>
        <w:t>Liu et.al., 2016</w:t>
      </w:r>
      <w:r w:rsidR="00EA4583" w:rsidRPr="00394F88">
        <w:rPr>
          <w:rFonts w:eastAsiaTheme="minorEastAsia"/>
          <w:color w:val="000000" w:themeColor="text1"/>
          <w:lang w:val="en-GB"/>
        </w:rPr>
        <w:t>)</w:t>
      </w:r>
      <w:r w:rsidRPr="00394F88">
        <w:rPr>
          <w:rFonts w:eastAsiaTheme="minorEastAsia"/>
          <w:color w:val="000000" w:themeColor="text1"/>
          <w:lang w:val="en-GB"/>
        </w:rPr>
        <w:t>:</w:t>
      </w:r>
    </w:p>
    <w:p w14:paraId="0F2D4658" w14:textId="77777777" w:rsidR="00E460A5" w:rsidRPr="00E460A5" w:rsidRDefault="00E460A5" w:rsidP="00E460A5">
      <w:pPr>
        <w:pStyle w:val="CETBodytext"/>
        <w:rPr>
          <w:rFonts w:eastAsiaTheme="minorEastAsia"/>
          <w:lang w:val="en-GB"/>
        </w:rPr>
      </w:pPr>
      <w:r w:rsidRPr="00E460A5">
        <w:rPr>
          <w:rFonts w:eastAsiaTheme="minorEastAsia"/>
          <w:lang w:val="en-GB"/>
        </w:rPr>
        <w:t>- mass transfer in the flow of infiltrating moisture;</w:t>
      </w:r>
    </w:p>
    <w:p w14:paraId="56F05112" w14:textId="77777777" w:rsidR="00E460A5" w:rsidRPr="00E460A5" w:rsidRDefault="00E460A5" w:rsidP="00E460A5">
      <w:pPr>
        <w:pStyle w:val="CETBodytext"/>
        <w:rPr>
          <w:rFonts w:eastAsiaTheme="minorEastAsia"/>
          <w:lang w:val="en-GB"/>
        </w:rPr>
      </w:pPr>
      <w:r w:rsidRPr="00E460A5">
        <w:rPr>
          <w:rFonts w:eastAsiaTheme="minorEastAsia"/>
          <w:lang w:val="en-GB"/>
        </w:rPr>
        <w:t>- accumulation in the area of poorly permeable rocks;</w:t>
      </w:r>
    </w:p>
    <w:p w14:paraId="5C62F4BB" w14:textId="70B3787A" w:rsidR="00E460A5" w:rsidRPr="00E460A5" w:rsidRDefault="00E460A5" w:rsidP="00E460A5">
      <w:pPr>
        <w:pStyle w:val="CETBodytext"/>
        <w:rPr>
          <w:rFonts w:eastAsiaTheme="minorEastAsia"/>
          <w:lang w:val="en-GB"/>
        </w:rPr>
      </w:pPr>
      <w:r w:rsidRPr="00E460A5">
        <w:rPr>
          <w:rFonts w:eastAsiaTheme="minorEastAsia"/>
          <w:lang w:val="en-GB"/>
        </w:rPr>
        <w:t xml:space="preserve">- enhanced mass transfer during dynamic water flow </w:t>
      </w:r>
      <w:r>
        <w:rPr>
          <w:rFonts w:eastAsiaTheme="minorEastAsia"/>
          <w:lang w:val="en-GB"/>
        </w:rPr>
        <w:t>in</w:t>
      </w:r>
      <w:r w:rsidRPr="00E460A5">
        <w:rPr>
          <w:rFonts w:eastAsiaTheme="minorEastAsia"/>
          <w:lang w:val="en-GB"/>
        </w:rPr>
        <w:t xml:space="preserve"> compar</w:t>
      </w:r>
      <w:r>
        <w:rPr>
          <w:rFonts w:eastAsiaTheme="minorEastAsia"/>
          <w:lang w:val="en-GB"/>
        </w:rPr>
        <w:t>ison</w:t>
      </w:r>
      <w:r w:rsidRPr="00E460A5">
        <w:rPr>
          <w:rFonts w:eastAsiaTheme="minorEastAsia"/>
          <w:lang w:val="en-GB"/>
        </w:rPr>
        <w:t xml:space="preserve"> with hydrostatic conditions</w:t>
      </w:r>
      <w:r>
        <w:rPr>
          <w:rFonts w:eastAsiaTheme="minorEastAsia"/>
          <w:lang w:val="en-GB"/>
        </w:rPr>
        <w:t>;</w:t>
      </w:r>
    </w:p>
    <w:p w14:paraId="752260F5" w14:textId="5B5397ED" w:rsidR="00E460A5" w:rsidRPr="00E460A5" w:rsidRDefault="00E460A5" w:rsidP="00E460A5">
      <w:pPr>
        <w:pStyle w:val="CETBodytext"/>
        <w:rPr>
          <w:rFonts w:eastAsiaTheme="minorEastAsia"/>
          <w:lang w:val="en-GB"/>
        </w:rPr>
      </w:pPr>
      <w:r w:rsidRPr="00E460A5">
        <w:rPr>
          <w:rFonts w:eastAsiaTheme="minorEastAsia"/>
          <w:lang w:val="en-GB"/>
        </w:rPr>
        <w:t>- biological processes (nutrition, reproduction, dying off, oppression).</w:t>
      </w:r>
    </w:p>
    <w:p w14:paraId="266133BB" w14:textId="0F49CF02" w:rsidR="00E460A5" w:rsidRPr="007A71A3" w:rsidRDefault="00E460A5" w:rsidP="004248A4">
      <w:pPr>
        <w:pStyle w:val="CETBodytext"/>
        <w:rPr>
          <w:rFonts w:eastAsiaTheme="minorEastAsia"/>
          <w:lang w:val="en-GB"/>
        </w:rPr>
      </w:pPr>
      <w:r w:rsidRPr="00E460A5">
        <w:rPr>
          <w:rFonts w:eastAsiaTheme="minorEastAsia"/>
          <w:lang w:val="en-GB"/>
        </w:rPr>
        <w:t>The determined weighting coefficients of bioindication parameters are applicable for es</w:t>
      </w:r>
      <w:r w:rsidR="007A71A3">
        <w:rPr>
          <w:rFonts w:eastAsiaTheme="minorEastAsia"/>
          <w:lang w:val="en-GB"/>
        </w:rPr>
        <w:t>timation of</w:t>
      </w:r>
      <w:r w:rsidRPr="00E460A5">
        <w:rPr>
          <w:rFonts w:eastAsiaTheme="minorEastAsia"/>
          <w:lang w:val="en-GB"/>
        </w:rPr>
        <w:t xml:space="preserve"> integral indices </w:t>
      </w:r>
      <w:r w:rsidR="007A71A3" w:rsidRPr="007A71A3">
        <w:rPr>
          <w:rFonts w:eastAsiaTheme="minorEastAsia"/>
          <w:lang w:val="en-GB"/>
        </w:rPr>
        <w:t xml:space="preserve">respectively </w:t>
      </w:r>
      <w:r w:rsidRPr="00E460A5">
        <w:rPr>
          <w:rFonts w:eastAsiaTheme="minorEastAsia"/>
          <w:lang w:val="en-GB"/>
        </w:rPr>
        <w:t>to the dynamics of anomalous concentrations of indicator</w:t>
      </w:r>
      <w:r w:rsidR="007A71A3">
        <w:rPr>
          <w:rFonts w:eastAsiaTheme="minorEastAsia"/>
          <w:lang w:val="en-GB"/>
        </w:rPr>
        <w:t xml:space="preserve"> microbial</w:t>
      </w:r>
      <w:r w:rsidRPr="00E460A5">
        <w:rPr>
          <w:rFonts w:eastAsiaTheme="minorEastAsia"/>
          <w:lang w:val="en-GB"/>
        </w:rPr>
        <w:t xml:space="preserve"> populations and the </w:t>
      </w:r>
      <w:r w:rsidR="004248A4" w:rsidRPr="00E460A5">
        <w:rPr>
          <w:rFonts w:eastAsiaTheme="minorEastAsia"/>
          <w:lang w:val="en-GB"/>
        </w:rPr>
        <w:t xml:space="preserve">soils </w:t>
      </w:r>
      <w:r w:rsidRPr="00E460A5">
        <w:rPr>
          <w:rFonts w:eastAsiaTheme="minorEastAsia"/>
          <w:lang w:val="en-GB"/>
        </w:rPr>
        <w:t xml:space="preserve">humus </w:t>
      </w:r>
      <w:r w:rsidR="004248A4">
        <w:rPr>
          <w:rFonts w:eastAsiaTheme="minorEastAsia"/>
          <w:lang w:val="en-GB"/>
        </w:rPr>
        <w:t>content</w:t>
      </w:r>
      <w:r w:rsidRPr="00E460A5">
        <w:rPr>
          <w:rFonts w:eastAsiaTheme="minorEastAsia"/>
          <w:lang w:val="en-GB"/>
        </w:rPr>
        <w:t>.</w:t>
      </w:r>
      <w:r w:rsidR="00441FD9">
        <w:rPr>
          <w:rFonts w:eastAsiaTheme="minorEastAsia"/>
          <w:lang w:val="en-GB"/>
        </w:rPr>
        <w:t xml:space="preserve"> </w:t>
      </w:r>
      <w:r w:rsidR="004248A4">
        <w:rPr>
          <w:rFonts w:eastAsiaTheme="minorEastAsia"/>
          <w:lang w:val="en-GB"/>
        </w:rPr>
        <w:t>C</w:t>
      </w:r>
      <w:r w:rsidR="004248A4" w:rsidRPr="004248A4">
        <w:rPr>
          <w:rFonts w:eastAsiaTheme="minorEastAsia"/>
          <w:lang w:val="en-GB"/>
        </w:rPr>
        <w:t xml:space="preserve">onsequently, the general microbiological activity of soils was selected as a quantitative indicator of biodegradable </w:t>
      </w:r>
      <w:r w:rsidR="004248A4">
        <w:rPr>
          <w:rFonts w:eastAsiaTheme="minorEastAsia"/>
          <w:lang w:val="en-GB"/>
        </w:rPr>
        <w:t>contamination of geological environment</w:t>
      </w:r>
      <w:r w:rsidR="004248A4" w:rsidRPr="004248A4">
        <w:rPr>
          <w:rFonts w:eastAsiaTheme="minorEastAsia"/>
          <w:lang w:val="en-GB"/>
        </w:rPr>
        <w:t xml:space="preserve">, characterized by a gradient in the zone of </w:t>
      </w:r>
      <w:r w:rsidR="00441FD9">
        <w:rPr>
          <w:rFonts w:eastAsiaTheme="minorEastAsia"/>
          <w:lang w:val="en-GB"/>
        </w:rPr>
        <w:t>HC</w:t>
      </w:r>
      <w:r w:rsidR="004248A4" w:rsidRPr="004248A4">
        <w:rPr>
          <w:rFonts w:eastAsiaTheme="minorEastAsia"/>
          <w:lang w:val="en-GB"/>
        </w:rPr>
        <w:t xml:space="preserve"> </w:t>
      </w:r>
      <w:r w:rsidR="004248A4">
        <w:rPr>
          <w:rFonts w:eastAsiaTheme="minorEastAsia"/>
          <w:lang w:val="en-GB"/>
        </w:rPr>
        <w:t>contamination</w:t>
      </w:r>
      <w:r w:rsidR="004248A4" w:rsidRPr="004248A4">
        <w:rPr>
          <w:rFonts w:eastAsiaTheme="minorEastAsia"/>
          <w:lang w:val="en-GB"/>
        </w:rPr>
        <w:t>.</w:t>
      </w:r>
    </w:p>
    <w:p w14:paraId="01CCA824" w14:textId="3D71D02B" w:rsidR="00AD0602" w:rsidRPr="00B047FC" w:rsidRDefault="004248A4" w:rsidP="00334A82">
      <w:pPr>
        <w:pStyle w:val="CETBodytext"/>
        <w:rPr>
          <w:rFonts w:eastAsiaTheme="minorEastAsia"/>
          <w:lang w:val="en-GB"/>
        </w:rPr>
      </w:pPr>
      <w:r w:rsidRPr="004248A4">
        <w:rPr>
          <w:lang w:val="en-GB"/>
        </w:rPr>
        <w:t>To describe the variability in the number of microorganisms of the research consortium over time, taking into account the death of cells, the Mono</w:t>
      </w:r>
      <w:r>
        <w:rPr>
          <w:lang w:val="en-GB"/>
        </w:rPr>
        <w:t>d</w:t>
      </w:r>
      <w:r w:rsidRPr="004248A4">
        <w:rPr>
          <w:lang w:val="en-GB"/>
        </w:rPr>
        <w:t xml:space="preserve"> equation is applicable</w:t>
      </w:r>
      <w:r w:rsidR="00B047FC">
        <w:rPr>
          <w:lang w:val="en-GB"/>
        </w:rPr>
        <w:t xml:space="preserve"> (</w:t>
      </w:r>
      <w:r w:rsidR="00B047FC" w:rsidRPr="00B047FC">
        <w:rPr>
          <w:lang w:val="en-GB"/>
        </w:rPr>
        <w:t>Lensing</w:t>
      </w:r>
      <w:r w:rsidR="00B047FC">
        <w:rPr>
          <w:lang w:val="en-GB"/>
        </w:rPr>
        <w:t xml:space="preserve"> et al., 1994)</w:t>
      </w:r>
      <w:r w:rsidRPr="004248A4">
        <w:rPr>
          <w:lang w:val="en-GB"/>
        </w:rPr>
        <w:t>:</w:t>
      </w:r>
    </w:p>
    <w:tbl>
      <w:tblPr>
        <w:tblW w:w="5000" w:type="pct"/>
        <w:tblLook w:val="04A0" w:firstRow="1" w:lastRow="0" w:firstColumn="1" w:lastColumn="0" w:noHBand="0" w:noVBand="1"/>
      </w:tblPr>
      <w:tblGrid>
        <w:gridCol w:w="8179"/>
        <w:gridCol w:w="824"/>
      </w:tblGrid>
      <w:tr w:rsidR="00334A82" w:rsidRPr="00B57B36" w14:paraId="74B65993" w14:textId="77777777" w:rsidTr="00B20565">
        <w:tc>
          <w:tcPr>
            <w:tcW w:w="7983" w:type="dxa"/>
            <w:shd w:val="clear" w:color="auto" w:fill="auto"/>
            <w:vAlign w:val="center"/>
          </w:tcPr>
          <w:p w14:paraId="111ADEBD" w14:textId="234A0A7E" w:rsidR="00334A82" w:rsidRPr="00334A82" w:rsidRDefault="00C35F54" w:rsidP="00334A82">
            <w:pPr>
              <w:pStyle w:val="CETBodytext"/>
              <w:rPr>
                <w:rFonts w:eastAsiaTheme="minorEastAsia"/>
                <w:i/>
                <w:lang w:val="ru-RU"/>
              </w:rPr>
            </w:pPr>
            <m:oMathPara>
              <m:oMathParaPr>
                <m:jc m:val="left"/>
              </m:oMathParaPr>
              <m:oMath>
                <m:f>
                  <m:fPr>
                    <m:ctrlPr>
                      <w:rPr>
                        <w:rFonts w:ascii="Cambria Math" w:hAnsi="Cambria Math"/>
                        <w:i/>
                      </w:rPr>
                    </m:ctrlPr>
                  </m:fPr>
                  <m:num>
                    <m:r>
                      <w:rPr>
                        <w:rFonts w:ascii="Cambria Math" w:hAnsi="Cambria Math"/>
                      </w:rPr>
                      <m:t>∂C</m:t>
                    </m:r>
                  </m:num>
                  <m:den>
                    <m:r>
                      <w:rPr>
                        <w:rFonts w:ascii="Cambria Math" w:hAnsi="Cambria Math"/>
                      </w:rPr>
                      <m:t>∂t</m:t>
                    </m:r>
                  </m:den>
                </m:f>
                <m:r>
                  <w:rPr>
                    <w:rFonts w:ascii="Cambria Math" w:hAnsi="Cambria Math"/>
                    <w:lang w:val="ru-RU"/>
                  </w:rPr>
                  <m:t>=</m:t>
                </m:r>
                <m:f>
                  <m:fPr>
                    <m:ctrlPr>
                      <w:rPr>
                        <w:rFonts w:ascii="Cambria Math" w:hAnsi="Cambria Math"/>
                        <w:i/>
                      </w:rPr>
                    </m:ctrlPr>
                  </m:fPr>
                  <m:num>
                    <m:r>
                      <w:rPr>
                        <w:rFonts w:ascii="Cambria Math" w:hAnsi="Cambria Math"/>
                      </w:rPr>
                      <m:t>μ</m:t>
                    </m:r>
                    <m:r>
                      <w:rPr>
                        <w:rFonts w:ascii="Cambria Math" w:hAnsi="Cambria Math"/>
                        <w:lang w:val="ru-RU"/>
                      </w:rPr>
                      <m:t>∙</m:t>
                    </m:r>
                    <m:r>
                      <w:rPr>
                        <w:rFonts w:ascii="Cambria Math" w:hAnsi="Cambria Math"/>
                      </w:rPr>
                      <m:t>G</m:t>
                    </m:r>
                  </m:num>
                  <m:den>
                    <m:r>
                      <w:rPr>
                        <w:rFonts w:ascii="Cambria Math" w:hAnsi="Cambria Math"/>
                      </w:rPr>
                      <m:t>G</m:t>
                    </m:r>
                    <m:r>
                      <w:rPr>
                        <w:rFonts w:ascii="Cambria Math" w:hAnsi="Cambria Math"/>
                        <w:lang w:val="ru-RU"/>
                      </w:rPr>
                      <m:t>+</m:t>
                    </m:r>
                    <m:sSub>
                      <m:sSubPr>
                        <m:ctrlPr>
                          <w:rPr>
                            <w:rFonts w:ascii="Cambria Math" w:hAnsi="Cambria Math"/>
                            <w:i/>
                          </w:rPr>
                        </m:ctrlPr>
                      </m:sSubPr>
                      <m:e>
                        <m:r>
                          <w:rPr>
                            <w:rFonts w:ascii="Cambria Math" w:hAnsi="Cambria Math"/>
                          </w:rPr>
                          <m:t>K</m:t>
                        </m:r>
                      </m:e>
                      <m:sub>
                        <m:r>
                          <w:rPr>
                            <w:rFonts w:ascii="Cambria Math" w:hAnsi="Cambria Math"/>
                          </w:rPr>
                          <m:t>S</m:t>
                        </m:r>
                      </m:sub>
                    </m:sSub>
                  </m:den>
                </m:f>
                <m:r>
                  <w:rPr>
                    <w:rFonts w:ascii="Cambria Math" w:hAnsi="Cambria Math"/>
                    <w:lang w:val="ru-RU"/>
                  </w:rPr>
                  <m:t>∙</m:t>
                </m:r>
                <m:r>
                  <w:rPr>
                    <w:rFonts w:ascii="Cambria Math" w:hAnsi="Cambria Math"/>
                  </w:rPr>
                  <m:t>C</m:t>
                </m:r>
                <m:r>
                  <w:rPr>
                    <w:rFonts w:ascii="Cambria Math" w:hAnsi="Cambria Math"/>
                    <w:lang w:val="ru-RU"/>
                  </w:rPr>
                  <m:t>-</m:t>
                </m:r>
                <m:r>
                  <w:rPr>
                    <w:rFonts w:ascii="Cambria Math" w:hAnsi="Cambria Math"/>
                  </w:rPr>
                  <m:t>λ</m:t>
                </m:r>
                <m:r>
                  <w:rPr>
                    <w:rFonts w:ascii="Cambria Math" w:hAnsi="Cambria Math"/>
                    <w:lang w:val="ru-RU"/>
                  </w:rPr>
                  <m:t>∙</m:t>
                </m:r>
                <m:r>
                  <w:rPr>
                    <w:rFonts w:ascii="Cambria Math" w:hAnsi="Cambria Math"/>
                  </w:rPr>
                  <m:t>C</m:t>
                </m:r>
              </m:oMath>
            </m:oMathPara>
          </w:p>
        </w:tc>
        <w:tc>
          <w:tcPr>
            <w:tcW w:w="804" w:type="dxa"/>
            <w:shd w:val="clear" w:color="auto" w:fill="auto"/>
            <w:vAlign w:val="center"/>
          </w:tcPr>
          <w:p w14:paraId="4EDFA47E" w14:textId="79610279" w:rsidR="00334A82" w:rsidRPr="00B57B36" w:rsidRDefault="00334A82" w:rsidP="00B20565">
            <w:pPr>
              <w:pStyle w:val="CETEquation"/>
              <w:jc w:val="right"/>
            </w:pPr>
            <w:r w:rsidRPr="00B57B36">
              <w:t>(</w:t>
            </w:r>
            <w:r w:rsidR="008A4EC5">
              <w:t>1</w:t>
            </w:r>
            <w:r w:rsidRPr="00B57B36">
              <w:t>)</w:t>
            </w:r>
          </w:p>
        </w:tc>
      </w:tr>
    </w:tbl>
    <w:p w14:paraId="7C557E3A" w14:textId="5BAE91D4" w:rsidR="00AD0602" w:rsidRPr="00334A82" w:rsidRDefault="00334A82" w:rsidP="000D3753">
      <w:pPr>
        <w:pStyle w:val="CETBodytext"/>
        <w:tabs>
          <w:tab w:val="left" w:pos="567"/>
        </w:tabs>
        <w:rPr>
          <w:i/>
          <w:iCs/>
          <w:lang w:val="en-GB"/>
        </w:rPr>
      </w:pPr>
      <w:r>
        <w:rPr>
          <w:lang w:val="en-GB"/>
        </w:rPr>
        <w:t>where</w:t>
      </w:r>
      <w:r w:rsidR="00AD0602" w:rsidRPr="00334A82">
        <w:rPr>
          <w:lang w:val="en-GB"/>
        </w:rPr>
        <w:t xml:space="preserve"> </w:t>
      </w:r>
      <w:r w:rsidR="00AD0602" w:rsidRPr="00334A82">
        <w:rPr>
          <w:i/>
          <w:iCs/>
          <w:lang w:val="en-GB"/>
        </w:rPr>
        <w:tab/>
      </w:r>
      <w:r w:rsidR="00AD0602" w:rsidRPr="000D3753">
        <w:rPr>
          <w:i/>
          <w:iCs/>
        </w:rPr>
        <w:t>C</w:t>
      </w:r>
      <w:r w:rsidR="00AD0602" w:rsidRPr="00334A82">
        <w:rPr>
          <w:i/>
          <w:iCs/>
          <w:lang w:val="en-GB"/>
        </w:rPr>
        <w:t xml:space="preserve"> – </w:t>
      </w:r>
      <w:r w:rsidRPr="00334A82">
        <w:rPr>
          <w:lang w:val="en-GB"/>
        </w:rPr>
        <w:t>the total number of microorganisms in a unit controlled by a volume monitoring system</w:t>
      </w:r>
      <w:r w:rsidR="00AD0602" w:rsidRPr="00334A82">
        <w:rPr>
          <w:lang w:val="en-GB"/>
        </w:rPr>
        <w:t>;</w:t>
      </w:r>
    </w:p>
    <w:p w14:paraId="76D87C84" w14:textId="5230E6E3" w:rsidR="00AD0602" w:rsidRPr="00334A82" w:rsidRDefault="00AD0602" w:rsidP="000D3753">
      <w:pPr>
        <w:pStyle w:val="CETBodytext"/>
        <w:tabs>
          <w:tab w:val="left" w:pos="567"/>
        </w:tabs>
        <w:rPr>
          <w:rFonts w:eastAsiaTheme="minorEastAsia"/>
          <w:lang w:val="en-GB"/>
        </w:rPr>
      </w:pPr>
      <w:r w:rsidRPr="00334A82">
        <w:rPr>
          <w:rFonts w:eastAsiaTheme="minorEastAsia"/>
          <w:i/>
          <w:iCs/>
          <w:lang w:val="en-GB"/>
        </w:rPr>
        <w:tab/>
      </w:r>
      <m:oMath>
        <m:r>
          <w:rPr>
            <w:rFonts w:ascii="Cambria Math" w:hAnsi="Cambria Math"/>
          </w:rPr>
          <m:t>μ</m:t>
        </m:r>
      </m:oMath>
      <w:r w:rsidRPr="00334A82">
        <w:rPr>
          <w:rFonts w:eastAsiaTheme="minorEastAsia"/>
          <w:i/>
          <w:iCs/>
          <w:lang w:val="en-GB"/>
        </w:rPr>
        <w:t xml:space="preserve"> – </w:t>
      </w:r>
      <w:r w:rsidR="00334A82" w:rsidRPr="00334A82">
        <w:rPr>
          <w:rFonts w:eastAsiaTheme="minorEastAsia"/>
          <w:lang w:val="en-GB"/>
        </w:rPr>
        <w:t>maximum growth rate of soil bacteria</w:t>
      </w:r>
      <w:r w:rsidRPr="00334A82">
        <w:rPr>
          <w:rFonts w:eastAsiaTheme="minorEastAsia"/>
          <w:lang w:val="en-GB"/>
        </w:rPr>
        <w:t>;</w:t>
      </w:r>
    </w:p>
    <w:p w14:paraId="6A2DC11F" w14:textId="5750BC76" w:rsidR="00AD0602" w:rsidRPr="00032C7D" w:rsidRDefault="00AD0602" w:rsidP="000D3753">
      <w:pPr>
        <w:pStyle w:val="CETBodytext"/>
        <w:tabs>
          <w:tab w:val="left" w:pos="567"/>
        </w:tabs>
        <w:rPr>
          <w:lang w:val="en-GB"/>
        </w:rPr>
      </w:pPr>
      <w:r w:rsidRPr="00334A82">
        <w:rPr>
          <w:i/>
          <w:iCs/>
          <w:lang w:val="en-GB"/>
        </w:rPr>
        <w:tab/>
      </w:r>
      <w:r w:rsidRPr="000D3753">
        <w:rPr>
          <w:i/>
          <w:iCs/>
        </w:rPr>
        <w:t>G</w:t>
      </w:r>
      <w:r w:rsidRPr="00032C7D">
        <w:rPr>
          <w:i/>
          <w:iCs/>
          <w:lang w:val="en-GB"/>
        </w:rPr>
        <w:t xml:space="preserve"> – </w:t>
      </w:r>
      <w:r w:rsidR="00334A82" w:rsidRPr="00032C7D">
        <w:rPr>
          <w:lang w:val="en-GB"/>
        </w:rPr>
        <w:t xml:space="preserve">hydrocarbon </w:t>
      </w:r>
      <w:r w:rsidR="00032C7D" w:rsidRPr="00032C7D">
        <w:rPr>
          <w:lang w:val="en-GB"/>
        </w:rPr>
        <w:t xml:space="preserve">(substrate) </w:t>
      </w:r>
      <w:r w:rsidR="00334A82" w:rsidRPr="00032C7D">
        <w:rPr>
          <w:lang w:val="en-GB"/>
        </w:rPr>
        <w:t>concentration</w:t>
      </w:r>
      <w:r w:rsidRPr="00032C7D">
        <w:rPr>
          <w:lang w:val="en-GB"/>
        </w:rPr>
        <w:t>;</w:t>
      </w:r>
    </w:p>
    <w:p w14:paraId="7856B520" w14:textId="7A190813" w:rsidR="00AD0602" w:rsidRPr="00032C7D" w:rsidRDefault="00AD0602" w:rsidP="000D3753">
      <w:pPr>
        <w:pStyle w:val="CETBodytext"/>
        <w:tabs>
          <w:tab w:val="left" w:pos="567"/>
        </w:tabs>
        <w:rPr>
          <w:rFonts w:eastAsiaTheme="minorEastAsia"/>
          <w:i/>
          <w:iCs/>
          <w:lang w:val="en-GB"/>
        </w:rPr>
      </w:pPr>
      <w:r w:rsidRPr="00032C7D">
        <w:rPr>
          <w:i/>
          <w:iCs/>
          <w:lang w:val="en-GB"/>
        </w:rPr>
        <w:tab/>
      </w:r>
      <m:oMath>
        <m:sSub>
          <m:sSubPr>
            <m:ctrlPr>
              <w:rPr>
                <w:rFonts w:ascii="Cambria Math" w:hAnsi="Cambria Math"/>
                <w:i/>
                <w:iCs/>
              </w:rPr>
            </m:ctrlPr>
          </m:sSubPr>
          <m:e>
            <m:r>
              <w:rPr>
                <w:rFonts w:ascii="Cambria Math" w:hAnsi="Cambria Math"/>
              </w:rPr>
              <m:t>K</m:t>
            </m:r>
          </m:e>
          <m:sub>
            <m:r>
              <w:rPr>
                <w:rFonts w:ascii="Cambria Math" w:hAnsi="Cambria Math"/>
              </w:rPr>
              <m:t>S</m:t>
            </m:r>
          </m:sub>
        </m:sSub>
      </m:oMath>
      <w:r w:rsidRPr="00032C7D">
        <w:rPr>
          <w:rFonts w:eastAsiaTheme="minorEastAsia"/>
          <w:i/>
          <w:iCs/>
          <w:lang w:val="en-GB"/>
        </w:rPr>
        <w:t xml:space="preserve"> – </w:t>
      </w:r>
      <w:r w:rsidR="00032C7D" w:rsidRPr="00032C7D">
        <w:rPr>
          <w:rFonts w:eastAsiaTheme="minorEastAsia"/>
          <w:lang w:val="en-GB"/>
        </w:rPr>
        <w:t>microorganism-substrate affinity constant</w:t>
      </w:r>
      <w:r w:rsidRPr="00032C7D">
        <w:rPr>
          <w:rFonts w:eastAsiaTheme="minorEastAsia"/>
          <w:lang w:val="en-GB"/>
        </w:rPr>
        <w:t>;</w:t>
      </w:r>
    </w:p>
    <w:p w14:paraId="316F77EC" w14:textId="0B6DADC2" w:rsidR="00AD0602" w:rsidRPr="00032C7D" w:rsidRDefault="00AD0602" w:rsidP="000D3753">
      <w:pPr>
        <w:pStyle w:val="CETBodytext"/>
        <w:tabs>
          <w:tab w:val="left" w:pos="567"/>
        </w:tabs>
        <w:rPr>
          <w:rFonts w:eastAsiaTheme="minorEastAsia"/>
          <w:i/>
          <w:iCs/>
          <w:lang w:val="en-GB"/>
        </w:rPr>
      </w:pPr>
      <w:r w:rsidRPr="00032C7D">
        <w:rPr>
          <w:i/>
          <w:iCs/>
          <w:lang w:val="en-GB"/>
        </w:rPr>
        <w:tab/>
      </w:r>
      <m:oMath>
        <m:r>
          <w:rPr>
            <w:rFonts w:ascii="Cambria Math" w:hAnsi="Cambria Math"/>
          </w:rPr>
          <m:t>λ</m:t>
        </m:r>
      </m:oMath>
      <w:r w:rsidRPr="00032C7D">
        <w:rPr>
          <w:rFonts w:eastAsiaTheme="minorEastAsia"/>
          <w:i/>
          <w:iCs/>
          <w:lang w:val="en-GB"/>
        </w:rPr>
        <w:t xml:space="preserve"> – </w:t>
      </w:r>
      <w:r w:rsidR="00032C7D" w:rsidRPr="00032C7D">
        <w:rPr>
          <w:rFonts w:eastAsiaTheme="minorEastAsia"/>
          <w:lang w:val="en-GB"/>
        </w:rPr>
        <w:t>cell death rate (</w:t>
      </w:r>
      <w:r w:rsidR="00032C7D">
        <w:rPr>
          <w:rFonts w:eastAsiaTheme="minorEastAsia"/>
          <w:lang w:val="en-GB"/>
        </w:rPr>
        <w:t>without</w:t>
      </w:r>
      <w:r w:rsidR="00032C7D" w:rsidRPr="00032C7D">
        <w:rPr>
          <w:rFonts w:eastAsiaTheme="minorEastAsia"/>
          <w:lang w:val="en-GB"/>
        </w:rPr>
        <w:t xml:space="preserve"> cell regeneration)</w:t>
      </w:r>
      <w:r w:rsidRPr="00032C7D">
        <w:rPr>
          <w:rFonts w:eastAsiaTheme="minorEastAsia"/>
          <w:lang w:val="en-GB"/>
        </w:rPr>
        <w:t>.</w:t>
      </w:r>
    </w:p>
    <w:p w14:paraId="2FD0FB11" w14:textId="1D6C6F2E" w:rsidR="00032C7D" w:rsidRDefault="00032C7D" w:rsidP="00AD0602">
      <w:pPr>
        <w:pStyle w:val="CETBodytext"/>
        <w:rPr>
          <w:lang w:val="en-GB"/>
        </w:rPr>
      </w:pPr>
      <w:r w:rsidRPr="00032C7D">
        <w:rPr>
          <w:lang w:val="en-GB"/>
        </w:rPr>
        <w:t>The total number of bacteria is described by the equation:</w:t>
      </w:r>
    </w:p>
    <w:tbl>
      <w:tblPr>
        <w:tblW w:w="5000" w:type="pct"/>
        <w:tblLook w:val="04A0" w:firstRow="1" w:lastRow="0" w:firstColumn="1" w:lastColumn="0" w:noHBand="0" w:noVBand="1"/>
      </w:tblPr>
      <w:tblGrid>
        <w:gridCol w:w="8179"/>
        <w:gridCol w:w="824"/>
      </w:tblGrid>
      <w:tr w:rsidR="00032C7D" w:rsidRPr="00B57B36" w14:paraId="01B8B527" w14:textId="77777777" w:rsidTr="00B20565">
        <w:tc>
          <w:tcPr>
            <w:tcW w:w="7983" w:type="dxa"/>
            <w:shd w:val="clear" w:color="auto" w:fill="auto"/>
            <w:vAlign w:val="center"/>
          </w:tcPr>
          <w:p w14:paraId="5177554B" w14:textId="544B3382" w:rsidR="00032C7D" w:rsidRPr="00032C7D" w:rsidRDefault="00032C7D" w:rsidP="00B20565">
            <w:pPr>
              <w:pStyle w:val="CETBodytext"/>
              <w:rPr>
                <w:rFonts w:eastAsiaTheme="minorEastAsia"/>
                <w:i/>
              </w:rPr>
            </w:pPr>
            <m:oMathPara>
              <m:oMathParaPr>
                <m:jc m:val="left"/>
              </m:oMathParaPr>
              <m:oMath>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ε</m:t>
                    </m:r>
                  </m:num>
                  <m:den>
                    <m:r>
                      <w:rPr>
                        <w:rFonts w:ascii="Cambria Math" w:hAnsi="Cambria Math"/>
                      </w:rPr>
                      <m:t>ρ</m:t>
                    </m:r>
                  </m:den>
                </m:f>
              </m:oMath>
            </m:oMathPara>
          </w:p>
        </w:tc>
        <w:tc>
          <w:tcPr>
            <w:tcW w:w="804" w:type="dxa"/>
            <w:shd w:val="clear" w:color="auto" w:fill="auto"/>
            <w:vAlign w:val="center"/>
          </w:tcPr>
          <w:p w14:paraId="6A0FF862" w14:textId="7F073792" w:rsidR="00032C7D" w:rsidRPr="00B57B36" w:rsidRDefault="00032C7D" w:rsidP="00B20565">
            <w:pPr>
              <w:pStyle w:val="CETEquation"/>
              <w:jc w:val="right"/>
            </w:pPr>
            <w:r w:rsidRPr="00B57B36">
              <w:t>(</w:t>
            </w:r>
            <w:r w:rsidR="008A4EC5">
              <w:t>2</w:t>
            </w:r>
            <w:r w:rsidRPr="00B57B36">
              <w:t>)</w:t>
            </w:r>
          </w:p>
        </w:tc>
      </w:tr>
    </w:tbl>
    <w:p w14:paraId="5DF1332B" w14:textId="67B5523D" w:rsidR="00AD0602" w:rsidRPr="00BD22B2" w:rsidRDefault="00032C7D" w:rsidP="00876DE7">
      <w:pPr>
        <w:pStyle w:val="CETBodytext"/>
        <w:tabs>
          <w:tab w:val="left" w:pos="567"/>
        </w:tabs>
        <w:rPr>
          <w:rFonts w:eastAsiaTheme="minorEastAsia"/>
          <w:i/>
          <w:lang w:val="ru-RU"/>
        </w:rPr>
      </w:pPr>
      <w:r>
        <w:rPr>
          <w:lang w:val="en-GB"/>
        </w:rPr>
        <w:t>where</w:t>
      </w:r>
      <w:r w:rsidR="00AD0602" w:rsidRPr="00BD22B2">
        <w:rPr>
          <w:i/>
          <w:lang w:val="ru-RU"/>
        </w:rPr>
        <w:tab/>
      </w:r>
      <m:oMath>
        <m:r>
          <w:rPr>
            <w:rFonts w:ascii="Cambria Math" w:hAnsi="Cambria Math"/>
          </w:rPr>
          <m:t>ρ</m:t>
        </m:r>
      </m:oMath>
      <w:r w:rsidR="00AD0602" w:rsidRPr="00BD22B2">
        <w:rPr>
          <w:rFonts w:eastAsiaTheme="minorEastAsia"/>
          <w:i/>
          <w:lang w:val="ru-RU"/>
        </w:rPr>
        <w:t xml:space="preserve"> – </w:t>
      </w:r>
      <w:r w:rsidRPr="00032C7D">
        <w:rPr>
          <w:rFonts w:eastAsiaTheme="minorEastAsia"/>
          <w:iCs/>
          <w:lang w:val="ru-RU"/>
        </w:rPr>
        <w:t>soil density</w:t>
      </w:r>
      <w:r w:rsidR="00AD0602" w:rsidRPr="00BD22B2">
        <w:rPr>
          <w:rFonts w:eastAsiaTheme="minorEastAsia"/>
          <w:iCs/>
          <w:lang w:val="ru-RU"/>
        </w:rPr>
        <w:t>;</w:t>
      </w:r>
    </w:p>
    <w:p w14:paraId="0944DBD4" w14:textId="31FF34CC" w:rsidR="00AD0602" w:rsidRPr="00BD22B2" w:rsidRDefault="00AD0602" w:rsidP="00876DE7">
      <w:pPr>
        <w:pStyle w:val="CETBodytext"/>
        <w:tabs>
          <w:tab w:val="left" w:pos="567"/>
        </w:tabs>
        <w:rPr>
          <w:i/>
          <w:lang w:val="ru-RU"/>
        </w:rPr>
      </w:pPr>
      <w:r w:rsidRPr="00BD22B2">
        <w:rPr>
          <w:i/>
          <w:lang w:val="ru-RU"/>
        </w:rPr>
        <w:tab/>
      </w:r>
      <m:oMath>
        <m:r>
          <w:rPr>
            <w:rFonts w:ascii="Cambria Math" w:hAnsi="Cambria Math"/>
          </w:rPr>
          <m:t>ε</m:t>
        </m:r>
      </m:oMath>
      <w:r w:rsidRPr="00BD22B2">
        <w:rPr>
          <w:rFonts w:eastAsiaTheme="minorEastAsia"/>
          <w:i/>
          <w:lang w:val="ru-RU"/>
        </w:rPr>
        <w:t xml:space="preserve"> – </w:t>
      </w:r>
      <w:r w:rsidR="00032C7D" w:rsidRPr="00032C7D">
        <w:rPr>
          <w:rFonts w:eastAsiaTheme="minorEastAsia"/>
          <w:iCs/>
          <w:lang w:val="ru-RU"/>
        </w:rPr>
        <w:t>soil permeability</w:t>
      </w:r>
      <w:r w:rsidRPr="00BD22B2">
        <w:rPr>
          <w:rFonts w:eastAsiaTheme="minorEastAsia"/>
          <w:iCs/>
          <w:lang w:val="ru-RU"/>
        </w:rPr>
        <w:t>;</w:t>
      </w:r>
    </w:p>
    <w:p w14:paraId="31B21A60" w14:textId="024EE091" w:rsidR="00AD0602" w:rsidRPr="00032C7D" w:rsidRDefault="00AD0602" w:rsidP="00876DE7">
      <w:pPr>
        <w:pStyle w:val="CETBodytext"/>
        <w:tabs>
          <w:tab w:val="left" w:pos="567"/>
        </w:tabs>
        <w:rPr>
          <w:rFonts w:eastAsiaTheme="minorEastAsia"/>
          <w:iCs/>
          <w:lang w:val="en-GB"/>
        </w:rPr>
      </w:pPr>
      <w:r w:rsidRPr="00032C7D">
        <w:rPr>
          <w:i/>
          <w:lang w:val="en-GB"/>
        </w:rPr>
        <w:tab/>
      </w:r>
      <m:oMath>
        <m:sSub>
          <m:sSubPr>
            <m:ctrlPr>
              <w:rPr>
                <w:rFonts w:ascii="Cambria Math" w:hAnsi="Cambria Math"/>
                <w:i/>
              </w:rPr>
            </m:ctrlPr>
          </m:sSubPr>
          <m:e>
            <m:r>
              <w:rPr>
                <w:rFonts w:ascii="Cambria Math" w:hAnsi="Cambria Math"/>
              </w:rPr>
              <m:t>C</m:t>
            </m:r>
          </m:e>
          <m:sub>
            <m:r>
              <w:rPr>
                <w:rFonts w:ascii="Cambria Math" w:hAnsi="Cambria Math"/>
              </w:rPr>
              <m:t>W</m:t>
            </m:r>
          </m:sub>
        </m:sSub>
      </m:oMath>
      <w:r w:rsidRPr="00032C7D">
        <w:rPr>
          <w:rFonts w:eastAsiaTheme="minorEastAsia"/>
          <w:i/>
          <w:lang w:val="en-GB"/>
        </w:rPr>
        <w:t xml:space="preserve"> – </w:t>
      </w:r>
      <w:r w:rsidR="00032C7D" w:rsidRPr="00032C7D">
        <w:rPr>
          <w:rFonts w:eastAsiaTheme="minorEastAsia"/>
          <w:iCs/>
          <w:lang w:val="en-GB"/>
        </w:rPr>
        <w:t>the number of bacteria in groundwater</w:t>
      </w:r>
      <w:r w:rsidRPr="00032C7D">
        <w:rPr>
          <w:rFonts w:eastAsiaTheme="minorEastAsia"/>
          <w:iCs/>
          <w:lang w:val="en-GB"/>
        </w:rPr>
        <w:t>;</w:t>
      </w:r>
    </w:p>
    <w:p w14:paraId="18AA9DDC" w14:textId="55354BA0" w:rsidR="00AD0602" w:rsidRPr="00032C7D" w:rsidRDefault="00AD0602" w:rsidP="00876DE7">
      <w:pPr>
        <w:pStyle w:val="CETBodytext"/>
        <w:tabs>
          <w:tab w:val="left" w:pos="567"/>
        </w:tabs>
        <w:rPr>
          <w:rFonts w:eastAsiaTheme="minorEastAsia"/>
          <w:iCs/>
          <w:lang w:val="en-GB"/>
        </w:rPr>
      </w:pPr>
      <w:r w:rsidRPr="00032C7D">
        <w:rPr>
          <w:rFonts w:eastAsiaTheme="minorEastAsia"/>
          <w:i/>
          <w:lang w:val="en-GB"/>
        </w:rPr>
        <w:tab/>
      </w:r>
      <m:oMath>
        <m:sSub>
          <m:sSubPr>
            <m:ctrlPr>
              <w:rPr>
                <w:rFonts w:ascii="Cambria Math" w:hAnsi="Cambria Math"/>
                <w:i/>
              </w:rPr>
            </m:ctrlPr>
          </m:sSubPr>
          <m:e>
            <m:r>
              <w:rPr>
                <w:rFonts w:ascii="Cambria Math" w:hAnsi="Cambria Math"/>
              </w:rPr>
              <m:t>C</m:t>
            </m:r>
          </m:e>
          <m:sub>
            <m:r>
              <w:rPr>
                <w:rFonts w:ascii="Cambria Math" w:hAnsi="Cambria Math"/>
              </w:rPr>
              <m:t>S</m:t>
            </m:r>
          </m:sub>
        </m:sSub>
      </m:oMath>
      <w:r w:rsidRPr="00032C7D">
        <w:rPr>
          <w:rFonts w:eastAsiaTheme="minorEastAsia"/>
          <w:i/>
          <w:lang w:val="en-GB"/>
        </w:rPr>
        <w:t xml:space="preserve"> – </w:t>
      </w:r>
      <w:r w:rsidR="00032C7D" w:rsidRPr="00032C7D">
        <w:rPr>
          <w:rFonts w:eastAsiaTheme="minorEastAsia"/>
          <w:iCs/>
          <w:lang w:val="en-GB"/>
        </w:rPr>
        <w:t>the number of bacteria immobilized (adsorbed) on soil particles</w:t>
      </w:r>
      <w:r w:rsidRPr="00032C7D">
        <w:rPr>
          <w:rFonts w:eastAsiaTheme="minorEastAsia"/>
          <w:iCs/>
          <w:lang w:val="en-GB"/>
        </w:rPr>
        <w:t>.</w:t>
      </w:r>
    </w:p>
    <w:p w14:paraId="293AA654" w14:textId="7E52F966" w:rsidR="00B32939" w:rsidRPr="00B32939" w:rsidRDefault="001125D0" w:rsidP="00876DE7">
      <w:pPr>
        <w:pStyle w:val="CETBodytext"/>
        <w:tabs>
          <w:tab w:val="left" w:pos="567"/>
        </w:tabs>
        <w:rPr>
          <w:rFonts w:eastAsiaTheme="minorEastAsia"/>
          <w:lang w:val="en-GB"/>
        </w:rPr>
      </w:pPr>
      <w:r>
        <w:rPr>
          <w:rFonts w:eastAsiaTheme="minorEastAsia"/>
          <w:lang w:val="en-GB"/>
        </w:rPr>
        <w:lastRenderedPageBreak/>
        <w:t>Taking into account the number of bacteria immobilized on soil particles t</w:t>
      </w:r>
      <w:r w:rsidR="00B32939" w:rsidRPr="00B32939">
        <w:rPr>
          <w:rFonts w:eastAsiaTheme="minorEastAsia"/>
          <w:lang w:val="en-GB"/>
        </w:rPr>
        <w:t>he final equation for the total number of microorganisms:</w:t>
      </w:r>
    </w:p>
    <w:tbl>
      <w:tblPr>
        <w:tblW w:w="5000" w:type="pct"/>
        <w:tblLook w:val="04A0" w:firstRow="1" w:lastRow="0" w:firstColumn="1" w:lastColumn="0" w:noHBand="0" w:noVBand="1"/>
      </w:tblPr>
      <w:tblGrid>
        <w:gridCol w:w="8179"/>
        <w:gridCol w:w="824"/>
      </w:tblGrid>
      <w:tr w:rsidR="00B32939" w:rsidRPr="00B57B36" w14:paraId="3A1000B0" w14:textId="77777777" w:rsidTr="00B20565">
        <w:tc>
          <w:tcPr>
            <w:tcW w:w="7983" w:type="dxa"/>
            <w:shd w:val="clear" w:color="auto" w:fill="auto"/>
            <w:vAlign w:val="center"/>
          </w:tcPr>
          <w:p w14:paraId="40EF1790" w14:textId="1D0FDC72" w:rsidR="00B32939" w:rsidRPr="00B32939" w:rsidRDefault="00C35F54" w:rsidP="00B20565">
            <w:pPr>
              <w:pStyle w:val="CETBodytext"/>
              <w:rPr>
                <w:rFonts w:eastAsiaTheme="minorEastAsia"/>
                <w:i/>
              </w:rPr>
            </w:pPr>
            <m:oMathPara>
              <m:oMathParaPr>
                <m:jc m:val="left"/>
              </m:oMathParaPr>
              <m:oMath>
                <m:f>
                  <m:fPr>
                    <m:ctrlPr>
                      <w:rPr>
                        <w:rFonts w:ascii="Cambria Math" w:hAnsi="Cambria Math"/>
                        <w:i/>
                      </w:rPr>
                    </m:ctrlPr>
                  </m:fPr>
                  <m:num>
                    <m:r>
                      <w:rPr>
                        <w:rFonts w:ascii="Cambria Math" w:hAnsi="Cambria Math"/>
                      </w:rPr>
                      <m:t>∂C</m:t>
                    </m:r>
                  </m:num>
                  <m:den>
                    <m:r>
                      <w:rPr>
                        <w:rFonts w:ascii="Cambria Math" w:hAnsi="Cambria Math"/>
                      </w:rPr>
                      <m:t>∂t</m:t>
                    </m:r>
                  </m:den>
                </m:f>
                <m:r>
                  <w:rPr>
                    <w:rFonts w:ascii="Cambria Math" w:eastAsiaTheme="minorEastAsia" w:hAnsi="Cambria Math"/>
                  </w:rPr>
                  <m:t>=</m:t>
                </m:r>
                <m:f>
                  <m:fPr>
                    <m:ctrlPr>
                      <w:rPr>
                        <w:rFonts w:ascii="Cambria Math" w:hAnsi="Cambria Math"/>
                        <w:i/>
                      </w:rPr>
                    </m:ctrlPr>
                  </m:fPr>
                  <m:num>
                    <m:r>
                      <w:rPr>
                        <w:rFonts w:ascii="Cambria Math" w:hAnsi="Cambria Math"/>
                      </w:rPr>
                      <m:t>μ∙G</m:t>
                    </m:r>
                  </m:num>
                  <m:den>
                    <m:r>
                      <w:rPr>
                        <w:rFonts w:ascii="Cambria Math" w:hAnsi="Cambria Math"/>
                      </w:rPr>
                      <m:t>G+</m:t>
                    </m:r>
                    <m:sSub>
                      <m:sSubPr>
                        <m:ctrlPr>
                          <w:rPr>
                            <w:rFonts w:ascii="Cambria Math" w:hAnsi="Cambria Math"/>
                            <w:i/>
                          </w:rPr>
                        </m:ctrlPr>
                      </m:sSubPr>
                      <m:e>
                        <m:r>
                          <w:rPr>
                            <w:rFonts w:ascii="Cambria Math" w:hAnsi="Cambria Math"/>
                          </w:rPr>
                          <m:t>K</m:t>
                        </m:r>
                      </m:e>
                      <m:sub>
                        <m:r>
                          <w:rPr>
                            <w:rFonts w:ascii="Cambria Math" w:hAnsi="Cambria Math"/>
                          </w:rPr>
                          <m:t>S</m:t>
                        </m:r>
                      </m:sub>
                    </m:sSub>
                  </m:den>
                </m:f>
                <m:r>
                  <w:rPr>
                    <w:rFonts w:ascii="Cambria Math" w:hAnsi="Cambria Math"/>
                  </w:rPr>
                  <m:t>∙C-λ∙C-</m:t>
                </m:r>
                <m:f>
                  <m:fPr>
                    <m:ctrlPr>
                      <w:rPr>
                        <w:rFonts w:ascii="Cambria Math" w:hAnsi="Cambria Math"/>
                        <w:i/>
                      </w:rPr>
                    </m:ctrlPr>
                  </m:fPr>
                  <m:num>
                    <m:r>
                      <w:rPr>
                        <w:rFonts w:ascii="Cambria Math" w:hAnsi="Cambria Math"/>
                      </w:rPr>
                      <m:t>ϑ</m:t>
                    </m:r>
                  </m:num>
                  <m:den>
                    <m:sSubSup>
                      <m:sSubSupPr>
                        <m:ctrlPr>
                          <w:rPr>
                            <w:rFonts w:ascii="Cambria Math" w:hAnsi="Cambria Math"/>
                            <w:i/>
                          </w:rPr>
                        </m:ctrlPr>
                      </m:sSubSupPr>
                      <m:e>
                        <m:r>
                          <w:rPr>
                            <w:rFonts w:ascii="Cambria Math" w:hAnsi="Cambria Math"/>
                          </w:rPr>
                          <m:t>ε</m:t>
                        </m:r>
                      </m:e>
                      <m:sub>
                        <m:r>
                          <w:rPr>
                            <w:rFonts w:ascii="Cambria Math" w:hAnsi="Cambria Math"/>
                          </w:rPr>
                          <m:t>эф</m:t>
                        </m:r>
                      </m:sub>
                      <m:sup>
                        <m:r>
                          <w:rPr>
                            <w:rFonts w:ascii="Cambria Math" w:hAnsi="Cambria Math"/>
                          </w:rPr>
                          <m:t>м</m:t>
                        </m:r>
                      </m:sup>
                    </m:sSubSup>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∂x</m:t>
                    </m:r>
                  </m:den>
                </m:f>
              </m:oMath>
            </m:oMathPara>
          </w:p>
        </w:tc>
        <w:tc>
          <w:tcPr>
            <w:tcW w:w="804" w:type="dxa"/>
            <w:shd w:val="clear" w:color="auto" w:fill="auto"/>
            <w:vAlign w:val="center"/>
          </w:tcPr>
          <w:p w14:paraId="2F67BED0" w14:textId="3C9B31C9" w:rsidR="00B32939" w:rsidRPr="00B57B36" w:rsidRDefault="00B32939" w:rsidP="00B20565">
            <w:pPr>
              <w:pStyle w:val="CETEquation"/>
              <w:jc w:val="right"/>
            </w:pPr>
            <w:r w:rsidRPr="00B57B36">
              <w:t>(</w:t>
            </w:r>
            <w:r w:rsidR="008A4EC5">
              <w:t>3</w:t>
            </w:r>
            <w:r w:rsidRPr="00B57B36">
              <w:t>)</w:t>
            </w:r>
          </w:p>
        </w:tc>
      </w:tr>
    </w:tbl>
    <w:p w14:paraId="78B56E7E" w14:textId="77777777" w:rsidR="001125D0" w:rsidRDefault="00A008ED" w:rsidP="00876DE7">
      <w:pPr>
        <w:pStyle w:val="CETBodytext"/>
        <w:tabs>
          <w:tab w:val="left" w:pos="567"/>
        </w:tabs>
        <w:rPr>
          <w:rFonts w:eastAsiaTheme="minorEastAsia"/>
          <w:lang w:val="en-GB"/>
        </w:rPr>
      </w:pPr>
      <w:r>
        <w:rPr>
          <w:lang w:val="en-GB"/>
        </w:rPr>
        <w:t>where</w:t>
      </w:r>
      <w:r w:rsidR="00AD0602" w:rsidRPr="001125D0">
        <w:rPr>
          <w:lang w:val="en-GB"/>
        </w:rPr>
        <w:tab/>
      </w:r>
      <m:oMath>
        <m:r>
          <w:rPr>
            <w:rFonts w:ascii="Cambria Math" w:hAnsi="Cambria Math"/>
          </w:rPr>
          <m:t>ϑ</m:t>
        </m:r>
      </m:oMath>
      <w:r w:rsidR="00AD0602" w:rsidRPr="001125D0">
        <w:rPr>
          <w:rFonts w:eastAsiaTheme="minorEastAsia"/>
          <w:lang w:val="en-GB"/>
        </w:rPr>
        <w:t xml:space="preserve"> – </w:t>
      </w:r>
      <w:r>
        <w:rPr>
          <w:rFonts w:eastAsiaTheme="minorEastAsia"/>
          <w:lang w:val="en-GB"/>
        </w:rPr>
        <w:t>groundwater velocity</w:t>
      </w:r>
      <w:r w:rsidR="00AD0602" w:rsidRPr="001125D0">
        <w:rPr>
          <w:rFonts w:eastAsiaTheme="minorEastAsia"/>
          <w:lang w:val="en-GB"/>
        </w:rPr>
        <w:t>;</w:t>
      </w:r>
    </w:p>
    <w:p w14:paraId="1EA445E2" w14:textId="2835ED75" w:rsidR="00AD0602" w:rsidRPr="001125D0" w:rsidRDefault="001125D0" w:rsidP="00876DE7">
      <w:pPr>
        <w:pStyle w:val="CETBodytext"/>
        <w:tabs>
          <w:tab w:val="left" w:pos="567"/>
        </w:tabs>
        <w:rPr>
          <w:rFonts w:eastAsiaTheme="minorEastAsia"/>
          <w:lang w:val="en-GB"/>
        </w:rPr>
      </w:pPr>
      <w:r>
        <w:rPr>
          <w:rFonts w:eastAsiaTheme="minorEastAsia"/>
          <w:lang w:val="en-GB"/>
        </w:rPr>
        <w:tab/>
      </w:r>
      <m:oMath>
        <m:sSubSup>
          <m:sSubSupPr>
            <m:ctrlPr>
              <w:rPr>
                <w:rFonts w:ascii="Cambria Math" w:hAnsi="Cambria Math"/>
                <w:i/>
              </w:rPr>
            </m:ctrlPr>
          </m:sSubSupPr>
          <m:e>
            <m:r>
              <w:rPr>
                <w:rFonts w:ascii="Cambria Math" w:hAnsi="Cambria Math"/>
              </w:rPr>
              <m:t>ε</m:t>
            </m:r>
          </m:e>
          <m:sub>
            <m:r>
              <w:rPr>
                <w:rFonts w:ascii="Cambria Math" w:hAnsi="Cambria Math"/>
                <w:lang w:val="ru-RU"/>
              </w:rPr>
              <m:t>ef</m:t>
            </m:r>
          </m:sub>
          <m:sup>
            <m:r>
              <w:rPr>
                <w:rFonts w:ascii="Cambria Math" w:hAnsi="Cambria Math"/>
                <w:lang w:val="ru-RU"/>
              </w:rPr>
              <m:t>m</m:t>
            </m:r>
          </m:sup>
        </m:sSubSup>
      </m:oMath>
      <w:r w:rsidRPr="001C523E">
        <w:rPr>
          <w:rFonts w:eastAsiaTheme="minorEastAsia"/>
          <w:lang w:val="en-GB"/>
        </w:rPr>
        <w:t xml:space="preserve"> – effective permeability, taking into account adsorption on soil particles</w:t>
      </w:r>
      <w:r>
        <w:rPr>
          <w:rFonts w:eastAsiaTheme="minorEastAsia"/>
          <w:lang w:val="en-GB"/>
        </w:rPr>
        <w:t>;</w:t>
      </w:r>
    </w:p>
    <w:p w14:paraId="1F19C353" w14:textId="055EFDB2" w:rsidR="00AD0602" w:rsidRPr="00EF2050" w:rsidRDefault="00AD0602" w:rsidP="00876DE7">
      <w:pPr>
        <w:pStyle w:val="CETBodytext"/>
        <w:tabs>
          <w:tab w:val="left" w:pos="567"/>
        </w:tabs>
        <w:rPr>
          <w:rFonts w:eastAsiaTheme="minorEastAsia"/>
          <w:lang w:val="en-GB"/>
        </w:rPr>
      </w:pPr>
      <w:r w:rsidRPr="00EF2050">
        <w:rPr>
          <w:lang w:val="en-GB"/>
        </w:rPr>
        <w:tab/>
      </w:r>
      <m:oMath>
        <m:f>
          <m:fPr>
            <m:ctrlPr>
              <w:rPr>
                <w:rFonts w:ascii="Cambria Math" w:hAnsi="Cambria Math"/>
                <w:i/>
              </w:rPr>
            </m:ctrlPr>
          </m:fPr>
          <m:num>
            <m:r>
              <w:rPr>
                <w:rFonts w:ascii="Cambria Math" w:hAnsi="Cambria Math"/>
              </w:rPr>
              <m:t>∂C</m:t>
            </m:r>
          </m:num>
          <m:den>
            <m:r>
              <w:rPr>
                <w:rFonts w:ascii="Cambria Math" w:hAnsi="Cambria Math"/>
              </w:rPr>
              <m:t>∂x</m:t>
            </m:r>
          </m:den>
        </m:f>
      </m:oMath>
      <w:r w:rsidRPr="00EF2050">
        <w:rPr>
          <w:rFonts w:eastAsiaTheme="minorEastAsia"/>
          <w:lang w:val="en-GB"/>
        </w:rPr>
        <w:t xml:space="preserve"> –</w:t>
      </w:r>
      <w:r w:rsidR="00EF2050" w:rsidRPr="00EF2050">
        <w:t xml:space="preserve"> </w:t>
      </w:r>
      <w:r w:rsidR="00EF2050">
        <w:rPr>
          <w:rFonts w:eastAsiaTheme="minorEastAsia"/>
          <w:lang w:val="en-GB"/>
        </w:rPr>
        <w:t>c</w:t>
      </w:r>
      <w:r w:rsidR="00EF2050" w:rsidRPr="00EF2050">
        <w:rPr>
          <w:rFonts w:eastAsiaTheme="minorEastAsia"/>
          <w:lang w:val="en-GB"/>
        </w:rPr>
        <w:t>onvective transfer rate of microorganisms with infiltrating moisture</w:t>
      </w:r>
      <w:r w:rsidRPr="00EF2050">
        <w:rPr>
          <w:rFonts w:eastAsiaTheme="minorEastAsia"/>
          <w:lang w:val="en-GB"/>
        </w:rPr>
        <w:t>.</w:t>
      </w:r>
    </w:p>
    <w:p w14:paraId="7C51FE34" w14:textId="391BFFD2" w:rsidR="00681AB2" w:rsidRPr="00EF2050" w:rsidRDefault="00EF2050" w:rsidP="00EF2050">
      <w:pPr>
        <w:pStyle w:val="CETBodytext"/>
        <w:rPr>
          <w:rFonts w:eastAsiaTheme="minorEastAsia"/>
          <w:lang w:val="en-GB"/>
        </w:rPr>
      </w:pPr>
      <w:r w:rsidRPr="00EF2050">
        <w:rPr>
          <w:rFonts w:eastAsiaTheme="minorEastAsia"/>
        </w:rPr>
        <w:t>When taking into account the total number of microorganisms, the value of hydrocarbon-oxidizing activity is taken equal to at least 50%</w:t>
      </w:r>
      <w:r w:rsidRPr="00EF2050">
        <w:rPr>
          <w:rFonts w:eastAsiaTheme="minorEastAsia"/>
          <w:lang w:val="en-GB"/>
        </w:rPr>
        <w:t>.</w:t>
      </w:r>
    </w:p>
    <w:p w14:paraId="3A6700EC" w14:textId="1ECAF08B" w:rsidR="00AD0602" w:rsidRPr="00EF2050" w:rsidRDefault="0044240B" w:rsidP="00CE22C7">
      <w:pPr>
        <w:pStyle w:val="CETHeading1"/>
        <w:rPr>
          <w:lang w:val="en-GB"/>
        </w:rPr>
      </w:pPr>
      <w:r>
        <w:rPr>
          <w:lang w:val="en-GB"/>
        </w:rPr>
        <w:t>Mathematical</w:t>
      </w:r>
      <w:r w:rsidR="00EF2050" w:rsidRPr="00EF2050">
        <w:rPr>
          <w:lang w:val="en-GB"/>
        </w:rPr>
        <w:t xml:space="preserve"> model</w:t>
      </w:r>
      <w:r>
        <w:rPr>
          <w:lang w:val="en-GB"/>
        </w:rPr>
        <w:t>l</w:t>
      </w:r>
      <w:r w:rsidR="00EF2050" w:rsidRPr="00EF2050">
        <w:rPr>
          <w:lang w:val="en-GB"/>
        </w:rPr>
        <w:t>ing</w:t>
      </w:r>
    </w:p>
    <w:p w14:paraId="27570DB4" w14:textId="4724EDB3" w:rsidR="00EF2050" w:rsidRPr="00EF2050" w:rsidRDefault="00EF2050" w:rsidP="00EF2050">
      <w:pPr>
        <w:pStyle w:val="CETBodytext"/>
        <w:rPr>
          <w:lang w:val="en-GB"/>
        </w:rPr>
      </w:pPr>
      <w:r w:rsidRPr="00EF2050">
        <w:rPr>
          <w:lang w:val="en-GB"/>
        </w:rPr>
        <w:t xml:space="preserve">Laboratory methods for studying mass transfer </w:t>
      </w:r>
      <w:r>
        <w:rPr>
          <w:lang w:val="en-GB"/>
        </w:rPr>
        <w:t>are important to use as an independent tool</w:t>
      </w:r>
      <w:r w:rsidRPr="00EF2050">
        <w:rPr>
          <w:lang w:val="en-GB"/>
        </w:rPr>
        <w:t xml:space="preserve">, i.e. their results can be directly used in the </w:t>
      </w:r>
      <w:r>
        <w:rPr>
          <w:lang w:val="en-GB"/>
        </w:rPr>
        <w:t>creation</w:t>
      </w:r>
      <w:r w:rsidRPr="00EF2050">
        <w:rPr>
          <w:lang w:val="en-GB"/>
        </w:rPr>
        <w:t xml:space="preserve"> of models and in </w:t>
      </w:r>
      <w:r w:rsidR="00546318">
        <w:rPr>
          <w:lang w:val="en-GB"/>
        </w:rPr>
        <w:t>forecast estimations</w:t>
      </w:r>
      <w:r w:rsidRPr="00EF2050">
        <w:rPr>
          <w:lang w:val="en-GB"/>
        </w:rPr>
        <w:t>, as well as auxiliary - when decoding the data of field experiments and observations.</w:t>
      </w:r>
    </w:p>
    <w:p w14:paraId="51B56AE3" w14:textId="53E28641" w:rsidR="00EF2050" w:rsidRPr="00EF2050" w:rsidRDefault="00EF2050" w:rsidP="00EF2050">
      <w:pPr>
        <w:pStyle w:val="CETBodytext"/>
        <w:rPr>
          <w:lang w:val="en-GB"/>
        </w:rPr>
      </w:pPr>
      <w:r w:rsidRPr="00EF2050">
        <w:rPr>
          <w:lang w:val="en-GB"/>
        </w:rPr>
        <w:t xml:space="preserve">The planned laboratory experiment </w:t>
      </w:r>
      <w:r w:rsidR="004E02AE">
        <w:rPr>
          <w:lang w:val="en-GB"/>
        </w:rPr>
        <w:t>was tasked with s</w:t>
      </w:r>
      <w:r w:rsidR="004E02AE" w:rsidRPr="00EF2050">
        <w:rPr>
          <w:lang w:val="en-GB"/>
        </w:rPr>
        <w:t xml:space="preserve">everal interrelated </w:t>
      </w:r>
      <w:r w:rsidR="004E02AE">
        <w:rPr>
          <w:lang w:val="en-GB"/>
        </w:rPr>
        <w:t>objectives</w:t>
      </w:r>
      <w:r w:rsidRPr="00EF2050">
        <w:rPr>
          <w:lang w:val="en-GB"/>
        </w:rPr>
        <w:t>:</w:t>
      </w:r>
    </w:p>
    <w:p w14:paraId="37D25EA8" w14:textId="5027F3A5" w:rsidR="00EF2050" w:rsidRPr="00EF2050" w:rsidRDefault="00EF2050" w:rsidP="00EF2050">
      <w:pPr>
        <w:pStyle w:val="CETBodytext"/>
        <w:rPr>
          <w:lang w:val="en-GB"/>
        </w:rPr>
      </w:pPr>
      <w:r w:rsidRPr="00EF2050">
        <w:rPr>
          <w:lang w:val="en-GB"/>
        </w:rPr>
        <w:t>- determination of</w:t>
      </w:r>
      <w:r w:rsidR="004E02AE">
        <w:rPr>
          <w:lang w:val="en-GB"/>
        </w:rPr>
        <w:t xml:space="preserve"> environmental</w:t>
      </w:r>
      <w:r w:rsidRPr="00EF2050">
        <w:rPr>
          <w:lang w:val="en-GB"/>
        </w:rPr>
        <w:t xml:space="preserve"> migration parameters;</w:t>
      </w:r>
    </w:p>
    <w:p w14:paraId="1C8624DB" w14:textId="05A8E7BF" w:rsidR="00EF2050" w:rsidRPr="00EF2050" w:rsidRDefault="00EF2050" w:rsidP="00EF2050">
      <w:pPr>
        <w:pStyle w:val="CETBodytext"/>
        <w:rPr>
          <w:lang w:val="en-GB"/>
        </w:rPr>
      </w:pPr>
      <w:r w:rsidRPr="00EF2050">
        <w:rPr>
          <w:lang w:val="en-GB"/>
        </w:rPr>
        <w:t xml:space="preserve">- identification of the </w:t>
      </w:r>
      <w:proofErr w:type="spellStart"/>
      <w:r w:rsidRPr="00EF2050">
        <w:rPr>
          <w:lang w:val="en-GB"/>
        </w:rPr>
        <w:t>physico</w:t>
      </w:r>
      <w:proofErr w:type="spellEnd"/>
      <w:r w:rsidRPr="00EF2050">
        <w:rPr>
          <w:lang w:val="en-GB"/>
        </w:rPr>
        <w:t xml:space="preserve">-chemical nature of the </w:t>
      </w:r>
      <w:r w:rsidR="004E02AE" w:rsidRPr="00EF2050">
        <w:rPr>
          <w:lang w:val="en-GB"/>
        </w:rPr>
        <w:t xml:space="preserve">pollutant </w:t>
      </w:r>
      <w:r w:rsidRPr="00EF2050">
        <w:rPr>
          <w:lang w:val="en-GB"/>
        </w:rPr>
        <w:t xml:space="preserve">conversion </w:t>
      </w:r>
      <w:r w:rsidR="004E02AE" w:rsidRPr="00EF2050">
        <w:rPr>
          <w:lang w:val="en-GB"/>
        </w:rPr>
        <w:t>processes</w:t>
      </w:r>
      <w:r w:rsidRPr="00EF2050">
        <w:rPr>
          <w:lang w:val="en-GB"/>
        </w:rPr>
        <w:t>;</w:t>
      </w:r>
    </w:p>
    <w:p w14:paraId="6A781E39" w14:textId="67718A64" w:rsidR="00EF2050" w:rsidRPr="004E02AE" w:rsidRDefault="00EF2050" w:rsidP="00EF2050">
      <w:pPr>
        <w:pStyle w:val="CETBodytext"/>
        <w:rPr>
          <w:lang w:val="en-GB"/>
        </w:rPr>
      </w:pPr>
      <w:r w:rsidRPr="00EF2050">
        <w:rPr>
          <w:lang w:val="en-GB"/>
        </w:rPr>
        <w:t xml:space="preserve">- assessment of parameters that control the course of interphase physical and chemical reactions necessary for predictive </w:t>
      </w:r>
      <w:r w:rsidR="004E02AE">
        <w:rPr>
          <w:lang w:val="en-GB"/>
        </w:rPr>
        <w:t>modelling</w:t>
      </w:r>
      <w:r w:rsidR="004E02AE" w:rsidRPr="004E02AE">
        <w:rPr>
          <w:lang w:val="en-GB"/>
        </w:rPr>
        <w:t>.</w:t>
      </w:r>
    </w:p>
    <w:p w14:paraId="2004D1FC" w14:textId="5BB44046" w:rsidR="00E1710F" w:rsidRPr="004E02AE" w:rsidRDefault="004E02AE" w:rsidP="00B32BC3">
      <w:pPr>
        <w:pStyle w:val="CETBodytext"/>
        <w:rPr>
          <w:lang w:val="en-GB"/>
        </w:rPr>
      </w:pPr>
      <w:r w:rsidRPr="004E02AE">
        <w:rPr>
          <w:lang w:val="en-GB"/>
        </w:rPr>
        <w:t xml:space="preserve">The reliability of the results is largely determined by the preservation of the natural structure of the soil. If it is impossible to </w:t>
      </w:r>
      <w:r w:rsidR="00E1710F">
        <w:rPr>
          <w:lang w:val="en-GB"/>
        </w:rPr>
        <w:t>receive</w:t>
      </w:r>
      <w:r w:rsidRPr="004E02AE">
        <w:rPr>
          <w:lang w:val="en-GB"/>
        </w:rPr>
        <w:t xml:space="preserve"> an undisturbed structure, it is necessary to pre-compact the soil under </w:t>
      </w:r>
      <w:proofErr w:type="spellStart"/>
      <w:r w:rsidRPr="004E02AE">
        <w:rPr>
          <w:lang w:val="en-GB"/>
        </w:rPr>
        <w:t>technogenic</w:t>
      </w:r>
      <w:proofErr w:type="spellEnd"/>
      <w:r w:rsidRPr="004E02AE">
        <w:rPr>
          <w:lang w:val="en-GB"/>
        </w:rPr>
        <w:t xml:space="preserve"> loads.</w:t>
      </w:r>
      <w:r w:rsidR="00D7284E">
        <w:rPr>
          <w:lang w:val="en-GB"/>
        </w:rPr>
        <w:t xml:space="preserve"> </w:t>
      </w:r>
      <w:r w:rsidR="00E1710F" w:rsidRPr="00E1710F">
        <w:rPr>
          <w:lang w:val="en-GB"/>
        </w:rPr>
        <w:t xml:space="preserve">A </w:t>
      </w:r>
      <w:r w:rsidR="00E1710F">
        <w:rPr>
          <w:lang w:val="en-GB"/>
        </w:rPr>
        <w:t>microbial</w:t>
      </w:r>
      <w:r w:rsidR="00E1710F" w:rsidRPr="00E1710F">
        <w:rPr>
          <w:lang w:val="en-GB"/>
        </w:rPr>
        <w:t xml:space="preserve"> consortium is a liquid </w:t>
      </w:r>
      <w:r w:rsidR="00E1710F">
        <w:rPr>
          <w:lang w:val="en-GB"/>
        </w:rPr>
        <w:t>activated</w:t>
      </w:r>
      <w:r w:rsidR="00E1710F" w:rsidRPr="00E1710F">
        <w:rPr>
          <w:lang w:val="en-GB"/>
        </w:rPr>
        <w:t xml:space="preserve"> suspension of microorganisms </w:t>
      </w:r>
      <w:r w:rsidR="00E1710F">
        <w:rPr>
          <w:lang w:val="en-GB"/>
        </w:rPr>
        <w:t>included in the</w:t>
      </w:r>
      <w:r w:rsidR="00E1710F" w:rsidRPr="00E1710F">
        <w:rPr>
          <w:lang w:val="en-GB"/>
        </w:rPr>
        <w:t xml:space="preserve"> </w:t>
      </w:r>
      <w:r w:rsidR="00E1710F">
        <w:rPr>
          <w:lang w:val="en-GB"/>
        </w:rPr>
        <w:t>bio-based product</w:t>
      </w:r>
      <w:r w:rsidR="00E1710F" w:rsidRPr="00E1710F">
        <w:rPr>
          <w:lang w:val="en-GB"/>
        </w:rPr>
        <w:t>-oil de</w:t>
      </w:r>
      <w:r w:rsidR="00E1710F">
        <w:rPr>
          <w:lang w:val="en-GB"/>
        </w:rPr>
        <w:t>structor</w:t>
      </w:r>
      <w:r w:rsidR="00E1710F" w:rsidRPr="00E1710F">
        <w:rPr>
          <w:lang w:val="en-GB"/>
        </w:rPr>
        <w:t xml:space="preserve"> (</w:t>
      </w:r>
      <w:proofErr w:type="spellStart"/>
      <w:r w:rsidR="00E1710F" w:rsidRPr="00E1710F">
        <w:rPr>
          <w:lang w:val="en-GB"/>
        </w:rPr>
        <w:t>biosuspension</w:t>
      </w:r>
      <w:proofErr w:type="spellEnd"/>
      <w:r w:rsidR="00E1710F" w:rsidRPr="00E1710F">
        <w:rPr>
          <w:lang w:val="en-GB"/>
        </w:rPr>
        <w:t>).</w:t>
      </w:r>
    </w:p>
    <w:p w14:paraId="74B66719" w14:textId="51431A03" w:rsidR="00E1710F" w:rsidRPr="00E1710F" w:rsidRDefault="00E1710F" w:rsidP="00E1710F">
      <w:pPr>
        <w:pStyle w:val="CETBodytext"/>
        <w:rPr>
          <w:lang w:val="en-GB"/>
        </w:rPr>
      </w:pPr>
      <w:r w:rsidRPr="00E1710F">
        <w:t xml:space="preserve">The </w:t>
      </w:r>
      <w:r>
        <w:t>adding</w:t>
      </w:r>
      <w:r w:rsidRPr="00E1710F">
        <w:t xml:space="preserve"> of activated </w:t>
      </w:r>
      <w:proofErr w:type="spellStart"/>
      <w:r w:rsidRPr="00E1710F">
        <w:t>biosuspension</w:t>
      </w:r>
      <w:proofErr w:type="spellEnd"/>
      <w:r w:rsidRPr="00E1710F">
        <w:t xml:space="preserve"> as an indicator for subsequent quantitative modeling can be carried out in two ways, shown in Figure 2.</w:t>
      </w:r>
    </w:p>
    <w:p w14:paraId="6F4EB4C7" w14:textId="2885BFEC" w:rsidR="008728E5" w:rsidRPr="00802974" w:rsidRDefault="00802974" w:rsidP="00B32BC3">
      <w:pPr>
        <w:pStyle w:val="CETBodytext"/>
        <w:rPr>
          <w:lang w:val="ru-RU"/>
        </w:rPr>
      </w:pPr>
      <w:r>
        <w:rPr>
          <w:noProof/>
          <w:lang w:val="it-IT" w:eastAsia="it-IT"/>
        </w:rPr>
        <w:drawing>
          <wp:inline distT="0" distB="0" distL="0" distR="0" wp14:anchorId="49EC718D" wp14:editId="36B5D026">
            <wp:extent cx="3403600" cy="1059487"/>
            <wp:effectExtent l="0" t="0" r="635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9968" cy="1506606"/>
                    </a:xfrm>
                    <a:prstGeom prst="rect">
                      <a:avLst/>
                    </a:prstGeom>
                    <a:noFill/>
                    <a:ln>
                      <a:noFill/>
                    </a:ln>
                  </pic:spPr>
                </pic:pic>
              </a:graphicData>
            </a:graphic>
          </wp:inline>
        </w:drawing>
      </w:r>
    </w:p>
    <w:p w14:paraId="60F7135F" w14:textId="25997D00" w:rsidR="008728E5" w:rsidRPr="00895D55" w:rsidRDefault="00895D55" w:rsidP="00895D55">
      <w:pPr>
        <w:pStyle w:val="CETCaption"/>
      </w:pPr>
      <w:r>
        <w:t>Figure</w:t>
      </w:r>
      <w:r w:rsidR="008728E5" w:rsidRPr="00895D55">
        <w:t xml:space="preserve"> </w:t>
      </w:r>
      <w:r w:rsidR="00CF43B0" w:rsidRPr="00895D55">
        <w:t>2</w:t>
      </w:r>
      <w:r w:rsidRPr="00895D55">
        <w:t>:</w:t>
      </w:r>
      <w:r w:rsidR="008728E5" w:rsidRPr="00895D55">
        <w:t xml:space="preserve"> </w:t>
      </w:r>
      <w:r w:rsidRPr="00895D55">
        <w:t xml:space="preserve">The scheme for </w:t>
      </w:r>
      <w:r>
        <w:t>adding</w:t>
      </w:r>
      <w:r w:rsidRPr="00895D55">
        <w:t xml:space="preserve"> </w:t>
      </w:r>
      <w:r>
        <w:t xml:space="preserve">the </w:t>
      </w:r>
      <w:proofErr w:type="spellStart"/>
      <w:r w:rsidRPr="00895D55">
        <w:t>biosuspension</w:t>
      </w:r>
      <w:proofErr w:type="spellEnd"/>
      <w:r w:rsidRPr="00895D55">
        <w:t xml:space="preserve"> into the polluted groundwater flow: a) </w:t>
      </w:r>
      <w:r>
        <w:t>from</w:t>
      </w:r>
      <w:r w:rsidRPr="00895D55">
        <w:t xml:space="preserve"> the soil surface with its subsequent filtration through the </w:t>
      </w:r>
      <w:proofErr w:type="spellStart"/>
      <w:r>
        <w:t>vadoze</w:t>
      </w:r>
      <w:proofErr w:type="spellEnd"/>
      <w:r w:rsidRPr="00895D55">
        <w:t xml:space="preserve"> zone; b) injection through perforated pipes (wells): 1 - zone of oil pollution (oil lens), 2 - underground aquifer, 3 - </w:t>
      </w:r>
      <w:proofErr w:type="spellStart"/>
      <w:r w:rsidRPr="00895D55">
        <w:t>biosuspension</w:t>
      </w:r>
      <w:proofErr w:type="spellEnd"/>
    </w:p>
    <w:p w14:paraId="25D3B635" w14:textId="77777777" w:rsidR="001C426F" w:rsidRDefault="00895D55" w:rsidP="001C426F">
      <w:pPr>
        <w:pStyle w:val="CETBodytext"/>
      </w:pPr>
      <w:r w:rsidRPr="00895D55">
        <w:rPr>
          <w:lang w:val="en-GB"/>
        </w:rPr>
        <w:t xml:space="preserve">In the planned experiment, </w:t>
      </w:r>
      <w:proofErr w:type="spellStart"/>
      <w:r w:rsidRPr="00895D55">
        <w:rPr>
          <w:lang w:val="en-GB"/>
        </w:rPr>
        <w:t>biosuspension</w:t>
      </w:r>
      <w:proofErr w:type="spellEnd"/>
      <w:r w:rsidRPr="00895D55">
        <w:rPr>
          <w:lang w:val="en-GB"/>
        </w:rPr>
        <w:t xml:space="preserve"> is introduced</w:t>
      </w:r>
      <w:r w:rsidR="00802974" w:rsidRPr="00802974">
        <w:rPr>
          <w:lang w:val="en-GB"/>
        </w:rPr>
        <w:t xml:space="preserve"> </w:t>
      </w:r>
      <w:r w:rsidR="00802974">
        <w:rPr>
          <w:lang w:val="en-GB"/>
        </w:rPr>
        <w:t>both ways:</w:t>
      </w:r>
      <w:r w:rsidRPr="00895D55">
        <w:rPr>
          <w:lang w:val="en-GB"/>
        </w:rPr>
        <w:t xml:space="preserve"> </w:t>
      </w:r>
      <w:r w:rsidR="00394F88">
        <w:rPr>
          <w:lang w:val="en-GB"/>
        </w:rPr>
        <w:t>m</w:t>
      </w:r>
      <w:r w:rsidR="00802974">
        <w:rPr>
          <w:lang w:val="en-GB"/>
        </w:rPr>
        <w:t>ixed with</w:t>
      </w:r>
      <w:r w:rsidRPr="00895D55">
        <w:rPr>
          <w:lang w:val="en-GB"/>
        </w:rPr>
        <w:t xml:space="preserve"> pumped-out liquid stream through the infiltration gallery </w:t>
      </w:r>
      <w:r w:rsidR="00802974">
        <w:rPr>
          <w:lang w:val="en-GB"/>
        </w:rPr>
        <w:t>and directly using the injection wells</w:t>
      </w:r>
      <w:r w:rsidRPr="00895D55">
        <w:rPr>
          <w:lang w:val="en-GB"/>
        </w:rPr>
        <w:t xml:space="preserve"> (Figure 3).</w:t>
      </w:r>
      <w:r w:rsidR="001C426F" w:rsidRPr="001C426F">
        <w:t xml:space="preserve"> </w:t>
      </w:r>
    </w:p>
    <w:p w14:paraId="71ECFBFA" w14:textId="7B969A1D" w:rsidR="001E54EE" w:rsidRPr="00802974" w:rsidRDefault="00BE61E3" w:rsidP="00B32BC3">
      <w:pPr>
        <w:pStyle w:val="CETBodytext"/>
        <w:rPr>
          <w:lang w:val="en-GB"/>
        </w:rPr>
      </w:pPr>
      <w:r>
        <w:rPr>
          <w:noProof/>
          <w:lang w:val="it-IT" w:eastAsia="it-IT"/>
        </w:rPr>
        <w:drawing>
          <wp:inline distT="0" distB="0" distL="0" distR="0" wp14:anchorId="16B577E0" wp14:editId="600878AC">
            <wp:extent cx="4425950" cy="228195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3000"/>
                    <a:stretch/>
                  </pic:blipFill>
                  <pic:spPr bwMode="auto">
                    <a:xfrm>
                      <a:off x="0" y="0"/>
                      <a:ext cx="4892133" cy="2522313"/>
                    </a:xfrm>
                    <a:prstGeom prst="rect">
                      <a:avLst/>
                    </a:prstGeom>
                    <a:noFill/>
                    <a:ln>
                      <a:noFill/>
                    </a:ln>
                    <a:extLst>
                      <a:ext uri="{53640926-AAD7-44D8-BBD7-CCE9431645EC}">
                        <a14:shadowObscured xmlns:a14="http://schemas.microsoft.com/office/drawing/2010/main"/>
                      </a:ext>
                    </a:extLst>
                  </pic:spPr>
                </pic:pic>
              </a:graphicData>
            </a:graphic>
          </wp:inline>
        </w:drawing>
      </w:r>
    </w:p>
    <w:p w14:paraId="2C334EA4" w14:textId="241E4632" w:rsidR="001E54EE" w:rsidRPr="00802974" w:rsidRDefault="009F7174" w:rsidP="00802974">
      <w:pPr>
        <w:pStyle w:val="CETCaption"/>
      </w:pPr>
      <w:r>
        <w:t>Figure</w:t>
      </w:r>
      <w:r w:rsidR="001E54EE" w:rsidRPr="00802974">
        <w:t xml:space="preserve"> </w:t>
      </w:r>
      <w:r w:rsidR="00CF43B0" w:rsidRPr="00802974">
        <w:t>3</w:t>
      </w:r>
      <w:r w:rsidR="001E54EE" w:rsidRPr="00802974">
        <w:t xml:space="preserve"> – </w:t>
      </w:r>
      <w:r w:rsidR="00802974">
        <w:t>The s</w:t>
      </w:r>
      <w:r w:rsidR="00802974" w:rsidRPr="00802974">
        <w:t xml:space="preserve">cheme of the </w:t>
      </w:r>
      <w:r w:rsidR="00327464">
        <w:t>box</w:t>
      </w:r>
      <w:r w:rsidR="00802974" w:rsidRPr="00802974">
        <w:t xml:space="preserve"> for a model experiment</w:t>
      </w:r>
    </w:p>
    <w:p w14:paraId="67624424" w14:textId="260BC138" w:rsidR="000B0A95" w:rsidRDefault="000B0A95" w:rsidP="000B0A95">
      <w:pPr>
        <w:pStyle w:val="CETBodytext"/>
      </w:pPr>
      <w:r>
        <w:lastRenderedPageBreak/>
        <w:t xml:space="preserve">Microorganisms of various types have different emulsifying ability and </w:t>
      </w:r>
      <w:r w:rsidR="00550890">
        <w:t>produce</w:t>
      </w:r>
      <w:r>
        <w:t xml:space="preserve"> surfactants of various nature. In response to the presence of hydrocarbons oil-oxidizing microorganisms synthesize surfactants</w:t>
      </w:r>
      <w:r w:rsidRPr="00E93186">
        <w:rPr>
          <w:color w:val="000000" w:themeColor="text1"/>
        </w:rPr>
        <w:t xml:space="preserve"> (</w:t>
      </w:r>
      <w:proofErr w:type="spellStart"/>
      <w:r w:rsidRPr="00E93186">
        <w:rPr>
          <w:color w:val="000000" w:themeColor="text1"/>
        </w:rPr>
        <w:t>Besha</w:t>
      </w:r>
      <w:proofErr w:type="spellEnd"/>
      <w:r>
        <w:rPr>
          <w:color w:val="000000" w:themeColor="text1"/>
        </w:rPr>
        <w:t>, et al, 2018</w:t>
      </w:r>
      <w:r w:rsidRPr="00E93186">
        <w:rPr>
          <w:color w:val="000000" w:themeColor="text1"/>
        </w:rPr>
        <w:t>)</w:t>
      </w:r>
      <w:r>
        <w:t>.</w:t>
      </w:r>
    </w:p>
    <w:p w14:paraId="3FDD0965" w14:textId="77777777" w:rsidR="000B0A95" w:rsidRPr="00327464" w:rsidRDefault="000B0A95" w:rsidP="000B0A95">
      <w:pPr>
        <w:pStyle w:val="CETBodytext"/>
      </w:pPr>
      <w:r>
        <w:t>The loss of oil fluid in the geological environment occurs due to biodegradation of the hydrocarbon phase of and leaching in emulsified form.</w:t>
      </w:r>
    </w:p>
    <w:p w14:paraId="1DBE4C3F" w14:textId="551FCBDE" w:rsidR="000B0A95" w:rsidRPr="00327464" w:rsidRDefault="000B0A95" w:rsidP="000B0A95">
      <w:pPr>
        <w:pStyle w:val="CETBodytext"/>
        <w:rPr>
          <w:lang w:val="en-GB"/>
        </w:rPr>
      </w:pPr>
      <w:r w:rsidRPr="00327464">
        <w:rPr>
          <w:lang w:val="en-GB"/>
        </w:rPr>
        <w:t>Biodegradation is described by the Mono</w:t>
      </w:r>
      <w:r>
        <w:rPr>
          <w:lang w:val="en-GB"/>
        </w:rPr>
        <w:t>d</w:t>
      </w:r>
      <w:r w:rsidRPr="00327464">
        <w:rPr>
          <w:lang w:val="en-GB"/>
        </w:rPr>
        <w:t xml:space="preserve"> equation</w:t>
      </w:r>
      <w:r w:rsidR="00BB7ADE">
        <w:rPr>
          <w:lang w:val="en-GB"/>
        </w:rPr>
        <w:t xml:space="preserve"> (</w:t>
      </w:r>
      <w:proofErr w:type="spellStart"/>
      <w:r w:rsidR="00BB7ADE" w:rsidRPr="00BB7ADE">
        <w:rPr>
          <w:lang w:val="en-GB"/>
        </w:rPr>
        <w:t>Toscano</w:t>
      </w:r>
      <w:proofErr w:type="spellEnd"/>
      <w:r w:rsidR="00BB7ADE" w:rsidRPr="00BB7ADE">
        <w:rPr>
          <w:lang w:val="en-GB"/>
        </w:rPr>
        <w:t xml:space="preserve">, </w:t>
      </w:r>
      <w:proofErr w:type="spellStart"/>
      <w:r w:rsidR="00BB7ADE" w:rsidRPr="00BB7ADE">
        <w:rPr>
          <w:lang w:val="en-GB"/>
        </w:rPr>
        <w:t>Colarieti</w:t>
      </w:r>
      <w:proofErr w:type="spellEnd"/>
      <w:r w:rsidR="00BB7ADE" w:rsidRPr="00BB7ADE">
        <w:rPr>
          <w:lang w:val="en-GB"/>
        </w:rPr>
        <w:t>, Greco</w:t>
      </w:r>
      <w:r w:rsidR="00BB7ADE">
        <w:rPr>
          <w:lang w:val="en-GB"/>
        </w:rPr>
        <w:t>, 2012)</w:t>
      </w:r>
      <w:r w:rsidRPr="00327464">
        <w:rPr>
          <w:lang w:val="en-GB"/>
        </w:rPr>
        <w:t xml:space="preserve">, </w:t>
      </w:r>
      <w:r>
        <w:rPr>
          <w:lang w:val="en-GB"/>
        </w:rPr>
        <w:t>while</w:t>
      </w:r>
      <w:r w:rsidRPr="00327464">
        <w:rPr>
          <w:lang w:val="en-GB"/>
        </w:rPr>
        <w:t xml:space="preserve"> leaching is described by the convective transfer equation, and their combination describes the total loss of oil fluid:</w:t>
      </w:r>
    </w:p>
    <w:tbl>
      <w:tblPr>
        <w:tblW w:w="5000" w:type="pct"/>
        <w:tblLook w:val="04A0" w:firstRow="1" w:lastRow="0" w:firstColumn="1" w:lastColumn="0" w:noHBand="0" w:noVBand="1"/>
      </w:tblPr>
      <w:tblGrid>
        <w:gridCol w:w="8179"/>
        <w:gridCol w:w="824"/>
      </w:tblGrid>
      <w:tr w:rsidR="000B0A95" w:rsidRPr="00B57B36" w14:paraId="48CF9040" w14:textId="77777777" w:rsidTr="00FB7612">
        <w:tc>
          <w:tcPr>
            <w:tcW w:w="7983" w:type="dxa"/>
            <w:shd w:val="clear" w:color="auto" w:fill="auto"/>
            <w:vAlign w:val="center"/>
          </w:tcPr>
          <w:p w14:paraId="287FDD96" w14:textId="77777777" w:rsidR="000B0A95" w:rsidRPr="00032C7D" w:rsidRDefault="00C35F54" w:rsidP="00FB7612">
            <w:pPr>
              <w:pStyle w:val="CETBodytext"/>
              <w:rPr>
                <w:rFonts w:eastAsiaTheme="minorEastAsia"/>
                <w:i/>
              </w:rPr>
            </w:pPr>
            <m:oMathPara>
              <m:oMathParaPr>
                <m:jc m:val="left"/>
              </m:oMathParaPr>
              <m:oMath>
                <m:f>
                  <m:fPr>
                    <m:ctrlPr>
                      <w:rPr>
                        <w:rFonts w:ascii="Cambria Math" w:hAnsi="Cambria Math"/>
                        <w:i/>
                        <w:lang w:val="ru-RU"/>
                      </w:rPr>
                    </m:ctrlPr>
                  </m:fPr>
                  <m:num>
                    <m:r>
                      <w:rPr>
                        <w:rFonts w:ascii="Cambria Math" w:hAnsi="Cambria Math"/>
                        <w:lang w:val="ru-RU"/>
                      </w:rPr>
                      <m:t>∂G</m:t>
                    </m:r>
                  </m:num>
                  <m:den>
                    <m:r>
                      <w:rPr>
                        <w:rFonts w:ascii="Cambria Math" w:hAnsi="Cambria Math"/>
                        <w:lang w:val="ru-RU"/>
                      </w:rPr>
                      <m:t>∂t</m:t>
                    </m:r>
                  </m:den>
                </m:f>
                <m:r>
                  <w:rPr>
                    <w:rFonts w:ascii="Cambria Math" w:hAnsi="Cambria Math"/>
                    <w:lang w:val="ru-RU"/>
                  </w:rPr>
                  <m:t>=-</m:t>
                </m:r>
                <m:f>
                  <m:fPr>
                    <m:ctrlPr>
                      <w:rPr>
                        <w:rFonts w:ascii="Cambria Math" w:hAnsi="Cambria Math"/>
                        <w:i/>
                        <w:lang w:val="ru-RU"/>
                      </w:rPr>
                    </m:ctrlPr>
                  </m:fPr>
                  <m:num>
                    <m:r>
                      <w:rPr>
                        <w:rFonts w:ascii="Cambria Math" w:hAnsi="Cambria Math"/>
                        <w:lang w:val="ru-RU"/>
                      </w:rPr>
                      <m:t>1</m:t>
                    </m:r>
                  </m:num>
                  <m:den>
                    <m:r>
                      <w:rPr>
                        <w:rFonts w:ascii="Cambria Math" w:hAnsi="Cambria Math"/>
                        <w:lang w:val="ru-RU"/>
                      </w:rPr>
                      <m:t>q</m:t>
                    </m:r>
                  </m:den>
                </m:f>
                <m:r>
                  <w:rPr>
                    <w:rFonts w:ascii="Cambria Math" w:hAnsi="Cambria Math"/>
                  </w:rPr>
                  <m:t>∙</m:t>
                </m:r>
                <m:f>
                  <m:fPr>
                    <m:ctrlPr>
                      <w:rPr>
                        <w:rFonts w:ascii="Cambria Math" w:hAnsi="Cambria Math"/>
                        <w:i/>
                      </w:rPr>
                    </m:ctrlPr>
                  </m:fPr>
                  <m:num>
                    <m:r>
                      <w:rPr>
                        <w:rFonts w:ascii="Cambria Math" w:hAnsi="Cambria Math"/>
                      </w:rPr>
                      <m:t>μ∙G</m:t>
                    </m:r>
                  </m:num>
                  <m:den>
                    <m:r>
                      <w:rPr>
                        <w:rFonts w:ascii="Cambria Math" w:hAnsi="Cambria Math"/>
                      </w:rPr>
                      <m:t>G+</m:t>
                    </m:r>
                    <m:sSub>
                      <m:sSubPr>
                        <m:ctrlPr>
                          <w:rPr>
                            <w:rFonts w:ascii="Cambria Math" w:hAnsi="Cambria Math"/>
                            <w:i/>
                          </w:rPr>
                        </m:ctrlPr>
                      </m:sSubPr>
                      <m:e>
                        <m:r>
                          <w:rPr>
                            <w:rFonts w:ascii="Cambria Math" w:hAnsi="Cambria Math"/>
                          </w:rPr>
                          <m:t>K</m:t>
                        </m:r>
                      </m:e>
                      <m:sub>
                        <m:r>
                          <w:rPr>
                            <w:rFonts w:ascii="Cambria Math" w:hAnsi="Cambria Math"/>
                          </w:rPr>
                          <m:t>S</m:t>
                        </m:r>
                      </m:sub>
                    </m:sSub>
                  </m:den>
                </m:f>
                <m:r>
                  <w:rPr>
                    <w:rFonts w:ascii="Cambria Math" w:hAnsi="Cambria Math"/>
                  </w:rPr>
                  <m:t>∙C-</m:t>
                </m:r>
                <m:f>
                  <m:fPr>
                    <m:ctrlPr>
                      <w:rPr>
                        <w:rFonts w:ascii="Cambria Math" w:hAnsi="Cambria Math"/>
                        <w:i/>
                      </w:rPr>
                    </m:ctrlPr>
                  </m:fPr>
                  <m:num>
                    <m:r>
                      <w:rPr>
                        <w:rFonts w:ascii="Cambria Math" w:hAnsi="Cambria Math"/>
                      </w:rPr>
                      <m:t>ϑ∙n</m:t>
                    </m:r>
                  </m:num>
                  <m:den>
                    <m:r>
                      <w:rPr>
                        <w:rFonts w:ascii="Cambria Math" w:hAnsi="Cambria Math"/>
                      </w:rPr>
                      <m:t>ρ</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lang w:val="ru-RU"/>
                          </w:rPr>
                          <m:t>e</m:t>
                        </m:r>
                      </m:sub>
                    </m:sSub>
                  </m:num>
                  <m:den>
                    <m:r>
                      <w:rPr>
                        <w:rFonts w:ascii="Cambria Math" w:hAnsi="Cambria Math"/>
                      </w:rPr>
                      <m:t>∂x</m:t>
                    </m:r>
                  </m:den>
                </m:f>
              </m:oMath>
            </m:oMathPara>
          </w:p>
        </w:tc>
        <w:tc>
          <w:tcPr>
            <w:tcW w:w="804" w:type="dxa"/>
            <w:shd w:val="clear" w:color="auto" w:fill="auto"/>
            <w:vAlign w:val="center"/>
          </w:tcPr>
          <w:p w14:paraId="4C648F05" w14:textId="13BCEDCB" w:rsidR="000B0A95" w:rsidRPr="00B57B36" w:rsidRDefault="000B0A95" w:rsidP="00FB7612">
            <w:pPr>
              <w:pStyle w:val="CETEquation"/>
              <w:jc w:val="right"/>
            </w:pPr>
            <w:r w:rsidRPr="00B57B36">
              <w:t>(</w:t>
            </w:r>
            <w:r w:rsidR="008A4EC5">
              <w:t>4</w:t>
            </w:r>
            <w:r w:rsidRPr="00B57B36">
              <w:t>)</w:t>
            </w:r>
          </w:p>
        </w:tc>
      </w:tr>
    </w:tbl>
    <w:p w14:paraId="5DDDD47E" w14:textId="77777777" w:rsidR="000B0A95" w:rsidRPr="00327464" w:rsidRDefault="000B0A95" w:rsidP="000B0A95">
      <w:pPr>
        <w:pStyle w:val="CETBodytext"/>
        <w:tabs>
          <w:tab w:val="left" w:pos="567"/>
          <w:tab w:val="left" w:pos="993"/>
        </w:tabs>
        <w:rPr>
          <w:lang w:val="en-GB"/>
        </w:rPr>
      </w:pPr>
      <w:r>
        <w:rPr>
          <w:lang w:val="en-GB"/>
        </w:rPr>
        <w:t>where</w:t>
      </w:r>
      <w:r w:rsidRPr="00327464">
        <w:rPr>
          <w:lang w:val="en-GB"/>
        </w:rPr>
        <w:tab/>
      </w:r>
      <w:r>
        <w:rPr>
          <w:lang w:val="en-GB"/>
        </w:rPr>
        <w:t>q</w:t>
      </w:r>
      <w:r w:rsidRPr="00327464">
        <w:rPr>
          <w:lang w:val="en-GB"/>
        </w:rPr>
        <w:t xml:space="preserve"> – </w:t>
      </w:r>
      <w:r>
        <w:rPr>
          <w:lang w:val="en-GB"/>
        </w:rPr>
        <w:t xml:space="preserve">a </w:t>
      </w:r>
      <w:r w:rsidRPr="00327464">
        <w:rPr>
          <w:lang w:val="en-GB"/>
        </w:rPr>
        <w:t xml:space="preserve">coefficient linking the number of formed cells with the </w:t>
      </w:r>
      <w:r>
        <w:rPr>
          <w:lang w:val="en-GB"/>
        </w:rPr>
        <w:t>degraded</w:t>
      </w:r>
      <w:r w:rsidRPr="00327464">
        <w:rPr>
          <w:lang w:val="en-GB"/>
        </w:rPr>
        <w:t xml:space="preserve"> substrate;</w:t>
      </w:r>
    </w:p>
    <w:p w14:paraId="222DDF89" w14:textId="77777777" w:rsidR="000B0A95" w:rsidRPr="00327464" w:rsidRDefault="000B0A95" w:rsidP="000B0A95">
      <w:pPr>
        <w:pStyle w:val="CETBodytext"/>
        <w:tabs>
          <w:tab w:val="left" w:pos="567"/>
          <w:tab w:val="left" w:pos="993"/>
        </w:tabs>
        <w:rPr>
          <w:lang w:val="en-GB"/>
        </w:rPr>
      </w:pPr>
      <w:r w:rsidRPr="00327464">
        <w:rPr>
          <w:lang w:val="en-GB"/>
        </w:rPr>
        <w:tab/>
      </w:r>
      <m:oMath>
        <m:sSub>
          <m:sSubPr>
            <m:ctrlPr>
              <w:rPr>
                <w:rFonts w:ascii="Cambria Math" w:hAnsi="Cambria Math"/>
                <w:i/>
              </w:rPr>
            </m:ctrlPr>
          </m:sSubPr>
          <m:e>
            <m:r>
              <w:rPr>
                <w:rFonts w:ascii="Cambria Math" w:hAnsi="Cambria Math"/>
              </w:rPr>
              <m:t>G</m:t>
            </m:r>
          </m:e>
          <m:sub>
            <m:r>
              <w:rPr>
                <w:rFonts w:ascii="Cambria Math" w:hAnsi="Cambria Math"/>
                <w:lang w:val="ru-RU"/>
              </w:rPr>
              <m:t>e</m:t>
            </m:r>
          </m:sub>
        </m:sSub>
      </m:oMath>
      <w:r w:rsidRPr="00327464">
        <w:rPr>
          <w:lang w:val="en-GB"/>
        </w:rPr>
        <w:t xml:space="preserve"> – concentration of emulsified </w:t>
      </w:r>
      <w:r>
        <w:rPr>
          <w:lang w:val="en-GB"/>
        </w:rPr>
        <w:t>HC contamination</w:t>
      </w:r>
      <w:r w:rsidRPr="00327464">
        <w:rPr>
          <w:lang w:val="en-GB"/>
        </w:rPr>
        <w:t xml:space="preserve"> in groundwater.</w:t>
      </w:r>
    </w:p>
    <w:p w14:paraId="1A262751" w14:textId="22015EED" w:rsidR="00DF0EEC" w:rsidRDefault="00327464" w:rsidP="00F63A49">
      <w:pPr>
        <w:pStyle w:val="CETBodytext"/>
        <w:rPr>
          <w:lang w:val="en-GB"/>
        </w:rPr>
      </w:pPr>
      <w:r w:rsidRPr="00327464">
        <w:rPr>
          <w:lang w:val="en-GB"/>
        </w:rPr>
        <w:t xml:space="preserve">It is </w:t>
      </w:r>
      <w:r>
        <w:rPr>
          <w:lang w:val="en-GB"/>
        </w:rPr>
        <w:t>widely thought</w:t>
      </w:r>
      <w:r w:rsidRPr="00327464">
        <w:rPr>
          <w:lang w:val="en-GB"/>
        </w:rPr>
        <w:t xml:space="preserve"> that bacteria produce surfactants </w:t>
      </w:r>
      <w:r>
        <w:rPr>
          <w:lang w:val="en-GB"/>
        </w:rPr>
        <w:t>during</w:t>
      </w:r>
      <w:r w:rsidRPr="00327464">
        <w:rPr>
          <w:lang w:val="en-GB"/>
        </w:rPr>
        <w:t xml:space="preserve"> the decomposition of hydrocarbons, i.e. some hydrocarbons are used to produce surfactants.</w:t>
      </w:r>
      <w:r w:rsidR="00F63A49" w:rsidRPr="00F63A49">
        <w:rPr>
          <w:lang w:val="en-GB"/>
        </w:rPr>
        <w:t xml:space="preserve"> </w:t>
      </w:r>
      <w:r w:rsidR="007344C1">
        <w:rPr>
          <w:lang w:val="en-GB"/>
        </w:rPr>
        <w:t xml:space="preserve">The process of bio-surfactant </w:t>
      </w:r>
      <w:r w:rsidR="00550890" w:rsidRPr="00550890">
        <w:rPr>
          <w:lang w:val="en-GB"/>
        </w:rPr>
        <w:t>synthesis</w:t>
      </w:r>
      <w:r w:rsidR="007344C1">
        <w:rPr>
          <w:lang w:val="en-GB"/>
        </w:rPr>
        <w:t xml:space="preserve"> is described by the equation of type Monod. </w:t>
      </w:r>
      <w:r w:rsidR="00BB20F4" w:rsidRPr="00BB20F4">
        <w:rPr>
          <w:lang w:val="en-GB"/>
        </w:rPr>
        <w:t xml:space="preserve">The </w:t>
      </w:r>
      <w:r w:rsidR="00550890">
        <w:rPr>
          <w:lang w:val="en-GB"/>
        </w:rPr>
        <w:t>produced</w:t>
      </w:r>
      <w:r w:rsidR="00BB20F4" w:rsidRPr="00BB20F4">
        <w:rPr>
          <w:lang w:val="en-GB"/>
        </w:rPr>
        <w:t xml:space="preserve"> bio-surfactant is spent on emulsification of </w:t>
      </w:r>
      <w:r w:rsidR="00BB20F4">
        <w:rPr>
          <w:lang w:val="en-GB"/>
        </w:rPr>
        <w:t>HC contamination</w:t>
      </w:r>
      <w:r w:rsidR="00F63A49" w:rsidRPr="00F63A49">
        <w:rPr>
          <w:lang w:val="en-GB"/>
        </w:rPr>
        <w:t>.</w:t>
      </w:r>
      <w:r w:rsidR="00F63A49">
        <w:rPr>
          <w:lang w:val="en-GB"/>
        </w:rPr>
        <w:t xml:space="preserve"> </w:t>
      </w:r>
      <w:r w:rsidR="00DF0EEC" w:rsidRPr="00DF0EEC">
        <w:rPr>
          <w:lang w:val="en-GB"/>
        </w:rPr>
        <w:t xml:space="preserve">That </w:t>
      </w:r>
      <w:r w:rsidR="00DF0EEC">
        <w:rPr>
          <w:lang w:val="en-GB"/>
        </w:rPr>
        <w:t>means</w:t>
      </w:r>
      <w:r w:rsidR="00DF0EEC" w:rsidRPr="00DF0EEC">
        <w:rPr>
          <w:lang w:val="en-GB"/>
        </w:rPr>
        <w:t>, the rate of th</w:t>
      </w:r>
      <w:r w:rsidR="00F63A49">
        <w:rPr>
          <w:lang w:val="en-GB"/>
        </w:rPr>
        <w:t>e</w:t>
      </w:r>
      <w:r w:rsidR="00DF0EEC" w:rsidRPr="00DF0EEC">
        <w:rPr>
          <w:lang w:val="en-GB"/>
        </w:rPr>
        <w:t xml:space="preserve"> reaction is the sum of the surfactant micelle formation rate and the rate of inclusion of the HC molecule in this micelle. </w:t>
      </w:r>
      <w:r w:rsidR="00DF0EEC">
        <w:rPr>
          <w:lang w:val="en-GB"/>
        </w:rPr>
        <w:t>It</w:t>
      </w:r>
      <w:r w:rsidR="00DF0EEC" w:rsidRPr="00DF0EEC">
        <w:rPr>
          <w:lang w:val="en-GB"/>
        </w:rPr>
        <w:t xml:space="preserve"> suggests that the surfactant flow rate will be proportional to its concentration and the concentration of the oil product</w:t>
      </w:r>
      <w:r w:rsidR="00F63A49">
        <w:rPr>
          <w:lang w:val="en-GB"/>
        </w:rPr>
        <w:t>. Therefore, t</w:t>
      </w:r>
      <w:r w:rsidR="00DF0EEC" w:rsidRPr="00DF0EEC">
        <w:rPr>
          <w:lang w:val="en-GB"/>
        </w:rPr>
        <w:t xml:space="preserve">he final equation describing the change in the concentration of </w:t>
      </w:r>
      <w:r w:rsidR="00DF0EEC">
        <w:rPr>
          <w:lang w:val="en-GB"/>
        </w:rPr>
        <w:t>bio-surfactant</w:t>
      </w:r>
      <w:r w:rsidR="00DF0EEC" w:rsidRPr="00DF0EEC">
        <w:rPr>
          <w:lang w:val="en-GB"/>
        </w:rPr>
        <w:t>:</w:t>
      </w:r>
    </w:p>
    <w:tbl>
      <w:tblPr>
        <w:tblW w:w="5000" w:type="pct"/>
        <w:tblLook w:val="04A0" w:firstRow="1" w:lastRow="0" w:firstColumn="1" w:lastColumn="0" w:noHBand="0" w:noVBand="1"/>
      </w:tblPr>
      <w:tblGrid>
        <w:gridCol w:w="8179"/>
        <w:gridCol w:w="824"/>
      </w:tblGrid>
      <w:tr w:rsidR="00DF0EEC" w:rsidRPr="00B57B36" w14:paraId="525F0DB5" w14:textId="77777777" w:rsidTr="00B20565">
        <w:tc>
          <w:tcPr>
            <w:tcW w:w="7983" w:type="dxa"/>
            <w:shd w:val="clear" w:color="auto" w:fill="auto"/>
            <w:vAlign w:val="center"/>
          </w:tcPr>
          <w:p w14:paraId="694DA6FA" w14:textId="62440A9E" w:rsidR="00DF0EEC" w:rsidRPr="00DF0EEC" w:rsidRDefault="00C35F54" w:rsidP="00B20565">
            <w:pPr>
              <w:pStyle w:val="CETBodytext"/>
              <w:tabs>
                <w:tab w:val="left" w:pos="567"/>
              </w:tabs>
            </w:pPr>
            <m:oMathPara>
              <m:oMathParaPr>
                <m:jc m:val="left"/>
              </m:oMathParaPr>
              <m:oMath>
                <m:f>
                  <m:fPr>
                    <m:ctrlPr>
                      <w:rPr>
                        <w:rFonts w:ascii="Cambria Math" w:hAnsi="Cambria Math"/>
                        <w:i/>
                        <w:lang w:val="ru-RU"/>
                      </w:rPr>
                    </m:ctrlPr>
                  </m:fPr>
                  <m:num>
                    <m:r>
                      <w:rPr>
                        <w:rFonts w:ascii="Cambria Math" w:hAnsi="Cambria Math"/>
                        <w:lang w:val="ru-RU"/>
                      </w:rPr>
                      <m:t>d</m:t>
                    </m:r>
                    <m:r>
                      <w:rPr>
                        <w:rFonts w:ascii="Cambria Math" w:hAnsi="Cambria Math"/>
                        <w:lang w:val="en-GB"/>
                      </w:rPr>
                      <m:t>S</m:t>
                    </m:r>
                  </m:num>
                  <m:den>
                    <m:r>
                      <w:rPr>
                        <w:rFonts w:ascii="Cambria Math" w:hAnsi="Cambria Math"/>
                        <w:lang w:val="ru-RU"/>
                      </w:rPr>
                      <m:t>dt</m:t>
                    </m:r>
                  </m:den>
                </m:f>
                <m:r>
                  <w:rPr>
                    <w:rFonts w:ascii="Cambria Math" w:hAnsi="Cambria Math"/>
                    <w:lang w:val="ru-RU"/>
                  </w:rPr>
                  <m:t>=</m:t>
                </m:r>
                <m:f>
                  <m:fPr>
                    <m:ctrlPr>
                      <w:rPr>
                        <w:rFonts w:ascii="Cambria Math" w:hAnsi="Cambria Math"/>
                        <w:i/>
                        <w:lang w:val="ru-RU"/>
                      </w:rPr>
                    </m:ctrlPr>
                  </m:fPr>
                  <m:num>
                    <m:r>
                      <w:rPr>
                        <w:rFonts w:ascii="Cambria Math" w:hAnsi="Cambria Math"/>
                        <w:lang w:val="ru-RU"/>
                      </w:rPr>
                      <m:t>1</m:t>
                    </m:r>
                  </m:num>
                  <m:den>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s</m:t>
                        </m:r>
                      </m:sub>
                    </m:sSub>
                  </m:den>
                </m:f>
                <m:r>
                  <w:rPr>
                    <w:rFonts w:ascii="Cambria Math" w:hAnsi="Cambria Math"/>
                  </w:rPr>
                  <m:t>∙</m:t>
                </m:r>
                <m:f>
                  <m:fPr>
                    <m:ctrlPr>
                      <w:rPr>
                        <w:rFonts w:ascii="Cambria Math" w:hAnsi="Cambria Math"/>
                        <w:i/>
                      </w:rPr>
                    </m:ctrlPr>
                  </m:fPr>
                  <m:num>
                    <m:r>
                      <w:rPr>
                        <w:rFonts w:ascii="Cambria Math" w:hAnsi="Cambria Math"/>
                      </w:rPr>
                      <m:t>μ∙G</m:t>
                    </m:r>
                  </m:num>
                  <m:den>
                    <m:r>
                      <w:rPr>
                        <w:rFonts w:ascii="Cambria Math" w:hAnsi="Cambria Math"/>
                      </w:rPr>
                      <m:t>G+</m:t>
                    </m:r>
                    <m:sSub>
                      <m:sSubPr>
                        <m:ctrlPr>
                          <w:rPr>
                            <w:rFonts w:ascii="Cambria Math" w:hAnsi="Cambria Math"/>
                            <w:i/>
                          </w:rPr>
                        </m:ctrlPr>
                      </m:sSubPr>
                      <m:e>
                        <m:r>
                          <w:rPr>
                            <w:rFonts w:ascii="Cambria Math" w:hAnsi="Cambria Math"/>
                          </w:rPr>
                          <m:t>K</m:t>
                        </m:r>
                      </m:e>
                      <m:sub>
                        <m:r>
                          <w:rPr>
                            <w:rFonts w:ascii="Cambria Math" w:hAnsi="Cambria Math"/>
                          </w:rPr>
                          <m:t>S</m:t>
                        </m:r>
                      </m:sub>
                    </m:sSub>
                  </m:den>
                </m:f>
                <m:r>
                  <w:rPr>
                    <w:rFonts w:ascii="Cambria Math" w:hAnsi="Cambria Math"/>
                  </w:rPr>
                  <m:t>∙C</m:t>
                </m:r>
                <m:r>
                  <w:rPr>
                    <w:rFonts w:ascii="Cambria Math" w:hAnsi="Cambria Math"/>
                    <w:lang w:val="ru-RU"/>
                  </w:rPr>
                  <m:t>-</m:t>
                </m:r>
                <m:r>
                  <w:rPr>
                    <w:rFonts w:ascii="Cambria Math" w:hAnsi="Cambria Math"/>
                    <w:lang w:val="en-GB"/>
                  </w:rPr>
                  <m:t>k</m:t>
                </m:r>
                <m:r>
                  <w:rPr>
                    <w:rFonts w:ascii="Cambria Math" w:hAnsi="Cambria Math"/>
                  </w:rPr>
                  <m:t>∙G∙S</m:t>
                </m:r>
              </m:oMath>
            </m:oMathPara>
          </w:p>
        </w:tc>
        <w:tc>
          <w:tcPr>
            <w:tcW w:w="804" w:type="dxa"/>
            <w:shd w:val="clear" w:color="auto" w:fill="auto"/>
            <w:vAlign w:val="center"/>
          </w:tcPr>
          <w:p w14:paraId="630BAFAB" w14:textId="2FB0FCF9" w:rsidR="00DF0EEC" w:rsidRPr="00B57B36" w:rsidRDefault="00DF0EEC" w:rsidP="00B20565">
            <w:pPr>
              <w:pStyle w:val="CETEquation"/>
              <w:jc w:val="right"/>
            </w:pPr>
            <w:r w:rsidRPr="00B57B36">
              <w:t>(</w:t>
            </w:r>
            <w:r w:rsidR="008A4EC5">
              <w:t>5</w:t>
            </w:r>
            <w:r w:rsidRPr="00B57B36">
              <w:t>)</w:t>
            </w:r>
          </w:p>
        </w:tc>
      </w:tr>
    </w:tbl>
    <w:p w14:paraId="23FD0D82" w14:textId="77777777" w:rsidR="007344C1" w:rsidRPr="00BB20F4" w:rsidRDefault="007344C1" w:rsidP="007344C1">
      <w:pPr>
        <w:pStyle w:val="CETBodytext"/>
        <w:tabs>
          <w:tab w:val="left" w:pos="567"/>
        </w:tabs>
        <w:rPr>
          <w:lang w:val="en-GB"/>
        </w:rPr>
      </w:pPr>
      <w:r>
        <w:rPr>
          <w:lang w:val="en-GB"/>
        </w:rPr>
        <w:t>where</w:t>
      </w:r>
      <w:r w:rsidRPr="00BB20F4">
        <w:rPr>
          <w:lang w:val="en-GB"/>
        </w:rPr>
        <w:tab/>
      </w:r>
      <w:r>
        <w:rPr>
          <w:lang w:val="en-GB"/>
        </w:rPr>
        <w:t>S</w:t>
      </w:r>
      <w:r w:rsidRPr="00BB20F4">
        <w:rPr>
          <w:lang w:val="en-GB"/>
        </w:rPr>
        <w:t xml:space="preserve"> – bio-surfactant concentration;</w:t>
      </w:r>
    </w:p>
    <w:p w14:paraId="3DFBFBDC" w14:textId="71A4A039" w:rsidR="007344C1" w:rsidRPr="00BB20F4" w:rsidRDefault="007344C1" w:rsidP="007344C1">
      <w:pPr>
        <w:pStyle w:val="CETBodytext"/>
        <w:tabs>
          <w:tab w:val="left" w:pos="567"/>
        </w:tabs>
        <w:rPr>
          <w:lang w:val="en-GB"/>
        </w:rPr>
      </w:pPr>
      <w:r w:rsidRPr="00BB20F4">
        <w:rPr>
          <w:lang w:val="en-GB"/>
        </w:rPr>
        <w:tab/>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s</m:t>
            </m:r>
          </m:sub>
        </m:sSub>
      </m:oMath>
      <w:r w:rsidRPr="00BB20F4">
        <w:rPr>
          <w:lang w:val="en-GB"/>
        </w:rPr>
        <w:t xml:space="preserve"> – coefficient linking the amount of surfactant formed with the </w:t>
      </w:r>
      <w:r>
        <w:rPr>
          <w:lang w:val="en-GB"/>
        </w:rPr>
        <w:t>degraded</w:t>
      </w:r>
      <w:r w:rsidRPr="00BB20F4">
        <w:rPr>
          <w:lang w:val="en-GB"/>
        </w:rPr>
        <w:t xml:space="preserve"> substrate</w:t>
      </w:r>
      <w:r>
        <w:rPr>
          <w:lang w:val="en-GB"/>
        </w:rPr>
        <w:t>;</w:t>
      </w:r>
    </w:p>
    <w:p w14:paraId="06F9F347" w14:textId="53A396E7" w:rsidR="007344C1" w:rsidRDefault="007344C1" w:rsidP="007344C1">
      <w:pPr>
        <w:pStyle w:val="CETBodytext"/>
        <w:tabs>
          <w:tab w:val="left" w:pos="567"/>
        </w:tabs>
        <w:rPr>
          <w:lang w:val="en-GB"/>
        </w:rPr>
      </w:pPr>
      <w:r w:rsidRPr="00DF0EEC">
        <w:rPr>
          <w:lang w:val="en-GB"/>
        </w:rPr>
        <w:tab/>
      </w:r>
      <w:r w:rsidRPr="007344C1">
        <w:rPr>
          <w:i/>
          <w:iCs/>
          <w:lang w:val="en-GB"/>
        </w:rPr>
        <w:t>k</w:t>
      </w:r>
      <w:r w:rsidRPr="00DF0EEC">
        <w:rPr>
          <w:lang w:val="en-GB"/>
        </w:rPr>
        <w:t xml:space="preserve"> – interaction constant of surfactant and oil product</w:t>
      </w:r>
      <w:r>
        <w:rPr>
          <w:lang w:val="en-GB"/>
        </w:rPr>
        <w:t>.</w:t>
      </w:r>
    </w:p>
    <w:p w14:paraId="7E090F30" w14:textId="1C244F80" w:rsidR="00DF0EEC" w:rsidRPr="00DF0EEC" w:rsidRDefault="00DF0EEC" w:rsidP="00B30333">
      <w:pPr>
        <w:pStyle w:val="CETBodytext"/>
        <w:tabs>
          <w:tab w:val="left" w:pos="567"/>
        </w:tabs>
        <w:rPr>
          <w:lang w:val="en-GB"/>
        </w:rPr>
      </w:pPr>
      <w:r w:rsidRPr="00DF0EEC">
        <w:rPr>
          <w:lang w:val="en-GB"/>
        </w:rPr>
        <w:t>The concentration of emulsified</w:t>
      </w:r>
      <w:r>
        <w:rPr>
          <w:lang w:val="en-GB"/>
        </w:rPr>
        <w:t xml:space="preserve"> HC contamination</w:t>
      </w:r>
      <w:r w:rsidRPr="00DF0EEC">
        <w:rPr>
          <w:lang w:val="en-GB"/>
        </w:rPr>
        <w:t xml:space="preserve"> in groundwater, taking into account the removal with infiltrating water, then </w:t>
      </w:r>
      <w:r>
        <w:rPr>
          <w:lang w:val="en-GB"/>
        </w:rPr>
        <w:t>is described:</w:t>
      </w:r>
    </w:p>
    <w:tbl>
      <w:tblPr>
        <w:tblW w:w="5000" w:type="pct"/>
        <w:tblLook w:val="04A0" w:firstRow="1" w:lastRow="0" w:firstColumn="1" w:lastColumn="0" w:noHBand="0" w:noVBand="1"/>
      </w:tblPr>
      <w:tblGrid>
        <w:gridCol w:w="8179"/>
        <w:gridCol w:w="824"/>
      </w:tblGrid>
      <w:tr w:rsidR="00DF0EEC" w:rsidRPr="00B57B36" w14:paraId="5788B80D" w14:textId="77777777" w:rsidTr="00B20565">
        <w:tc>
          <w:tcPr>
            <w:tcW w:w="7983" w:type="dxa"/>
            <w:shd w:val="clear" w:color="auto" w:fill="auto"/>
            <w:vAlign w:val="center"/>
          </w:tcPr>
          <w:p w14:paraId="5A30EB37" w14:textId="1C6DC68B" w:rsidR="00DF0EEC" w:rsidRPr="00DF0EEC" w:rsidRDefault="00DF0EEC" w:rsidP="00DF0EEC">
            <w:pPr>
              <w:pStyle w:val="CETBodytext"/>
              <w:rPr>
                <w:rFonts w:eastAsiaTheme="minorEastAsia"/>
                <w:i/>
              </w:rPr>
            </w:pPr>
            <m:oMathPara>
              <m:oMathParaPr>
                <m:jc m:val="left"/>
              </m:oMathParaPr>
              <m:oMath>
                <m:r>
                  <w:rPr>
                    <w:rFonts w:ascii="Cambria Math" w:hAnsi="Cambria Math"/>
                    <w:lang w:val="en-GB"/>
                  </w:rPr>
                  <m:t>n</m:t>
                </m:r>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lang w:val="ru-RU"/>
                          </w:rPr>
                          <m:t>e</m:t>
                        </m:r>
                      </m:sub>
                    </m:sSub>
                  </m:num>
                  <m:den>
                    <m:r>
                      <w:rPr>
                        <w:rFonts w:ascii="Cambria Math"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ρ</m:t>
                    </m:r>
                  </m:den>
                </m:f>
                <m:r>
                  <w:rPr>
                    <w:rFonts w:ascii="Cambria Math" w:hAnsi="Cambria Math"/>
                  </w:rPr>
                  <m:t>∙</m:t>
                </m:r>
                <m:f>
                  <m:fPr>
                    <m:ctrlPr>
                      <w:rPr>
                        <w:rFonts w:ascii="Cambria Math" w:hAnsi="Cambria Math"/>
                        <w:i/>
                      </w:rPr>
                    </m:ctrlPr>
                  </m:fPr>
                  <m:num>
                    <m:r>
                      <w:rPr>
                        <w:rFonts w:ascii="Cambria Math" w:hAnsi="Cambria Math"/>
                      </w:rPr>
                      <m:t>α</m:t>
                    </m:r>
                  </m:num>
                  <m:den>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s</m:t>
                        </m:r>
                      </m:sub>
                    </m:sSub>
                  </m:den>
                </m:f>
                <m:f>
                  <m:fPr>
                    <m:ctrlPr>
                      <w:rPr>
                        <w:rFonts w:ascii="Cambria Math" w:hAnsi="Cambria Math"/>
                        <w:i/>
                      </w:rPr>
                    </m:ctrlPr>
                  </m:fPr>
                  <m:num>
                    <m:r>
                      <w:rPr>
                        <w:rFonts w:ascii="Cambria Math" w:hAnsi="Cambria Math"/>
                      </w:rPr>
                      <m:t>μ∙G</m:t>
                    </m:r>
                  </m:num>
                  <m:den>
                    <m:r>
                      <w:rPr>
                        <w:rFonts w:ascii="Cambria Math" w:hAnsi="Cambria Math"/>
                      </w:rPr>
                      <m:t>G+</m:t>
                    </m:r>
                    <m:sSub>
                      <m:sSubPr>
                        <m:ctrlPr>
                          <w:rPr>
                            <w:rFonts w:ascii="Cambria Math" w:hAnsi="Cambria Math"/>
                            <w:i/>
                          </w:rPr>
                        </m:ctrlPr>
                      </m:sSubPr>
                      <m:e>
                        <m:r>
                          <w:rPr>
                            <w:rFonts w:ascii="Cambria Math" w:hAnsi="Cambria Math"/>
                          </w:rPr>
                          <m:t>K</m:t>
                        </m:r>
                      </m:e>
                      <m:sub>
                        <m:r>
                          <w:rPr>
                            <w:rFonts w:ascii="Cambria Math" w:hAnsi="Cambria Math"/>
                          </w:rPr>
                          <m:t>S</m:t>
                        </m:r>
                      </m:sub>
                    </m:sSub>
                  </m:den>
                </m:f>
                <m:r>
                  <w:rPr>
                    <w:rFonts w:ascii="Cambria Math" w:hAnsi="Cambria Math"/>
                  </w:rPr>
                  <m:t>∙C-ϑ∙</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lang w:val="ru-RU"/>
                          </w:rPr>
                          <m:t>e</m:t>
                        </m:r>
                      </m:sub>
                    </m:sSub>
                  </m:num>
                  <m:den>
                    <m:r>
                      <w:rPr>
                        <w:rFonts w:ascii="Cambria Math" w:hAnsi="Cambria Math"/>
                      </w:rPr>
                      <m:t>∂x</m:t>
                    </m:r>
                  </m:den>
                </m:f>
              </m:oMath>
            </m:oMathPara>
          </w:p>
        </w:tc>
        <w:tc>
          <w:tcPr>
            <w:tcW w:w="804" w:type="dxa"/>
            <w:shd w:val="clear" w:color="auto" w:fill="auto"/>
            <w:vAlign w:val="center"/>
          </w:tcPr>
          <w:p w14:paraId="21BC800A" w14:textId="0BF1916B" w:rsidR="00DF0EEC" w:rsidRPr="00B57B36" w:rsidRDefault="00DF0EEC" w:rsidP="00B20565">
            <w:pPr>
              <w:pStyle w:val="CETEquation"/>
              <w:jc w:val="right"/>
            </w:pPr>
            <w:r w:rsidRPr="00B57B36">
              <w:t>(</w:t>
            </w:r>
            <w:r w:rsidR="008A4EC5">
              <w:t>6</w:t>
            </w:r>
            <w:r w:rsidRPr="00B57B36">
              <w:t>)</w:t>
            </w:r>
          </w:p>
        </w:tc>
      </w:tr>
    </w:tbl>
    <w:p w14:paraId="3B5B0B08" w14:textId="77777777" w:rsidR="00F63A49" w:rsidRPr="00BB20F4" w:rsidRDefault="00F63A49" w:rsidP="00F63A49">
      <w:pPr>
        <w:pStyle w:val="CETBodytext"/>
        <w:tabs>
          <w:tab w:val="left" w:pos="567"/>
        </w:tabs>
        <w:rPr>
          <w:lang w:val="en-GB"/>
        </w:rPr>
      </w:pPr>
      <w:r>
        <w:rPr>
          <w:lang w:val="en-GB"/>
        </w:rPr>
        <w:t>where</w:t>
      </w:r>
      <w:r w:rsidRPr="00BB20F4">
        <w:rPr>
          <w:lang w:val="en-GB"/>
        </w:rPr>
        <w:tab/>
      </w:r>
      <m:oMath>
        <m:r>
          <w:rPr>
            <w:rFonts w:ascii="Cambria Math" w:hAnsi="Cambria Math"/>
            <w:lang w:val="ru-RU"/>
          </w:rPr>
          <m:t>α</m:t>
        </m:r>
      </m:oMath>
      <w:r w:rsidRPr="00BB20F4">
        <w:rPr>
          <w:lang w:val="en-GB"/>
        </w:rPr>
        <w:t xml:space="preserve"> – the number of surfactant molecules forming a micelle.</w:t>
      </w:r>
    </w:p>
    <w:p w14:paraId="4534E6A1" w14:textId="7FC8126D" w:rsidR="00FE60F8" w:rsidRPr="003576B4" w:rsidRDefault="00DF0EEC" w:rsidP="003576B4">
      <w:pPr>
        <w:pStyle w:val="CETBodytext"/>
        <w:rPr>
          <w:lang w:val="en-GB"/>
        </w:rPr>
      </w:pPr>
      <w:r w:rsidRPr="00DF0EEC">
        <w:rPr>
          <w:lang w:val="en-GB"/>
        </w:rPr>
        <w:t xml:space="preserve">The final system of equations describing the </w:t>
      </w:r>
      <w:r>
        <w:rPr>
          <w:lang w:val="en-GB"/>
        </w:rPr>
        <w:t>dynamic of</w:t>
      </w:r>
      <w:r w:rsidRPr="00DF0EEC">
        <w:rPr>
          <w:lang w:val="en-GB"/>
        </w:rPr>
        <w:t xml:space="preserve"> the concentration</w:t>
      </w:r>
      <w:r w:rsidR="00546318">
        <w:rPr>
          <w:lang w:val="en-GB"/>
        </w:rPr>
        <w:t>s</w:t>
      </w:r>
      <w:r w:rsidRPr="00DF0EEC">
        <w:rPr>
          <w:lang w:val="en-GB"/>
        </w:rPr>
        <w:t xml:space="preserve"> of bacteria, free and emulsified </w:t>
      </w:r>
      <w:r>
        <w:rPr>
          <w:lang w:val="en-GB"/>
        </w:rPr>
        <w:t>HC contamination</w:t>
      </w:r>
      <w:r w:rsidRPr="00DF0EEC">
        <w:rPr>
          <w:lang w:val="en-GB"/>
        </w:rPr>
        <w:t xml:space="preserve"> in the geological environment, is obtained by a combination of equations</w:t>
      </w:r>
      <w:r>
        <w:rPr>
          <w:lang w:val="en-GB"/>
        </w:rPr>
        <w:t xml:space="preserve"> (</w:t>
      </w:r>
      <w:r w:rsidR="008A4EC5">
        <w:rPr>
          <w:lang w:val="en-GB"/>
        </w:rPr>
        <w:t>3</w:t>
      </w:r>
      <w:r>
        <w:rPr>
          <w:lang w:val="en-GB"/>
        </w:rPr>
        <w:t>), (</w:t>
      </w:r>
      <w:r w:rsidR="008A4EC5">
        <w:rPr>
          <w:lang w:val="en-GB"/>
        </w:rPr>
        <w:t>4</w:t>
      </w:r>
      <w:r>
        <w:rPr>
          <w:lang w:val="en-GB"/>
        </w:rPr>
        <w:t xml:space="preserve">) and </w:t>
      </w:r>
      <w:r w:rsidR="003576B4">
        <w:rPr>
          <w:lang w:val="en-GB"/>
        </w:rPr>
        <w:t>(</w:t>
      </w:r>
      <w:r w:rsidR="008A4EC5">
        <w:rPr>
          <w:lang w:val="en-GB"/>
        </w:rPr>
        <w:t>6</w:t>
      </w:r>
      <w:r w:rsidR="003576B4">
        <w:rPr>
          <w:lang w:val="en-GB"/>
        </w:rPr>
        <w:t>).</w:t>
      </w:r>
    </w:p>
    <w:p w14:paraId="34563597" w14:textId="41F94D6C" w:rsidR="00CB5441" w:rsidRPr="00CB5441" w:rsidRDefault="0044240B" w:rsidP="00B30333">
      <w:pPr>
        <w:pStyle w:val="CETBodytext"/>
        <w:tabs>
          <w:tab w:val="left" w:pos="567"/>
        </w:tabs>
        <w:rPr>
          <w:lang w:val="en-GB"/>
        </w:rPr>
      </w:pPr>
      <w:r w:rsidRPr="0044240B">
        <w:rPr>
          <w:lang w:val="en-GB"/>
        </w:rPr>
        <w:t xml:space="preserve">Using a mathematical model developed on the basis of this system of equations, it is possible to calculate such integral quantities as the </w:t>
      </w:r>
      <w:r w:rsidR="00E93186" w:rsidRPr="0044240B">
        <w:rPr>
          <w:lang w:val="en-GB"/>
        </w:rPr>
        <w:t xml:space="preserve">pollution </w:t>
      </w:r>
      <w:r w:rsidRPr="0044240B">
        <w:rPr>
          <w:lang w:val="en-GB"/>
        </w:rPr>
        <w:t xml:space="preserve">concentration in the soil and the amount </w:t>
      </w:r>
      <w:r w:rsidR="00550890">
        <w:rPr>
          <w:lang w:val="en-GB"/>
        </w:rPr>
        <w:t>emulsified</w:t>
      </w:r>
      <w:r w:rsidRPr="0044240B">
        <w:rPr>
          <w:lang w:val="en-GB"/>
        </w:rPr>
        <w:t xml:space="preserve"> </w:t>
      </w:r>
      <w:r>
        <w:rPr>
          <w:lang w:val="en-GB"/>
        </w:rPr>
        <w:t>to the water bodies</w:t>
      </w:r>
      <w:r w:rsidRPr="0044240B">
        <w:rPr>
          <w:lang w:val="en-GB"/>
        </w:rPr>
        <w:t xml:space="preserve">, the number of oil-oxidizing bacteria in the </w:t>
      </w:r>
      <w:r>
        <w:rPr>
          <w:lang w:val="en-GB"/>
        </w:rPr>
        <w:t>medium</w:t>
      </w:r>
      <w:r w:rsidRPr="0044240B">
        <w:rPr>
          <w:lang w:val="en-GB"/>
        </w:rPr>
        <w:t xml:space="preserve">, as well as the change in the </w:t>
      </w:r>
      <w:r w:rsidR="00CB5441" w:rsidRPr="0044240B">
        <w:rPr>
          <w:lang w:val="en-GB"/>
        </w:rPr>
        <w:t xml:space="preserve">free oil product </w:t>
      </w:r>
      <w:r w:rsidRPr="0044240B">
        <w:rPr>
          <w:lang w:val="en-GB"/>
        </w:rPr>
        <w:t>concentration in depending on the depth, its vertical transfer and the distribution of bacteria in the soil at a given point in time.</w:t>
      </w:r>
      <w:r w:rsidR="00D7284E">
        <w:rPr>
          <w:lang w:val="en-GB"/>
        </w:rPr>
        <w:t xml:space="preserve"> </w:t>
      </w:r>
      <w:r w:rsidR="00CB5441" w:rsidRPr="00CB5441">
        <w:rPr>
          <w:lang w:val="en-GB"/>
        </w:rPr>
        <w:t xml:space="preserve">The initial conditions are the initial distribution of free and emulsified oil pollution and bacteria. The boundary condition is the concentration of bacteria in the </w:t>
      </w:r>
      <w:r w:rsidR="00CB5441">
        <w:rPr>
          <w:lang w:val="en-GB"/>
        </w:rPr>
        <w:t>injected</w:t>
      </w:r>
      <w:r w:rsidR="00CB5441" w:rsidRPr="00CB5441">
        <w:rPr>
          <w:lang w:val="en-GB"/>
        </w:rPr>
        <w:t xml:space="preserve"> </w:t>
      </w:r>
      <w:proofErr w:type="spellStart"/>
      <w:r w:rsidR="00CB5441" w:rsidRPr="00CB5441">
        <w:rPr>
          <w:lang w:val="en-GB"/>
        </w:rPr>
        <w:t>biosuspension</w:t>
      </w:r>
      <w:proofErr w:type="spellEnd"/>
      <w:r w:rsidR="00CB5441" w:rsidRPr="00CB5441">
        <w:rPr>
          <w:lang w:val="en-GB"/>
        </w:rPr>
        <w:t>.</w:t>
      </w:r>
    </w:p>
    <w:p w14:paraId="7480DF48" w14:textId="4601CD38" w:rsidR="00CB5441" w:rsidRPr="00FB154D" w:rsidRDefault="00CB5441" w:rsidP="00B30333">
      <w:pPr>
        <w:pStyle w:val="CETBodytext"/>
        <w:tabs>
          <w:tab w:val="left" w:pos="567"/>
        </w:tabs>
        <w:rPr>
          <w:lang w:val="en-GB"/>
        </w:rPr>
      </w:pPr>
      <w:r w:rsidRPr="00CB5441">
        <w:rPr>
          <w:lang w:val="en-GB"/>
        </w:rPr>
        <w:t>The constants necessary for the calculation are determined according to laboratory model experiments</w:t>
      </w:r>
      <w:r>
        <w:rPr>
          <w:lang w:val="en-GB"/>
        </w:rPr>
        <w:t>;</w:t>
      </w:r>
      <w:r w:rsidRPr="00CB5441">
        <w:rPr>
          <w:lang w:val="en-GB"/>
        </w:rPr>
        <w:t xml:space="preserve"> </w:t>
      </w:r>
      <w:r w:rsidRPr="00FB154D">
        <w:rPr>
          <w:lang w:val="en-GB"/>
        </w:rPr>
        <w:t>available literature data can be used for an approximate estimation.</w:t>
      </w:r>
    </w:p>
    <w:p w14:paraId="4E2ABF80" w14:textId="10CAAD1D" w:rsidR="001C426F" w:rsidRPr="00FB154D" w:rsidRDefault="001C426F" w:rsidP="00B30333">
      <w:pPr>
        <w:pStyle w:val="CETBodytext"/>
        <w:tabs>
          <w:tab w:val="left" w:pos="567"/>
        </w:tabs>
        <w:rPr>
          <w:lang w:val="en-GB"/>
        </w:rPr>
      </w:pPr>
      <w:r w:rsidRPr="00FB154D">
        <w:rPr>
          <w:lang w:val="en-GB"/>
        </w:rPr>
        <w:t xml:space="preserve">The </w:t>
      </w:r>
      <w:r w:rsidR="00D7284E">
        <w:rPr>
          <w:lang w:val="en-GB"/>
        </w:rPr>
        <w:t>F</w:t>
      </w:r>
      <w:r w:rsidRPr="00FB154D">
        <w:rPr>
          <w:lang w:val="en-GB"/>
        </w:rPr>
        <w:t xml:space="preserve">igure 4 shows the results of the </w:t>
      </w:r>
      <w:r w:rsidR="00AB3BD1" w:rsidRPr="00FB154D">
        <w:rPr>
          <w:lang w:val="en-GB"/>
        </w:rPr>
        <w:t xml:space="preserve">quantitative </w:t>
      </w:r>
      <w:proofErr w:type="spellStart"/>
      <w:r w:rsidR="00AB3BD1" w:rsidRPr="00FB154D">
        <w:rPr>
          <w:lang w:val="en-GB"/>
        </w:rPr>
        <w:t>modeling</w:t>
      </w:r>
      <w:proofErr w:type="spellEnd"/>
      <w:r w:rsidR="00AB3BD1" w:rsidRPr="00FB154D">
        <w:rPr>
          <w:lang w:val="en-GB"/>
        </w:rPr>
        <w:t xml:space="preserve"> </w:t>
      </w:r>
      <w:r w:rsidRPr="00FB154D">
        <w:rPr>
          <w:lang w:val="en-GB"/>
        </w:rPr>
        <w:t xml:space="preserve">of treatment carried out by </w:t>
      </w:r>
      <w:r w:rsidR="00550890" w:rsidRPr="00FB154D">
        <w:rPr>
          <w:lang w:val="en-GB"/>
        </w:rPr>
        <w:t>introduction</w:t>
      </w:r>
      <w:r w:rsidRPr="00FB154D">
        <w:rPr>
          <w:lang w:val="en-GB"/>
        </w:rPr>
        <w:t xml:space="preserve"> of the </w:t>
      </w:r>
      <w:proofErr w:type="spellStart"/>
      <w:r w:rsidRPr="00FB154D">
        <w:rPr>
          <w:lang w:val="en-GB"/>
        </w:rPr>
        <w:t>biosuspension</w:t>
      </w:r>
      <w:proofErr w:type="spellEnd"/>
      <w:r w:rsidRPr="00FB154D">
        <w:rPr>
          <w:lang w:val="en-GB"/>
        </w:rPr>
        <w:t xml:space="preserve"> into the soil, contaminated with </w:t>
      </w:r>
      <w:r w:rsidR="00AE03EC" w:rsidRPr="00FB154D">
        <w:rPr>
          <w:lang w:val="en-GB"/>
        </w:rPr>
        <w:t>hydrocarbons</w:t>
      </w:r>
      <w:r w:rsidRPr="00FB154D">
        <w:rPr>
          <w:lang w:val="en-GB"/>
        </w:rPr>
        <w:t xml:space="preserve"> with an initial average concentration of 0.005 g/g of soil. The presented graphs describe the change in the concentration of free and emulsified hydrocarbon contamination over time in the course of </w:t>
      </w:r>
      <w:r w:rsidR="00550890" w:rsidRPr="00FB154D">
        <w:rPr>
          <w:lang w:val="en-GB"/>
        </w:rPr>
        <w:t xml:space="preserve">biodegradation and related processes of </w:t>
      </w:r>
      <w:proofErr w:type="spellStart"/>
      <w:r w:rsidR="00550890" w:rsidRPr="00FB154D">
        <w:rPr>
          <w:lang w:val="en-GB"/>
        </w:rPr>
        <w:t>physico</w:t>
      </w:r>
      <w:proofErr w:type="spellEnd"/>
      <w:r w:rsidR="00550890" w:rsidRPr="00FB154D">
        <w:rPr>
          <w:lang w:val="en-GB"/>
        </w:rPr>
        <w:t>-chemical transformation and transfer</w:t>
      </w:r>
      <w:r w:rsidRPr="00FB154D">
        <w:rPr>
          <w:lang w:val="en-GB"/>
        </w:rPr>
        <w:t>.</w:t>
      </w:r>
    </w:p>
    <w:p w14:paraId="3318B8DD" w14:textId="7C0EE33D" w:rsidR="001C426F" w:rsidRPr="00FB154D" w:rsidRDefault="00AE03EC" w:rsidP="00B30333">
      <w:pPr>
        <w:pStyle w:val="CETBodytext"/>
        <w:tabs>
          <w:tab w:val="left" w:pos="567"/>
        </w:tabs>
        <w:rPr>
          <w:lang w:val="en-GB"/>
        </w:rPr>
      </w:pPr>
      <w:r w:rsidRPr="00FB154D">
        <w:rPr>
          <w:noProof/>
          <w:lang w:val="it-IT" w:eastAsia="it-IT"/>
        </w:rPr>
        <w:drawing>
          <wp:inline distT="0" distB="0" distL="0" distR="0" wp14:anchorId="1B3D5665" wp14:editId="17EBCAD8">
            <wp:extent cx="5340350" cy="183238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72149" cy="1980543"/>
                    </a:xfrm>
                    <a:prstGeom prst="rect">
                      <a:avLst/>
                    </a:prstGeom>
                  </pic:spPr>
                </pic:pic>
              </a:graphicData>
            </a:graphic>
          </wp:inline>
        </w:drawing>
      </w:r>
    </w:p>
    <w:p w14:paraId="62309105" w14:textId="3C474A42" w:rsidR="00AE03EC" w:rsidRPr="00FB154D" w:rsidRDefault="00AE03EC" w:rsidP="00AE03EC">
      <w:pPr>
        <w:pStyle w:val="CETCaption"/>
      </w:pPr>
      <w:r w:rsidRPr="00FB154D">
        <w:t xml:space="preserve">Figure 4 - Average concentration of free (left) and emulsified (right) HC contamination, calculated according to the developed </w:t>
      </w:r>
      <w:r w:rsidR="00550890" w:rsidRPr="00FB154D">
        <w:t xml:space="preserve">geochemical </w:t>
      </w:r>
      <w:bookmarkStart w:id="2" w:name="_GoBack"/>
      <w:bookmarkEnd w:id="2"/>
      <w:r w:rsidRPr="00FB154D">
        <w:t>model</w:t>
      </w:r>
      <w:r w:rsidR="00550890" w:rsidRPr="00FB154D">
        <w:t xml:space="preserve"> of biodegradable subsurface hydrocarbon contamination</w:t>
      </w:r>
    </w:p>
    <w:p w14:paraId="4816EA38" w14:textId="3BD8EC1B" w:rsidR="000B0A95" w:rsidRPr="00FB154D" w:rsidRDefault="00A203AD" w:rsidP="000B0A95">
      <w:pPr>
        <w:pStyle w:val="CETBodytext"/>
        <w:rPr>
          <w:lang w:val="en-GB"/>
        </w:rPr>
      </w:pPr>
      <w:r w:rsidRPr="00FB154D">
        <w:rPr>
          <w:lang w:val="en-GB"/>
        </w:rPr>
        <w:lastRenderedPageBreak/>
        <w:t xml:space="preserve">The obtained results of quantitative </w:t>
      </w:r>
      <w:proofErr w:type="spellStart"/>
      <w:r w:rsidRPr="00FB154D">
        <w:rPr>
          <w:lang w:val="en-GB"/>
        </w:rPr>
        <w:t>modeling</w:t>
      </w:r>
      <w:proofErr w:type="spellEnd"/>
      <w:r w:rsidRPr="00FB154D">
        <w:rPr>
          <w:lang w:val="en-GB"/>
        </w:rPr>
        <w:t xml:space="preserve"> have sufficient convergence with the available field survey data of typical hydrocarbon contamination objects.</w:t>
      </w:r>
    </w:p>
    <w:p w14:paraId="68D26B83" w14:textId="547E56A3" w:rsidR="00600535" w:rsidRPr="00C0220C" w:rsidRDefault="00600535" w:rsidP="00C0220C">
      <w:pPr>
        <w:pStyle w:val="CETHeading1"/>
        <w:numPr>
          <w:ilvl w:val="1"/>
          <w:numId w:val="23"/>
        </w:numPr>
        <w:rPr>
          <w:lang w:val="en-GB"/>
        </w:rPr>
      </w:pPr>
      <w:r w:rsidRPr="00C0220C">
        <w:rPr>
          <w:lang w:val="en-GB"/>
        </w:rPr>
        <w:t>Conclusions</w:t>
      </w:r>
    </w:p>
    <w:p w14:paraId="7D942B8A" w14:textId="4C35B734" w:rsidR="00CB5441" w:rsidRDefault="00CB5441" w:rsidP="002B667F">
      <w:pPr>
        <w:pStyle w:val="CETBodytext"/>
        <w:rPr>
          <w:lang w:val="en-GB"/>
        </w:rPr>
      </w:pPr>
      <w:r w:rsidRPr="00CB5441">
        <w:rPr>
          <w:lang w:val="en-GB"/>
        </w:rPr>
        <w:t>Experimental migration observations at real objects should be carried out in close interaction with laboratory experiments. Analysis and quantitative interpretation of migration processes model</w:t>
      </w:r>
      <w:r>
        <w:rPr>
          <w:lang w:val="en-GB"/>
        </w:rPr>
        <w:t>l</w:t>
      </w:r>
      <w:r w:rsidRPr="00CB5441">
        <w:rPr>
          <w:lang w:val="en-GB"/>
        </w:rPr>
        <w:t>ing can be used to plan the further development of the observational network, long-term forecast estimat</w:t>
      </w:r>
      <w:r>
        <w:rPr>
          <w:lang w:val="en-GB"/>
        </w:rPr>
        <w:t>ions</w:t>
      </w:r>
      <w:r w:rsidRPr="00CB5441">
        <w:rPr>
          <w:lang w:val="en-GB"/>
        </w:rPr>
        <w:t xml:space="preserve">, which </w:t>
      </w:r>
      <w:r>
        <w:rPr>
          <w:lang w:val="en-GB"/>
        </w:rPr>
        <w:t>can be</w:t>
      </w:r>
      <w:r w:rsidRPr="00CB5441">
        <w:rPr>
          <w:lang w:val="en-GB"/>
        </w:rPr>
        <w:t xml:space="preserve"> subsequently updated as information is accumulated at various stages of observation; development of water protection measures and assessment of their effectiveness.</w:t>
      </w:r>
    </w:p>
    <w:p w14:paraId="43C21E4E" w14:textId="229CEA3F" w:rsidR="00CB5441" w:rsidRPr="00FB154D" w:rsidRDefault="00CB5441" w:rsidP="002B667F">
      <w:pPr>
        <w:pStyle w:val="CETBodytext"/>
        <w:rPr>
          <w:lang w:val="en-GB"/>
        </w:rPr>
      </w:pPr>
      <w:r w:rsidRPr="00FB154D">
        <w:rPr>
          <w:lang w:val="en-GB"/>
        </w:rPr>
        <w:t xml:space="preserve">The parameters determined by solving the theoretical equations showed good convergence with empirical </w:t>
      </w:r>
      <w:r w:rsidR="00D07D0A" w:rsidRPr="00FB154D">
        <w:rPr>
          <w:lang w:val="en-GB"/>
        </w:rPr>
        <w:t>data</w:t>
      </w:r>
      <w:r w:rsidRPr="00FB154D">
        <w:rPr>
          <w:lang w:val="en-GB"/>
        </w:rPr>
        <w:t xml:space="preserve"> obtained </w:t>
      </w:r>
      <w:r w:rsidR="00D07D0A" w:rsidRPr="00FB154D">
        <w:rPr>
          <w:lang w:val="en-GB"/>
        </w:rPr>
        <w:t>in</w:t>
      </w:r>
      <w:r w:rsidRPr="00FB154D">
        <w:rPr>
          <w:lang w:val="en-GB"/>
        </w:rPr>
        <w:t xml:space="preserve"> field studies of objects with hydrocarbon contamination.</w:t>
      </w:r>
      <w:r w:rsidR="00D07D0A" w:rsidRPr="00FB154D">
        <w:rPr>
          <w:lang w:val="en-GB"/>
        </w:rPr>
        <w:t xml:space="preserve"> The results of the quantitative </w:t>
      </w:r>
      <w:proofErr w:type="spellStart"/>
      <w:r w:rsidR="00D07D0A" w:rsidRPr="00FB154D">
        <w:rPr>
          <w:lang w:val="en-GB"/>
        </w:rPr>
        <w:t>modeling</w:t>
      </w:r>
      <w:proofErr w:type="spellEnd"/>
      <w:r w:rsidR="00D07D0A" w:rsidRPr="00FB154D">
        <w:rPr>
          <w:lang w:val="en-GB"/>
        </w:rPr>
        <w:t xml:space="preserve"> are valuable in long-term forecast estimations.</w:t>
      </w:r>
    </w:p>
    <w:p w14:paraId="6C01EFAA" w14:textId="7B52464D" w:rsidR="00CB5441" w:rsidRPr="00CB5441" w:rsidRDefault="00CB5441" w:rsidP="002B667F">
      <w:pPr>
        <w:pStyle w:val="CETBodytext"/>
        <w:rPr>
          <w:rFonts w:eastAsiaTheme="minorEastAsia"/>
          <w:lang w:val="en-GB"/>
        </w:rPr>
      </w:pPr>
      <w:r w:rsidRPr="00CB5441">
        <w:rPr>
          <w:rFonts w:eastAsiaTheme="minorEastAsia"/>
          <w:lang w:val="en-GB"/>
        </w:rPr>
        <w:t xml:space="preserve">The </w:t>
      </w:r>
      <w:r>
        <w:rPr>
          <w:rFonts w:eastAsiaTheme="minorEastAsia"/>
          <w:lang w:val="en-GB"/>
        </w:rPr>
        <w:t>obtained model of micro</w:t>
      </w:r>
      <w:r w:rsidR="00C77BA0">
        <w:rPr>
          <w:rFonts w:eastAsiaTheme="minorEastAsia"/>
          <w:lang w:val="en-GB"/>
        </w:rPr>
        <w:t>bial</w:t>
      </w:r>
      <w:r>
        <w:rPr>
          <w:rFonts w:eastAsiaTheme="minorEastAsia"/>
          <w:lang w:val="en-GB"/>
        </w:rPr>
        <w:t xml:space="preserve"> activity </w:t>
      </w:r>
      <w:r w:rsidR="00C77BA0">
        <w:rPr>
          <w:rFonts w:eastAsiaTheme="minorEastAsia"/>
          <w:lang w:val="en-GB"/>
        </w:rPr>
        <w:t>dynamics</w:t>
      </w:r>
      <w:r w:rsidRPr="00CB5441">
        <w:rPr>
          <w:rFonts w:eastAsiaTheme="minorEastAsia"/>
          <w:lang w:val="en-GB"/>
        </w:rPr>
        <w:t xml:space="preserve"> can also be considered </w:t>
      </w:r>
      <w:r w:rsidR="00C77BA0">
        <w:rPr>
          <w:rFonts w:eastAsiaTheme="minorEastAsia"/>
          <w:lang w:val="en-GB"/>
        </w:rPr>
        <w:t>in terms</w:t>
      </w:r>
      <w:r w:rsidRPr="00CB5441">
        <w:rPr>
          <w:rFonts w:eastAsiaTheme="minorEastAsia"/>
          <w:lang w:val="en-GB"/>
        </w:rPr>
        <w:t xml:space="preserve"> of immobilization of bacteria-</w:t>
      </w:r>
      <w:r w:rsidR="00C77BA0">
        <w:rPr>
          <w:rFonts w:eastAsiaTheme="minorEastAsia"/>
          <w:lang w:val="en-GB"/>
        </w:rPr>
        <w:t>oil-</w:t>
      </w:r>
      <w:r w:rsidRPr="00CB5441">
        <w:rPr>
          <w:rFonts w:eastAsiaTheme="minorEastAsia"/>
          <w:lang w:val="en-GB"/>
        </w:rPr>
        <w:t>destructors on some medium</w:t>
      </w:r>
      <w:r w:rsidR="00C77BA0">
        <w:rPr>
          <w:rFonts w:eastAsiaTheme="minorEastAsia"/>
          <w:lang w:val="en-GB"/>
        </w:rPr>
        <w:t>.</w:t>
      </w:r>
      <w:r w:rsidRPr="00CB5441">
        <w:rPr>
          <w:rFonts w:eastAsiaTheme="minorEastAsia"/>
          <w:lang w:val="en-GB"/>
        </w:rPr>
        <w:t xml:space="preserve"> </w:t>
      </w:r>
      <w:r w:rsidR="00C77BA0">
        <w:rPr>
          <w:rFonts w:eastAsiaTheme="minorEastAsia"/>
          <w:lang w:val="en-GB"/>
        </w:rPr>
        <w:t>T</w:t>
      </w:r>
      <w:r w:rsidRPr="00CB5441">
        <w:rPr>
          <w:rFonts w:eastAsiaTheme="minorEastAsia"/>
          <w:lang w:val="en-GB"/>
        </w:rPr>
        <w:t>he implementation of such a technological approach as creating a geochemical barrier with a built-in monitoring system and active oil oxidizing effect</w:t>
      </w:r>
      <w:r w:rsidR="00C77BA0">
        <w:rPr>
          <w:rFonts w:eastAsiaTheme="minorEastAsia"/>
          <w:lang w:val="en-GB"/>
        </w:rPr>
        <w:t xml:space="preserve"> can be optimized using data obtained from the mathematical model</w:t>
      </w:r>
      <w:r w:rsidRPr="00CB5441">
        <w:rPr>
          <w:rFonts w:eastAsiaTheme="minorEastAsia"/>
          <w:lang w:val="en-GB"/>
        </w:rPr>
        <w:t xml:space="preserve">. Prospects and effectiveness of using this technology can also be estimated </w:t>
      </w:r>
      <w:r w:rsidR="00C77BA0">
        <w:rPr>
          <w:rFonts w:eastAsiaTheme="minorEastAsia"/>
          <w:lang w:val="en-GB"/>
        </w:rPr>
        <w:t>by</w:t>
      </w:r>
      <w:r w:rsidRPr="00CB5441">
        <w:rPr>
          <w:rFonts w:eastAsiaTheme="minorEastAsia"/>
          <w:lang w:val="en-GB"/>
        </w:rPr>
        <w:t xml:space="preserve"> the developed geochemical forecasting model.</w:t>
      </w:r>
    </w:p>
    <w:p w14:paraId="4F1327F8" w14:textId="36C230F1" w:rsidR="00600535" w:rsidRPr="00D74344" w:rsidRDefault="00600535" w:rsidP="00600535">
      <w:pPr>
        <w:pStyle w:val="CETReference"/>
      </w:pPr>
      <w:r w:rsidRPr="00B57B36">
        <w:t>References</w:t>
      </w:r>
    </w:p>
    <w:p w14:paraId="58B54866" w14:textId="77777777" w:rsidR="00320807" w:rsidRDefault="00320807" w:rsidP="00087184">
      <w:pPr>
        <w:pStyle w:val="CETReferencetext"/>
      </w:pPr>
      <w:proofErr w:type="spellStart"/>
      <w:r w:rsidRPr="00FC61FF">
        <w:t>Agaoglu</w:t>
      </w:r>
      <w:proofErr w:type="spellEnd"/>
      <w:r w:rsidRPr="00FC61FF">
        <w:t xml:space="preserve"> B., </w:t>
      </w:r>
      <w:proofErr w:type="spellStart"/>
      <w:r w:rsidRPr="00FC61FF">
        <w:t>Scheytt</w:t>
      </w:r>
      <w:proofErr w:type="spellEnd"/>
      <w:r w:rsidRPr="00FC61FF">
        <w:t xml:space="preserve"> T., </w:t>
      </w:r>
      <w:proofErr w:type="spellStart"/>
      <w:r w:rsidRPr="00FC61FF">
        <w:t>Copty</w:t>
      </w:r>
      <w:proofErr w:type="spellEnd"/>
      <w:r w:rsidRPr="00FC61FF">
        <w:t xml:space="preserve"> N. K., 2016</w:t>
      </w:r>
      <w:r>
        <w:t>, Impact of NAPL architecture on interphase mass transfer: A pore network study, Advances in Water Resources, 95, 138-151.</w:t>
      </w:r>
    </w:p>
    <w:p w14:paraId="3DA764E5" w14:textId="77777777" w:rsidR="00320807" w:rsidRDefault="00320807" w:rsidP="00FC61FF">
      <w:pPr>
        <w:pStyle w:val="CETReferencetext"/>
      </w:pPr>
      <w:proofErr w:type="spellStart"/>
      <w:r w:rsidRPr="00FC61FF">
        <w:t>Jin</w:t>
      </w:r>
      <w:proofErr w:type="spellEnd"/>
      <w:r w:rsidRPr="00FC61FF">
        <w:t xml:space="preserve"> М., </w:t>
      </w:r>
      <w:proofErr w:type="spellStart"/>
      <w:r>
        <w:t>Delshad</w:t>
      </w:r>
      <w:proofErr w:type="spellEnd"/>
      <w:r>
        <w:t xml:space="preserve"> М., </w:t>
      </w:r>
      <w:proofErr w:type="spellStart"/>
      <w:r>
        <w:t>Dwarakanath</w:t>
      </w:r>
      <w:proofErr w:type="spellEnd"/>
      <w:r>
        <w:t xml:space="preserve"> V., McKinney D.C., </w:t>
      </w:r>
      <w:proofErr w:type="spellStart"/>
      <w:r>
        <w:t>Роре</w:t>
      </w:r>
      <w:proofErr w:type="spellEnd"/>
      <w:r>
        <w:t xml:space="preserve"> G.A., </w:t>
      </w:r>
      <w:proofErr w:type="spellStart"/>
      <w:r>
        <w:t>Sepehrnqri</w:t>
      </w:r>
      <w:proofErr w:type="spellEnd"/>
      <w:r>
        <w:t xml:space="preserve"> К., Tilburg С.Е., Jackson R.E., 1995, Partitioning tracer test for detection, estimation, and remediation performance assessment of subsurface nonaqueous phase liquids, International Journal of Rock Mechanics and Mining Sciences &amp; Geomechanics Abstracts, 33, A62.</w:t>
      </w:r>
    </w:p>
    <w:p w14:paraId="59D677FC" w14:textId="77777777" w:rsidR="00320807" w:rsidRDefault="00320807" w:rsidP="00087184">
      <w:pPr>
        <w:pStyle w:val="CETReferencetext"/>
      </w:pPr>
      <w:proofErr w:type="spellStart"/>
      <w:r>
        <w:t>Kusheeva</w:t>
      </w:r>
      <w:proofErr w:type="spellEnd"/>
      <w:r>
        <w:t xml:space="preserve"> V.S., </w:t>
      </w:r>
      <w:proofErr w:type="spellStart"/>
      <w:r>
        <w:t>Ostakh</w:t>
      </w:r>
      <w:proofErr w:type="spellEnd"/>
      <w:r>
        <w:t xml:space="preserve"> S.V., 2018, </w:t>
      </w:r>
      <w:r w:rsidRPr="00087184">
        <w:t>Bioremediation of soil contaminated with PAH’s</w:t>
      </w:r>
      <w:r>
        <w:t>,</w:t>
      </w:r>
      <w:r w:rsidRPr="00087184">
        <w:t xml:space="preserve"> </w:t>
      </w:r>
      <w:r>
        <w:t>A</w:t>
      </w:r>
      <w:r w:rsidRPr="00087184">
        <w:t>bstracts of the 72nd international youth scientific conference “</w:t>
      </w:r>
      <w:r>
        <w:t>O</w:t>
      </w:r>
      <w:r w:rsidRPr="00087184">
        <w:t xml:space="preserve">il and </w:t>
      </w:r>
      <w:r>
        <w:t>G</w:t>
      </w:r>
      <w:r w:rsidRPr="00087184">
        <w:t>as - 2018”</w:t>
      </w:r>
      <w:r>
        <w:t>, Moscow, Russian Federation.</w:t>
      </w:r>
    </w:p>
    <w:p w14:paraId="13C5F3BD" w14:textId="77777777" w:rsidR="00320807" w:rsidRDefault="00320807" w:rsidP="00B047FC">
      <w:pPr>
        <w:pStyle w:val="CETReferencetext"/>
      </w:pPr>
      <w:r>
        <w:t>Lensing</w:t>
      </w:r>
      <w:r w:rsidRPr="00B047FC">
        <w:t xml:space="preserve"> </w:t>
      </w:r>
      <w:r>
        <w:t>H.J., Vogt</w:t>
      </w:r>
      <w:r w:rsidRPr="00B047FC">
        <w:t xml:space="preserve"> </w:t>
      </w:r>
      <w:r>
        <w:t xml:space="preserve">M., </w:t>
      </w:r>
      <w:proofErr w:type="spellStart"/>
      <w:r>
        <w:t>Herrling</w:t>
      </w:r>
      <w:proofErr w:type="spellEnd"/>
      <w:r w:rsidRPr="00B047FC">
        <w:t xml:space="preserve"> </w:t>
      </w:r>
      <w:r>
        <w:t xml:space="preserve">B., 1994, </w:t>
      </w:r>
      <w:proofErr w:type="spellStart"/>
      <w:r>
        <w:t>Modeling</w:t>
      </w:r>
      <w:proofErr w:type="spellEnd"/>
      <w:r>
        <w:t xml:space="preserve"> of biologically mediated redox processes in the subsurface, Journal of Hydrology, 159, 125-143.</w:t>
      </w:r>
    </w:p>
    <w:p w14:paraId="2C24506F" w14:textId="77777777" w:rsidR="00320807" w:rsidRPr="00EA4583" w:rsidRDefault="00320807" w:rsidP="00EA4583">
      <w:pPr>
        <w:pStyle w:val="CETReferencetext"/>
      </w:pPr>
      <w:r>
        <w:t>Liu</w:t>
      </w:r>
      <w:r w:rsidRPr="00EA4583">
        <w:t xml:space="preserve"> </w:t>
      </w:r>
      <w:r>
        <w:t>P.C., Mailloux</w:t>
      </w:r>
      <w:r w:rsidRPr="00EA4583">
        <w:t xml:space="preserve"> </w:t>
      </w:r>
      <w:r>
        <w:t>B.J., Wagner</w:t>
      </w:r>
      <w:r w:rsidRPr="00EA4583">
        <w:t xml:space="preserve"> </w:t>
      </w:r>
      <w:r>
        <w:t>A., Magyar</w:t>
      </w:r>
      <w:r w:rsidRPr="00EA4583">
        <w:t xml:space="preserve"> </w:t>
      </w:r>
      <w:r>
        <w:t xml:space="preserve">J.S., </w:t>
      </w:r>
      <w:proofErr w:type="spellStart"/>
      <w:r>
        <w:t>Culligan</w:t>
      </w:r>
      <w:proofErr w:type="spellEnd"/>
      <w:r>
        <w:t xml:space="preserve"> P.J., 2016, Can varying velocity conditions be one possible explanation for differences between laboratory and field observations of bacterial transport in porous media?, Advances in Water Resources, 88, 97-108.</w:t>
      </w:r>
    </w:p>
    <w:p w14:paraId="082E83B3" w14:textId="77777777" w:rsidR="00320807" w:rsidRDefault="00320807" w:rsidP="009A61D6">
      <w:pPr>
        <w:pStyle w:val="CETReferencetext"/>
      </w:pPr>
      <w:r w:rsidRPr="009A61D6">
        <w:t xml:space="preserve">Luciano A., </w:t>
      </w:r>
      <w:proofErr w:type="spellStart"/>
      <w:r w:rsidRPr="009A61D6">
        <w:t>Viotti</w:t>
      </w:r>
      <w:proofErr w:type="spellEnd"/>
      <w:r w:rsidRPr="009A61D6">
        <w:t xml:space="preserve"> P., </w:t>
      </w:r>
      <w:proofErr w:type="spellStart"/>
      <w:r w:rsidRPr="009A61D6">
        <w:t>Petrangeli</w:t>
      </w:r>
      <w:proofErr w:type="spellEnd"/>
      <w:r w:rsidRPr="009A61D6">
        <w:t xml:space="preserve"> </w:t>
      </w:r>
      <w:proofErr w:type="spellStart"/>
      <w:r w:rsidRPr="009A61D6">
        <w:t>Papini</w:t>
      </w:r>
      <w:proofErr w:type="spellEnd"/>
      <w:r w:rsidRPr="009A61D6">
        <w:t xml:space="preserve"> M., 2010, Laboratory investigation of DNAPL migration in porous media,</w:t>
      </w:r>
      <w:r>
        <w:t xml:space="preserve"> </w:t>
      </w:r>
      <w:r w:rsidRPr="009A61D6">
        <w:t>Journal of Hazardous Materials, 176, 1006-1017.</w:t>
      </w:r>
    </w:p>
    <w:p w14:paraId="7B7F278A" w14:textId="77777777" w:rsidR="00320807" w:rsidRDefault="00320807" w:rsidP="00441FD9">
      <w:pPr>
        <w:pStyle w:val="CETReferencetext"/>
      </w:pPr>
      <w:proofErr w:type="spellStart"/>
      <w:r w:rsidRPr="00441FD9">
        <w:t>Mironenko</w:t>
      </w:r>
      <w:proofErr w:type="spellEnd"/>
      <w:r w:rsidRPr="00441FD9">
        <w:t xml:space="preserve"> V.A., </w:t>
      </w:r>
      <w:proofErr w:type="spellStart"/>
      <w:r w:rsidRPr="00441FD9">
        <w:t>Rumynin</w:t>
      </w:r>
      <w:proofErr w:type="spellEnd"/>
      <w:r w:rsidRPr="00441FD9">
        <w:t xml:space="preserve"> V.G.</w:t>
      </w:r>
      <w:r>
        <w:t>, 2002, M</w:t>
      </w:r>
      <w:r w:rsidRPr="00441FD9">
        <w:t>onograph</w:t>
      </w:r>
      <w:r>
        <w:t xml:space="preserve">, Problems of </w:t>
      </w:r>
      <w:proofErr w:type="spellStart"/>
      <w:r>
        <w:t>hydrogeoecology</w:t>
      </w:r>
      <w:proofErr w:type="spellEnd"/>
      <w:r>
        <w:t xml:space="preserve">, Part 1. Theoretical study and </w:t>
      </w:r>
      <w:proofErr w:type="spellStart"/>
      <w:r>
        <w:t>modeling</w:t>
      </w:r>
      <w:proofErr w:type="spellEnd"/>
      <w:r>
        <w:t xml:space="preserve"> of </w:t>
      </w:r>
      <w:proofErr w:type="spellStart"/>
      <w:r>
        <w:t>geomigration</w:t>
      </w:r>
      <w:proofErr w:type="spellEnd"/>
      <w:r>
        <w:t xml:space="preserve"> processes, Moscow State Mining University, Moscow, Russian Federation.</w:t>
      </w:r>
    </w:p>
    <w:p w14:paraId="581CDE34" w14:textId="77777777" w:rsidR="00320807" w:rsidRPr="00B047FC" w:rsidRDefault="00320807" w:rsidP="00B047FC">
      <w:pPr>
        <w:pStyle w:val="CETReferencetext"/>
      </w:pPr>
      <w:proofErr w:type="spellStart"/>
      <w:r w:rsidRPr="00B047FC">
        <w:t>Petangeli</w:t>
      </w:r>
      <w:proofErr w:type="spellEnd"/>
      <w:r w:rsidRPr="00B047FC">
        <w:t xml:space="preserve"> </w:t>
      </w:r>
      <w:proofErr w:type="spellStart"/>
      <w:r w:rsidRPr="00B047FC">
        <w:t>Papini</w:t>
      </w:r>
      <w:proofErr w:type="spellEnd"/>
      <w:r w:rsidRPr="00B047FC">
        <w:t xml:space="preserve"> M., </w:t>
      </w:r>
      <w:proofErr w:type="spellStart"/>
      <w:r w:rsidRPr="00B047FC">
        <w:t>Ostakh</w:t>
      </w:r>
      <w:proofErr w:type="spellEnd"/>
      <w:r w:rsidRPr="00B047FC">
        <w:t xml:space="preserve"> S.V., </w:t>
      </w:r>
      <w:proofErr w:type="spellStart"/>
      <w:r w:rsidRPr="00B047FC">
        <w:t>Kusheeva</w:t>
      </w:r>
      <w:proofErr w:type="spellEnd"/>
      <w:r w:rsidRPr="00B047FC">
        <w:t xml:space="preserve"> V.S.</w:t>
      </w:r>
      <w:r>
        <w:t xml:space="preserve">, 2018, </w:t>
      </w:r>
      <w:r w:rsidRPr="00B047FC">
        <w:t>The method and principles of extraction of technogenic deposits on oil production facilities</w:t>
      </w:r>
      <w:r>
        <w:t>, C</w:t>
      </w:r>
      <w:r w:rsidRPr="00B047FC">
        <w:t>onference materials</w:t>
      </w:r>
      <w:r>
        <w:t xml:space="preserve"> </w:t>
      </w:r>
      <w:proofErr w:type="spellStart"/>
      <w:r>
        <w:t>Geopetrol</w:t>
      </w:r>
      <w:proofErr w:type="spellEnd"/>
      <w:r>
        <w:t xml:space="preserve"> 2018. Development of hydrocarbon exploration and production technologies, 771-776.</w:t>
      </w:r>
    </w:p>
    <w:p w14:paraId="66856181" w14:textId="77777777" w:rsidR="00320807" w:rsidRDefault="00320807" w:rsidP="00B20565">
      <w:pPr>
        <w:pStyle w:val="CETReferencetext"/>
      </w:pPr>
      <w:proofErr w:type="spellStart"/>
      <w:r>
        <w:t>Riccardi</w:t>
      </w:r>
      <w:proofErr w:type="spellEnd"/>
      <w:r w:rsidRPr="00B20565">
        <w:t xml:space="preserve"> </w:t>
      </w:r>
      <w:r>
        <w:t>C., Di Filippo</w:t>
      </w:r>
      <w:r w:rsidRPr="00B20565">
        <w:t xml:space="preserve"> </w:t>
      </w:r>
      <w:r>
        <w:t xml:space="preserve">P., </w:t>
      </w:r>
      <w:proofErr w:type="spellStart"/>
      <w:r>
        <w:t>Pomata</w:t>
      </w:r>
      <w:proofErr w:type="spellEnd"/>
      <w:r w:rsidRPr="00B20565">
        <w:t xml:space="preserve"> </w:t>
      </w:r>
      <w:r>
        <w:t xml:space="preserve">D., </w:t>
      </w:r>
      <w:proofErr w:type="spellStart"/>
      <w:r>
        <w:t>Incoronato</w:t>
      </w:r>
      <w:proofErr w:type="spellEnd"/>
      <w:r w:rsidRPr="00B20565">
        <w:t xml:space="preserve"> </w:t>
      </w:r>
      <w:r>
        <w:t>F., Di Basilio</w:t>
      </w:r>
      <w:r w:rsidRPr="00B20565">
        <w:t xml:space="preserve"> </w:t>
      </w:r>
      <w:r>
        <w:t xml:space="preserve">M., </w:t>
      </w:r>
      <w:proofErr w:type="spellStart"/>
      <w:r>
        <w:t>Petrangeli</w:t>
      </w:r>
      <w:proofErr w:type="spellEnd"/>
      <w:r>
        <w:t xml:space="preserve"> </w:t>
      </w:r>
      <w:proofErr w:type="spellStart"/>
      <w:r>
        <w:t>Papini</w:t>
      </w:r>
      <w:proofErr w:type="spellEnd"/>
      <w:r w:rsidRPr="00B20565">
        <w:t xml:space="preserve"> </w:t>
      </w:r>
      <w:r>
        <w:t xml:space="preserve">M., </w:t>
      </w:r>
      <w:proofErr w:type="spellStart"/>
      <w:r>
        <w:t>Spicaglia</w:t>
      </w:r>
      <w:proofErr w:type="spellEnd"/>
      <w:r w:rsidRPr="00B20565">
        <w:t xml:space="preserve"> </w:t>
      </w:r>
      <w:r>
        <w:t>S., 2008, Characterization and distribution of petroleum hydrocarbons and heavy metals in groundwater from three Italian tank farms, Science of The Total Environment, 393, 50-63.</w:t>
      </w:r>
    </w:p>
    <w:p w14:paraId="25FA924B" w14:textId="77777777" w:rsidR="00320807" w:rsidRPr="00FB154D" w:rsidRDefault="00320807" w:rsidP="009A61D6">
      <w:pPr>
        <w:pStyle w:val="CETReferencetext"/>
      </w:pPr>
      <w:proofErr w:type="spellStart"/>
      <w:r w:rsidRPr="009A61D6">
        <w:t>Shengqi</w:t>
      </w:r>
      <w:proofErr w:type="spellEnd"/>
      <w:r w:rsidRPr="009A61D6">
        <w:t xml:space="preserve"> Qi, Jian Luo, David O'Connor, </w:t>
      </w:r>
      <w:proofErr w:type="spellStart"/>
      <w:r w:rsidRPr="009A61D6">
        <w:t>Xiaoyuan</w:t>
      </w:r>
      <w:proofErr w:type="spellEnd"/>
      <w:r w:rsidRPr="009A61D6">
        <w:t xml:space="preserve"> Cao, </w:t>
      </w:r>
      <w:proofErr w:type="spellStart"/>
      <w:r w:rsidRPr="009A61D6">
        <w:t>Deyi</w:t>
      </w:r>
      <w:proofErr w:type="spellEnd"/>
      <w:r w:rsidRPr="009A61D6">
        <w:t xml:space="preserve"> </w:t>
      </w:r>
      <w:proofErr w:type="spellStart"/>
      <w:r w:rsidRPr="009A61D6">
        <w:t>Hou</w:t>
      </w:r>
      <w:proofErr w:type="spellEnd"/>
      <w:r w:rsidRPr="009A61D6">
        <w:t>, 2020, Influence of groundwater table fluctuation on the non-equilibrium transport of volatile organic contaminants in the vadose zone, Journal of Hydrology, 580.</w:t>
      </w:r>
    </w:p>
    <w:p w14:paraId="18CB0776" w14:textId="77777777" w:rsidR="00320807" w:rsidRPr="00FB154D" w:rsidRDefault="00320807" w:rsidP="00EA4583">
      <w:pPr>
        <w:pStyle w:val="CETReferencetext"/>
      </w:pPr>
      <w:proofErr w:type="spellStart"/>
      <w:r w:rsidRPr="00FB154D">
        <w:t>Tatti</w:t>
      </w:r>
      <w:proofErr w:type="spellEnd"/>
      <w:r w:rsidRPr="00FB154D">
        <w:t xml:space="preserve"> F., </w:t>
      </w:r>
      <w:proofErr w:type="spellStart"/>
      <w:r w:rsidRPr="00FB154D">
        <w:t>Petrangeli</w:t>
      </w:r>
      <w:proofErr w:type="spellEnd"/>
      <w:r w:rsidRPr="00FB154D">
        <w:t xml:space="preserve"> </w:t>
      </w:r>
      <w:proofErr w:type="spellStart"/>
      <w:r w:rsidRPr="00FB154D">
        <w:t>Papini</w:t>
      </w:r>
      <w:proofErr w:type="spellEnd"/>
      <w:r w:rsidRPr="00FB154D">
        <w:t xml:space="preserve"> M., </w:t>
      </w:r>
      <w:proofErr w:type="spellStart"/>
      <w:r w:rsidRPr="00FB154D">
        <w:t>Sappa</w:t>
      </w:r>
      <w:proofErr w:type="spellEnd"/>
      <w:r w:rsidRPr="00FB154D">
        <w:t xml:space="preserve"> G., </w:t>
      </w:r>
      <w:proofErr w:type="spellStart"/>
      <w:r w:rsidRPr="00FB154D">
        <w:t>Raboni</w:t>
      </w:r>
      <w:proofErr w:type="spellEnd"/>
      <w:r w:rsidRPr="00FB154D">
        <w:t xml:space="preserve"> M., </w:t>
      </w:r>
      <w:proofErr w:type="spellStart"/>
      <w:r w:rsidRPr="00FB154D">
        <w:t>Arjmand</w:t>
      </w:r>
      <w:proofErr w:type="spellEnd"/>
      <w:r w:rsidRPr="00FB154D">
        <w:t xml:space="preserve"> F., </w:t>
      </w:r>
      <w:proofErr w:type="spellStart"/>
      <w:r w:rsidRPr="00FB154D">
        <w:t>Viotti</w:t>
      </w:r>
      <w:proofErr w:type="spellEnd"/>
      <w:r w:rsidRPr="00FB154D">
        <w:t xml:space="preserve"> P., 2018, Contaminant back-diffusion from low-permeability layers as affected by groundwater velocity: A laboratory investigation by box model and image analysis, Science of The Total Environment, 622-623, 164-171.</w:t>
      </w:r>
    </w:p>
    <w:p w14:paraId="3FEA06E5" w14:textId="0D2E13E4" w:rsidR="00320807" w:rsidRPr="00FB154D" w:rsidRDefault="00320807" w:rsidP="00E93186">
      <w:pPr>
        <w:pStyle w:val="CETReferencetext"/>
      </w:pPr>
      <w:proofErr w:type="spellStart"/>
      <w:r w:rsidRPr="00FB154D">
        <w:t>Tesfaye</w:t>
      </w:r>
      <w:proofErr w:type="spellEnd"/>
      <w:r w:rsidRPr="00FB154D">
        <w:t xml:space="preserve"> </w:t>
      </w:r>
      <w:proofErr w:type="spellStart"/>
      <w:r w:rsidRPr="00FB154D">
        <w:t>Besha</w:t>
      </w:r>
      <w:proofErr w:type="spellEnd"/>
      <w:r w:rsidRPr="00FB154D">
        <w:t xml:space="preserve"> A., Bekele D. N., Naidu R., </w:t>
      </w:r>
      <w:proofErr w:type="spellStart"/>
      <w:r w:rsidRPr="00FB154D">
        <w:t>Chadalavada</w:t>
      </w:r>
      <w:proofErr w:type="spellEnd"/>
      <w:r w:rsidRPr="00FB154D">
        <w:t xml:space="preserve"> S., 2018, Recent advances in surfactant-enhanced In-Situ Chemical Oxidation for the remediation of non-aqueous phase liquid contaminated soils and aquifers, Environmental Technology &amp; Innovation, 9, 303-322.</w:t>
      </w:r>
    </w:p>
    <w:p w14:paraId="3BBDD989" w14:textId="0F236870" w:rsidR="00BB7ADE" w:rsidRPr="00FB154D" w:rsidRDefault="00BB7ADE" w:rsidP="00E93186">
      <w:pPr>
        <w:pStyle w:val="CETReferencetext"/>
      </w:pPr>
      <w:r w:rsidRPr="00FB154D">
        <w:t xml:space="preserve">Toscano G., </w:t>
      </w:r>
      <w:proofErr w:type="spellStart"/>
      <w:r w:rsidRPr="00FB154D">
        <w:t>Colarieti</w:t>
      </w:r>
      <w:proofErr w:type="spellEnd"/>
      <w:r w:rsidRPr="00FB154D">
        <w:t xml:space="preserve"> M. L., Greco G., 2012, Biodegradation of aircraft </w:t>
      </w:r>
      <w:proofErr w:type="spellStart"/>
      <w:r w:rsidRPr="00FB154D">
        <w:t>deicing</w:t>
      </w:r>
      <w:proofErr w:type="spellEnd"/>
      <w:r w:rsidRPr="00FB154D">
        <w:t xml:space="preserve"> fluids in soil slurries, Chemical Engineering Transactions, 28, 1-6.</w:t>
      </w:r>
    </w:p>
    <w:sectPr w:rsidR="00BB7ADE" w:rsidRPr="00FB154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FA51" w14:textId="77777777" w:rsidR="00C35F54" w:rsidRDefault="00C35F54" w:rsidP="004F5E36">
      <w:r>
        <w:separator/>
      </w:r>
    </w:p>
  </w:endnote>
  <w:endnote w:type="continuationSeparator" w:id="0">
    <w:p w14:paraId="472AD4E0" w14:textId="77777777" w:rsidR="00C35F54" w:rsidRDefault="00C35F5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FDBB7" w14:textId="77777777" w:rsidR="00C35F54" w:rsidRDefault="00C35F54" w:rsidP="004F5E36">
      <w:r>
        <w:separator/>
      </w:r>
    </w:p>
  </w:footnote>
  <w:footnote w:type="continuationSeparator" w:id="0">
    <w:p w14:paraId="67233B39" w14:textId="77777777" w:rsidR="00C35F54" w:rsidRDefault="00C35F5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4851925"/>
    <w:multiLevelType w:val="hybridMultilevel"/>
    <w:tmpl w:val="BDCCB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1"/>
  </w:num>
  <w:num w:numId="18">
    <w:abstractNumId w:val="13"/>
    <w:lvlOverride w:ilvl="0">
      <w:startOverride w:val="1"/>
    </w:lvlOverride>
  </w:num>
  <w:num w:numId="19">
    <w:abstractNumId w:val="16"/>
  </w:num>
  <w:num w:numId="20">
    <w:abstractNumId w:val="15"/>
  </w:num>
  <w:num w:numId="21">
    <w:abstractNumId w:val="14"/>
  </w:num>
  <w:num w:numId="22">
    <w:abstractNumId w:val="12"/>
  </w:num>
  <w:num w:numId="23">
    <w:abstractNumId w:val="10"/>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132"/>
    <w:rsid w:val="000052FB"/>
    <w:rsid w:val="00005A8F"/>
    <w:rsid w:val="00005F8E"/>
    <w:rsid w:val="000117CB"/>
    <w:rsid w:val="00012140"/>
    <w:rsid w:val="000163B4"/>
    <w:rsid w:val="0002454F"/>
    <w:rsid w:val="00025B66"/>
    <w:rsid w:val="0003148D"/>
    <w:rsid w:val="00032C7D"/>
    <w:rsid w:val="0003375C"/>
    <w:rsid w:val="00036065"/>
    <w:rsid w:val="00051566"/>
    <w:rsid w:val="00051E21"/>
    <w:rsid w:val="00051E86"/>
    <w:rsid w:val="00052061"/>
    <w:rsid w:val="000567E6"/>
    <w:rsid w:val="00061CCA"/>
    <w:rsid w:val="00062A9A"/>
    <w:rsid w:val="00065058"/>
    <w:rsid w:val="00067D4D"/>
    <w:rsid w:val="000736C6"/>
    <w:rsid w:val="00076437"/>
    <w:rsid w:val="0008326B"/>
    <w:rsid w:val="00086C39"/>
    <w:rsid w:val="00087184"/>
    <w:rsid w:val="00097926"/>
    <w:rsid w:val="000A03B2"/>
    <w:rsid w:val="000B0A95"/>
    <w:rsid w:val="000B44AA"/>
    <w:rsid w:val="000C4B25"/>
    <w:rsid w:val="000D0268"/>
    <w:rsid w:val="000D29E0"/>
    <w:rsid w:val="000D34BE"/>
    <w:rsid w:val="000D3753"/>
    <w:rsid w:val="000D4028"/>
    <w:rsid w:val="000E102F"/>
    <w:rsid w:val="000E36F1"/>
    <w:rsid w:val="000E3A73"/>
    <w:rsid w:val="000E414A"/>
    <w:rsid w:val="000E54DC"/>
    <w:rsid w:val="000F093C"/>
    <w:rsid w:val="000F787B"/>
    <w:rsid w:val="00100455"/>
    <w:rsid w:val="001032E6"/>
    <w:rsid w:val="001125D0"/>
    <w:rsid w:val="001154E8"/>
    <w:rsid w:val="0012048B"/>
    <w:rsid w:val="0012091F"/>
    <w:rsid w:val="00126BC2"/>
    <w:rsid w:val="00126E6C"/>
    <w:rsid w:val="001302C0"/>
    <w:rsid w:val="001308B6"/>
    <w:rsid w:val="0013121F"/>
    <w:rsid w:val="00131FE6"/>
    <w:rsid w:val="0013263F"/>
    <w:rsid w:val="00134DE4"/>
    <w:rsid w:val="00135D17"/>
    <w:rsid w:val="0014034D"/>
    <w:rsid w:val="00150E59"/>
    <w:rsid w:val="00152094"/>
    <w:rsid w:val="001520AC"/>
    <w:rsid w:val="00152DE3"/>
    <w:rsid w:val="00156B90"/>
    <w:rsid w:val="00161129"/>
    <w:rsid w:val="00164CF9"/>
    <w:rsid w:val="00165C0F"/>
    <w:rsid w:val="001667A6"/>
    <w:rsid w:val="00180B62"/>
    <w:rsid w:val="00180C5C"/>
    <w:rsid w:val="00183E91"/>
    <w:rsid w:val="00184AD6"/>
    <w:rsid w:val="00184D77"/>
    <w:rsid w:val="00186BEC"/>
    <w:rsid w:val="00193E13"/>
    <w:rsid w:val="001940EA"/>
    <w:rsid w:val="001A4AF7"/>
    <w:rsid w:val="001B0349"/>
    <w:rsid w:val="001B1F69"/>
    <w:rsid w:val="001B3B49"/>
    <w:rsid w:val="001B65C1"/>
    <w:rsid w:val="001C426F"/>
    <w:rsid w:val="001C523E"/>
    <w:rsid w:val="001C5B65"/>
    <w:rsid w:val="001C684B"/>
    <w:rsid w:val="001D40E1"/>
    <w:rsid w:val="001D53FC"/>
    <w:rsid w:val="001E54EE"/>
    <w:rsid w:val="001F2406"/>
    <w:rsid w:val="001F380A"/>
    <w:rsid w:val="001F427C"/>
    <w:rsid w:val="001F42A5"/>
    <w:rsid w:val="001F7B9D"/>
    <w:rsid w:val="00216444"/>
    <w:rsid w:val="002224B4"/>
    <w:rsid w:val="00223DBC"/>
    <w:rsid w:val="00240B86"/>
    <w:rsid w:val="00243D85"/>
    <w:rsid w:val="002447EF"/>
    <w:rsid w:val="00246FA7"/>
    <w:rsid w:val="002505B2"/>
    <w:rsid w:val="00251550"/>
    <w:rsid w:val="002565B4"/>
    <w:rsid w:val="00263B05"/>
    <w:rsid w:val="00270348"/>
    <w:rsid w:val="0027221A"/>
    <w:rsid w:val="00275B61"/>
    <w:rsid w:val="0027643E"/>
    <w:rsid w:val="00281C05"/>
    <w:rsid w:val="00282656"/>
    <w:rsid w:val="0029362D"/>
    <w:rsid w:val="00296B83"/>
    <w:rsid w:val="002B0219"/>
    <w:rsid w:val="002B599C"/>
    <w:rsid w:val="002B667F"/>
    <w:rsid w:val="002B78CE"/>
    <w:rsid w:val="002C0297"/>
    <w:rsid w:val="002C0EEE"/>
    <w:rsid w:val="002C189A"/>
    <w:rsid w:val="002C290A"/>
    <w:rsid w:val="002C2FB6"/>
    <w:rsid w:val="002C55C8"/>
    <w:rsid w:val="002C6A3D"/>
    <w:rsid w:val="002D0A2A"/>
    <w:rsid w:val="002D0E4E"/>
    <w:rsid w:val="002D1A70"/>
    <w:rsid w:val="002D785F"/>
    <w:rsid w:val="002E5C27"/>
    <w:rsid w:val="002F1668"/>
    <w:rsid w:val="002F16FD"/>
    <w:rsid w:val="002F3309"/>
    <w:rsid w:val="002F3E14"/>
    <w:rsid w:val="003009B7"/>
    <w:rsid w:val="00300E56"/>
    <w:rsid w:val="00303483"/>
    <w:rsid w:val="0030469C"/>
    <w:rsid w:val="00317F92"/>
    <w:rsid w:val="00320807"/>
    <w:rsid w:val="00321CA6"/>
    <w:rsid w:val="0032618E"/>
    <w:rsid w:val="00326552"/>
    <w:rsid w:val="00327464"/>
    <w:rsid w:val="003310C4"/>
    <w:rsid w:val="00334A82"/>
    <w:rsid w:val="00334C09"/>
    <w:rsid w:val="00336DD0"/>
    <w:rsid w:val="00344D51"/>
    <w:rsid w:val="00356BC7"/>
    <w:rsid w:val="003576B4"/>
    <w:rsid w:val="00361BD9"/>
    <w:rsid w:val="00363DAF"/>
    <w:rsid w:val="003723D4"/>
    <w:rsid w:val="003763F8"/>
    <w:rsid w:val="00381905"/>
    <w:rsid w:val="00384CC8"/>
    <w:rsid w:val="00387129"/>
    <w:rsid w:val="003871FD"/>
    <w:rsid w:val="00390D5B"/>
    <w:rsid w:val="00394F88"/>
    <w:rsid w:val="0039628A"/>
    <w:rsid w:val="003A0B81"/>
    <w:rsid w:val="003A1E30"/>
    <w:rsid w:val="003A1ED2"/>
    <w:rsid w:val="003A3F5C"/>
    <w:rsid w:val="003A640E"/>
    <w:rsid w:val="003A7D1C"/>
    <w:rsid w:val="003B1DF0"/>
    <w:rsid w:val="003B304B"/>
    <w:rsid w:val="003B3146"/>
    <w:rsid w:val="003C07D7"/>
    <w:rsid w:val="003C5774"/>
    <w:rsid w:val="003C709C"/>
    <w:rsid w:val="003D6E56"/>
    <w:rsid w:val="003E426F"/>
    <w:rsid w:val="003F015E"/>
    <w:rsid w:val="003F50E1"/>
    <w:rsid w:val="003F604F"/>
    <w:rsid w:val="00400414"/>
    <w:rsid w:val="0041446B"/>
    <w:rsid w:val="004248A4"/>
    <w:rsid w:val="00426F8D"/>
    <w:rsid w:val="00441FD9"/>
    <w:rsid w:val="0044240B"/>
    <w:rsid w:val="0044329C"/>
    <w:rsid w:val="004508B2"/>
    <w:rsid w:val="004514D0"/>
    <w:rsid w:val="004577FE"/>
    <w:rsid w:val="00457B9C"/>
    <w:rsid w:val="0046164A"/>
    <w:rsid w:val="004628D2"/>
    <w:rsid w:val="00462DCD"/>
    <w:rsid w:val="004648AD"/>
    <w:rsid w:val="004703A9"/>
    <w:rsid w:val="004760DE"/>
    <w:rsid w:val="004763D7"/>
    <w:rsid w:val="00483126"/>
    <w:rsid w:val="00483441"/>
    <w:rsid w:val="00493CC2"/>
    <w:rsid w:val="0049472D"/>
    <w:rsid w:val="004955D0"/>
    <w:rsid w:val="00496984"/>
    <w:rsid w:val="004A004E"/>
    <w:rsid w:val="004A24CF"/>
    <w:rsid w:val="004B6427"/>
    <w:rsid w:val="004C3D1D"/>
    <w:rsid w:val="004C56A8"/>
    <w:rsid w:val="004C65C8"/>
    <w:rsid w:val="004C7913"/>
    <w:rsid w:val="004D211F"/>
    <w:rsid w:val="004E02AE"/>
    <w:rsid w:val="004E49F5"/>
    <w:rsid w:val="004E4DD6"/>
    <w:rsid w:val="004F275D"/>
    <w:rsid w:val="004F5E36"/>
    <w:rsid w:val="004F630A"/>
    <w:rsid w:val="00507B47"/>
    <w:rsid w:val="00507BEF"/>
    <w:rsid w:val="00507CC9"/>
    <w:rsid w:val="005119A5"/>
    <w:rsid w:val="00516B04"/>
    <w:rsid w:val="00520778"/>
    <w:rsid w:val="0052259B"/>
    <w:rsid w:val="005278B7"/>
    <w:rsid w:val="005278C8"/>
    <w:rsid w:val="00532016"/>
    <w:rsid w:val="005346C8"/>
    <w:rsid w:val="00543E7D"/>
    <w:rsid w:val="00546318"/>
    <w:rsid w:val="00547A68"/>
    <w:rsid w:val="00550890"/>
    <w:rsid w:val="005531C9"/>
    <w:rsid w:val="005552D3"/>
    <w:rsid w:val="005616A9"/>
    <w:rsid w:val="00570C43"/>
    <w:rsid w:val="00575C2F"/>
    <w:rsid w:val="00584824"/>
    <w:rsid w:val="005865A7"/>
    <w:rsid w:val="0059178E"/>
    <w:rsid w:val="005B2110"/>
    <w:rsid w:val="005B37EF"/>
    <w:rsid w:val="005B5686"/>
    <w:rsid w:val="005B61E6"/>
    <w:rsid w:val="005B76A4"/>
    <w:rsid w:val="005B7DEE"/>
    <w:rsid w:val="005C763F"/>
    <w:rsid w:val="005C77E1"/>
    <w:rsid w:val="005D58A8"/>
    <w:rsid w:val="005D6A2F"/>
    <w:rsid w:val="005E1A82"/>
    <w:rsid w:val="005E794C"/>
    <w:rsid w:val="005F0A28"/>
    <w:rsid w:val="005F0E5E"/>
    <w:rsid w:val="0060019B"/>
    <w:rsid w:val="00600535"/>
    <w:rsid w:val="00604143"/>
    <w:rsid w:val="00604EE4"/>
    <w:rsid w:val="006077FD"/>
    <w:rsid w:val="00610CD6"/>
    <w:rsid w:val="00620DEE"/>
    <w:rsid w:val="00621F92"/>
    <w:rsid w:val="0062280A"/>
    <w:rsid w:val="00625639"/>
    <w:rsid w:val="00631B33"/>
    <w:rsid w:val="00632B71"/>
    <w:rsid w:val="00633BA0"/>
    <w:rsid w:val="00637F78"/>
    <w:rsid w:val="0064184D"/>
    <w:rsid w:val="006422CC"/>
    <w:rsid w:val="00652367"/>
    <w:rsid w:val="00660E3E"/>
    <w:rsid w:val="00662E74"/>
    <w:rsid w:val="00672D74"/>
    <w:rsid w:val="0068016F"/>
    <w:rsid w:val="0068062C"/>
    <w:rsid w:val="00680C23"/>
    <w:rsid w:val="00681AB2"/>
    <w:rsid w:val="00682C99"/>
    <w:rsid w:val="00686CE1"/>
    <w:rsid w:val="00693766"/>
    <w:rsid w:val="00697C6C"/>
    <w:rsid w:val="006A3281"/>
    <w:rsid w:val="006B1688"/>
    <w:rsid w:val="006B19ED"/>
    <w:rsid w:val="006B35C8"/>
    <w:rsid w:val="006B3AB9"/>
    <w:rsid w:val="006B4888"/>
    <w:rsid w:val="006C2E45"/>
    <w:rsid w:val="006C359C"/>
    <w:rsid w:val="006C5579"/>
    <w:rsid w:val="006D2245"/>
    <w:rsid w:val="006E0E28"/>
    <w:rsid w:val="006E737D"/>
    <w:rsid w:val="006F69BB"/>
    <w:rsid w:val="00706A45"/>
    <w:rsid w:val="00710E1C"/>
    <w:rsid w:val="00717CEA"/>
    <w:rsid w:val="00720A24"/>
    <w:rsid w:val="00724014"/>
    <w:rsid w:val="00732386"/>
    <w:rsid w:val="00732AE3"/>
    <w:rsid w:val="00733B9D"/>
    <w:rsid w:val="007344C1"/>
    <w:rsid w:val="0073514D"/>
    <w:rsid w:val="00743D80"/>
    <w:rsid w:val="007447F3"/>
    <w:rsid w:val="00746F1E"/>
    <w:rsid w:val="0075499F"/>
    <w:rsid w:val="007566C5"/>
    <w:rsid w:val="00763478"/>
    <w:rsid w:val="0076617E"/>
    <w:rsid w:val="007661C8"/>
    <w:rsid w:val="0077098D"/>
    <w:rsid w:val="0077776B"/>
    <w:rsid w:val="007931FA"/>
    <w:rsid w:val="00797844"/>
    <w:rsid w:val="007A4861"/>
    <w:rsid w:val="007A555A"/>
    <w:rsid w:val="007A71A3"/>
    <w:rsid w:val="007A7BBA"/>
    <w:rsid w:val="007B0C50"/>
    <w:rsid w:val="007C16E6"/>
    <w:rsid w:val="007C1A43"/>
    <w:rsid w:val="007C4729"/>
    <w:rsid w:val="007C6DB3"/>
    <w:rsid w:val="007E21CE"/>
    <w:rsid w:val="0080013E"/>
    <w:rsid w:val="00802974"/>
    <w:rsid w:val="00804CE8"/>
    <w:rsid w:val="00812FDE"/>
    <w:rsid w:val="00813288"/>
    <w:rsid w:val="00814834"/>
    <w:rsid w:val="008168FC"/>
    <w:rsid w:val="00822F6B"/>
    <w:rsid w:val="00823353"/>
    <w:rsid w:val="008239C5"/>
    <w:rsid w:val="00826605"/>
    <w:rsid w:val="008303ED"/>
    <w:rsid w:val="00830996"/>
    <w:rsid w:val="008345F1"/>
    <w:rsid w:val="00846CD0"/>
    <w:rsid w:val="00846CD4"/>
    <w:rsid w:val="00847185"/>
    <w:rsid w:val="0085762C"/>
    <w:rsid w:val="0086224D"/>
    <w:rsid w:val="00865B07"/>
    <w:rsid w:val="008667EA"/>
    <w:rsid w:val="0086728B"/>
    <w:rsid w:val="008728E5"/>
    <w:rsid w:val="0087637F"/>
    <w:rsid w:val="00876DE7"/>
    <w:rsid w:val="008826E0"/>
    <w:rsid w:val="00892AD5"/>
    <w:rsid w:val="00895D55"/>
    <w:rsid w:val="008A1512"/>
    <w:rsid w:val="008A2946"/>
    <w:rsid w:val="008A4EC5"/>
    <w:rsid w:val="008B2A6A"/>
    <w:rsid w:val="008B32D8"/>
    <w:rsid w:val="008C1946"/>
    <w:rsid w:val="008C3FC5"/>
    <w:rsid w:val="008D32B9"/>
    <w:rsid w:val="008D433B"/>
    <w:rsid w:val="008E3879"/>
    <w:rsid w:val="008E566E"/>
    <w:rsid w:val="008E64E9"/>
    <w:rsid w:val="008F5378"/>
    <w:rsid w:val="008F67FE"/>
    <w:rsid w:val="0090161A"/>
    <w:rsid w:val="00901E50"/>
    <w:rsid w:val="00901EB6"/>
    <w:rsid w:val="00904C62"/>
    <w:rsid w:val="00906849"/>
    <w:rsid w:val="00912F9E"/>
    <w:rsid w:val="00913890"/>
    <w:rsid w:val="009154B5"/>
    <w:rsid w:val="00922BA8"/>
    <w:rsid w:val="00924DAC"/>
    <w:rsid w:val="00927058"/>
    <w:rsid w:val="00930DE7"/>
    <w:rsid w:val="00934859"/>
    <w:rsid w:val="009370F3"/>
    <w:rsid w:val="00942750"/>
    <w:rsid w:val="009450CE"/>
    <w:rsid w:val="009457AB"/>
    <w:rsid w:val="0094599F"/>
    <w:rsid w:val="00947179"/>
    <w:rsid w:val="0095164B"/>
    <w:rsid w:val="00954090"/>
    <w:rsid w:val="009573E7"/>
    <w:rsid w:val="00963E05"/>
    <w:rsid w:val="00967D54"/>
    <w:rsid w:val="00971028"/>
    <w:rsid w:val="00973E52"/>
    <w:rsid w:val="009750CC"/>
    <w:rsid w:val="0097782F"/>
    <w:rsid w:val="009801E1"/>
    <w:rsid w:val="00992636"/>
    <w:rsid w:val="00996483"/>
    <w:rsid w:val="00996F5A"/>
    <w:rsid w:val="009A1EBA"/>
    <w:rsid w:val="009A61D6"/>
    <w:rsid w:val="009B041A"/>
    <w:rsid w:val="009C37C3"/>
    <w:rsid w:val="009C7C86"/>
    <w:rsid w:val="009D2FF7"/>
    <w:rsid w:val="009E268F"/>
    <w:rsid w:val="009E7884"/>
    <w:rsid w:val="009E788A"/>
    <w:rsid w:val="009F0E08"/>
    <w:rsid w:val="009F7174"/>
    <w:rsid w:val="00A008ED"/>
    <w:rsid w:val="00A0091C"/>
    <w:rsid w:val="00A04C91"/>
    <w:rsid w:val="00A10994"/>
    <w:rsid w:val="00A1763D"/>
    <w:rsid w:val="00A17CEC"/>
    <w:rsid w:val="00A203AD"/>
    <w:rsid w:val="00A20C49"/>
    <w:rsid w:val="00A27EF0"/>
    <w:rsid w:val="00A370CC"/>
    <w:rsid w:val="00A40745"/>
    <w:rsid w:val="00A4574C"/>
    <w:rsid w:val="00A50B20"/>
    <w:rsid w:val="00A51390"/>
    <w:rsid w:val="00A5288F"/>
    <w:rsid w:val="00A60D13"/>
    <w:rsid w:val="00A61891"/>
    <w:rsid w:val="00A7171B"/>
    <w:rsid w:val="00A72745"/>
    <w:rsid w:val="00A75DE8"/>
    <w:rsid w:val="00A76EFC"/>
    <w:rsid w:val="00A82731"/>
    <w:rsid w:val="00A91010"/>
    <w:rsid w:val="00A92F95"/>
    <w:rsid w:val="00A95EC7"/>
    <w:rsid w:val="00A970E4"/>
    <w:rsid w:val="00A97F29"/>
    <w:rsid w:val="00AA00CC"/>
    <w:rsid w:val="00AA09BF"/>
    <w:rsid w:val="00AA22F6"/>
    <w:rsid w:val="00AA702E"/>
    <w:rsid w:val="00AB0964"/>
    <w:rsid w:val="00AB3BD1"/>
    <w:rsid w:val="00AB5011"/>
    <w:rsid w:val="00AC2F23"/>
    <w:rsid w:val="00AC7368"/>
    <w:rsid w:val="00AD0602"/>
    <w:rsid w:val="00AD16B9"/>
    <w:rsid w:val="00AD4FE8"/>
    <w:rsid w:val="00AE03EC"/>
    <w:rsid w:val="00AE377D"/>
    <w:rsid w:val="00AE4480"/>
    <w:rsid w:val="00AE4B93"/>
    <w:rsid w:val="00AE6276"/>
    <w:rsid w:val="00AE6596"/>
    <w:rsid w:val="00AF6B65"/>
    <w:rsid w:val="00B008C9"/>
    <w:rsid w:val="00B02C8A"/>
    <w:rsid w:val="00B047FC"/>
    <w:rsid w:val="00B10898"/>
    <w:rsid w:val="00B15872"/>
    <w:rsid w:val="00B162CA"/>
    <w:rsid w:val="00B17FBD"/>
    <w:rsid w:val="00B20565"/>
    <w:rsid w:val="00B30333"/>
    <w:rsid w:val="00B315A6"/>
    <w:rsid w:val="00B31813"/>
    <w:rsid w:val="00B32939"/>
    <w:rsid w:val="00B32BC3"/>
    <w:rsid w:val="00B33365"/>
    <w:rsid w:val="00B45BEF"/>
    <w:rsid w:val="00B57B36"/>
    <w:rsid w:val="00B57F63"/>
    <w:rsid w:val="00B62AED"/>
    <w:rsid w:val="00B64031"/>
    <w:rsid w:val="00B7528A"/>
    <w:rsid w:val="00B773C1"/>
    <w:rsid w:val="00B8686D"/>
    <w:rsid w:val="00B926CB"/>
    <w:rsid w:val="00B92894"/>
    <w:rsid w:val="00B9587B"/>
    <w:rsid w:val="00BB1DDC"/>
    <w:rsid w:val="00BB20F4"/>
    <w:rsid w:val="00BB7ADE"/>
    <w:rsid w:val="00BC30C9"/>
    <w:rsid w:val="00BC76F6"/>
    <w:rsid w:val="00BD22B2"/>
    <w:rsid w:val="00BD26C8"/>
    <w:rsid w:val="00BE3E58"/>
    <w:rsid w:val="00BE61E3"/>
    <w:rsid w:val="00BE7B8E"/>
    <w:rsid w:val="00BF58A9"/>
    <w:rsid w:val="00BF633D"/>
    <w:rsid w:val="00BF6A74"/>
    <w:rsid w:val="00C01616"/>
    <w:rsid w:val="00C0162B"/>
    <w:rsid w:val="00C0220C"/>
    <w:rsid w:val="00C0325F"/>
    <w:rsid w:val="00C068ED"/>
    <w:rsid w:val="00C11F51"/>
    <w:rsid w:val="00C21E4E"/>
    <w:rsid w:val="00C227B2"/>
    <w:rsid w:val="00C27419"/>
    <w:rsid w:val="00C340F8"/>
    <w:rsid w:val="00C345B1"/>
    <w:rsid w:val="00C35F54"/>
    <w:rsid w:val="00C40142"/>
    <w:rsid w:val="00C41E66"/>
    <w:rsid w:val="00C448CB"/>
    <w:rsid w:val="00C46DE2"/>
    <w:rsid w:val="00C57182"/>
    <w:rsid w:val="00C57863"/>
    <w:rsid w:val="00C63426"/>
    <w:rsid w:val="00C645B3"/>
    <w:rsid w:val="00C655FD"/>
    <w:rsid w:val="00C67E2F"/>
    <w:rsid w:val="00C74B1D"/>
    <w:rsid w:val="00C75407"/>
    <w:rsid w:val="00C76081"/>
    <w:rsid w:val="00C76F86"/>
    <w:rsid w:val="00C77BA0"/>
    <w:rsid w:val="00C870A8"/>
    <w:rsid w:val="00C908FB"/>
    <w:rsid w:val="00C94027"/>
    <w:rsid w:val="00C94434"/>
    <w:rsid w:val="00CA0D75"/>
    <w:rsid w:val="00CA1C95"/>
    <w:rsid w:val="00CA5A9C"/>
    <w:rsid w:val="00CB5441"/>
    <w:rsid w:val="00CB555D"/>
    <w:rsid w:val="00CC13CF"/>
    <w:rsid w:val="00CC4C20"/>
    <w:rsid w:val="00CD1432"/>
    <w:rsid w:val="00CD3517"/>
    <w:rsid w:val="00CD5FE2"/>
    <w:rsid w:val="00CE22C7"/>
    <w:rsid w:val="00CE7C68"/>
    <w:rsid w:val="00CF43B0"/>
    <w:rsid w:val="00CF48DB"/>
    <w:rsid w:val="00CF5F8F"/>
    <w:rsid w:val="00D02B4C"/>
    <w:rsid w:val="00D040C4"/>
    <w:rsid w:val="00D07D0A"/>
    <w:rsid w:val="00D11158"/>
    <w:rsid w:val="00D151F0"/>
    <w:rsid w:val="00D32920"/>
    <w:rsid w:val="00D5670C"/>
    <w:rsid w:val="00D57C84"/>
    <w:rsid w:val="00D6057D"/>
    <w:rsid w:val="00D61900"/>
    <w:rsid w:val="00D63B87"/>
    <w:rsid w:val="00D66FBD"/>
    <w:rsid w:val="00D7284E"/>
    <w:rsid w:val="00D74344"/>
    <w:rsid w:val="00D82796"/>
    <w:rsid w:val="00D836C5"/>
    <w:rsid w:val="00D84576"/>
    <w:rsid w:val="00D84F73"/>
    <w:rsid w:val="00D917C8"/>
    <w:rsid w:val="00D942E7"/>
    <w:rsid w:val="00D948D0"/>
    <w:rsid w:val="00DA1399"/>
    <w:rsid w:val="00DA24C6"/>
    <w:rsid w:val="00DA4D7B"/>
    <w:rsid w:val="00DA708D"/>
    <w:rsid w:val="00DA7A19"/>
    <w:rsid w:val="00DB4DBC"/>
    <w:rsid w:val="00DC44B2"/>
    <w:rsid w:val="00DD0604"/>
    <w:rsid w:val="00DD7F9A"/>
    <w:rsid w:val="00DE264A"/>
    <w:rsid w:val="00DF0EEC"/>
    <w:rsid w:val="00DF39A7"/>
    <w:rsid w:val="00DF5072"/>
    <w:rsid w:val="00E028BA"/>
    <w:rsid w:val="00E02D18"/>
    <w:rsid w:val="00E038E4"/>
    <w:rsid w:val="00E041E7"/>
    <w:rsid w:val="00E12C68"/>
    <w:rsid w:val="00E1410C"/>
    <w:rsid w:val="00E1710F"/>
    <w:rsid w:val="00E21C5B"/>
    <w:rsid w:val="00E22417"/>
    <w:rsid w:val="00E23CA1"/>
    <w:rsid w:val="00E24DF8"/>
    <w:rsid w:val="00E259B7"/>
    <w:rsid w:val="00E27E45"/>
    <w:rsid w:val="00E35AF6"/>
    <w:rsid w:val="00E409A8"/>
    <w:rsid w:val="00E41968"/>
    <w:rsid w:val="00E460A5"/>
    <w:rsid w:val="00E50BC9"/>
    <w:rsid w:val="00E50C12"/>
    <w:rsid w:val="00E54691"/>
    <w:rsid w:val="00E57C2D"/>
    <w:rsid w:val="00E62052"/>
    <w:rsid w:val="00E63E6A"/>
    <w:rsid w:val="00E65B91"/>
    <w:rsid w:val="00E7209D"/>
    <w:rsid w:val="00E730ED"/>
    <w:rsid w:val="00E76854"/>
    <w:rsid w:val="00E77223"/>
    <w:rsid w:val="00E8528B"/>
    <w:rsid w:val="00E85B94"/>
    <w:rsid w:val="00E879A9"/>
    <w:rsid w:val="00E93186"/>
    <w:rsid w:val="00E978D0"/>
    <w:rsid w:val="00EA1238"/>
    <w:rsid w:val="00EA4583"/>
    <w:rsid w:val="00EA4613"/>
    <w:rsid w:val="00EA7F91"/>
    <w:rsid w:val="00EB0341"/>
    <w:rsid w:val="00EB1523"/>
    <w:rsid w:val="00EC0E49"/>
    <w:rsid w:val="00EC101F"/>
    <w:rsid w:val="00EC227C"/>
    <w:rsid w:val="00ED0DC2"/>
    <w:rsid w:val="00ED59F3"/>
    <w:rsid w:val="00EE0131"/>
    <w:rsid w:val="00EE17B0"/>
    <w:rsid w:val="00EE2E59"/>
    <w:rsid w:val="00EE51EC"/>
    <w:rsid w:val="00EF06D9"/>
    <w:rsid w:val="00EF2050"/>
    <w:rsid w:val="00F216FD"/>
    <w:rsid w:val="00F30C64"/>
    <w:rsid w:val="00F32CDB"/>
    <w:rsid w:val="00F357E4"/>
    <w:rsid w:val="00F43ED4"/>
    <w:rsid w:val="00F4513D"/>
    <w:rsid w:val="00F63019"/>
    <w:rsid w:val="00F636F6"/>
    <w:rsid w:val="00F63A49"/>
    <w:rsid w:val="00F63A70"/>
    <w:rsid w:val="00F63DAC"/>
    <w:rsid w:val="00F64926"/>
    <w:rsid w:val="00F874D2"/>
    <w:rsid w:val="00F9370D"/>
    <w:rsid w:val="00F97954"/>
    <w:rsid w:val="00FA21D0"/>
    <w:rsid w:val="00FA5F5F"/>
    <w:rsid w:val="00FB154D"/>
    <w:rsid w:val="00FB6F23"/>
    <w:rsid w:val="00FB730C"/>
    <w:rsid w:val="00FB736C"/>
    <w:rsid w:val="00FC2695"/>
    <w:rsid w:val="00FC34AF"/>
    <w:rsid w:val="00FC3E03"/>
    <w:rsid w:val="00FC3FC1"/>
    <w:rsid w:val="00FC61FF"/>
    <w:rsid w:val="00FD3A30"/>
    <w:rsid w:val="00FE2CF6"/>
    <w:rsid w:val="00FE42C4"/>
    <w:rsid w:val="00FE60F8"/>
    <w:rsid w:val="00FF32D2"/>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59178E"/>
    <w:rPr>
      <w:color w:val="808080"/>
    </w:rPr>
  </w:style>
  <w:style w:type="paragraph" w:styleId="Paragrafoelenco">
    <w:name w:val="List Paragraph"/>
    <w:basedOn w:val="Normale"/>
    <w:uiPriority w:val="34"/>
    <w:qFormat/>
    <w:rsid w:val="00AD0602"/>
    <w:pPr>
      <w:tabs>
        <w:tab w:val="clear" w:pos="7100"/>
      </w:tabs>
      <w:spacing w:line="360" w:lineRule="auto"/>
      <w:ind w:left="720" w:firstLine="709"/>
      <w:contextualSpacing/>
    </w:pPr>
    <w:rPr>
      <w:rFonts w:ascii="Times New Roman" w:eastAsiaTheme="minorHAnsi" w:hAnsi="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59178E"/>
    <w:rPr>
      <w:color w:val="808080"/>
    </w:rPr>
  </w:style>
  <w:style w:type="paragraph" w:styleId="Paragrafoelenco">
    <w:name w:val="List Paragraph"/>
    <w:basedOn w:val="Normale"/>
    <w:uiPriority w:val="34"/>
    <w:qFormat/>
    <w:rsid w:val="00AD0602"/>
    <w:pPr>
      <w:tabs>
        <w:tab w:val="clear" w:pos="7100"/>
      </w:tabs>
      <w:spacing w:line="360" w:lineRule="auto"/>
      <w:ind w:left="720" w:firstLine="709"/>
      <w:contextualSpacing/>
    </w:pPr>
    <w:rPr>
      <w:rFonts w:ascii="Times New Roman" w:eastAsiaTheme="minorHAnsi"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939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8654">
      <w:bodyDiv w:val="1"/>
      <w:marLeft w:val="0"/>
      <w:marRight w:val="0"/>
      <w:marTop w:val="0"/>
      <w:marBottom w:val="0"/>
      <w:divBdr>
        <w:top w:val="none" w:sz="0" w:space="0" w:color="auto"/>
        <w:left w:val="none" w:sz="0" w:space="0" w:color="auto"/>
        <w:bottom w:val="none" w:sz="0" w:space="0" w:color="auto"/>
        <w:right w:val="none" w:sz="0" w:space="0" w:color="auto"/>
      </w:divBdr>
    </w:div>
    <w:div w:id="138853338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213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4896-2573-4DE6-A7D9-BD6798FC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6</Pages>
  <Words>3246</Words>
  <Characters>18865</Characters>
  <Application>Microsoft Office Word</Application>
  <DocSecurity>0</DocSecurity>
  <Lines>299</Lines>
  <Paragraphs>126</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19</cp:revision>
  <cp:lastPrinted>2015-05-12T18:31:00Z</cp:lastPrinted>
  <dcterms:created xsi:type="dcterms:W3CDTF">2020-06-20T18:09:00Z</dcterms:created>
  <dcterms:modified xsi:type="dcterms:W3CDTF">2020-08-31T13:28:00Z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