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D40B7C" w14:paraId="4327D103" w14:textId="77777777" w:rsidTr="00D40B7C">
        <w:trPr>
          <w:trHeight w:val="852"/>
          <w:jc w:val="center"/>
        </w:trPr>
        <w:tc>
          <w:tcPr>
            <w:tcW w:w="6946" w:type="dxa"/>
            <w:vMerge w:val="restart"/>
            <w:tcBorders>
              <w:top w:val="nil"/>
              <w:left w:val="nil"/>
              <w:bottom w:val="nil"/>
              <w:right w:val="single" w:sz="4" w:space="0" w:color="auto"/>
            </w:tcBorders>
            <w:hideMark/>
          </w:tcPr>
          <w:p w14:paraId="030211AD" w14:textId="1C74B43E" w:rsidR="00D40B7C" w:rsidRDefault="00D40B7C" w:rsidP="002B5E31">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44E01542" wp14:editId="2466F293">
                  <wp:extent cx="638175" cy="371475"/>
                  <wp:effectExtent l="0" t="0" r="9525" b="9525"/>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016CD1C0" w14:textId="77777777" w:rsidR="00D40B7C" w:rsidRDefault="00D40B7C" w:rsidP="002B5E31">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46B75332" w14:textId="77777777" w:rsidR="00D40B7C" w:rsidRDefault="00D40B7C" w:rsidP="002B5E31">
            <w:pPr>
              <w:jc w:val="right"/>
              <w:rPr>
                <w:rFonts w:cs="Arial"/>
                <w:sz w:val="14"/>
                <w:szCs w:val="14"/>
              </w:rPr>
            </w:pPr>
            <w:r>
              <w:rPr>
                <w:rFonts w:cs="Arial"/>
                <w:sz w:val="14"/>
                <w:szCs w:val="14"/>
              </w:rPr>
              <w:t>A publication of</w:t>
            </w:r>
          </w:p>
          <w:p w14:paraId="01FF8898" w14:textId="45DF52A5" w:rsidR="00D40B7C" w:rsidRDefault="00D40B7C" w:rsidP="002B5E31">
            <w:pPr>
              <w:jc w:val="right"/>
            </w:pPr>
            <w:r>
              <w:rPr>
                <w:noProof/>
                <w:lang w:val="it-IT" w:eastAsia="it-IT"/>
              </w:rPr>
              <w:drawing>
                <wp:inline distT="0" distB="0" distL="0" distR="0" wp14:anchorId="639C6CAD" wp14:editId="4961BEBE">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D40B7C" w14:paraId="5100EC11" w14:textId="77777777" w:rsidTr="00D40B7C">
        <w:trPr>
          <w:trHeight w:val="567"/>
          <w:jc w:val="center"/>
        </w:trPr>
        <w:tc>
          <w:tcPr>
            <w:tcW w:w="0" w:type="auto"/>
            <w:vMerge/>
            <w:tcBorders>
              <w:top w:val="nil"/>
              <w:left w:val="nil"/>
              <w:bottom w:val="nil"/>
              <w:right w:val="single" w:sz="4" w:space="0" w:color="auto"/>
            </w:tcBorders>
            <w:vAlign w:val="center"/>
            <w:hideMark/>
          </w:tcPr>
          <w:p w14:paraId="698A36DB" w14:textId="77777777" w:rsidR="00D40B7C" w:rsidRDefault="00D40B7C" w:rsidP="002B5E31">
            <w:pPr>
              <w:tabs>
                <w:tab w:val="clear" w:pos="7100"/>
              </w:tabs>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76676D6F" w14:textId="77777777" w:rsidR="00D40B7C" w:rsidRDefault="00D40B7C" w:rsidP="002B5E31">
            <w:pPr>
              <w:jc w:val="right"/>
              <w:rPr>
                <w:rFonts w:cs="Arial"/>
                <w:sz w:val="14"/>
                <w:szCs w:val="14"/>
              </w:rPr>
            </w:pPr>
            <w:r>
              <w:rPr>
                <w:rFonts w:cs="Arial"/>
                <w:sz w:val="14"/>
                <w:szCs w:val="14"/>
              </w:rPr>
              <w:t>The Italian Association</w:t>
            </w:r>
          </w:p>
          <w:p w14:paraId="78DE4185" w14:textId="77777777" w:rsidR="00D40B7C" w:rsidRDefault="00D40B7C" w:rsidP="002B5E31">
            <w:pPr>
              <w:jc w:val="right"/>
              <w:rPr>
                <w:rFonts w:cs="Arial"/>
                <w:sz w:val="14"/>
                <w:szCs w:val="14"/>
              </w:rPr>
            </w:pPr>
            <w:r>
              <w:rPr>
                <w:rFonts w:cs="Arial"/>
                <w:sz w:val="14"/>
                <w:szCs w:val="14"/>
              </w:rPr>
              <w:t>of Chemical Engineering</w:t>
            </w:r>
          </w:p>
          <w:p w14:paraId="01847173" w14:textId="77777777" w:rsidR="00D40B7C" w:rsidRDefault="00D40B7C" w:rsidP="002B5E31">
            <w:pPr>
              <w:jc w:val="right"/>
              <w:rPr>
                <w:rFonts w:cs="Arial"/>
                <w:sz w:val="13"/>
                <w:szCs w:val="13"/>
              </w:rPr>
            </w:pPr>
            <w:r>
              <w:rPr>
                <w:rFonts w:cs="Arial"/>
                <w:sz w:val="13"/>
                <w:szCs w:val="13"/>
              </w:rPr>
              <w:t>Online at www.cetjournal.it</w:t>
            </w:r>
          </w:p>
        </w:tc>
      </w:tr>
      <w:tr w:rsidR="00D40B7C" w14:paraId="5F2C1149" w14:textId="77777777" w:rsidTr="00D40B7C">
        <w:trPr>
          <w:trHeight w:val="68"/>
          <w:jc w:val="center"/>
        </w:trPr>
        <w:tc>
          <w:tcPr>
            <w:tcW w:w="8789" w:type="dxa"/>
            <w:gridSpan w:val="2"/>
            <w:tcBorders>
              <w:top w:val="nil"/>
              <w:left w:val="nil"/>
              <w:bottom w:val="single" w:sz="4" w:space="0" w:color="auto"/>
              <w:right w:val="nil"/>
            </w:tcBorders>
            <w:hideMark/>
          </w:tcPr>
          <w:p w14:paraId="2B6D3739" w14:textId="77777777" w:rsidR="00D40B7C" w:rsidRDefault="00D40B7C" w:rsidP="002B5E31">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17EC4BFE" w14:textId="77777777" w:rsidR="00D40B7C" w:rsidRDefault="00D40B7C" w:rsidP="002B5E31">
            <w:pPr>
              <w:tabs>
                <w:tab w:val="left" w:pos="-108"/>
              </w:tabs>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10DAA130" w14:textId="77777777" w:rsidR="000A03B2" w:rsidRPr="006A5438" w:rsidRDefault="000A03B2" w:rsidP="002B5E31">
      <w:pPr>
        <w:pStyle w:val="CETTitle"/>
        <w:spacing w:before="0"/>
        <w:sectPr w:rsidR="000A03B2" w:rsidRPr="006A5438" w:rsidSect="00CD5FE2">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418" w:bottom="1701" w:left="1701" w:header="1701" w:footer="0" w:gutter="0"/>
          <w:cols w:space="708"/>
          <w:titlePg/>
          <w:docGrid w:linePitch="360"/>
        </w:sectPr>
      </w:pPr>
    </w:p>
    <w:p w14:paraId="2A5FDCE5" w14:textId="0DD8E997" w:rsidR="000F1DFF" w:rsidRPr="002B5E31" w:rsidRDefault="00E44E79" w:rsidP="002B5E31">
      <w:pPr>
        <w:pStyle w:val="CETTitle"/>
      </w:pPr>
      <w:r w:rsidRPr="002B5E31">
        <w:lastRenderedPageBreak/>
        <w:t>Offshore Oil Spills Emergency Response:</w:t>
      </w:r>
      <w:r w:rsidR="002B5E31" w:rsidRPr="002B5E31">
        <w:t xml:space="preserve"> a</w:t>
      </w:r>
      <w:r w:rsidRPr="002B5E31">
        <w:t xml:space="preserve"> Method for Response Gap Analysis</w:t>
      </w:r>
    </w:p>
    <w:p w14:paraId="2B3CA35C" w14:textId="44D4575C" w:rsidR="00E978D0" w:rsidRPr="006C2F8C" w:rsidRDefault="000F1DFF" w:rsidP="002B5E31">
      <w:pPr>
        <w:pStyle w:val="CETAuthors"/>
        <w:rPr>
          <w:lang w:val="it-IT"/>
        </w:rPr>
      </w:pPr>
      <w:r w:rsidRPr="006C2F8C">
        <w:rPr>
          <w:lang w:val="it-IT"/>
        </w:rPr>
        <w:t>Sarah Bonvicini</w:t>
      </w:r>
      <w:r w:rsidR="00600535" w:rsidRPr="006C2F8C">
        <w:rPr>
          <w:vertAlign w:val="superscript"/>
          <w:lang w:val="it-IT"/>
        </w:rPr>
        <w:t>a</w:t>
      </w:r>
      <w:r w:rsidRPr="006C2F8C">
        <w:rPr>
          <w:vertAlign w:val="superscript"/>
          <w:lang w:val="it-IT"/>
        </w:rPr>
        <w:t>,</w:t>
      </w:r>
      <w:r w:rsidRPr="006C2F8C">
        <w:rPr>
          <w:lang w:val="it-IT"/>
        </w:rPr>
        <w:t>*</w:t>
      </w:r>
      <w:r w:rsidR="00600535" w:rsidRPr="006C2F8C">
        <w:rPr>
          <w:lang w:val="it-IT"/>
        </w:rPr>
        <w:t xml:space="preserve">, </w:t>
      </w:r>
      <w:r w:rsidRPr="006C2F8C">
        <w:rPr>
          <w:lang w:val="it-IT"/>
        </w:rPr>
        <w:t>Giordano E</w:t>
      </w:r>
      <w:r w:rsidR="00B358F4" w:rsidRPr="006C2F8C">
        <w:rPr>
          <w:lang w:val="it-IT"/>
        </w:rPr>
        <w:t>.</w:t>
      </w:r>
      <w:r w:rsidRPr="006C2F8C">
        <w:rPr>
          <w:lang w:val="it-IT"/>
        </w:rPr>
        <w:t xml:space="preserve"> Scarponi</w:t>
      </w:r>
      <w:r w:rsidRPr="006C2F8C">
        <w:rPr>
          <w:vertAlign w:val="superscript"/>
          <w:lang w:val="it-IT"/>
        </w:rPr>
        <w:t>a</w:t>
      </w:r>
      <w:r w:rsidRPr="006C2F8C">
        <w:rPr>
          <w:lang w:val="it-IT"/>
        </w:rPr>
        <w:t xml:space="preserve">, </w:t>
      </w:r>
      <w:r w:rsidR="00747F20">
        <w:rPr>
          <w:lang w:val="it-IT"/>
        </w:rPr>
        <w:t>Giulia Bernardini</w:t>
      </w:r>
      <w:r w:rsidR="00747F20" w:rsidRPr="006C2F8C">
        <w:rPr>
          <w:vertAlign w:val="superscript"/>
          <w:lang w:val="it-IT"/>
        </w:rPr>
        <w:t>a</w:t>
      </w:r>
      <w:r w:rsidR="00747F20">
        <w:rPr>
          <w:lang w:val="it-IT"/>
        </w:rPr>
        <w:t xml:space="preserve">, </w:t>
      </w:r>
      <w:r w:rsidRPr="006C2F8C">
        <w:rPr>
          <w:lang w:val="it-IT"/>
        </w:rPr>
        <w:t>Luca Cassina</w:t>
      </w:r>
      <w:r w:rsidR="00600535" w:rsidRPr="006C2F8C">
        <w:rPr>
          <w:vertAlign w:val="superscript"/>
          <w:lang w:val="it-IT"/>
        </w:rPr>
        <w:t>b</w:t>
      </w:r>
      <w:r w:rsidR="00600535" w:rsidRPr="006C2F8C">
        <w:rPr>
          <w:lang w:val="it-IT"/>
        </w:rPr>
        <w:t xml:space="preserve">, </w:t>
      </w:r>
      <w:r w:rsidRPr="006C2F8C">
        <w:rPr>
          <w:lang w:val="it-IT"/>
        </w:rPr>
        <w:t>Andrea Collina</w:t>
      </w:r>
      <w:r w:rsidRPr="006C2F8C">
        <w:rPr>
          <w:vertAlign w:val="superscript"/>
          <w:lang w:val="it-IT"/>
        </w:rPr>
        <w:t>b</w:t>
      </w:r>
      <w:r w:rsidRPr="006C2F8C">
        <w:rPr>
          <w:lang w:val="it-IT"/>
        </w:rPr>
        <w:t>, Valerio Cozzani</w:t>
      </w:r>
      <w:r w:rsidRPr="006C2F8C">
        <w:rPr>
          <w:vertAlign w:val="superscript"/>
          <w:lang w:val="it-IT"/>
        </w:rPr>
        <w:t>a</w:t>
      </w:r>
    </w:p>
    <w:p w14:paraId="374AACD1" w14:textId="0C34E4F3" w:rsidR="000F1DFF" w:rsidRPr="006A5438" w:rsidRDefault="00E978D0" w:rsidP="002B5E31">
      <w:pPr>
        <w:pStyle w:val="CETAddress"/>
        <w:spacing w:line="264" w:lineRule="auto"/>
        <w:jc w:val="both"/>
        <w:rPr>
          <w:rFonts w:asciiTheme="minorHAnsi" w:hAnsiTheme="minorHAnsi"/>
          <w:sz w:val="22"/>
        </w:rPr>
      </w:pPr>
      <w:r w:rsidRPr="006A5438">
        <w:rPr>
          <w:vertAlign w:val="superscript"/>
        </w:rPr>
        <w:t>a</w:t>
      </w:r>
      <w:r w:rsidR="000F1DFF" w:rsidRPr="006A5438">
        <w:t>University of Bologna, Laboratory for Industrial Safety and Environmental Sustainability - DICAM, via Terracini 28, 40131 Bologna, Italy</w:t>
      </w:r>
    </w:p>
    <w:p w14:paraId="38D29194" w14:textId="525B1B58" w:rsidR="00E978D0" w:rsidRPr="006C2F8C" w:rsidRDefault="00E978D0" w:rsidP="002B5E31">
      <w:pPr>
        <w:pStyle w:val="CETAddress"/>
        <w:spacing w:line="264" w:lineRule="auto"/>
        <w:jc w:val="both"/>
        <w:rPr>
          <w:sz w:val="22"/>
          <w:lang w:val="it-IT"/>
        </w:rPr>
      </w:pPr>
      <w:r w:rsidRPr="006C2F8C">
        <w:rPr>
          <w:vertAlign w:val="superscript"/>
          <w:lang w:val="it-IT"/>
        </w:rPr>
        <w:t>b</w:t>
      </w:r>
      <w:r w:rsidR="000F1DFF" w:rsidRPr="006C2F8C">
        <w:rPr>
          <w:lang w:val="it-IT"/>
        </w:rPr>
        <w:t xml:space="preserve">Eni S.p.A. - Upstream and Technical Services, </w:t>
      </w:r>
      <w:r w:rsidR="000F1DFF" w:rsidRPr="006C2F8C">
        <w:rPr>
          <w:bCs/>
          <w:lang w:val="it-IT"/>
        </w:rPr>
        <w:t>SEQ/EMERG</w:t>
      </w:r>
      <w:r w:rsidR="000F1DFF" w:rsidRPr="006C2F8C">
        <w:rPr>
          <w:lang w:val="it-IT"/>
        </w:rPr>
        <w:t xml:space="preserve"> Liaison, 5025W - 5° Palazzo Uffici, Via Emilia 1, 20097 </w:t>
      </w:r>
      <w:r w:rsidR="002B5E31">
        <w:rPr>
          <w:lang w:val="it-IT"/>
        </w:rPr>
        <w:br/>
      </w:r>
      <w:r w:rsidR="000F1DFF" w:rsidRPr="006C2F8C">
        <w:rPr>
          <w:lang w:val="it-IT"/>
        </w:rPr>
        <w:t>San Donato Milanese (MI), Italy</w:t>
      </w:r>
    </w:p>
    <w:p w14:paraId="2EC470D5" w14:textId="7398E3C1" w:rsidR="000F1DFF" w:rsidRPr="00E44E79" w:rsidRDefault="0072693D" w:rsidP="002B5E31">
      <w:pPr>
        <w:pStyle w:val="CETemail"/>
        <w:spacing w:line="264" w:lineRule="auto"/>
      </w:pPr>
      <w:hyperlink r:id="rId17" w:history="1">
        <w:r w:rsidR="00E44E79" w:rsidRPr="00E44E79">
          <w:rPr>
            <w:rStyle w:val="Collegamentoipertestuale"/>
            <w:color w:val="auto"/>
            <w:u w:val="none"/>
          </w:rPr>
          <w:t>sarah.bonvicini@unibo.it</w:t>
        </w:r>
      </w:hyperlink>
      <w:r w:rsidR="000F1DFF" w:rsidRPr="00E44E79">
        <w:t xml:space="preserve"> </w:t>
      </w:r>
    </w:p>
    <w:p w14:paraId="08913F67" w14:textId="6E996B6D" w:rsidR="002310E9" w:rsidRPr="006A5438" w:rsidRDefault="002310E9" w:rsidP="002B5E31">
      <w:pPr>
        <w:pStyle w:val="CETBodytext"/>
        <w:rPr>
          <w:rFonts w:asciiTheme="minorHAnsi" w:hAnsiTheme="minorHAnsi"/>
          <w:sz w:val="22"/>
          <w:lang w:val="en-GB"/>
        </w:rPr>
      </w:pPr>
      <w:r w:rsidRPr="006A5438">
        <w:rPr>
          <w:lang w:val="en-GB"/>
        </w:rPr>
        <w:t>A methodology to conduct the Response Gap Analysis (RGA) for offshore oil spill emergency activities was developed, able to identify, for a given area and a given time period, if the response, which depends on the combination of the environmental factors affecting the performance of the contingency actions, is favourable, impaired, or ineffective.</w:t>
      </w:r>
      <w:r w:rsidRPr="006A5438">
        <w:rPr>
          <w:rFonts w:asciiTheme="minorHAnsi" w:hAnsiTheme="minorHAnsi"/>
          <w:sz w:val="22"/>
          <w:lang w:val="en-GB"/>
        </w:rPr>
        <w:t xml:space="preserve"> </w:t>
      </w:r>
      <w:r w:rsidRPr="006A5438">
        <w:rPr>
          <w:lang w:val="en-GB"/>
        </w:rPr>
        <w:t xml:space="preserve">The necessity for offshore oil and gas operators to perform a </w:t>
      </w:r>
      <w:r w:rsidR="008B0C1C">
        <w:rPr>
          <w:lang w:val="en-GB"/>
        </w:rPr>
        <w:t>RGA</w:t>
      </w:r>
      <w:r w:rsidRPr="006A5438">
        <w:rPr>
          <w:lang w:val="en-GB"/>
        </w:rPr>
        <w:t xml:space="preserve"> derives from the provisions of the Directive 2013/30/EU </w:t>
      </w:r>
      <w:r w:rsidRPr="006A5438">
        <w:rPr>
          <w:iCs/>
          <w:lang w:val="en-GB"/>
        </w:rPr>
        <w:t xml:space="preserve">on safety of offshore oil and gas operations. In this </w:t>
      </w:r>
      <w:r w:rsidRPr="008B0C1C">
        <w:rPr>
          <w:iCs/>
          <w:lang w:val="en-GB"/>
        </w:rPr>
        <w:t xml:space="preserve">Directive, </w:t>
      </w:r>
      <w:r w:rsidR="00162BC0" w:rsidRPr="008B0C1C">
        <w:rPr>
          <w:iCs/>
          <w:lang w:val="en-GB"/>
        </w:rPr>
        <w:t>“</w:t>
      </w:r>
      <w:r w:rsidRPr="008B0C1C">
        <w:rPr>
          <w:rFonts w:cstheme="minorHAnsi"/>
          <w:lang w:val="en-GB"/>
        </w:rPr>
        <w:t>oil spill response effectiveness</w:t>
      </w:r>
      <w:r w:rsidR="00162BC0" w:rsidRPr="008B0C1C">
        <w:rPr>
          <w:rFonts w:cstheme="minorHAnsi"/>
          <w:lang w:val="en-GB"/>
        </w:rPr>
        <w:t>”</w:t>
      </w:r>
      <w:r w:rsidRPr="008B0C1C">
        <w:rPr>
          <w:rFonts w:cstheme="minorHAnsi"/>
          <w:lang w:val="en-GB"/>
        </w:rPr>
        <w:t xml:space="preserve"> means the</w:t>
      </w:r>
      <w:r w:rsidRPr="006A5438">
        <w:rPr>
          <w:rFonts w:cstheme="minorHAnsi"/>
          <w:lang w:val="en-GB"/>
        </w:rPr>
        <w:t xml:space="preserve"> effectiveness of spill response systems in combating </w:t>
      </w:r>
      <w:r w:rsidR="00343BD5">
        <w:rPr>
          <w:rFonts w:cstheme="minorHAnsi"/>
          <w:lang w:val="en-GB"/>
        </w:rPr>
        <w:t>an oil spill, on the basis of the</w:t>
      </w:r>
      <w:r w:rsidRPr="006A5438">
        <w:rPr>
          <w:rFonts w:cstheme="minorHAnsi"/>
          <w:lang w:val="en-GB"/>
        </w:rPr>
        <w:t xml:space="preserve"> </w:t>
      </w:r>
      <w:r w:rsidR="00162BC0" w:rsidRPr="006A5438">
        <w:rPr>
          <w:rFonts w:cstheme="minorHAnsi"/>
          <w:lang w:val="en-GB"/>
        </w:rPr>
        <w:t>“</w:t>
      </w:r>
      <w:r w:rsidRPr="006A5438">
        <w:rPr>
          <w:rFonts w:cstheme="minorHAnsi"/>
          <w:lang w:val="en-GB"/>
        </w:rPr>
        <w:t>analysis of the frequency, duration, and timing of environmental conditions that would preclude a response. Furthermore, the assessment of oil spill response effectiveness is to be expressed as a percentage of time that such conditions are not present and is to include a description of the operating limitations placed on the installations concerned as a result of that assessment</w:t>
      </w:r>
      <w:r w:rsidR="00162BC0" w:rsidRPr="006A5438">
        <w:rPr>
          <w:rFonts w:cstheme="minorHAnsi"/>
          <w:lang w:val="en-GB"/>
        </w:rPr>
        <w:t>”</w:t>
      </w:r>
      <w:r w:rsidRPr="006A5438">
        <w:rPr>
          <w:rFonts w:cstheme="minorHAnsi"/>
          <w:lang w:val="en-GB"/>
        </w:rPr>
        <w:t>.</w:t>
      </w:r>
      <w:r w:rsidRPr="006A5438">
        <w:rPr>
          <w:rFonts w:asciiTheme="minorHAnsi" w:hAnsiTheme="minorHAnsi"/>
          <w:sz w:val="22"/>
          <w:lang w:val="en-GB"/>
        </w:rPr>
        <w:t xml:space="preserve"> </w:t>
      </w:r>
      <w:r w:rsidR="00CC375B">
        <w:rPr>
          <w:lang w:val="en-GB"/>
        </w:rPr>
        <w:t>Firstly</w:t>
      </w:r>
      <w:r w:rsidRPr="006A5438">
        <w:rPr>
          <w:lang w:val="en-GB"/>
        </w:rPr>
        <w:t>, a gap analysis was conducted</w:t>
      </w:r>
      <w:r w:rsidR="008B0C1C">
        <w:rPr>
          <w:lang w:val="en-GB"/>
        </w:rPr>
        <w:t>,</w:t>
      </w:r>
      <w:r w:rsidRPr="006A5438">
        <w:rPr>
          <w:lang w:val="en-GB"/>
        </w:rPr>
        <w:t xml:space="preserve"> aimed at highlighting the state of the art of RGA. The various literature reports on RGA are based on different environmental factors, as well as </w:t>
      </w:r>
      <w:r w:rsidR="007E7EB2">
        <w:rPr>
          <w:lang w:val="en-GB"/>
        </w:rPr>
        <w:t xml:space="preserve">on </w:t>
      </w:r>
      <w:r w:rsidRPr="006A5438">
        <w:rPr>
          <w:lang w:val="en-GB"/>
        </w:rPr>
        <w:t xml:space="preserve">different response strategies. A detailed analysis of the available information allowed identifying 9 environmental factors to be included in RGA: the wind speed, the wave height, the air temperature, the wind chill, the superstructure icing, the daylight / darkness conditions, the horizontal visibility, the cloud ceiling, and the sea ice coverage. In addition, also the shoreline distance and the bathymetry, which are location specific factors, could impair the response. Thus, a total number of 11 “environmental factors” is taken into account in </w:t>
      </w:r>
      <w:r w:rsidR="00CC375B">
        <w:rPr>
          <w:lang w:val="en-GB"/>
        </w:rPr>
        <w:t xml:space="preserve">the new </w:t>
      </w:r>
      <w:r w:rsidRPr="006A5438">
        <w:rPr>
          <w:lang w:val="en-GB"/>
        </w:rPr>
        <w:t>RGA methodology.</w:t>
      </w:r>
      <w:r w:rsidRPr="006A5438">
        <w:rPr>
          <w:rFonts w:asciiTheme="minorHAnsi" w:hAnsiTheme="minorHAnsi"/>
          <w:sz w:val="22"/>
          <w:lang w:val="en-GB"/>
        </w:rPr>
        <w:t xml:space="preserve"> </w:t>
      </w:r>
      <w:r w:rsidRPr="006A5438">
        <w:rPr>
          <w:lang w:val="en-GB"/>
        </w:rPr>
        <w:t>The definition of threshold values to be applied to each environmental f</w:t>
      </w:r>
      <w:r w:rsidR="00CC375B">
        <w:rPr>
          <w:lang w:val="en-GB"/>
        </w:rPr>
        <w:t>actor was also addressed. In</w:t>
      </w:r>
      <w:r w:rsidRPr="006A5438">
        <w:rPr>
          <w:lang w:val="en-GB"/>
        </w:rPr>
        <w:t xml:space="preserve"> literature, usually two limit values are adopted and three zones are identified: a green zone, where the factor is favourable to the response; a yellow</w:t>
      </w:r>
      <w:r w:rsidR="00CC375B">
        <w:rPr>
          <w:lang w:val="en-GB"/>
        </w:rPr>
        <w:t xml:space="preserve"> zone, where it is marginal,</w:t>
      </w:r>
      <w:r w:rsidRPr="006A5438">
        <w:rPr>
          <w:lang w:val="en-GB"/>
        </w:rPr>
        <w:t xml:space="preserve"> and a red zone, where it is unfavourable. Technical reports were analysed in order to retrieve the limit values of the environmental factors mentioned. </w:t>
      </w:r>
      <w:r w:rsidR="008B0C1C">
        <w:rPr>
          <w:lang w:val="en-GB"/>
        </w:rPr>
        <w:t>Thus, a</w:t>
      </w:r>
      <w:r w:rsidRPr="006A5438">
        <w:rPr>
          <w:lang w:val="en-GB"/>
        </w:rPr>
        <w:t xml:space="preserve"> </w:t>
      </w:r>
      <w:r w:rsidR="008B0C1C">
        <w:rPr>
          <w:lang w:val="en-GB"/>
        </w:rPr>
        <w:t>set of threshold values was</w:t>
      </w:r>
      <w:r w:rsidRPr="006A5438">
        <w:rPr>
          <w:lang w:val="en-GB"/>
        </w:rPr>
        <w:t xml:space="preserve"> proposed for mechanical recovery, application of dispersants by vessel and by aircraft, and in-situ burning.</w:t>
      </w:r>
      <w:r w:rsidRPr="006A5438">
        <w:rPr>
          <w:rFonts w:asciiTheme="minorHAnsi" w:hAnsiTheme="minorHAnsi"/>
          <w:sz w:val="22"/>
          <w:lang w:val="en-GB"/>
        </w:rPr>
        <w:t xml:space="preserve"> </w:t>
      </w:r>
      <w:r w:rsidRPr="006A5438">
        <w:rPr>
          <w:lang w:val="en-GB"/>
        </w:rPr>
        <w:t xml:space="preserve">As a further step, the criteria adopted to combine the environmental factors in order to evaluate the effectiveness of the response were investigated. All the </w:t>
      </w:r>
      <w:r w:rsidR="00CC375B">
        <w:rPr>
          <w:lang w:val="en-GB"/>
        </w:rPr>
        <w:t>most</w:t>
      </w:r>
      <w:r w:rsidRPr="006A5438">
        <w:rPr>
          <w:lang w:val="en-GB"/>
        </w:rPr>
        <w:t xml:space="preserve"> recent studies identify for the response </w:t>
      </w:r>
      <w:r w:rsidR="008B0C1C">
        <w:rPr>
          <w:lang w:val="en-GB"/>
        </w:rPr>
        <w:t>a green zone for the favourable response, a</w:t>
      </w:r>
      <w:r w:rsidRPr="006A5438">
        <w:rPr>
          <w:lang w:val="en-GB"/>
        </w:rPr>
        <w:t xml:space="preserve"> </w:t>
      </w:r>
      <w:r w:rsidR="008B0C1C">
        <w:rPr>
          <w:lang w:val="en-GB"/>
        </w:rPr>
        <w:t xml:space="preserve">yellow </w:t>
      </w:r>
      <w:r w:rsidRPr="006A5438">
        <w:rPr>
          <w:lang w:val="en-GB"/>
        </w:rPr>
        <w:t>zone</w:t>
      </w:r>
      <w:r w:rsidR="008B0C1C">
        <w:rPr>
          <w:lang w:val="en-GB"/>
        </w:rPr>
        <w:t xml:space="preserve"> corresponding to the impaired response</w:t>
      </w:r>
      <w:r w:rsidRPr="006A5438">
        <w:rPr>
          <w:lang w:val="en-GB"/>
        </w:rPr>
        <w:t xml:space="preserve">, </w:t>
      </w:r>
      <w:r w:rsidR="008B0C1C">
        <w:rPr>
          <w:lang w:val="en-GB"/>
        </w:rPr>
        <w:t>and a red one, where the response is ineffective</w:t>
      </w:r>
      <w:r w:rsidRPr="006A5438">
        <w:rPr>
          <w:lang w:val="en-GB"/>
        </w:rPr>
        <w:t xml:space="preserve">. </w:t>
      </w:r>
      <w:r w:rsidR="008B0C1C">
        <w:rPr>
          <w:lang w:val="en-GB"/>
        </w:rPr>
        <w:t>This</w:t>
      </w:r>
      <w:r w:rsidRPr="006A5438">
        <w:rPr>
          <w:lang w:val="en-GB"/>
        </w:rPr>
        <w:t xml:space="preserve"> criterion is </w:t>
      </w:r>
      <w:r w:rsidR="008B0C1C">
        <w:rPr>
          <w:lang w:val="en-GB"/>
        </w:rPr>
        <w:t>adopt</w:t>
      </w:r>
      <w:r w:rsidRPr="006A5438">
        <w:rPr>
          <w:lang w:val="en-GB"/>
        </w:rPr>
        <w:t xml:space="preserve">ed in the RGA </w:t>
      </w:r>
      <w:r w:rsidR="008B0C1C">
        <w:rPr>
          <w:lang w:val="en-GB"/>
        </w:rPr>
        <w:t>method</w:t>
      </w:r>
      <w:r w:rsidRPr="006A5438">
        <w:rPr>
          <w:lang w:val="en-GB"/>
        </w:rPr>
        <w:t xml:space="preserve"> developed in the present study.</w:t>
      </w:r>
      <w:r w:rsidRPr="006A5438">
        <w:rPr>
          <w:rFonts w:asciiTheme="minorHAnsi" w:hAnsiTheme="minorHAnsi"/>
          <w:sz w:val="22"/>
          <w:lang w:val="en-GB"/>
        </w:rPr>
        <w:t xml:space="preserve"> </w:t>
      </w:r>
      <w:r w:rsidRPr="006A5438">
        <w:rPr>
          <w:lang w:val="en-GB"/>
        </w:rPr>
        <w:t xml:space="preserve">The RGA methodology was </w:t>
      </w:r>
      <w:r w:rsidR="00CC375B">
        <w:rPr>
          <w:lang w:val="en-GB"/>
        </w:rPr>
        <w:t xml:space="preserve">implemented in a software code, which </w:t>
      </w:r>
      <w:r w:rsidRPr="006A5438">
        <w:rPr>
          <w:lang w:val="en-GB"/>
        </w:rPr>
        <w:t xml:space="preserve">was applied to a case study area, allowing the validation of the RGA </w:t>
      </w:r>
      <w:r w:rsidR="008B0C1C">
        <w:rPr>
          <w:lang w:val="en-GB"/>
        </w:rPr>
        <w:t>procedure</w:t>
      </w:r>
      <w:r w:rsidRPr="006A5438">
        <w:rPr>
          <w:lang w:val="en-GB"/>
        </w:rPr>
        <w:t>.</w:t>
      </w:r>
    </w:p>
    <w:p w14:paraId="476B2F2E" w14:textId="77777777" w:rsidR="00600535" w:rsidRPr="006A5438" w:rsidRDefault="00600535" w:rsidP="002B5E31">
      <w:pPr>
        <w:pStyle w:val="CETHeading1"/>
        <w:spacing w:line="264" w:lineRule="auto"/>
        <w:rPr>
          <w:lang w:val="en-GB"/>
        </w:rPr>
      </w:pPr>
      <w:r w:rsidRPr="006A5438">
        <w:rPr>
          <w:lang w:val="en-GB"/>
        </w:rPr>
        <w:t>Introduction</w:t>
      </w:r>
    </w:p>
    <w:p w14:paraId="319FA500" w14:textId="642E9233" w:rsidR="00D760FE" w:rsidRPr="006A5438" w:rsidRDefault="00D760FE" w:rsidP="002B5E31">
      <w:pPr>
        <w:pStyle w:val="CETBodytext"/>
        <w:rPr>
          <w:lang w:val="en-GB"/>
        </w:rPr>
      </w:pPr>
      <w:r w:rsidRPr="006A5438">
        <w:rPr>
          <w:lang w:val="en-GB"/>
        </w:rPr>
        <w:t xml:space="preserve">The Directive 2013/30/EU </w:t>
      </w:r>
      <w:r w:rsidRPr="006A5438">
        <w:rPr>
          <w:iCs/>
          <w:lang w:val="en-GB"/>
        </w:rPr>
        <w:t>on safety of offshore oil and gas operations and amending the Directive 2004/35/EC</w:t>
      </w:r>
      <w:r w:rsidRPr="006A5438">
        <w:rPr>
          <w:i/>
          <w:iCs/>
          <w:lang w:val="en-GB"/>
        </w:rPr>
        <w:t xml:space="preserve"> </w:t>
      </w:r>
      <w:r w:rsidRPr="006A5438">
        <w:rPr>
          <w:iCs/>
          <w:lang w:val="en-GB"/>
        </w:rPr>
        <w:t xml:space="preserve">[Directive 2013/30/EU] </w:t>
      </w:r>
      <w:r w:rsidRPr="006A5438">
        <w:rPr>
          <w:lang w:val="en-GB"/>
        </w:rPr>
        <w:t>has the aim of reducing “as far as possible the occurrence of major accidents relating to offshore oil and gas operations and to limit their consequences</w:t>
      </w:r>
      <w:r w:rsidRPr="006A5438">
        <w:rPr>
          <w:i/>
          <w:lang w:val="en-GB"/>
        </w:rPr>
        <w:t xml:space="preserve">”, </w:t>
      </w:r>
      <w:r w:rsidRPr="006A5438">
        <w:rPr>
          <w:lang w:val="en-GB"/>
        </w:rPr>
        <w:t xml:space="preserve">improving the response mechanisms in case of an accident. In the text of the Directive there is a specific focus on the spills of oil and </w:t>
      </w:r>
      <w:r w:rsidRPr="006A5438">
        <w:rPr>
          <w:lang w:val="en-GB"/>
        </w:rPr>
        <w:lastRenderedPageBreak/>
        <w:t>oily products into the sea, that is on the accidents with the potentiality to cause damage to the environment.</w:t>
      </w:r>
      <w:r w:rsidR="0009279C" w:rsidRPr="006A5438">
        <w:rPr>
          <w:lang w:val="en-GB"/>
        </w:rPr>
        <w:t xml:space="preserve"> </w:t>
      </w:r>
      <w:r w:rsidRPr="006A5438">
        <w:rPr>
          <w:lang w:val="en-GB"/>
        </w:rPr>
        <w:t>Furthermore, it is reported that, in order to ensure effective response to emergencies, “operators should prepare internal emergency response plans (…) based on risk and hazard scenarios identified</w:t>
      </w:r>
      <w:r w:rsidR="000D621E" w:rsidRPr="006A5438">
        <w:rPr>
          <w:lang w:val="en-GB"/>
        </w:rPr>
        <w:t xml:space="preserve"> in the report on major hazards</w:t>
      </w:r>
      <w:r w:rsidRPr="006A5438">
        <w:rPr>
          <w:lang w:val="en-GB"/>
        </w:rPr>
        <w:t xml:space="preserve"> (…). The adequate availability of emergency response resources should be assessed against the capacity to deploy them at the site of an accident. The readiness and effectiveness of emergency response resources should be assured and reg</w:t>
      </w:r>
      <w:r w:rsidR="008B0C1C">
        <w:rPr>
          <w:lang w:val="en-GB"/>
        </w:rPr>
        <w:t>ularly tested by the operators</w:t>
      </w:r>
      <w:r w:rsidRPr="006A5438">
        <w:rPr>
          <w:lang w:val="en-GB"/>
        </w:rPr>
        <w:t>”.</w:t>
      </w:r>
      <w:r w:rsidR="0009279C" w:rsidRPr="006A5438">
        <w:rPr>
          <w:lang w:val="en-GB"/>
        </w:rPr>
        <w:t xml:space="preserve"> </w:t>
      </w:r>
      <w:r w:rsidR="008B0C1C">
        <w:rPr>
          <w:rFonts w:cstheme="minorHAnsi"/>
          <w:lang w:val="en-GB"/>
        </w:rPr>
        <w:t>It is further</w:t>
      </w:r>
      <w:r w:rsidRPr="006A5438">
        <w:rPr>
          <w:rFonts w:cstheme="minorHAnsi"/>
          <w:lang w:val="en-GB"/>
        </w:rPr>
        <w:t xml:space="preserve"> explained that “oil spill response effectiveness” means the effectiveness of spill response systems in combating </w:t>
      </w:r>
      <w:r w:rsidR="00CC375B">
        <w:rPr>
          <w:rFonts w:cstheme="minorHAnsi"/>
          <w:lang w:val="en-GB"/>
        </w:rPr>
        <w:t>an oil spill, on the basis of the</w:t>
      </w:r>
      <w:r w:rsidRPr="006A5438">
        <w:rPr>
          <w:rFonts w:cstheme="minorHAnsi"/>
          <w:lang w:val="en-GB"/>
        </w:rPr>
        <w:t xml:space="preserve"> “analysis of the frequency, duration, and timing of environmental conditions that would preclude a response. Furthermore, the assessment of oil spill response effectiveness is to be expressed as a percentage of time that such conditions are not present and is to include a description of the operating limitations placed on the installations concerned as a result of that assessment” </w:t>
      </w:r>
      <w:r w:rsidR="0009279C" w:rsidRPr="006A5438">
        <w:rPr>
          <w:rFonts w:cstheme="minorHAnsi"/>
          <w:lang w:val="en-GB"/>
        </w:rPr>
        <w:t>(</w:t>
      </w:r>
      <w:r w:rsidR="0009279C" w:rsidRPr="006A5438">
        <w:rPr>
          <w:lang w:val="en-GB"/>
        </w:rPr>
        <w:t>Directive 2013/30/EU).</w:t>
      </w:r>
    </w:p>
    <w:p w14:paraId="2CD455C7" w14:textId="5CB42CF1" w:rsidR="000D621E" w:rsidRPr="006A5438" w:rsidRDefault="00D760FE" w:rsidP="002B5E31">
      <w:pPr>
        <w:pStyle w:val="CETBodytext"/>
        <w:rPr>
          <w:lang w:val="en-GB"/>
        </w:rPr>
      </w:pPr>
      <w:r w:rsidRPr="006A5438">
        <w:rPr>
          <w:lang w:val="en-GB"/>
        </w:rPr>
        <w:t>The evaluation of the oil spill response effecti</w:t>
      </w:r>
      <w:r w:rsidR="00CC375B">
        <w:rPr>
          <w:lang w:val="en-GB"/>
        </w:rPr>
        <w:t>veness requires performing a so-</w:t>
      </w:r>
      <w:r w:rsidRPr="006A5438">
        <w:rPr>
          <w:lang w:val="en-GB"/>
        </w:rPr>
        <w:t xml:space="preserve">called RGA – Response Gap Analysis, with emphasis on the time gaps during which </w:t>
      </w:r>
      <w:r w:rsidR="007E7EB2">
        <w:rPr>
          <w:lang w:val="en-GB"/>
        </w:rPr>
        <w:t xml:space="preserve">the </w:t>
      </w:r>
      <w:r w:rsidRPr="006A5438">
        <w:rPr>
          <w:lang w:val="en-GB"/>
        </w:rPr>
        <w:t>environmental conditions preclude the possibility to respond to an oil spill.</w:t>
      </w:r>
      <w:r w:rsidR="0009279C" w:rsidRPr="006A5438">
        <w:rPr>
          <w:lang w:val="en-GB"/>
        </w:rPr>
        <w:t xml:space="preserve"> RGA </w:t>
      </w:r>
      <w:r w:rsidRPr="006A5438">
        <w:rPr>
          <w:lang w:val="en-GB"/>
        </w:rPr>
        <w:t>studies have received a substantial increase with the beginning of the offshore hydrocarbon exploration and production in the Arctic, where on one side there is a unique and precious environment, on the other the weather conditions could very often be particularly harsh, so to preclude any response to an oil spill.</w:t>
      </w:r>
    </w:p>
    <w:p w14:paraId="50D3B144" w14:textId="2E602FBF" w:rsidR="00227580" w:rsidRPr="006A5438" w:rsidRDefault="000D621E" w:rsidP="002B5E31">
      <w:r w:rsidRPr="006A5438">
        <w:t xml:space="preserve">First of all, an extensive </w:t>
      </w:r>
      <w:r w:rsidR="00A711E0" w:rsidRPr="006A5438">
        <w:t>analysis of the state of the art about RGA methodologi</w:t>
      </w:r>
      <w:r w:rsidR="00B97B5B">
        <w:t>es was performed. As a result, it has been</w:t>
      </w:r>
      <w:r w:rsidR="00A711E0" w:rsidRPr="006A5438">
        <w:t xml:space="preserve"> possible to identify several references presenting a RGA methodology and applying it to one or more case studies (NUKA, 2006; NUKA, 2007; NUKA, 2008; </w:t>
      </w:r>
      <w:proofErr w:type="spellStart"/>
      <w:r w:rsidR="0046549B" w:rsidRPr="006A5438">
        <w:t>SL</w:t>
      </w:r>
      <w:r w:rsidR="00A711E0" w:rsidRPr="006A5438">
        <w:t>Ross</w:t>
      </w:r>
      <w:proofErr w:type="spellEnd"/>
      <w:r w:rsidR="00A711E0" w:rsidRPr="006A5438">
        <w:t xml:space="preserve">, 2011; </w:t>
      </w:r>
      <w:proofErr w:type="spellStart"/>
      <w:r w:rsidR="00A711E0" w:rsidRPr="006A5438">
        <w:t>Terhune</w:t>
      </w:r>
      <w:proofErr w:type="spellEnd"/>
      <w:r w:rsidR="00A711E0" w:rsidRPr="006A5438">
        <w:t xml:space="preserve">, 2011; NUKA, 2012; NUKA, 2014; Laborde et al., 2015; </w:t>
      </w:r>
      <w:proofErr w:type="spellStart"/>
      <w:r w:rsidR="00A711E0" w:rsidRPr="006A5438">
        <w:t>Spansvoll</w:t>
      </w:r>
      <w:proofErr w:type="spellEnd"/>
      <w:r w:rsidR="00A711E0" w:rsidRPr="006A5438">
        <w:t xml:space="preserve"> et al., 2015; NUKA, 2015; NUKA, 2016; </w:t>
      </w:r>
      <w:proofErr w:type="spellStart"/>
      <w:r w:rsidR="00A711E0" w:rsidRPr="006A5438">
        <w:t>Spansvoll</w:t>
      </w:r>
      <w:proofErr w:type="spellEnd"/>
      <w:r w:rsidR="00A711E0" w:rsidRPr="006A5438">
        <w:t xml:space="preserve"> et al., 2016; EPPR, 2017a; EPPR, 2017b; </w:t>
      </w:r>
      <w:proofErr w:type="spellStart"/>
      <w:r w:rsidR="00A711E0" w:rsidRPr="006A5438">
        <w:t>Dahlslett</w:t>
      </w:r>
      <w:proofErr w:type="spellEnd"/>
      <w:r w:rsidR="00A711E0" w:rsidRPr="006A5438">
        <w:t xml:space="preserve"> et al., 2018)</w:t>
      </w:r>
      <w:r w:rsidR="00DA6075" w:rsidRPr="006A5438">
        <w:t>.</w:t>
      </w:r>
      <w:r w:rsidR="00045172" w:rsidRPr="006A5438">
        <w:t xml:space="preserve"> </w:t>
      </w:r>
      <w:r w:rsidR="0023495A" w:rsidRPr="006A5438">
        <w:t xml:space="preserve">Each method considers a different set of environmental conditions, usually without justifying why some factors are not taken into account. There are also differences in the degree of detail adopted to describe the oil spill emergency techniques for which the response gap is evaluated. Generally, the </w:t>
      </w:r>
      <w:r w:rsidR="00227580" w:rsidRPr="006A5438">
        <w:t>presentations</w:t>
      </w:r>
      <w:r w:rsidR="0023495A" w:rsidRPr="006A5438">
        <w:t xml:space="preserve"> of the fundamental concepts underlying the </w:t>
      </w:r>
      <w:r w:rsidR="00227580" w:rsidRPr="006A5438">
        <w:t xml:space="preserve">different </w:t>
      </w:r>
      <w:r w:rsidR="0023495A" w:rsidRPr="006A5438">
        <w:t xml:space="preserve">procedures is </w:t>
      </w:r>
      <w:r w:rsidR="00227580" w:rsidRPr="006A5438">
        <w:t>rather incomplete. Furthermore, a</w:t>
      </w:r>
      <w:r w:rsidR="0023495A" w:rsidRPr="006A5438">
        <w:t xml:space="preserve"> critical review of alternative procedures is </w:t>
      </w:r>
      <w:r w:rsidR="00227580" w:rsidRPr="006A5438">
        <w:t xml:space="preserve">never </w:t>
      </w:r>
      <w:r w:rsidR="0023495A" w:rsidRPr="006A5438">
        <w:t>provided. As a consequence, a full comprehension of the theo</w:t>
      </w:r>
      <w:r w:rsidR="00227580" w:rsidRPr="006A5438">
        <w:t xml:space="preserve">retical fundamentals of the different </w:t>
      </w:r>
      <w:r w:rsidR="0023495A" w:rsidRPr="006A5438">
        <w:t>method</w:t>
      </w:r>
      <w:r w:rsidR="00227580" w:rsidRPr="006A5438">
        <w:t>s</w:t>
      </w:r>
      <w:r w:rsidR="0023495A" w:rsidRPr="006A5438">
        <w:t xml:space="preserve"> is </w:t>
      </w:r>
      <w:r w:rsidR="00227580" w:rsidRPr="006A5438">
        <w:t>rarely</w:t>
      </w:r>
      <w:r w:rsidR="0023495A" w:rsidRPr="006A5438">
        <w:t xml:space="preserve"> possible.</w:t>
      </w:r>
    </w:p>
    <w:p w14:paraId="1115C957" w14:textId="1ECDDA2B" w:rsidR="000D621E" w:rsidRPr="006A5438" w:rsidRDefault="009C6FB8" w:rsidP="002B5E31">
      <w:r w:rsidRPr="006C2F8C">
        <w:t xml:space="preserve">Thus, the present study focused on the </w:t>
      </w:r>
      <w:r w:rsidR="00227580" w:rsidRPr="006C2F8C">
        <w:t>develop</w:t>
      </w:r>
      <w:r w:rsidRPr="006C2F8C">
        <w:t>ment of</w:t>
      </w:r>
      <w:r w:rsidR="00227580" w:rsidRPr="006C2F8C">
        <w:t xml:space="preserve"> a new RGA method overcoming the limits </w:t>
      </w:r>
      <w:r w:rsidR="00B97B5B" w:rsidRPr="006C2F8C">
        <w:t>of the existing</w:t>
      </w:r>
      <w:r w:rsidR="00B97B5B">
        <w:t xml:space="preserve"> </w:t>
      </w:r>
      <w:r w:rsidR="00CC375B">
        <w:t>ones</w:t>
      </w:r>
      <w:r w:rsidR="00B97B5B">
        <w:t xml:space="preserve"> </w:t>
      </w:r>
      <w:r w:rsidR="00227580" w:rsidRPr="006A5438">
        <w:t xml:space="preserve">(DICAM, 2019). </w:t>
      </w:r>
      <w:r w:rsidR="00D760FE" w:rsidRPr="006A5438">
        <w:t xml:space="preserve">After the present introduction, section 2 </w:t>
      </w:r>
      <w:r w:rsidR="00EB7876" w:rsidRPr="006A5438">
        <w:t xml:space="preserve">contains the description of the key aspects of </w:t>
      </w:r>
      <w:r w:rsidR="00B97B5B">
        <w:t xml:space="preserve">the </w:t>
      </w:r>
      <w:r w:rsidR="000D621E" w:rsidRPr="006A5438">
        <w:t>procedure, while</w:t>
      </w:r>
      <w:r w:rsidR="00D760FE" w:rsidRPr="006A5438">
        <w:t xml:space="preserve"> section 3</w:t>
      </w:r>
      <w:r w:rsidR="000D621E" w:rsidRPr="006A5438">
        <w:t xml:space="preserve"> reports its </w:t>
      </w:r>
      <w:r w:rsidR="00CC375B">
        <w:t>application to a case study</w:t>
      </w:r>
      <w:r w:rsidR="000D621E" w:rsidRPr="006A5438">
        <w:t>. Lastly, section 4 is devoted to the conclusions and to future research developments</w:t>
      </w:r>
      <w:r w:rsidR="00EB7876" w:rsidRPr="006A5438">
        <w:t>.</w:t>
      </w:r>
    </w:p>
    <w:p w14:paraId="5D6B2860" w14:textId="6D08FC40" w:rsidR="0009279C" w:rsidRPr="006A5438" w:rsidRDefault="000D621E" w:rsidP="002B5E31">
      <w:pPr>
        <w:pStyle w:val="CETHeading1"/>
        <w:spacing w:line="264" w:lineRule="auto"/>
        <w:rPr>
          <w:lang w:val="en-GB"/>
        </w:rPr>
      </w:pPr>
      <w:r w:rsidRPr="006A5438">
        <w:rPr>
          <w:lang w:val="en-GB"/>
        </w:rPr>
        <w:t>T</w:t>
      </w:r>
      <w:r w:rsidR="0046549B" w:rsidRPr="006A5438">
        <w:rPr>
          <w:lang w:val="en-GB"/>
        </w:rPr>
        <w:t>he</w:t>
      </w:r>
      <w:r w:rsidR="0009279C" w:rsidRPr="006A5438">
        <w:rPr>
          <w:lang w:val="en-GB"/>
        </w:rPr>
        <w:t xml:space="preserve"> R</w:t>
      </w:r>
      <w:r w:rsidR="0046549B" w:rsidRPr="006A5438">
        <w:rPr>
          <w:lang w:val="en-GB"/>
        </w:rPr>
        <w:t xml:space="preserve">esponse </w:t>
      </w:r>
      <w:r w:rsidR="0009279C" w:rsidRPr="006A5438">
        <w:rPr>
          <w:lang w:val="en-GB"/>
        </w:rPr>
        <w:t>G</w:t>
      </w:r>
      <w:r w:rsidR="0046549B" w:rsidRPr="006A5438">
        <w:rPr>
          <w:lang w:val="en-GB"/>
        </w:rPr>
        <w:t xml:space="preserve">ap </w:t>
      </w:r>
      <w:r w:rsidR="0009279C" w:rsidRPr="006A5438">
        <w:rPr>
          <w:lang w:val="en-GB"/>
        </w:rPr>
        <w:t>A</w:t>
      </w:r>
      <w:r w:rsidR="0046549B" w:rsidRPr="006A5438">
        <w:rPr>
          <w:lang w:val="en-GB"/>
        </w:rPr>
        <w:t>nalysis method</w:t>
      </w:r>
    </w:p>
    <w:p w14:paraId="0E8A490F" w14:textId="23F7D118" w:rsidR="009A0590" w:rsidRPr="006A5438" w:rsidRDefault="00E63141" w:rsidP="002B5E31">
      <w:pPr>
        <w:pStyle w:val="CETBodytext"/>
        <w:rPr>
          <w:lang w:val="en-GB"/>
        </w:rPr>
      </w:pPr>
      <w:r w:rsidRPr="006A5438">
        <w:rPr>
          <w:lang w:val="en-GB"/>
        </w:rPr>
        <w:t xml:space="preserve">The proposed RGA method </w:t>
      </w:r>
      <w:r w:rsidR="00DA6075" w:rsidRPr="006A5438">
        <w:rPr>
          <w:lang w:val="en-GB"/>
        </w:rPr>
        <w:t>is based on</w:t>
      </w:r>
      <w:r w:rsidRPr="006A5438">
        <w:rPr>
          <w:lang w:val="en-GB"/>
        </w:rPr>
        <w:t xml:space="preserve"> 9 </w:t>
      </w:r>
      <w:proofErr w:type="spellStart"/>
      <w:r w:rsidR="006C2F8C">
        <w:rPr>
          <w:lang w:val="en-GB"/>
        </w:rPr>
        <w:t>metoc</w:t>
      </w:r>
      <w:r w:rsidR="00DA6075" w:rsidRPr="006A5438">
        <w:rPr>
          <w:lang w:val="en-GB"/>
        </w:rPr>
        <w:t>ean</w:t>
      </w:r>
      <w:proofErr w:type="spellEnd"/>
      <w:r w:rsidR="00DA6075" w:rsidRPr="006A5438">
        <w:rPr>
          <w:lang w:val="en-GB"/>
        </w:rPr>
        <w:t xml:space="preserve"> conditions related to the wind, the sea state, the temperature effects, the visibility, and the sea ice. In addition, 2 location specific factors - the bathymetry and the shoreline distance - are included. Differently from the </w:t>
      </w:r>
      <w:proofErr w:type="spellStart"/>
      <w:r w:rsidR="006C2F8C" w:rsidRPr="006C2F8C">
        <w:rPr>
          <w:lang w:val="en-GB"/>
        </w:rPr>
        <w:t>metoc</w:t>
      </w:r>
      <w:r w:rsidR="00DA6075" w:rsidRPr="006C2F8C">
        <w:rPr>
          <w:lang w:val="en-GB"/>
        </w:rPr>
        <w:t>ean</w:t>
      </w:r>
      <w:proofErr w:type="spellEnd"/>
      <w:r w:rsidR="00DA6075" w:rsidRPr="006A5438">
        <w:rPr>
          <w:lang w:val="en-GB"/>
        </w:rPr>
        <w:t xml:space="preserve"> conditions, the location specific factors do not vary with time</w:t>
      </w:r>
      <w:r w:rsidR="004F264F" w:rsidRPr="006A5438">
        <w:rPr>
          <w:lang w:val="en-GB"/>
        </w:rPr>
        <w:t>; though, they might have</w:t>
      </w:r>
      <w:r w:rsidR="00DA6075" w:rsidRPr="006A5438">
        <w:rPr>
          <w:lang w:val="en-GB"/>
        </w:rPr>
        <w:t xml:space="preserve"> </w:t>
      </w:r>
      <w:r w:rsidR="004F264F" w:rsidRPr="006A5438">
        <w:rPr>
          <w:lang w:val="en-GB"/>
        </w:rPr>
        <w:t xml:space="preserve">a negative effect on the response. </w:t>
      </w:r>
      <w:r w:rsidR="00DA6075" w:rsidRPr="006A5438">
        <w:rPr>
          <w:lang w:val="en-GB"/>
        </w:rPr>
        <w:t>The list of the 11 environmental factors taken into account by the RGA procedure is reported in Table 1.</w:t>
      </w:r>
    </w:p>
    <w:p w14:paraId="50C9B449" w14:textId="5553B99B" w:rsidR="0046549B" w:rsidRPr="006A5438" w:rsidRDefault="0046549B" w:rsidP="002B5E31">
      <w:pPr>
        <w:pStyle w:val="CETTabletitle"/>
        <w:spacing w:line="264" w:lineRule="auto"/>
      </w:pPr>
      <w:bookmarkStart w:id="1" w:name="_Ref11754533"/>
      <w:bookmarkStart w:id="2" w:name="_Toc26201411"/>
      <w:r w:rsidRPr="006A5438">
        <w:t>Table</w:t>
      </w:r>
      <w:bookmarkEnd w:id="1"/>
      <w:r w:rsidRPr="006A5438">
        <w:t xml:space="preserve"> 1</w:t>
      </w:r>
      <w:r w:rsidR="009A0590" w:rsidRPr="006A5438">
        <w:t>:</w:t>
      </w:r>
      <w:r w:rsidRPr="006A5438">
        <w:t xml:space="preserve"> </w:t>
      </w:r>
      <w:r w:rsidR="009A0590" w:rsidRPr="006A5438">
        <w:t>E</w:t>
      </w:r>
      <w:r w:rsidRPr="006A5438">
        <w:t xml:space="preserve">nvironmental factors included in </w:t>
      </w:r>
      <w:r w:rsidR="00DA6075" w:rsidRPr="006A5438">
        <w:t xml:space="preserve">the </w:t>
      </w:r>
      <w:r w:rsidRPr="006A5438">
        <w:t>RGA</w:t>
      </w:r>
      <w:bookmarkEnd w:id="2"/>
      <w:r w:rsidR="00DA6075" w:rsidRPr="006A5438">
        <w:t xml:space="preserve"> method</w:t>
      </w:r>
    </w:p>
    <w:tbl>
      <w:tblPr>
        <w:tblStyle w:val="Grigliatabella"/>
        <w:tblW w:w="51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972"/>
      </w:tblGrid>
      <w:tr w:rsidR="0046549B" w:rsidRPr="006A5438" w14:paraId="2AA0D2E1" w14:textId="77777777" w:rsidTr="002B5E31">
        <w:trPr>
          <w:trHeight w:val="20"/>
        </w:trPr>
        <w:tc>
          <w:tcPr>
            <w:tcW w:w="2160" w:type="dxa"/>
            <w:tcBorders>
              <w:top w:val="single" w:sz="2" w:space="0" w:color="008000"/>
            </w:tcBorders>
            <w:shd w:val="clear" w:color="auto" w:fill="auto"/>
            <w:vAlign w:val="center"/>
          </w:tcPr>
          <w:p w14:paraId="2AE87337" w14:textId="77777777" w:rsidR="0046549B" w:rsidRPr="006A5438" w:rsidRDefault="0046549B" w:rsidP="002B5E31">
            <w:pPr>
              <w:pStyle w:val="CETBodytext"/>
              <w:rPr>
                <w:lang w:val="en-GB"/>
              </w:rPr>
            </w:pPr>
            <w:r w:rsidRPr="006A5438">
              <w:rPr>
                <w:lang w:val="en-GB"/>
              </w:rPr>
              <w:t>Wind</w:t>
            </w:r>
          </w:p>
        </w:tc>
        <w:tc>
          <w:tcPr>
            <w:tcW w:w="2972" w:type="dxa"/>
            <w:tcBorders>
              <w:top w:val="single" w:sz="2" w:space="0" w:color="008000"/>
            </w:tcBorders>
            <w:shd w:val="clear" w:color="auto" w:fill="auto"/>
            <w:vAlign w:val="center"/>
          </w:tcPr>
          <w:p w14:paraId="3298CA97" w14:textId="77777777" w:rsidR="0046549B" w:rsidRPr="006A5438" w:rsidRDefault="0046549B" w:rsidP="002B5E31">
            <w:pPr>
              <w:pStyle w:val="CETBodytext"/>
              <w:rPr>
                <w:lang w:val="en-GB"/>
              </w:rPr>
            </w:pPr>
            <w:r w:rsidRPr="006A5438">
              <w:rPr>
                <w:lang w:val="en-GB"/>
              </w:rPr>
              <w:t>Wind speed</w:t>
            </w:r>
          </w:p>
        </w:tc>
      </w:tr>
      <w:tr w:rsidR="0046549B" w:rsidRPr="006A5438" w14:paraId="666590AA" w14:textId="77777777" w:rsidTr="002B5E31">
        <w:trPr>
          <w:trHeight w:val="133"/>
        </w:trPr>
        <w:tc>
          <w:tcPr>
            <w:tcW w:w="2160" w:type="dxa"/>
            <w:shd w:val="clear" w:color="auto" w:fill="auto"/>
            <w:vAlign w:val="center"/>
          </w:tcPr>
          <w:p w14:paraId="76C6DB46" w14:textId="77777777" w:rsidR="0046549B" w:rsidRPr="006A5438" w:rsidRDefault="0046549B" w:rsidP="002B5E31">
            <w:pPr>
              <w:pStyle w:val="CETBodytext"/>
              <w:rPr>
                <w:lang w:val="en-GB"/>
              </w:rPr>
            </w:pPr>
            <w:r w:rsidRPr="006A5438">
              <w:rPr>
                <w:lang w:val="en-GB"/>
              </w:rPr>
              <w:t>Sea state</w:t>
            </w:r>
          </w:p>
        </w:tc>
        <w:tc>
          <w:tcPr>
            <w:tcW w:w="2972" w:type="dxa"/>
            <w:shd w:val="clear" w:color="auto" w:fill="auto"/>
            <w:vAlign w:val="center"/>
          </w:tcPr>
          <w:p w14:paraId="45D70EF4" w14:textId="77777777" w:rsidR="0046549B" w:rsidRPr="006A5438" w:rsidRDefault="0046549B" w:rsidP="002B5E31">
            <w:pPr>
              <w:pStyle w:val="CETBodytext"/>
              <w:rPr>
                <w:strike/>
                <w:lang w:val="en-GB"/>
              </w:rPr>
            </w:pPr>
            <w:r w:rsidRPr="006A5438">
              <w:rPr>
                <w:lang w:val="en-GB"/>
              </w:rPr>
              <w:t>Significant wave height</w:t>
            </w:r>
          </w:p>
        </w:tc>
      </w:tr>
      <w:tr w:rsidR="0046549B" w:rsidRPr="006A5438" w14:paraId="144D81CE" w14:textId="77777777" w:rsidTr="002B5E31">
        <w:trPr>
          <w:trHeight w:val="20"/>
        </w:trPr>
        <w:tc>
          <w:tcPr>
            <w:tcW w:w="2160" w:type="dxa"/>
            <w:vMerge w:val="restart"/>
            <w:shd w:val="clear" w:color="auto" w:fill="auto"/>
            <w:vAlign w:val="center"/>
          </w:tcPr>
          <w:p w14:paraId="616BA46B" w14:textId="77777777" w:rsidR="0046549B" w:rsidRPr="006A5438" w:rsidRDefault="0046549B" w:rsidP="002B5E31">
            <w:pPr>
              <w:pStyle w:val="CETBodytext"/>
              <w:rPr>
                <w:lang w:val="en-GB"/>
              </w:rPr>
            </w:pPr>
            <w:r w:rsidRPr="006A5438">
              <w:rPr>
                <w:lang w:val="en-GB"/>
              </w:rPr>
              <w:t>Temperature effects</w:t>
            </w:r>
          </w:p>
        </w:tc>
        <w:tc>
          <w:tcPr>
            <w:tcW w:w="2972" w:type="dxa"/>
            <w:shd w:val="clear" w:color="auto" w:fill="auto"/>
            <w:vAlign w:val="center"/>
          </w:tcPr>
          <w:p w14:paraId="798F94D4" w14:textId="77777777" w:rsidR="0046549B" w:rsidRPr="006A5438" w:rsidRDefault="0046549B" w:rsidP="002B5E31">
            <w:pPr>
              <w:pStyle w:val="CETBodytext"/>
              <w:rPr>
                <w:lang w:val="en-GB"/>
              </w:rPr>
            </w:pPr>
            <w:r w:rsidRPr="006A5438">
              <w:rPr>
                <w:lang w:val="en-GB"/>
              </w:rPr>
              <w:t>Air temperature</w:t>
            </w:r>
          </w:p>
        </w:tc>
      </w:tr>
      <w:tr w:rsidR="0046549B" w:rsidRPr="006A5438" w14:paraId="4189A5C5" w14:textId="77777777" w:rsidTr="002B5E31">
        <w:trPr>
          <w:trHeight w:val="20"/>
        </w:trPr>
        <w:tc>
          <w:tcPr>
            <w:tcW w:w="2160" w:type="dxa"/>
            <w:vMerge/>
            <w:shd w:val="clear" w:color="auto" w:fill="auto"/>
          </w:tcPr>
          <w:p w14:paraId="7C7967D1" w14:textId="77777777" w:rsidR="0046549B" w:rsidRPr="006A5438" w:rsidRDefault="0046549B" w:rsidP="002B5E31">
            <w:pPr>
              <w:pStyle w:val="CETBodytext"/>
              <w:rPr>
                <w:lang w:val="en-GB"/>
              </w:rPr>
            </w:pPr>
          </w:p>
        </w:tc>
        <w:tc>
          <w:tcPr>
            <w:tcW w:w="2972" w:type="dxa"/>
            <w:shd w:val="clear" w:color="auto" w:fill="auto"/>
            <w:vAlign w:val="center"/>
          </w:tcPr>
          <w:p w14:paraId="5890AEAA" w14:textId="77777777" w:rsidR="0046549B" w:rsidRPr="006A5438" w:rsidRDefault="0046549B" w:rsidP="002B5E31">
            <w:pPr>
              <w:pStyle w:val="CETBodytext"/>
              <w:rPr>
                <w:lang w:val="en-GB"/>
              </w:rPr>
            </w:pPr>
            <w:r w:rsidRPr="006A5438">
              <w:rPr>
                <w:lang w:val="en-GB"/>
              </w:rPr>
              <w:t>Superstructure icing</w:t>
            </w:r>
          </w:p>
        </w:tc>
      </w:tr>
      <w:tr w:rsidR="0046549B" w:rsidRPr="006A5438" w14:paraId="7E8D3FD3" w14:textId="77777777" w:rsidTr="002B5E31">
        <w:trPr>
          <w:trHeight w:val="20"/>
        </w:trPr>
        <w:tc>
          <w:tcPr>
            <w:tcW w:w="2160" w:type="dxa"/>
            <w:vMerge/>
            <w:shd w:val="clear" w:color="auto" w:fill="auto"/>
          </w:tcPr>
          <w:p w14:paraId="58A953A0" w14:textId="77777777" w:rsidR="0046549B" w:rsidRPr="006A5438" w:rsidRDefault="0046549B" w:rsidP="002B5E31">
            <w:pPr>
              <w:pStyle w:val="CETBodytext"/>
              <w:rPr>
                <w:lang w:val="en-GB"/>
              </w:rPr>
            </w:pPr>
          </w:p>
        </w:tc>
        <w:tc>
          <w:tcPr>
            <w:tcW w:w="2972" w:type="dxa"/>
            <w:shd w:val="clear" w:color="auto" w:fill="auto"/>
            <w:vAlign w:val="center"/>
          </w:tcPr>
          <w:p w14:paraId="72FA11E4" w14:textId="77777777" w:rsidR="0046549B" w:rsidRPr="006A5438" w:rsidRDefault="0046549B" w:rsidP="002B5E31">
            <w:pPr>
              <w:pStyle w:val="CETBodytext"/>
              <w:rPr>
                <w:lang w:val="en-GB"/>
              </w:rPr>
            </w:pPr>
            <w:r w:rsidRPr="006A5438">
              <w:rPr>
                <w:lang w:val="en-GB"/>
              </w:rPr>
              <w:t>Wind chill</w:t>
            </w:r>
          </w:p>
        </w:tc>
      </w:tr>
      <w:tr w:rsidR="0046549B" w:rsidRPr="006A5438" w14:paraId="0107E223" w14:textId="77777777" w:rsidTr="002B5E31">
        <w:trPr>
          <w:trHeight w:val="20"/>
        </w:trPr>
        <w:tc>
          <w:tcPr>
            <w:tcW w:w="2160" w:type="dxa"/>
            <w:vMerge w:val="restart"/>
            <w:shd w:val="clear" w:color="auto" w:fill="auto"/>
            <w:vAlign w:val="center"/>
          </w:tcPr>
          <w:p w14:paraId="0BD6865B" w14:textId="77777777" w:rsidR="0046549B" w:rsidRPr="006A5438" w:rsidRDefault="0046549B" w:rsidP="002B5E31">
            <w:pPr>
              <w:pStyle w:val="CETBodytext"/>
              <w:rPr>
                <w:lang w:val="en-GB"/>
              </w:rPr>
            </w:pPr>
            <w:r w:rsidRPr="006A5438">
              <w:rPr>
                <w:lang w:val="en-GB"/>
              </w:rPr>
              <w:t>Visibility</w:t>
            </w:r>
          </w:p>
        </w:tc>
        <w:tc>
          <w:tcPr>
            <w:tcW w:w="2972" w:type="dxa"/>
            <w:shd w:val="clear" w:color="auto" w:fill="auto"/>
            <w:vAlign w:val="center"/>
          </w:tcPr>
          <w:p w14:paraId="3FECF88C" w14:textId="77777777" w:rsidR="0046549B" w:rsidRPr="006A5438" w:rsidRDefault="0046549B" w:rsidP="002B5E31">
            <w:pPr>
              <w:pStyle w:val="CETBodytext"/>
              <w:rPr>
                <w:lang w:val="en-GB"/>
              </w:rPr>
            </w:pPr>
            <w:r w:rsidRPr="006A5438">
              <w:rPr>
                <w:lang w:val="en-GB"/>
              </w:rPr>
              <w:t>Daylight / darkness</w:t>
            </w:r>
          </w:p>
        </w:tc>
      </w:tr>
      <w:tr w:rsidR="0046549B" w:rsidRPr="006A5438" w14:paraId="36C19202" w14:textId="77777777" w:rsidTr="002B5E31">
        <w:trPr>
          <w:trHeight w:val="20"/>
        </w:trPr>
        <w:tc>
          <w:tcPr>
            <w:tcW w:w="2160" w:type="dxa"/>
            <w:vMerge/>
            <w:shd w:val="clear" w:color="auto" w:fill="auto"/>
          </w:tcPr>
          <w:p w14:paraId="267B12F0" w14:textId="77777777" w:rsidR="0046549B" w:rsidRPr="006A5438" w:rsidRDefault="0046549B" w:rsidP="002B5E31">
            <w:pPr>
              <w:pStyle w:val="CETBodytext"/>
              <w:rPr>
                <w:lang w:val="en-GB"/>
              </w:rPr>
            </w:pPr>
          </w:p>
        </w:tc>
        <w:tc>
          <w:tcPr>
            <w:tcW w:w="2972" w:type="dxa"/>
            <w:shd w:val="clear" w:color="auto" w:fill="auto"/>
            <w:vAlign w:val="center"/>
          </w:tcPr>
          <w:p w14:paraId="5A9239D5" w14:textId="77777777" w:rsidR="0046549B" w:rsidRPr="006A5438" w:rsidRDefault="0046549B" w:rsidP="002B5E31">
            <w:pPr>
              <w:pStyle w:val="CETBodytext"/>
              <w:rPr>
                <w:lang w:val="en-GB"/>
              </w:rPr>
            </w:pPr>
            <w:r w:rsidRPr="006A5438">
              <w:rPr>
                <w:lang w:val="en-GB"/>
              </w:rPr>
              <w:t>Horizontal visibility</w:t>
            </w:r>
          </w:p>
        </w:tc>
      </w:tr>
      <w:tr w:rsidR="0046549B" w:rsidRPr="006A5438" w14:paraId="79E10C04" w14:textId="77777777" w:rsidTr="002B5E31">
        <w:trPr>
          <w:trHeight w:val="20"/>
        </w:trPr>
        <w:tc>
          <w:tcPr>
            <w:tcW w:w="2160" w:type="dxa"/>
            <w:vMerge/>
            <w:shd w:val="clear" w:color="auto" w:fill="auto"/>
          </w:tcPr>
          <w:p w14:paraId="3B0B2EFE" w14:textId="77777777" w:rsidR="0046549B" w:rsidRPr="006A5438" w:rsidRDefault="0046549B" w:rsidP="002B5E31">
            <w:pPr>
              <w:pStyle w:val="CETBodytext"/>
              <w:rPr>
                <w:lang w:val="en-GB"/>
              </w:rPr>
            </w:pPr>
          </w:p>
        </w:tc>
        <w:tc>
          <w:tcPr>
            <w:tcW w:w="2972" w:type="dxa"/>
            <w:shd w:val="clear" w:color="auto" w:fill="auto"/>
            <w:vAlign w:val="center"/>
          </w:tcPr>
          <w:p w14:paraId="37169F10" w14:textId="77777777" w:rsidR="0046549B" w:rsidRPr="006A5438" w:rsidRDefault="0046549B" w:rsidP="002B5E31">
            <w:pPr>
              <w:pStyle w:val="CETBodytext"/>
              <w:rPr>
                <w:lang w:val="en-GB"/>
              </w:rPr>
            </w:pPr>
            <w:r w:rsidRPr="006A5438">
              <w:rPr>
                <w:lang w:val="en-GB"/>
              </w:rPr>
              <w:t>Cloud ceiling</w:t>
            </w:r>
          </w:p>
        </w:tc>
      </w:tr>
      <w:tr w:rsidR="0046549B" w:rsidRPr="006A5438" w14:paraId="218FCA15" w14:textId="77777777" w:rsidTr="002B5E31">
        <w:trPr>
          <w:trHeight w:val="20"/>
        </w:trPr>
        <w:tc>
          <w:tcPr>
            <w:tcW w:w="2160" w:type="dxa"/>
            <w:shd w:val="clear" w:color="auto" w:fill="auto"/>
            <w:vAlign w:val="center"/>
          </w:tcPr>
          <w:p w14:paraId="4996E22C" w14:textId="77777777" w:rsidR="0046549B" w:rsidRPr="006A5438" w:rsidRDefault="0046549B" w:rsidP="002B5E31">
            <w:pPr>
              <w:pStyle w:val="CETBodytext"/>
              <w:rPr>
                <w:lang w:val="en-GB"/>
              </w:rPr>
            </w:pPr>
            <w:r w:rsidRPr="006A5438">
              <w:rPr>
                <w:lang w:val="en-GB"/>
              </w:rPr>
              <w:t>Sea ice</w:t>
            </w:r>
          </w:p>
        </w:tc>
        <w:tc>
          <w:tcPr>
            <w:tcW w:w="2972" w:type="dxa"/>
            <w:shd w:val="clear" w:color="auto" w:fill="auto"/>
            <w:vAlign w:val="center"/>
          </w:tcPr>
          <w:p w14:paraId="3C6FA167" w14:textId="77777777" w:rsidR="0046549B" w:rsidRPr="006A5438" w:rsidRDefault="0046549B" w:rsidP="002B5E31">
            <w:pPr>
              <w:pStyle w:val="CETBodytext"/>
              <w:rPr>
                <w:lang w:val="en-GB"/>
              </w:rPr>
            </w:pPr>
            <w:r w:rsidRPr="006A5438">
              <w:rPr>
                <w:lang w:val="en-GB"/>
              </w:rPr>
              <w:t>Ice coverage</w:t>
            </w:r>
          </w:p>
        </w:tc>
      </w:tr>
      <w:tr w:rsidR="0046549B" w:rsidRPr="006A5438" w14:paraId="7979A53A" w14:textId="77777777" w:rsidTr="002B5E31">
        <w:trPr>
          <w:trHeight w:val="20"/>
        </w:trPr>
        <w:tc>
          <w:tcPr>
            <w:tcW w:w="2160" w:type="dxa"/>
            <w:shd w:val="clear" w:color="auto" w:fill="auto"/>
            <w:vAlign w:val="center"/>
          </w:tcPr>
          <w:p w14:paraId="24483D0E" w14:textId="77777777" w:rsidR="0046549B" w:rsidRPr="006A5438" w:rsidRDefault="0046549B" w:rsidP="002B5E31">
            <w:pPr>
              <w:pStyle w:val="CETBodytext"/>
              <w:rPr>
                <w:lang w:val="en-GB"/>
              </w:rPr>
            </w:pPr>
            <w:r w:rsidRPr="006A5438">
              <w:rPr>
                <w:lang w:val="en-GB"/>
              </w:rPr>
              <w:t>Bathymetry</w:t>
            </w:r>
          </w:p>
        </w:tc>
        <w:tc>
          <w:tcPr>
            <w:tcW w:w="2972" w:type="dxa"/>
            <w:shd w:val="clear" w:color="auto" w:fill="auto"/>
            <w:vAlign w:val="center"/>
          </w:tcPr>
          <w:p w14:paraId="025B091F" w14:textId="77777777" w:rsidR="0046549B" w:rsidRPr="006A5438" w:rsidRDefault="0046549B" w:rsidP="002B5E31">
            <w:pPr>
              <w:pStyle w:val="CETBodytext"/>
              <w:rPr>
                <w:lang w:val="en-GB"/>
              </w:rPr>
            </w:pPr>
            <w:r w:rsidRPr="006A5438">
              <w:rPr>
                <w:lang w:val="en-GB"/>
              </w:rPr>
              <w:t>Bathymetry</w:t>
            </w:r>
          </w:p>
        </w:tc>
      </w:tr>
      <w:tr w:rsidR="0046549B" w:rsidRPr="006A5438" w14:paraId="64D4A4BC" w14:textId="77777777" w:rsidTr="002B5E31">
        <w:trPr>
          <w:trHeight w:val="20"/>
        </w:trPr>
        <w:tc>
          <w:tcPr>
            <w:tcW w:w="2160" w:type="dxa"/>
            <w:tcBorders>
              <w:bottom w:val="single" w:sz="12" w:space="0" w:color="008000"/>
            </w:tcBorders>
            <w:shd w:val="clear" w:color="auto" w:fill="auto"/>
            <w:vAlign w:val="center"/>
          </w:tcPr>
          <w:p w14:paraId="4AC4A067" w14:textId="77777777" w:rsidR="0046549B" w:rsidRPr="006A5438" w:rsidRDefault="0046549B" w:rsidP="002B5E31">
            <w:pPr>
              <w:pStyle w:val="CETBodytext"/>
              <w:rPr>
                <w:lang w:val="en-GB"/>
              </w:rPr>
            </w:pPr>
            <w:r w:rsidRPr="006A5438">
              <w:rPr>
                <w:lang w:val="en-GB"/>
              </w:rPr>
              <w:t>Shoreline distance</w:t>
            </w:r>
          </w:p>
        </w:tc>
        <w:tc>
          <w:tcPr>
            <w:tcW w:w="2972" w:type="dxa"/>
            <w:tcBorders>
              <w:bottom w:val="single" w:sz="12" w:space="0" w:color="008000"/>
            </w:tcBorders>
            <w:shd w:val="clear" w:color="auto" w:fill="auto"/>
            <w:vAlign w:val="center"/>
          </w:tcPr>
          <w:p w14:paraId="744A6369" w14:textId="77777777" w:rsidR="0046549B" w:rsidRPr="006A5438" w:rsidRDefault="0046549B" w:rsidP="002B5E31">
            <w:pPr>
              <w:pStyle w:val="CETBodytext"/>
              <w:rPr>
                <w:lang w:val="en-GB"/>
              </w:rPr>
            </w:pPr>
            <w:r w:rsidRPr="006A5438">
              <w:rPr>
                <w:lang w:val="en-GB"/>
              </w:rPr>
              <w:t>Shoreline distance</w:t>
            </w:r>
          </w:p>
        </w:tc>
      </w:tr>
    </w:tbl>
    <w:p w14:paraId="38CCBCB8" w14:textId="77777777" w:rsidR="002B5E31" w:rsidRDefault="002B5E31" w:rsidP="002B5E31"/>
    <w:p w14:paraId="5B7B5308" w14:textId="6D9E187D" w:rsidR="007F19D4" w:rsidRPr="006A5438" w:rsidRDefault="004E295D" w:rsidP="002B5E31">
      <w:r>
        <w:t xml:space="preserve">The response strategies </w:t>
      </w:r>
      <w:r w:rsidR="00DE54D8" w:rsidRPr="006A5438">
        <w:t>availa</w:t>
      </w:r>
      <w:r>
        <w:t>ble to combat oil spills at sea are</w:t>
      </w:r>
      <w:r w:rsidR="00DE54D8" w:rsidRPr="006A5438">
        <w:t xml:space="preserve"> mechanical recovery, application of dispersants and in-situ burning. Generally, each strategy can be mounted by means of different tactics</w:t>
      </w:r>
      <w:r w:rsidR="00B358F4" w:rsidRPr="006A5438">
        <w:t xml:space="preserve">. </w:t>
      </w:r>
      <w:r w:rsidR="007F19D4" w:rsidRPr="006A5438">
        <w:t xml:space="preserve">The baseline tactics </w:t>
      </w:r>
      <w:r>
        <w:t>to implement the</w:t>
      </w:r>
      <w:r w:rsidR="007F19D4" w:rsidRPr="006A5438">
        <w:t xml:space="preserve"> different strategies are listed in Table 2.</w:t>
      </w:r>
    </w:p>
    <w:p w14:paraId="252D4595" w14:textId="3A98B2E7" w:rsidR="007F19D4" w:rsidRPr="006A5438" w:rsidRDefault="007F19D4" w:rsidP="002B5E31">
      <w:pPr>
        <w:pStyle w:val="CETTabletitle"/>
        <w:spacing w:line="264" w:lineRule="auto"/>
      </w:pPr>
      <w:bookmarkStart w:id="3" w:name="_Ref11834383"/>
      <w:bookmarkStart w:id="4" w:name="_Toc26201416"/>
      <w:r w:rsidRPr="006A5438">
        <w:lastRenderedPageBreak/>
        <w:t xml:space="preserve">Table </w:t>
      </w:r>
      <w:bookmarkEnd w:id="3"/>
      <w:r w:rsidR="004E295D">
        <w:t>2:</w:t>
      </w:r>
      <w:r w:rsidRPr="006A5438">
        <w:t xml:space="preserve"> Baseline tactics </w:t>
      </w:r>
      <w:bookmarkEnd w:id="4"/>
      <w:r w:rsidRPr="006A5438">
        <w:t>for oil spill emergency intervention</w:t>
      </w:r>
    </w:p>
    <w:tbl>
      <w:tblPr>
        <w:tblStyle w:val="Grigliatabella"/>
        <w:tblW w:w="0" w:type="auto"/>
        <w:tblInd w:w="108" w:type="dxa"/>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2142"/>
        <w:gridCol w:w="302"/>
        <w:gridCol w:w="567"/>
        <w:gridCol w:w="3969"/>
      </w:tblGrid>
      <w:tr w:rsidR="000D2B1D" w:rsidRPr="006A5438" w14:paraId="0BDC0698" w14:textId="77777777" w:rsidTr="002B5E31">
        <w:tc>
          <w:tcPr>
            <w:tcW w:w="2142" w:type="dxa"/>
            <w:tcBorders>
              <w:top w:val="single" w:sz="12" w:space="0" w:color="008000"/>
              <w:bottom w:val="single" w:sz="2" w:space="0" w:color="008000"/>
            </w:tcBorders>
            <w:shd w:val="clear" w:color="auto" w:fill="auto"/>
            <w:vAlign w:val="center"/>
          </w:tcPr>
          <w:p w14:paraId="54D31947" w14:textId="0D47B686" w:rsidR="000D2B1D" w:rsidRPr="006A5438" w:rsidRDefault="000D2B1D" w:rsidP="002B5E31">
            <w:pPr>
              <w:pStyle w:val="CETBodytext"/>
              <w:rPr>
                <w:lang w:val="en-GB"/>
              </w:rPr>
            </w:pPr>
            <w:r w:rsidRPr="006A5438">
              <w:rPr>
                <w:lang w:val="en-GB"/>
              </w:rPr>
              <w:t>Response strategy</w:t>
            </w:r>
          </w:p>
        </w:tc>
        <w:tc>
          <w:tcPr>
            <w:tcW w:w="4838" w:type="dxa"/>
            <w:gridSpan w:val="3"/>
            <w:tcBorders>
              <w:top w:val="single" w:sz="12" w:space="0" w:color="008000"/>
              <w:bottom w:val="single" w:sz="2" w:space="0" w:color="008000"/>
            </w:tcBorders>
          </w:tcPr>
          <w:p w14:paraId="417DA2D1" w14:textId="3237283C" w:rsidR="000D2B1D" w:rsidRPr="006A5438" w:rsidRDefault="000D2B1D" w:rsidP="002B5E31">
            <w:pPr>
              <w:pStyle w:val="CETBodytext"/>
              <w:jc w:val="center"/>
              <w:rPr>
                <w:lang w:val="en-GB"/>
              </w:rPr>
            </w:pPr>
            <w:r w:rsidRPr="006A5438">
              <w:rPr>
                <w:lang w:val="en-GB"/>
              </w:rPr>
              <w:t>Baseline tactics</w:t>
            </w:r>
          </w:p>
        </w:tc>
      </w:tr>
      <w:tr w:rsidR="000D2B1D" w:rsidRPr="006A5438" w14:paraId="7FFD83F9" w14:textId="77777777" w:rsidTr="002B5E31">
        <w:tc>
          <w:tcPr>
            <w:tcW w:w="2444" w:type="dxa"/>
            <w:gridSpan w:val="2"/>
            <w:tcBorders>
              <w:top w:val="single" w:sz="2" w:space="0" w:color="008000"/>
            </w:tcBorders>
            <w:shd w:val="clear" w:color="auto" w:fill="auto"/>
            <w:vAlign w:val="center"/>
          </w:tcPr>
          <w:p w14:paraId="18B020DA" w14:textId="77777777" w:rsidR="000D2B1D" w:rsidRPr="006A5438" w:rsidRDefault="000D2B1D" w:rsidP="002B5E31">
            <w:pPr>
              <w:pStyle w:val="CETBodytext"/>
              <w:rPr>
                <w:lang w:val="en-GB"/>
              </w:rPr>
            </w:pPr>
            <w:r w:rsidRPr="006A5438">
              <w:rPr>
                <w:lang w:val="en-GB"/>
              </w:rPr>
              <w:t>Mechanical recovery</w:t>
            </w:r>
          </w:p>
        </w:tc>
        <w:tc>
          <w:tcPr>
            <w:tcW w:w="567" w:type="dxa"/>
            <w:tcBorders>
              <w:top w:val="single" w:sz="2" w:space="0" w:color="008000"/>
            </w:tcBorders>
          </w:tcPr>
          <w:p w14:paraId="17ADFE6C" w14:textId="76ED80CE" w:rsidR="000D2B1D" w:rsidRPr="006A5438" w:rsidRDefault="000D2B1D" w:rsidP="002B5E31">
            <w:pPr>
              <w:pStyle w:val="CETBodytext"/>
              <w:rPr>
                <w:lang w:val="en-GB"/>
              </w:rPr>
            </w:pPr>
            <w:r w:rsidRPr="006A5438">
              <w:rPr>
                <w:lang w:val="en-GB"/>
              </w:rPr>
              <w:t>T1</w:t>
            </w:r>
          </w:p>
        </w:tc>
        <w:tc>
          <w:tcPr>
            <w:tcW w:w="3969" w:type="dxa"/>
            <w:tcBorders>
              <w:top w:val="single" w:sz="2" w:space="0" w:color="008000"/>
            </w:tcBorders>
            <w:shd w:val="clear" w:color="auto" w:fill="auto"/>
            <w:vAlign w:val="center"/>
          </w:tcPr>
          <w:p w14:paraId="37E8FB4D" w14:textId="2A624997" w:rsidR="000D2B1D" w:rsidRPr="006A5438" w:rsidRDefault="000D2B1D" w:rsidP="002B5E31">
            <w:pPr>
              <w:pStyle w:val="CETBodytext"/>
              <w:rPr>
                <w:lang w:val="en-GB"/>
              </w:rPr>
            </w:pPr>
            <w:r w:rsidRPr="006A5438">
              <w:rPr>
                <w:lang w:val="en-GB"/>
              </w:rPr>
              <w:t>Vessels with booming and skimming systems</w:t>
            </w:r>
          </w:p>
        </w:tc>
      </w:tr>
      <w:tr w:rsidR="000D2B1D" w:rsidRPr="006A5438" w14:paraId="253D9184" w14:textId="77777777" w:rsidTr="002B5E31">
        <w:tc>
          <w:tcPr>
            <w:tcW w:w="2444" w:type="dxa"/>
            <w:gridSpan w:val="2"/>
            <w:vMerge w:val="restart"/>
            <w:shd w:val="clear" w:color="auto" w:fill="auto"/>
            <w:vAlign w:val="center"/>
          </w:tcPr>
          <w:p w14:paraId="3BBCE0D7" w14:textId="77777777" w:rsidR="000D2B1D" w:rsidRPr="006A5438" w:rsidRDefault="000D2B1D" w:rsidP="002B5E31">
            <w:pPr>
              <w:pStyle w:val="CETBodytext"/>
              <w:rPr>
                <w:lang w:val="en-GB"/>
              </w:rPr>
            </w:pPr>
            <w:r w:rsidRPr="006A5438">
              <w:rPr>
                <w:lang w:val="en-GB"/>
              </w:rPr>
              <w:t>Application of dispersants</w:t>
            </w:r>
          </w:p>
        </w:tc>
        <w:tc>
          <w:tcPr>
            <w:tcW w:w="567" w:type="dxa"/>
          </w:tcPr>
          <w:p w14:paraId="5059B17D" w14:textId="31FE37D1" w:rsidR="000D2B1D" w:rsidRPr="006A5438" w:rsidRDefault="000D2B1D" w:rsidP="002B5E31">
            <w:pPr>
              <w:pStyle w:val="CETBodytext"/>
              <w:rPr>
                <w:lang w:val="en-GB"/>
              </w:rPr>
            </w:pPr>
            <w:r w:rsidRPr="006A5438">
              <w:rPr>
                <w:lang w:val="en-GB"/>
              </w:rPr>
              <w:t>T2</w:t>
            </w:r>
          </w:p>
        </w:tc>
        <w:tc>
          <w:tcPr>
            <w:tcW w:w="3969" w:type="dxa"/>
            <w:shd w:val="clear" w:color="auto" w:fill="auto"/>
            <w:vAlign w:val="center"/>
          </w:tcPr>
          <w:p w14:paraId="580A7BD5" w14:textId="0906438A" w:rsidR="000D2B1D" w:rsidRPr="006A5438" w:rsidRDefault="000D2B1D" w:rsidP="002B5E31">
            <w:pPr>
              <w:pStyle w:val="CETBodytext"/>
              <w:rPr>
                <w:lang w:val="en-GB"/>
              </w:rPr>
            </w:pPr>
            <w:r w:rsidRPr="006A5438">
              <w:rPr>
                <w:lang w:val="en-GB"/>
              </w:rPr>
              <w:t>Application of dispersants from a vessel</w:t>
            </w:r>
          </w:p>
        </w:tc>
      </w:tr>
      <w:tr w:rsidR="000D2B1D" w:rsidRPr="006A5438" w14:paraId="06E2BFFB" w14:textId="77777777" w:rsidTr="002B5E31">
        <w:tc>
          <w:tcPr>
            <w:tcW w:w="2444" w:type="dxa"/>
            <w:gridSpan w:val="2"/>
            <w:vMerge/>
            <w:shd w:val="clear" w:color="auto" w:fill="auto"/>
            <w:vAlign w:val="center"/>
          </w:tcPr>
          <w:p w14:paraId="46044773" w14:textId="77777777" w:rsidR="000D2B1D" w:rsidRPr="006A5438" w:rsidRDefault="000D2B1D" w:rsidP="002B5E31">
            <w:pPr>
              <w:pStyle w:val="CETBodytext"/>
              <w:rPr>
                <w:lang w:val="en-GB"/>
              </w:rPr>
            </w:pPr>
          </w:p>
        </w:tc>
        <w:tc>
          <w:tcPr>
            <w:tcW w:w="567" w:type="dxa"/>
          </w:tcPr>
          <w:p w14:paraId="05D45FC0" w14:textId="7E847920" w:rsidR="000D2B1D" w:rsidRPr="006A5438" w:rsidRDefault="000D2B1D" w:rsidP="002B5E31">
            <w:pPr>
              <w:pStyle w:val="CETBodytext"/>
              <w:rPr>
                <w:lang w:val="en-GB"/>
              </w:rPr>
            </w:pPr>
            <w:r w:rsidRPr="006A5438">
              <w:rPr>
                <w:lang w:val="en-GB"/>
              </w:rPr>
              <w:t>T3</w:t>
            </w:r>
          </w:p>
        </w:tc>
        <w:tc>
          <w:tcPr>
            <w:tcW w:w="3969" w:type="dxa"/>
            <w:shd w:val="clear" w:color="auto" w:fill="auto"/>
            <w:vAlign w:val="center"/>
          </w:tcPr>
          <w:p w14:paraId="2D35E018" w14:textId="1BFAF6A2" w:rsidR="000D2B1D" w:rsidRPr="006A5438" w:rsidRDefault="000D2B1D" w:rsidP="002B5E31">
            <w:pPr>
              <w:pStyle w:val="CETBodytext"/>
              <w:rPr>
                <w:lang w:val="en-GB"/>
              </w:rPr>
            </w:pPr>
            <w:r w:rsidRPr="006A5438">
              <w:rPr>
                <w:lang w:val="en-GB"/>
              </w:rPr>
              <w:t>Application of dispersants from an aircraft</w:t>
            </w:r>
          </w:p>
        </w:tc>
      </w:tr>
      <w:tr w:rsidR="000D2B1D" w:rsidRPr="006A5438" w14:paraId="3B0A5E1C" w14:textId="77777777" w:rsidTr="002B5E31">
        <w:tc>
          <w:tcPr>
            <w:tcW w:w="2444" w:type="dxa"/>
            <w:gridSpan w:val="2"/>
            <w:shd w:val="clear" w:color="auto" w:fill="auto"/>
            <w:vAlign w:val="center"/>
          </w:tcPr>
          <w:p w14:paraId="43EBA9B2" w14:textId="77777777" w:rsidR="000D2B1D" w:rsidRPr="006A5438" w:rsidRDefault="000D2B1D" w:rsidP="002B5E31">
            <w:pPr>
              <w:pStyle w:val="CETBodytext"/>
              <w:rPr>
                <w:lang w:val="en-GB"/>
              </w:rPr>
            </w:pPr>
            <w:r w:rsidRPr="006A5438">
              <w:rPr>
                <w:lang w:val="en-GB"/>
              </w:rPr>
              <w:t>In-situ burning</w:t>
            </w:r>
          </w:p>
        </w:tc>
        <w:tc>
          <w:tcPr>
            <w:tcW w:w="567" w:type="dxa"/>
          </w:tcPr>
          <w:p w14:paraId="5EAADE00" w14:textId="7DEF8FCD" w:rsidR="000D2B1D" w:rsidRPr="006A5438" w:rsidRDefault="000D2B1D" w:rsidP="002B5E31">
            <w:pPr>
              <w:pStyle w:val="CETBodytext"/>
              <w:rPr>
                <w:lang w:val="en-GB"/>
              </w:rPr>
            </w:pPr>
            <w:r w:rsidRPr="006A5438">
              <w:rPr>
                <w:lang w:val="en-GB"/>
              </w:rPr>
              <w:t>T4</w:t>
            </w:r>
          </w:p>
        </w:tc>
        <w:tc>
          <w:tcPr>
            <w:tcW w:w="3969" w:type="dxa"/>
            <w:shd w:val="clear" w:color="auto" w:fill="auto"/>
            <w:vAlign w:val="center"/>
          </w:tcPr>
          <w:p w14:paraId="42D9DD44" w14:textId="3F69F362" w:rsidR="000D2B1D" w:rsidRPr="006A5438" w:rsidRDefault="000D2B1D" w:rsidP="002B5E31">
            <w:pPr>
              <w:pStyle w:val="CETBodytext"/>
              <w:rPr>
                <w:lang w:val="en-GB"/>
              </w:rPr>
            </w:pPr>
            <w:r w:rsidRPr="006A5438">
              <w:rPr>
                <w:lang w:val="en-GB"/>
              </w:rPr>
              <w:t>Vessels with booming and ignition system</w:t>
            </w:r>
          </w:p>
        </w:tc>
      </w:tr>
    </w:tbl>
    <w:p w14:paraId="2170C293" w14:textId="77777777" w:rsidR="002B5E31" w:rsidRDefault="002B5E31" w:rsidP="002B5E31"/>
    <w:p w14:paraId="116D1543" w14:textId="21B2E448" w:rsidR="00FE3B96" w:rsidRPr="006A5438" w:rsidRDefault="00DE54D8" w:rsidP="002B5E31">
      <w:r w:rsidRPr="006A5438">
        <w:t xml:space="preserve">Each tactic requires the combination of different components. </w:t>
      </w:r>
      <w:r w:rsidR="004F264F" w:rsidRPr="006A5438">
        <w:t xml:space="preserve">Rather obviously, the environmental factors </w:t>
      </w:r>
      <w:r w:rsidRPr="006A5438">
        <w:t>affect the</w:t>
      </w:r>
      <w:r w:rsidR="004F264F" w:rsidRPr="006A5438">
        <w:t xml:space="preserve"> performance of the components of the response equipment</w:t>
      </w:r>
      <w:r w:rsidRPr="006A5438">
        <w:t xml:space="preserve"> adopted within each tactic</w:t>
      </w:r>
      <w:r w:rsidR="004F264F" w:rsidRPr="006A5438">
        <w:t xml:space="preserve">. </w:t>
      </w:r>
      <w:r w:rsidRPr="006A5438">
        <w:t>Thus</w:t>
      </w:r>
      <w:r w:rsidR="004F264F" w:rsidRPr="006A5438">
        <w:t>, the definition of the set of the environmental factors influencing the</w:t>
      </w:r>
      <w:r w:rsidR="00FE3B96" w:rsidRPr="006A5438">
        <w:t xml:space="preserve"> response, as well as</w:t>
      </w:r>
      <w:r w:rsidR="007E7EB2">
        <w:t xml:space="preserve"> of</w:t>
      </w:r>
      <w:r w:rsidR="00FE3B96" w:rsidRPr="006A5438">
        <w:t xml:space="preserve"> the threshold</w:t>
      </w:r>
      <w:r w:rsidR="00B9238C" w:rsidRPr="006A5438">
        <w:t xml:space="preserve"> values for each of them,</w:t>
      </w:r>
      <w:r w:rsidR="00FE3B96" w:rsidRPr="006A5438">
        <w:t xml:space="preserve"> </w:t>
      </w:r>
      <w:r w:rsidR="004F264F" w:rsidRPr="006A5438">
        <w:t>has necessarily</w:t>
      </w:r>
      <w:r w:rsidRPr="006A5438">
        <w:t xml:space="preserve"> </w:t>
      </w:r>
      <w:r w:rsidR="00FE3B96" w:rsidRPr="006A5438">
        <w:t>to consider the single tactics.</w:t>
      </w:r>
    </w:p>
    <w:p w14:paraId="059E1EBB" w14:textId="44135480" w:rsidR="00FE3B96" w:rsidRPr="006A5438" w:rsidRDefault="00FE3B96" w:rsidP="002B5E31">
      <w:pPr>
        <w:rPr>
          <w:rFonts w:eastAsiaTheme="minorHAnsi"/>
        </w:rPr>
      </w:pPr>
      <w:r w:rsidRPr="006A5438">
        <w:t xml:space="preserve">An accurate analysis of the threshold values reported in the technical literature was performed, considering the </w:t>
      </w:r>
      <w:r w:rsidR="00585A4B" w:rsidRPr="006A5438">
        <w:t>studies p</w:t>
      </w:r>
      <w:r w:rsidRPr="006A5438">
        <w:t xml:space="preserve">resenting an RGA method and the main bibliographical sources concerning operational limits cited by them. </w:t>
      </w:r>
      <w:r w:rsidRPr="006A5438">
        <w:rPr>
          <w:rFonts w:eastAsiaTheme="minorHAnsi"/>
        </w:rPr>
        <w:t>Generally, the</w:t>
      </w:r>
      <w:r w:rsidR="00585A4B" w:rsidRPr="006A5438">
        <w:rPr>
          <w:rFonts w:eastAsiaTheme="minorHAnsi"/>
        </w:rPr>
        <w:t>se</w:t>
      </w:r>
      <w:r w:rsidRPr="006A5438">
        <w:rPr>
          <w:rFonts w:eastAsiaTheme="minorHAnsi"/>
        </w:rPr>
        <w:t xml:space="preserve"> values reflect literature review, considerations extracted from oil spill contingency plans, restrictions imposed by regulatory standards, guidelines developed by industry and government agencies, best professional judgement of experts and academics, and, ultimately, the authors’ opinion. Hardly ever limits refer t</w:t>
      </w:r>
      <w:r w:rsidR="00585A4B" w:rsidRPr="006A5438">
        <w:rPr>
          <w:rFonts w:eastAsiaTheme="minorHAnsi"/>
        </w:rPr>
        <w:t>o specific commercial equipment or derive from experimental activities. Again,</w:t>
      </w:r>
      <w:r w:rsidR="00585A4B" w:rsidRPr="006A5438">
        <w:t xml:space="preserve"> </w:t>
      </w:r>
      <w:r w:rsidR="00097C16" w:rsidRPr="006A5438">
        <w:t xml:space="preserve">it was possible to acknowledge </w:t>
      </w:r>
      <w:r w:rsidR="00585A4B" w:rsidRPr="006A5438">
        <w:t>lack of completeness</w:t>
      </w:r>
      <w:r w:rsidR="00097C16" w:rsidRPr="006A5438">
        <w:t xml:space="preserve"> and poor homogeneity</w:t>
      </w:r>
      <w:r w:rsidR="00097C16" w:rsidRPr="006A5438">
        <w:rPr>
          <w:rFonts w:eastAsiaTheme="minorHAnsi"/>
        </w:rPr>
        <w:t xml:space="preserve"> in the </w:t>
      </w:r>
      <w:r w:rsidR="004E295D">
        <w:rPr>
          <w:rFonts w:eastAsiaTheme="minorHAnsi"/>
        </w:rPr>
        <w:t>limit values</w:t>
      </w:r>
      <w:r w:rsidR="00097C16" w:rsidRPr="006A5438">
        <w:rPr>
          <w:rFonts w:eastAsiaTheme="minorHAnsi"/>
        </w:rPr>
        <w:t xml:space="preserve"> adopted for the factors within each tactic</w:t>
      </w:r>
      <w:r w:rsidR="00585A4B" w:rsidRPr="006A5438">
        <w:t>.</w:t>
      </w:r>
      <w:r w:rsidR="00585A4B" w:rsidRPr="006A5438">
        <w:rPr>
          <w:rFonts w:eastAsiaTheme="minorHAnsi"/>
        </w:rPr>
        <w:t xml:space="preserve"> </w:t>
      </w:r>
      <w:r w:rsidR="00585A4B" w:rsidRPr="006A5438">
        <w:t>Generally</w:t>
      </w:r>
      <w:r w:rsidRPr="006A5438">
        <w:t>, thresholds are organized into three categories, corresponding to conditions which are favourable, or marginal, or not favourable fo</w:t>
      </w:r>
      <w:r w:rsidR="004E295D">
        <w:t>r the deployment of the tactic</w:t>
      </w:r>
      <w:r w:rsidRPr="006A5438">
        <w:t>. For daylight / darkness, and here and there also for some other environmental factors, only two categories are defined: favourable and marginal, if the factor never makes the response ineffe</w:t>
      </w:r>
      <w:r w:rsidR="007F19D4" w:rsidRPr="006A5438">
        <w:t>ctive, or favourable and not</w:t>
      </w:r>
      <w:r w:rsidRPr="006A5438">
        <w:t xml:space="preserve"> favourable, if the available limits are so sca</w:t>
      </w:r>
      <w:r w:rsidR="004E295D">
        <w:t xml:space="preserve">rce that is difficult </w:t>
      </w:r>
      <w:r w:rsidRPr="006A5438">
        <w:t>to define the intermediate marginal class.</w:t>
      </w:r>
    </w:p>
    <w:p w14:paraId="19BF5D15" w14:textId="6E71A6B9" w:rsidR="00097C16" w:rsidRPr="006A5438" w:rsidRDefault="00097C16" w:rsidP="002B5E31">
      <w:r w:rsidRPr="006A5438">
        <w:rPr>
          <w:rFonts w:eastAsiaTheme="minorHAnsi"/>
        </w:rPr>
        <w:t>Thus</w:t>
      </w:r>
      <w:r w:rsidR="004E295D">
        <w:rPr>
          <w:rFonts w:eastAsiaTheme="minorHAnsi"/>
        </w:rPr>
        <w:t>,</w:t>
      </w:r>
      <w:r w:rsidRPr="006A5438">
        <w:t xml:space="preserve"> </w:t>
      </w:r>
      <w:r w:rsidR="004E295D">
        <w:t>basing</w:t>
      </w:r>
      <w:r w:rsidR="004E295D" w:rsidRPr="006A5438">
        <w:t xml:space="preserve"> on values documented by </w:t>
      </w:r>
      <w:r w:rsidR="004E295D">
        <w:t>authoritative</w:t>
      </w:r>
      <w:r w:rsidR="004E295D" w:rsidRPr="006A5438">
        <w:t xml:space="preserve"> refer</w:t>
      </w:r>
      <w:r w:rsidR="004E295D">
        <w:t>ences and already adopted in</w:t>
      </w:r>
      <w:r w:rsidR="004E295D" w:rsidRPr="006A5438">
        <w:t xml:space="preserve"> RGA studies</w:t>
      </w:r>
      <w:r w:rsidR="004E295D">
        <w:t>, typical</w:t>
      </w:r>
      <w:r w:rsidRPr="006A5438">
        <w:t xml:space="preserve"> threshold value</w:t>
      </w:r>
      <w:r w:rsidR="004E295D">
        <w:t>s of the environmental factors we</w:t>
      </w:r>
      <w:r w:rsidRPr="006A5438">
        <w:t>re proposed for mechanical recovery, application of dispersants</w:t>
      </w:r>
      <w:r w:rsidR="004E295D">
        <w:t>,</w:t>
      </w:r>
      <w:r w:rsidRPr="006A5438">
        <w:t xml:space="preserve"> and in-situ burning, assuming that each strategy is mounted b</w:t>
      </w:r>
      <w:r w:rsidR="004E295D">
        <w:t>y means of the baseline tactics</w:t>
      </w:r>
      <w:r w:rsidRPr="006A5438">
        <w:t xml:space="preserve">. As an example, the set of values proposed for </w:t>
      </w:r>
      <w:r w:rsidR="000D2B1D" w:rsidRPr="006A5438">
        <w:t>t</w:t>
      </w:r>
      <w:r w:rsidR="007F19D4" w:rsidRPr="006A5438">
        <w:t xml:space="preserve">actic </w:t>
      </w:r>
      <w:r w:rsidR="000D2B1D" w:rsidRPr="006A5438">
        <w:t>T1</w:t>
      </w:r>
      <w:r w:rsidR="007F19D4" w:rsidRPr="006A5438">
        <w:t xml:space="preserve"> is reported in Table 3</w:t>
      </w:r>
      <w:r w:rsidRPr="006A5438">
        <w:t>.</w:t>
      </w:r>
    </w:p>
    <w:p w14:paraId="18B40BA7" w14:textId="24CD3B19" w:rsidR="00B4010C" w:rsidRPr="006A5438" w:rsidRDefault="00B4010C" w:rsidP="002B5E31">
      <w:pPr>
        <w:pStyle w:val="CETTabletitle"/>
        <w:spacing w:line="264" w:lineRule="auto"/>
      </w:pPr>
      <w:bookmarkStart w:id="5" w:name="_Ref21080346"/>
      <w:bookmarkStart w:id="6" w:name="_Toc26199929"/>
      <w:r w:rsidRPr="006A5438">
        <w:t xml:space="preserve">Table </w:t>
      </w:r>
      <w:bookmarkEnd w:id="5"/>
      <w:r w:rsidR="007F19D4" w:rsidRPr="006A5438">
        <w:t>3</w:t>
      </w:r>
      <w:r w:rsidR="00102175" w:rsidRPr="006A5438">
        <w:t>:</w:t>
      </w:r>
      <w:r w:rsidRPr="006A5438">
        <w:t xml:space="preserve"> </w:t>
      </w:r>
      <w:r w:rsidR="000D2B1D" w:rsidRPr="006A5438">
        <w:t>Tactic T1: t</w:t>
      </w:r>
      <w:r w:rsidR="00102175" w:rsidRPr="006A5438">
        <w:t>ypical</w:t>
      </w:r>
      <w:r w:rsidRPr="006A5438">
        <w:t xml:space="preserve"> threshold values for the environmental factors</w:t>
      </w:r>
      <w:bookmarkEnd w:id="6"/>
    </w:p>
    <w:tbl>
      <w:tblPr>
        <w:tblStyle w:val="Grigliatabella"/>
        <w:tblW w:w="8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1978"/>
      </w:tblGrid>
      <w:tr w:rsidR="00B4010C" w:rsidRPr="006A5438" w14:paraId="0B22F294" w14:textId="77777777" w:rsidTr="00102175">
        <w:trPr>
          <w:jc w:val="center"/>
        </w:trPr>
        <w:tc>
          <w:tcPr>
            <w:tcW w:w="2268" w:type="dxa"/>
            <w:vMerge w:val="restart"/>
            <w:tcBorders>
              <w:top w:val="single" w:sz="12" w:space="0" w:color="008000"/>
            </w:tcBorders>
            <w:shd w:val="clear" w:color="auto" w:fill="auto"/>
            <w:vAlign w:val="center"/>
          </w:tcPr>
          <w:p w14:paraId="4D27798F" w14:textId="26FF48D0" w:rsidR="00B4010C" w:rsidRPr="006A5438" w:rsidRDefault="00102175" w:rsidP="002B5E31">
            <w:pPr>
              <w:pStyle w:val="CETBodytext"/>
              <w:rPr>
                <w:lang w:val="en-GB"/>
              </w:rPr>
            </w:pPr>
            <w:r w:rsidRPr="006A5438">
              <w:rPr>
                <w:lang w:val="en-GB"/>
              </w:rPr>
              <w:t>Environmental factors</w:t>
            </w:r>
          </w:p>
        </w:tc>
        <w:tc>
          <w:tcPr>
            <w:tcW w:w="6514" w:type="dxa"/>
            <w:gridSpan w:val="3"/>
            <w:tcBorders>
              <w:top w:val="single" w:sz="12" w:space="0" w:color="008000"/>
            </w:tcBorders>
            <w:shd w:val="clear" w:color="auto" w:fill="auto"/>
            <w:vAlign w:val="center"/>
          </w:tcPr>
          <w:p w14:paraId="7E6F33CB" w14:textId="77777777" w:rsidR="00B4010C" w:rsidRPr="006A5438" w:rsidRDefault="00B4010C" w:rsidP="002B5E31">
            <w:pPr>
              <w:pStyle w:val="CETBodytext"/>
              <w:jc w:val="center"/>
              <w:rPr>
                <w:lang w:val="en-GB"/>
              </w:rPr>
            </w:pPr>
            <w:r w:rsidRPr="006A5438">
              <w:rPr>
                <w:lang w:val="en-GB"/>
              </w:rPr>
              <w:t>Conditions</w:t>
            </w:r>
          </w:p>
        </w:tc>
      </w:tr>
      <w:tr w:rsidR="00B4010C" w:rsidRPr="006A5438" w14:paraId="4E8DB42D" w14:textId="77777777" w:rsidTr="00102175">
        <w:trPr>
          <w:trHeight w:val="255"/>
          <w:jc w:val="center"/>
        </w:trPr>
        <w:tc>
          <w:tcPr>
            <w:tcW w:w="2268" w:type="dxa"/>
            <w:vMerge/>
            <w:tcBorders>
              <w:bottom w:val="single" w:sz="2" w:space="0" w:color="008000"/>
            </w:tcBorders>
            <w:shd w:val="clear" w:color="auto" w:fill="D9D9D9" w:themeFill="background1" w:themeFillShade="D9"/>
            <w:vAlign w:val="center"/>
          </w:tcPr>
          <w:p w14:paraId="56C0C6BF" w14:textId="77777777" w:rsidR="00B4010C" w:rsidRPr="006A5438" w:rsidRDefault="00B4010C" w:rsidP="002B5E31">
            <w:pPr>
              <w:pStyle w:val="CETBodytext"/>
              <w:rPr>
                <w:lang w:val="en-GB"/>
              </w:rPr>
            </w:pPr>
          </w:p>
        </w:tc>
        <w:tc>
          <w:tcPr>
            <w:tcW w:w="2268" w:type="dxa"/>
            <w:tcBorders>
              <w:bottom w:val="single" w:sz="2" w:space="0" w:color="008000"/>
            </w:tcBorders>
            <w:shd w:val="clear" w:color="auto" w:fill="92D050"/>
            <w:vAlign w:val="center"/>
          </w:tcPr>
          <w:p w14:paraId="3C9562F5" w14:textId="77777777" w:rsidR="00B4010C" w:rsidRPr="006A5438" w:rsidRDefault="00B4010C" w:rsidP="002B5E31">
            <w:pPr>
              <w:pStyle w:val="CETBodytext"/>
              <w:jc w:val="center"/>
              <w:rPr>
                <w:lang w:val="en-GB"/>
              </w:rPr>
            </w:pPr>
            <w:r w:rsidRPr="006A5438">
              <w:rPr>
                <w:lang w:val="en-GB"/>
              </w:rPr>
              <w:t>Favourable</w:t>
            </w:r>
          </w:p>
        </w:tc>
        <w:tc>
          <w:tcPr>
            <w:tcW w:w="2268" w:type="dxa"/>
            <w:tcBorders>
              <w:bottom w:val="single" w:sz="2" w:space="0" w:color="008000"/>
            </w:tcBorders>
            <w:shd w:val="clear" w:color="auto" w:fill="FFFF00"/>
            <w:vAlign w:val="center"/>
          </w:tcPr>
          <w:p w14:paraId="4A02151D" w14:textId="77777777" w:rsidR="00B4010C" w:rsidRPr="006A5438" w:rsidRDefault="00B4010C" w:rsidP="002B5E31">
            <w:pPr>
              <w:pStyle w:val="CETBodytext"/>
              <w:jc w:val="center"/>
              <w:rPr>
                <w:lang w:val="en-GB"/>
              </w:rPr>
            </w:pPr>
            <w:r w:rsidRPr="006A5438">
              <w:rPr>
                <w:lang w:val="en-GB"/>
              </w:rPr>
              <w:t>Marginal</w:t>
            </w:r>
          </w:p>
        </w:tc>
        <w:tc>
          <w:tcPr>
            <w:tcW w:w="1978" w:type="dxa"/>
            <w:tcBorders>
              <w:bottom w:val="single" w:sz="2" w:space="0" w:color="008000"/>
            </w:tcBorders>
            <w:shd w:val="clear" w:color="auto" w:fill="FF0000"/>
            <w:vAlign w:val="center"/>
          </w:tcPr>
          <w:p w14:paraId="4CF0D7A5" w14:textId="77777777" w:rsidR="00B4010C" w:rsidRPr="006A5438" w:rsidRDefault="00B4010C" w:rsidP="002B5E31">
            <w:pPr>
              <w:pStyle w:val="CETBodytext"/>
              <w:jc w:val="center"/>
              <w:rPr>
                <w:lang w:val="en-GB"/>
              </w:rPr>
            </w:pPr>
            <w:r w:rsidRPr="006A5438">
              <w:rPr>
                <w:lang w:val="en-GB"/>
              </w:rPr>
              <w:t>Unfavourable</w:t>
            </w:r>
          </w:p>
        </w:tc>
      </w:tr>
      <w:tr w:rsidR="00B4010C" w:rsidRPr="006A5438" w14:paraId="661DC5EE" w14:textId="77777777" w:rsidTr="00102175">
        <w:trPr>
          <w:jc w:val="center"/>
        </w:trPr>
        <w:tc>
          <w:tcPr>
            <w:tcW w:w="2268" w:type="dxa"/>
            <w:tcBorders>
              <w:top w:val="single" w:sz="2" w:space="0" w:color="008000"/>
            </w:tcBorders>
            <w:vAlign w:val="center"/>
          </w:tcPr>
          <w:p w14:paraId="70223808" w14:textId="77777777" w:rsidR="00B4010C" w:rsidRPr="006A5438" w:rsidRDefault="00B4010C" w:rsidP="002B5E31">
            <w:pPr>
              <w:pStyle w:val="CETBodytext"/>
              <w:rPr>
                <w:lang w:val="en-GB"/>
              </w:rPr>
            </w:pPr>
            <w:r w:rsidRPr="006A5438">
              <w:rPr>
                <w:lang w:val="en-GB"/>
              </w:rPr>
              <w:t>Wind speed</w:t>
            </w:r>
          </w:p>
        </w:tc>
        <w:tc>
          <w:tcPr>
            <w:tcW w:w="2268" w:type="dxa"/>
            <w:tcBorders>
              <w:top w:val="single" w:sz="2" w:space="0" w:color="008000"/>
            </w:tcBorders>
            <w:vAlign w:val="center"/>
          </w:tcPr>
          <w:p w14:paraId="1D8F0A8D" w14:textId="1ED794D9" w:rsidR="00B4010C" w:rsidRPr="006A5438" w:rsidRDefault="00102175" w:rsidP="002B5E31">
            <w:pPr>
              <w:pStyle w:val="CETBodytext"/>
              <w:jc w:val="center"/>
              <w:rPr>
                <w:lang w:val="en-GB"/>
              </w:rPr>
            </w:pPr>
            <w:r w:rsidRPr="006A5438">
              <w:rPr>
                <w:lang w:val="en-GB"/>
              </w:rPr>
              <w:t>&lt; 10 m/s</w:t>
            </w:r>
          </w:p>
        </w:tc>
        <w:tc>
          <w:tcPr>
            <w:tcW w:w="2268" w:type="dxa"/>
            <w:tcBorders>
              <w:top w:val="single" w:sz="2" w:space="0" w:color="008000"/>
            </w:tcBorders>
            <w:vAlign w:val="center"/>
          </w:tcPr>
          <w:p w14:paraId="416C84C5" w14:textId="739DA29F" w:rsidR="00B4010C" w:rsidRPr="006A5438" w:rsidRDefault="00102175" w:rsidP="002B5E31">
            <w:pPr>
              <w:pStyle w:val="CETBodytext"/>
              <w:jc w:val="center"/>
              <w:rPr>
                <w:lang w:val="en-GB"/>
              </w:rPr>
            </w:pPr>
            <w:r w:rsidRPr="006A5438">
              <w:rPr>
                <w:lang w:val="en-GB"/>
              </w:rPr>
              <w:t>10 m/s ÷ 15 m/s</w:t>
            </w:r>
          </w:p>
        </w:tc>
        <w:tc>
          <w:tcPr>
            <w:tcW w:w="1978" w:type="dxa"/>
            <w:tcBorders>
              <w:top w:val="single" w:sz="2" w:space="0" w:color="008000"/>
            </w:tcBorders>
            <w:vAlign w:val="center"/>
          </w:tcPr>
          <w:p w14:paraId="399361DA" w14:textId="25BD6E1C" w:rsidR="00B4010C" w:rsidRPr="006A5438" w:rsidRDefault="00102175" w:rsidP="002B5E31">
            <w:pPr>
              <w:pStyle w:val="CETBodytext"/>
              <w:jc w:val="center"/>
              <w:rPr>
                <w:lang w:val="en-GB"/>
              </w:rPr>
            </w:pPr>
            <w:r w:rsidRPr="006A5438">
              <w:rPr>
                <w:lang w:val="en-GB"/>
              </w:rPr>
              <w:t>&gt; 15 m/s</w:t>
            </w:r>
          </w:p>
        </w:tc>
      </w:tr>
      <w:tr w:rsidR="00B4010C" w:rsidRPr="006A5438" w14:paraId="633C9432" w14:textId="77777777" w:rsidTr="00102175">
        <w:trPr>
          <w:jc w:val="center"/>
        </w:trPr>
        <w:tc>
          <w:tcPr>
            <w:tcW w:w="2268" w:type="dxa"/>
            <w:vAlign w:val="center"/>
          </w:tcPr>
          <w:p w14:paraId="53770D41" w14:textId="77777777" w:rsidR="00B4010C" w:rsidRPr="006A5438" w:rsidRDefault="00B4010C" w:rsidP="002B5E31">
            <w:pPr>
              <w:pStyle w:val="CETBodytext"/>
              <w:rPr>
                <w:lang w:val="en-GB"/>
              </w:rPr>
            </w:pPr>
            <w:r w:rsidRPr="006A5438">
              <w:rPr>
                <w:lang w:val="en-GB"/>
              </w:rPr>
              <w:t>Wave height</w:t>
            </w:r>
          </w:p>
        </w:tc>
        <w:tc>
          <w:tcPr>
            <w:tcW w:w="2268" w:type="dxa"/>
            <w:vAlign w:val="center"/>
          </w:tcPr>
          <w:p w14:paraId="6DFD163B" w14:textId="5537187D" w:rsidR="00B4010C" w:rsidRPr="006A5438" w:rsidRDefault="00102175" w:rsidP="002B5E31">
            <w:pPr>
              <w:pStyle w:val="CETBodytext"/>
              <w:jc w:val="center"/>
              <w:rPr>
                <w:lang w:val="en-GB"/>
              </w:rPr>
            </w:pPr>
            <w:r w:rsidRPr="006A5438">
              <w:rPr>
                <w:lang w:val="en-GB"/>
              </w:rPr>
              <w:t>&lt; 1 m</w:t>
            </w:r>
          </w:p>
        </w:tc>
        <w:tc>
          <w:tcPr>
            <w:tcW w:w="2268" w:type="dxa"/>
            <w:vAlign w:val="center"/>
          </w:tcPr>
          <w:p w14:paraId="4D46534E" w14:textId="542D12CD" w:rsidR="00B4010C" w:rsidRPr="006A5438" w:rsidRDefault="00102175" w:rsidP="002B5E31">
            <w:pPr>
              <w:pStyle w:val="CETBodytext"/>
              <w:jc w:val="center"/>
              <w:rPr>
                <w:lang w:val="en-GB"/>
              </w:rPr>
            </w:pPr>
            <w:r w:rsidRPr="006A5438">
              <w:rPr>
                <w:lang w:val="en-GB"/>
              </w:rPr>
              <w:t>1 m ÷ 2 m</w:t>
            </w:r>
          </w:p>
        </w:tc>
        <w:tc>
          <w:tcPr>
            <w:tcW w:w="1978" w:type="dxa"/>
            <w:vAlign w:val="center"/>
          </w:tcPr>
          <w:p w14:paraId="1E05E55B" w14:textId="09FDCA95" w:rsidR="00B4010C" w:rsidRPr="006A5438" w:rsidRDefault="00102175" w:rsidP="002B5E31">
            <w:pPr>
              <w:pStyle w:val="CETBodytext"/>
              <w:jc w:val="center"/>
              <w:rPr>
                <w:lang w:val="en-GB"/>
              </w:rPr>
            </w:pPr>
            <w:r w:rsidRPr="006A5438">
              <w:rPr>
                <w:lang w:val="en-GB"/>
              </w:rPr>
              <w:t>&gt; 2 m</w:t>
            </w:r>
          </w:p>
        </w:tc>
      </w:tr>
      <w:tr w:rsidR="00B4010C" w:rsidRPr="006A5438" w14:paraId="61BB6ECD" w14:textId="77777777" w:rsidTr="00102175">
        <w:trPr>
          <w:jc w:val="center"/>
        </w:trPr>
        <w:tc>
          <w:tcPr>
            <w:tcW w:w="2268" w:type="dxa"/>
            <w:vAlign w:val="center"/>
          </w:tcPr>
          <w:p w14:paraId="091E03F7" w14:textId="77777777" w:rsidR="00B4010C" w:rsidRPr="006A5438" w:rsidRDefault="00B4010C" w:rsidP="002B5E31">
            <w:pPr>
              <w:pStyle w:val="CETBodytext"/>
              <w:rPr>
                <w:lang w:val="en-GB"/>
              </w:rPr>
            </w:pPr>
            <w:r w:rsidRPr="006A5438">
              <w:rPr>
                <w:lang w:val="en-GB"/>
              </w:rPr>
              <w:t>Air temperature</w:t>
            </w:r>
          </w:p>
        </w:tc>
        <w:tc>
          <w:tcPr>
            <w:tcW w:w="2268" w:type="dxa"/>
            <w:vAlign w:val="center"/>
          </w:tcPr>
          <w:p w14:paraId="5F8ADB8B" w14:textId="77777777" w:rsidR="00B4010C" w:rsidRPr="006A5438" w:rsidRDefault="00B4010C" w:rsidP="002B5E31">
            <w:pPr>
              <w:pStyle w:val="CETBodytext"/>
              <w:jc w:val="center"/>
              <w:rPr>
                <w:lang w:val="en-GB"/>
              </w:rPr>
            </w:pPr>
            <w:r w:rsidRPr="006A5438">
              <w:rPr>
                <w:lang w:val="en-GB"/>
              </w:rPr>
              <w:t>&gt; -18 °C</w:t>
            </w:r>
          </w:p>
        </w:tc>
        <w:tc>
          <w:tcPr>
            <w:tcW w:w="2268" w:type="dxa"/>
            <w:vAlign w:val="center"/>
          </w:tcPr>
          <w:p w14:paraId="6D1541E7" w14:textId="77777777" w:rsidR="00B4010C" w:rsidRPr="006A5438" w:rsidRDefault="00B4010C" w:rsidP="002B5E31">
            <w:pPr>
              <w:pStyle w:val="CETBodytext"/>
              <w:jc w:val="center"/>
              <w:rPr>
                <w:lang w:val="en-GB"/>
              </w:rPr>
            </w:pPr>
            <w:r w:rsidRPr="006A5438">
              <w:rPr>
                <w:lang w:val="en-GB"/>
              </w:rPr>
              <w:t>not used</w:t>
            </w:r>
          </w:p>
        </w:tc>
        <w:tc>
          <w:tcPr>
            <w:tcW w:w="1978" w:type="dxa"/>
            <w:vAlign w:val="center"/>
          </w:tcPr>
          <w:p w14:paraId="638E3606" w14:textId="77777777" w:rsidR="00B4010C" w:rsidRPr="006A5438" w:rsidRDefault="00B4010C" w:rsidP="002B5E31">
            <w:pPr>
              <w:pStyle w:val="CETBodytext"/>
              <w:jc w:val="center"/>
              <w:rPr>
                <w:lang w:val="en-GB"/>
              </w:rPr>
            </w:pPr>
            <w:r w:rsidRPr="006A5438">
              <w:rPr>
                <w:lang w:val="en-GB"/>
              </w:rPr>
              <w:t>&lt; -18 °C</w:t>
            </w:r>
          </w:p>
        </w:tc>
      </w:tr>
      <w:tr w:rsidR="00B4010C" w:rsidRPr="006A5438" w14:paraId="7D90B988" w14:textId="77777777" w:rsidTr="00102175">
        <w:trPr>
          <w:jc w:val="center"/>
        </w:trPr>
        <w:tc>
          <w:tcPr>
            <w:tcW w:w="2268" w:type="dxa"/>
            <w:vAlign w:val="center"/>
          </w:tcPr>
          <w:p w14:paraId="22B2B74F" w14:textId="77777777" w:rsidR="00B4010C" w:rsidRPr="006A5438" w:rsidRDefault="00B4010C" w:rsidP="002B5E31">
            <w:pPr>
              <w:pStyle w:val="CETBodytext"/>
              <w:rPr>
                <w:lang w:val="en-GB"/>
              </w:rPr>
            </w:pPr>
            <w:r w:rsidRPr="006A5438">
              <w:rPr>
                <w:lang w:val="en-GB"/>
              </w:rPr>
              <w:t>Superstructure icing</w:t>
            </w:r>
          </w:p>
        </w:tc>
        <w:tc>
          <w:tcPr>
            <w:tcW w:w="2268" w:type="dxa"/>
            <w:vAlign w:val="center"/>
          </w:tcPr>
          <w:p w14:paraId="3D2F2731" w14:textId="77777777" w:rsidR="00B4010C" w:rsidRPr="006A5438" w:rsidRDefault="00B4010C" w:rsidP="002B5E31">
            <w:pPr>
              <w:pStyle w:val="CETBodytext"/>
              <w:jc w:val="center"/>
              <w:rPr>
                <w:lang w:val="en-GB"/>
              </w:rPr>
            </w:pPr>
            <w:r w:rsidRPr="006A5438">
              <w:rPr>
                <w:lang w:val="en-GB"/>
              </w:rPr>
              <w:t>&lt; 0.7 cm/h</w:t>
            </w:r>
          </w:p>
        </w:tc>
        <w:tc>
          <w:tcPr>
            <w:tcW w:w="2268" w:type="dxa"/>
            <w:vAlign w:val="center"/>
          </w:tcPr>
          <w:p w14:paraId="54FF664E" w14:textId="77777777" w:rsidR="00B4010C" w:rsidRPr="006A5438" w:rsidRDefault="00B4010C" w:rsidP="002B5E31">
            <w:pPr>
              <w:pStyle w:val="CETBodytext"/>
              <w:jc w:val="center"/>
              <w:rPr>
                <w:lang w:val="en-GB"/>
              </w:rPr>
            </w:pPr>
            <w:r w:rsidRPr="006A5438">
              <w:rPr>
                <w:lang w:val="en-GB"/>
              </w:rPr>
              <w:t>0.7 cm/h ÷ 2 cm/h</w:t>
            </w:r>
          </w:p>
        </w:tc>
        <w:tc>
          <w:tcPr>
            <w:tcW w:w="1978" w:type="dxa"/>
            <w:vAlign w:val="center"/>
          </w:tcPr>
          <w:p w14:paraId="6504A091" w14:textId="77777777" w:rsidR="00B4010C" w:rsidRPr="006A5438" w:rsidRDefault="00B4010C" w:rsidP="002B5E31">
            <w:pPr>
              <w:pStyle w:val="CETBodytext"/>
              <w:jc w:val="center"/>
              <w:rPr>
                <w:lang w:val="en-GB"/>
              </w:rPr>
            </w:pPr>
            <w:r w:rsidRPr="006A5438">
              <w:rPr>
                <w:lang w:val="en-GB"/>
              </w:rPr>
              <w:t>&gt; 2 cm/h</w:t>
            </w:r>
          </w:p>
        </w:tc>
      </w:tr>
      <w:tr w:rsidR="00B4010C" w:rsidRPr="006A5438" w14:paraId="37430ADB" w14:textId="77777777" w:rsidTr="00102175">
        <w:trPr>
          <w:jc w:val="center"/>
        </w:trPr>
        <w:tc>
          <w:tcPr>
            <w:tcW w:w="2268" w:type="dxa"/>
            <w:vAlign w:val="center"/>
          </w:tcPr>
          <w:p w14:paraId="60A17343" w14:textId="77777777" w:rsidR="00B4010C" w:rsidRPr="006A5438" w:rsidRDefault="00B4010C" w:rsidP="002B5E31">
            <w:pPr>
              <w:pStyle w:val="CETBodytext"/>
              <w:rPr>
                <w:lang w:val="en-GB"/>
              </w:rPr>
            </w:pPr>
            <w:r w:rsidRPr="006A5438">
              <w:rPr>
                <w:lang w:val="en-GB"/>
              </w:rPr>
              <w:t>Wind chill</w:t>
            </w:r>
          </w:p>
        </w:tc>
        <w:tc>
          <w:tcPr>
            <w:tcW w:w="2268" w:type="dxa"/>
            <w:vAlign w:val="center"/>
          </w:tcPr>
          <w:p w14:paraId="2CCFBFA3" w14:textId="77777777" w:rsidR="00B4010C" w:rsidRPr="006A5438" w:rsidRDefault="00B4010C" w:rsidP="002B5E31">
            <w:pPr>
              <w:pStyle w:val="CETBodytext"/>
              <w:jc w:val="center"/>
              <w:rPr>
                <w:lang w:val="en-GB"/>
              </w:rPr>
            </w:pPr>
            <w:r w:rsidRPr="006A5438">
              <w:rPr>
                <w:lang w:val="en-GB"/>
              </w:rPr>
              <w:t>&gt; -31.7 °C</w:t>
            </w:r>
          </w:p>
        </w:tc>
        <w:tc>
          <w:tcPr>
            <w:tcW w:w="2268" w:type="dxa"/>
            <w:vAlign w:val="center"/>
          </w:tcPr>
          <w:p w14:paraId="38F79214" w14:textId="77777777" w:rsidR="00B4010C" w:rsidRPr="006A5438" w:rsidRDefault="00B4010C" w:rsidP="002B5E31">
            <w:pPr>
              <w:pStyle w:val="CETBodytext"/>
              <w:jc w:val="center"/>
              <w:rPr>
                <w:lang w:val="en-GB"/>
              </w:rPr>
            </w:pPr>
            <w:r w:rsidRPr="006A5438">
              <w:rPr>
                <w:lang w:val="en-GB"/>
              </w:rPr>
              <w:t>-37.2 °C ÷ -31.7 °C</w:t>
            </w:r>
          </w:p>
        </w:tc>
        <w:tc>
          <w:tcPr>
            <w:tcW w:w="1978" w:type="dxa"/>
            <w:vAlign w:val="center"/>
          </w:tcPr>
          <w:p w14:paraId="0CABD625" w14:textId="77777777" w:rsidR="00B4010C" w:rsidRPr="006A5438" w:rsidRDefault="00B4010C" w:rsidP="002B5E31">
            <w:pPr>
              <w:pStyle w:val="CETBodytext"/>
              <w:jc w:val="center"/>
              <w:rPr>
                <w:lang w:val="en-GB"/>
              </w:rPr>
            </w:pPr>
            <w:r w:rsidRPr="006A5438">
              <w:rPr>
                <w:lang w:val="en-GB"/>
              </w:rPr>
              <w:t>&lt; -37.2 °C</w:t>
            </w:r>
          </w:p>
        </w:tc>
      </w:tr>
      <w:tr w:rsidR="00B4010C" w:rsidRPr="006A5438" w14:paraId="160747ED" w14:textId="77777777" w:rsidTr="00102175">
        <w:trPr>
          <w:jc w:val="center"/>
        </w:trPr>
        <w:tc>
          <w:tcPr>
            <w:tcW w:w="2268" w:type="dxa"/>
            <w:vAlign w:val="center"/>
          </w:tcPr>
          <w:p w14:paraId="17A4900D" w14:textId="77777777" w:rsidR="00B4010C" w:rsidRPr="006A5438" w:rsidRDefault="00B4010C" w:rsidP="002B5E31">
            <w:pPr>
              <w:pStyle w:val="CETBodytext"/>
              <w:rPr>
                <w:lang w:val="en-GB"/>
              </w:rPr>
            </w:pPr>
            <w:r w:rsidRPr="006A5438">
              <w:rPr>
                <w:lang w:val="en-GB"/>
              </w:rPr>
              <w:t>Daylight / darkness</w:t>
            </w:r>
          </w:p>
        </w:tc>
        <w:tc>
          <w:tcPr>
            <w:tcW w:w="2268" w:type="dxa"/>
            <w:vAlign w:val="center"/>
          </w:tcPr>
          <w:p w14:paraId="1F3709E8" w14:textId="4C36F8B8" w:rsidR="00B4010C" w:rsidRPr="006A5438" w:rsidRDefault="004D72DA" w:rsidP="002B5E31">
            <w:pPr>
              <w:pStyle w:val="CETBodytext"/>
              <w:jc w:val="center"/>
              <w:rPr>
                <w:lang w:val="en-GB"/>
              </w:rPr>
            </w:pPr>
            <w:r>
              <w:rPr>
                <w:lang w:val="en-GB"/>
              </w:rPr>
              <w:t>d</w:t>
            </w:r>
            <w:r w:rsidR="00B4010C" w:rsidRPr="006A5438">
              <w:rPr>
                <w:lang w:val="en-GB"/>
              </w:rPr>
              <w:t>aylight</w:t>
            </w:r>
          </w:p>
        </w:tc>
        <w:tc>
          <w:tcPr>
            <w:tcW w:w="2268" w:type="dxa"/>
            <w:vAlign w:val="center"/>
          </w:tcPr>
          <w:p w14:paraId="1D83D230" w14:textId="0FCA1F52" w:rsidR="00B4010C" w:rsidRPr="006A5438" w:rsidRDefault="004D72DA" w:rsidP="002B5E31">
            <w:pPr>
              <w:pStyle w:val="CETBodytext"/>
              <w:jc w:val="center"/>
              <w:rPr>
                <w:lang w:val="en-GB"/>
              </w:rPr>
            </w:pPr>
            <w:r>
              <w:rPr>
                <w:lang w:val="en-GB"/>
              </w:rPr>
              <w:t>d</w:t>
            </w:r>
            <w:r w:rsidR="00B4010C" w:rsidRPr="006A5438">
              <w:rPr>
                <w:lang w:val="en-GB"/>
              </w:rPr>
              <w:t>arkness</w:t>
            </w:r>
          </w:p>
        </w:tc>
        <w:tc>
          <w:tcPr>
            <w:tcW w:w="1978" w:type="dxa"/>
            <w:vAlign w:val="center"/>
          </w:tcPr>
          <w:p w14:paraId="65234B29" w14:textId="77777777" w:rsidR="00B4010C" w:rsidRPr="006A5438" w:rsidRDefault="00B4010C" w:rsidP="002B5E31">
            <w:pPr>
              <w:pStyle w:val="CETBodytext"/>
              <w:jc w:val="center"/>
              <w:rPr>
                <w:lang w:val="en-GB"/>
              </w:rPr>
            </w:pPr>
            <w:r w:rsidRPr="006A5438">
              <w:rPr>
                <w:lang w:val="en-GB"/>
              </w:rPr>
              <w:t>not used</w:t>
            </w:r>
          </w:p>
        </w:tc>
      </w:tr>
      <w:tr w:rsidR="00B4010C" w:rsidRPr="006A5438" w14:paraId="7A62E49C" w14:textId="77777777" w:rsidTr="00102175">
        <w:trPr>
          <w:jc w:val="center"/>
        </w:trPr>
        <w:tc>
          <w:tcPr>
            <w:tcW w:w="2268" w:type="dxa"/>
            <w:vAlign w:val="center"/>
          </w:tcPr>
          <w:p w14:paraId="4AC4129D" w14:textId="77777777" w:rsidR="00B4010C" w:rsidRPr="006A5438" w:rsidRDefault="00B4010C" w:rsidP="002B5E31">
            <w:pPr>
              <w:pStyle w:val="CETBodytext"/>
              <w:rPr>
                <w:lang w:val="en-GB"/>
              </w:rPr>
            </w:pPr>
            <w:r w:rsidRPr="006A5438">
              <w:rPr>
                <w:lang w:val="en-GB"/>
              </w:rPr>
              <w:t>Horizontal visibility</w:t>
            </w:r>
          </w:p>
        </w:tc>
        <w:tc>
          <w:tcPr>
            <w:tcW w:w="2268" w:type="dxa"/>
            <w:vAlign w:val="center"/>
          </w:tcPr>
          <w:p w14:paraId="5F0AEBD9" w14:textId="77777777" w:rsidR="00B4010C" w:rsidRPr="006A5438" w:rsidRDefault="00B4010C" w:rsidP="002B5E31">
            <w:pPr>
              <w:pStyle w:val="CETBodytext"/>
              <w:jc w:val="center"/>
              <w:rPr>
                <w:lang w:val="en-GB"/>
              </w:rPr>
            </w:pPr>
            <w:r w:rsidRPr="006A5438">
              <w:rPr>
                <w:lang w:val="en-GB"/>
              </w:rPr>
              <w:t>&gt; 900 m</w:t>
            </w:r>
          </w:p>
        </w:tc>
        <w:tc>
          <w:tcPr>
            <w:tcW w:w="2268" w:type="dxa"/>
            <w:vAlign w:val="center"/>
          </w:tcPr>
          <w:p w14:paraId="4106C35E" w14:textId="77777777" w:rsidR="00B4010C" w:rsidRPr="006A5438" w:rsidRDefault="00B4010C" w:rsidP="002B5E31">
            <w:pPr>
              <w:pStyle w:val="CETBodytext"/>
              <w:jc w:val="center"/>
              <w:rPr>
                <w:lang w:val="en-GB"/>
              </w:rPr>
            </w:pPr>
            <w:r w:rsidRPr="006A5438">
              <w:rPr>
                <w:lang w:val="en-GB"/>
              </w:rPr>
              <w:t>200 m ÷ 900 m</w:t>
            </w:r>
          </w:p>
        </w:tc>
        <w:tc>
          <w:tcPr>
            <w:tcW w:w="1978" w:type="dxa"/>
            <w:vAlign w:val="center"/>
          </w:tcPr>
          <w:p w14:paraId="3B81B754" w14:textId="77777777" w:rsidR="00B4010C" w:rsidRPr="006A5438" w:rsidRDefault="00B4010C" w:rsidP="002B5E31">
            <w:pPr>
              <w:pStyle w:val="CETBodytext"/>
              <w:jc w:val="center"/>
              <w:rPr>
                <w:lang w:val="en-GB"/>
              </w:rPr>
            </w:pPr>
            <w:r w:rsidRPr="006A5438">
              <w:rPr>
                <w:lang w:val="en-GB"/>
              </w:rPr>
              <w:t>&lt; 200 m</w:t>
            </w:r>
          </w:p>
        </w:tc>
      </w:tr>
      <w:tr w:rsidR="00B4010C" w:rsidRPr="006A5438" w14:paraId="241C59C9" w14:textId="77777777" w:rsidTr="00102175">
        <w:trPr>
          <w:jc w:val="center"/>
        </w:trPr>
        <w:tc>
          <w:tcPr>
            <w:tcW w:w="2268" w:type="dxa"/>
            <w:vAlign w:val="center"/>
          </w:tcPr>
          <w:p w14:paraId="10654C2B" w14:textId="77777777" w:rsidR="00B4010C" w:rsidRPr="006A5438" w:rsidRDefault="00B4010C" w:rsidP="002B5E31">
            <w:pPr>
              <w:pStyle w:val="CETBodytext"/>
              <w:rPr>
                <w:lang w:val="en-GB"/>
              </w:rPr>
            </w:pPr>
            <w:r w:rsidRPr="006A5438">
              <w:rPr>
                <w:lang w:val="en-GB"/>
              </w:rPr>
              <w:t>Cloud ceiling</w:t>
            </w:r>
          </w:p>
        </w:tc>
        <w:tc>
          <w:tcPr>
            <w:tcW w:w="6514" w:type="dxa"/>
            <w:gridSpan w:val="3"/>
            <w:vAlign w:val="center"/>
          </w:tcPr>
          <w:p w14:paraId="1927BA22" w14:textId="0FF9F48E" w:rsidR="00B4010C" w:rsidRPr="006A5438" w:rsidRDefault="00DE54D8" w:rsidP="002B5E31">
            <w:pPr>
              <w:pStyle w:val="CETBodytext"/>
              <w:jc w:val="center"/>
              <w:rPr>
                <w:lang w:val="en-GB"/>
              </w:rPr>
            </w:pPr>
            <w:r w:rsidRPr="006A5438">
              <w:rPr>
                <w:lang w:val="en-GB"/>
              </w:rPr>
              <w:t>………………………………………….not limiting………..……………………….</w:t>
            </w:r>
          </w:p>
        </w:tc>
      </w:tr>
      <w:tr w:rsidR="00B4010C" w:rsidRPr="006A5438" w14:paraId="7AE439CF" w14:textId="77777777" w:rsidTr="00102175">
        <w:trPr>
          <w:jc w:val="center"/>
        </w:trPr>
        <w:tc>
          <w:tcPr>
            <w:tcW w:w="2268" w:type="dxa"/>
            <w:vAlign w:val="center"/>
          </w:tcPr>
          <w:p w14:paraId="03B1663C" w14:textId="77777777" w:rsidR="00B4010C" w:rsidRPr="006A5438" w:rsidRDefault="00B4010C" w:rsidP="002B5E31">
            <w:pPr>
              <w:pStyle w:val="CETBodytext"/>
              <w:rPr>
                <w:lang w:val="en-GB"/>
              </w:rPr>
            </w:pPr>
            <w:r w:rsidRPr="006A5438">
              <w:rPr>
                <w:lang w:val="en-GB"/>
              </w:rPr>
              <w:t>Ice coverage</w:t>
            </w:r>
          </w:p>
        </w:tc>
        <w:tc>
          <w:tcPr>
            <w:tcW w:w="2268" w:type="dxa"/>
            <w:vAlign w:val="center"/>
          </w:tcPr>
          <w:p w14:paraId="47ABC5DE" w14:textId="77777777" w:rsidR="00B4010C" w:rsidRPr="006A5438" w:rsidRDefault="00B4010C" w:rsidP="002B5E31">
            <w:pPr>
              <w:pStyle w:val="CETBodytext"/>
              <w:jc w:val="center"/>
              <w:rPr>
                <w:lang w:val="en-GB"/>
              </w:rPr>
            </w:pPr>
            <w:r w:rsidRPr="006A5438">
              <w:rPr>
                <w:lang w:val="en-GB"/>
              </w:rPr>
              <w:t>&lt; 10%</w:t>
            </w:r>
          </w:p>
        </w:tc>
        <w:tc>
          <w:tcPr>
            <w:tcW w:w="2268" w:type="dxa"/>
            <w:vAlign w:val="center"/>
          </w:tcPr>
          <w:p w14:paraId="23D2A6B9" w14:textId="77777777" w:rsidR="00B4010C" w:rsidRPr="006A5438" w:rsidRDefault="00B4010C" w:rsidP="002B5E31">
            <w:pPr>
              <w:pStyle w:val="CETBodytext"/>
              <w:jc w:val="center"/>
              <w:rPr>
                <w:lang w:val="en-GB"/>
              </w:rPr>
            </w:pPr>
            <w:r w:rsidRPr="006A5438">
              <w:rPr>
                <w:lang w:val="en-GB"/>
              </w:rPr>
              <w:t>10% ÷ 30%</w:t>
            </w:r>
          </w:p>
        </w:tc>
        <w:tc>
          <w:tcPr>
            <w:tcW w:w="1978" w:type="dxa"/>
            <w:vAlign w:val="center"/>
          </w:tcPr>
          <w:p w14:paraId="6352CF36" w14:textId="77777777" w:rsidR="00B4010C" w:rsidRPr="006A5438" w:rsidRDefault="00B4010C" w:rsidP="002B5E31">
            <w:pPr>
              <w:pStyle w:val="CETBodytext"/>
              <w:jc w:val="center"/>
              <w:rPr>
                <w:lang w:val="en-GB"/>
              </w:rPr>
            </w:pPr>
            <w:r w:rsidRPr="006A5438">
              <w:rPr>
                <w:lang w:val="en-GB"/>
              </w:rPr>
              <w:t>&gt; 30%</w:t>
            </w:r>
          </w:p>
        </w:tc>
      </w:tr>
      <w:tr w:rsidR="00B4010C" w:rsidRPr="006A5438" w14:paraId="46AFE35C" w14:textId="77777777" w:rsidTr="00102175">
        <w:trPr>
          <w:jc w:val="center"/>
        </w:trPr>
        <w:tc>
          <w:tcPr>
            <w:tcW w:w="2268" w:type="dxa"/>
            <w:vAlign w:val="center"/>
          </w:tcPr>
          <w:p w14:paraId="028E70A8" w14:textId="77777777" w:rsidR="00B4010C" w:rsidRPr="006A5438" w:rsidRDefault="00B4010C" w:rsidP="002B5E31">
            <w:pPr>
              <w:pStyle w:val="CETBodytext"/>
              <w:rPr>
                <w:lang w:val="en-GB"/>
              </w:rPr>
            </w:pPr>
            <w:r w:rsidRPr="006A5438">
              <w:rPr>
                <w:lang w:val="en-GB"/>
              </w:rPr>
              <w:t>Bathymetry</w:t>
            </w:r>
          </w:p>
        </w:tc>
        <w:tc>
          <w:tcPr>
            <w:tcW w:w="2268" w:type="dxa"/>
            <w:vAlign w:val="center"/>
          </w:tcPr>
          <w:p w14:paraId="2D84838C" w14:textId="77777777" w:rsidR="00B4010C" w:rsidRPr="006A5438" w:rsidRDefault="00B4010C" w:rsidP="002B5E31">
            <w:pPr>
              <w:pStyle w:val="CETBodytext"/>
              <w:jc w:val="center"/>
              <w:rPr>
                <w:lang w:val="en-GB"/>
              </w:rPr>
            </w:pPr>
            <w:r w:rsidRPr="006A5438">
              <w:rPr>
                <w:lang w:val="en-GB"/>
              </w:rPr>
              <w:t>&gt; 3.6 m</w:t>
            </w:r>
          </w:p>
        </w:tc>
        <w:tc>
          <w:tcPr>
            <w:tcW w:w="2268" w:type="dxa"/>
            <w:vAlign w:val="center"/>
          </w:tcPr>
          <w:p w14:paraId="4FB75346" w14:textId="77777777" w:rsidR="00B4010C" w:rsidRPr="006A5438" w:rsidRDefault="00B4010C" w:rsidP="002B5E31">
            <w:pPr>
              <w:pStyle w:val="CETBodytext"/>
              <w:jc w:val="center"/>
              <w:rPr>
                <w:lang w:val="en-GB"/>
              </w:rPr>
            </w:pPr>
            <w:r w:rsidRPr="006A5438">
              <w:rPr>
                <w:lang w:val="en-GB"/>
              </w:rPr>
              <w:t>1.8 m ÷ 3.6 m</w:t>
            </w:r>
          </w:p>
        </w:tc>
        <w:tc>
          <w:tcPr>
            <w:tcW w:w="1978" w:type="dxa"/>
            <w:vAlign w:val="center"/>
          </w:tcPr>
          <w:p w14:paraId="470284DD" w14:textId="77777777" w:rsidR="00B4010C" w:rsidRPr="006A5438" w:rsidRDefault="00B4010C" w:rsidP="002B5E31">
            <w:pPr>
              <w:pStyle w:val="CETBodytext"/>
              <w:jc w:val="center"/>
              <w:rPr>
                <w:lang w:val="en-GB"/>
              </w:rPr>
            </w:pPr>
            <w:r w:rsidRPr="006A5438">
              <w:rPr>
                <w:lang w:val="en-GB"/>
              </w:rPr>
              <w:t>&lt; 1.8 m</w:t>
            </w:r>
          </w:p>
        </w:tc>
      </w:tr>
      <w:tr w:rsidR="00B4010C" w:rsidRPr="006A5438" w14:paraId="2A7286A7" w14:textId="77777777" w:rsidTr="00102175">
        <w:trPr>
          <w:jc w:val="center"/>
        </w:trPr>
        <w:tc>
          <w:tcPr>
            <w:tcW w:w="2268" w:type="dxa"/>
            <w:tcBorders>
              <w:bottom w:val="single" w:sz="12" w:space="0" w:color="008000"/>
            </w:tcBorders>
            <w:vAlign w:val="center"/>
          </w:tcPr>
          <w:p w14:paraId="1CFA2CCB" w14:textId="77777777" w:rsidR="00B4010C" w:rsidRPr="006A5438" w:rsidRDefault="00B4010C" w:rsidP="002B5E31">
            <w:pPr>
              <w:pStyle w:val="CETBodytext"/>
              <w:rPr>
                <w:lang w:val="en-GB"/>
              </w:rPr>
            </w:pPr>
            <w:r w:rsidRPr="006A5438">
              <w:rPr>
                <w:lang w:val="en-GB"/>
              </w:rPr>
              <w:t>Shoreline distance</w:t>
            </w:r>
          </w:p>
        </w:tc>
        <w:tc>
          <w:tcPr>
            <w:tcW w:w="6514" w:type="dxa"/>
            <w:gridSpan w:val="3"/>
            <w:tcBorders>
              <w:bottom w:val="single" w:sz="12" w:space="0" w:color="008000"/>
            </w:tcBorders>
            <w:vAlign w:val="center"/>
          </w:tcPr>
          <w:p w14:paraId="44953080" w14:textId="5B914DB5" w:rsidR="00B4010C" w:rsidRPr="006A5438" w:rsidRDefault="00DE54D8" w:rsidP="002B5E31">
            <w:pPr>
              <w:pStyle w:val="CETBodytext"/>
              <w:jc w:val="center"/>
              <w:rPr>
                <w:lang w:val="en-GB"/>
              </w:rPr>
            </w:pPr>
            <w:r w:rsidRPr="006A5438">
              <w:rPr>
                <w:lang w:val="en-GB"/>
              </w:rPr>
              <w:t>………………………………………….</w:t>
            </w:r>
            <w:r w:rsidR="00B4010C" w:rsidRPr="006A5438">
              <w:rPr>
                <w:lang w:val="en-GB"/>
              </w:rPr>
              <w:t>not limiting</w:t>
            </w:r>
            <w:r w:rsidRPr="006A5438">
              <w:rPr>
                <w:lang w:val="en-GB"/>
              </w:rPr>
              <w:t>………..……………………….</w:t>
            </w:r>
          </w:p>
        </w:tc>
      </w:tr>
    </w:tbl>
    <w:p w14:paraId="7DE5522C" w14:textId="77777777" w:rsidR="002B5E31" w:rsidRDefault="002B5E31" w:rsidP="002B5E31">
      <w:bookmarkStart w:id="7" w:name="_Ref11838687"/>
      <w:bookmarkStart w:id="8" w:name="_Toc26201433"/>
    </w:p>
    <w:p w14:paraId="33D47CF3" w14:textId="651E57E3" w:rsidR="004E295D" w:rsidRPr="006A5438" w:rsidRDefault="004E295D" w:rsidP="002B5E31">
      <w:r w:rsidRPr="006A5438">
        <w:t xml:space="preserve">In all </w:t>
      </w:r>
      <w:r w:rsidR="00544EAB">
        <w:t xml:space="preserve">the </w:t>
      </w:r>
      <w:r w:rsidRPr="006A5438">
        <w:t>most recent RGA studies a common criterion has been adopted to combine the environmental factors, i.e. to establish if the</w:t>
      </w:r>
      <w:r w:rsidR="00063A64">
        <w:t>ir combination makes a response tactic</w:t>
      </w:r>
      <w:r w:rsidRPr="006A5438">
        <w:t xml:space="preserve"> favourable, impaired</w:t>
      </w:r>
      <w:r>
        <w:t>,</w:t>
      </w:r>
      <w:r w:rsidRPr="006A5438">
        <w:t xml:space="preserve"> or ineffective. This criterion has been </w:t>
      </w:r>
      <w:r w:rsidR="00544EAB">
        <w:t>used</w:t>
      </w:r>
      <w:r w:rsidRPr="006A5438">
        <w:t xml:space="preserve"> also in the new RGA method, as shown in Table 4.</w:t>
      </w:r>
    </w:p>
    <w:p w14:paraId="5D4A8037" w14:textId="7F4346F4" w:rsidR="000D2B1D" w:rsidRPr="006A5438" w:rsidRDefault="000D2B1D" w:rsidP="002B5E31">
      <w:pPr>
        <w:pStyle w:val="CETTabletitle"/>
        <w:spacing w:line="264" w:lineRule="auto"/>
      </w:pPr>
      <w:r w:rsidRPr="006A5438">
        <w:t>Table</w:t>
      </w:r>
      <w:bookmarkEnd w:id="7"/>
      <w:r w:rsidRPr="006A5438">
        <w:t xml:space="preserve"> 4: C</w:t>
      </w:r>
      <w:r w:rsidR="00017B6C" w:rsidRPr="006A5438">
        <w:t>riterion</w:t>
      </w:r>
      <w:r w:rsidRPr="006A5438">
        <w:t xml:space="preserve"> to combine the environmental factors</w:t>
      </w:r>
      <w:bookmarkEnd w:id="8"/>
    </w:p>
    <w:tbl>
      <w:tblPr>
        <w:tblStyle w:val="Grigliatabella"/>
        <w:tblW w:w="0" w:type="auto"/>
        <w:tblInd w:w="108" w:type="dxa"/>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4854"/>
        <w:gridCol w:w="2409"/>
      </w:tblGrid>
      <w:tr w:rsidR="000D2B1D" w:rsidRPr="006A5438" w14:paraId="5D1C4DF8" w14:textId="77777777" w:rsidTr="002B5E31">
        <w:trPr>
          <w:trHeight w:val="20"/>
        </w:trPr>
        <w:tc>
          <w:tcPr>
            <w:tcW w:w="4854" w:type="dxa"/>
            <w:tcBorders>
              <w:bottom w:val="single" w:sz="2" w:space="0" w:color="008000"/>
            </w:tcBorders>
            <w:shd w:val="clear" w:color="auto" w:fill="auto"/>
            <w:vAlign w:val="center"/>
          </w:tcPr>
          <w:p w14:paraId="68787DEB" w14:textId="2031AD4E" w:rsidR="000D2B1D" w:rsidRPr="006A5438" w:rsidRDefault="000D2B1D" w:rsidP="002B5E31">
            <w:pPr>
              <w:pStyle w:val="CETBodytext"/>
              <w:rPr>
                <w:lang w:val="en-GB"/>
              </w:rPr>
            </w:pPr>
            <w:r w:rsidRPr="006A5438">
              <w:rPr>
                <w:lang w:val="en-GB"/>
              </w:rPr>
              <w:t>Description</w:t>
            </w:r>
          </w:p>
        </w:tc>
        <w:tc>
          <w:tcPr>
            <w:tcW w:w="2409" w:type="dxa"/>
            <w:tcBorders>
              <w:bottom w:val="single" w:sz="2" w:space="0" w:color="008000"/>
            </w:tcBorders>
            <w:shd w:val="clear" w:color="auto" w:fill="auto"/>
            <w:vAlign w:val="center"/>
          </w:tcPr>
          <w:p w14:paraId="718381ED" w14:textId="18E6C410" w:rsidR="000D2B1D" w:rsidRPr="006A5438" w:rsidRDefault="000D2B1D" w:rsidP="002B5E31">
            <w:pPr>
              <w:pStyle w:val="CETBodytext"/>
              <w:jc w:val="center"/>
              <w:rPr>
                <w:lang w:val="en-GB"/>
              </w:rPr>
            </w:pPr>
            <w:r w:rsidRPr="006A5438">
              <w:rPr>
                <w:lang w:val="en-GB"/>
              </w:rPr>
              <w:t>Response Outcome</w:t>
            </w:r>
          </w:p>
        </w:tc>
      </w:tr>
      <w:tr w:rsidR="000D2B1D" w:rsidRPr="006A5438" w14:paraId="5BA74EF3" w14:textId="77777777" w:rsidTr="002B5E31">
        <w:trPr>
          <w:trHeight w:val="20"/>
        </w:trPr>
        <w:tc>
          <w:tcPr>
            <w:tcW w:w="4854" w:type="dxa"/>
            <w:tcBorders>
              <w:top w:val="single" w:sz="2" w:space="0" w:color="008000"/>
              <w:bottom w:val="nil"/>
            </w:tcBorders>
            <w:shd w:val="clear" w:color="auto" w:fill="auto"/>
            <w:vAlign w:val="center"/>
          </w:tcPr>
          <w:p w14:paraId="0F57C18F" w14:textId="7BB8BDF8" w:rsidR="000D2B1D" w:rsidRPr="006A5438" w:rsidRDefault="000D2B1D" w:rsidP="002B5E31">
            <w:pPr>
              <w:pStyle w:val="CETBodytext"/>
              <w:rPr>
                <w:lang w:val="en-GB"/>
              </w:rPr>
            </w:pPr>
            <w:r w:rsidRPr="006A5438">
              <w:rPr>
                <w:lang w:val="en-GB"/>
              </w:rPr>
              <w:t>All factors green</w:t>
            </w:r>
          </w:p>
        </w:tc>
        <w:tc>
          <w:tcPr>
            <w:tcW w:w="2409" w:type="dxa"/>
            <w:tcBorders>
              <w:top w:val="single" w:sz="2" w:space="0" w:color="008000"/>
              <w:bottom w:val="nil"/>
            </w:tcBorders>
            <w:shd w:val="clear" w:color="auto" w:fill="00B050"/>
            <w:vAlign w:val="center"/>
          </w:tcPr>
          <w:p w14:paraId="34A93D74" w14:textId="77777777" w:rsidR="000D2B1D" w:rsidRPr="006A5438" w:rsidRDefault="000D2B1D" w:rsidP="002B5E31">
            <w:pPr>
              <w:pStyle w:val="CETBodytext"/>
              <w:jc w:val="center"/>
              <w:rPr>
                <w:lang w:val="en-GB"/>
              </w:rPr>
            </w:pPr>
            <w:r w:rsidRPr="006A5438">
              <w:rPr>
                <w:lang w:val="en-GB"/>
              </w:rPr>
              <w:t>Response favourable</w:t>
            </w:r>
          </w:p>
        </w:tc>
      </w:tr>
      <w:tr w:rsidR="000D2B1D" w:rsidRPr="006A5438" w14:paraId="09ECF403" w14:textId="77777777" w:rsidTr="002B5E31">
        <w:trPr>
          <w:trHeight w:val="20"/>
        </w:trPr>
        <w:tc>
          <w:tcPr>
            <w:tcW w:w="4854" w:type="dxa"/>
            <w:tcBorders>
              <w:top w:val="nil"/>
            </w:tcBorders>
            <w:shd w:val="clear" w:color="auto" w:fill="auto"/>
            <w:vAlign w:val="center"/>
          </w:tcPr>
          <w:p w14:paraId="5DABAE9F" w14:textId="2BFE6D57" w:rsidR="000D2B1D" w:rsidRPr="007B2D17" w:rsidRDefault="007E7EB2" w:rsidP="002B5E31">
            <w:pPr>
              <w:pStyle w:val="CETBodytext"/>
              <w:rPr>
                <w:rFonts w:cs="Arial"/>
                <w:szCs w:val="18"/>
                <w:lang w:val="en-GB"/>
              </w:rPr>
            </w:pPr>
            <w:r w:rsidRPr="007B2D17">
              <w:rPr>
                <w:rFonts w:cs="Arial"/>
                <w:color w:val="000000"/>
                <w:szCs w:val="18"/>
                <w:lang w:val="en-GB"/>
              </w:rPr>
              <w:t>One or more factors yellow and all the remainders green</w:t>
            </w:r>
          </w:p>
        </w:tc>
        <w:tc>
          <w:tcPr>
            <w:tcW w:w="2409" w:type="dxa"/>
            <w:tcBorders>
              <w:top w:val="nil"/>
            </w:tcBorders>
            <w:shd w:val="clear" w:color="auto" w:fill="FFFF00"/>
            <w:vAlign w:val="center"/>
          </w:tcPr>
          <w:p w14:paraId="1E56FB21" w14:textId="77777777" w:rsidR="000D2B1D" w:rsidRPr="006A5438" w:rsidRDefault="000D2B1D" w:rsidP="002B5E31">
            <w:pPr>
              <w:pStyle w:val="CETBodytext"/>
              <w:jc w:val="center"/>
              <w:rPr>
                <w:lang w:val="en-GB"/>
              </w:rPr>
            </w:pPr>
            <w:r w:rsidRPr="006A5438">
              <w:rPr>
                <w:lang w:val="en-GB"/>
              </w:rPr>
              <w:t>Response impaired</w:t>
            </w:r>
          </w:p>
        </w:tc>
      </w:tr>
      <w:tr w:rsidR="000D2B1D" w:rsidRPr="007E7EB2" w14:paraId="7B35B4CA" w14:textId="77777777" w:rsidTr="002B5E31">
        <w:trPr>
          <w:trHeight w:val="20"/>
        </w:trPr>
        <w:tc>
          <w:tcPr>
            <w:tcW w:w="4854" w:type="dxa"/>
            <w:shd w:val="clear" w:color="auto" w:fill="auto"/>
            <w:vAlign w:val="center"/>
          </w:tcPr>
          <w:p w14:paraId="29B212C9" w14:textId="7D09EEE3" w:rsidR="000D2B1D" w:rsidRPr="007B2D17" w:rsidRDefault="007E7EB2" w:rsidP="002B5E31">
            <w:pPr>
              <w:pStyle w:val="CETBodytext"/>
              <w:rPr>
                <w:rFonts w:cs="Arial"/>
                <w:szCs w:val="18"/>
                <w:lang w:val="en-GB"/>
              </w:rPr>
            </w:pPr>
            <w:r w:rsidRPr="007B2D17">
              <w:rPr>
                <w:rFonts w:cs="Arial"/>
                <w:color w:val="000000"/>
                <w:szCs w:val="18"/>
              </w:rPr>
              <w:t>One or more factors red</w:t>
            </w:r>
          </w:p>
        </w:tc>
        <w:tc>
          <w:tcPr>
            <w:tcW w:w="2409" w:type="dxa"/>
            <w:shd w:val="clear" w:color="auto" w:fill="FF0000"/>
            <w:vAlign w:val="center"/>
          </w:tcPr>
          <w:p w14:paraId="2F8778E5" w14:textId="77777777" w:rsidR="000D2B1D" w:rsidRPr="007B2D17" w:rsidRDefault="000D2B1D" w:rsidP="002B5E31">
            <w:pPr>
              <w:pStyle w:val="CETBodytext"/>
              <w:jc w:val="center"/>
              <w:rPr>
                <w:rFonts w:cs="Arial"/>
                <w:szCs w:val="18"/>
                <w:lang w:val="en-GB"/>
              </w:rPr>
            </w:pPr>
            <w:r w:rsidRPr="007B2D17">
              <w:rPr>
                <w:rFonts w:cs="Arial"/>
                <w:szCs w:val="18"/>
                <w:lang w:val="en-GB"/>
              </w:rPr>
              <w:t>Response ineffective</w:t>
            </w:r>
          </w:p>
        </w:tc>
      </w:tr>
    </w:tbl>
    <w:p w14:paraId="618E5AD8" w14:textId="77777777" w:rsidR="002B5E31" w:rsidRDefault="002B5E31" w:rsidP="002B5E31"/>
    <w:p w14:paraId="5214BFE2" w14:textId="342A6DE1" w:rsidR="004E295D" w:rsidRPr="006A5438" w:rsidRDefault="004E295D" w:rsidP="002B5E31">
      <w:r>
        <w:t>As a last step, t</w:t>
      </w:r>
      <w:r w:rsidRPr="006A5438">
        <w:t xml:space="preserve">he </w:t>
      </w:r>
      <w:r>
        <w:t xml:space="preserve">new </w:t>
      </w:r>
      <w:r w:rsidRPr="006A5438">
        <w:t xml:space="preserve">RGA methodology was implemented in a custom software is written in </w:t>
      </w:r>
      <w:proofErr w:type="spellStart"/>
      <w:r w:rsidRPr="006A5438">
        <w:t>MatLab</w:t>
      </w:r>
      <w:proofErr w:type="spellEnd"/>
      <w:r w:rsidRPr="006A5438">
        <w:t xml:space="preserve"> (version R2017b)</w:t>
      </w:r>
      <w:r w:rsidR="00544EAB">
        <w:t>, in order to elaborate the huge amount of input data and to produce detailed res</w:t>
      </w:r>
      <w:r w:rsidR="007B642A">
        <w:t>u</w:t>
      </w:r>
      <w:r w:rsidR="00544EAB">
        <w:t>lts</w:t>
      </w:r>
      <w:r w:rsidR="000F7B74">
        <w:t xml:space="preserve"> [</w:t>
      </w:r>
      <w:proofErr w:type="spellStart"/>
      <w:r w:rsidR="000F7B74">
        <w:t>Mathworks</w:t>
      </w:r>
      <w:proofErr w:type="spellEnd"/>
      <w:r w:rsidR="000F7B74">
        <w:t>, 2020</w:t>
      </w:r>
      <w:r w:rsidRPr="006A5438">
        <w:t>].</w:t>
      </w:r>
    </w:p>
    <w:p w14:paraId="4BE827A5" w14:textId="30361C2A" w:rsidR="0046549B" w:rsidRPr="006A5438" w:rsidRDefault="0046549B" w:rsidP="002B5E31">
      <w:pPr>
        <w:pStyle w:val="CETHeading1"/>
        <w:spacing w:line="264" w:lineRule="auto"/>
      </w:pPr>
      <w:r w:rsidRPr="006A5438">
        <w:lastRenderedPageBreak/>
        <w:t>Case study application</w:t>
      </w:r>
    </w:p>
    <w:p w14:paraId="6FD4A5C3" w14:textId="19C1A52E" w:rsidR="0046549B" w:rsidRPr="006A5438" w:rsidRDefault="00097C16" w:rsidP="002B5E31">
      <w:pPr>
        <w:pStyle w:val="CETBodytext"/>
        <w:rPr>
          <w:lang w:val="en-GB"/>
        </w:rPr>
      </w:pPr>
      <w:r w:rsidRPr="006A5438">
        <w:rPr>
          <w:lang w:val="en-GB"/>
        </w:rPr>
        <w:t xml:space="preserve">The </w:t>
      </w:r>
      <w:r w:rsidR="0078008F" w:rsidRPr="006A5438">
        <w:rPr>
          <w:lang w:val="en-GB"/>
        </w:rPr>
        <w:t>code implementing the</w:t>
      </w:r>
      <w:r w:rsidRPr="006A5438">
        <w:rPr>
          <w:lang w:val="en-GB"/>
        </w:rPr>
        <w:t xml:space="preserve"> RGA </w:t>
      </w:r>
      <w:r w:rsidR="0078008F" w:rsidRPr="006A5438">
        <w:rPr>
          <w:lang w:val="en-GB"/>
        </w:rPr>
        <w:t xml:space="preserve">procedure </w:t>
      </w:r>
      <w:r w:rsidRPr="006A5438">
        <w:rPr>
          <w:lang w:val="en-GB"/>
        </w:rPr>
        <w:t>was</w:t>
      </w:r>
      <w:r w:rsidR="00B358F4" w:rsidRPr="006A5438">
        <w:rPr>
          <w:lang w:val="en-GB"/>
        </w:rPr>
        <w:t xml:space="preserve"> applied </w:t>
      </w:r>
      <w:r w:rsidRPr="006A5438">
        <w:rPr>
          <w:lang w:val="en-GB"/>
        </w:rPr>
        <w:t xml:space="preserve">to a </w:t>
      </w:r>
      <w:r w:rsidR="00B358F4" w:rsidRPr="006A5438">
        <w:rPr>
          <w:lang w:val="en-GB"/>
        </w:rPr>
        <w:t>sea</w:t>
      </w:r>
      <w:r w:rsidRPr="006A5438">
        <w:rPr>
          <w:lang w:val="en-GB"/>
        </w:rPr>
        <w:t xml:space="preserve"> area </w:t>
      </w:r>
      <w:r w:rsidR="001F1B2D">
        <w:rPr>
          <w:lang w:val="en-GB"/>
        </w:rPr>
        <w:t>off</w:t>
      </w:r>
      <w:r w:rsidR="001F1B2D" w:rsidRPr="006A5438">
        <w:rPr>
          <w:lang w:val="en-GB"/>
        </w:rPr>
        <w:t xml:space="preserve"> </w:t>
      </w:r>
      <w:r w:rsidR="006839EC" w:rsidRPr="006A5438">
        <w:rPr>
          <w:lang w:val="en-GB"/>
        </w:rPr>
        <w:t>the North</w:t>
      </w:r>
      <w:r w:rsidR="001F1B2D">
        <w:rPr>
          <w:lang w:val="en-GB"/>
        </w:rPr>
        <w:t>ern coast</w:t>
      </w:r>
      <w:r w:rsidR="006839EC" w:rsidRPr="006A5438">
        <w:rPr>
          <w:lang w:val="en-GB"/>
        </w:rPr>
        <w:t xml:space="preserve"> of Norway, including parts of the Norwegian Sea, of the Barents Sea</w:t>
      </w:r>
      <w:r w:rsidR="00710EA3" w:rsidRPr="006A5438">
        <w:rPr>
          <w:lang w:val="en-GB"/>
        </w:rPr>
        <w:t>,</w:t>
      </w:r>
      <w:r w:rsidR="006839EC" w:rsidRPr="006A5438">
        <w:rPr>
          <w:lang w:val="en-GB"/>
        </w:rPr>
        <w:t xml:space="preserve"> and of the Greenland Sea, as </w:t>
      </w:r>
      <w:r w:rsidRPr="006A5438">
        <w:rPr>
          <w:lang w:val="en-GB"/>
        </w:rPr>
        <w:t>shown in Figure 1</w:t>
      </w:r>
      <w:r w:rsidR="006839EC" w:rsidRPr="006A5438">
        <w:rPr>
          <w:lang w:val="en-GB"/>
        </w:rPr>
        <w:t>.</w:t>
      </w:r>
    </w:p>
    <w:p w14:paraId="099B6887" w14:textId="24AD0461" w:rsidR="009A0590" w:rsidRPr="006A5438" w:rsidRDefault="009A0590" w:rsidP="002B5E31">
      <w:pPr>
        <w:pStyle w:val="CETBodytext"/>
        <w:spacing w:before="120" w:after="120"/>
        <w:rPr>
          <w:lang w:val="en-GB"/>
        </w:rPr>
      </w:pPr>
      <w:r w:rsidRPr="006A5438">
        <w:rPr>
          <w:noProof/>
          <w:lang w:val="it-IT" w:eastAsia="it-IT"/>
        </w:rPr>
        <w:drawing>
          <wp:inline distT="0" distB="0" distL="0" distR="0" wp14:anchorId="1C8DD009" wp14:editId="04D27F15">
            <wp:extent cx="2933700" cy="2391089"/>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652" t="11954" r="8251" b="9656"/>
                    <a:stretch/>
                  </pic:blipFill>
                  <pic:spPr bwMode="auto">
                    <a:xfrm>
                      <a:off x="0" y="0"/>
                      <a:ext cx="3023157" cy="2464001"/>
                    </a:xfrm>
                    <a:prstGeom prst="rect">
                      <a:avLst/>
                    </a:prstGeom>
                    <a:ln>
                      <a:noFill/>
                    </a:ln>
                    <a:extLst>
                      <a:ext uri="{53640926-AAD7-44D8-BBD7-CCE9431645EC}">
                        <a14:shadowObscured xmlns:a14="http://schemas.microsoft.com/office/drawing/2010/main"/>
                      </a:ext>
                    </a:extLst>
                  </pic:spPr>
                </pic:pic>
              </a:graphicData>
            </a:graphic>
          </wp:inline>
        </w:drawing>
      </w:r>
    </w:p>
    <w:p w14:paraId="0B84D0F9" w14:textId="214411C2" w:rsidR="009A0590" w:rsidRPr="006A5438" w:rsidRDefault="009A0590" w:rsidP="002B5E31">
      <w:pPr>
        <w:pStyle w:val="CETCaption"/>
        <w:spacing w:before="120" w:after="120"/>
      </w:pPr>
      <w:r w:rsidRPr="006A5438">
        <w:t>Figure 1: Case study: map view of the area</w:t>
      </w:r>
    </w:p>
    <w:p w14:paraId="734F7C45" w14:textId="75DCE278" w:rsidR="006839EC" w:rsidRPr="006A5438" w:rsidRDefault="00B358F4" w:rsidP="002B5E31">
      <w:r w:rsidRPr="006A5438">
        <w:t>The ERA 5 database was used to retrieve the data about the wind speed, the wave height, the air temperature, the sea temperature, the dew point temperature, a</w:t>
      </w:r>
      <w:r w:rsidR="000F7B74">
        <w:t>nd the ice coverage (ECMWF, 2020</w:t>
      </w:r>
      <w:r w:rsidRPr="006A5438">
        <w:t>); a ten-years period - from 2009 to 2018 - was adopted.</w:t>
      </w:r>
      <w:r w:rsidR="00886B10" w:rsidRPr="006A5438">
        <w:t xml:space="preserve"> </w:t>
      </w:r>
      <w:r w:rsidR="0078008F" w:rsidRPr="006A5438">
        <w:t xml:space="preserve">Since no data for the wind chill, the superstructure icing, and the horizontal visibility are </w:t>
      </w:r>
      <w:r w:rsidR="001D5794">
        <w:t>present</w:t>
      </w:r>
      <w:r w:rsidR="0078008F" w:rsidRPr="006A5438">
        <w:t xml:space="preserve"> in the ERA 5 database, these factors were calculated as a function of the wind speed, the air temperature, the sea temperature, and the dew point temperature, by applying empirical equations of technical literature (DICAM, 2019).</w:t>
      </w:r>
      <w:r w:rsidR="00017B6C" w:rsidRPr="006A5438">
        <w:t xml:space="preserve"> </w:t>
      </w:r>
      <w:r w:rsidR="0078008F" w:rsidRPr="006A5438">
        <w:t xml:space="preserve">Information about </w:t>
      </w:r>
      <w:r w:rsidR="007B642A">
        <w:t xml:space="preserve">the </w:t>
      </w:r>
      <w:r w:rsidR="0078008F" w:rsidRPr="006A5438">
        <w:t xml:space="preserve">daylight / darkness </w:t>
      </w:r>
      <w:r w:rsidR="007B642A">
        <w:t xml:space="preserve">conditions </w:t>
      </w:r>
      <w:r w:rsidR="0078008F" w:rsidRPr="006A5438">
        <w:t xml:space="preserve">was obtained for all points of the area through a model developed by the </w:t>
      </w:r>
      <w:proofErr w:type="spellStart"/>
      <w:r w:rsidR="0078008F" w:rsidRPr="006A5438">
        <w:t>Institut</w:t>
      </w:r>
      <w:proofErr w:type="spellEnd"/>
      <w:r w:rsidR="0078008F" w:rsidRPr="006A5438">
        <w:t xml:space="preserve"> de Physique du Globe de Paris, basing on the date and the latitude and longitude coordinates of each</w:t>
      </w:r>
      <w:r w:rsidR="000F7B74">
        <w:t xml:space="preserve"> point (IPGP, 2020</w:t>
      </w:r>
      <w:r w:rsidR="00017B6C" w:rsidRPr="006A5438">
        <w:t>)</w:t>
      </w:r>
      <w:r w:rsidR="0078008F" w:rsidRPr="006A5438">
        <w:t>.</w:t>
      </w:r>
      <w:r w:rsidR="00017B6C" w:rsidRPr="006A5438">
        <w:t xml:space="preserve"> Lastly, </w:t>
      </w:r>
      <w:r w:rsidR="00544EAB">
        <w:t>information</w:t>
      </w:r>
      <w:r w:rsidR="00886B10" w:rsidRPr="006A5438">
        <w:t xml:space="preserve"> about the bathymetry and the shor</w:t>
      </w:r>
      <w:r w:rsidR="00544EAB">
        <w:t>eline distance was</w:t>
      </w:r>
      <w:r w:rsidR="001D5794">
        <w:t xml:space="preserve"> extracted</w:t>
      </w:r>
      <w:r w:rsidR="00886B10" w:rsidRPr="006A5438">
        <w:t xml:space="preserve">, respectively, </w:t>
      </w:r>
      <w:r w:rsidR="001D5794">
        <w:t xml:space="preserve">from </w:t>
      </w:r>
      <w:r w:rsidR="00886B10" w:rsidRPr="006A5438">
        <w:t xml:space="preserve">the </w:t>
      </w:r>
      <w:r w:rsidR="00B9238C" w:rsidRPr="006A5438">
        <w:t>General Bathymetric Chart of the Oceans</w:t>
      </w:r>
      <w:r w:rsidR="000F7B74">
        <w:t xml:space="preserve"> (GEBCO, 2020</w:t>
      </w:r>
      <w:r w:rsidR="00886B10" w:rsidRPr="006A5438">
        <w:t xml:space="preserve">) and the </w:t>
      </w:r>
      <w:r w:rsidR="00B9238C" w:rsidRPr="006A5438">
        <w:t>Global Self-Consistent Hierarchical High-Resolution Geography</w:t>
      </w:r>
      <w:r w:rsidR="00886B10" w:rsidRPr="006A5438">
        <w:t xml:space="preserve"> </w:t>
      </w:r>
      <w:r w:rsidR="001D5794" w:rsidRPr="006A5438">
        <w:t xml:space="preserve">database </w:t>
      </w:r>
      <w:r w:rsidR="000F7B74">
        <w:t>(GSHHG, 2020</w:t>
      </w:r>
      <w:r w:rsidR="00B9238C" w:rsidRPr="006A5438">
        <w:t>)</w:t>
      </w:r>
      <w:r w:rsidR="00886B10" w:rsidRPr="006A5438">
        <w:t>.</w:t>
      </w:r>
      <w:r w:rsidR="001D5794">
        <w:t xml:space="preserve"> As in all previous RGA methods, the cloud ceiling was excluded, because of the unavailability of data.</w:t>
      </w:r>
      <w:r w:rsidR="002B5E31">
        <w:t xml:space="preserve"> </w:t>
      </w:r>
      <w:r w:rsidR="00017B6C" w:rsidRPr="006A5438">
        <w:t>Since for the case study area the data of most environmental factors have a space resolution of 0.25° x 0.25°, it was decided to perform</w:t>
      </w:r>
      <w:r w:rsidR="001D5794">
        <w:t xml:space="preserve"> the RGA with this spatial step</w:t>
      </w:r>
      <w:r w:rsidR="00017B6C" w:rsidRPr="006A5438">
        <w:t xml:space="preserve">. Instead, the time resolution was set to 2 hours, because the </w:t>
      </w:r>
      <w:r w:rsidR="00544EAB">
        <w:t>value</w:t>
      </w:r>
      <w:r w:rsidR="00017B6C" w:rsidRPr="006A5438">
        <w:t xml:space="preserve"> of 1 hour, which is the time resolution of most data, </w:t>
      </w:r>
      <w:r w:rsidR="001D5794">
        <w:t>would require</w:t>
      </w:r>
      <w:r w:rsidR="00017B6C" w:rsidRPr="006A5438">
        <w:t xml:space="preserve"> an excessive computational time.</w:t>
      </w:r>
      <w:r w:rsidR="002B5E31">
        <w:t xml:space="preserve"> </w:t>
      </w:r>
      <w:r w:rsidR="006839EC" w:rsidRPr="006A5438">
        <w:t xml:space="preserve">All the baseline tactics were </w:t>
      </w:r>
      <w:r w:rsidR="001D5794">
        <w:t>considered</w:t>
      </w:r>
      <w:r w:rsidR="006839EC" w:rsidRPr="006A5438">
        <w:t xml:space="preserve">. Information was made available </w:t>
      </w:r>
      <w:r w:rsidRPr="006A5438">
        <w:t>on specific boom</w:t>
      </w:r>
      <w:r w:rsidR="001D5794">
        <w:t xml:space="preserve"> models and oil skimmers available</w:t>
      </w:r>
      <w:r w:rsidR="006839EC" w:rsidRPr="006A5438">
        <w:t xml:space="preserve"> in the </w:t>
      </w:r>
      <w:r w:rsidR="001D5794">
        <w:t xml:space="preserve">case study </w:t>
      </w:r>
      <w:r w:rsidR="006839EC" w:rsidRPr="006A5438">
        <w:t>area. Thus, for the</w:t>
      </w:r>
      <w:r w:rsidR="00017B6C" w:rsidRPr="006A5438">
        <w:t xml:space="preserve"> wind speed and the wave height</w:t>
      </w:r>
      <w:r w:rsidR="006839EC" w:rsidRPr="006A5438">
        <w:t xml:space="preserve"> thresholds </w:t>
      </w:r>
      <w:r w:rsidR="00017B6C" w:rsidRPr="006A5438">
        <w:t xml:space="preserve">values derived from the technical documents of these </w:t>
      </w:r>
      <w:r w:rsidR="001D5794">
        <w:t xml:space="preserve">emergency </w:t>
      </w:r>
      <w:r w:rsidR="00017B6C" w:rsidRPr="006A5438">
        <w:t xml:space="preserve">components </w:t>
      </w:r>
      <w:r w:rsidR="00544EAB">
        <w:t>were used, as shown</w:t>
      </w:r>
      <w:r w:rsidR="006839EC" w:rsidRPr="006A5438">
        <w:t xml:space="preserve"> in Table</w:t>
      </w:r>
      <w:r w:rsidRPr="006A5438">
        <w:t xml:space="preserve"> 5.</w:t>
      </w:r>
      <w:r w:rsidR="00017B6C" w:rsidRPr="006A5438">
        <w:t xml:space="preserve"> For all the other factors</w:t>
      </w:r>
      <w:r w:rsidR="001D5794">
        <w:t>,</w:t>
      </w:r>
      <w:r w:rsidR="00017B6C" w:rsidRPr="006A5438">
        <w:t xml:space="preserve"> the typical limits reported in Table</w:t>
      </w:r>
      <w:r w:rsidR="00710EA3" w:rsidRPr="006A5438">
        <w:t xml:space="preserve"> 3 were </w:t>
      </w:r>
      <w:r w:rsidR="001D5794">
        <w:t>adopted</w:t>
      </w:r>
      <w:r w:rsidR="00710EA3" w:rsidRPr="006A5438">
        <w:t>.</w:t>
      </w:r>
    </w:p>
    <w:p w14:paraId="55B9B72A" w14:textId="4DAF4BCE" w:rsidR="006839EC" w:rsidRPr="006A5438" w:rsidRDefault="006839EC" w:rsidP="002B5E31">
      <w:pPr>
        <w:pStyle w:val="CETTabletitle"/>
        <w:spacing w:line="264" w:lineRule="auto"/>
        <w:jc w:val="both"/>
      </w:pPr>
      <w:r w:rsidRPr="006A5438">
        <w:t xml:space="preserve">Table </w:t>
      </w:r>
      <w:r w:rsidR="00B358F4" w:rsidRPr="006A5438">
        <w:t>5</w:t>
      </w:r>
      <w:r w:rsidRPr="006A5438">
        <w:t xml:space="preserve">: </w:t>
      </w:r>
      <w:r w:rsidR="007F19D4" w:rsidRPr="006A5438">
        <w:t>Case study area</w:t>
      </w:r>
      <w:r w:rsidR="00017B6C" w:rsidRPr="006A5438">
        <w:t>, tactic T1</w:t>
      </w:r>
      <w:r w:rsidR="007F19D4" w:rsidRPr="006A5438">
        <w:t>: specific</w:t>
      </w:r>
      <w:r w:rsidRPr="006A5438">
        <w:t xml:space="preserve"> threshold values for </w:t>
      </w:r>
      <w:r w:rsidR="00017B6C" w:rsidRPr="006A5438">
        <w:t>the wind speed and the wave height</w:t>
      </w:r>
    </w:p>
    <w:tbl>
      <w:tblPr>
        <w:tblStyle w:val="Grigliatabella"/>
        <w:tblW w:w="8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1978"/>
      </w:tblGrid>
      <w:tr w:rsidR="006839EC" w:rsidRPr="006A5438" w14:paraId="504BDAC0" w14:textId="77777777" w:rsidTr="006839EC">
        <w:trPr>
          <w:jc w:val="center"/>
        </w:trPr>
        <w:tc>
          <w:tcPr>
            <w:tcW w:w="2268" w:type="dxa"/>
            <w:vMerge w:val="restart"/>
            <w:tcBorders>
              <w:top w:val="single" w:sz="12" w:space="0" w:color="008000"/>
            </w:tcBorders>
            <w:shd w:val="clear" w:color="auto" w:fill="auto"/>
            <w:vAlign w:val="center"/>
          </w:tcPr>
          <w:p w14:paraId="50B49C80" w14:textId="77777777" w:rsidR="006839EC" w:rsidRPr="006A5438" w:rsidRDefault="006839EC" w:rsidP="002B5E31">
            <w:pPr>
              <w:pStyle w:val="CETBodytext"/>
              <w:rPr>
                <w:lang w:val="en-GB"/>
              </w:rPr>
            </w:pPr>
            <w:r w:rsidRPr="006A5438">
              <w:rPr>
                <w:lang w:val="en-GB"/>
              </w:rPr>
              <w:t>Environmental factors</w:t>
            </w:r>
          </w:p>
        </w:tc>
        <w:tc>
          <w:tcPr>
            <w:tcW w:w="6514" w:type="dxa"/>
            <w:gridSpan w:val="3"/>
            <w:tcBorders>
              <w:top w:val="single" w:sz="12" w:space="0" w:color="008000"/>
            </w:tcBorders>
            <w:shd w:val="clear" w:color="auto" w:fill="auto"/>
            <w:vAlign w:val="center"/>
          </w:tcPr>
          <w:p w14:paraId="3BE4B6F6" w14:textId="77777777" w:rsidR="006839EC" w:rsidRPr="006A5438" w:rsidRDefault="006839EC" w:rsidP="002B5E31">
            <w:pPr>
              <w:pStyle w:val="CETBodytext"/>
              <w:jc w:val="center"/>
              <w:rPr>
                <w:lang w:val="en-GB"/>
              </w:rPr>
            </w:pPr>
            <w:r w:rsidRPr="006A5438">
              <w:rPr>
                <w:lang w:val="en-GB"/>
              </w:rPr>
              <w:t>Conditions</w:t>
            </w:r>
          </w:p>
        </w:tc>
      </w:tr>
      <w:tr w:rsidR="006839EC" w:rsidRPr="006A5438" w14:paraId="30B89A26" w14:textId="77777777" w:rsidTr="006839EC">
        <w:trPr>
          <w:trHeight w:val="255"/>
          <w:jc w:val="center"/>
        </w:trPr>
        <w:tc>
          <w:tcPr>
            <w:tcW w:w="2268" w:type="dxa"/>
            <w:vMerge/>
            <w:tcBorders>
              <w:bottom w:val="single" w:sz="2" w:space="0" w:color="008000"/>
            </w:tcBorders>
            <w:shd w:val="clear" w:color="auto" w:fill="D9D9D9" w:themeFill="background1" w:themeFillShade="D9"/>
            <w:vAlign w:val="center"/>
          </w:tcPr>
          <w:p w14:paraId="0913DA5C" w14:textId="77777777" w:rsidR="006839EC" w:rsidRPr="006A5438" w:rsidRDefault="006839EC" w:rsidP="002B5E31">
            <w:pPr>
              <w:pStyle w:val="CETBodytext"/>
              <w:rPr>
                <w:lang w:val="en-GB"/>
              </w:rPr>
            </w:pPr>
          </w:p>
        </w:tc>
        <w:tc>
          <w:tcPr>
            <w:tcW w:w="2268" w:type="dxa"/>
            <w:tcBorders>
              <w:bottom w:val="single" w:sz="2" w:space="0" w:color="008000"/>
            </w:tcBorders>
            <w:shd w:val="clear" w:color="auto" w:fill="92D050"/>
            <w:vAlign w:val="center"/>
          </w:tcPr>
          <w:p w14:paraId="59ACB065" w14:textId="77777777" w:rsidR="006839EC" w:rsidRPr="006A5438" w:rsidRDefault="006839EC" w:rsidP="002B5E31">
            <w:pPr>
              <w:pStyle w:val="CETBodytext"/>
              <w:jc w:val="center"/>
              <w:rPr>
                <w:lang w:val="en-GB"/>
              </w:rPr>
            </w:pPr>
            <w:r w:rsidRPr="006A5438">
              <w:rPr>
                <w:lang w:val="en-GB"/>
              </w:rPr>
              <w:t>Favourable</w:t>
            </w:r>
          </w:p>
        </w:tc>
        <w:tc>
          <w:tcPr>
            <w:tcW w:w="2268" w:type="dxa"/>
            <w:tcBorders>
              <w:bottom w:val="single" w:sz="2" w:space="0" w:color="008000"/>
            </w:tcBorders>
            <w:shd w:val="clear" w:color="auto" w:fill="FFFF00"/>
            <w:vAlign w:val="center"/>
          </w:tcPr>
          <w:p w14:paraId="50F7FCA4" w14:textId="77777777" w:rsidR="006839EC" w:rsidRPr="006A5438" w:rsidRDefault="006839EC" w:rsidP="002B5E31">
            <w:pPr>
              <w:pStyle w:val="CETBodytext"/>
              <w:jc w:val="center"/>
              <w:rPr>
                <w:lang w:val="en-GB"/>
              </w:rPr>
            </w:pPr>
            <w:r w:rsidRPr="006A5438">
              <w:rPr>
                <w:lang w:val="en-GB"/>
              </w:rPr>
              <w:t>Marginal</w:t>
            </w:r>
          </w:p>
        </w:tc>
        <w:tc>
          <w:tcPr>
            <w:tcW w:w="1978" w:type="dxa"/>
            <w:tcBorders>
              <w:bottom w:val="single" w:sz="2" w:space="0" w:color="008000"/>
            </w:tcBorders>
            <w:shd w:val="clear" w:color="auto" w:fill="FF0000"/>
            <w:vAlign w:val="center"/>
          </w:tcPr>
          <w:p w14:paraId="54A3F346" w14:textId="77777777" w:rsidR="006839EC" w:rsidRPr="006A5438" w:rsidRDefault="006839EC" w:rsidP="002B5E31">
            <w:pPr>
              <w:pStyle w:val="CETBodytext"/>
              <w:jc w:val="center"/>
              <w:rPr>
                <w:lang w:val="en-GB"/>
              </w:rPr>
            </w:pPr>
            <w:r w:rsidRPr="006A5438">
              <w:rPr>
                <w:lang w:val="en-GB"/>
              </w:rPr>
              <w:t>Unfavourable</w:t>
            </w:r>
          </w:p>
        </w:tc>
      </w:tr>
      <w:tr w:rsidR="006839EC" w:rsidRPr="006A5438" w14:paraId="166EC708" w14:textId="77777777" w:rsidTr="007F19D4">
        <w:trPr>
          <w:jc w:val="center"/>
        </w:trPr>
        <w:tc>
          <w:tcPr>
            <w:tcW w:w="2268" w:type="dxa"/>
            <w:tcBorders>
              <w:top w:val="single" w:sz="2" w:space="0" w:color="008000"/>
            </w:tcBorders>
            <w:vAlign w:val="center"/>
          </w:tcPr>
          <w:p w14:paraId="34FE75DA" w14:textId="77777777" w:rsidR="006839EC" w:rsidRPr="006A5438" w:rsidRDefault="006839EC" w:rsidP="002B5E31">
            <w:pPr>
              <w:pStyle w:val="CETBodytext"/>
              <w:rPr>
                <w:lang w:val="en-GB"/>
              </w:rPr>
            </w:pPr>
            <w:r w:rsidRPr="006A5438">
              <w:rPr>
                <w:lang w:val="en-GB"/>
              </w:rPr>
              <w:t>Wind speed</w:t>
            </w:r>
          </w:p>
        </w:tc>
        <w:tc>
          <w:tcPr>
            <w:tcW w:w="2268" w:type="dxa"/>
            <w:tcBorders>
              <w:top w:val="single" w:sz="2" w:space="0" w:color="008000"/>
            </w:tcBorders>
            <w:vAlign w:val="center"/>
          </w:tcPr>
          <w:p w14:paraId="20FC0211" w14:textId="1AA18377" w:rsidR="006839EC" w:rsidRPr="006A5438" w:rsidRDefault="006839EC" w:rsidP="002B5E31">
            <w:pPr>
              <w:pStyle w:val="CETBodytext"/>
              <w:jc w:val="center"/>
              <w:rPr>
                <w:lang w:val="en-GB"/>
              </w:rPr>
            </w:pPr>
            <w:r w:rsidRPr="006A5438">
              <w:rPr>
                <w:lang w:val="en-GB"/>
              </w:rPr>
              <w:t>&lt; 20 m/s</w:t>
            </w:r>
          </w:p>
        </w:tc>
        <w:tc>
          <w:tcPr>
            <w:tcW w:w="2268" w:type="dxa"/>
            <w:tcBorders>
              <w:top w:val="single" w:sz="2" w:space="0" w:color="008000"/>
            </w:tcBorders>
            <w:vAlign w:val="center"/>
          </w:tcPr>
          <w:p w14:paraId="7EE7FFCB" w14:textId="03A7AC0D" w:rsidR="006839EC" w:rsidRPr="006A5438" w:rsidRDefault="006839EC" w:rsidP="002B5E31">
            <w:pPr>
              <w:pStyle w:val="CETBodytext"/>
              <w:jc w:val="center"/>
              <w:rPr>
                <w:lang w:val="en-GB"/>
              </w:rPr>
            </w:pPr>
            <w:r w:rsidRPr="006A5438">
              <w:rPr>
                <w:lang w:val="en-GB"/>
              </w:rPr>
              <w:t>20 m/s ÷ 25 m/s</w:t>
            </w:r>
          </w:p>
        </w:tc>
        <w:tc>
          <w:tcPr>
            <w:tcW w:w="1978" w:type="dxa"/>
            <w:tcBorders>
              <w:top w:val="single" w:sz="2" w:space="0" w:color="008000"/>
            </w:tcBorders>
            <w:vAlign w:val="center"/>
          </w:tcPr>
          <w:p w14:paraId="254D02BD" w14:textId="5B496657" w:rsidR="006839EC" w:rsidRPr="006A5438" w:rsidRDefault="007F19D4" w:rsidP="002B5E31">
            <w:pPr>
              <w:pStyle w:val="CETBodytext"/>
              <w:jc w:val="center"/>
              <w:rPr>
                <w:lang w:val="en-GB"/>
              </w:rPr>
            </w:pPr>
            <w:r w:rsidRPr="006A5438">
              <w:rPr>
                <w:lang w:val="en-GB"/>
              </w:rPr>
              <w:t>&gt; 2</w:t>
            </w:r>
            <w:r w:rsidR="006839EC" w:rsidRPr="006A5438">
              <w:rPr>
                <w:lang w:val="en-GB"/>
              </w:rPr>
              <w:t>5 m/s</w:t>
            </w:r>
          </w:p>
        </w:tc>
      </w:tr>
      <w:tr w:rsidR="006839EC" w:rsidRPr="006A5438" w14:paraId="768794DF" w14:textId="77777777" w:rsidTr="007F19D4">
        <w:trPr>
          <w:jc w:val="center"/>
        </w:trPr>
        <w:tc>
          <w:tcPr>
            <w:tcW w:w="2268" w:type="dxa"/>
            <w:tcBorders>
              <w:bottom w:val="single" w:sz="12" w:space="0" w:color="008000"/>
            </w:tcBorders>
            <w:vAlign w:val="center"/>
          </w:tcPr>
          <w:p w14:paraId="32D6447D" w14:textId="77777777" w:rsidR="006839EC" w:rsidRPr="006A5438" w:rsidRDefault="006839EC" w:rsidP="002B5E31">
            <w:pPr>
              <w:pStyle w:val="CETBodytext"/>
              <w:rPr>
                <w:lang w:val="en-GB"/>
              </w:rPr>
            </w:pPr>
            <w:r w:rsidRPr="006A5438">
              <w:rPr>
                <w:lang w:val="en-GB"/>
              </w:rPr>
              <w:t>Wave height</w:t>
            </w:r>
          </w:p>
        </w:tc>
        <w:tc>
          <w:tcPr>
            <w:tcW w:w="2268" w:type="dxa"/>
            <w:tcBorders>
              <w:bottom w:val="single" w:sz="12" w:space="0" w:color="008000"/>
            </w:tcBorders>
            <w:vAlign w:val="center"/>
          </w:tcPr>
          <w:p w14:paraId="610E4D4B" w14:textId="43FDDEE0" w:rsidR="006839EC" w:rsidRPr="006A5438" w:rsidRDefault="006839EC" w:rsidP="002B5E31">
            <w:pPr>
              <w:pStyle w:val="CETBodytext"/>
              <w:jc w:val="center"/>
              <w:rPr>
                <w:lang w:val="en-GB"/>
              </w:rPr>
            </w:pPr>
            <w:r w:rsidRPr="006A5438">
              <w:rPr>
                <w:lang w:val="en-GB"/>
              </w:rPr>
              <w:t>&lt; 1</w:t>
            </w:r>
            <w:r w:rsidR="007F19D4" w:rsidRPr="006A5438">
              <w:rPr>
                <w:lang w:val="en-GB"/>
              </w:rPr>
              <w:t>.5</w:t>
            </w:r>
            <w:r w:rsidRPr="006A5438">
              <w:rPr>
                <w:lang w:val="en-GB"/>
              </w:rPr>
              <w:t xml:space="preserve"> m</w:t>
            </w:r>
          </w:p>
        </w:tc>
        <w:tc>
          <w:tcPr>
            <w:tcW w:w="2268" w:type="dxa"/>
            <w:tcBorders>
              <w:bottom w:val="single" w:sz="12" w:space="0" w:color="008000"/>
            </w:tcBorders>
            <w:vAlign w:val="center"/>
          </w:tcPr>
          <w:p w14:paraId="7CB826EF" w14:textId="3356B79E" w:rsidR="006839EC" w:rsidRPr="006A5438" w:rsidRDefault="006839EC" w:rsidP="002B5E31">
            <w:pPr>
              <w:pStyle w:val="CETBodytext"/>
              <w:jc w:val="center"/>
              <w:rPr>
                <w:lang w:val="en-GB"/>
              </w:rPr>
            </w:pPr>
            <w:r w:rsidRPr="006A5438">
              <w:rPr>
                <w:lang w:val="en-GB"/>
              </w:rPr>
              <w:t>1</w:t>
            </w:r>
            <w:r w:rsidR="007F19D4" w:rsidRPr="006A5438">
              <w:rPr>
                <w:lang w:val="en-GB"/>
              </w:rPr>
              <w:t>.5 m ÷ 3.5</w:t>
            </w:r>
            <w:r w:rsidRPr="006A5438">
              <w:rPr>
                <w:lang w:val="en-GB"/>
              </w:rPr>
              <w:t xml:space="preserve"> m</w:t>
            </w:r>
          </w:p>
        </w:tc>
        <w:tc>
          <w:tcPr>
            <w:tcW w:w="1978" w:type="dxa"/>
            <w:tcBorders>
              <w:bottom w:val="single" w:sz="12" w:space="0" w:color="008000"/>
            </w:tcBorders>
            <w:vAlign w:val="center"/>
          </w:tcPr>
          <w:p w14:paraId="3FBAA638" w14:textId="1F229852" w:rsidR="006839EC" w:rsidRPr="006A5438" w:rsidRDefault="007F19D4" w:rsidP="002B5E31">
            <w:pPr>
              <w:pStyle w:val="CETBodytext"/>
              <w:jc w:val="center"/>
              <w:rPr>
                <w:lang w:val="en-GB"/>
              </w:rPr>
            </w:pPr>
            <w:r w:rsidRPr="006A5438">
              <w:rPr>
                <w:lang w:val="en-GB"/>
              </w:rPr>
              <w:t>&gt; 3.5</w:t>
            </w:r>
            <w:r w:rsidR="006839EC" w:rsidRPr="006A5438">
              <w:rPr>
                <w:lang w:val="en-GB"/>
              </w:rPr>
              <w:t xml:space="preserve"> m</w:t>
            </w:r>
          </w:p>
        </w:tc>
      </w:tr>
    </w:tbl>
    <w:p w14:paraId="3A21F1B0" w14:textId="77777777" w:rsidR="00710EA3" w:rsidRPr="006A5438" w:rsidRDefault="00710EA3" w:rsidP="002B5E31"/>
    <w:p w14:paraId="1FEDAEDA" w14:textId="751D445B" w:rsidR="0049363E" w:rsidRDefault="001D5794" w:rsidP="002B5E31">
      <w:r>
        <w:t>I</w:t>
      </w:r>
      <w:r w:rsidRPr="006A5438">
        <w:t>n Figure 2 and 3</w:t>
      </w:r>
      <w:r>
        <w:t xml:space="preserve"> a</w:t>
      </w:r>
      <w:r w:rsidR="00710EA3" w:rsidRPr="006A5438">
        <w:t>n example of the results of the RGA</w:t>
      </w:r>
      <w:r>
        <w:t xml:space="preserve"> </w:t>
      </w:r>
      <w:r w:rsidRPr="006A5438">
        <w:t>for the tactic T1 is reported</w:t>
      </w:r>
      <w:r>
        <w:t>;</w:t>
      </w:r>
      <w:r w:rsidR="00A5763C" w:rsidRPr="006A5438">
        <w:t xml:space="preserve"> the letters </w:t>
      </w:r>
      <w:r>
        <w:t xml:space="preserve">on the horizontal axes </w:t>
      </w:r>
      <w:r w:rsidR="00A5763C" w:rsidRPr="006A5438">
        <w:t>are the initials of the months of the year.</w:t>
      </w:r>
      <w:r w:rsidR="0049363E">
        <w:t xml:space="preserve"> </w:t>
      </w:r>
      <w:r w:rsidR="0049363E" w:rsidRPr="006A5438">
        <w:t xml:space="preserve">Looking at Figure 2b), it can be noticed that for the tactic T1 the percentage probability of a favourable response on a yearly basis is equal to 22%, the percentage probability of an impaired response is equal to 59%, while the percentage probability on an ineffective response is equal to 19%. However, </w:t>
      </w:r>
      <w:r w:rsidR="0049363E">
        <w:t>Figure 2</w:t>
      </w:r>
      <w:r w:rsidR="0049363E" w:rsidRPr="006A5438">
        <w:t xml:space="preserve">a) shows that these probabilities are </w:t>
      </w:r>
      <w:r w:rsidR="0049363E">
        <w:t xml:space="preserve">quite </w:t>
      </w:r>
      <w:r w:rsidR="0049363E" w:rsidRPr="006A5438">
        <w:t xml:space="preserve">variable </w:t>
      </w:r>
      <w:r w:rsidR="0049363E">
        <w:t>over time</w:t>
      </w:r>
      <w:r w:rsidR="0049363E" w:rsidRPr="006A5438">
        <w:t xml:space="preserve">: for instance, the probability of a favourable response is maximum in June, while it is minimum in December, when it is null. Thus, the yearly value of 22% for the favourable response is an average of rather different </w:t>
      </w:r>
      <w:r w:rsidR="0049363E">
        <w:t>week</w:t>
      </w:r>
      <w:r w:rsidR="0049363E" w:rsidRPr="006A5438">
        <w:t>ly percentages.</w:t>
      </w:r>
    </w:p>
    <w:p w14:paraId="6ED2A5AD" w14:textId="4D127D33" w:rsidR="002B5E31" w:rsidRDefault="002B5E31" w:rsidP="002B5E31">
      <w:bookmarkStart w:id="9" w:name="_GoBack"/>
      <w:r w:rsidRPr="006A5438">
        <w:rPr>
          <w:noProof/>
          <w:lang w:val="it-IT" w:eastAsia="it-IT"/>
        </w:rPr>
        <w:lastRenderedPageBreak/>
        <w:drawing>
          <wp:anchor distT="0" distB="0" distL="114300" distR="114300" simplePos="0" relativeHeight="251658240" behindDoc="0" locked="0" layoutInCell="1" allowOverlap="1" wp14:anchorId="4C4F78B9" wp14:editId="107FCAAB">
            <wp:simplePos x="0" y="0"/>
            <wp:positionH relativeFrom="column">
              <wp:posOffset>-5715</wp:posOffset>
            </wp:positionH>
            <wp:positionV relativeFrom="paragraph">
              <wp:posOffset>-160020</wp:posOffset>
            </wp:positionV>
            <wp:extent cx="3619500" cy="4115435"/>
            <wp:effectExtent l="19050" t="19050" r="19050" b="18415"/>
            <wp:wrapSquare wrapText="bothSides"/>
            <wp:docPr id="382" name="Immagin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41154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9"/>
    </w:p>
    <w:p w14:paraId="222ABEA8" w14:textId="77777777" w:rsidR="002B5E31" w:rsidRDefault="002B5E31" w:rsidP="002B5E31"/>
    <w:p w14:paraId="5CE10095" w14:textId="77777777" w:rsidR="002B5E31" w:rsidRDefault="002B5E31" w:rsidP="002B5E31"/>
    <w:p w14:paraId="3EE02DE5" w14:textId="77777777" w:rsidR="002B5E31" w:rsidRDefault="002B5E31" w:rsidP="002B5E31"/>
    <w:p w14:paraId="394D74E5" w14:textId="77777777" w:rsidR="002B5E31" w:rsidRDefault="002B5E31" w:rsidP="002B5E31"/>
    <w:p w14:paraId="6B0D7BCC" w14:textId="77777777" w:rsidR="002B5E31" w:rsidRDefault="002B5E31" w:rsidP="002B5E31">
      <w:pPr>
        <w:rPr>
          <w:i/>
        </w:rPr>
      </w:pPr>
      <w:bookmarkStart w:id="10" w:name="_Ref21271744"/>
      <w:bookmarkStart w:id="11" w:name="_Toc26199967"/>
    </w:p>
    <w:p w14:paraId="7F533C37" w14:textId="77777777" w:rsidR="002B5E31" w:rsidRDefault="002B5E31" w:rsidP="002B5E31">
      <w:pPr>
        <w:rPr>
          <w:i/>
        </w:rPr>
      </w:pPr>
    </w:p>
    <w:p w14:paraId="3739F49B" w14:textId="77777777" w:rsidR="002B5E31" w:rsidRDefault="002B5E31" w:rsidP="002B5E31">
      <w:pPr>
        <w:rPr>
          <w:i/>
        </w:rPr>
      </w:pPr>
    </w:p>
    <w:p w14:paraId="4569A411" w14:textId="77777777" w:rsidR="002B5E31" w:rsidRDefault="002B5E31" w:rsidP="002B5E31">
      <w:pPr>
        <w:rPr>
          <w:i/>
        </w:rPr>
      </w:pPr>
    </w:p>
    <w:p w14:paraId="00C7FE24" w14:textId="77777777" w:rsidR="002B5E31" w:rsidRDefault="002B5E31" w:rsidP="002B5E31">
      <w:pPr>
        <w:rPr>
          <w:i/>
        </w:rPr>
      </w:pPr>
    </w:p>
    <w:p w14:paraId="136D5604" w14:textId="77777777" w:rsidR="002B5E31" w:rsidRDefault="002B5E31" w:rsidP="002B5E31">
      <w:pPr>
        <w:rPr>
          <w:i/>
        </w:rPr>
      </w:pPr>
    </w:p>
    <w:p w14:paraId="64898E00" w14:textId="77777777" w:rsidR="002B5E31" w:rsidRDefault="002B5E31" w:rsidP="002B5E31">
      <w:pPr>
        <w:rPr>
          <w:i/>
        </w:rPr>
      </w:pPr>
    </w:p>
    <w:p w14:paraId="0C198456" w14:textId="77777777" w:rsidR="002B5E31" w:rsidRDefault="002B5E31" w:rsidP="002B5E31">
      <w:pPr>
        <w:rPr>
          <w:i/>
        </w:rPr>
      </w:pPr>
    </w:p>
    <w:p w14:paraId="49F68972" w14:textId="77777777" w:rsidR="002B5E31" w:rsidRDefault="002B5E31" w:rsidP="002B5E31">
      <w:pPr>
        <w:rPr>
          <w:i/>
        </w:rPr>
      </w:pPr>
    </w:p>
    <w:p w14:paraId="1203A8B8" w14:textId="77777777" w:rsidR="002B5E31" w:rsidRDefault="002B5E31" w:rsidP="002B5E31">
      <w:pPr>
        <w:rPr>
          <w:i/>
        </w:rPr>
      </w:pPr>
    </w:p>
    <w:p w14:paraId="316C4734" w14:textId="77777777" w:rsidR="002B5E31" w:rsidRDefault="002B5E31" w:rsidP="002B5E31">
      <w:pPr>
        <w:rPr>
          <w:i/>
        </w:rPr>
      </w:pPr>
    </w:p>
    <w:p w14:paraId="21F45DC0" w14:textId="77777777" w:rsidR="002B5E31" w:rsidRDefault="002B5E31" w:rsidP="002B5E31">
      <w:pPr>
        <w:rPr>
          <w:i/>
        </w:rPr>
      </w:pPr>
    </w:p>
    <w:p w14:paraId="36BD49A5" w14:textId="77777777" w:rsidR="002B5E31" w:rsidRDefault="002B5E31" w:rsidP="002B5E31">
      <w:pPr>
        <w:rPr>
          <w:i/>
        </w:rPr>
      </w:pPr>
    </w:p>
    <w:p w14:paraId="16BF0FF1" w14:textId="77777777" w:rsidR="002B5E31" w:rsidRDefault="002B5E31" w:rsidP="002B5E31">
      <w:pPr>
        <w:rPr>
          <w:i/>
        </w:rPr>
      </w:pPr>
    </w:p>
    <w:p w14:paraId="3AD35197" w14:textId="77777777" w:rsidR="002B5E31" w:rsidRDefault="002B5E31" w:rsidP="002B5E31">
      <w:pPr>
        <w:rPr>
          <w:i/>
        </w:rPr>
      </w:pPr>
    </w:p>
    <w:p w14:paraId="57EDDACE" w14:textId="77777777" w:rsidR="002B5E31" w:rsidRDefault="002B5E31" w:rsidP="002B5E31">
      <w:pPr>
        <w:rPr>
          <w:i/>
        </w:rPr>
      </w:pPr>
    </w:p>
    <w:p w14:paraId="5AEFFF94" w14:textId="77777777" w:rsidR="002B5E31" w:rsidRDefault="002B5E31" w:rsidP="002B5E31">
      <w:pPr>
        <w:rPr>
          <w:i/>
        </w:rPr>
      </w:pPr>
    </w:p>
    <w:p w14:paraId="442CBC70" w14:textId="77777777" w:rsidR="002B5E31" w:rsidRDefault="002B5E31" w:rsidP="002B5E31">
      <w:pPr>
        <w:rPr>
          <w:i/>
        </w:rPr>
      </w:pPr>
    </w:p>
    <w:p w14:paraId="0345EF34" w14:textId="77777777" w:rsidR="002B5E31" w:rsidRDefault="002B5E31" w:rsidP="002B5E31">
      <w:pPr>
        <w:rPr>
          <w:i/>
        </w:rPr>
      </w:pPr>
    </w:p>
    <w:p w14:paraId="2CF6618D" w14:textId="77777777" w:rsidR="002B5E31" w:rsidRDefault="002B5E31" w:rsidP="002B5E31">
      <w:pPr>
        <w:rPr>
          <w:i/>
        </w:rPr>
      </w:pPr>
    </w:p>
    <w:p w14:paraId="030938E4" w14:textId="77777777" w:rsidR="002B5E31" w:rsidRDefault="002B5E31" w:rsidP="002B5E31">
      <w:pPr>
        <w:rPr>
          <w:i/>
        </w:rPr>
      </w:pPr>
    </w:p>
    <w:p w14:paraId="13D84511" w14:textId="77777777" w:rsidR="002B5E31" w:rsidRDefault="002B5E31" w:rsidP="002B5E31">
      <w:pPr>
        <w:rPr>
          <w:i/>
        </w:rPr>
      </w:pPr>
    </w:p>
    <w:p w14:paraId="6ADE6688" w14:textId="77777777" w:rsidR="002B5E31" w:rsidRDefault="002B5E31" w:rsidP="002B5E31">
      <w:pPr>
        <w:rPr>
          <w:i/>
        </w:rPr>
      </w:pPr>
    </w:p>
    <w:p w14:paraId="41842499" w14:textId="114CDEF8" w:rsidR="00710EA3" w:rsidRPr="006A5438" w:rsidRDefault="00710EA3" w:rsidP="002B5E31">
      <w:pPr>
        <w:rPr>
          <w:i/>
        </w:rPr>
      </w:pPr>
      <w:r w:rsidRPr="006A5438">
        <w:rPr>
          <w:i/>
        </w:rPr>
        <w:t xml:space="preserve">Figure </w:t>
      </w:r>
      <w:bookmarkEnd w:id="10"/>
      <w:r w:rsidR="00A5763C" w:rsidRPr="006A5438">
        <w:rPr>
          <w:i/>
        </w:rPr>
        <w:t>2:</w:t>
      </w:r>
      <w:r w:rsidRPr="006A5438">
        <w:rPr>
          <w:i/>
        </w:rPr>
        <w:t xml:space="preserve"> Case study, tactic T1: a) percentage probabilities of favourable, impaired, ineffective response for each week; </w:t>
      </w:r>
      <w:r w:rsidR="00A5763C" w:rsidRPr="006A5438">
        <w:rPr>
          <w:i/>
        </w:rPr>
        <w:t>b</w:t>
      </w:r>
      <w:r w:rsidRPr="006A5438">
        <w:rPr>
          <w:i/>
        </w:rPr>
        <w:t>) yearly contributions of each environmental factor to the favourable, impaired, ineffective response</w:t>
      </w:r>
      <w:bookmarkEnd w:id="11"/>
    </w:p>
    <w:p w14:paraId="617D07B0" w14:textId="77777777" w:rsidR="00A5763C" w:rsidRPr="006A5438" w:rsidRDefault="00A5763C" w:rsidP="002B5E31"/>
    <w:p w14:paraId="44CC2109" w14:textId="64751863" w:rsidR="00710EA3" w:rsidRPr="006A5438" w:rsidRDefault="00A5763C" w:rsidP="002B5E31">
      <w:r w:rsidRPr="006A5438">
        <w:t>Figure 2b</w:t>
      </w:r>
      <w:r w:rsidR="00710EA3" w:rsidRPr="006A5438">
        <w:t xml:space="preserve">) shows which environmental factors determine that, for the tactic T1, the response is ineffective: these factors are, primarily, the wave height, for which the percentage probability of unfavourable conditions is equal to 13% and, secondarily, the horizontal visibility, for which the percentage probability of unfavourable conditions is equal to 5%. All the other factors, that is the wind speed, the air temperature, the superstructure icing, the wind chill, the daylight / darkness, the ice coverage, and the bathymetry are never or hardly ever unfavourable. </w:t>
      </w:r>
      <w:r w:rsidR="0049363E">
        <w:t>However</w:t>
      </w:r>
      <w:r w:rsidR="00710EA3" w:rsidRPr="006A5438">
        <w:t>, the conditions of two factors are often marginal to the response: the wave height, with a percentage probability of 51%, and the daylight / darkness, with a percentage probability of 46%. Thus, these two factors determine the high value of the percentage probability of the impaired response, which is equal to 59%.</w:t>
      </w:r>
    </w:p>
    <w:p w14:paraId="68D26B83" w14:textId="77777777" w:rsidR="00600535" w:rsidRPr="006A5438" w:rsidRDefault="00600535" w:rsidP="002B5E31">
      <w:pPr>
        <w:pStyle w:val="CETHeading1"/>
        <w:spacing w:line="264" w:lineRule="auto"/>
        <w:rPr>
          <w:lang w:val="en-GB"/>
        </w:rPr>
      </w:pPr>
      <w:r w:rsidRPr="006A5438">
        <w:rPr>
          <w:lang w:val="en-GB"/>
        </w:rPr>
        <w:t>Conclusions</w:t>
      </w:r>
    </w:p>
    <w:p w14:paraId="4668AB44" w14:textId="34EA90F1" w:rsidR="001D1213" w:rsidRPr="006A5438" w:rsidRDefault="001D1213" w:rsidP="002B5E31">
      <w:pPr>
        <w:pStyle w:val="CETBodytext"/>
        <w:rPr>
          <w:lang w:val="en-GB"/>
        </w:rPr>
      </w:pPr>
      <w:r w:rsidRPr="006A5438">
        <w:rPr>
          <w:lang w:val="en-GB"/>
        </w:rPr>
        <w:t xml:space="preserve">After an in-depth analysis of the RGA procedures available in technical literature, it was possible to set up a </w:t>
      </w:r>
      <w:r w:rsidR="00B9288D" w:rsidRPr="006A5438">
        <w:rPr>
          <w:lang w:val="en-GB"/>
        </w:rPr>
        <w:t>new RGA methodology and to implement it</w:t>
      </w:r>
      <w:r w:rsidRPr="006A5438">
        <w:rPr>
          <w:lang w:val="en-GB"/>
        </w:rPr>
        <w:t xml:space="preserve"> in a </w:t>
      </w:r>
      <w:r w:rsidR="00B9288D" w:rsidRPr="006A5438">
        <w:rPr>
          <w:lang w:val="en-GB"/>
        </w:rPr>
        <w:t>custom software.</w:t>
      </w:r>
      <w:r w:rsidRPr="006A5438">
        <w:rPr>
          <w:lang w:val="en-GB"/>
        </w:rPr>
        <w:t xml:space="preserve"> </w:t>
      </w:r>
      <w:r w:rsidR="00B9288D" w:rsidRPr="006A5438">
        <w:rPr>
          <w:lang w:val="en-GB"/>
        </w:rPr>
        <w:t xml:space="preserve">The method </w:t>
      </w:r>
      <w:r w:rsidRPr="006A5438">
        <w:rPr>
          <w:lang w:val="en-GB"/>
        </w:rPr>
        <w:t xml:space="preserve">was applied to a case study area, </w:t>
      </w:r>
      <w:r w:rsidR="00B9288D" w:rsidRPr="006A5438">
        <w:rPr>
          <w:lang w:val="en-GB"/>
        </w:rPr>
        <w:t>in order to</w:t>
      </w:r>
      <w:r w:rsidRPr="006A5438">
        <w:rPr>
          <w:lang w:val="en-GB"/>
        </w:rPr>
        <w:t xml:space="preserve"> validate the RGA procedure. The validation test was totally positive.</w:t>
      </w:r>
    </w:p>
    <w:p w14:paraId="47B913A2" w14:textId="77777777" w:rsidR="002B5E31" w:rsidRDefault="00B9288D" w:rsidP="002B5E31">
      <w:pPr>
        <w:pStyle w:val="CETBodytext"/>
        <w:rPr>
          <w:lang w:val="en-GB"/>
        </w:rPr>
      </w:pPr>
      <w:r w:rsidRPr="006A5438">
        <w:rPr>
          <w:lang w:val="en-GB"/>
        </w:rPr>
        <w:t>Though</w:t>
      </w:r>
      <w:r w:rsidR="001D1213" w:rsidRPr="006A5438">
        <w:rPr>
          <w:lang w:val="en-GB"/>
        </w:rPr>
        <w:t>, it is necessary to highlight that RGA is aimed at evaluating a “theoretical” maximum effectiveness of the response, basing only on the values of the environm</w:t>
      </w:r>
      <w:r w:rsidRPr="006A5438">
        <w:rPr>
          <w:lang w:val="en-GB"/>
        </w:rPr>
        <w:t>ental factors. In fact</w:t>
      </w:r>
      <w:r w:rsidR="001D1213" w:rsidRPr="006A5438">
        <w:rPr>
          <w:lang w:val="en-GB"/>
        </w:rPr>
        <w:t>, the real effectiveness of the response depends also on the location of the spill, the amount and duration of the release, the properties of the oil, its fate and trajectory, the number and features of the emergency equipment available in the area. For this reason, it may be useful for a more effective response to oil spills to complement the RGA with a “practical effectiveness” and to set up a procedure to assess it, taking into account all the additional elements mentioned above together with the environmental factors.</w:t>
      </w:r>
      <w:r w:rsidR="002B5E31">
        <w:rPr>
          <w:lang w:val="en-GB"/>
        </w:rPr>
        <w:t xml:space="preserve"> </w:t>
      </w:r>
    </w:p>
    <w:p w14:paraId="498EEFD2" w14:textId="22331674" w:rsidR="001D1213" w:rsidRPr="006A5438" w:rsidRDefault="001D1213" w:rsidP="002B5E31">
      <w:pPr>
        <w:pStyle w:val="CETBodytext"/>
        <w:rPr>
          <w:rFonts w:ascii="EUAlbertina" w:hAnsi="EUAlbertina" w:cs="EUAlbertina"/>
          <w:color w:val="000000"/>
          <w:sz w:val="24"/>
          <w:szCs w:val="24"/>
          <w:lang w:val="en-GB"/>
        </w:rPr>
      </w:pPr>
      <w:r w:rsidRPr="006A5438">
        <w:rPr>
          <w:lang w:val="en-GB"/>
        </w:rPr>
        <w:t>The evaluation of the “practical effectiveness” would allow to thoroughly understand and to express in quantitative terms the oil spill risk reduction due to the deployment of emergency actions, in the framework of the Directive 2013/30/EU</w:t>
      </w:r>
      <w:r w:rsidRPr="006A5438">
        <w:rPr>
          <w:rFonts w:cstheme="minorHAnsi"/>
          <w:lang w:val="en-GB"/>
        </w:rPr>
        <w:t>, which ha</w:t>
      </w:r>
      <w:r w:rsidRPr="006A5438">
        <w:rPr>
          <w:rFonts w:cstheme="minorHAnsi"/>
          <w:color w:val="000000"/>
          <w:lang w:val="en-GB"/>
        </w:rPr>
        <w:t xml:space="preserve">s </w:t>
      </w:r>
      <w:r w:rsidRPr="006A5438">
        <w:rPr>
          <w:rFonts w:cstheme="minorHAnsi"/>
          <w:lang w:val="en-GB"/>
        </w:rPr>
        <w:t xml:space="preserve">the object </w:t>
      </w:r>
      <w:r w:rsidR="00B9288D" w:rsidRPr="006A5438">
        <w:rPr>
          <w:rFonts w:cstheme="minorHAnsi"/>
          <w:lang w:val="en-GB"/>
        </w:rPr>
        <w:t>“</w:t>
      </w:r>
      <w:r w:rsidRPr="006A5438">
        <w:rPr>
          <w:rFonts w:cstheme="minorHAnsi"/>
          <w:color w:val="000000"/>
          <w:lang w:val="en-GB"/>
        </w:rPr>
        <w:t xml:space="preserve">to reduce as far as possible the occurrence of major </w:t>
      </w:r>
      <w:r w:rsidRPr="006A5438">
        <w:rPr>
          <w:rFonts w:cstheme="minorHAnsi"/>
          <w:color w:val="000000"/>
          <w:lang w:val="en-GB"/>
        </w:rPr>
        <w:lastRenderedPageBreak/>
        <w:t>accidents relating to offshore oil and gas operations and to limit their consequences, thus increasing the protection of the marine environment and coastal economies against pollution</w:t>
      </w:r>
      <w:r w:rsidR="00B9288D" w:rsidRPr="006A5438">
        <w:rPr>
          <w:rFonts w:cstheme="minorHAnsi"/>
          <w:color w:val="000000"/>
          <w:lang w:val="en-GB"/>
        </w:rPr>
        <w:t>” (</w:t>
      </w:r>
      <w:r w:rsidRPr="006A5438">
        <w:rPr>
          <w:lang w:val="en-GB"/>
        </w:rPr>
        <w:t>Directive 2013/30/EU</w:t>
      </w:r>
      <w:r w:rsidR="00B9288D" w:rsidRPr="006A5438">
        <w:rPr>
          <w:lang w:val="en-GB"/>
        </w:rPr>
        <w:t>)</w:t>
      </w:r>
      <w:r w:rsidRPr="006A5438">
        <w:rPr>
          <w:lang w:val="en-GB"/>
        </w:rPr>
        <w:t>.</w:t>
      </w:r>
    </w:p>
    <w:p w14:paraId="4F1327F8" w14:textId="4171E5F0" w:rsidR="00600535" w:rsidRPr="006A5438" w:rsidRDefault="00600535" w:rsidP="002B5E31">
      <w:pPr>
        <w:pStyle w:val="CETReference"/>
        <w:spacing w:line="264" w:lineRule="auto"/>
      </w:pPr>
      <w:r w:rsidRPr="006A5438">
        <w:t>References</w:t>
      </w:r>
    </w:p>
    <w:p w14:paraId="008B1DB9" w14:textId="15E6D949" w:rsidR="0046549B" w:rsidRPr="002B5E31" w:rsidRDefault="0046549B" w:rsidP="002B5E31">
      <w:pPr>
        <w:pStyle w:val="CETReferencetext"/>
      </w:pPr>
      <w:proofErr w:type="spellStart"/>
      <w:r w:rsidRPr="002B5E31">
        <w:t>Dahlslett</w:t>
      </w:r>
      <w:proofErr w:type="spellEnd"/>
      <w:r w:rsidRPr="002B5E31">
        <w:t xml:space="preserve"> H.P., </w:t>
      </w:r>
      <w:proofErr w:type="spellStart"/>
      <w:r w:rsidRPr="002B5E31">
        <w:t>Aarnes</w:t>
      </w:r>
      <w:proofErr w:type="spellEnd"/>
      <w:r w:rsidRPr="002B5E31">
        <w:t xml:space="preserve"> Ø., </w:t>
      </w:r>
      <w:proofErr w:type="spellStart"/>
      <w:r w:rsidRPr="002B5E31">
        <w:t>Rudberg</w:t>
      </w:r>
      <w:proofErr w:type="spellEnd"/>
      <w:r w:rsidRPr="002B5E31">
        <w:t xml:space="preserve"> A., </w:t>
      </w:r>
      <w:proofErr w:type="spellStart"/>
      <w:r w:rsidRPr="002B5E31">
        <w:t>Gravir</w:t>
      </w:r>
      <w:proofErr w:type="spellEnd"/>
      <w:r w:rsidRPr="002B5E31">
        <w:t xml:space="preserve"> G., </w:t>
      </w:r>
      <w:proofErr w:type="spellStart"/>
      <w:r w:rsidRPr="002B5E31">
        <w:t>Brude</w:t>
      </w:r>
      <w:proofErr w:type="spellEnd"/>
      <w:r w:rsidRPr="002B5E31">
        <w:t xml:space="preserve"> O.W., </w:t>
      </w:r>
      <w:proofErr w:type="spellStart"/>
      <w:r w:rsidRPr="002B5E31">
        <w:t>Lunde</w:t>
      </w:r>
      <w:proofErr w:type="spellEnd"/>
      <w:r w:rsidRPr="002B5E31">
        <w:t xml:space="preserve"> S., </w:t>
      </w:r>
      <w:proofErr w:type="spellStart"/>
      <w:r w:rsidRPr="002B5E31">
        <w:t>Bergstrøm</w:t>
      </w:r>
      <w:proofErr w:type="spellEnd"/>
      <w:r w:rsidRPr="002B5E31">
        <w:t xml:space="preserve"> R., 2018, Oil spill response viability analysis for the Norwegian continental shelf integrated in a web-based planning tool, paper presented at the SPE - Society of Petroleum Engineers International Conference on Health, Safety, Security, Environment and Social Responsibility held in Abu Dhabi (UAE), 16-18 April 2018.</w:t>
      </w:r>
    </w:p>
    <w:p w14:paraId="56BF0327" w14:textId="7C013789" w:rsidR="003A0052" w:rsidRPr="002B5E31" w:rsidRDefault="003A0052" w:rsidP="002B5E31">
      <w:pPr>
        <w:pStyle w:val="CETReferencetext"/>
      </w:pPr>
      <w:r w:rsidRPr="002B5E31">
        <w:t xml:space="preserve">DICAM, 2019, Final report: environmental factors to be included in RGA. Research collaboration Eni – </w:t>
      </w:r>
      <w:proofErr w:type="spellStart"/>
      <w:r w:rsidRPr="002B5E31">
        <w:t>UniBO</w:t>
      </w:r>
      <w:proofErr w:type="spellEnd"/>
      <w:r w:rsidRPr="002B5E31">
        <w:t xml:space="preserve"> “</w:t>
      </w:r>
      <w:proofErr w:type="spellStart"/>
      <w:r w:rsidRPr="002B5E31">
        <w:t>Efficacia</w:t>
      </w:r>
      <w:proofErr w:type="spellEnd"/>
      <w:r w:rsidRPr="002B5E31">
        <w:t xml:space="preserve"> </w:t>
      </w:r>
      <w:proofErr w:type="spellStart"/>
      <w:r w:rsidRPr="002B5E31">
        <w:t>nella</w:t>
      </w:r>
      <w:proofErr w:type="spellEnd"/>
      <w:r w:rsidRPr="002B5E31">
        <w:t xml:space="preserve"> </w:t>
      </w:r>
      <w:proofErr w:type="spellStart"/>
      <w:r w:rsidRPr="002B5E31">
        <w:t>gestione</w:t>
      </w:r>
      <w:proofErr w:type="spellEnd"/>
      <w:r w:rsidRPr="002B5E31">
        <w:t xml:space="preserve"> </w:t>
      </w:r>
      <w:proofErr w:type="spellStart"/>
      <w:r w:rsidRPr="002B5E31">
        <w:t>delle</w:t>
      </w:r>
      <w:proofErr w:type="spellEnd"/>
      <w:r w:rsidRPr="002B5E31">
        <w:t xml:space="preserve"> </w:t>
      </w:r>
      <w:proofErr w:type="spellStart"/>
      <w:r w:rsidRPr="002B5E31">
        <w:t>emergenze</w:t>
      </w:r>
      <w:proofErr w:type="spellEnd"/>
      <w:r w:rsidRPr="002B5E31">
        <w:t xml:space="preserve"> </w:t>
      </w:r>
      <w:proofErr w:type="spellStart"/>
      <w:r w:rsidRPr="002B5E31">
        <w:t>dovute</w:t>
      </w:r>
      <w:proofErr w:type="spellEnd"/>
      <w:r w:rsidRPr="002B5E31">
        <w:t xml:space="preserve"> a </w:t>
      </w:r>
      <w:proofErr w:type="spellStart"/>
      <w:r w:rsidRPr="002B5E31">
        <w:t>sversamenti</w:t>
      </w:r>
      <w:proofErr w:type="spellEnd"/>
      <w:r w:rsidRPr="002B5E31">
        <w:t xml:space="preserve"> </w:t>
      </w:r>
      <w:proofErr w:type="spellStart"/>
      <w:r w:rsidRPr="002B5E31">
        <w:t>accidentali</w:t>
      </w:r>
      <w:proofErr w:type="spellEnd"/>
      <w:r w:rsidRPr="002B5E31">
        <w:t xml:space="preserve"> di </w:t>
      </w:r>
      <w:proofErr w:type="spellStart"/>
      <w:r w:rsidRPr="002B5E31">
        <w:t>idrocarburi</w:t>
      </w:r>
      <w:proofErr w:type="spellEnd"/>
      <w:r w:rsidRPr="002B5E31">
        <w:t xml:space="preserve"> in mare”, DICAM – </w:t>
      </w:r>
      <w:proofErr w:type="spellStart"/>
      <w:r w:rsidRPr="002B5E31">
        <w:t>Dipartimento</w:t>
      </w:r>
      <w:proofErr w:type="spellEnd"/>
      <w:r w:rsidRPr="002B5E31">
        <w:t xml:space="preserve"> di </w:t>
      </w:r>
      <w:proofErr w:type="spellStart"/>
      <w:r w:rsidRPr="002B5E31">
        <w:t>Ingegneria</w:t>
      </w:r>
      <w:proofErr w:type="spellEnd"/>
      <w:r w:rsidRPr="002B5E31">
        <w:t xml:space="preserve"> </w:t>
      </w:r>
      <w:proofErr w:type="spellStart"/>
      <w:r w:rsidRPr="002B5E31">
        <w:t>Civile</w:t>
      </w:r>
      <w:proofErr w:type="spellEnd"/>
      <w:r w:rsidRPr="002B5E31">
        <w:t xml:space="preserve">, </w:t>
      </w:r>
      <w:proofErr w:type="spellStart"/>
      <w:r w:rsidRPr="002B5E31">
        <w:t>Chimica</w:t>
      </w:r>
      <w:proofErr w:type="spellEnd"/>
      <w:r w:rsidRPr="002B5E31">
        <w:t xml:space="preserve">, </w:t>
      </w:r>
      <w:proofErr w:type="spellStart"/>
      <w:r w:rsidRPr="002B5E31">
        <w:t>Ambientale</w:t>
      </w:r>
      <w:proofErr w:type="spellEnd"/>
      <w:r w:rsidRPr="002B5E31">
        <w:t xml:space="preserve"> e </w:t>
      </w:r>
      <w:proofErr w:type="spellStart"/>
      <w:r w:rsidRPr="002B5E31">
        <w:t>dei</w:t>
      </w:r>
      <w:proofErr w:type="spellEnd"/>
      <w:r w:rsidRPr="002B5E31">
        <w:t xml:space="preserve"> </w:t>
      </w:r>
      <w:proofErr w:type="spellStart"/>
      <w:r w:rsidRPr="002B5E31">
        <w:t>Materiali</w:t>
      </w:r>
      <w:proofErr w:type="spellEnd"/>
      <w:r w:rsidRPr="002B5E31">
        <w:t xml:space="preserve">, </w:t>
      </w:r>
      <w:proofErr w:type="spellStart"/>
      <w:r w:rsidRPr="002B5E31">
        <w:t>Università</w:t>
      </w:r>
      <w:proofErr w:type="spellEnd"/>
      <w:r w:rsidRPr="002B5E31">
        <w:t xml:space="preserve"> di Bologna, Bologna, I.</w:t>
      </w:r>
    </w:p>
    <w:p w14:paraId="72CC959A" w14:textId="31D603C4" w:rsidR="0009279C" w:rsidRPr="002B5E31" w:rsidRDefault="0009279C" w:rsidP="002B5E31">
      <w:pPr>
        <w:pStyle w:val="CETReferencetext"/>
      </w:pPr>
      <w:r w:rsidRPr="002B5E31">
        <w:t>Directive 2013/30/EU of the European Parliament and of the Council of 12 June 2013 on Safety of Offshore Oil and Gas Operations and Amending Directive 2004/35/EC</w:t>
      </w:r>
      <w:r w:rsidR="00A711E0" w:rsidRPr="002B5E31">
        <w:t>.</w:t>
      </w:r>
    </w:p>
    <w:p w14:paraId="52D15A0F" w14:textId="439A62DB" w:rsidR="00886B10" w:rsidRPr="002B5E31" w:rsidRDefault="000F7B74" w:rsidP="002B5E31">
      <w:pPr>
        <w:pStyle w:val="CETReferencetext"/>
      </w:pPr>
      <w:r w:rsidRPr="002B5E31">
        <w:t>ECMWF, 2020</w:t>
      </w:r>
      <w:r w:rsidR="00886B10" w:rsidRPr="002B5E31">
        <w:t>, European Centre for the Medium-Range Weather Forecast - ERA 5 dataset &lt;www.ecmwf.int/en/forecasts/datasets/reana</w:t>
      </w:r>
      <w:r w:rsidRPr="002B5E31">
        <w:t>lysis-datasets/era5&gt; accessed 30.03.2020</w:t>
      </w:r>
    </w:p>
    <w:p w14:paraId="187488B0" w14:textId="6A340211" w:rsidR="00A711E0" w:rsidRPr="002B5E31" w:rsidRDefault="00A711E0" w:rsidP="002B5E31">
      <w:pPr>
        <w:pStyle w:val="CETReferencetext"/>
      </w:pPr>
      <w:r w:rsidRPr="002B5E31">
        <w:t xml:space="preserve">EPPR, 2017a, Circumpolar oil spill response viability analysis: technical report. Arctic Council Emergency Prevention Preparedness and Response, DNV GL AS Oil &amp; Gas Environmental Risk Management and Nuka Research and Planning Group LLC, Arctic Council Secretariat ed., </w:t>
      </w:r>
      <w:proofErr w:type="spellStart"/>
      <w:r w:rsidRPr="002B5E31">
        <w:t>Tromsø</w:t>
      </w:r>
      <w:proofErr w:type="spellEnd"/>
      <w:r w:rsidRPr="002B5E31">
        <w:t>, N.</w:t>
      </w:r>
    </w:p>
    <w:p w14:paraId="49AC8647" w14:textId="68402A0E" w:rsidR="00A711E0" w:rsidRPr="002B5E31" w:rsidRDefault="00A711E0" w:rsidP="002B5E31">
      <w:pPr>
        <w:pStyle w:val="CETReferencetext"/>
      </w:pPr>
      <w:r w:rsidRPr="002B5E31">
        <w:t xml:space="preserve">EPPR, 2017b, Impact of Arctic </w:t>
      </w:r>
      <w:proofErr w:type="spellStart"/>
      <w:r w:rsidRPr="002B5E31">
        <w:t>metocean</w:t>
      </w:r>
      <w:proofErr w:type="spellEnd"/>
      <w:r w:rsidRPr="002B5E31">
        <w:t xml:space="preserve"> conditions on oil spill response: results of the first circumpolar response viability analysis. Poster prepared by Arctic Council Emergency Prevention Preparedness and Response, DNV GL and Nuka Research and Planning Group LLC.</w:t>
      </w:r>
    </w:p>
    <w:p w14:paraId="0033CB11" w14:textId="67F17665" w:rsidR="00B9238C" w:rsidRPr="002B5E31" w:rsidRDefault="000F7B74" w:rsidP="002B5E31">
      <w:pPr>
        <w:pStyle w:val="CETReferencetext"/>
      </w:pPr>
      <w:r w:rsidRPr="002B5E31">
        <w:t>GEBCO, 2020</w:t>
      </w:r>
      <w:r w:rsidR="00B9238C" w:rsidRPr="002B5E31">
        <w:t>, General Bathymetric Chart of the Oc</w:t>
      </w:r>
      <w:r w:rsidRPr="002B5E31">
        <w:t>eans &lt;www.gebco.net&gt; accessed 30.03.2020</w:t>
      </w:r>
      <w:r w:rsidR="00B9238C" w:rsidRPr="002B5E31">
        <w:t>.</w:t>
      </w:r>
    </w:p>
    <w:p w14:paraId="5E01F536" w14:textId="57479BE6" w:rsidR="00B9238C" w:rsidRPr="002B5E31" w:rsidRDefault="000F7B74" w:rsidP="002B5E31">
      <w:pPr>
        <w:pStyle w:val="CETReferencetext"/>
      </w:pPr>
      <w:r w:rsidRPr="002B5E31">
        <w:t>GSHHG, 2020</w:t>
      </w:r>
      <w:r w:rsidR="00B9238C" w:rsidRPr="002B5E31">
        <w:t>, Global Self-Consistent Hierarchical High-Resolution Geography Database &lt;www.soest.hawai</w:t>
      </w:r>
      <w:r w:rsidRPr="002B5E31">
        <w:t>i.edu/wessel/gshhg/&gt; accessed 30.03.2020</w:t>
      </w:r>
      <w:r w:rsidR="00B9238C" w:rsidRPr="002B5E31">
        <w:t>.</w:t>
      </w:r>
    </w:p>
    <w:p w14:paraId="7DD73A26" w14:textId="5BEAC1D5" w:rsidR="0078008F" w:rsidRPr="002B5E31" w:rsidRDefault="000F7B74" w:rsidP="002B5E31">
      <w:pPr>
        <w:pStyle w:val="CETReferencetext"/>
      </w:pPr>
      <w:r w:rsidRPr="002B5E31">
        <w:t>IPGP, 2020, &lt;www.ipgp.fr/&gt; accessed 30.03.2020</w:t>
      </w:r>
      <w:r w:rsidR="0078008F" w:rsidRPr="002B5E31">
        <w:t>.</w:t>
      </w:r>
    </w:p>
    <w:p w14:paraId="01DA8CED" w14:textId="6BDD7A40" w:rsidR="0046549B" w:rsidRPr="002B5E31" w:rsidRDefault="0046549B" w:rsidP="002B5E31">
      <w:pPr>
        <w:pStyle w:val="CETReferencetext"/>
      </w:pPr>
      <w:proofErr w:type="spellStart"/>
      <w:r w:rsidRPr="002B5E31">
        <w:t>Laborde</w:t>
      </w:r>
      <w:proofErr w:type="spellEnd"/>
      <w:r w:rsidRPr="002B5E31">
        <w:t xml:space="preserve"> D., </w:t>
      </w:r>
      <w:proofErr w:type="spellStart"/>
      <w:r w:rsidRPr="002B5E31">
        <w:t>Wenke</w:t>
      </w:r>
      <w:proofErr w:type="spellEnd"/>
      <w:r w:rsidRPr="002B5E31">
        <w:t xml:space="preserve"> A., </w:t>
      </w:r>
      <w:proofErr w:type="spellStart"/>
      <w:r w:rsidRPr="002B5E31">
        <w:t>Aarnes</w:t>
      </w:r>
      <w:proofErr w:type="spellEnd"/>
      <w:r w:rsidRPr="002B5E31">
        <w:t xml:space="preserve"> Ø., </w:t>
      </w:r>
      <w:proofErr w:type="spellStart"/>
      <w:r w:rsidRPr="002B5E31">
        <w:t>Rudberg</w:t>
      </w:r>
      <w:proofErr w:type="spellEnd"/>
      <w:r w:rsidRPr="002B5E31">
        <w:t xml:space="preserve"> A., </w:t>
      </w:r>
      <w:proofErr w:type="spellStart"/>
      <w:r w:rsidRPr="002B5E31">
        <w:t>Endresen</w:t>
      </w:r>
      <w:proofErr w:type="spellEnd"/>
      <w:r w:rsidRPr="002B5E31">
        <w:t xml:space="preserve"> Ø., 2015, Platform for Oil Spill Response Gap Analysis Case Barents and Norwegian Seas, paper presented at the 12th OMC - Offshore Mediterranean Conference and Exhibition held in Ravenna (I), 25-27 March 2015.</w:t>
      </w:r>
      <w:r w:rsidR="00C15923" w:rsidRPr="002B5E31">
        <w:t>.</w:t>
      </w:r>
    </w:p>
    <w:p w14:paraId="6589A074" w14:textId="6C43CDE4" w:rsidR="00C15923" w:rsidRPr="002B5E31" w:rsidRDefault="000F7B74" w:rsidP="002B5E31">
      <w:pPr>
        <w:pStyle w:val="CETReferencetext"/>
      </w:pPr>
      <w:proofErr w:type="spellStart"/>
      <w:r w:rsidRPr="002B5E31">
        <w:t>Mathworks</w:t>
      </w:r>
      <w:proofErr w:type="spellEnd"/>
      <w:r w:rsidRPr="002B5E31">
        <w:t>, 2020</w:t>
      </w:r>
      <w:r w:rsidR="00C15923" w:rsidRPr="002B5E31">
        <w:t>, &lt;it.mathworks.com/products/mat</w:t>
      </w:r>
      <w:r w:rsidRPr="002B5E31">
        <w:t>lab.html&gt; accessed 30.03.2020</w:t>
      </w:r>
    </w:p>
    <w:p w14:paraId="154EB1A4" w14:textId="2F3F7E1E" w:rsidR="00A711E0" w:rsidRPr="002B5E31" w:rsidRDefault="00A711E0" w:rsidP="002B5E31">
      <w:pPr>
        <w:pStyle w:val="CETReferencetext"/>
      </w:pPr>
      <w:r w:rsidRPr="002B5E31">
        <w:t xml:space="preserve">NUKA, 2006, Response gap methods. Report to Prince William Sound Regional Citizens’ Advisory Council. Valdez AK, Nuka Research and Planning Group LLC, </w:t>
      </w:r>
      <w:proofErr w:type="spellStart"/>
      <w:r w:rsidRPr="002B5E31">
        <w:t>Seldovia</w:t>
      </w:r>
      <w:proofErr w:type="spellEnd"/>
      <w:r w:rsidRPr="002B5E31">
        <w:t xml:space="preserve"> AK, US.</w:t>
      </w:r>
    </w:p>
    <w:p w14:paraId="0701A18B" w14:textId="081BACFB" w:rsidR="00A711E0" w:rsidRPr="002B5E31" w:rsidRDefault="00A711E0" w:rsidP="002B5E31">
      <w:pPr>
        <w:pStyle w:val="CETReferencetext"/>
      </w:pPr>
      <w:r w:rsidRPr="002B5E31">
        <w:t xml:space="preserve">NUKA, 2007, Response gap estimate for two operating areas in Prince William Sound, Alaska. Report to Prince William Sound Regional Citizens’ Advisory Council. Valdez AK, Nuka Research and Planning Group LLC, </w:t>
      </w:r>
      <w:proofErr w:type="spellStart"/>
      <w:r w:rsidRPr="002B5E31">
        <w:t>Seldovia</w:t>
      </w:r>
      <w:proofErr w:type="spellEnd"/>
      <w:r w:rsidRPr="002B5E31">
        <w:t xml:space="preserve"> AK, US.</w:t>
      </w:r>
    </w:p>
    <w:p w14:paraId="649F177A" w14:textId="4DEE5271" w:rsidR="00A711E0" w:rsidRPr="002B5E31" w:rsidRDefault="00A711E0" w:rsidP="002B5E31">
      <w:pPr>
        <w:pStyle w:val="CETReferencetext"/>
      </w:pPr>
      <w:r w:rsidRPr="002B5E31">
        <w:t xml:space="preserve">NUKA, 2008, Non-mechanical response gap estimate for two operating areas in Prince William Sound, Alaska. Report to Prince William Sound Regional Citizens’ Advisory Council. Valdez AK, Nuka Research and Planning Group LLC, </w:t>
      </w:r>
      <w:proofErr w:type="spellStart"/>
      <w:r w:rsidRPr="002B5E31">
        <w:t>Seldovia</w:t>
      </w:r>
      <w:proofErr w:type="spellEnd"/>
      <w:r w:rsidRPr="002B5E31">
        <w:t xml:space="preserve"> AK, US.</w:t>
      </w:r>
    </w:p>
    <w:p w14:paraId="4654962F" w14:textId="7C9FFCE6" w:rsidR="00A711E0" w:rsidRPr="002B5E31" w:rsidRDefault="00A711E0" w:rsidP="002B5E31">
      <w:pPr>
        <w:pStyle w:val="CETReferencetext"/>
      </w:pPr>
      <w:r w:rsidRPr="002B5E31">
        <w:t xml:space="preserve">NUKA, 2012, Oil spill response gap and response capacity analysis for proposed Northern Gateway tanker spills in open water and protected water operating environments. Report to </w:t>
      </w:r>
      <w:proofErr w:type="spellStart"/>
      <w:r w:rsidRPr="002B5E31">
        <w:t>Haisla</w:t>
      </w:r>
      <w:proofErr w:type="spellEnd"/>
      <w:r w:rsidRPr="002B5E31">
        <w:t xml:space="preserve"> National Council, Nuka Research and Planning Group LLC, </w:t>
      </w:r>
      <w:proofErr w:type="spellStart"/>
      <w:r w:rsidRPr="002B5E31">
        <w:t>Seldovia</w:t>
      </w:r>
      <w:proofErr w:type="spellEnd"/>
      <w:r w:rsidRPr="002B5E31">
        <w:t xml:space="preserve"> AK, US.</w:t>
      </w:r>
    </w:p>
    <w:p w14:paraId="3612745F" w14:textId="7F0EDA00" w:rsidR="00A711E0" w:rsidRPr="002B5E31" w:rsidRDefault="00A711E0" w:rsidP="002B5E31">
      <w:pPr>
        <w:pStyle w:val="CETReferencetext"/>
      </w:pPr>
      <w:r w:rsidRPr="002B5E31">
        <w:t xml:space="preserve">NUKA, 2014, Impact of Environmental Conditions on Vessel Incident Response in the Aleutian Islands: a Response Gap Analysis, Nuka Research and Planning Group LLC, </w:t>
      </w:r>
      <w:proofErr w:type="spellStart"/>
      <w:r w:rsidRPr="002B5E31">
        <w:t>Seldovia</w:t>
      </w:r>
      <w:proofErr w:type="spellEnd"/>
      <w:r w:rsidRPr="002B5E31">
        <w:t xml:space="preserve"> AK, US.</w:t>
      </w:r>
    </w:p>
    <w:p w14:paraId="7D073E8B" w14:textId="71CB16B2" w:rsidR="00A711E0" w:rsidRPr="002B5E31" w:rsidRDefault="00A711E0" w:rsidP="002B5E31">
      <w:pPr>
        <w:pStyle w:val="CETReferencetext"/>
      </w:pPr>
      <w:r w:rsidRPr="002B5E31">
        <w:t xml:space="preserve">NUKA, 2015, Oil spill response analysis. Technical Analysis of Oil Spill Response Capabilities and Limitations for Trans Mountain Expansion Project. Report to </w:t>
      </w:r>
      <w:proofErr w:type="spellStart"/>
      <w:r w:rsidRPr="002B5E31">
        <w:t>Tsleil-Waututh</w:t>
      </w:r>
      <w:proofErr w:type="spellEnd"/>
      <w:r w:rsidRPr="002B5E31">
        <w:t xml:space="preserve"> Nation, City of Vancouver, Nuka Research and Planning Group LLC, </w:t>
      </w:r>
      <w:proofErr w:type="spellStart"/>
      <w:r w:rsidRPr="002B5E31">
        <w:t>Seldovia</w:t>
      </w:r>
      <w:proofErr w:type="spellEnd"/>
      <w:r w:rsidRPr="002B5E31">
        <w:t xml:space="preserve"> AK and Plymouth MA, US.</w:t>
      </w:r>
    </w:p>
    <w:p w14:paraId="19F75921" w14:textId="3AE4B806" w:rsidR="00A711E0" w:rsidRPr="002B5E31" w:rsidRDefault="00A711E0" w:rsidP="002B5E31">
      <w:pPr>
        <w:pStyle w:val="CETReferencetext"/>
      </w:pPr>
      <w:r w:rsidRPr="002B5E31">
        <w:t xml:space="preserve">NUKA, 2016, Estimating an oil spill response gap to the U.S. Arctic Ocean. Nuka Research and Planning Group LLC, </w:t>
      </w:r>
      <w:proofErr w:type="spellStart"/>
      <w:r w:rsidRPr="002B5E31">
        <w:t>Seldovia</w:t>
      </w:r>
      <w:proofErr w:type="spellEnd"/>
      <w:r w:rsidRPr="002B5E31">
        <w:t xml:space="preserve"> AK, US.</w:t>
      </w:r>
    </w:p>
    <w:p w14:paraId="44E46089" w14:textId="1C416631" w:rsidR="0046549B" w:rsidRPr="002B5E31" w:rsidRDefault="0046549B" w:rsidP="002B5E31">
      <w:pPr>
        <w:pStyle w:val="CETReferencetext"/>
      </w:pPr>
      <w:proofErr w:type="spellStart"/>
      <w:r w:rsidRPr="002B5E31">
        <w:t>SLRoss</w:t>
      </w:r>
      <w:proofErr w:type="spellEnd"/>
      <w:r w:rsidRPr="002B5E31">
        <w:t>, 2011, Spill Response Gap Study for the Canadian Beaufort Sea and the Canadian Davis Strait, S.L. Ross Environmental Research Ltd, Ottawa ON, CA.</w:t>
      </w:r>
    </w:p>
    <w:p w14:paraId="2D49AB81" w14:textId="0D4E9DF9" w:rsidR="00A711E0" w:rsidRPr="002B5E31" w:rsidRDefault="00A711E0" w:rsidP="002B5E31">
      <w:pPr>
        <w:pStyle w:val="CETReferencetext"/>
      </w:pPr>
      <w:proofErr w:type="spellStart"/>
      <w:r w:rsidRPr="002B5E31">
        <w:t>Spansvoll</w:t>
      </w:r>
      <w:proofErr w:type="spellEnd"/>
      <w:r w:rsidRPr="002B5E31">
        <w:t xml:space="preserve"> C.A., </w:t>
      </w:r>
      <w:proofErr w:type="spellStart"/>
      <w:r w:rsidRPr="002B5E31">
        <w:t>Wenke</w:t>
      </w:r>
      <w:proofErr w:type="spellEnd"/>
      <w:r w:rsidRPr="002B5E31">
        <w:t xml:space="preserve"> A., </w:t>
      </w:r>
      <w:proofErr w:type="spellStart"/>
      <w:r w:rsidRPr="002B5E31">
        <w:t>Brude</w:t>
      </w:r>
      <w:proofErr w:type="spellEnd"/>
      <w:r w:rsidRPr="002B5E31">
        <w:t xml:space="preserve"> O.W., Solberg K.E., Holst-Andersen J.P., 2015, Oil Spill Contingency Study - Greenland – Summary Report, prepared by DNV GL and Defence Command Denmark</w:t>
      </w:r>
      <w:r w:rsidR="0046549B" w:rsidRPr="002B5E31">
        <w:t>.</w:t>
      </w:r>
    </w:p>
    <w:p w14:paraId="7E454096" w14:textId="1C980AC9" w:rsidR="00A711E0" w:rsidRPr="002B5E31" w:rsidRDefault="0046549B" w:rsidP="002B5E31">
      <w:pPr>
        <w:pStyle w:val="CETReferencetext"/>
      </w:pPr>
      <w:proofErr w:type="spellStart"/>
      <w:r w:rsidRPr="002B5E31">
        <w:t>Spansvoll</w:t>
      </w:r>
      <w:proofErr w:type="spellEnd"/>
      <w:r w:rsidRPr="002B5E31">
        <w:t xml:space="preserve"> C.A., </w:t>
      </w:r>
      <w:proofErr w:type="spellStart"/>
      <w:r w:rsidRPr="002B5E31">
        <w:t>Wenke</w:t>
      </w:r>
      <w:proofErr w:type="spellEnd"/>
      <w:r w:rsidRPr="002B5E31">
        <w:t xml:space="preserve"> A., </w:t>
      </w:r>
      <w:proofErr w:type="spellStart"/>
      <w:r w:rsidRPr="002B5E31">
        <w:t>Brude</w:t>
      </w:r>
      <w:proofErr w:type="spellEnd"/>
      <w:r w:rsidRPr="002B5E31">
        <w:t xml:space="preserve"> O.W., Solberg K.E., Holst-Andersen J.P., 2016,</w:t>
      </w:r>
      <w:r w:rsidR="00A711E0" w:rsidRPr="002B5E31">
        <w:t xml:space="preserve"> Oil Spill Contingency Study for Greenland – Risk Reduction and Oil Spill Response, presented at the SPE Society of Petroleum Engineers International Conference on Health, Safety, Security, Environment and Social Responsibility held in Stavanger (N), 11-13 April 2016</w:t>
      </w:r>
      <w:r w:rsidRPr="002B5E31">
        <w:t>.</w:t>
      </w:r>
    </w:p>
    <w:p w14:paraId="20CAE8A4" w14:textId="4DA1B9F8" w:rsidR="00C15923" w:rsidRPr="002B5E31" w:rsidRDefault="00A711E0" w:rsidP="002B5E31">
      <w:pPr>
        <w:pStyle w:val="CETReferencetext"/>
      </w:pPr>
      <w:proofErr w:type="spellStart"/>
      <w:r w:rsidRPr="002B5E31">
        <w:t>Terhune</w:t>
      </w:r>
      <w:proofErr w:type="spellEnd"/>
      <w:r w:rsidRPr="002B5E31">
        <w:t xml:space="preserve"> K., 2011, Preliminary mechanical response gap analysis for the Enbridge Northern Gateway Project, Living Oceans Society, </w:t>
      </w:r>
      <w:proofErr w:type="spellStart"/>
      <w:r w:rsidRPr="002B5E31">
        <w:t>Sointula</w:t>
      </w:r>
      <w:proofErr w:type="spellEnd"/>
      <w:r w:rsidRPr="002B5E31">
        <w:t xml:space="preserve"> BC, CA.</w:t>
      </w:r>
    </w:p>
    <w:sectPr w:rsidR="00C15923" w:rsidRPr="002B5E3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3A972" w14:textId="77777777" w:rsidR="0072693D" w:rsidRDefault="0072693D" w:rsidP="004F5E36">
      <w:r>
        <w:separator/>
      </w:r>
    </w:p>
  </w:endnote>
  <w:endnote w:type="continuationSeparator" w:id="0">
    <w:p w14:paraId="14C999F5" w14:textId="77777777" w:rsidR="0072693D" w:rsidRDefault="0072693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5D27F" w14:textId="77777777" w:rsidR="00DD1418" w:rsidRDefault="00DD141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445DE" w14:textId="77777777" w:rsidR="00DD1418" w:rsidRDefault="00DD1418">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3720" w14:textId="77777777" w:rsidR="00DD1418" w:rsidRDefault="00DD141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A107C" w14:textId="77777777" w:rsidR="0072693D" w:rsidRDefault="0072693D" w:rsidP="004F5E36">
      <w:r>
        <w:separator/>
      </w:r>
    </w:p>
  </w:footnote>
  <w:footnote w:type="continuationSeparator" w:id="0">
    <w:p w14:paraId="427F8680" w14:textId="77777777" w:rsidR="0072693D" w:rsidRDefault="0072693D" w:rsidP="004F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3281E" w14:textId="77777777" w:rsidR="00DD1418" w:rsidRDefault="00DD141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0CED4" w14:textId="77777777" w:rsidR="00DD1418" w:rsidRDefault="00DD1418">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5DC34" w14:textId="77777777" w:rsidR="00DD1418" w:rsidRDefault="00DD141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C46663E"/>
    <w:multiLevelType w:val="hybridMultilevel"/>
    <w:tmpl w:val="6CD8366E"/>
    <w:lvl w:ilvl="0" w:tplc="D48EFA20">
      <w:start w:val="1"/>
      <w:numFmt w:val="lowerLetter"/>
      <w:lvlText w:val="%1."/>
      <w:lvlJc w:val="left"/>
      <w:pPr>
        <w:ind w:left="453" w:hanging="420"/>
      </w:pPr>
      <w:rPr>
        <w:rFonts w:hint="default"/>
        <w:color w:val="00B0F0"/>
      </w:rPr>
    </w:lvl>
    <w:lvl w:ilvl="1" w:tplc="04100019" w:tentative="1">
      <w:start w:val="1"/>
      <w:numFmt w:val="lowerLetter"/>
      <w:lvlText w:val="%2."/>
      <w:lvlJc w:val="left"/>
      <w:pPr>
        <w:ind w:left="1113" w:hanging="360"/>
      </w:pPr>
    </w:lvl>
    <w:lvl w:ilvl="2" w:tplc="0410001B" w:tentative="1">
      <w:start w:val="1"/>
      <w:numFmt w:val="lowerRoman"/>
      <w:lvlText w:val="%3."/>
      <w:lvlJc w:val="right"/>
      <w:pPr>
        <w:ind w:left="1833" w:hanging="180"/>
      </w:pPr>
    </w:lvl>
    <w:lvl w:ilvl="3" w:tplc="0410000F" w:tentative="1">
      <w:start w:val="1"/>
      <w:numFmt w:val="decimal"/>
      <w:lvlText w:val="%4."/>
      <w:lvlJc w:val="left"/>
      <w:pPr>
        <w:ind w:left="2553" w:hanging="360"/>
      </w:pPr>
    </w:lvl>
    <w:lvl w:ilvl="4" w:tplc="04100019" w:tentative="1">
      <w:start w:val="1"/>
      <w:numFmt w:val="lowerLetter"/>
      <w:lvlText w:val="%5."/>
      <w:lvlJc w:val="left"/>
      <w:pPr>
        <w:ind w:left="3273" w:hanging="360"/>
      </w:pPr>
    </w:lvl>
    <w:lvl w:ilvl="5" w:tplc="0410001B" w:tentative="1">
      <w:start w:val="1"/>
      <w:numFmt w:val="lowerRoman"/>
      <w:lvlText w:val="%6."/>
      <w:lvlJc w:val="right"/>
      <w:pPr>
        <w:ind w:left="3993" w:hanging="180"/>
      </w:pPr>
    </w:lvl>
    <w:lvl w:ilvl="6" w:tplc="0410000F" w:tentative="1">
      <w:start w:val="1"/>
      <w:numFmt w:val="decimal"/>
      <w:lvlText w:val="%7."/>
      <w:lvlJc w:val="left"/>
      <w:pPr>
        <w:ind w:left="4713" w:hanging="360"/>
      </w:pPr>
    </w:lvl>
    <w:lvl w:ilvl="7" w:tplc="04100019" w:tentative="1">
      <w:start w:val="1"/>
      <w:numFmt w:val="lowerLetter"/>
      <w:lvlText w:val="%8."/>
      <w:lvlJc w:val="left"/>
      <w:pPr>
        <w:ind w:left="5433" w:hanging="360"/>
      </w:pPr>
    </w:lvl>
    <w:lvl w:ilvl="8" w:tplc="0410001B" w:tentative="1">
      <w:start w:val="1"/>
      <w:numFmt w:val="lowerRoman"/>
      <w:lvlText w:val="%9."/>
      <w:lvlJc w:val="right"/>
      <w:pPr>
        <w:ind w:left="6153" w:hanging="180"/>
      </w:p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2AB35E68"/>
    <w:multiLevelType w:val="hybridMultilevel"/>
    <w:tmpl w:val="A0CC26A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1684258"/>
    <w:multiLevelType w:val="hybridMultilevel"/>
    <w:tmpl w:val="FA02DD50"/>
    <w:lvl w:ilvl="0" w:tplc="F222A76A">
      <w:start w:val="1"/>
      <w:numFmt w:val="bullet"/>
      <w:pStyle w:val="references"/>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FE77A83"/>
    <w:multiLevelType w:val="hybridMultilevel"/>
    <w:tmpl w:val="5ED0A65E"/>
    <w:lvl w:ilvl="0" w:tplc="F142221C">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3"/>
  </w:num>
  <w:num w:numId="16">
    <w:abstractNumId w:val="22"/>
  </w:num>
  <w:num w:numId="17">
    <w:abstractNumId w:val="13"/>
  </w:num>
  <w:num w:numId="18">
    <w:abstractNumId w:val="14"/>
    <w:lvlOverride w:ilvl="0">
      <w:startOverride w:val="1"/>
    </w:lvlOverride>
  </w:num>
  <w:num w:numId="19">
    <w:abstractNumId w:val="18"/>
  </w:num>
  <w:num w:numId="20">
    <w:abstractNumId w:val="16"/>
  </w:num>
  <w:num w:numId="21">
    <w:abstractNumId w:val="15"/>
  </w:num>
  <w:num w:numId="22">
    <w:abstractNumId w:val="10"/>
  </w:num>
  <w:num w:numId="23">
    <w:abstractNumId w:val="17"/>
  </w:num>
  <w:num w:numId="24">
    <w:abstractNumId w:val="2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7B6C"/>
    <w:rsid w:val="0003148D"/>
    <w:rsid w:val="00045172"/>
    <w:rsid w:val="00051566"/>
    <w:rsid w:val="00062A9A"/>
    <w:rsid w:val="00063A64"/>
    <w:rsid w:val="00065058"/>
    <w:rsid w:val="00086C39"/>
    <w:rsid w:val="0009279C"/>
    <w:rsid w:val="00097C16"/>
    <w:rsid w:val="000A03B2"/>
    <w:rsid w:val="000D2B1D"/>
    <w:rsid w:val="000D34BE"/>
    <w:rsid w:val="000D621E"/>
    <w:rsid w:val="000E102F"/>
    <w:rsid w:val="000E36F1"/>
    <w:rsid w:val="000E3A73"/>
    <w:rsid w:val="000E414A"/>
    <w:rsid w:val="000F093C"/>
    <w:rsid w:val="000F1DFF"/>
    <w:rsid w:val="000F787B"/>
    <w:rsid w:val="000F7B74"/>
    <w:rsid w:val="00102175"/>
    <w:rsid w:val="001139ED"/>
    <w:rsid w:val="0012091F"/>
    <w:rsid w:val="00126BC2"/>
    <w:rsid w:val="001308B6"/>
    <w:rsid w:val="0013121F"/>
    <w:rsid w:val="00131FE6"/>
    <w:rsid w:val="0013263F"/>
    <w:rsid w:val="00134DE4"/>
    <w:rsid w:val="0014034D"/>
    <w:rsid w:val="00143FE6"/>
    <w:rsid w:val="0014464F"/>
    <w:rsid w:val="00150E59"/>
    <w:rsid w:val="00152DE3"/>
    <w:rsid w:val="00162BC0"/>
    <w:rsid w:val="00164CF9"/>
    <w:rsid w:val="00184AD6"/>
    <w:rsid w:val="001A5B78"/>
    <w:rsid w:val="001B0349"/>
    <w:rsid w:val="001B65C1"/>
    <w:rsid w:val="001C684B"/>
    <w:rsid w:val="001D1213"/>
    <w:rsid w:val="001D53FC"/>
    <w:rsid w:val="001D5794"/>
    <w:rsid w:val="001F1B2D"/>
    <w:rsid w:val="001F42A5"/>
    <w:rsid w:val="001F7B9D"/>
    <w:rsid w:val="00220669"/>
    <w:rsid w:val="002224B4"/>
    <w:rsid w:val="00227580"/>
    <w:rsid w:val="002310E9"/>
    <w:rsid w:val="0023495A"/>
    <w:rsid w:val="002447EF"/>
    <w:rsid w:val="00250186"/>
    <w:rsid w:val="00251550"/>
    <w:rsid w:val="00256FD5"/>
    <w:rsid w:val="00263B05"/>
    <w:rsid w:val="0027221A"/>
    <w:rsid w:val="00275B61"/>
    <w:rsid w:val="00282656"/>
    <w:rsid w:val="00296B83"/>
    <w:rsid w:val="002B5E31"/>
    <w:rsid w:val="002B78CE"/>
    <w:rsid w:val="002C2FB6"/>
    <w:rsid w:val="003009B7"/>
    <w:rsid w:val="00300E56"/>
    <w:rsid w:val="0030469C"/>
    <w:rsid w:val="00321CA6"/>
    <w:rsid w:val="00334C09"/>
    <w:rsid w:val="00343BD5"/>
    <w:rsid w:val="00356800"/>
    <w:rsid w:val="003723D4"/>
    <w:rsid w:val="00383F4B"/>
    <w:rsid w:val="00384CC8"/>
    <w:rsid w:val="003871FD"/>
    <w:rsid w:val="003A0052"/>
    <w:rsid w:val="003A1E30"/>
    <w:rsid w:val="003A7D1C"/>
    <w:rsid w:val="003B304B"/>
    <w:rsid w:val="003B3146"/>
    <w:rsid w:val="003F015E"/>
    <w:rsid w:val="00400414"/>
    <w:rsid w:val="0041446B"/>
    <w:rsid w:val="0044329C"/>
    <w:rsid w:val="004577FE"/>
    <w:rsid w:val="00457B9C"/>
    <w:rsid w:val="0046164A"/>
    <w:rsid w:val="004628D2"/>
    <w:rsid w:val="00462DCD"/>
    <w:rsid w:val="004648AD"/>
    <w:rsid w:val="0046549B"/>
    <w:rsid w:val="004703A9"/>
    <w:rsid w:val="004760DE"/>
    <w:rsid w:val="0049363E"/>
    <w:rsid w:val="004A004E"/>
    <w:rsid w:val="004A24CF"/>
    <w:rsid w:val="004C3D1D"/>
    <w:rsid w:val="004C7913"/>
    <w:rsid w:val="004D3028"/>
    <w:rsid w:val="004D72DA"/>
    <w:rsid w:val="004E295D"/>
    <w:rsid w:val="004E4DD6"/>
    <w:rsid w:val="004F264F"/>
    <w:rsid w:val="004F5E36"/>
    <w:rsid w:val="00507B47"/>
    <w:rsid w:val="00507CC9"/>
    <w:rsid w:val="005119A5"/>
    <w:rsid w:val="00516D93"/>
    <w:rsid w:val="005278B7"/>
    <w:rsid w:val="00532016"/>
    <w:rsid w:val="005346C8"/>
    <w:rsid w:val="00543E7D"/>
    <w:rsid w:val="00544EAB"/>
    <w:rsid w:val="00547A68"/>
    <w:rsid w:val="005531C9"/>
    <w:rsid w:val="00585A4B"/>
    <w:rsid w:val="005A3E9C"/>
    <w:rsid w:val="005B2110"/>
    <w:rsid w:val="005B61E6"/>
    <w:rsid w:val="005C77E1"/>
    <w:rsid w:val="005D6A2F"/>
    <w:rsid w:val="005E1A82"/>
    <w:rsid w:val="005E794C"/>
    <w:rsid w:val="005F0A28"/>
    <w:rsid w:val="005F0E5E"/>
    <w:rsid w:val="00600535"/>
    <w:rsid w:val="00610CD6"/>
    <w:rsid w:val="00620C11"/>
    <w:rsid w:val="00620DEE"/>
    <w:rsid w:val="00621F92"/>
    <w:rsid w:val="00625639"/>
    <w:rsid w:val="00631B33"/>
    <w:rsid w:val="0064184D"/>
    <w:rsid w:val="00660E3E"/>
    <w:rsid w:val="00662E74"/>
    <w:rsid w:val="00680C23"/>
    <w:rsid w:val="006839EC"/>
    <w:rsid w:val="00693766"/>
    <w:rsid w:val="006A3281"/>
    <w:rsid w:val="006A5438"/>
    <w:rsid w:val="006B4888"/>
    <w:rsid w:val="006C2E45"/>
    <w:rsid w:val="006C2F8C"/>
    <w:rsid w:val="006C359C"/>
    <w:rsid w:val="006C5579"/>
    <w:rsid w:val="006E737D"/>
    <w:rsid w:val="00710EA3"/>
    <w:rsid w:val="00720A24"/>
    <w:rsid w:val="0072693D"/>
    <w:rsid w:val="00732386"/>
    <w:rsid w:val="007447F3"/>
    <w:rsid w:val="00747F20"/>
    <w:rsid w:val="0075499F"/>
    <w:rsid w:val="00756EA4"/>
    <w:rsid w:val="007661C8"/>
    <w:rsid w:val="0077098D"/>
    <w:rsid w:val="0078008F"/>
    <w:rsid w:val="007A7BBA"/>
    <w:rsid w:val="007B0C50"/>
    <w:rsid w:val="007B2D17"/>
    <w:rsid w:val="007B642A"/>
    <w:rsid w:val="007C1A43"/>
    <w:rsid w:val="007D614B"/>
    <w:rsid w:val="007E7EB2"/>
    <w:rsid w:val="007F19D4"/>
    <w:rsid w:val="00813288"/>
    <w:rsid w:val="008168FC"/>
    <w:rsid w:val="00830996"/>
    <w:rsid w:val="008345F1"/>
    <w:rsid w:val="00865B07"/>
    <w:rsid w:val="008667EA"/>
    <w:rsid w:val="00872882"/>
    <w:rsid w:val="00873D70"/>
    <w:rsid w:val="0087637F"/>
    <w:rsid w:val="00886B10"/>
    <w:rsid w:val="00892AD5"/>
    <w:rsid w:val="00896E5C"/>
    <w:rsid w:val="008A1512"/>
    <w:rsid w:val="008B0C1C"/>
    <w:rsid w:val="008D433B"/>
    <w:rsid w:val="008E566E"/>
    <w:rsid w:val="0090161A"/>
    <w:rsid w:val="00901EB6"/>
    <w:rsid w:val="00904C62"/>
    <w:rsid w:val="00924DAC"/>
    <w:rsid w:val="00927058"/>
    <w:rsid w:val="009450CE"/>
    <w:rsid w:val="00947179"/>
    <w:rsid w:val="0095164B"/>
    <w:rsid w:val="00954090"/>
    <w:rsid w:val="009573E7"/>
    <w:rsid w:val="00963E05"/>
    <w:rsid w:val="00967D54"/>
    <w:rsid w:val="00996483"/>
    <w:rsid w:val="00996F5A"/>
    <w:rsid w:val="009A0590"/>
    <w:rsid w:val="009B041A"/>
    <w:rsid w:val="009C6FB8"/>
    <w:rsid w:val="009C7C86"/>
    <w:rsid w:val="009D2FF7"/>
    <w:rsid w:val="009D3F9E"/>
    <w:rsid w:val="009E7884"/>
    <w:rsid w:val="009E788A"/>
    <w:rsid w:val="009F0E08"/>
    <w:rsid w:val="009F7F64"/>
    <w:rsid w:val="00A1763D"/>
    <w:rsid w:val="00A17CEC"/>
    <w:rsid w:val="00A27EF0"/>
    <w:rsid w:val="00A50B20"/>
    <w:rsid w:val="00A51390"/>
    <w:rsid w:val="00A5763C"/>
    <w:rsid w:val="00A60D13"/>
    <w:rsid w:val="00A711E0"/>
    <w:rsid w:val="00A72745"/>
    <w:rsid w:val="00A76EFC"/>
    <w:rsid w:val="00A91010"/>
    <w:rsid w:val="00A97F29"/>
    <w:rsid w:val="00AA702E"/>
    <w:rsid w:val="00AB0964"/>
    <w:rsid w:val="00AB5011"/>
    <w:rsid w:val="00AC0079"/>
    <w:rsid w:val="00AC7368"/>
    <w:rsid w:val="00AD16B9"/>
    <w:rsid w:val="00AE377D"/>
    <w:rsid w:val="00B17FBD"/>
    <w:rsid w:val="00B315A6"/>
    <w:rsid w:val="00B31813"/>
    <w:rsid w:val="00B33365"/>
    <w:rsid w:val="00B358F4"/>
    <w:rsid w:val="00B4010C"/>
    <w:rsid w:val="00B57B36"/>
    <w:rsid w:val="00B8686D"/>
    <w:rsid w:val="00B9238C"/>
    <w:rsid w:val="00B9288D"/>
    <w:rsid w:val="00B97B5B"/>
    <w:rsid w:val="00BC30C9"/>
    <w:rsid w:val="00BE3E58"/>
    <w:rsid w:val="00C01616"/>
    <w:rsid w:val="00C0162B"/>
    <w:rsid w:val="00C15923"/>
    <w:rsid w:val="00C345B1"/>
    <w:rsid w:val="00C40142"/>
    <w:rsid w:val="00C57182"/>
    <w:rsid w:val="00C57863"/>
    <w:rsid w:val="00C655FD"/>
    <w:rsid w:val="00C71FB5"/>
    <w:rsid w:val="00C870A8"/>
    <w:rsid w:val="00C94434"/>
    <w:rsid w:val="00CA0D75"/>
    <w:rsid w:val="00CA1C95"/>
    <w:rsid w:val="00CA5A9C"/>
    <w:rsid w:val="00CC375B"/>
    <w:rsid w:val="00CD5FE2"/>
    <w:rsid w:val="00CE7C68"/>
    <w:rsid w:val="00D02B4C"/>
    <w:rsid w:val="00D040C4"/>
    <w:rsid w:val="00D21324"/>
    <w:rsid w:val="00D40B7C"/>
    <w:rsid w:val="00D57C84"/>
    <w:rsid w:val="00D6057D"/>
    <w:rsid w:val="00D760FE"/>
    <w:rsid w:val="00D84576"/>
    <w:rsid w:val="00DA1399"/>
    <w:rsid w:val="00DA24C6"/>
    <w:rsid w:val="00DA4D7B"/>
    <w:rsid w:val="00DA6075"/>
    <w:rsid w:val="00DA6119"/>
    <w:rsid w:val="00DA65A9"/>
    <w:rsid w:val="00DD1418"/>
    <w:rsid w:val="00DE264A"/>
    <w:rsid w:val="00DE54D8"/>
    <w:rsid w:val="00DF1C6C"/>
    <w:rsid w:val="00E02D18"/>
    <w:rsid w:val="00E041E7"/>
    <w:rsid w:val="00E146A4"/>
    <w:rsid w:val="00E23CA1"/>
    <w:rsid w:val="00E409A8"/>
    <w:rsid w:val="00E44E79"/>
    <w:rsid w:val="00E50C12"/>
    <w:rsid w:val="00E63141"/>
    <w:rsid w:val="00E65B91"/>
    <w:rsid w:val="00E7209D"/>
    <w:rsid w:val="00E77223"/>
    <w:rsid w:val="00E8528B"/>
    <w:rsid w:val="00E85B94"/>
    <w:rsid w:val="00E8789A"/>
    <w:rsid w:val="00E978D0"/>
    <w:rsid w:val="00EA4613"/>
    <w:rsid w:val="00EA7F91"/>
    <w:rsid w:val="00EB1523"/>
    <w:rsid w:val="00EB7876"/>
    <w:rsid w:val="00EC0E49"/>
    <w:rsid w:val="00EE0131"/>
    <w:rsid w:val="00EF2394"/>
    <w:rsid w:val="00F30C64"/>
    <w:rsid w:val="00F32CDB"/>
    <w:rsid w:val="00F63A70"/>
    <w:rsid w:val="00F863CC"/>
    <w:rsid w:val="00FA21D0"/>
    <w:rsid w:val="00FA5F5F"/>
    <w:rsid w:val="00FB730C"/>
    <w:rsid w:val="00FC2695"/>
    <w:rsid w:val="00FC3E03"/>
    <w:rsid w:val="00FC3FC1"/>
    <w:rsid w:val="00FD2984"/>
    <w:rsid w:val="00FE3B96"/>
    <w:rsid w:val="00FE480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TITOLO1Carattere0">
    <w:name w:val="TITOLO1 Carattere"/>
    <w:basedOn w:val="Carpredefinitoparagrafo"/>
    <w:link w:val="TITOLO10"/>
    <w:locked/>
    <w:rsid w:val="000F1DFF"/>
    <w:rPr>
      <w:rFonts w:ascii="Times New Roman" w:eastAsiaTheme="minorEastAsia" w:hAnsi="Times New Roman" w:cstheme="minorHAnsi"/>
      <w:b/>
      <w:color w:val="0099FF"/>
      <w:sz w:val="28"/>
      <w:szCs w:val="28"/>
      <w:lang w:eastAsia="it-IT"/>
    </w:rPr>
  </w:style>
  <w:style w:type="paragraph" w:customStyle="1" w:styleId="TITOLO10">
    <w:name w:val="TITOLO1"/>
    <w:basedOn w:val="Paragrafoelenco"/>
    <w:link w:val="TITOLO1Carattere0"/>
    <w:qFormat/>
    <w:rsid w:val="000F1DFF"/>
    <w:pPr>
      <w:tabs>
        <w:tab w:val="clear" w:pos="7100"/>
        <w:tab w:val="left" w:pos="567"/>
      </w:tabs>
      <w:spacing w:before="480" w:after="240" w:line="240" w:lineRule="auto"/>
      <w:ind w:left="567" w:hanging="567"/>
    </w:pPr>
    <w:rPr>
      <w:rFonts w:ascii="Times New Roman" w:eastAsiaTheme="minorEastAsia" w:hAnsi="Times New Roman" w:cstheme="minorHAnsi"/>
      <w:b/>
      <w:color w:val="0099FF"/>
      <w:sz w:val="28"/>
      <w:szCs w:val="28"/>
      <w:lang w:val="it-IT" w:eastAsia="it-IT"/>
    </w:rPr>
  </w:style>
  <w:style w:type="paragraph" w:styleId="Paragrafoelenco">
    <w:name w:val="List Paragraph"/>
    <w:basedOn w:val="Normale"/>
    <w:link w:val="ParagrafoelencoCarattere"/>
    <w:uiPriority w:val="34"/>
    <w:qFormat/>
    <w:rsid w:val="000F1DFF"/>
    <w:pPr>
      <w:ind w:left="720"/>
      <w:contextualSpacing/>
    </w:pPr>
  </w:style>
  <w:style w:type="character" w:customStyle="1" w:styleId="ParagrafoelencoCarattere">
    <w:name w:val="Paragrafo elenco Carattere"/>
    <w:basedOn w:val="Carpredefinitoparagrafo"/>
    <w:link w:val="Paragrafoelenco"/>
    <w:uiPriority w:val="34"/>
    <w:rsid w:val="00D760FE"/>
    <w:rPr>
      <w:rFonts w:ascii="Arial" w:eastAsia="Times New Roman" w:hAnsi="Arial" w:cs="Times New Roman"/>
      <w:sz w:val="18"/>
      <w:szCs w:val="20"/>
      <w:lang w:val="en-GB"/>
    </w:rPr>
  </w:style>
  <w:style w:type="paragraph" w:customStyle="1" w:styleId="references">
    <w:name w:val="references"/>
    <w:basedOn w:val="Normale"/>
    <w:qFormat/>
    <w:rsid w:val="0009279C"/>
    <w:pPr>
      <w:numPr>
        <w:numId w:val="23"/>
      </w:numPr>
      <w:tabs>
        <w:tab w:val="clear" w:pos="7100"/>
        <w:tab w:val="left" w:pos="284"/>
      </w:tabs>
      <w:spacing w:after="60" w:line="240" w:lineRule="auto"/>
      <w:ind w:left="284" w:hanging="284"/>
    </w:pPr>
    <w:rPr>
      <w:rFonts w:asciiTheme="minorHAnsi" w:eastAsiaTheme="minorEastAsia" w:hAnsiTheme="minorHAnsi" w:cstheme="minorBidi"/>
      <w:sz w:val="22"/>
      <w:szCs w:val="22"/>
      <w:lang w:val="it-IT" w:eastAsia="it-IT"/>
    </w:rPr>
  </w:style>
  <w:style w:type="character" w:customStyle="1" w:styleId="UnresolvedMention">
    <w:name w:val="Unresolved Mention"/>
    <w:basedOn w:val="Carpredefinitoparagrafo"/>
    <w:uiPriority w:val="99"/>
    <w:semiHidden/>
    <w:unhideWhenUsed/>
    <w:rsid w:val="00E44E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TITOLO1Carattere0">
    <w:name w:val="TITOLO1 Carattere"/>
    <w:basedOn w:val="Carpredefinitoparagrafo"/>
    <w:link w:val="TITOLO10"/>
    <w:locked/>
    <w:rsid w:val="000F1DFF"/>
    <w:rPr>
      <w:rFonts w:ascii="Times New Roman" w:eastAsiaTheme="minorEastAsia" w:hAnsi="Times New Roman" w:cstheme="minorHAnsi"/>
      <w:b/>
      <w:color w:val="0099FF"/>
      <w:sz w:val="28"/>
      <w:szCs w:val="28"/>
      <w:lang w:eastAsia="it-IT"/>
    </w:rPr>
  </w:style>
  <w:style w:type="paragraph" w:customStyle="1" w:styleId="TITOLO10">
    <w:name w:val="TITOLO1"/>
    <w:basedOn w:val="Paragrafoelenco"/>
    <w:link w:val="TITOLO1Carattere0"/>
    <w:qFormat/>
    <w:rsid w:val="000F1DFF"/>
    <w:pPr>
      <w:tabs>
        <w:tab w:val="clear" w:pos="7100"/>
        <w:tab w:val="left" w:pos="567"/>
      </w:tabs>
      <w:spacing w:before="480" w:after="240" w:line="240" w:lineRule="auto"/>
      <w:ind w:left="567" w:hanging="567"/>
    </w:pPr>
    <w:rPr>
      <w:rFonts w:ascii="Times New Roman" w:eastAsiaTheme="minorEastAsia" w:hAnsi="Times New Roman" w:cstheme="minorHAnsi"/>
      <w:b/>
      <w:color w:val="0099FF"/>
      <w:sz w:val="28"/>
      <w:szCs w:val="28"/>
      <w:lang w:val="it-IT" w:eastAsia="it-IT"/>
    </w:rPr>
  </w:style>
  <w:style w:type="paragraph" w:styleId="Paragrafoelenco">
    <w:name w:val="List Paragraph"/>
    <w:basedOn w:val="Normale"/>
    <w:link w:val="ParagrafoelencoCarattere"/>
    <w:uiPriority w:val="34"/>
    <w:qFormat/>
    <w:rsid w:val="000F1DFF"/>
    <w:pPr>
      <w:ind w:left="720"/>
      <w:contextualSpacing/>
    </w:pPr>
  </w:style>
  <w:style w:type="character" w:customStyle="1" w:styleId="ParagrafoelencoCarattere">
    <w:name w:val="Paragrafo elenco Carattere"/>
    <w:basedOn w:val="Carpredefinitoparagrafo"/>
    <w:link w:val="Paragrafoelenco"/>
    <w:uiPriority w:val="34"/>
    <w:rsid w:val="00D760FE"/>
    <w:rPr>
      <w:rFonts w:ascii="Arial" w:eastAsia="Times New Roman" w:hAnsi="Arial" w:cs="Times New Roman"/>
      <w:sz w:val="18"/>
      <w:szCs w:val="20"/>
      <w:lang w:val="en-GB"/>
    </w:rPr>
  </w:style>
  <w:style w:type="paragraph" w:customStyle="1" w:styleId="references">
    <w:name w:val="references"/>
    <w:basedOn w:val="Normale"/>
    <w:qFormat/>
    <w:rsid w:val="0009279C"/>
    <w:pPr>
      <w:numPr>
        <w:numId w:val="23"/>
      </w:numPr>
      <w:tabs>
        <w:tab w:val="clear" w:pos="7100"/>
        <w:tab w:val="left" w:pos="284"/>
      </w:tabs>
      <w:spacing w:after="60" w:line="240" w:lineRule="auto"/>
      <w:ind w:left="284" w:hanging="284"/>
    </w:pPr>
    <w:rPr>
      <w:rFonts w:asciiTheme="minorHAnsi" w:eastAsiaTheme="minorEastAsia" w:hAnsiTheme="minorHAnsi" w:cstheme="minorBidi"/>
      <w:sz w:val="22"/>
      <w:szCs w:val="22"/>
      <w:lang w:val="it-IT" w:eastAsia="it-IT"/>
    </w:rPr>
  </w:style>
  <w:style w:type="character" w:customStyle="1" w:styleId="UnresolvedMention">
    <w:name w:val="Unresolved Mention"/>
    <w:basedOn w:val="Carpredefinitoparagrafo"/>
    <w:uiPriority w:val="99"/>
    <w:semiHidden/>
    <w:unhideWhenUsed/>
    <w:rsid w:val="00E44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0638">
      <w:bodyDiv w:val="1"/>
      <w:marLeft w:val="0"/>
      <w:marRight w:val="0"/>
      <w:marTop w:val="0"/>
      <w:marBottom w:val="0"/>
      <w:divBdr>
        <w:top w:val="none" w:sz="0" w:space="0" w:color="auto"/>
        <w:left w:val="none" w:sz="0" w:space="0" w:color="auto"/>
        <w:bottom w:val="none" w:sz="0" w:space="0" w:color="auto"/>
        <w:right w:val="none" w:sz="0" w:space="0" w:color="auto"/>
      </w:divBdr>
    </w:div>
    <w:div w:id="65491281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4113">
      <w:bodyDiv w:val="1"/>
      <w:marLeft w:val="0"/>
      <w:marRight w:val="0"/>
      <w:marTop w:val="0"/>
      <w:marBottom w:val="0"/>
      <w:divBdr>
        <w:top w:val="none" w:sz="0" w:space="0" w:color="auto"/>
        <w:left w:val="none" w:sz="0" w:space="0" w:color="auto"/>
        <w:bottom w:val="none" w:sz="0" w:space="0" w:color="auto"/>
        <w:right w:val="none" w:sz="0" w:space="0" w:color="auto"/>
      </w:divBdr>
    </w:div>
    <w:div w:id="166215532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sarah.bonvicini@unibo.i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9A2A6-2BF2-4183-9E46-12EFBA0F1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3366</Words>
  <Characters>19558</Characters>
  <Application>Microsoft Office Word</Application>
  <DocSecurity>0</DocSecurity>
  <Lines>310</Lines>
  <Paragraphs>130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12</cp:revision>
  <cp:lastPrinted>2015-05-12T18:31:00Z</cp:lastPrinted>
  <dcterms:created xsi:type="dcterms:W3CDTF">2020-03-26T09:21:00Z</dcterms:created>
  <dcterms:modified xsi:type="dcterms:W3CDTF">2020-08-31T13:16:00Z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