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082" w:rsidRPr="00196E3C" w:rsidRDefault="00DA6082" w:rsidP="00DA6082">
      <w:pPr>
        <w:rPr>
          <w:rFonts w:ascii="Tahoma" w:hAnsi="Tahoma" w:cs="Tahoma"/>
          <w:b/>
          <w:color w:val="000000"/>
          <w:sz w:val="32"/>
          <w:szCs w:val="32"/>
          <w:lang w:val="en-US"/>
        </w:rPr>
      </w:pPr>
      <w:r w:rsidRPr="00196E3C">
        <w:rPr>
          <w:rFonts w:ascii="Tahoma" w:hAnsi="Tahoma" w:cs="Tahoma"/>
          <w:b/>
          <w:color w:val="000000"/>
          <w:sz w:val="32"/>
          <w:szCs w:val="32"/>
          <w:lang w:val="en-US"/>
        </w:rPr>
        <w:t>Plenary lecture</w:t>
      </w:r>
    </w:p>
    <w:p w:rsidR="00DA6082" w:rsidRDefault="00DA6082" w:rsidP="00DA6082">
      <w:pPr>
        <w:rPr>
          <w:rFonts w:ascii="Tahoma" w:hAnsi="Tahoma" w:cs="Tahoma"/>
          <w:b/>
          <w:color w:val="000000"/>
          <w:sz w:val="20"/>
          <w:szCs w:val="20"/>
          <w:lang w:val="en-US"/>
        </w:rPr>
      </w:pPr>
    </w:p>
    <w:p w:rsidR="00DA6082" w:rsidRPr="00DA6082" w:rsidRDefault="00DA6082" w:rsidP="00DA6082">
      <w:pPr>
        <w:rPr>
          <w:rFonts w:ascii="Tahoma" w:hAnsi="Tahoma" w:cs="Tahoma"/>
          <w:b/>
          <w:color w:val="000000"/>
          <w:sz w:val="24"/>
          <w:szCs w:val="24"/>
          <w:lang w:val="en-US"/>
        </w:rPr>
      </w:pPr>
      <w:r w:rsidRPr="00DA6082">
        <w:rPr>
          <w:rFonts w:ascii="Tahoma" w:hAnsi="Tahoma" w:cs="Tahoma"/>
          <w:b/>
          <w:color w:val="000000"/>
          <w:sz w:val="24"/>
          <w:szCs w:val="24"/>
          <w:lang w:val="en-US"/>
        </w:rPr>
        <w:t>Explosions in the Process Industry: state of the art and future research</w:t>
      </w:r>
    </w:p>
    <w:p w:rsidR="00051FD1" w:rsidRDefault="00DA6082" w:rsidP="00DA6082">
      <w:pPr>
        <w:spacing w:after="0" w:line="240" w:lineRule="auto"/>
        <w:rPr>
          <w:rFonts w:ascii="Tahoma" w:hAnsi="Tahoma" w:cs="Tahoma"/>
          <w:bCs/>
          <w:i/>
          <w:color w:val="000000"/>
          <w:sz w:val="24"/>
          <w:szCs w:val="24"/>
        </w:rPr>
      </w:pPr>
      <w:r w:rsidRPr="00DA6082">
        <w:rPr>
          <w:rFonts w:ascii="Tahoma" w:hAnsi="Tahoma" w:cs="Tahoma"/>
          <w:bCs/>
          <w:i/>
          <w:color w:val="000000"/>
          <w:sz w:val="24"/>
          <w:szCs w:val="24"/>
        </w:rPr>
        <w:t>Ernesto Salzano</w:t>
      </w:r>
    </w:p>
    <w:p w:rsidR="00DA6082" w:rsidRPr="00DA6082" w:rsidRDefault="00DA6082" w:rsidP="00DA6082">
      <w:pPr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 w:rsidRPr="00DA6082">
        <w:rPr>
          <w:rFonts w:ascii="Tahoma" w:hAnsi="Tahoma" w:cs="Tahoma"/>
          <w:color w:val="000000"/>
          <w:sz w:val="20"/>
          <w:szCs w:val="20"/>
        </w:rPr>
        <w:t>Istituto di Ricerc</w:t>
      </w:r>
      <w:r>
        <w:rPr>
          <w:rFonts w:ascii="Tahoma" w:hAnsi="Tahoma" w:cs="Tahoma"/>
          <w:color w:val="000000"/>
          <w:sz w:val="20"/>
          <w:szCs w:val="20"/>
        </w:rPr>
        <w:t>he</w:t>
      </w:r>
      <w:r w:rsidRPr="00DA6082">
        <w:rPr>
          <w:rFonts w:ascii="Tahoma" w:hAnsi="Tahoma" w:cs="Tahoma"/>
          <w:color w:val="000000"/>
          <w:sz w:val="20"/>
          <w:szCs w:val="20"/>
        </w:rPr>
        <w:t xml:space="preserve"> sulla Combustion</w:t>
      </w:r>
      <w:r>
        <w:rPr>
          <w:rFonts w:ascii="Tahoma" w:hAnsi="Tahoma" w:cs="Tahoma"/>
          <w:color w:val="000000"/>
          <w:sz w:val="20"/>
          <w:szCs w:val="20"/>
        </w:rPr>
        <w:t xml:space="preserve">e, CNR, </w:t>
      </w:r>
      <w:r w:rsidRPr="00DA6082">
        <w:rPr>
          <w:rFonts w:ascii="Tahoma" w:hAnsi="Tahoma" w:cs="Tahoma"/>
          <w:color w:val="000000"/>
          <w:sz w:val="20"/>
          <w:szCs w:val="20"/>
        </w:rPr>
        <w:t>via Diocleziano 328, Napoli, 80124, Italy.</w:t>
      </w:r>
    </w:p>
    <w:p w:rsidR="00DA6082" w:rsidRPr="00921BE4" w:rsidRDefault="00DA6082" w:rsidP="00DA6082">
      <w:pPr>
        <w:spacing w:after="0" w:line="240" w:lineRule="auto"/>
        <w:rPr>
          <w:rFonts w:ascii="Tahoma" w:hAnsi="Tahoma" w:cs="Tahoma"/>
          <w:color w:val="000000"/>
          <w:sz w:val="20"/>
          <w:szCs w:val="20"/>
          <w:lang w:val="en-US"/>
        </w:rPr>
      </w:pPr>
      <w:r w:rsidRPr="00921BE4">
        <w:rPr>
          <w:rFonts w:ascii="Tahoma" w:hAnsi="Tahoma" w:cs="Tahoma"/>
          <w:color w:val="000000"/>
          <w:sz w:val="20"/>
          <w:szCs w:val="20"/>
          <w:lang w:val="en-US"/>
        </w:rPr>
        <w:t xml:space="preserve">Phone: +39 0817621922, Fax: +39 0817622915, Cell: +39 3475879041 </w:t>
      </w:r>
    </w:p>
    <w:p w:rsidR="00DA6082" w:rsidRPr="00921BE4" w:rsidRDefault="00DA6082" w:rsidP="00DA6082">
      <w:pPr>
        <w:spacing w:after="0" w:line="240" w:lineRule="auto"/>
        <w:rPr>
          <w:rFonts w:ascii="Tahoma" w:hAnsi="Tahoma" w:cs="Tahoma"/>
          <w:color w:val="000000"/>
          <w:sz w:val="20"/>
          <w:szCs w:val="20"/>
          <w:lang w:val="en-US"/>
        </w:rPr>
      </w:pPr>
      <w:r w:rsidRPr="00921BE4">
        <w:rPr>
          <w:rFonts w:ascii="Tahoma" w:hAnsi="Tahoma" w:cs="Tahoma"/>
          <w:color w:val="000000"/>
          <w:sz w:val="20"/>
          <w:szCs w:val="20"/>
          <w:lang w:val="en-US"/>
        </w:rPr>
        <w:t>E-mail: salzano@irc.cnr.it</w:t>
      </w:r>
    </w:p>
    <w:p w:rsidR="00DA6082" w:rsidRDefault="00DA6082" w:rsidP="008C37C7">
      <w:pPr>
        <w:spacing w:after="0" w:line="240" w:lineRule="auto"/>
        <w:jc w:val="both"/>
        <w:rPr>
          <w:rFonts w:ascii="Arial" w:eastAsia="Batang" w:hAnsi="Arial" w:cs="Arial"/>
          <w:sz w:val="20"/>
          <w:szCs w:val="20"/>
          <w:lang w:val="en-US" w:eastAsia="ko-KR"/>
        </w:rPr>
      </w:pPr>
    </w:p>
    <w:p w:rsidR="002E7561" w:rsidRDefault="002E7561" w:rsidP="0071792A">
      <w:pPr>
        <w:spacing w:after="120" w:line="240" w:lineRule="auto"/>
        <w:jc w:val="both"/>
        <w:rPr>
          <w:rFonts w:ascii="Arial" w:eastAsia="Batang" w:hAnsi="Arial" w:cs="Arial"/>
          <w:b/>
          <w:i/>
          <w:sz w:val="20"/>
          <w:szCs w:val="20"/>
          <w:lang w:val="en-US" w:eastAsia="ko-KR"/>
        </w:rPr>
      </w:pPr>
    </w:p>
    <w:p w:rsidR="0071792A" w:rsidRPr="0071792A" w:rsidRDefault="0071792A" w:rsidP="0071792A">
      <w:pPr>
        <w:spacing w:after="120" w:line="240" w:lineRule="auto"/>
        <w:jc w:val="both"/>
        <w:rPr>
          <w:rFonts w:ascii="Arial" w:eastAsia="Batang" w:hAnsi="Arial" w:cs="Arial"/>
          <w:b/>
          <w:i/>
          <w:sz w:val="20"/>
          <w:szCs w:val="20"/>
          <w:lang w:val="en-US" w:eastAsia="ko-KR"/>
        </w:rPr>
      </w:pPr>
      <w:bookmarkStart w:id="0" w:name="_GoBack"/>
      <w:bookmarkEnd w:id="0"/>
      <w:r w:rsidRPr="0071792A">
        <w:rPr>
          <w:rFonts w:ascii="Arial" w:eastAsia="Batang" w:hAnsi="Arial" w:cs="Arial"/>
          <w:b/>
          <w:i/>
          <w:sz w:val="20"/>
          <w:szCs w:val="20"/>
          <w:lang w:val="en-US" w:eastAsia="ko-KR"/>
        </w:rPr>
        <w:t>Abstract</w:t>
      </w:r>
    </w:p>
    <w:p w:rsidR="002031F4" w:rsidRDefault="000E200B" w:rsidP="000E200B">
      <w:pPr>
        <w:spacing w:after="0" w:line="240" w:lineRule="auto"/>
        <w:jc w:val="both"/>
        <w:rPr>
          <w:rFonts w:ascii="Arial" w:eastAsia="Batang" w:hAnsi="Arial" w:cs="Arial"/>
          <w:sz w:val="20"/>
          <w:szCs w:val="20"/>
          <w:lang w:val="en-US" w:eastAsia="ko-KR"/>
        </w:rPr>
      </w:pPr>
      <w:r>
        <w:rPr>
          <w:rFonts w:ascii="Arial" w:eastAsia="Batang" w:hAnsi="Arial" w:cs="Arial"/>
          <w:sz w:val="20"/>
          <w:szCs w:val="20"/>
          <w:lang w:val="en-US" w:eastAsia="ko-KR"/>
        </w:rPr>
        <w:t>T</w:t>
      </w:r>
      <w:r w:rsidR="00F04A51" w:rsidRPr="00EC3126">
        <w:rPr>
          <w:rFonts w:ascii="Arial" w:eastAsia="Batang" w:hAnsi="Arial" w:cs="Arial"/>
          <w:sz w:val="20"/>
          <w:szCs w:val="20"/>
          <w:lang w:val="en-US" w:eastAsia="ko-KR"/>
        </w:rPr>
        <w:t xml:space="preserve">he term explosion </w:t>
      </w:r>
      <w:r>
        <w:rPr>
          <w:rFonts w:ascii="Arial" w:eastAsia="Batang" w:hAnsi="Arial" w:cs="Arial"/>
          <w:sz w:val="20"/>
          <w:szCs w:val="20"/>
          <w:lang w:val="en-US" w:eastAsia="ko-KR"/>
        </w:rPr>
        <w:t xml:space="preserve">corresponds, in its broader sense, </w:t>
      </w:r>
      <w:r w:rsidR="00F04A51" w:rsidRPr="00EC3126">
        <w:rPr>
          <w:rFonts w:ascii="Arial" w:eastAsia="Batang" w:hAnsi="Arial" w:cs="Arial"/>
          <w:sz w:val="20"/>
          <w:szCs w:val="20"/>
          <w:lang w:val="en-US" w:eastAsia="ko-KR"/>
        </w:rPr>
        <w:t>to a</w:t>
      </w:r>
      <w:r w:rsidR="00F04A51">
        <w:rPr>
          <w:rFonts w:ascii="Arial" w:eastAsia="Batang" w:hAnsi="Arial" w:cs="Arial"/>
          <w:sz w:val="20"/>
          <w:szCs w:val="20"/>
          <w:lang w:val="en-US" w:eastAsia="ko-KR"/>
        </w:rPr>
        <w:t>ny</w:t>
      </w:r>
      <w:r w:rsidR="00F04A51" w:rsidRPr="00EC3126">
        <w:rPr>
          <w:rFonts w:ascii="Arial" w:eastAsia="Batang" w:hAnsi="Arial" w:cs="Arial"/>
          <w:sz w:val="20"/>
          <w:szCs w:val="20"/>
          <w:lang w:val="en-US" w:eastAsia="ko-KR"/>
        </w:rPr>
        <w:t xml:space="preserve"> rapid heat release or pressure rise</w:t>
      </w:r>
      <w:r>
        <w:rPr>
          <w:rFonts w:ascii="Arial" w:eastAsia="Batang" w:hAnsi="Arial" w:cs="Arial"/>
          <w:sz w:val="20"/>
          <w:szCs w:val="20"/>
          <w:lang w:val="en-US" w:eastAsia="ko-KR"/>
        </w:rPr>
        <w:t xml:space="preserve"> which is able to produce damage</w:t>
      </w:r>
      <w:r w:rsidR="00F04A51" w:rsidRPr="00EC3126">
        <w:rPr>
          <w:rFonts w:ascii="Arial" w:eastAsia="Batang" w:hAnsi="Arial" w:cs="Arial"/>
          <w:sz w:val="20"/>
          <w:szCs w:val="20"/>
          <w:lang w:val="en-US" w:eastAsia="ko-KR"/>
        </w:rPr>
        <w:t xml:space="preserve">. </w:t>
      </w:r>
      <w:r w:rsidR="00F04A51">
        <w:rPr>
          <w:rFonts w:ascii="Arial" w:eastAsia="Batang" w:hAnsi="Arial" w:cs="Arial"/>
          <w:sz w:val="20"/>
          <w:szCs w:val="20"/>
          <w:lang w:val="en-US" w:eastAsia="ko-KR"/>
        </w:rPr>
        <w:t xml:space="preserve">Even restricting to the process industry, this definition applies to a number of physical and chemical phenomena. A classical </w:t>
      </w:r>
      <w:r>
        <w:rPr>
          <w:rFonts w:ascii="Arial" w:eastAsia="Batang" w:hAnsi="Arial" w:cs="Arial"/>
          <w:sz w:val="20"/>
          <w:szCs w:val="20"/>
          <w:lang w:val="en-US" w:eastAsia="ko-KR"/>
        </w:rPr>
        <w:t>and useful outline</w:t>
      </w:r>
      <w:r w:rsidR="00F04A51">
        <w:rPr>
          <w:rFonts w:ascii="Arial" w:eastAsia="Batang" w:hAnsi="Arial" w:cs="Arial"/>
          <w:sz w:val="20"/>
          <w:szCs w:val="20"/>
          <w:lang w:val="en-US" w:eastAsia="ko-KR"/>
        </w:rPr>
        <w:t xml:space="preserve">, commonly adopted in industrial contexts, </w:t>
      </w:r>
      <w:r>
        <w:rPr>
          <w:rFonts w:ascii="Arial" w:eastAsia="Batang" w:hAnsi="Arial" w:cs="Arial"/>
          <w:sz w:val="20"/>
          <w:szCs w:val="20"/>
          <w:lang w:val="en-US" w:eastAsia="ko-KR"/>
        </w:rPr>
        <w:t xml:space="preserve">is based on </w:t>
      </w:r>
      <w:r w:rsidR="00F04A51">
        <w:rPr>
          <w:rFonts w:ascii="Arial" w:eastAsia="Batang" w:hAnsi="Arial" w:cs="Arial"/>
          <w:sz w:val="20"/>
          <w:szCs w:val="20"/>
          <w:lang w:val="en-US" w:eastAsia="ko-KR"/>
        </w:rPr>
        <w:t xml:space="preserve">the accidental scenarios: </w:t>
      </w:r>
      <w:proofErr w:type="spellStart"/>
      <w:r w:rsidR="00F04A51">
        <w:rPr>
          <w:rFonts w:ascii="Arial" w:eastAsia="Batang" w:hAnsi="Arial" w:cs="Arial"/>
          <w:sz w:val="20"/>
          <w:szCs w:val="20"/>
          <w:lang w:val="en-US" w:eastAsia="ko-KR"/>
        </w:rPr>
        <w:t>i</w:t>
      </w:r>
      <w:proofErr w:type="spellEnd"/>
      <w:r w:rsidR="00F04A51">
        <w:rPr>
          <w:rFonts w:ascii="Arial" w:eastAsia="Batang" w:hAnsi="Arial" w:cs="Arial"/>
          <w:sz w:val="20"/>
          <w:szCs w:val="20"/>
          <w:lang w:val="en-US" w:eastAsia="ko-KR"/>
        </w:rPr>
        <w:t xml:space="preserve">) gas, </w:t>
      </w:r>
      <w:proofErr w:type="spellStart"/>
      <w:r w:rsidR="00F04A51">
        <w:rPr>
          <w:rFonts w:ascii="Arial" w:eastAsia="Batang" w:hAnsi="Arial" w:cs="Arial"/>
          <w:sz w:val="20"/>
          <w:szCs w:val="20"/>
          <w:lang w:val="en-US" w:eastAsia="ko-KR"/>
        </w:rPr>
        <w:t>vapour</w:t>
      </w:r>
      <w:proofErr w:type="spellEnd"/>
      <w:r w:rsidR="00F04A51">
        <w:rPr>
          <w:rFonts w:ascii="Arial" w:eastAsia="Batang" w:hAnsi="Arial" w:cs="Arial"/>
          <w:sz w:val="20"/>
          <w:szCs w:val="20"/>
          <w:lang w:val="en-US" w:eastAsia="ko-KR"/>
        </w:rPr>
        <w:t xml:space="preserve"> and dust explosion in confined</w:t>
      </w:r>
      <w:r w:rsidR="002031F4">
        <w:rPr>
          <w:rFonts w:ascii="Arial" w:eastAsia="Batang" w:hAnsi="Arial" w:cs="Arial"/>
          <w:sz w:val="20"/>
          <w:szCs w:val="20"/>
          <w:lang w:val="en-US" w:eastAsia="ko-KR"/>
        </w:rPr>
        <w:t>, partially confined</w:t>
      </w:r>
      <w:r w:rsidR="00F04A51">
        <w:rPr>
          <w:rFonts w:ascii="Arial" w:eastAsia="Batang" w:hAnsi="Arial" w:cs="Arial"/>
          <w:sz w:val="20"/>
          <w:szCs w:val="20"/>
          <w:lang w:val="en-US" w:eastAsia="ko-KR"/>
        </w:rPr>
        <w:t xml:space="preserve"> and unconfined systems, for combustion-related scenarios; ii) boiling-liquid expanding vapour explosion and rapid phase transitions, for the case of</w:t>
      </w:r>
      <w:r w:rsidR="002031F4">
        <w:rPr>
          <w:rFonts w:ascii="Arial" w:eastAsia="Batang" w:hAnsi="Arial" w:cs="Arial"/>
          <w:sz w:val="20"/>
          <w:szCs w:val="20"/>
          <w:lang w:val="en-US" w:eastAsia="ko-KR"/>
        </w:rPr>
        <w:t xml:space="preserve"> </w:t>
      </w:r>
      <w:r w:rsidR="00F04A51">
        <w:rPr>
          <w:rFonts w:ascii="Arial" w:eastAsia="Batang" w:hAnsi="Arial" w:cs="Arial"/>
          <w:sz w:val="20"/>
          <w:szCs w:val="20"/>
          <w:lang w:val="en-US" w:eastAsia="ko-KR"/>
        </w:rPr>
        <w:t>super-heated liquid</w:t>
      </w:r>
      <w:r w:rsidR="002031F4">
        <w:rPr>
          <w:rFonts w:ascii="Arial" w:eastAsia="Batang" w:hAnsi="Arial" w:cs="Arial"/>
          <w:sz w:val="20"/>
          <w:szCs w:val="20"/>
          <w:lang w:val="en-US" w:eastAsia="ko-KR"/>
        </w:rPr>
        <w:t>s</w:t>
      </w:r>
      <w:r w:rsidR="00F04A51">
        <w:rPr>
          <w:rFonts w:ascii="Arial" w:eastAsia="Batang" w:hAnsi="Arial" w:cs="Arial"/>
          <w:sz w:val="20"/>
          <w:szCs w:val="20"/>
          <w:lang w:val="en-US" w:eastAsia="ko-KR"/>
        </w:rPr>
        <w:t xml:space="preserve">; iii) condensed-phase or point-source explosion, for the case </w:t>
      </w:r>
      <w:r w:rsidR="002031F4">
        <w:rPr>
          <w:rFonts w:ascii="Arial" w:eastAsia="Batang" w:hAnsi="Arial" w:cs="Arial"/>
          <w:sz w:val="20"/>
          <w:szCs w:val="20"/>
          <w:lang w:val="en-US" w:eastAsia="ko-KR"/>
        </w:rPr>
        <w:t xml:space="preserve">of (solid and liquid) pyrotechnic, propellant and </w:t>
      </w:r>
      <w:r w:rsidR="00F04A51">
        <w:rPr>
          <w:rFonts w:ascii="Arial" w:eastAsia="Batang" w:hAnsi="Arial" w:cs="Arial"/>
          <w:sz w:val="20"/>
          <w:szCs w:val="20"/>
          <w:lang w:val="en-US" w:eastAsia="ko-KR"/>
        </w:rPr>
        <w:t>explosive</w:t>
      </w:r>
      <w:r w:rsidR="002031F4">
        <w:rPr>
          <w:rFonts w:ascii="Arial" w:eastAsia="Batang" w:hAnsi="Arial" w:cs="Arial"/>
          <w:sz w:val="20"/>
          <w:szCs w:val="20"/>
          <w:lang w:val="en-US" w:eastAsia="ko-KR"/>
        </w:rPr>
        <w:t xml:space="preserve"> substances</w:t>
      </w:r>
      <w:r w:rsidR="00F04A51">
        <w:rPr>
          <w:rFonts w:ascii="Arial" w:eastAsia="Batang" w:hAnsi="Arial" w:cs="Arial"/>
          <w:sz w:val="20"/>
          <w:szCs w:val="20"/>
          <w:lang w:val="en-US" w:eastAsia="ko-KR"/>
        </w:rPr>
        <w:t xml:space="preserve">; iv) </w:t>
      </w:r>
      <w:r>
        <w:rPr>
          <w:rFonts w:ascii="Arial" w:eastAsia="Batang" w:hAnsi="Arial" w:cs="Arial"/>
          <w:sz w:val="20"/>
          <w:szCs w:val="20"/>
          <w:lang w:val="en-US" w:eastAsia="ko-KR"/>
        </w:rPr>
        <w:t xml:space="preserve">confined </w:t>
      </w:r>
      <w:r w:rsidR="00F04A51">
        <w:rPr>
          <w:rFonts w:ascii="Arial" w:eastAsia="Batang" w:hAnsi="Arial" w:cs="Arial"/>
          <w:sz w:val="20"/>
          <w:szCs w:val="20"/>
          <w:lang w:val="en-US" w:eastAsia="ko-KR"/>
        </w:rPr>
        <w:t xml:space="preserve">explosion due to </w:t>
      </w:r>
      <w:r>
        <w:rPr>
          <w:rFonts w:ascii="Arial" w:eastAsia="Batang" w:hAnsi="Arial" w:cs="Arial"/>
          <w:sz w:val="20"/>
          <w:szCs w:val="20"/>
          <w:lang w:val="en-US" w:eastAsia="ko-KR"/>
        </w:rPr>
        <w:t xml:space="preserve">internal </w:t>
      </w:r>
      <w:r w:rsidR="00F04A51">
        <w:rPr>
          <w:rFonts w:ascii="Arial" w:eastAsia="Batang" w:hAnsi="Arial" w:cs="Arial"/>
          <w:sz w:val="20"/>
          <w:szCs w:val="20"/>
          <w:lang w:val="en-US" w:eastAsia="ko-KR"/>
        </w:rPr>
        <w:t xml:space="preserve">compression induced by </w:t>
      </w:r>
      <w:r w:rsidR="002031F4">
        <w:rPr>
          <w:rFonts w:ascii="Arial" w:eastAsia="Batang" w:hAnsi="Arial" w:cs="Arial"/>
          <w:sz w:val="20"/>
          <w:szCs w:val="20"/>
          <w:lang w:val="en-US" w:eastAsia="ko-KR"/>
        </w:rPr>
        <w:t xml:space="preserve">external heating of for the occurrence of </w:t>
      </w:r>
      <w:r w:rsidR="00F04A51">
        <w:rPr>
          <w:rFonts w:ascii="Arial" w:eastAsia="Batang" w:hAnsi="Arial" w:cs="Arial"/>
          <w:sz w:val="20"/>
          <w:szCs w:val="20"/>
          <w:lang w:val="en-US" w:eastAsia="ko-KR"/>
        </w:rPr>
        <w:t xml:space="preserve">runaway reaction with the production of heat </w:t>
      </w:r>
      <w:r>
        <w:rPr>
          <w:rFonts w:ascii="Arial" w:eastAsia="Batang" w:hAnsi="Arial" w:cs="Arial"/>
          <w:sz w:val="20"/>
          <w:szCs w:val="20"/>
          <w:lang w:val="en-US" w:eastAsia="ko-KR"/>
        </w:rPr>
        <w:t xml:space="preserve">and </w:t>
      </w:r>
      <w:r w:rsidR="00F04A51">
        <w:rPr>
          <w:rFonts w:ascii="Arial" w:eastAsia="Batang" w:hAnsi="Arial" w:cs="Arial"/>
          <w:sz w:val="20"/>
          <w:szCs w:val="20"/>
          <w:lang w:val="en-US" w:eastAsia="ko-KR"/>
        </w:rPr>
        <w:t xml:space="preserve">gas. </w:t>
      </w:r>
    </w:p>
    <w:p w:rsidR="000E200B" w:rsidRDefault="000E200B" w:rsidP="000E200B">
      <w:pPr>
        <w:spacing w:after="0" w:line="240" w:lineRule="auto"/>
        <w:jc w:val="both"/>
        <w:rPr>
          <w:rFonts w:ascii="Arial" w:eastAsia="Batang" w:hAnsi="Arial" w:cs="Arial"/>
          <w:sz w:val="20"/>
          <w:szCs w:val="20"/>
          <w:lang w:val="en-US" w:eastAsia="ko-KR"/>
        </w:rPr>
      </w:pPr>
      <w:r>
        <w:rPr>
          <w:rFonts w:ascii="Arial" w:eastAsia="Batang" w:hAnsi="Arial" w:cs="Arial"/>
          <w:sz w:val="20"/>
          <w:szCs w:val="20"/>
          <w:lang w:val="en-US" w:eastAsia="ko-KR"/>
        </w:rPr>
        <w:t>All these phenomena are associated with the production of heat (fir</w:t>
      </w:r>
      <w:r w:rsidR="002031F4">
        <w:rPr>
          <w:rFonts w:ascii="Arial" w:eastAsia="Batang" w:hAnsi="Arial" w:cs="Arial"/>
          <w:sz w:val="20"/>
          <w:szCs w:val="20"/>
          <w:lang w:val="en-US" w:eastAsia="ko-KR"/>
        </w:rPr>
        <w:t>e</w:t>
      </w:r>
      <w:r>
        <w:rPr>
          <w:rFonts w:ascii="Arial" w:eastAsia="Batang" w:hAnsi="Arial" w:cs="Arial"/>
          <w:sz w:val="20"/>
          <w:szCs w:val="20"/>
          <w:lang w:val="en-US" w:eastAsia="ko-KR"/>
        </w:rPr>
        <w:t xml:space="preserve">), fragments, or shock wave, and may produce damage on </w:t>
      </w:r>
      <w:r w:rsidR="002031F4">
        <w:rPr>
          <w:rFonts w:ascii="Arial" w:eastAsia="Batang" w:hAnsi="Arial" w:cs="Arial"/>
          <w:sz w:val="20"/>
          <w:szCs w:val="20"/>
          <w:lang w:val="en-US" w:eastAsia="ko-KR"/>
        </w:rPr>
        <w:t xml:space="preserve">people, equipment, and environment, either directly or un-directly (domino effects). </w:t>
      </w:r>
      <w:r>
        <w:rPr>
          <w:rFonts w:ascii="Arial" w:eastAsia="Batang" w:hAnsi="Arial" w:cs="Arial"/>
          <w:sz w:val="20"/>
          <w:szCs w:val="20"/>
          <w:lang w:val="en-US" w:eastAsia="ko-KR"/>
        </w:rPr>
        <w:t>This paper gives the state-of-the art and the future research needs for the cited industrial explosions, with the specific aims of the design of prevention (pro-active), protection and mitigation system.</w:t>
      </w:r>
    </w:p>
    <w:p w:rsidR="000E200B" w:rsidRDefault="000E200B" w:rsidP="00F04A51">
      <w:pPr>
        <w:spacing w:after="0" w:line="240" w:lineRule="auto"/>
        <w:jc w:val="both"/>
        <w:rPr>
          <w:rFonts w:ascii="Arial" w:eastAsia="Batang" w:hAnsi="Arial" w:cs="Arial"/>
          <w:sz w:val="20"/>
          <w:szCs w:val="20"/>
          <w:lang w:val="en-US" w:eastAsia="ko-KR"/>
        </w:rPr>
      </w:pPr>
    </w:p>
    <w:p w:rsidR="008C37C7" w:rsidRDefault="008C37C7" w:rsidP="00DA6082">
      <w:pPr>
        <w:rPr>
          <w:rFonts w:ascii="Arial" w:eastAsia="Batang" w:hAnsi="Arial" w:cs="Arial"/>
          <w:lang w:val="en-US" w:eastAsia="ko-KR"/>
        </w:rPr>
      </w:pPr>
    </w:p>
    <w:p w:rsidR="008C37C7" w:rsidRDefault="008C37C7" w:rsidP="004314CE">
      <w:pPr>
        <w:spacing w:after="0" w:line="240" w:lineRule="auto"/>
        <w:jc w:val="both"/>
        <w:rPr>
          <w:rFonts w:ascii="Arial" w:eastAsia="Batang" w:hAnsi="Arial" w:cs="Arial"/>
          <w:sz w:val="20"/>
          <w:szCs w:val="20"/>
          <w:lang w:val="en-US" w:eastAsia="ko-KR"/>
        </w:rPr>
      </w:pPr>
    </w:p>
    <w:p w:rsidR="00DA6082" w:rsidRPr="00523A0D" w:rsidRDefault="00DA6082" w:rsidP="00523A0D">
      <w:pPr>
        <w:spacing w:after="0" w:line="240" w:lineRule="auto"/>
        <w:jc w:val="both"/>
        <w:rPr>
          <w:rFonts w:ascii="Arial" w:eastAsia="Batang" w:hAnsi="Arial" w:cs="Arial"/>
          <w:sz w:val="20"/>
          <w:szCs w:val="20"/>
          <w:lang w:val="en-US" w:eastAsia="ko-KR"/>
        </w:rPr>
      </w:pPr>
    </w:p>
    <w:sectPr w:rsidR="00DA6082" w:rsidRPr="00523A0D" w:rsidSect="008B23C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DA6082"/>
    <w:rsid w:val="00051FD1"/>
    <w:rsid w:val="000E200B"/>
    <w:rsid w:val="00196E3C"/>
    <w:rsid w:val="002031F4"/>
    <w:rsid w:val="002D2D8E"/>
    <w:rsid w:val="002E7561"/>
    <w:rsid w:val="00393380"/>
    <w:rsid w:val="00424ABD"/>
    <w:rsid w:val="004314CE"/>
    <w:rsid w:val="00434247"/>
    <w:rsid w:val="00521008"/>
    <w:rsid w:val="00523A0D"/>
    <w:rsid w:val="00661B39"/>
    <w:rsid w:val="0071792A"/>
    <w:rsid w:val="00852EFF"/>
    <w:rsid w:val="008851E8"/>
    <w:rsid w:val="008B23CD"/>
    <w:rsid w:val="008C37C7"/>
    <w:rsid w:val="00921BE4"/>
    <w:rsid w:val="00945E22"/>
    <w:rsid w:val="009F61D6"/>
    <w:rsid w:val="00A906C1"/>
    <w:rsid w:val="00B11B57"/>
    <w:rsid w:val="00B37DC1"/>
    <w:rsid w:val="00C71242"/>
    <w:rsid w:val="00C93176"/>
    <w:rsid w:val="00D000BC"/>
    <w:rsid w:val="00D6689A"/>
    <w:rsid w:val="00DA6082"/>
    <w:rsid w:val="00EC3126"/>
    <w:rsid w:val="00F04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B23C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LP">
    <w:name w:val="LP"/>
    <w:basedOn w:val="Tabellaclassica1"/>
    <w:rsid w:val="00B11B57"/>
    <w:pPr>
      <w:spacing w:after="0" w:line="264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1">
    <w:name w:val="Table Classic 1"/>
    <w:basedOn w:val="Tabellanormale"/>
    <w:uiPriority w:val="99"/>
    <w:semiHidden/>
    <w:unhideWhenUsed/>
    <w:rsid w:val="00B11B57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37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37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LP">
    <w:name w:val="LP"/>
    <w:basedOn w:val="Tabellaclassica1"/>
    <w:rsid w:val="00B11B57"/>
    <w:pPr>
      <w:spacing w:after="0" w:line="264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1">
    <w:name w:val="Table Classic 1"/>
    <w:basedOn w:val="Tabellanormale"/>
    <w:uiPriority w:val="99"/>
    <w:semiHidden/>
    <w:unhideWhenUsed/>
    <w:rsid w:val="00B11B57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25BC1F-7ADA-47C1-B06F-DE0D2E7ED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Ernesto</dc:creator>
  <cp:lastModifiedBy>raffaella</cp:lastModifiedBy>
  <cp:revision>2</cp:revision>
  <dcterms:created xsi:type="dcterms:W3CDTF">2014-01-30T09:29:00Z</dcterms:created>
  <dcterms:modified xsi:type="dcterms:W3CDTF">2014-01-30T09:29:00Z</dcterms:modified>
</cp:coreProperties>
</file>