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0089A" w14:textId="77777777" w:rsidR="00D80727" w:rsidRDefault="00D80727">
      <w:pPr>
        <w:widowControl w:val="0"/>
        <w:pBdr>
          <w:top w:val="nil"/>
          <w:left w:val="nil"/>
          <w:bottom w:val="nil"/>
          <w:right w:val="nil"/>
          <w:between w:val="nil"/>
        </w:pBdr>
        <w:spacing w:line="276" w:lineRule="auto"/>
        <w:jc w:val="left"/>
        <w:rPr>
          <w:color w:val="000000"/>
          <w:sz w:val="22"/>
          <w:szCs w:val="22"/>
        </w:rPr>
      </w:pPr>
    </w:p>
    <w:tbl>
      <w:tblPr>
        <w:tblStyle w:val="a5"/>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D80727" w14:paraId="22AA0CCA" w14:textId="77777777">
        <w:trPr>
          <w:trHeight w:val="852"/>
          <w:jc w:val="center"/>
        </w:trPr>
        <w:tc>
          <w:tcPr>
            <w:tcW w:w="6940" w:type="dxa"/>
            <w:vMerge w:val="restart"/>
            <w:tcBorders>
              <w:right w:val="single" w:sz="4" w:space="0" w:color="000000"/>
            </w:tcBorders>
          </w:tcPr>
          <w:p w14:paraId="0896E260" w14:textId="77777777" w:rsidR="00D80727" w:rsidRDefault="00000000">
            <w:pPr>
              <w:tabs>
                <w:tab w:val="left" w:pos="-108"/>
              </w:tabs>
              <w:ind w:left="-108"/>
              <w:jc w:val="left"/>
              <w:rPr>
                <w:b/>
                <w:bCs/>
                <w:i/>
                <w:iCs/>
                <w:color w:val="000066"/>
                <w:sz w:val="12"/>
                <w:szCs w:val="12"/>
              </w:rPr>
            </w:pPr>
            <w:bookmarkStart w:id="0" w:name="_payc183foqq2" w:colFirst="0" w:colLast="0"/>
            <w:bookmarkEnd w:id="0"/>
            <w:r>
              <w:rPr>
                <w:rFonts w:ascii="AdvP6960" w:eastAsia="AdvP6960" w:hAnsi="AdvP6960" w:cs="AdvP6960"/>
                <w:noProof/>
                <w:color w:val="241F20"/>
              </w:rPr>
              <w:drawing>
                <wp:inline distT="0" distB="0" distL="0" distR="0" wp14:anchorId="188BC51E" wp14:editId="4515D282">
                  <wp:extent cx="640080" cy="373380"/>
                  <wp:effectExtent l="0" t="0" r="0" b="0"/>
                  <wp:docPr id="1" name="image1.jpg" descr="cetlogo"/>
                  <wp:cNvGraphicFramePr/>
                  <a:graphic xmlns:a="http://schemas.openxmlformats.org/drawingml/2006/main">
                    <a:graphicData uri="http://schemas.openxmlformats.org/drawingml/2006/picture">
                      <pic:pic xmlns:pic="http://schemas.openxmlformats.org/drawingml/2006/picture">
                        <pic:nvPicPr>
                          <pic:cNvPr id="0" name="image1.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bCs/>
                <w:i/>
                <w:iCs/>
                <w:color w:val="000066"/>
                <w:sz w:val="24"/>
                <w:szCs w:val="24"/>
              </w:rPr>
              <w:t>CHEMICAL ENGINEERING</w:t>
            </w:r>
            <w:r>
              <w:rPr>
                <w:b/>
                <w:bCs/>
                <w:i/>
                <w:iCs/>
                <w:color w:val="0033FF"/>
                <w:sz w:val="24"/>
                <w:szCs w:val="24"/>
              </w:rPr>
              <w:t xml:space="preserve"> </w:t>
            </w:r>
            <w:r>
              <w:rPr>
                <w:b/>
                <w:bCs/>
                <w:i/>
                <w:iCs/>
                <w:color w:val="666666"/>
                <w:sz w:val="24"/>
                <w:szCs w:val="24"/>
              </w:rPr>
              <w:t>TRANSACTIONS</w:t>
            </w:r>
            <w:r>
              <w:rPr>
                <w:color w:val="333333"/>
                <w:sz w:val="24"/>
                <w:szCs w:val="24"/>
              </w:rPr>
              <w:t xml:space="preserve"> </w:t>
            </w:r>
            <w:r>
              <w:rPr>
                <w:b/>
                <w:bCs/>
                <w:i/>
                <w:iCs/>
                <w:color w:val="000066"/>
                <w:sz w:val="27"/>
                <w:szCs w:val="27"/>
              </w:rPr>
              <w:br/>
            </w:r>
          </w:p>
          <w:p w14:paraId="1F773BF8" w14:textId="77777777" w:rsidR="00D80727" w:rsidRDefault="00000000">
            <w:pPr>
              <w:tabs>
                <w:tab w:val="left" w:pos="-108"/>
              </w:tabs>
              <w:ind w:left="-108"/>
              <w:rPr>
                <w:b/>
                <w:bCs/>
                <w:i/>
                <w:iCs/>
                <w:color w:val="000066"/>
                <w:sz w:val="22"/>
                <w:szCs w:val="22"/>
              </w:rPr>
            </w:pPr>
            <w:r>
              <w:rPr>
                <w:b/>
                <w:bCs/>
                <w:i/>
                <w:iCs/>
                <w:color w:val="000066"/>
                <w:sz w:val="22"/>
                <w:szCs w:val="22"/>
              </w:rPr>
              <w:t>VOL. xxx, 2026</w:t>
            </w:r>
          </w:p>
        </w:tc>
        <w:tc>
          <w:tcPr>
            <w:tcW w:w="1842" w:type="dxa"/>
            <w:tcBorders>
              <w:left w:val="single" w:sz="4" w:space="0" w:color="000000"/>
              <w:bottom w:val="nil"/>
              <w:right w:val="single" w:sz="4" w:space="0" w:color="000000"/>
            </w:tcBorders>
          </w:tcPr>
          <w:p w14:paraId="3C444A52" w14:textId="77777777" w:rsidR="00D80727" w:rsidRDefault="00000000">
            <w:pPr>
              <w:jc w:val="right"/>
              <w:rPr>
                <w:sz w:val="14"/>
                <w:szCs w:val="14"/>
              </w:rPr>
            </w:pPr>
            <w:r>
              <w:rPr>
                <w:sz w:val="14"/>
                <w:szCs w:val="14"/>
              </w:rPr>
              <w:t>A publication of</w:t>
            </w:r>
          </w:p>
          <w:p w14:paraId="22E41298" w14:textId="77777777" w:rsidR="00D80727" w:rsidRDefault="00000000">
            <w:pPr>
              <w:jc w:val="right"/>
            </w:pPr>
            <w:r>
              <w:rPr>
                <w:noProof/>
              </w:rPr>
              <w:drawing>
                <wp:inline distT="0" distB="0" distL="0" distR="0" wp14:anchorId="7139B16C" wp14:editId="4D58612A">
                  <wp:extent cx="670560" cy="358140"/>
                  <wp:effectExtent l="0" t="0" r="0" b="0"/>
                  <wp:docPr id="2"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D80727" w14:paraId="2C9BA995" w14:textId="77777777">
        <w:trPr>
          <w:trHeight w:val="567"/>
          <w:jc w:val="center"/>
        </w:trPr>
        <w:tc>
          <w:tcPr>
            <w:tcW w:w="6940" w:type="dxa"/>
            <w:vMerge/>
            <w:tcBorders>
              <w:right w:val="single" w:sz="4" w:space="0" w:color="000000"/>
            </w:tcBorders>
          </w:tcPr>
          <w:p w14:paraId="70B9645E" w14:textId="77777777" w:rsidR="00D80727" w:rsidRDefault="00D80727">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134C52D4" w14:textId="77777777" w:rsidR="00D80727" w:rsidRDefault="00000000">
            <w:pPr>
              <w:jc w:val="right"/>
              <w:rPr>
                <w:sz w:val="14"/>
                <w:szCs w:val="14"/>
              </w:rPr>
            </w:pPr>
            <w:r>
              <w:rPr>
                <w:sz w:val="14"/>
                <w:szCs w:val="14"/>
              </w:rPr>
              <w:t>The Italian Association</w:t>
            </w:r>
          </w:p>
          <w:p w14:paraId="7212390C" w14:textId="77777777" w:rsidR="00D80727" w:rsidRDefault="00000000">
            <w:pPr>
              <w:jc w:val="right"/>
              <w:rPr>
                <w:sz w:val="14"/>
                <w:szCs w:val="14"/>
              </w:rPr>
            </w:pPr>
            <w:r>
              <w:rPr>
                <w:sz w:val="14"/>
                <w:szCs w:val="14"/>
              </w:rPr>
              <w:t>of Chemical Engineering</w:t>
            </w:r>
          </w:p>
          <w:p w14:paraId="40237DBE" w14:textId="77777777" w:rsidR="00D80727" w:rsidRDefault="00000000">
            <w:pPr>
              <w:jc w:val="right"/>
              <w:rPr>
                <w:sz w:val="13"/>
                <w:szCs w:val="13"/>
              </w:rPr>
            </w:pPr>
            <w:r>
              <w:rPr>
                <w:sz w:val="13"/>
                <w:szCs w:val="13"/>
              </w:rPr>
              <w:t>Online at www.cetjournal.it</w:t>
            </w:r>
          </w:p>
        </w:tc>
      </w:tr>
      <w:tr w:rsidR="00D80727" w14:paraId="6E671D84" w14:textId="77777777">
        <w:trPr>
          <w:trHeight w:val="68"/>
          <w:jc w:val="center"/>
        </w:trPr>
        <w:tc>
          <w:tcPr>
            <w:tcW w:w="8782" w:type="dxa"/>
            <w:gridSpan w:val="2"/>
          </w:tcPr>
          <w:p w14:paraId="6AC57E83" w14:textId="77777777" w:rsidR="00D80727" w:rsidRDefault="00000000">
            <w:pPr>
              <w:ind w:left="-107"/>
              <w:rPr>
                <w:rFonts w:ascii="Tahoma" w:eastAsia="Tahoma" w:hAnsi="Tahoma" w:cs="Tahoma"/>
                <w:color w:val="000000"/>
                <w:sz w:val="14"/>
                <w:szCs w:val="14"/>
                <w:highlight w:val="white"/>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Valerio </w:t>
            </w:r>
            <w:proofErr w:type="spellStart"/>
            <w:r>
              <w:rPr>
                <w:rFonts w:ascii="Tahoma" w:eastAsia="Tahoma" w:hAnsi="Tahoma" w:cs="Tahoma"/>
                <w:color w:val="000000"/>
                <w:sz w:val="14"/>
                <w:szCs w:val="14"/>
                <w:highlight w:val="white"/>
              </w:rPr>
              <w:t>Cozzani</w:t>
            </w:r>
            <w:proofErr w:type="spellEnd"/>
            <w:r>
              <w:rPr>
                <w:rFonts w:ascii="Tahoma" w:eastAsia="Tahoma" w:hAnsi="Tahoma" w:cs="Tahoma"/>
                <w:color w:val="000000"/>
                <w:sz w:val="14"/>
                <w:szCs w:val="14"/>
                <w:highlight w:val="white"/>
              </w:rPr>
              <w:t xml:space="preserve">, Bruno Fabiano, </w:t>
            </w:r>
            <w:proofErr w:type="spellStart"/>
            <w:r>
              <w:rPr>
                <w:rFonts w:ascii="Tahoma" w:eastAsia="Tahoma" w:hAnsi="Tahoma" w:cs="Tahoma"/>
                <w:color w:val="000000"/>
                <w:sz w:val="14"/>
                <w:szCs w:val="14"/>
                <w:highlight w:val="white"/>
              </w:rPr>
              <w:t>Genserik</w:t>
            </w:r>
            <w:proofErr w:type="spellEnd"/>
            <w:r>
              <w:rPr>
                <w:rFonts w:ascii="Tahoma" w:eastAsia="Tahoma" w:hAnsi="Tahoma" w:cs="Tahoma"/>
                <w:color w:val="000000"/>
                <w:sz w:val="14"/>
                <w:szCs w:val="14"/>
                <w:highlight w:val="white"/>
              </w:rPr>
              <w:t xml:space="preserve"> </w:t>
            </w:r>
            <w:proofErr w:type="spellStart"/>
            <w:r>
              <w:rPr>
                <w:rFonts w:ascii="Tahoma" w:eastAsia="Tahoma" w:hAnsi="Tahoma" w:cs="Tahoma"/>
                <w:color w:val="000000"/>
                <w:sz w:val="14"/>
                <w:szCs w:val="14"/>
                <w:highlight w:val="white"/>
              </w:rPr>
              <w:t>Reniers</w:t>
            </w:r>
            <w:proofErr w:type="spellEnd"/>
          </w:p>
          <w:p w14:paraId="35934913" w14:textId="77777777" w:rsidR="00D80727" w:rsidRDefault="00000000">
            <w:pPr>
              <w:tabs>
                <w:tab w:val="left" w:pos="-108"/>
              </w:tabs>
              <w:ind w:left="-107"/>
              <w:jc w:val="left"/>
            </w:pPr>
            <w:r>
              <w:rPr>
                <w:rFonts w:ascii="Tahoma" w:eastAsia="Tahoma" w:hAnsi="Tahoma" w:cs="Tahoma"/>
                <w:color w:val="333333"/>
                <w:sz w:val="14"/>
                <w:szCs w:val="14"/>
              </w:rPr>
              <w:t xml:space="preserve">Copyright © 2026,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bCs/>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bCs/>
                <w:color w:val="333333"/>
                <w:sz w:val="14"/>
                <w:szCs w:val="14"/>
              </w:rPr>
              <w:t>ISSN</w:t>
            </w:r>
            <w:r>
              <w:rPr>
                <w:rFonts w:ascii="Tahoma" w:eastAsia="Tahoma" w:hAnsi="Tahoma" w:cs="Tahoma"/>
                <w:color w:val="333333"/>
                <w:sz w:val="14"/>
                <w:szCs w:val="14"/>
              </w:rPr>
              <w:t xml:space="preserve"> 2283-9216</w:t>
            </w:r>
          </w:p>
        </w:tc>
      </w:tr>
    </w:tbl>
    <w:p w14:paraId="04E432F7" w14:textId="77777777" w:rsidR="00D80727" w:rsidRDefault="00000000">
      <w:pPr>
        <w:pBdr>
          <w:top w:val="nil"/>
          <w:left w:val="nil"/>
          <w:bottom w:val="nil"/>
          <w:right w:val="nil"/>
          <w:between w:val="nil"/>
        </w:pBdr>
        <w:spacing w:before="480" w:after="120"/>
        <w:jc w:val="center"/>
        <w:rPr>
          <w:color w:val="000000"/>
          <w:sz w:val="32"/>
          <w:szCs w:val="32"/>
        </w:rPr>
      </w:pPr>
      <w:r>
        <w:rPr>
          <w:rFonts w:eastAsia="Arial"/>
          <w:color w:val="000000"/>
          <w:sz w:val="32"/>
          <w:szCs w:val="32"/>
        </w:rPr>
        <w:t>From Incident Reports to Standardized Case Cards: A Lightweight Ontology and Knowledge Graph for Green Hydrogen Production Hazard Analysis</w:t>
      </w:r>
    </w:p>
    <w:p w14:paraId="4183D152" w14:textId="2CC2B23D" w:rsidR="00D80727" w:rsidRDefault="00000000">
      <w:pPr>
        <w:keepNext/>
        <w:pBdr>
          <w:top w:val="nil"/>
          <w:left w:val="nil"/>
          <w:bottom w:val="nil"/>
          <w:right w:val="nil"/>
          <w:between w:val="nil"/>
        </w:pBdr>
        <w:spacing w:after="120"/>
        <w:rPr>
          <w:color w:val="000000"/>
          <w:sz w:val="24"/>
          <w:szCs w:val="24"/>
        </w:rPr>
      </w:pPr>
      <w:r>
        <w:rPr>
          <w:rFonts w:eastAsia="Arial"/>
          <w:color w:val="000000"/>
          <w:sz w:val="24"/>
          <w:szCs w:val="24"/>
        </w:rPr>
        <w:t xml:space="preserve">Shuo </w:t>
      </w:r>
      <w:proofErr w:type="gramStart"/>
      <w:r>
        <w:rPr>
          <w:rFonts w:eastAsia="Arial"/>
          <w:color w:val="000000"/>
          <w:sz w:val="24"/>
          <w:szCs w:val="24"/>
        </w:rPr>
        <w:t>Yang</w:t>
      </w:r>
      <w:r>
        <w:rPr>
          <w:rFonts w:eastAsia="Arial"/>
          <w:color w:val="000000"/>
          <w:sz w:val="24"/>
          <w:szCs w:val="24"/>
          <w:vertAlign w:val="superscript"/>
        </w:rPr>
        <w:t>a,</w:t>
      </w:r>
      <w:r>
        <w:rPr>
          <w:rFonts w:eastAsia="Arial"/>
          <w:color w:val="000000"/>
          <w:sz w:val="24"/>
          <w:szCs w:val="24"/>
        </w:rPr>
        <w:t>*</w:t>
      </w:r>
      <w:proofErr w:type="gramEnd"/>
      <w:r>
        <w:rPr>
          <w:rFonts w:eastAsia="Arial"/>
          <w:color w:val="000000"/>
          <w:sz w:val="24"/>
          <w:szCs w:val="24"/>
        </w:rPr>
        <w:t xml:space="preserve">, Xin </w:t>
      </w:r>
      <w:proofErr w:type="spellStart"/>
      <w:r>
        <w:rPr>
          <w:rFonts w:eastAsia="Arial"/>
          <w:color w:val="000000"/>
          <w:sz w:val="24"/>
          <w:szCs w:val="24"/>
        </w:rPr>
        <w:t>Yao</w:t>
      </w:r>
      <w:r>
        <w:rPr>
          <w:rFonts w:eastAsia="Arial"/>
          <w:color w:val="000000"/>
          <w:sz w:val="24"/>
          <w:szCs w:val="24"/>
          <w:vertAlign w:val="superscript"/>
        </w:rPr>
        <w:t>a</w:t>
      </w:r>
      <w:proofErr w:type="spellEnd"/>
      <w:r>
        <w:rPr>
          <w:rFonts w:eastAsia="Arial"/>
          <w:color w:val="000000"/>
          <w:sz w:val="24"/>
          <w:szCs w:val="24"/>
        </w:rPr>
        <w:t xml:space="preserve">, Maria Chiara </w:t>
      </w:r>
      <w:proofErr w:type="spellStart"/>
      <w:r>
        <w:rPr>
          <w:rFonts w:eastAsia="Arial"/>
          <w:color w:val="000000"/>
          <w:sz w:val="24"/>
          <w:szCs w:val="24"/>
        </w:rPr>
        <w:t>Leva</w:t>
      </w:r>
      <w:r>
        <w:rPr>
          <w:rFonts w:eastAsia="Arial"/>
          <w:color w:val="000000"/>
          <w:sz w:val="24"/>
          <w:szCs w:val="24"/>
          <w:vertAlign w:val="superscript"/>
        </w:rPr>
        <w:t>b</w:t>
      </w:r>
      <w:proofErr w:type="spellEnd"/>
      <w:r>
        <w:rPr>
          <w:rFonts w:eastAsia="Arial"/>
          <w:color w:val="000000"/>
          <w:sz w:val="24"/>
          <w:szCs w:val="24"/>
        </w:rPr>
        <w:t xml:space="preserve">, Micaela </w:t>
      </w:r>
      <w:proofErr w:type="spellStart"/>
      <w:r>
        <w:rPr>
          <w:rFonts w:eastAsia="Arial"/>
          <w:color w:val="000000"/>
          <w:sz w:val="24"/>
          <w:szCs w:val="24"/>
        </w:rPr>
        <w:t>Demichela</w:t>
      </w:r>
      <w:r w:rsidR="00C5245D">
        <w:rPr>
          <w:rFonts w:eastAsia="Arial"/>
          <w:color w:val="000000"/>
          <w:sz w:val="24"/>
          <w:szCs w:val="24"/>
          <w:vertAlign w:val="superscript"/>
        </w:rPr>
        <w:t>c</w:t>
      </w:r>
      <w:proofErr w:type="spellEnd"/>
    </w:p>
    <w:p w14:paraId="79021B57" w14:textId="5422364C" w:rsidR="00D80727" w:rsidRDefault="00000000">
      <w:pPr>
        <w:keepNext/>
        <w:pBdr>
          <w:top w:val="nil"/>
          <w:left w:val="nil"/>
          <w:bottom w:val="nil"/>
          <w:right w:val="nil"/>
          <w:between w:val="nil"/>
        </w:pBdr>
        <w:spacing w:line="276" w:lineRule="auto"/>
        <w:jc w:val="left"/>
        <w:rPr>
          <w:color w:val="000000"/>
          <w:sz w:val="16"/>
          <w:szCs w:val="16"/>
        </w:rPr>
      </w:pPr>
      <w:proofErr w:type="spellStart"/>
      <w:r>
        <w:rPr>
          <w:rFonts w:eastAsia="Arial"/>
          <w:color w:val="000000"/>
          <w:sz w:val="16"/>
          <w:szCs w:val="16"/>
          <w:vertAlign w:val="superscript"/>
        </w:rPr>
        <w:t>a</w:t>
      </w:r>
      <w:r>
        <w:rPr>
          <w:rFonts w:eastAsia="Arial"/>
          <w:color w:val="000000"/>
          <w:sz w:val="16"/>
          <w:szCs w:val="16"/>
        </w:rPr>
        <w:t>China</w:t>
      </w:r>
      <w:proofErr w:type="spellEnd"/>
      <w:r>
        <w:rPr>
          <w:rFonts w:eastAsia="Arial"/>
          <w:color w:val="000000"/>
          <w:sz w:val="16"/>
          <w:szCs w:val="16"/>
        </w:rPr>
        <w:t xml:space="preserve"> </w:t>
      </w:r>
      <w:r w:rsidR="00623598">
        <w:rPr>
          <w:rFonts w:eastAsia="Arial"/>
          <w:color w:val="000000"/>
          <w:sz w:val="16"/>
          <w:szCs w:val="16"/>
        </w:rPr>
        <w:t>C</w:t>
      </w:r>
      <w:r>
        <w:rPr>
          <w:rFonts w:eastAsia="Arial"/>
          <w:color w:val="000000"/>
          <w:sz w:val="16"/>
          <w:szCs w:val="16"/>
        </w:rPr>
        <w:t xml:space="preserve">ouncil for the </w:t>
      </w:r>
      <w:r w:rsidR="00623598">
        <w:rPr>
          <w:rFonts w:eastAsia="Arial"/>
          <w:color w:val="000000"/>
          <w:sz w:val="16"/>
          <w:szCs w:val="16"/>
        </w:rPr>
        <w:t>P</w:t>
      </w:r>
      <w:r>
        <w:rPr>
          <w:rFonts w:eastAsia="Arial"/>
          <w:color w:val="000000"/>
          <w:sz w:val="16"/>
          <w:szCs w:val="16"/>
        </w:rPr>
        <w:t xml:space="preserve">romotion of </w:t>
      </w:r>
      <w:r w:rsidR="00623598">
        <w:rPr>
          <w:rFonts w:eastAsia="Arial" w:hint="eastAsia"/>
          <w:color w:val="000000"/>
          <w:sz w:val="16"/>
          <w:szCs w:val="16"/>
        </w:rPr>
        <w:t xml:space="preserve">International Trade Commercial </w:t>
      </w:r>
      <w:r w:rsidR="00623598">
        <w:rPr>
          <w:rFonts w:eastAsia="Arial"/>
          <w:color w:val="000000"/>
          <w:sz w:val="16"/>
          <w:szCs w:val="16"/>
        </w:rPr>
        <w:t>Sub-C</w:t>
      </w:r>
      <w:r>
        <w:rPr>
          <w:rFonts w:eastAsia="Arial"/>
          <w:color w:val="000000"/>
          <w:sz w:val="16"/>
          <w:szCs w:val="16"/>
        </w:rPr>
        <w:t>ouncil,</w:t>
      </w:r>
      <w:r w:rsidR="00C5245D">
        <w:rPr>
          <w:rFonts w:eastAsia="Arial"/>
          <w:color w:val="000000"/>
          <w:sz w:val="16"/>
          <w:szCs w:val="16"/>
        </w:rPr>
        <w:t xml:space="preserve"> Department of Standardization,</w:t>
      </w:r>
      <w:r>
        <w:rPr>
          <w:rFonts w:eastAsia="Arial"/>
          <w:color w:val="000000"/>
          <w:sz w:val="16"/>
          <w:szCs w:val="16"/>
        </w:rPr>
        <w:t xml:space="preserve"> </w:t>
      </w:r>
      <w:r w:rsidR="00C5245D">
        <w:rPr>
          <w:rFonts w:eastAsia="Arial"/>
          <w:color w:val="000000"/>
          <w:sz w:val="16"/>
          <w:szCs w:val="16"/>
        </w:rPr>
        <w:t xml:space="preserve">Beijing, </w:t>
      </w:r>
      <w:r>
        <w:rPr>
          <w:rFonts w:eastAsia="Arial"/>
          <w:color w:val="000000"/>
          <w:sz w:val="16"/>
          <w:szCs w:val="16"/>
        </w:rPr>
        <w:t>China</w:t>
      </w:r>
    </w:p>
    <w:p w14:paraId="60DFCFAA" w14:textId="774F197E" w:rsidR="00D80727" w:rsidRDefault="00000000">
      <w:pPr>
        <w:keepNext/>
        <w:pBdr>
          <w:top w:val="nil"/>
          <w:left w:val="nil"/>
          <w:bottom w:val="nil"/>
          <w:right w:val="nil"/>
          <w:between w:val="nil"/>
        </w:pBdr>
        <w:spacing w:line="276" w:lineRule="auto"/>
        <w:jc w:val="left"/>
        <w:rPr>
          <w:color w:val="000000"/>
          <w:sz w:val="16"/>
          <w:szCs w:val="16"/>
        </w:rPr>
      </w:pPr>
      <w:proofErr w:type="spellStart"/>
      <w:r>
        <w:rPr>
          <w:rFonts w:eastAsia="Arial"/>
          <w:color w:val="000000"/>
          <w:sz w:val="16"/>
          <w:szCs w:val="16"/>
          <w:vertAlign w:val="superscript"/>
        </w:rPr>
        <w:t>b</w:t>
      </w:r>
      <w:r>
        <w:rPr>
          <w:rFonts w:eastAsia="Arial"/>
          <w:color w:val="000000"/>
          <w:sz w:val="16"/>
          <w:szCs w:val="16"/>
        </w:rPr>
        <w:t>Technological</w:t>
      </w:r>
      <w:proofErr w:type="spellEnd"/>
      <w:r>
        <w:rPr>
          <w:rFonts w:eastAsia="Arial"/>
          <w:color w:val="000000"/>
          <w:sz w:val="16"/>
          <w:szCs w:val="16"/>
        </w:rPr>
        <w:t xml:space="preserve"> University Dublin, Food </w:t>
      </w:r>
      <w:r w:rsidR="00623598">
        <w:rPr>
          <w:rFonts w:eastAsia="Arial"/>
          <w:color w:val="000000"/>
          <w:sz w:val="16"/>
          <w:szCs w:val="16"/>
        </w:rPr>
        <w:t>S</w:t>
      </w:r>
      <w:r>
        <w:rPr>
          <w:rFonts w:eastAsia="Arial"/>
          <w:color w:val="000000"/>
          <w:sz w:val="16"/>
          <w:szCs w:val="16"/>
        </w:rPr>
        <w:t xml:space="preserve">cience and </w:t>
      </w:r>
      <w:r w:rsidR="00623598">
        <w:rPr>
          <w:rFonts w:eastAsia="Arial" w:hint="eastAsia"/>
          <w:color w:val="000000"/>
          <w:sz w:val="16"/>
          <w:szCs w:val="16"/>
        </w:rPr>
        <w:t>Environ</w:t>
      </w:r>
      <w:r w:rsidR="00C5245D">
        <w:rPr>
          <w:rFonts w:eastAsia="Arial"/>
          <w:color w:val="000000"/>
          <w:sz w:val="16"/>
          <w:szCs w:val="16"/>
        </w:rPr>
        <w:t>mental</w:t>
      </w:r>
      <w:r w:rsidR="00623598">
        <w:rPr>
          <w:rFonts w:eastAsia="Arial" w:hint="eastAsia"/>
          <w:color w:val="000000"/>
          <w:sz w:val="16"/>
          <w:szCs w:val="16"/>
        </w:rPr>
        <w:t xml:space="preserve"> He</w:t>
      </w:r>
      <w:r w:rsidR="00623598">
        <w:rPr>
          <w:rFonts w:eastAsia="Arial"/>
          <w:color w:val="000000"/>
          <w:sz w:val="16"/>
          <w:szCs w:val="16"/>
        </w:rPr>
        <w:t>alth D</w:t>
      </w:r>
      <w:r>
        <w:rPr>
          <w:rFonts w:eastAsia="Arial"/>
          <w:color w:val="000000"/>
          <w:sz w:val="16"/>
          <w:szCs w:val="16"/>
        </w:rPr>
        <w:t xml:space="preserve">epartment, </w:t>
      </w:r>
      <w:r w:rsidR="00C5245D">
        <w:rPr>
          <w:rFonts w:eastAsia="Arial"/>
          <w:color w:val="000000"/>
          <w:sz w:val="16"/>
          <w:szCs w:val="16"/>
        </w:rPr>
        <w:t xml:space="preserve">Dublin, </w:t>
      </w:r>
      <w:r>
        <w:rPr>
          <w:rFonts w:eastAsia="Arial"/>
          <w:color w:val="000000"/>
          <w:sz w:val="16"/>
          <w:szCs w:val="16"/>
        </w:rPr>
        <w:t>Ireland</w:t>
      </w:r>
    </w:p>
    <w:p w14:paraId="052E9EBA" w14:textId="44BF941D" w:rsidR="00D80727" w:rsidRDefault="00C5245D">
      <w:pPr>
        <w:keepNext/>
        <w:pBdr>
          <w:top w:val="nil"/>
          <w:left w:val="nil"/>
          <w:bottom w:val="nil"/>
          <w:right w:val="nil"/>
          <w:between w:val="nil"/>
        </w:pBdr>
        <w:spacing w:line="276" w:lineRule="auto"/>
        <w:jc w:val="left"/>
        <w:rPr>
          <w:color w:val="000000"/>
          <w:sz w:val="16"/>
          <w:szCs w:val="16"/>
        </w:rPr>
      </w:pPr>
      <w:proofErr w:type="spellStart"/>
      <w:r>
        <w:rPr>
          <w:rFonts w:eastAsia="Arial"/>
          <w:color w:val="000000"/>
          <w:sz w:val="16"/>
          <w:szCs w:val="16"/>
          <w:vertAlign w:val="superscript"/>
        </w:rPr>
        <w:t>c</w:t>
      </w:r>
      <w:r w:rsidR="00000000">
        <w:rPr>
          <w:rFonts w:eastAsia="Arial"/>
          <w:color w:val="000000"/>
          <w:sz w:val="16"/>
          <w:szCs w:val="16"/>
        </w:rPr>
        <w:t>Politecnico</w:t>
      </w:r>
      <w:proofErr w:type="spellEnd"/>
      <w:r w:rsidR="00000000">
        <w:rPr>
          <w:rFonts w:eastAsia="Arial"/>
          <w:color w:val="000000"/>
          <w:sz w:val="16"/>
          <w:szCs w:val="16"/>
        </w:rPr>
        <w:t xml:space="preserve"> di Torino, D</w:t>
      </w:r>
      <w:r>
        <w:rPr>
          <w:rFonts w:eastAsia="Arial"/>
          <w:color w:val="000000"/>
          <w:sz w:val="16"/>
          <w:szCs w:val="16"/>
        </w:rPr>
        <w:t>epartment of Applied Science and Technology</w:t>
      </w:r>
      <w:r w:rsidR="00000000">
        <w:rPr>
          <w:rFonts w:eastAsia="Arial"/>
          <w:color w:val="000000"/>
          <w:sz w:val="16"/>
          <w:szCs w:val="16"/>
        </w:rPr>
        <w:t xml:space="preserve">, </w:t>
      </w:r>
      <w:r>
        <w:rPr>
          <w:rFonts w:eastAsia="Arial"/>
          <w:color w:val="000000"/>
          <w:sz w:val="16"/>
          <w:szCs w:val="16"/>
        </w:rPr>
        <w:t xml:space="preserve">Torino, </w:t>
      </w:r>
      <w:r w:rsidR="00000000">
        <w:rPr>
          <w:rFonts w:eastAsia="Arial"/>
          <w:color w:val="000000"/>
          <w:sz w:val="16"/>
          <w:szCs w:val="16"/>
        </w:rPr>
        <w:t>Italy</w:t>
      </w:r>
    </w:p>
    <w:p w14:paraId="688C039C" w14:textId="77777777" w:rsidR="00D80727" w:rsidRDefault="00000000">
      <w:pPr>
        <w:pBdr>
          <w:top w:val="nil"/>
          <w:left w:val="nil"/>
          <w:bottom w:val="nil"/>
          <w:right w:val="nil"/>
          <w:between w:val="nil"/>
        </w:pBdr>
        <w:spacing w:after="240" w:line="276" w:lineRule="auto"/>
        <w:jc w:val="left"/>
        <w:rPr>
          <w:color w:val="000000"/>
          <w:sz w:val="16"/>
          <w:szCs w:val="16"/>
        </w:rPr>
      </w:pPr>
      <w:r>
        <w:rPr>
          <w:rFonts w:eastAsia="Arial"/>
          <w:color w:val="000000"/>
          <w:sz w:val="16"/>
          <w:szCs w:val="16"/>
        </w:rPr>
        <w:t xml:space="preserve"> yangshuo1211@gmail.com</w:t>
      </w:r>
    </w:p>
    <w:p w14:paraId="5E7360CB" w14:textId="46585324" w:rsidR="00D80727" w:rsidRDefault="009312A9">
      <w:pPr>
        <w:pBdr>
          <w:top w:val="nil"/>
          <w:left w:val="nil"/>
          <w:bottom w:val="nil"/>
          <w:right w:val="nil"/>
          <w:between w:val="nil"/>
        </w:pBdr>
        <w:rPr>
          <w:color w:val="000000"/>
        </w:rPr>
      </w:pPr>
      <w:r w:rsidRPr="009312A9">
        <w:rPr>
          <w:rFonts w:eastAsia="Arial"/>
          <w:color w:val="000000"/>
        </w:rPr>
        <w:t xml:space="preserve">Incident reports provide valuable empirical evidence on hydrogen safety, yet their narrative structure limits reuse in engineering analysis. This study proposes a kernel-based framework that transforms incident data into standardized case cards </w:t>
      </w:r>
      <w:r w:rsidR="00C5245D">
        <w:rPr>
          <w:rFonts w:eastAsia="Arial"/>
          <w:color w:val="000000"/>
        </w:rPr>
        <w:t>that represent key physical-</w:t>
      </w:r>
      <w:r w:rsidRPr="009312A9">
        <w:rPr>
          <w:rFonts w:eastAsia="Arial"/>
          <w:color w:val="000000"/>
        </w:rPr>
        <w:t>hazard processes. Five interconnected kernels are defined to capture hydrogen release, accumulation, dispersion</w:t>
      </w:r>
      <w:r>
        <w:rPr>
          <w:rFonts w:eastAsia="Arial"/>
          <w:color w:val="000000"/>
        </w:rPr>
        <w:t>,</w:t>
      </w:r>
      <w:r w:rsidRPr="009312A9">
        <w:rPr>
          <w:rFonts w:eastAsia="Arial"/>
          <w:color w:val="000000"/>
        </w:rPr>
        <w:t xml:space="preserve"> or explosion, mitigation through venting, and human exposure. A lightweight ontology links parameters, mitigation actions, and outcomes, while a knowledge graph enables structured storage and traceable retrieval. Application to publicly available incident data demonstrates improved comparability and analytical usability. The results suggest that kernel-based structuring provides a practical pathway for integrating empirical safety knowledge into engineering design and digital safety </w:t>
      </w:r>
      <w:r w:rsidR="00C5245D" w:rsidRPr="009312A9">
        <w:rPr>
          <w:rFonts w:eastAsia="Arial"/>
          <w:color w:val="000000"/>
        </w:rPr>
        <w:t>tools and</w:t>
      </w:r>
      <w:r w:rsidRPr="009312A9">
        <w:rPr>
          <w:rFonts w:eastAsia="Arial"/>
          <w:color w:val="000000"/>
        </w:rPr>
        <w:t xml:space="preserve"> may support future standardization of incident-based risk analysis.</w:t>
      </w:r>
      <w:r w:rsidR="00623598">
        <w:rPr>
          <w:rFonts w:eastAsia="Arial"/>
          <w:color w:val="000000"/>
        </w:rPr>
        <w:t xml:space="preserve"> </w:t>
      </w:r>
    </w:p>
    <w:p w14:paraId="0B5545E2" w14:textId="61FBB9D6" w:rsidR="00D80727" w:rsidRDefault="00000000" w:rsidP="00623598">
      <w:pPr>
        <w:pStyle w:val="a6"/>
        <w:keepNext/>
        <w:numPr>
          <w:ilvl w:val="0"/>
          <w:numId w:val="3"/>
        </w:numPr>
        <w:pBdr>
          <w:top w:val="nil"/>
          <w:left w:val="nil"/>
          <w:bottom w:val="nil"/>
          <w:right w:val="nil"/>
          <w:between w:val="nil"/>
        </w:pBdr>
        <w:spacing w:before="240" w:after="120" w:line="240" w:lineRule="auto"/>
        <w:ind w:firstLineChars="0"/>
        <w:jc w:val="left"/>
      </w:pPr>
      <w:r w:rsidRPr="00623598">
        <w:rPr>
          <w:rFonts w:eastAsia="Arial"/>
          <w:b/>
          <w:bCs/>
          <w:color w:val="000000"/>
          <w:sz w:val="20"/>
          <w:szCs w:val="20"/>
        </w:rPr>
        <w:t>Introduction</w:t>
      </w:r>
    </w:p>
    <w:p w14:paraId="39E51486" w14:textId="46561CDE" w:rsidR="00D80727" w:rsidRDefault="00000000">
      <w:pPr>
        <w:pBdr>
          <w:top w:val="nil"/>
          <w:left w:val="nil"/>
          <w:bottom w:val="nil"/>
          <w:right w:val="nil"/>
          <w:between w:val="nil"/>
        </w:pBdr>
        <w:rPr>
          <w:color w:val="000000"/>
        </w:rPr>
      </w:pPr>
      <w:r>
        <w:rPr>
          <w:rFonts w:eastAsia="Arial"/>
          <w:color w:val="000000"/>
        </w:rPr>
        <w:t xml:space="preserve">Green hydrogen production facilities are being constructed at an accelerating pace as countries seek to reduce carbon emissions from industry and energy systems. </w:t>
      </w:r>
      <w:r w:rsidR="006A7270">
        <w:rPr>
          <w:rFonts w:eastAsia="Arial" w:hint="eastAsia"/>
          <w:color w:val="000000"/>
        </w:rPr>
        <w:t>The European Commission (2022) proposes that the REPowerEU Plan target is to pro</w:t>
      </w:r>
      <w:r w:rsidR="006A7270">
        <w:rPr>
          <w:rFonts w:eastAsia="Arial"/>
          <w:color w:val="000000"/>
        </w:rPr>
        <w:t>duce</w:t>
      </w:r>
      <w:r w:rsidR="006A7270" w:rsidRPr="006A7270">
        <w:rPr>
          <w:rFonts w:eastAsia="Arial"/>
          <w:color w:val="000000"/>
        </w:rPr>
        <w:t xml:space="preserve"> 10 million tons of domestic GH2 by 2030. </w:t>
      </w:r>
      <w:r w:rsidR="00623598">
        <w:rPr>
          <w:rFonts w:eastAsia="Arial"/>
          <w:color w:val="000000"/>
        </w:rPr>
        <w:t>Electrolyser</w:t>
      </w:r>
      <w:r>
        <w:rPr>
          <w:rFonts w:eastAsia="Arial"/>
          <w:color w:val="000000"/>
        </w:rPr>
        <w:t xml:space="preserve">, compressors, storage systems, and associated infrastructure are now installed in a wide range of industrial settings. As these systems operate, a growing volume of safety-relevant information is produced in the form of incident reports, near-miss records, and investigation findings. </w:t>
      </w:r>
      <w:r w:rsidR="006A7270" w:rsidRPr="006A7270">
        <w:rPr>
          <w:rFonts w:eastAsia="Arial"/>
          <w:color w:val="000000"/>
        </w:rPr>
        <w:t>European Commission – JRC (2023) provides the Hydrogen Incidents and Accidents Database (HIAD).</w:t>
      </w:r>
      <w:r w:rsidR="006A7270">
        <w:rPr>
          <w:rFonts w:eastAsia="Arial"/>
          <w:color w:val="000000"/>
        </w:rPr>
        <w:t xml:space="preserve"> The </w:t>
      </w:r>
      <w:r w:rsidR="006A7270" w:rsidRPr="006A7270">
        <w:rPr>
          <w:rFonts w:eastAsia="Arial"/>
          <w:color w:val="000000"/>
        </w:rPr>
        <w:t xml:space="preserve">U.S. Department of Energy (2024) provides the H2Tools portal as a major resource for hydrogen safety guidance. </w:t>
      </w:r>
      <w:r>
        <w:rPr>
          <w:rFonts w:eastAsia="Arial"/>
          <w:color w:val="000000"/>
        </w:rPr>
        <w:t>These materials provide valuable insights into how hydrogen releases occur, how they evolve, and how mitigation measures perform under real conditions.</w:t>
      </w:r>
      <w:r w:rsidR="00623598">
        <w:rPr>
          <w:rFonts w:hint="eastAsia"/>
          <w:color w:val="000000"/>
        </w:rPr>
        <w:t xml:space="preserve"> </w:t>
      </w:r>
      <w:r>
        <w:rPr>
          <w:rFonts w:eastAsia="Arial"/>
          <w:color w:val="000000"/>
        </w:rPr>
        <w:t xml:space="preserve">Despite this growing evidence base, </w:t>
      </w:r>
      <w:r w:rsidR="00623598">
        <w:rPr>
          <w:rFonts w:eastAsia="Arial" w:hint="eastAsia"/>
          <w:color w:val="000000"/>
        </w:rPr>
        <w:t>knowledge of incidents is seldom systematically incorporated</w:t>
      </w:r>
      <w:r>
        <w:rPr>
          <w:rFonts w:eastAsia="Arial"/>
          <w:color w:val="000000"/>
        </w:rPr>
        <w:t xml:space="preserve"> into engineering practice. Reports are usually written to document events or satisfy regulatory requirements rather than to support analytical reuse. Important quantities such as leak size, enclosure volume, ventilation effectiveness, or detection delay are often present but embedded within narrative descriptions. This makes it difficult to compare incidents or extract parameter ranges that could inform design decisions. Even structured databases often combine information from heterogeneous sources, which introduces inconsistencies in terminology and detail.</w:t>
      </w:r>
    </w:p>
    <w:p w14:paraId="24512EED" w14:textId="5931EA0B" w:rsidR="00D80727" w:rsidRDefault="00000000">
      <w:pPr>
        <w:pBdr>
          <w:top w:val="nil"/>
          <w:left w:val="nil"/>
          <w:bottom w:val="nil"/>
          <w:right w:val="nil"/>
          <w:between w:val="nil"/>
        </w:pBdr>
        <w:rPr>
          <w:color w:val="000000"/>
        </w:rPr>
      </w:pPr>
      <w:r>
        <w:rPr>
          <w:rFonts w:eastAsia="Arial"/>
          <w:color w:val="000000"/>
        </w:rPr>
        <w:t>At the same time, hydrogen safety management is increasingly dependent on digital tools, including simulation-based layout design, probabilistic risk models, and digital twins. These tools require consistent parameterization of hazards. The gap between narrative incident reporting and model-based safety analysis</w:t>
      </w:r>
      <w:r w:rsidR="00623598">
        <w:rPr>
          <w:rFonts w:eastAsia="Arial"/>
          <w:color w:val="000000"/>
        </w:rPr>
        <w:t xml:space="preserve"> </w:t>
      </w:r>
      <w:r>
        <w:rPr>
          <w:rFonts w:eastAsia="Arial"/>
          <w:color w:val="000000"/>
        </w:rPr>
        <w:t xml:space="preserve">represents a practical obstacle. Bridging this gap requires a representation that preserves empirical experience while organizing it </w:t>
      </w:r>
      <w:r w:rsidR="00623598">
        <w:rPr>
          <w:rFonts w:eastAsia="Arial" w:hint="eastAsia"/>
          <w:color w:val="000000"/>
        </w:rPr>
        <w:t>to directly supp</w:t>
      </w:r>
      <w:r w:rsidR="00623598">
        <w:rPr>
          <w:rFonts w:eastAsia="Arial"/>
          <w:color w:val="000000"/>
        </w:rPr>
        <w:t>ort</w:t>
      </w:r>
      <w:r>
        <w:rPr>
          <w:rFonts w:eastAsia="Arial"/>
          <w:color w:val="000000"/>
        </w:rPr>
        <w:t xml:space="preserve"> engineering reasoning.</w:t>
      </w:r>
    </w:p>
    <w:p w14:paraId="5981F032" w14:textId="2CE06388" w:rsidR="00D80727" w:rsidRDefault="00000000">
      <w:pPr>
        <w:pBdr>
          <w:top w:val="nil"/>
          <w:left w:val="nil"/>
          <w:bottom w:val="nil"/>
          <w:right w:val="nil"/>
          <w:between w:val="nil"/>
        </w:pBdr>
        <w:rPr>
          <w:color w:val="000000"/>
        </w:rPr>
      </w:pPr>
      <w:r>
        <w:rPr>
          <w:rFonts w:eastAsia="Arial"/>
          <w:color w:val="000000"/>
        </w:rPr>
        <w:lastRenderedPageBreak/>
        <w:t xml:space="preserve">The approach proposed here is based on the observation that hydrogen incidents can usually be understood in terms of a limited </w:t>
      </w:r>
      <w:r w:rsidR="00B239AD">
        <w:rPr>
          <w:rFonts w:eastAsia="Arial"/>
          <w:color w:val="000000"/>
        </w:rPr>
        <w:t>set of physical processes governing</w:t>
      </w:r>
      <w:r>
        <w:rPr>
          <w:rFonts w:eastAsia="Arial"/>
          <w:color w:val="000000"/>
        </w:rPr>
        <w:t xml:space="preserve"> hazard intensity and exposure. Rather than attempting to encode every detail of an event, the framework focuses on these governing processes, referred to as hazard kernels. By representing incidents </w:t>
      </w:r>
      <w:r w:rsidR="00B239AD">
        <w:rPr>
          <w:rFonts w:eastAsia="Arial"/>
          <w:color w:val="000000"/>
        </w:rPr>
        <w:t>as kernels and recording them on standardized case cards, it becomes possible to connect narrative evidence to measurable parameters and</w:t>
      </w:r>
      <w:r>
        <w:rPr>
          <w:rFonts w:eastAsia="Arial"/>
          <w:color w:val="000000"/>
        </w:rPr>
        <w:t xml:space="preserve"> the decisions that influence them.</w:t>
      </w:r>
    </w:p>
    <w:p w14:paraId="68E88D8C" w14:textId="48E9C249" w:rsidR="00D80727" w:rsidRDefault="00000000" w:rsidP="00623598">
      <w:pPr>
        <w:pStyle w:val="a6"/>
        <w:keepNext/>
        <w:numPr>
          <w:ilvl w:val="0"/>
          <w:numId w:val="4"/>
        </w:numPr>
        <w:pBdr>
          <w:top w:val="nil"/>
          <w:left w:val="nil"/>
          <w:bottom w:val="nil"/>
          <w:right w:val="nil"/>
          <w:between w:val="nil"/>
        </w:pBdr>
        <w:spacing w:before="240" w:after="120" w:line="240" w:lineRule="auto"/>
        <w:ind w:firstLineChars="0"/>
        <w:jc w:val="left"/>
      </w:pPr>
      <w:r w:rsidRPr="00623598">
        <w:rPr>
          <w:rFonts w:eastAsia="Arial"/>
          <w:b/>
          <w:bCs/>
          <w:color w:val="000000"/>
          <w:sz w:val="20"/>
          <w:szCs w:val="20"/>
        </w:rPr>
        <w:t xml:space="preserve">Related </w:t>
      </w:r>
      <w:r w:rsidR="00FE338D">
        <w:rPr>
          <w:rFonts w:eastAsia="Arial"/>
          <w:b/>
          <w:bCs/>
          <w:color w:val="000000"/>
          <w:sz w:val="20"/>
          <w:szCs w:val="20"/>
        </w:rPr>
        <w:t>w</w:t>
      </w:r>
      <w:r w:rsidRPr="00623598">
        <w:rPr>
          <w:rFonts w:eastAsia="Arial"/>
          <w:b/>
          <w:bCs/>
          <w:color w:val="000000"/>
          <w:sz w:val="20"/>
          <w:szCs w:val="20"/>
        </w:rPr>
        <w:t>ork</w:t>
      </w:r>
    </w:p>
    <w:p w14:paraId="58161D72" w14:textId="0496B7CE" w:rsidR="00233E62" w:rsidRPr="00233E62" w:rsidRDefault="00233E62" w:rsidP="00233E62">
      <w:pPr>
        <w:pBdr>
          <w:top w:val="nil"/>
          <w:left w:val="nil"/>
          <w:bottom w:val="nil"/>
          <w:right w:val="nil"/>
          <w:between w:val="nil"/>
        </w:pBdr>
        <w:rPr>
          <w:rFonts w:eastAsia="Arial"/>
          <w:color w:val="000000"/>
        </w:rPr>
      </w:pPr>
      <w:r w:rsidRPr="00233E62">
        <w:rPr>
          <w:rFonts w:eastAsia="Arial"/>
          <w:color w:val="000000"/>
        </w:rPr>
        <w:t>Hydrogen safety has been widely studied from both process safety and system design perspectives. Electrolysis-based hydrogen production has been identified as a critical pathway in the energy transition, but it introduces risks such as hydrogen leakage, gas crossover, and explosion hazards (</w:t>
      </w:r>
      <w:proofErr w:type="spellStart"/>
      <w:r w:rsidRPr="00233E62">
        <w:rPr>
          <w:rFonts w:eastAsia="Arial"/>
          <w:color w:val="000000"/>
        </w:rPr>
        <w:t>Vidas</w:t>
      </w:r>
      <w:proofErr w:type="spellEnd"/>
      <w:r w:rsidRPr="00233E62">
        <w:rPr>
          <w:rFonts w:eastAsia="Arial"/>
          <w:color w:val="000000"/>
        </w:rPr>
        <w:t xml:space="preserve"> and Castro, 2021; Domínguez et al., 2022). Advanced safety assessments using methods such as HAZID, fault tree analysis (FTA), event tree analysis (ETA), and bow-tie analysis consistently identify leakage and ignition scenarios as dominant risk drivers in hydrogen systems (</w:t>
      </w:r>
      <w:proofErr w:type="spellStart"/>
      <w:r w:rsidRPr="00233E62">
        <w:rPr>
          <w:rFonts w:eastAsia="Arial"/>
          <w:color w:val="000000"/>
        </w:rPr>
        <w:t>Muthiah</w:t>
      </w:r>
      <w:proofErr w:type="spellEnd"/>
      <w:r w:rsidRPr="00233E62">
        <w:rPr>
          <w:rFonts w:eastAsia="Arial"/>
          <w:color w:val="000000"/>
        </w:rPr>
        <w:t xml:space="preserve"> et al., 2024). In addition, inherent safety approaches have been applied to compare electrolysis technologies and highlight the importance of minimizing hazardous inventories and preventing gas mixing at the design stage (</w:t>
      </w:r>
      <w:proofErr w:type="spellStart"/>
      <w:r w:rsidRPr="00233E62">
        <w:rPr>
          <w:rFonts w:eastAsia="Arial"/>
          <w:color w:val="000000"/>
        </w:rPr>
        <w:t>Cipolletta</w:t>
      </w:r>
      <w:proofErr w:type="spellEnd"/>
      <w:r w:rsidRPr="00233E62">
        <w:rPr>
          <w:rFonts w:eastAsia="Arial"/>
          <w:color w:val="000000"/>
        </w:rPr>
        <w:t xml:space="preserve"> et al., 2022).</w:t>
      </w:r>
    </w:p>
    <w:p w14:paraId="0658A5BD" w14:textId="57C4E1DB" w:rsidR="00233E62" w:rsidRPr="00233E62" w:rsidRDefault="00233E62" w:rsidP="00233E62">
      <w:pPr>
        <w:pBdr>
          <w:top w:val="nil"/>
          <w:left w:val="nil"/>
          <w:bottom w:val="nil"/>
          <w:right w:val="nil"/>
          <w:between w:val="nil"/>
        </w:pBdr>
        <w:rPr>
          <w:rFonts w:eastAsia="Arial"/>
          <w:color w:val="000000"/>
        </w:rPr>
      </w:pPr>
      <w:r w:rsidRPr="00233E62">
        <w:rPr>
          <w:rFonts w:eastAsia="Arial"/>
          <w:color w:val="000000"/>
        </w:rPr>
        <w:t>Beyond plant-level analysis, consequence modelling has been widely used to quantify thermal radiation, explosion overpressure, and dispersion behavior under different release scenarios. These modelling approaches provide valuable insights into hazard propagation mechanisms and support engineering decision-making, particularly in facility layout design and risk zoning. However, such analyses are typically performed on a case-by-case basis and rely on scenario assumptions rather than systematically incorporating empirical incident evidence.</w:t>
      </w:r>
    </w:p>
    <w:p w14:paraId="168D1F4E" w14:textId="1DC03FDA" w:rsidR="00233E62" w:rsidRPr="00233E62" w:rsidRDefault="00233E62" w:rsidP="00233E62">
      <w:pPr>
        <w:pBdr>
          <w:top w:val="nil"/>
          <w:left w:val="nil"/>
          <w:bottom w:val="nil"/>
          <w:right w:val="nil"/>
          <w:between w:val="nil"/>
        </w:pBdr>
        <w:rPr>
          <w:rFonts w:eastAsia="Arial"/>
          <w:color w:val="000000"/>
        </w:rPr>
      </w:pPr>
      <w:r w:rsidRPr="00233E62">
        <w:rPr>
          <w:rFonts w:eastAsia="Arial"/>
          <w:color w:val="000000"/>
        </w:rPr>
        <w:t>In parallel, increasing attention has been given to learning from operational experience through incident databases. The Hydrogen Incidents and Accidents Database (HIAD) has been developed to collect and harmonize incident reports from multiple sectors, providing a valuable resource for understanding hydrogen-related hazards (</w:t>
      </w:r>
      <w:proofErr w:type="spellStart"/>
      <w:r w:rsidRPr="00233E62">
        <w:rPr>
          <w:rFonts w:eastAsia="Arial"/>
          <w:color w:val="000000"/>
        </w:rPr>
        <w:t>Melideo</w:t>
      </w:r>
      <w:proofErr w:type="spellEnd"/>
      <w:r w:rsidRPr="00233E62">
        <w:rPr>
          <w:rFonts w:eastAsia="Arial"/>
          <w:color w:val="000000"/>
        </w:rPr>
        <w:t xml:space="preserve"> et al., 2019). Subsequent statistical analyses of HIAD 2.0 have identified common failure mechanisms, ignition sources, and consequence patterns, demonstrating the importance of empirical data in improving hydrogen safety practices (Wen et al., 2022).</w:t>
      </w:r>
    </w:p>
    <w:p w14:paraId="1A78280F" w14:textId="698E9392" w:rsidR="00233E62" w:rsidRPr="00233E62" w:rsidRDefault="00233E62" w:rsidP="00233E62">
      <w:pPr>
        <w:pBdr>
          <w:top w:val="nil"/>
          <w:left w:val="nil"/>
          <w:bottom w:val="nil"/>
          <w:right w:val="nil"/>
          <w:between w:val="nil"/>
        </w:pBdr>
        <w:rPr>
          <w:rFonts w:eastAsia="Arial"/>
          <w:color w:val="000000"/>
        </w:rPr>
      </w:pPr>
      <w:r w:rsidRPr="00233E62">
        <w:rPr>
          <w:rFonts w:eastAsia="Arial"/>
          <w:color w:val="000000"/>
        </w:rPr>
        <w:t>Despite these advances, existing studies remain largely fragmented. Engineering analyses are often model-driven and scenario-specific, while incident databases are primarily descriptive and lack consistent parameterization. As a result, incident knowledge is rarely structured in a way that supports systematic reuse across projects. Important information is frequently embedded in narrative descriptions, making it difficult to extract comparable parameters or integrate empirical evidence into engineering models.</w:t>
      </w:r>
    </w:p>
    <w:p w14:paraId="01D634D2" w14:textId="683C3A1F" w:rsidR="00233E62" w:rsidRPr="00233E62" w:rsidRDefault="00233E62" w:rsidP="00233E62">
      <w:pPr>
        <w:pBdr>
          <w:top w:val="nil"/>
          <w:left w:val="nil"/>
          <w:bottom w:val="nil"/>
          <w:right w:val="nil"/>
          <w:between w:val="nil"/>
        </w:pBdr>
        <w:rPr>
          <w:rFonts w:eastAsia="Arial"/>
          <w:color w:val="000000"/>
        </w:rPr>
      </w:pPr>
      <w:r w:rsidRPr="00233E62">
        <w:rPr>
          <w:rFonts w:eastAsia="Arial"/>
          <w:color w:val="000000"/>
        </w:rPr>
        <w:t>Moreover, current approaches seldom provide a unified framework that connects incident data, physical hazard processes, and engineering metrics. This gap becomes increasingly significant in the context of digital safety tools and data-driven risk management, which require structured and interoperable representations of hazard information.</w:t>
      </w:r>
    </w:p>
    <w:p w14:paraId="5273C1DC" w14:textId="11B502E1" w:rsidR="00233E62" w:rsidRPr="009312A9" w:rsidRDefault="00233E62" w:rsidP="00233E62">
      <w:pPr>
        <w:pBdr>
          <w:top w:val="nil"/>
          <w:left w:val="nil"/>
          <w:bottom w:val="nil"/>
          <w:right w:val="nil"/>
          <w:between w:val="nil"/>
        </w:pBdr>
        <w:rPr>
          <w:rFonts w:eastAsia="Arial"/>
          <w:color w:val="000000"/>
        </w:rPr>
      </w:pPr>
      <w:r w:rsidRPr="00233E62">
        <w:rPr>
          <w:rFonts w:eastAsia="Arial"/>
          <w:color w:val="000000"/>
        </w:rPr>
        <w:t>To address these limitations, this study proposes a kernel-based framework that abstracts hydrogen hazards into a limited set of physically interpretable processes. By transforming narrative incident data into standardized case cards and linking them through an ontology and knowledge graph, the proposed approach enables the systematic reuse of empirical safety knowledge and provides a bridge between incident evidence and engineering analysis.</w:t>
      </w:r>
    </w:p>
    <w:p w14:paraId="5FBFF101" w14:textId="2F33F5A6" w:rsidR="00D80727" w:rsidRPr="00623598" w:rsidRDefault="00000000" w:rsidP="00623598">
      <w:pPr>
        <w:pStyle w:val="a6"/>
        <w:keepNext/>
        <w:numPr>
          <w:ilvl w:val="0"/>
          <w:numId w:val="4"/>
        </w:numPr>
        <w:pBdr>
          <w:top w:val="nil"/>
          <w:left w:val="nil"/>
          <w:bottom w:val="nil"/>
          <w:right w:val="nil"/>
          <w:between w:val="nil"/>
        </w:pBdr>
        <w:spacing w:before="240" w:after="120" w:line="240" w:lineRule="auto"/>
        <w:ind w:firstLineChars="0"/>
        <w:rPr>
          <w:b/>
          <w:bCs/>
          <w:color w:val="000000"/>
          <w:sz w:val="20"/>
          <w:szCs w:val="20"/>
        </w:rPr>
      </w:pPr>
      <w:r w:rsidRPr="00623598">
        <w:rPr>
          <w:rFonts w:eastAsia="Arial"/>
          <w:b/>
          <w:bCs/>
          <w:color w:val="000000"/>
          <w:sz w:val="20"/>
          <w:szCs w:val="20"/>
        </w:rPr>
        <w:t>Kernel-</w:t>
      </w:r>
      <w:r w:rsidR="00C5245D">
        <w:rPr>
          <w:rFonts w:eastAsia="Arial"/>
          <w:b/>
          <w:bCs/>
          <w:color w:val="000000"/>
          <w:sz w:val="20"/>
          <w:szCs w:val="20"/>
        </w:rPr>
        <w:t>b</w:t>
      </w:r>
      <w:r w:rsidRPr="00623598">
        <w:rPr>
          <w:rFonts w:eastAsia="Arial"/>
          <w:b/>
          <w:bCs/>
          <w:color w:val="000000"/>
          <w:sz w:val="20"/>
          <w:szCs w:val="20"/>
        </w:rPr>
        <w:t xml:space="preserve">ased </w:t>
      </w:r>
      <w:r w:rsidR="00FE338D">
        <w:rPr>
          <w:rFonts w:eastAsia="Arial"/>
          <w:b/>
          <w:bCs/>
          <w:color w:val="000000"/>
          <w:sz w:val="20"/>
          <w:szCs w:val="20"/>
        </w:rPr>
        <w:t>h</w:t>
      </w:r>
      <w:r w:rsidRPr="00623598">
        <w:rPr>
          <w:rFonts w:eastAsia="Arial"/>
          <w:b/>
          <w:bCs/>
          <w:color w:val="000000"/>
          <w:sz w:val="20"/>
          <w:szCs w:val="20"/>
        </w:rPr>
        <w:t xml:space="preserve">azard </w:t>
      </w:r>
      <w:r w:rsidR="00FE338D">
        <w:rPr>
          <w:rFonts w:eastAsia="Arial"/>
          <w:b/>
          <w:bCs/>
          <w:color w:val="000000"/>
          <w:sz w:val="20"/>
          <w:szCs w:val="20"/>
        </w:rPr>
        <w:t>r</w:t>
      </w:r>
      <w:r w:rsidRPr="00623598">
        <w:rPr>
          <w:rFonts w:eastAsia="Arial"/>
          <w:b/>
          <w:bCs/>
          <w:color w:val="000000"/>
          <w:sz w:val="20"/>
          <w:szCs w:val="20"/>
        </w:rPr>
        <w:t>epresentation</w:t>
      </w:r>
    </w:p>
    <w:p w14:paraId="618DABC5" w14:textId="237F0867" w:rsidR="00D80727" w:rsidRDefault="00FE338D" w:rsidP="00623598">
      <w:pPr>
        <w:pStyle w:val="a6"/>
        <w:keepNext/>
        <w:numPr>
          <w:ilvl w:val="1"/>
          <w:numId w:val="5"/>
        </w:numPr>
        <w:pBdr>
          <w:top w:val="nil"/>
          <w:left w:val="nil"/>
          <w:bottom w:val="nil"/>
          <w:right w:val="nil"/>
          <w:between w:val="nil"/>
        </w:pBdr>
        <w:spacing w:before="120" w:after="120" w:line="240" w:lineRule="auto"/>
        <w:ind w:firstLineChars="0"/>
        <w:jc w:val="left"/>
      </w:pPr>
      <w:r>
        <w:rPr>
          <w:rFonts w:eastAsia="Arial"/>
          <w:b/>
          <w:bCs/>
          <w:color w:val="000000"/>
        </w:rPr>
        <w:t>K</w:t>
      </w:r>
      <w:r w:rsidR="00000000" w:rsidRPr="00623598">
        <w:rPr>
          <w:rFonts w:eastAsia="Arial"/>
          <w:b/>
          <w:bCs/>
          <w:color w:val="000000"/>
        </w:rPr>
        <w:t xml:space="preserve">ernel </w:t>
      </w:r>
      <w:r w:rsidR="00C5245D">
        <w:rPr>
          <w:rFonts w:eastAsia="Arial"/>
          <w:b/>
          <w:bCs/>
          <w:color w:val="000000"/>
        </w:rPr>
        <w:t>f</w:t>
      </w:r>
      <w:r w:rsidR="004E6352">
        <w:rPr>
          <w:rFonts w:eastAsia="Arial" w:hint="eastAsia"/>
          <w:b/>
          <w:bCs/>
          <w:color w:val="000000"/>
        </w:rPr>
        <w:t>ramework</w:t>
      </w:r>
    </w:p>
    <w:p w14:paraId="4D2D627C" w14:textId="0312A6CD" w:rsidR="004E6352" w:rsidRDefault="004E6352" w:rsidP="004E6352">
      <w:pPr>
        <w:pBdr>
          <w:top w:val="nil"/>
          <w:left w:val="nil"/>
          <w:bottom w:val="nil"/>
          <w:right w:val="nil"/>
          <w:between w:val="nil"/>
        </w:pBdr>
        <w:rPr>
          <w:rFonts w:eastAsia="Arial"/>
          <w:color w:val="000000"/>
        </w:rPr>
      </w:pPr>
      <w:r w:rsidRPr="004E6352">
        <w:rPr>
          <w:rFonts w:eastAsia="Arial"/>
          <w:color w:val="000000"/>
        </w:rPr>
        <w:t xml:space="preserve">Analysis of incident records from the Hydrogen Incidents and Accidents Database (HIAD) indicates that hydrogen-related events are governed by a limited </w:t>
      </w:r>
      <w:r>
        <w:rPr>
          <w:rFonts w:eastAsia="Arial" w:hint="eastAsia"/>
          <w:color w:val="000000"/>
        </w:rPr>
        <w:t>set of recurring physical mechanisms, including release, accumulation, dispersion, explosion, mitigation, and ex</w:t>
      </w:r>
      <w:r>
        <w:rPr>
          <w:rFonts w:eastAsia="Arial"/>
          <w:color w:val="000000"/>
        </w:rPr>
        <w:t>posure</w:t>
      </w:r>
      <w:r w:rsidRPr="004E6352">
        <w:rPr>
          <w:rFonts w:eastAsia="Arial"/>
          <w:color w:val="000000"/>
        </w:rPr>
        <w:t>. Although incident descriptions vary widely in narrative form, these underlying mechanisms show strong regularity across different system configurations and operational contexts.</w:t>
      </w:r>
      <w:r>
        <w:rPr>
          <w:rFonts w:eastAsia="Arial" w:hint="eastAsia"/>
          <w:color w:val="000000"/>
        </w:rPr>
        <w:t xml:space="preserve"> </w:t>
      </w:r>
      <w:r w:rsidRPr="004E6352">
        <w:rPr>
          <w:rFonts w:eastAsia="Arial"/>
          <w:color w:val="000000"/>
        </w:rPr>
        <w:t>Based on this observation, five hazard kernels are defined to represent the principal stages of hazard evolution in hydrogen systems. These kernels capture hydrogen release and jet fire behavior, accumulation in confined environments, dispersion, explosion processes, venting and relief effects, and human exposure dynamics. Rather than reproducing full incident narratives, the framework abstracts each event into these physically interpretable processes, enabling consistent representation and comparison across heterogeneous data sources.</w:t>
      </w:r>
    </w:p>
    <w:p w14:paraId="755BC1D1" w14:textId="77777777" w:rsidR="004E6352" w:rsidRDefault="004E6352" w:rsidP="004E6352">
      <w:pPr>
        <w:pBdr>
          <w:top w:val="nil"/>
          <w:left w:val="nil"/>
          <w:bottom w:val="nil"/>
          <w:right w:val="nil"/>
          <w:between w:val="nil"/>
        </w:pBdr>
        <w:jc w:val="center"/>
        <w:rPr>
          <w:color w:val="000000"/>
        </w:rPr>
      </w:pPr>
      <w:r w:rsidRPr="00C75622">
        <w:rPr>
          <w:noProof/>
          <w:color w:val="000000"/>
        </w:rPr>
        <w:lastRenderedPageBreak/>
        <w:drawing>
          <wp:inline distT="0" distB="0" distL="0" distR="0" wp14:anchorId="6FFBD570" wp14:editId="2B382D90">
            <wp:extent cx="3062870" cy="290113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6924" cy="2933390"/>
                    </a:xfrm>
                    <a:prstGeom prst="rect">
                      <a:avLst/>
                    </a:prstGeom>
                  </pic:spPr>
                </pic:pic>
              </a:graphicData>
            </a:graphic>
          </wp:inline>
        </w:drawing>
      </w:r>
    </w:p>
    <w:p w14:paraId="5C276FE0" w14:textId="0C710989" w:rsidR="004E6352" w:rsidRDefault="004E6352" w:rsidP="004E6352">
      <w:pPr>
        <w:pBdr>
          <w:top w:val="nil"/>
          <w:left w:val="nil"/>
          <w:bottom w:val="nil"/>
          <w:right w:val="nil"/>
          <w:between w:val="nil"/>
        </w:pBdr>
        <w:jc w:val="center"/>
        <w:rPr>
          <w:color w:val="000000"/>
        </w:rPr>
      </w:pPr>
      <w:r>
        <w:rPr>
          <w:color w:val="000000"/>
        </w:rPr>
        <w:t>Figure 1: The ontology struc</w:t>
      </w:r>
      <w:r>
        <w:rPr>
          <w:rFonts w:hint="eastAsia"/>
          <w:color w:val="000000"/>
        </w:rPr>
        <w:t>tu</w:t>
      </w:r>
      <w:r>
        <w:rPr>
          <w:color w:val="000000"/>
        </w:rPr>
        <w:t>re</w:t>
      </w:r>
    </w:p>
    <w:p w14:paraId="7D95C2B6" w14:textId="77777777" w:rsidR="004E6352" w:rsidRPr="004E6352" w:rsidRDefault="004E6352" w:rsidP="004E6352">
      <w:pPr>
        <w:pBdr>
          <w:top w:val="nil"/>
          <w:left w:val="nil"/>
          <w:bottom w:val="nil"/>
          <w:right w:val="nil"/>
          <w:between w:val="nil"/>
        </w:pBdr>
        <w:rPr>
          <w:rFonts w:eastAsia="Arial"/>
          <w:color w:val="000000"/>
        </w:rPr>
      </w:pPr>
    </w:p>
    <w:p w14:paraId="5B64D60B" w14:textId="77777777" w:rsidR="004E6352" w:rsidRPr="004E6352" w:rsidRDefault="004E6352" w:rsidP="004E6352">
      <w:pPr>
        <w:pBdr>
          <w:top w:val="nil"/>
          <w:left w:val="nil"/>
          <w:bottom w:val="nil"/>
          <w:right w:val="nil"/>
          <w:between w:val="nil"/>
        </w:pBdr>
        <w:rPr>
          <w:rFonts w:eastAsia="Arial"/>
          <w:color w:val="000000"/>
        </w:rPr>
      </w:pPr>
      <w:r w:rsidRPr="004E6352">
        <w:rPr>
          <w:rFonts w:eastAsia="Arial"/>
          <w:color w:val="000000"/>
        </w:rPr>
        <w:t>As illustrated in Figure 1, the kernel framework follows a directional structure linking incident evidence to hazard evolution. Incident data are first transformed into standardized case cards, which capture physical parameters, mitigation controls, and observed consequences. These elements are then mapped into the kernel framework, where upstream processes define boundary conditions for downstream hazard development. In this structure, hydrogen release conditions influence accumulation and dispersion, which in turn determine explosion potential or thermal effects, while mitigation actions modify these pathways and ultimately affect human exposure outcomes.</w:t>
      </w:r>
    </w:p>
    <w:p w14:paraId="2A765158" w14:textId="3D06E62B" w:rsidR="00D80727" w:rsidRDefault="004E6352" w:rsidP="004E6352">
      <w:pPr>
        <w:pBdr>
          <w:top w:val="nil"/>
          <w:left w:val="nil"/>
          <w:bottom w:val="nil"/>
          <w:right w:val="nil"/>
          <w:between w:val="nil"/>
        </w:pBdr>
        <w:rPr>
          <w:color w:val="000000"/>
        </w:rPr>
      </w:pPr>
      <w:r w:rsidRPr="004E6352">
        <w:rPr>
          <w:rFonts w:eastAsia="Arial"/>
          <w:color w:val="000000"/>
        </w:rPr>
        <w:t>This directional organization reflects the progression observed in real incidents and provides a coherent basis for linking empirical evidence with engineering analysis. Table 1 presents representative HIAD events and their mapping to dominant kernels, demonstrating that diverse incident scenarios can be consistently interpreted through a limited set of governing processes. This mapping supports the abstraction of narrative incident data into comparable analytical units and confirms the relevance of the kernel structure.</w:t>
      </w:r>
      <w:r>
        <w:rPr>
          <w:rFonts w:eastAsia="Arial"/>
          <w:color w:val="000000"/>
        </w:rPr>
        <w:t xml:space="preserve"> The fifth kernel introduces the human dimension by representing evacuation and clearance dynamics. Even moderate hazards can produce severe consequences if evacuation is delayed. This kernel links alarm design, route configuration, and personnel distribution to clearance time metrics. These metrics provide a bridge between physical hazard modelling and risk indicators such as individual risk and potential loss of life.</w:t>
      </w:r>
    </w:p>
    <w:p w14:paraId="181B674D" w14:textId="7BA2BFDA" w:rsidR="00D80727" w:rsidRDefault="00000000">
      <w:pPr>
        <w:pBdr>
          <w:top w:val="nil"/>
          <w:left w:val="nil"/>
          <w:bottom w:val="nil"/>
          <w:right w:val="nil"/>
          <w:between w:val="nil"/>
        </w:pBdr>
        <w:rPr>
          <w:rFonts w:eastAsia="Arial"/>
          <w:color w:val="000000"/>
        </w:rPr>
      </w:pPr>
      <w:r>
        <w:rPr>
          <w:rFonts w:eastAsia="Arial"/>
          <w:color w:val="000000"/>
        </w:rPr>
        <w:t>Together, the five kernels form a directional structure in which physical release conditions influence environmental evolution, mitigation effectiveness, and human exposure. This structure reflects the progression observed in many hydrogen incidents and provides a coherent framework for representing empirical safety evidence.</w:t>
      </w:r>
    </w:p>
    <w:p w14:paraId="2DA71B23" w14:textId="72705378" w:rsidR="0079049F" w:rsidRDefault="0079049F" w:rsidP="0079049F">
      <w:pPr>
        <w:pBdr>
          <w:top w:val="nil"/>
          <w:left w:val="nil"/>
          <w:bottom w:val="nil"/>
          <w:right w:val="nil"/>
          <w:between w:val="nil"/>
        </w:pBdr>
        <w:jc w:val="center"/>
        <w:rPr>
          <w:rFonts w:eastAsia="Arial"/>
          <w:color w:val="000000"/>
        </w:rPr>
      </w:pPr>
      <w:r>
        <w:rPr>
          <w:rFonts w:eastAsia="Arial" w:hint="eastAsia"/>
          <w:color w:val="000000"/>
        </w:rPr>
        <w:t>T</w:t>
      </w:r>
      <w:r>
        <w:rPr>
          <w:rFonts w:eastAsia="Arial"/>
          <w:color w:val="000000"/>
        </w:rPr>
        <w:t>able 1</w:t>
      </w:r>
      <w:r w:rsidR="004031F6">
        <w:rPr>
          <w:rFonts w:ascii="微软雅黑" w:eastAsia="微软雅黑" w:hAnsi="微软雅黑" w:cs="微软雅黑" w:hint="eastAsia"/>
          <w:color w:val="000000"/>
        </w:rPr>
        <w:t>：</w:t>
      </w:r>
      <w:r>
        <w:rPr>
          <w:rFonts w:eastAsia="Arial"/>
          <w:color w:val="000000"/>
        </w:rPr>
        <w:t xml:space="preserve"> Corresponding </w:t>
      </w:r>
      <w:r w:rsidR="008B11B1">
        <w:rPr>
          <w:rFonts w:eastAsia="Arial"/>
          <w:color w:val="000000"/>
        </w:rPr>
        <w:t>k</w:t>
      </w:r>
      <w:r>
        <w:rPr>
          <w:rFonts w:eastAsia="Arial"/>
          <w:color w:val="000000"/>
        </w:rPr>
        <w:t>ernel to HIAD events</w:t>
      </w:r>
    </w:p>
    <w:tbl>
      <w:tblPr>
        <w:tblStyle w:val="20"/>
        <w:tblW w:w="0" w:type="auto"/>
        <w:jc w:val="center"/>
        <w:tblBorders>
          <w:insideH w:val="single" w:sz="4" w:space="0" w:color="auto"/>
        </w:tblBorders>
        <w:tblLook w:val="06A0" w:firstRow="1" w:lastRow="0" w:firstColumn="1" w:lastColumn="0" w:noHBand="1" w:noVBand="1"/>
      </w:tblPr>
      <w:tblGrid>
        <w:gridCol w:w="1197"/>
        <w:gridCol w:w="3118"/>
        <w:gridCol w:w="777"/>
      </w:tblGrid>
      <w:tr w:rsidR="0079049F" w:rsidRPr="00FE338D" w14:paraId="02E41F3E" w14:textId="77777777" w:rsidTr="00FE33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8000"/>
              <w:bottom w:val="single" w:sz="4" w:space="0" w:color="008000"/>
            </w:tcBorders>
            <w:hideMark/>
          </w:tcPr>
          <w:p w14:paraId="0C0EB063"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HIAD Event</w:t>
            </w:r>
          </w:p>
        </w:tc>
        <w:tc>
          <w:tcPr>
            <w:tcW w:w="0" w:type="auto"/>
            <w:tcBorders>
              <w:top w:val="single" w:sz="12" w:space="0" w:color="008000"/>
              <w:bottom w:val="single" w:sz="4" w:space="0" w:color="008000"/>
            </w:tcBorders>
            <w:hideMark/>
          </w:tcPr>
          <w:p w14:paraId="2A917851" w14:textId="77777777" w:rsidR="0079049F" w:rsidRPr="00FE338D" w:rsidRDefault="0079049F" w:rsidP="00FE338D">
            <w:pPr>
              <w:spacing w:line="264" w:lineRule="auto"/>
              <w:cnfStyle w:val="100000000000" w:firstRow="1"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Description</w:t>
            </w:r>
          </w:p>
        </w:tc>
        <w:tc>
          <w:tcPr>
            <w:tcW w:w="0" w:type="auto"/>
            <w:tcBorders>
              <w:top w:val="single" w:sz="12" w:space="0" w:color="008000"/>
              <w:bottom w:val="single" w:sz="4" w:space="0" w:color="008000"/>
            </w:tcBorders>
            <w:hideMark/>
          </w:tcPr>
          <w:p w14:paraId="29C197AA" w14:textId="77777777" w:rsidR="0079049F" w:rsidRPr="00FE338D" w:rsidRDefault="0079049F" w:rsidP="00FE338D">
            <w:pPr>
              <w:spacing w:line="264" w:lineRule="auto"/>
              <w:cnfStyle w:val="100000000000" w:firstRow="1"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Kernel</w:t>
            </w:r>
          </w:p>
        </w:tc>
      </w:tr>
      <w:tr w:rsidR="0079049F" w:rsidRPr="00FE338D" w14:paraId="77A38E46" w14:textId="77777777" w:rsidTr="00FE338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8000"/>
            </w:tcBorders>
            <w:hideMark/>
          </w:tcPr>
          <w:p w14:paraId="048F2FC5"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243</w:t>
            </w:r>
          </w:p>
        </w:tc>
        <w:tc>
          <w:tcPr>
            <w:tcW w:w="0" w:type="auto"/>
            <w:tcBorders>
              <w:top w:val="single" w:sz="4" w:space="0" w:color="008000"/>
            </w:tcBorders>
            <w:hideMark/>
          </w:tcPr>
          <w:p w14:paraId="04284C6C"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hydrogen ingress into oxygen holder</w:t>
            </w:r>
          </w:p>
        </w:tc>
        <w:tc>
          <w:tcPr>
            <w:tcW w:w="0" w:type="auto"/>
            <w:tcBorders>
              <w:top w:val="single" w:sz="4" w:space="0" w:color="008000"/>
            </w:tcBorders>
            <w:hideMark/>
          </w:tcPr>
          <w:p w14:paraId="19088A05"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K2</w:t>
            </w:r>
          </w:p>
        </w:tc>
      </w:tr>
      <w:tr w:rsidR="0079049F" w:rsidRPr="00FE338D" w14:paraId="66EF8DEC" w14:textId="77777777" w:rsidTr="007904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961009"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664</w:t>
            </w:r>
          </w:p>
        </w:tc>
        <w:tc>
          <w:tcPr>
            <w:tcW w:w="0" w:type="auto"/>
            <w:hideMark/>
          </w:tcPr>
          <w:p w14:paraId="0FF205CF"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diaphragm leak in electrolyser</w:t>
            </w:r>
          </w:p>
        </w:tc>
        <w:tc>
          <w:tcPr>
            <w:tcW w:w="0" w:type="auto"/>
            <w:hideMark/>
          </w:tcPr>
          <w:p w14:paraId="52D59630"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K2</w:t>
            </w:r>
          </w:p>
        </w:tc>
      </w:tr>
      <w:tr w:rsidR="0079049F" w:rsidRPr="00FE338D" w14:paraId="19731B8B" w14:textId="77777777" w:rsidTr="007904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247273"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778</w:t>
            </w:r>
          </w:p>
        </w:tc>
        <w:tc>
          <w:tcPr>
            <w:tcW w:w="0" w:type="auto"/>
            <w:hideMark/>
          </w:tcPr>
          <w:p w14:paraId="044765D8"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hydrogen in oxygen drum</w:t>
            </w:r>
          </w:p>
        </w:tc>
        <w:tc>
          <w:tcPr>
            <w:tcW w:w="0" w:type="auto"/>
            <w:hideMark/>
          </w:tcPr>
          <w:p w14:paraId="421ACE8F"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K2</w:t>
            </w:r>
          </w:p>
        </w:tc>
      </w:tr>
      <w:tr w:rsidR="0079049F" w:rsidRPr="00FE338D" w14:paraId="7FB58969" w14:textId="77777777" w:rsidTr="007904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F463EF"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688</w:t>
            </w:r>
          </w:p>
        </w:tc>
        <w:tc>
          <w:tcPr>
            <w:tcW w:w="0" w:type="auto"/>
            <w:hideMark/>
          </w:tcPr>
          <w:p w14:paraId="0DAAA9C2"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hydrogen storage tank explosion</w:t>
            </w:r>
          </w:p>
        </w:tc>
        <w:tc>
          <w:tcPr>
            <w:tcW w:w="0" w:type="auto"/>
            <w:hideMark/>
          </w:tcPr>
          <w:p w14:paraId="673F3A89"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K4</w:t>
            </w:r>
          </w:p>
        </w:tc>
      </w:tr>
      <w:tr w:rsidR="0079049F" w:rsidRPr="00FE338D" w14:paraId="3D998F32" w14:textId="77777777" w:rsidTr="007904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26573B5"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970</w:t>
            </w:r>
          </w:p>
        </w:tc>
        <w:tc>
          <w:tcPr>
            <w:tcW w:w="0" w:type="auto"/>
            <w:hideMark/>
          </w:tcPr>
          <w:p w14:paraId="3914DC9E"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hydrogen tank explosion</w:t>
            </w:r>
          </w:p>
        </w:tc>
        <w:tc>
          <w:tcPr>
            <w:tcW w:w="0" w:type="auto"/>
            <w:hideMark/>
          </w:tcPr>
          <w:p w14:paraId="70606898"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K4</w:t>
            </w:r>
          </w:p>
        </w:tc>
      </w:tr>
      <w:tr w:rsidR="0079049F" w:rsidRPr="00FE338D" w14:paraId="630453C3" w14:textId="77777777" w:rsidTr="0079049F">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17544B"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1027</w:t>
            </w:r>
          </w:p>
        </w:tc>
        <w:tc>
          <w:tcPr>
            <w:tcW w:w="0" w:type="auto"/>
            <w:hideMark/>
          </w:tcPr>
          <w:p w14:paraId="6509A6FF"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vent ignition</w:t>
            </w:r>
          </w:p>
        </w:tc>
        <w:tc>
          <w:tcPr>
            <w:tcW w:w="0" w:type="auto"/>
            <w:hideMark/>
          </w:tcPr>
          <w:p w14:paraId="3E58781A"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K3</w:t>
            </w:r>
          </w:p>
        </w:tc>
      </w:tr>
      <w:tr w:rsidR="0079049F" w:rsidRPr="00FE338D" w14:paraId="641665F3" w14:textId="77777777" w:rsidTr="00FE338D">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380E4345"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1086</w:t>
            </w:r>
          </w:p>
        </w:tc>
        <w:tc>
          <w:tcPr>
            <w:tcW w:w="0" w:type="auto"/>
            <w:tcBorders>
              <w:bottom w:val="single" w:sz="4" w:space="0" w:color="auto"/>
            </w:tcBorders>
            <w:hideMark/>
          </w:tcPr>
          <w:p w14:paraId="16378955"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storage flange leak</w:t>
            </w:r>
          </w:p>
        </w:tc>
        <w:tc>
          <w:tcPr>
            <w:tcW w:w="0" w:type="auto"/>
            <w:tcBorders>
              <w:bottom w:val="single" w:sz="4" w:space="0" w:color="auto"/>
            </w:tcBorders>
            <w:hideMark/>
          </w:tcPr>
          <w:p w14:paraId="6B9C3E7E"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K1</w:t>
            </w:r>
          </w:p>
        </w:tc>
      </w:tr>
      <w:tr w:rsidR="0079049F" w:rsidRPr="00FE338D" w14:paraId="13BE10D7" w14:textId="77777777" w:rsidTr="00FE338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12" w:space="0" w:color="008000"/>
            </w:tcBorders>
            <w:hideMark/>
          </w:tcPr>
          <w:p w14:paraId="4A5216FC" w14:textId="77777777" w:rsidR="0079049F" w:rsidRPr="00FE338D" w:rsidRDefault="0079049F" w:rsidP="00FE338D">
            <w:pPr>
              <w:spacing w:line="264" w:lineRule="auto"/>
              <w:rPr>
                <w:rFonts w:eastAsia="Arial"/>
                <w:color w:val="000000"/>
                <w:lang w:val="en-GB"/>
              </w:rPr>
            </w:pPr>
            <w:r w:rsidRPr="00FE338D">
              <w:rPr>
                <w:rFonts w:eastAsia="Arial"/>
                <w:color w:val="000000"/>
                <w:lang w:val="en-GB"/>
              </w:rPr>
              <w:t>1037</w:t>
            </w:r>
          </w:p>
        </w:tc>
        <w:tc>
          <w:tcPr>
            <w:tcW w:w="0" w:type="auto"/>
            <w:tcBorders>
              <w:top w:val="single" w:sz="4" w:space="0" w:color="auto"/>
              <w:bottom w:val="single" w:sz="12" w:space="0" w:color="008000"/>
            </w:tcBorders>
            <w:hideMark/>
          </w:tcPr>
          <w:p w14:paraId="4A48971D"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KOH leak</w:t>
            </w:r>
          </w:p>
        </w:tc>
        <w:tc>
          <w:tcPr>
            <w:tcW w:w="0" w:type="auto"/>
            <w:tcBorders>
              <w:top w:val="single" w:sz="4" w:space="0" w:color="auto"/>
              <w:bottom w:val="single" w:sz="12" w:space="0" w:color="008000"/>
            </w:tcBorders>
            <w:hideMark/>
          </w:tcPr>
          <w:p w14:paraId="5DDA1E02" w14:textId="77777777" w:rsidR="0079049F" w:rsidRPr="00FE338D" w:rsidRDefault="0079049F" w:rsidP="00FE338D">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lang w:val="en-GB"/>
              </w:rPr>
            </w:pPr>
            <w:r w:rsidRPr="00FE338D">
              <w:rPr>
                <w:rFonts w:eastAsia="Arial"/>
                <w:color w:val="000000"/>
                <w:lang w:val="en-GB"/>
              </w:rPr>
              <w:t>K5</w:t>
            </w:r>
          </w:p>
        </w:tc>
      </w:tr>
    </w:tbl>
    <w:p w14:paraId="6E56AFA4" w14:textId="35D62A47" w:rsidR="00D80727" w:rsidRDefault="00FE338D" w:rsidP="00623598">
      <w:pPr>
        <w:pStyle w:val="a6"/>
        <w:keepNext/>
        <w:numPr>
          <w:ilvl w:val="1"/>
          <w:numId w:val="5"/>
        </w:numPr>
        <w:pBdr>
          <w:top w:val="nil"/>
          <w:left w:val="nil"/>
          <w:bottom w:val="nil"/>
          <w:right w:val="nil"/>
          <w:between w:val="nil"/>
        </w:pBdr>
        <w:spacing w:before="120" w:after="120" w:line="240" w:lineRule="auto"/>
        <w:ind w:firstLineChars="0"/>
        <w:jc w:val="left"/>
      </w:pPr>
      <w:r>
        <w:rPr>
          <w:rFonts w:eastAsia="Arial"/>
          <w:b/>
          <w:bCs/>
          <w:color w:val="000000"/>
        </w:rPr>
        <w:t>S</w:t>
      </w:r>
      <w:r w:rsidR="00000000" w:rsidRPr="00623598">
        <w:rPr>
          <w:rFonts w:eastAsia="Arial"/>
          <w:b/>
          <w:bCs/>
          <w:color w:val="000000"/>
        </w:rPr>
        <w:t>tandardized case cards</w:t>
      </w:r>
    </w:p>
    <w:p w14:paraId="17924156" w14:textId="4CDF4BCE" w:rsidR="004E6352" w:rsidRPr="004E6352" w:rsidRDefault="004E6352" w:rsidP="004E6352">
      <w:pPr>
        <w:pBdr>
          <w:top w:val="nil"/>
          <w:left w:val="nil"/>
          <w:bottom w:val="nil"/>
          <w:right w:val="nil"/>
          <w:between w:val="nil"/>
        </w:pBdr>
        <w:rPr>
          <w:color w:val="000000"/>
        </w:rPr>
      </w:pPr>
      <w:r w:rsidRPr="004E6352">
        <w:rPr>
          <w:color w:val="000000"/>
        </w:rPr>
        <w:t xml:space="preserve">To enable systematic reuse of incident knowledge, each incident is transformed into a standardized case card that captures key elements influencing hazard evolution. As shown in Figure 1, the case card serves as an </w:t>
      </w:r>
      <w:r w:rsidRPr="004E6352">
        <w:rPr>
          <w:color w:val="000000"/>
        </w:rPr>
        <w:lastRenderedPageBreak/>
        <w:t>intermediate representation between raw incident data and the kernel framework, providing a structured format that links empirical evidence to analytical interpretation.</w:t>
      </w:r>
    </w:p>
    <w:p w14:paraId="3BF9DAF6" w14:textId="4A8629C2" w:rsidR="004E6352" w:rsidRPr="004E6352" w:rsidRDefault="004E6352" w:rsidP="004E6352">
      <w:pPr>
        <w:pBdr>
          <w:top w:val="nil"/>
          <w:left w:val="nil"/>
          <w:bottom w:val="nil"/>
          <w:right w:val="nil"/>
          <w:between w:val="nil"/>
        </w:pBdr>
        <w:rPr>
          <w:color w:val="000000"/>
        </w:rPr>
      </w:pPr>
      <w:r w:rsidRPr="004E6352">
        <w:rPr>
          <w:color w:val="000000"/>
        </w:rPr>
        <w:t xml:space="preserve">The transformation process begins with </w:t>
      </w:r>
      <w:r>
        <w:rPr>
          <w:rFonts w:hint="eastAsia"/>
          <w:color w:val="000000"/>
        </w:rPr>
        <w:t>identifying</w:t>
      </w:r>
      <w:r w:rsidRPr="004E6352">
        <w:rPr>
          <w:color w:val="000000"/>
        </w:rPr>
        <w:t xml:space="preserve"> the dominant hazard processes associated with each incident. This is followed by the extraction of key parameters, such as pressure, enclosure volume, ventilation rate, or release characteristics, depending on the governing kernel. These parameters are then interpreted within the kernel structure to establish their relationship with hazard intensity or exposure outcomes. Mitigation actions and operational decisions are recorded alongside these parameters to reflect how system behavior was influenced during the event.</w:t>
      </w:r>
    </w:p>
    <w:p w14:paraId="376A3F26" w14:textId="7276A686" w:rsidR="004E6352" w:rsidRPr="004E6352" w:rsidRDefault="004E6352" w:rsidP="004E6352">
      <w:pPr>
        <w:pBdr>
          <w:top w:val="nil"/>
          <w:left w:val="nil"/>
          <w:bottom w:val="nil"/>
          <w:right w:val="nil"/>
          <w:between w:val="nil"/>
        </w:pBdr>
        <w:rPr>
          <w:color w:val="000000"/>
        </w:rPr>
      </w:pPr>
      <w:r w:rsidRPr="004E6352">
        <w:rPr>
          <w:color w:val="000000"/>
        </w:rPr>
        <w:t>In cases where quantitative data are incomplete, conservative estimates are derived from contextual information and explicitly documented. This treatment of uncertainty ensures that incident data remain usable while preserving transparency. By converting heterogeneous incident descriptions into a consistent format, the case card structure enables direct comparison across events and supports the identification of recurring parameter patterns.</w:t>
      </w:r>
    </w:p>
    <w:p w14:paraId="28E5310E" w14:textId="1F0A8AAC" w:rsidR="00D80727" w:rsidRDefault="004E6352" w:rsidP="004E6352">
      <w:pPr>
        <w:pBdr>
          <w:top w:val="nil"/>
          <w:left w:val="nil"/>
          <w:bottom w:val="nil"/>
          <w:right w:val="nil"/>
          <w:between w:val="nil"/>
        </w:pBdr>
        <w:rPr>
          <w:color w:val="000000"/>
        </w:rPr>
      </w:pPr>
      <w:r w:rsidRPr="004E6352">
        <w:rPr>
          <w:color w:val="000000"/>
        </w:rPr>
        <w:t xml:space="preserve">The functional role of each kernel in this process is defined </w:t>
      </w:r>
      <w:r>
        <w:rPr>
          <w:rFonts w:hint="eastAsia"/>
          <w:color w:val="000000"/>
        </w:rPr>
        <w:t>by</w:t>
      </w:r>
      <w:r w:rsidRPr="004E6352">
        <w:rPr>
          <w:color w:val="000000"/>
        </w:rPr>
        <w:t xml:space="preserve"> its governing input–output relationships, as summarized in Table 2. Each kernel links a set of physical or operational inputs to measurable hazard metrics, providing a consistent basis for parameter extraction and interpretation within the case card framework.</w:t>
      </w:r>
    </w:p>
    <w:p w14:paraId="7B97B0C9" w14:textId="7D805012" w:rsidR="00D80727" w:rsidRDefault="00FE338D" w:rsidP="00623598">
      <w:pPr>
        <w:pStyle w:val="a6"/>
        <w:keepNext/>
        <w:numPr>
          <w:ilvl w:val="1"/>
          <w:numId w:val="5"/>
        </w:numPr>
        <w:pBdr>
          <w:top w:val="nil"/>
          <w:left w:val="nil"/>
          <w:bottom w:val="nil"/>
          <w:right w:val="nil"/>
          <w:between w:val="nil"/>
        </w:pBdr>
        <w:spacing w:before="240" w:after="120" w:line="240" w:lineRule="auto"/>
        <w:ind w:firstLineChars="0"/>
        <w:jc w:val="left"/>
      </w:pPr>
      <w:r>
        <w:rPr>
          <w:rFonts w:eastAsia="Arial"/>
          <w:b/>
          <w:bCs/>
          <w:color w:val="000000"/>
          <w:sz w:val="20"/>
          <w:szCs w:val="20"/>
        </w:rPr>
        <w:t>O</w:t>
      </w:r>
      <w:r w:rsidR="004E6352">
        <w:rPr>
          <w:rFonts w:eastAsia="Arial" w:hint="eastAsia"/>
          <w:b/>
          <w:bCs/>
          <w:color w:val="000000"/>
          <w:sz w:val="20"/>
          <w:szCs w:val="20"/>
        </w:rPr>
        <w:t>ntology</w:t>
      </w:r>
      <w:r w:rsidR="004E6352">
        <w:rPr>
          <w:rFonts w:eastAsia="Arial"/>
          <w:b/>
          <w:bCs/>
          <w:color w:val="000000"/>
          <w:sz w:val="20"/>
          <w:szCs w:val="20"/>
        </w:rPr>
        <w:t xml:space="preserve"> </w:t>
      </w:r>
      <w:r w:rsidR="004E6352">
        <w:rPr>
          <w:rFonts w:eastAsia="Arial" w:hint="eastAsia"/>
          <w:b/>
          <w:bCs/>
          <w:color w:val="000000"/>
          <w:sz w:val="20"/>
          <w:szCs w:val="20"/>
        </w:rPr>
        <w:t>and</w:t>
      </w:r>
      <w:r w:rsidR="004E6352">
        <w:rPr>
          <w:rFonts w:eastAsia="Arial"/>
          <w:b/>
          <w:bCs/>
          <w:color w:val="000000"/>
          <w:sz w:val="20"/>
          <w:szCs w:val="20"/>
        </w:rPr>
        <w:t xml:space="preserve"> </w:t>
      </w:r>
      <w:r>
        <w:rPr>
          <w:rFonts w:eastAsia="Arial"/>
          <w:b/>
          <w:bCs/>
          <w:color w:val="000000"/>
          <w:sz w:val="20"/>
          <w:szCs w:val="20"/>
        </w:rPr>
        <w:t>k</w:t>
      </w:r>
      <w:r w:rsidR="004E6352" w:rsidRPr="00623598">
        <w:rPr>
          <w:rFonts w:eastAsia="Arial"/>
          <w:b/>
          <w:bCs/>
          <w:color w:val="000000"/>
          <w:sz w:val="20"/>
          <w:szCs w:val="20"/>
        </w:rPr>
        <w:t xml:space="preserve">nowledge </w:t>
      </w:r>
      <w:r>
        <w:rPr>
          <w:rFonts w:eastAsia="Arial"/>
          <w:b/>
          <w:bCs/>
          <w:color w:val="000000"/>
          <w:sz w:val="20"/>
          <w:szCs w:val="20"/>
        </w:rPr>
        <w:t>g</w:t>
      </w:r>
      <w:r w:rsidR="004E6352" w:rsidRPr="00623598">
        <w:rPr>
          <w:rFonts w:eastAsia="Arial"/>
          <w:b/>
          <w:bCs/>
          <w:color w:val="000000"/>
          <w:sz w:val="20"/>
          <w:szCs w:val="20"/>
        </w:rPr>
        <w:t xml:space="preserve">raph </w:t>
      </w:r>
      <w:r>
        <w:rPr>
          <w:rFonts w:eastAsia="Arial"/>
          <w:b/>
          <w:bCs/>
          <w:color w:val="000000"/>
          <w:sz w:val="20"/>
          <w:szCs w:val="20"/>
        </w:rPr>
        <w:t>i</w:t>
      </w:r>
      <w:r w:rsidR="004E6352" w:rsidRPr="00623598">
        <w:rPr>
          <w:rFonts w:eastAsia="Arial"/>
          <w:b/>
          <w:bCs/>
          <w:color w:val="000000"/>
          <w:sz w:val="20"/>
          <w:szCs w:val="20"/>
        </w:rPr>
        <w:t>ntegration</w:t>
      </w:r>
    </w:p>
    <w:p w14:paraId="1305E67F" w14:textId="4BE6BD90" w:rsidR="009E4526" w:rsidRPr="009E4526" w:rsidRDefault="009E4526" w:rsidP="009E4526">
      <w:pPr>
        <w:pBdr>
          <w:top w:val="nil"/>
          <w:left w:val="nil"/>
          <w:bottom w:val="nil"/>
          <w:right w:val="nil"/>
          <w:between w:val="nil"/>
        </w:pBdr>
        <w:rPr>
          <w:rFonts w:eastAsia="Arial"/>
          <w:color w:val="000000"/>
        </w:rPr>
      </w:pPr>
      <w:r w:rsidRPr="009E4526">
        <w:rPr>
          <w:rFonts w:eastAsia="Arial"/>
          <w:color w:val="000000"/>
        </w:rPr>
        <w:t>A lightweight ontology is developed to formalize the relationships among parameters, kernels, and outcomes. The ontology focuses on entities that directly influence hazard evolution, including physical parameters, operational controls, and consequence metrics. These entities are connected through kernel-specific relationships, ensuring that parameter values are interpreted within a consistent physical framework rather than as isolated descriptors.</w:t>
      </w:r>
    </w:p>
    <w:p w14:paraId="0EC32A62" w14:textId="6E0307F0" w:rsidR="009E4526" w:rsidRPr="009E4526" w:rsidRDefault="009E4526" w:rsidP="009E4526">
      <w:pPr>
        <w:pBdr>
          <w:top w:val="nil"/>
          <w:left w:val="nil"/>
          <w:bottom w:val="nil"/>
          <w:right w:val="nil"/>
          <w:between w:val="nil"/>
        </w:pBdr>
        <w:rPr>
          <w:rFonts w:eastAsia="Arial"/>
          <w:color w:val="000000"/>
        </w:rPr>
      </w:pPr>
      <w:r w:rsidRPr="009E4526">
        <w:rPr>
          <w:rFonts w:eastAsia="Arial"/>
          <w:color w:val="000000"/>
        </w:rPr>
        <w:t>As illustrated in Figure 1, the ontology and knowledge graph operate downstream of the case card representation. Each case card is represented as a node within a knowledge graph, with explicit links to parameter nodes, mitigation actions, and outcome metrics. Importantly, all parameter values retain references to their original sources, enabling full traceability and supporting the evaluation of data reliability. This structure allows analysts to distinguish between directly reported values and inferred estimates, thereby improving the transparency of subsequent analyses.</w:t>
      </w:r>
    </w:p>
    <w:p w14:paraId="0AE99FCD" w14:textId="52731184" w:rsidR="009E4526" w:rsidRDefault="009E4526" w:rsidP="009E4526">
      <w:pPr>
        <w:pBdr>
          <w:top w:val="nil"/>
          <w:left w:val="nil"/>
          <w:bottom w:val="nil"/>
          <w:right w:val="nil"/>
          <w:between w:val="nil"/>
        </w:pBdr>
        <w:rPr>
          <w:rFonts w:eastAsia="Arial"/>
          <w:color w:val="000000"/>
        </w:rPr>
      </w:pPr>
      <w:r w:rsidRPr="009E4526">
        <w:rPr>
          <w:rFonts w:eastAsia="Arial"/>
          <w:color w:val="000000"/>
        </w:rPr>
        <w:t>Within this representation, each hazard kernel functions as a transformation mechanism that connects incident-derived inputs to measurable outcomes. As summarized in Table 2, parameters such as pressure, enclosure characteristics, or ventilation conditions are consistently interpreted in terms of their influence on hazard metrics</w:t>
      </w:r>
      <w:r>
        <w:rPr>
          <w:rFonts w:eastAsia="Arial"/>
          <w:color w:val="000000"/>
        </w:rPr>
        <w:t>,</w:t>
      </w:r>
      <w:r w:rsidRPr="009E4526">
        <w:rPr>
          <w:rFonts w:eastAsia="Arial"/>
          <w:color w:val="000000"/>
        </w:rPr>
        <w:t xml:space="preserve"> including thermal radiation, gas concentration, overpressure, and exposure conditions. This interpretation provides a structured pathway for linking empirical incident data with engineering analysis.</w:t>
      </w:r>
    </w:p>
    <w:p w14:paraId="303AEC1B" w14:textId="77777777" w:rsidR="009E4526" w:rsidRDefault="009E4526" w:rsidP="009E4526">
      <w:pPr>
        <w:pBdr>
          <w:top w:val="nil"/>
          <w:left w:val="nil"/>
          <w:bottom w:val="nil"/>
          <w:right w:val="nil"/>
          <w:between w:val="nil"/>
        </w:pBdr>
        <w:rPr>
          <w:color w:val="000000"/>
        </w:rPr>
      </w:pPr>
    </w:p>
    <w:p w14:paraId="5F808805" w14:textId="77777777" w:rsidR="009E4526" w:rsidRPr="004031F6" w:rsidRDefault="009E4526" w:rsidP="009E4526">
      <w:pPr>
        <w:pBdr>
          <w:top w:val="nil"/>
          <w:left w:val="nil"/>
          <w:bottom w:val="nil"/>
          <w:right w:val="nil"/>
          <w:between w:val="nil"/>
        </w:pBdr>
        <w:jc w:val="center"/>
        <w:rPr>
          <w:rFonts w:eastAsia="Arial"/>
          <w:color w:val="000000"/>
        </w:rPr>
      </w:pPr>
      <w:r>
        <w:rPr>
          <w:rFonts w:eastAsia="Arial" w:hint="eastAsia"/>
          <w:color w:val="000000"/>
        </w:rPr>
        <w:t>T</w:t>
      </w:r>
      <w:r>
        <w:rPr>
          <w:rFonts w:eastAsia="Arial"/>
          <w:color w:val="000000"/>
        </w:rPr>
        <w:t xml:space="preserve">able 2: </w:t>
      </w:r>
      <w:r>
        <w:rPr>
          <w:rFonts w:eastAsia="Arial" w:hint="eastAsia"/>
          <w:color w:val="000000"/>
        </w:rPr>
        <w:t>Details</w:t>
      </w:r>
      <w:r>
        <w:rPr>
          <w:rFonts w:eastAsia="Arial"/>
          <w:color w:val="000000"/>
        </w:rPr>
        <w:t xml:space="preserve"> </w:t>
      </w:r>
      <w:r>
        <w:rPr>
          <w:rFonts w:eastAsia="Arial" w:hint="eastAsia"/>
          <w:color w:val="000000"/>
        </w:rPr>
        <w:t>for</w:t>
      </w:r>
      <w:r>
        <w:rPr>
          <w:rFonts w:eastAsia="Arial"/>
          <w:color w:val="000000"/>
        </w:rPr>
        <w:t xml:space="preserve"> </w:t>
      </w:r>
      <w:r>
        <w:rPr>
          <w:rFonts w:eastAsia="Arial" w:hint="eastAsia"/>
          <w:color w:val="000000"/>
        </w:rPr>
        <w:t>five</w:t>
      </w:r>
      <w:r>
        <w:rPr>
          <w:rFonts w:eastAsia="Arial"/>
          <w:color w:val="000000"/>
        </w:rPr>
        <w:t xml:space="preserve"> </w:t>
      </w:r>
      <w:r>
        <w:rPr>
          <w:rFonts w:eastAsia="Arial" w:hint="eastAsia"/>
          <w:color w:val="000000"/>
        </w:rPr>
        <w:t>kernel</w:t>
      </w:r>
      <w:r>
        <w:rPr>
          <w:rFonts w:eastAsia="Arial"/>
          <w:color w:val="000000"/>
        </w:rPr>
        <w:t xml:space="preserve"> </w:t>
      </w:r>
      <w:r>
        <w:rPr>
          <w:rFonts w:eastAsia="Arial" w:hint="eastAsia"/>
          <w:color w:val="000000"/>
        </w:rPr>
        <w:t>definition</w:t>
      </w:r>
      <w:r>
        <w:rPr>
          <w:rFonts w:eastAsia="Arial"/>
          <w:color w:val="000000"/>
        </w:rPr>
        <w:t>s</w:t>
      </w:r>
    </w:p>
    <w:tbl>
      <w:tblPr>
        <w:tblStyle w:val="ac"/>
        <w:tblW w:w="0" w:type="auto"/>
        <w:tblBorders>
          <w:top w:val="single" w:sz="12" w:space="0" w:color="008000"/>
          <w:bottom w:val="single" w:sz="12" w:space="0" w:color="008000"/>
        </w:tblBorders>
        <w:tblLook w:val="04A0" w:firstRow="1" w:lastRow="0" w:firstColumn="1" w:lastColumn="0" w:noHBand="0" w:noVBand="1"/>
      </w:tblPr>
      <w:tblGrid>
        <w:gridCol w:w="746"/>
        <w:gridCol w:w="2368"/>
        <w:gridCol w:w="2693"/>
        <w:gridCol w:w="1418"/>
        <w:gridCol w:w="1552"/>
      </w:tblGrid>
      <w:tr w:rsidR="009E4526" w:rsidRPr="004031F6" w14:paraId="583EFCA2" w14:textId="77777777" w:rsidTr="00FE338D">
        <w:tc>
          <w:tcPr>
            <w:tcW w:w="0" w:type="auto"/>
            <w:tcBorders>
              <w:top w:val="single" w:sz="12" w:space="0" w:color="008000"/>
              <w:bottom w:val="single" w:sz="4" w:space="0" w:color="008000"/>
              <w:right w:val="nil"/>
            </w:tcBorders>
            <w:hideMark/>
          </w:tcPr>
          <w:p w14:paraId="60EF1B34" w14:textId="77777777" w:rsidR="009E4526" w:rsidRPr="004031F6" w:rsidRDefault="009E4526" w:rsidP="001D47F2">
            <w:pPr>
              <w:tabs>
                <w:tab w:val="clear" w:pos="7100"/>
              </w:tabs>
              <w:jc w:val="center"/>
              <w:rPr>
                <w:rFonts w:ascii="Times New Roman" w:eastAsia="宋体" w:hAnsi="Times New Roman" w:cs="Times New Roman"/>
                <w:b/>
                <w:bCs/>
                <w:lang w:val="en-US"/>
              </w:rPr>
            </w:pPr>
            <w:r w:rsidRPr="004031F6">
              <w:rPr>
                <w:rFonts w:ascii="Times New Roman" w:eastAsia="宋体" w:hAnsi="Times New Roman" w:cs="Times New Roman"/>
                <w:b/>
                <w:bCs/>
                <w:lang w:val="en-US"/>
              </w:rPr>
              <w:t>Kernel</w:t>
            </w:r>
          </w:p>
        </w:tc>
        <w:tc>
          <w:tcPr>
            <w:tcW w:w="2368" w:type="dxa"/>
            <w:tcBorders>
              <w:top w:val="single" w:sz="12" w:space="0" w:color="008000"/>
              <w:left w:val="nil"/>
              <w:bottom w:val="single" w:sz="4" w:space="0" w:color="008000"/>
              <w:right w:val="nil"/>
            </w:tcBorders>
            <w:hideMark/>
          </w:tcPr>
          <w:p w14:paraId="4FF38F9A" w14:textId="77777777" w:rsidR="009E4526" w:rsidRPr="004031F6" w:rsidRDefault="009E4526" w:rsidP="001D47F2">
            <w:pPr>
              <w:tabs>
                <w:tab w:val="clear" w:pos="7100"/>
              </w:tabs>
              <w:jc w:val="center"/>
              <w:rPr>
                <w:rFonts w:ascii="Times New Roman" w:eastAsia="宋体" w:hAnsi="Times New Roman" w:cs="Times New Roman"/>
                <w:b/>
                <w:bCs/>
                <w:lang w:val="en-US"/>
              </w:rPr>
            </w:pPr>
            <w:r w:rsidRPr="004031F6">
              <w:rPr>
                <w:rFonts w:ascii="Times New Roman" w:eastAsia="宋体" w:hAnsi="Times New Roman" w:cs="Times New Roman"/>
                <w:b/>
                <w:bCs/>
                <w:lang w:val="en-US"/>
              </w:rPr>
              <w:t>Hazard process</w:t>
            </w:r>
          </w:p>
        </w:tc>
        <w:tc>
          <w:tcPr>
            <w:tcW w:w="2693" w:type="dxa"/>
            <w:tcBorders>
              <w:top w:val="single" w:sz="12" w:space="0" w:color="008000"/>
              <w:left w:val="nil"/>
              <w:bottom w:val="single" w:sz="4" w:space="0" w:color="008000"/>
              <w:right w:val="nil"/>
            </w:tcBorders>
            <w:hideMark/>
          </w:tcPr>
          <w:p w14:paraId="4DD8EE7F" w14:textId="77777777" w:rsidR="009E4526" w:rsidRPr="004031F6" w:rsidRDefault="009E4526" w:rsidP="001D47F2">
            <w:pPr>
              <w:tabs>
                <w:tab w:val="clear" w:pos="7100"/>
              </w:tabs>
              <w:jc w:val="center"/>
              <w:rPr>
                <w:rFonts w:ascii="Times New Roman" w:eastAsia="宋体" w:hAnsi="Times New Roman" w:cs="Times New Roman"/>
                <w:b/>
                <w:bCs/>
                <w:lang w:val="en-US"/>
              </w:rPr>
            </w:pPr>
            <w:r w:rsidRPr="004031F6">
              <w:rPr>
                <w:rFonts w:ascii="Times New Roman" w:eastAsia="宋体" w:hAnsi="Times New Roman" w:cs="Times New Roman"/>
                <w:b/>
                <w:bCs/>
                <w:lang w:val="en-US"/>
              </w:rPr>
              <w:t>Key inputs</w:t>
            </w:r>
          </w:p>
        </w:tc>
        <w:tc>
          <w:tcPr>
            <w:tcW w:w="1418" w:type="dxa"/>
            <w:tcBorders>
              <w:top w:val="single" w:sz="12" w:space="0" w:color="008000"/>
              <w:left w:val="nil"/>
              <w:bottom w:val="single" w:sz="4" w:space="0" w:color="008000"/>
              <w:right w:val="nil"/>
            </w:tcBorders>
            <w:hideMark/>
          </w:tcPr>
          <w:p w14:paraId="16425907" w14:textId="77777777" w:rsidR="009E4526" w:rsidRPr="004031F6" w:rsidRDefault="009E4526" w:rsidP="001D47F2">
            <w:pPr>
              <w:tabs>
                <w:tab w:val="clear" w:pos="7100"/>
              </w:tabs>
              <w:jc w:val="center"/>
              <w:rPr>
                <w:rFonts w:ascii="Times New Roman" w:eastAsia="宋体" w:hAnsi="Times New Roman" w:cs="Times New Roman"/>
                <w:b/>
                <w:bCs/>
                <w:lang w:val="en-US"/>
              </w:rPr>
            </w:pPr>
            <w:r w:rsidRPr="004031F6">
              <w:rPr>
                <w:rFonts w:ascii="Times New Roman" w:eastAsia="宋体" w:hAnsi="Times New Roman" w:cs="Times New Roman"/>
                <w:b/>
                <w:bCs/>
                <w:lang w:val="en-US"/>
              </w:rPr>
              <w:t>Outputs</w:t>
            </w:r>
          </w:p>
        </w:tc>
        <w:tc>
          <w:tcPr>
            <w:tcW w:w="1552" w:type="dxa"/>
            <w:tcBorders>
              <w:top w:val="single" w:sz="12" w:space="0" w:color="008000"/>
              <w:left w:val="nil"/>
              <w:bottom w:val="single" w:sz="4" w:space="0" w:color="008000"/>
            </w:tcBorders>
            <w:hideMark/>
          </w:tcPr>
          <w:p w14:paraId="0A5E21AF" w14:textId="77777777" w:rsidR="009E4526" w:rsidRPr="004031F6" w:rsidRDefault="009E4526" w:rsidP="001D47F2">
            <w:pPr>
              <w:tabs>
                <w:tab w:val="clear" w:pos="7100"/>
              </w:tabs>
              <w:jc w:val="center"/>
              <w:rPr>
                <w:rFonts w:ascii="Times New Roman" w:eastAsia="宋体" w:hAnsi="Times New Roman" w:cs="Times New Roman"/>
                <w:b/>
                <w:bCs/>
                <w:lang w:val="en-US"/>
              </w:rPr>
            </w:pPr>
            <w:r w:rsidRPr="004031F6">
              <w:rPr>
                <w:rFonts w:ascii="Times New Roman" w:eastAsia="宋体" w:hAnsi="Times New Roman" w:cs="Times New Roman"/>
                <w:b/>
                <w:bCs/>
                <w:lang w:val="en-US"/>
              </w:rPr>
              <w:t>Typical metrics</w:t>
            </w:r>
          </w:p>
        </w:tc>
      </w:tr>
      <w:tr w:rsidR="009E4526" w:rsidRPr="004031F6" w14:paraId="190079B2" w14:textId="77777777" w:rsidTr="00FE338D">
        <w:tc>
          <w:tcPr>
            <w:tcW w:w="0" w:type="auto"/>
            <w:tcBorders>
              <w:top w:val="single" w:sz="4" w:space="0" w:color="008000"/>
              <w:left w:val="nil"/>
              <w:bottom w:val="nil"/>
              <w:right w:val="nil"/>
            </w:tcBorders>
            <w:hideMark/>
          </w:tcPr>
          <w:p w14:paraId="036EA653"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K1</w:t>
            </w:r>
          </w:p>
        </w:tc>
        <w:tc>
          <w:tcPr>
            <w:tcW w:w="2368" w:type="dxa"/>
            <w:tcBorders>
              <w:top w:val="single" w:sz="4" w:space="0" w:color="008000"/>
              <w:left w:val="nil"/>
              <w:bottom w:val="nil"/>
              <w:right w:val="nil"/>
            </w:tcBorders>
            <w:hideMark/>
          </w:tcPr>
          <w:p w14:paraId="46EF7EF7"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Hydrogen release and jet fire</w:t>
            </w:r>
          </w:p>
        </w:tc>
        <w:tc>
          <w:tcPr>
            <w:tcW w:w="2693" w:type="dxa"/>
            <w:tcBorders>
              <w:top w:val="single" w:sz="4" w:space="0" w:color="008000"/>
              <w:left w:val="nil"/>
              <w:bottom w:val="nil"/>
              <w:right w:val="nil"/>
            </w:tcBorders>
            <w:hideMark/>
          </w:tcPr>
          <w:p w14:paraId="6CE6A823"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pressure, orifice size</w:t>
            </w:r>
          </w:p>
        </w:tc>
        <w:tc>
          <w:tcPr>
            <w:tcW w:w="1418" w:type="dxa"/>
            <w:tcBorders>
              <w:top w:val="single" w:sz="4" w:space="0" w:color="008000"/>
              <w:left w:val="nil"/>
              <w:bottom w:val="nil"/>
              <w:right w:val="nil"/>
            </w:tcBorders>
            <w:hideMark/>
          </w:tcPr>
          <w:p w14:paraId="67CD41D2"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heat radiation</w:t>
            </w:r>
          </w:p>
        </w:tc>
        <w:tc>
          <w:tcPr>
            <w:tcW w:w="1552" w:type="dxa"/>
            <w:tcBorders>
              <w:top w:val="single" w:sz="4" w:space="0" w:color="008000"/>
              <w:left w:val="nil"/>
              <w:bottom w:val="nil"/>
              <w:right w:val="nil"/>
            </w:tcBorders>
            <w:hideMark/>
          </w:tcPr>
          <w:p w14:paraId="4862FFE9"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thermal flux</w:t>
            </w:r>
          </w:p>
        </w:tc>
      </w:tr>
      <w:tr w:rsidR="009E4526" w:rsidRPr="004031F6" w14:paraId="591048E3" w14:textId="77777777" w:rsidTr="00FE338D">
        <w:tc>
          <w:tcPr>
            <w:tcW w:w="0" w:type="auto"/>
            <w:tcBorders>
              <w:top w:val="nil"/>
              <w:left w:val="nil"/>
              <w:bottom w:val="nil"/>
              <w:right w:val="nil"/>
            </w:tcBorders>
            <w:hideMark/>
          </w:tcPr>
          <w:p w14:paraId="4249524B"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K2</w:t>
            </w:r>
          </w:p>
        </w:tc>
        <w:tc>
          <w:tcPr>
            <w:tcW w:w="2368" w:type="dxa"/>
            <w:tcBorders>
              <w:top w:val="nil"/>
              <w:left w:val="nil"/>
              <w:bottom w:val="nil"/>
              <w:right w:val="nil"/>
            </w:tcBorders>
            <w:hideMark/>
          </w:tcPr>
          <w:p w14:paraId="11E6DCAB"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Hydrogen accumulation</w:t>
            </w:r>
          </w:p>
        </w:tc>
        <w:tc>
          <w:tcPr>
            <w:tcW w:w="2693" w:type="dxa"/>
            <w:tcBorders>
              <w:top w:val="nil"/>
              <w:left w:val="nil"/>
              <w:bottom w:val="nil"/>
              <w:right w:val="nil"/>
            </w:tcBorders>
            <w:hideMark/>
          </w:tcPr>
          <w:p w14:paraId="60AC424B"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enclosure volume, ventilation rate</w:t>
            </w:r>
          </w:p>
        </w:tc>
        <w:tc>
          <w:tcPr>
            <w:tcW w:w="1418" w:type="dxa"/>
            <w:tcBorders>
              <w:top w:val="nil"/>
              <w:left w:val="nil"/>
              <w:bottom w:val="nil"/>
              <w:right w:val="nil"/>
            </w:tcBorders>
            <w:hideMark/>
          </w:tcPr>
          <w:p w14:paraId="4B781D99"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concentration</w:t>
            </w:r>
          </w:p>
        </w:tc>
        <w:tc>
          <w:tcPr>
            <w:tcW w:w="1552" w:type="dxa"/>
            <w:tcBorders>
              <w:top w:val="nil"/>
              <w:left w:val="nil"/>
              <w:bottom w:val="nil"/>
              <w:right w:val="nil"/>
            </w:tcBorders>
            <w:hideMark/>
          </w:tcPr>
          <w:p w14:paraId="5A145511"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flammability</w:t>
            </w:r>
          </w:p>
        </w:tc>
      </w:tr>
      <w:tr w:rsidR="009E4526" w:rsidRPr="004031F6" w14:paraId="3237FB80" w14:textId="77777777" w:rsidTr="00FE338D">
        <w:tc>
          <w:tcPr>
            <w:tcW w:w="0" w:type="auto"/>
            <w:tcBorders>
              <w:top w:val="nil"/>
              <w:left w:val="nil"/>
              <w:bottom w:val="nil"/>
              <w:right w:val="nil"/>
            </w:tcBorders>
            <w:hideMark/>
          </w:tcPr>
          <w:p w14:paraId="60C912E4"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K3</w:t>
            </w:r>
          </w:p>
        </w:tc>
        <w:tc>
          <w:tcPr>
            <w:tcW w:w="2368" w:type="dxa"/>
            <w:tcBorders>
              <w:top w:val="nil"/>
              <w:left w:val="nil"/>
              <w:bottom w:val="nil"/>
              <w:right w:val="nil"/>
            </w:tcBorders>
            <w:hideMark/>
          </w:tcPr>
          <w:p w14:paraId="1CE69A49"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Outdoor dispersion and explosion</w:t>
            </w:r>
          </w:p>
        </w:tc>
        <w:tc>
          <w:tcPr>
            <w:tcW w:w="2693" w:type="dxa"/>
            <w:tcBorders>
              <w:top w:val="nil"/>
              <w:left w:val="nil"/>
              <w:bottom w:val="nil"/>
              <w:right w:val="nil"/>
            </w:tcBorders>
            <w:hideMark/>
          </w:tcPr>
          <w:p w14:paraId="55B993BF"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release rate, congestion</w:t>
            </w:r>
          </w:p>
        </w:tc>
        <w:tc>
          <w:tcPr>
            <w:tcW w:w="1418" w:type="dxa"/>
            <w:tcBorders>
              <w:top w:val="nil"/>
              <w:left w:val="nil"/>
              <w:bottom w:val="nil"/>
              <w:right w:val="nil"/>
            </w:tcBorders>
            <w:hideMark/>
          </w:tcPr>
          <w:p w14:paraId="4B65ED30"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blast wave</w:t>
            </w:r>
          </w:p>
        </w:tc>
        <w:tc>
          <w:tcPr>
            <w:tcW w:w="1552" w:type="dxa"/>
            <w:tcBorders>
              <w:top w:val="nil"/>
              <w:left w:val="nil"/>
              <w:bottom w:val="nil"/>
              <w:right w:val="nil"/>
            </w:tcBorders>
            <w:hideMark/>
          </w:tcPr>
          <w:p w14:paraId="20492C5F"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overpressure</w:t>
            </w:r>
          </w:p>
        </w:tc>
      </w:tr>
      <w:tr w:rsidR="009E4526" w:rsidRPr="004031F6" w14:paraId="3F3F03ED" w14:textId="77777777" w:rsidTr="00FE338D">
        <w:tc>
          <w:tcPr>
            <w:tcW w:w="0" w:type="auto"/>
            <w:tcBorders>
              <w:top w:val="nil"/>
              <w:left w:val="nil"/>
              <w:bottom w:val="single" w:sz="4" w:space="0" w:color="auto"/>
              <w:right w:val="nil"/>
            </w:tcBorders>
            <w:hideMark/>
          </w:tcPr>
          <w:p w14:paraId="28B81FD0"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K4</w:t>
            </w:r>
          </w:p>
        </w:tc>
        <w:tc>
          <w:tcPr>
            <w:tcW w:w="2368" w:type="dxa"/>
            <w:tcBorders>
              <w:top w:val="nil"/>
              <w:left w:val="nil"/>
              <w:bottom w:val="single" w:sz="4" w:space="0" w:color="auto"/>
              <w:right w:val="nil"/>
            </w:tcBorders>
            <w:hideMark/>
          </w:tcPr>
          <w:p w14:paraId="3AA93EE3"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Venting and relief behavior</w:t>
            </w:r>
          </w:p>
        </w:tc>
        <w:tc>
          <w:tcPr>
            <w:tcW w:w="2693" w:type="dxa"/>
            <w:tcBorders>
              <w:top w:val="nil"/>
              <w:left w:val="nil"/>
              <w:bottom w:val="single" w:sz="4" w:space="0" w:color="auto"/>
              <w:right w:val="nil"/>
            </w:tcBorders>
            <w:hideMark/>
          </w:tcPr>
          <w:p w14:paraId="09DE5985"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stack height, exit velocity</w:t>
            </w:r>
          </w:p>
        </w:tc>
        <w:tc>
          <w:tcPr>
            <w:tcW w:w="1418" w:type="dxa"/>
            <w:tcBorders>
              <w:top w:val="nil"/>
              <w:left w:val="nil"/>
              <w:bottom w:val="single" w:sz="4" w:space="0" w:color="auto"/>
              <w:right w:val="nil"/>
            </w:tcBorders>
            <w:hideMark/>
          </w:tcPr>
          <w:p w14:paraId="321CE8A2"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ground radiation</w:t>
            </w:r>
          </w:p>
        </w:tc>
        <w:tc>
          <w:tcPr>
            <w:tcW w:w="1552" w:type="dxa"/>
            <w:tcBorders>
              <w:top w:val="nil"/>
              <w:left w:val="nil"/>
              <w:bottom w:val="single" w:sz="4" w:space="0" w:color="auto"/>
              <w:right w:val="nil"/>
            </w:tcBorders>
            <w:hideMark/>
          </w:tcPr>
          <w:p w14:paraId="1A1553DD"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heat flux</w:t>
            </w:r>
          </w:p>
        </w:tc>
      </w:tr>
      <w:tr w:rsidR="009E4526" w:rsidRPr="004031F6" w14:paraId="4E133AB5" w14:textId="77777777" w:rsidTr="00FE338D">
        <w:tc>
          <w:tcPr>
            <w:tcW w:w="0" w:type="auto"/>
            <w:tcBorders>
              <w:top w:val="single" w:sz="4" w:space="0" w:color="auto"/>
              <w:bottom w:val="single" w:sz="12" w:space="0" w:color="008000"/>
              <w:right w:val="nil"/>
            </w:tcBorders>
            <w:hideMark/>
          </w:tcPr>
          <w:p w14:paraId="6F866F3D"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K5</w:t>
            </w:r>
          </w:p>
        </w:tc>
        <w:tc>
          <w:tcPr>
            <w:tcW w:w="2368" w:type="dxa"/>
            <w:tcBorders>
              <w:top w:val="single" w:sz="4" w:space="0" w:color="auto"/>
              <w:left w:val="nil"/>
              <w:bottom w:val="single" w:sz="12" w:space="0" w:color="008000"/>
              <w:right w:val="nil"/>
            </w:tcBorders>
            <w:hideMark/>
          </w:tcPr>
          <w:p w14:paraId="136676B1"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Evacuation dynamics</w:t>
            </w:r>
          </w:p>
        </w:tc>
        <w:tc>
          <w:tcPr>
            <w:tcW w:w="2693" w:type="dxa"/>
            <w:tcBorders>
              <w:top w:val="single" w:sz="4" w:space="0" w:color="auto"/>
              <w:left w:val="nil"/>
              <w:bottom w:val="single" w:sz="12" w:space="0" w:color="008000"/>
              <w:right w:val="nil"/>
            </w:tcBorders>
            <w:hideMark/>
          </w:tcPr>
          <w:p w14:paraId="5CE41DC5"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alarm delay, route capacity</w:t>
            </w:r>
          </w:p>
        </w:tc>
        <w:tc>
          <w:tcPr>
            <w:tcW w:w="1418" w:type="dxa"/>
            <w:tcBorders>
              <w:top w:val="single" w:sz="4" w:space="0" w:color="auto"/>
              <w:left w:val="nil"/>
              <w:bottom w:val="single" w:sz="12" w:space="0" w:color="008000"/>
              <w:right w:val="nil"/>
            </w:tcBorders>
            <w:hideMark/>
          </w:tcPr>
          <w:p w14:paraId="3656F49F"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clearance time</w:t>
            </w:r>
          </w:p>
        </w:tc>
        <w:tc>
          <w:tcPr>
            <w:tcW w:w="1552" w:type="dxa"/>
            <w:tcBorders>
              <w:top w:val="single" w:sz="4" w:space="0" w:color="auto"/>
              <w:left w:val="nil"/>
              <w:bottom w:val="single" w:sz="12" w:space="0" w:color="008000"/>
            </w:tcBorders>
            <w:hideMark/>
          </w:tcPr>
          <w:p w14:paraId="40F33A60" w14:textId="77777777" w:rsidR="009E4526" w:rsidRPr="004031F6" w:rsidRDefault="009E4526" w:rsidP="001D47F2">
            <w:pPr>
              <w:tabs>
                <w:tab w:val="clear" w:pos="7100"/>
              </w:tabs>
              <w:jc w:val="left"/>
              <w:rPr>
                <w:rFonts w:ascii="Times New Roman" w:eastAsia="宋体" w:hAnsi="Times New Roman" w:cs="Times New Roman"/>
                <w:lang w:val="en-US"/>
              </w:rPr>
            </w:pPr>
            <w:r w:rsidRPr="004031F6">
              <w:rPr>
                <w:rFonts w:ascii="Times New Roman" w:eastAsia="宋体" w:hAnsi="Times New Roman" w:cs="Times New Roman"/>
                <w:lang w:val="en-US"/>
              </w:rPr>
              <w:t>risk to personnel</w:t>
            </w:r>
          </w:p>
        </w:tc>
      </w:tr>
    </w:tbl>
    <w:p w14:paraId="2373E593" w14:textId="77777777" w:rsidR="009E4526" w:rsidRPr="009E4526" w:rsidRDefault="009E4526" w:rsidP="009E4526">
      <w:pPr>
        <w:pBdr>
          <w:top w:val="nil"/>
          <w:left w:val="nil"/>
          <w:bottom w:val="nil"/>
          <w:right w:val="nil"/>
          <w:between w:val="nil"/>
        </w:pBdr>
        <w:rPr>
          <w:rFonts w:eastAsia="Arial"/>
          <w:color w:val="000000"/>
        </w:rPr>
      </w:pPr>
    </w:p>
    <w:p w14:paraId="168D8A44" w14:textId="0B491505" w:rsidR="009E4526" w:rsidRPr="009E4526" w:rsidRDefault="009E4526" w:rsidP="009E4526">
      <w:pPr>
        <w:pBdr>
          <w:top w:val="nil"/>
          <w:left w:val="nil"/>
          <w:bottom w:val="nil"/>
          <w:right w:val="nil"/>
          <w:between w:val="nil"/>
        </w:pBdr>
        <w:rPr>
          <w:rFonts w:eastAsia="Arial"/>
          <w:color w:val="000000"/>
        </w:rPr>
      </w:pPr>
      <w:r w:rsidRPr="009E4526">
        <w:rPr>
          <w:rFonts w:eastAsia="Arial"/>
          <w:color w:val="000000"/>
        </w:rPr>
        <w:t>Application of the framework to selected HIAD cases demonstrates that the knowledge graph enables consistent querying across incidents and facilitates the identification of comparable scenarios. Compared with narrative databases, this representation improves the clarity of relationships between release conditions, environmental factors, and resulting consequences. The approach provides a scalable method for organizing incident knowledge and linking it to engineering reasoning.</w:t>
      </w:r>
    </w:p>
    <w:p w14:paraId="034E183B" w14:textId="771211FD" w:rsidR="009E4526" w:rsidRPr="009E4526" w:rsidRDefault="009E4526" w:rsidP="009E4526">
      <w:pPr>
        <w:pBdr>
          <w:top w:val="nil"/>
          <w:left w:val="nil"/>
          <w:bottom w:val="nil"/>
          <w:right w:val="nil"/>
          <w:between w:val="nil"/>
        </w:pBdr>
        <w:rPr>
          <w:rFonts w:eastAsia="Arial"/>
          <w:color w:val="000000"/>
        </w:rPr>
      </w:pPr>
      <w:r w:rsidRPr="009E4526">
        <w:rPr>
          <w:rFonts w:eastAsia="Arial"/>
          <w:color w:val="000000"/>
        </w:rPr>
        <w:t xml:space="preserve">By embedding case cards within this structured representation, the framework establishes a clear linkage between incident evidence and hazard modelling logic. This enables incident-derived parameters to be directly interpreted </w:t>
      </w:r>
      <w:r>
        <w:rPr>
          <w:rFonts w:eastAsia="Arial" w:hint="eastAsia"/>
          <w:color w:val="000000"/>
        </w:rPr>
        <w:t>in the contexts of design, risk assessment, and safety evaluatio</w:t>
      </w:r>
      <w:r>
        <w:rPr>
          <w:rFonts w:eastAsia="Arial"/>
          <w:color w:val="000000"/>
        </w:rPr>
        <w:t>n</w:t>
      </w:r>
      <w:r w:rsidRPr="009E4526">
        <w:rPr>
          <w:rFonts w:eastAsia="Arial"/>
          <w:color w:val="000000"/>
        </w:rPr>
        <w:t>. At the same time, the structure remains sufficiently flexible to accommodate incomplete data and varying levels of detail, which are common in incident reports.</w:t>
      </w:r>
    </w:p>
    <w:p w14:paraId="7D56C58F" w14:textId="3204A3F1" w:rsidR="00D80727" w:rsidRPr="004E6352" w:rsidRDefault="009E4526" w:rsidP="009E4526">
      <w:pPr>
        <w:pBdr>
          <w:top w:val="nil"/>
          <w:left w:val="nil"/>
          <w:bottom w:val="nil"/>
          <w:right w:val="nil"/>
          <w:between w:val="nil"/>
        </w:pBdr>
        <w:rPr>
          <w:rFonts w:eastAsia="Arial"/>
          <w:color w:val="000000"/>
        </w:rPr>
      </w:pPr>
      <w:r w:rsidRPr="009E4526">
        <w:rPr>
          <w:rFonts w:eastAsia="Arial"/>
          <w:color w:val="000000"/>
        </w:rPr>
        <w:t>Overall, the ontology and knowledge graph provide a practical interface between empirical safety knowledge and engineering applications, supporting both cross-case analysis and future integration with digital safety management systems.</w:t>
      </w:r>
      <w:r>
        <w:rPr>
          <w:rFonts w:eastAsia="Arial"/>
          <w:color w:val="000000"/>
        </w:rPr>
        <w:t xml:space="preserve"> A set of publicly available hydrogen incident reports was translated into kernel-based case cards and integrated into a prototype knowledge graph. Parameter extraction focused on quantities </w:t>
      </w:r>
      <w:r>
        <w:rPr>
          <w:rFonts w:eastAsia="Arial"/>
          <w:color w:val="000000"/>
        </w:rPr>
        <w:lastRenderedPageBreak/>
        <w:t>relevant to hazard evolution, while uncertainties were recorded where data were incomplete. Comparison across encoded incidents showed improved clarity in identifying comparable scenarios and decision points. Queries relating to ventilation performance, release conditions, or evacuation timing could be answered consistently across cases. Although the dataset was limited, the demonstration suggests that the approach supports systematic reuse of incident knowledge.</w:t>
      </w:r>
    </w:p>
    <w:p w14:paraId="04E5F99C" w14:textId="33D0ADC1" w:rsidR="00D80727" w:rsidRDefault="00000000" w:rsidP="00623598">
      <w:pPr>
        <w:pStyle w:val="a6"/>
        <w:keepNext/>
        <w:numPr>
          <w:ilvl w:val="0"/>
          <w:numId w:val="5"/>
        </w:numPr>
        <w:pBdr>
          <w:top w:val="nil"/>
          <w:left w:val="nil"/>
          <w:bottom w:val="nil"/>
          <w:right w:val="nil"/>
          <w:between w:val="nil"/>
        </w:pBdr>
        <w:spacing w:before="240" w:after="120" w:line="240" w:lineRule="auto"/>
        <w:ind w:firstLineChars="0"/>
        <w:jc w:val="left"/>
      </w:pPr>
      <w:r w:rsidRPr="00623598">
        <w:rPr>
          <w:rFonts w:eastAsia="Arial"/>
          <w:b/>
          <w:bCs/>
          <w:color w:val="000000"/>
          <w:sz w:val="20"/>
          <w:szCs w:val="20"/>
        </w:rPr>
        <w:t>Discussion</w:t>
      </w:r>
      <w:r w:rsidR="00FE338D">
        <w:rPr>
          <w:rFonts w:eastAsia="Arial"/>
          <w:b/>
          <w:bCs/>
          <w:color w:val="000000"/>
          <w:sz w:val="20"/>
          <w:szCs w:val="20"/>
        </w:rPr>
        <w:t>s</w:t>
      </w:r>
    </w:p>
    <w:p w14:paraId="4E522A68" w14:textId="786D523F" w:rsidR="004031F6" w:rsidRPr="004031F6" w:rsidRDefault="00E87BC5" w:rsidP="00E87BC5">
      <w:pPr>
        <w:pBdr>
          <w:top w:val="nil"/>
          <w:left w:val="nil"/>
          <w:bottom w:val="nil"/>
          <w:right w:val="nil"/>
          <w:between w:val="nil"/>
        </w:pBdr>
        <w:rPr>
          <w:rFonts w:eastAsia="Arial"/>
          <w:color w:val="000000"/>
        </w:rPr>
      </w:pPr>
      <w:r w:rsidRPr="00E87BC5">
        <w:rPr>
          <w:rFonts w:eastAsia="Arial"/>
          <w:color w:val="000000"/>
        </w:rPr>
        <w:t>The kernel-based representation also enables a more systematic evaluation of data comparability.</w:t>
      </w:r>
      <w:r>
        <w:rPr>
          <w:rFonts w:eastAsia="Arial"/>
          <w:color w:val="000000"/>
        </w:rPr>
        <w:t xml:space="preserve"> </w:t>
      </w:r>
      <w:r w:rsidR="004031F6" w:rsidRPr="004031F6">
        <w:rPr>
          <w:rFonts w:eastAsia="Arial"/>
          <w:color w:val="000000"/>
        </w:rPr>
        <w:t>Compared with narrative incident descriptions, the case card structure improves parameter completeness by explicitly recording key variables associated with hazard evolution. Preliminary encoding tests show that a consistent set of parameters can be extracted for most incidents, even when narrative reports vary in structure.</w:t>
      </w:r>
      <w:r w:rsidRPr="00E87BC5">
        <w:t xml:space="preserve"> </w:t>
      </w:r>
      <w:r w:rsidRPr="00E87BC5">
        <w:rPr>
          <w:rFonts w:eastAsia="Arial"/>
          <w:color w:val="000000"/>
        </w:rPr>
        <w:t>To further clarify how comparability is improved, a set of observable indicators was examined based on the encoded HIAD cases. These indicators include the explicit identification of key parameters, the consistency of kernel mapping, and the ability to perform cross-case queries.</w:t>
      </w:r>
      <w:r>
        <w:rPr>
          <w:rFonts w:eastAsia="Arial" w:hint="eastAsia"/>
          <w:color w:val="000000"/>
        </w:rPr>
        <w:t xml:space="preserve"> </w:t>
      </w:r>
      <w:r w:rsidRPr="00E87BC5">
        <w:rPr>
          <w:rFonts w:eastAsia="Arial"/>
          <w:color w:val="000000"/>
        </w:rPr>
        <w:t>In the case card representation, parameters such as pressure, enclosure conditions, and mitigation actions are explicitly recorded, whereas in narrative reports</w:t>
      </w:r>
      <w:r>
        <w:rPr>
          <w:rFonts w:eastAsia="Arial"/>
          <w:color w:val="000000"/>
        </w:rPr>
        <w:t>,</w:t>
      </w:r>
      <w:r>
        <w:rPr>
          <w:rFonts w:eastAsia="Arial" w:hint="eastAsia"/>
          <w:color w:val="000000"/>
        </w:rPr>
        <w:t xml:space="preserve"> they are often embedded in descriptive text and presented inconsistently</w:t>
      </w:r>
      <w:r w:rsidRPr="00E87BC5">
        <w:rPr>
          <w:rFonts w:eastAsia="Arial"/>
          <w:color w:val="000000"/>
        </w:rPr>
        <w:t xml:space="preserve">. This improves the visibility and consistency of key variables across cases. In addition, the use of physically defined kernel categories supports </w:t>
      </w:r>
      <w:r>
        <w:rPr>
          <w:rFonts w:eastAsia="Arial"/>
          <w:color w:val="000000"/>
        </w:rPr>
        <w:t xml:space="preserve">a </w:t>
      </w:r>
      <w:r w:rsidRPr="00E87BC5">
        <w:rPr>
          <w:rFonts w:eastAsia="Arial"/>
          <w:color w:val="000000"/>
        </w:rPr>
        <w:t>relatively consistent interpretation of dominant hazard processes, although some ambiguity remains in complex scenarios.</w:t>
      </w:r>
      <w:r>
        <w:rPr>
          <w:rFonts w:eastAsia="Arial"/>
          <w:color w:val="000000"/>
        </w:rPr>
        <w:t xml:space="preserve"> </w:t>
      </w:r>
      <w:r w:rsidRPr="00E87BC5">
        <w:rPr>
          <w:rFonts w:eastAsia="Arial"/>
          <w:color w:val="000000"/>
        </w:rPr>
        <w:t>Furthermore, the structured representation enables queries across multiple cases using comparable parameter fields. In contrast, narrative descriptions typically require manual interpretation and may lead to incomplete or inconsistent comparisons. Although a full quantitative benchmarking is beyond the scope of this study, these observations provide supporting evidence that the proposed framework improves the comparability and usability of incident data.</w:t>
      </w:r>
    </w:p>
    <w:p w14:paraId="2EA0C2BA" w14:textId="683A1111" w:rsidR="004031F6" w:rsidRDefault="00E87BC5" w:rsidP="004031F6">
      <w:pPr>
        <w:pBdr>
          <w:top w:val="nil"/>
          <w:left w:val="nil"/>
          <w:bottom w:val="nil"/>
          <w:right w:val="nil"/>
          <w:between w:val="nil"/>
        </w:pBdr>
        <w:rPr>
          <w:rFonts w:eastAsia="Arial"/>
          <w:color w:val="000000"/>
        </w:rPr>
      </w:pPr>
      <w:r>
        <w:rPr>
          <w:rFonts w:eastAsia="Arial" w:hint="eastAsia"/>
          <w:color w:val="000000"/>
        </w:rPr>
        <w:t>T</w:t>
      </w:r>
      <w:r w:rsidR="004031F6" w:rsidRPr="004031F6">
        <w:rPr>
          <w:rFonts w:eastAsia="Arial"/>
          <w:color w:val="000000"/>
        </w:rPr>
        <w:t xml:space="preserve">he use of kernel categories allows incidents to be grouped according to their dominant physical mechanism. This improves </w:t>
      </w:r>
      <w:r w:rsidR="00C75622" w:rsidRPr="004031F6">
        <w:rPr>
          <w:rFonts w:eastAsia="Arial"/>
          <w:color w:val="000000"/>
        </w:rPr>
        <w:t>query ability</w:t>
      </w:r>
      <w:r w:rsidR="004031F6" w:rsidRPr="004031F6">
        <w:rPr>
          <w:rFonts w:eastAsia="Arial"/>
          <w:color w:val="000000"/>
        </w:rPr>
        <w:t xml:space="preserve"> across the dataset and reduces the time required to identify comparable cases. In contrast, narrative databases typically require manual interpretation of individual reports. These results suggest that kernel-based structuring can enhance the analytical usability of incident knowledge.</w:t>
      </w:r>
    </w:p>
    <w:p w14:paraId="05A5967D" w14:textId="2E0FC90D" w:rsidR="00D80727" w:rsidRDefault="00000000" w:rsidP="004031F6">
      <w:pPr>
        <w:pBdr>
          <w:top w:val="nil"/>
          <w:left w:val="nil"/>
          <w:bottom w:val="nil"/>
          <w:right w:val="nil"/>
          <w:between w:val="nil"/>
        </w:pBdr>
        <w:rPr>
          <w:color w:val="000000"/>
        </w:rPr>
      </w:pPr>
      <w:r>
        <w:rPr>
          <w:rFonts w:eastAsia="Arial"/>
          <w:color w:val="000000"/>
        </w:rPr>
        <w:t>The kernel-based framework developed in this study offers a structured method for linking empirical incident knowledge with engineering analysis. By focusing on the physical mechanisms that determine hazard intensity and exposure, the approach avoids excessive descriptive complexity while maintaining analytical relevance. This balance is important because overly detailed representations often become impractical, whereas purely qualitative representations cannot support decision-making.</w:t>
      </w:r>
    </w:p>
    <w:p w14:paraId="3C8AF175" w14:textId="6D3BEC80" w:rsidR="00D80727" w:rsidRDefault="00000000">
      <w:pPr>
        <w:pBdr>
          <w:top w:val="nil"/>
          <w:left w:val="nil"/>
          <w:bottom w:val="nil"/>
          <w:right w:val="nil"/>
          <w:between w:val="nil"/>
        </w:pBdr>
        <w:rPr>
          <w:color w:val="000000"/>
        </w:rPr>
      </w:pPr>
      <w:r>
        <w:rPr>
          <w:rFonts w:eastAsia="Arial"/>
          <w:color w:val="000000"/>
        </w:rPr>
        <w:t xml:space="preserve">One key contribution of the framework is the explicit connection between incident-derived parameters and engineering constraints. Instead of treating incidents solely as sources of general lessons, the case card structure </w:t>
      </w:r>
      <w:r w:rsidR="003E0BF6">
        <w:rPr>
          <w:rFonts w:eastAsia="Arial" w:hint="eastAsia"/>
          <w:color w:val="000000"/>
        </w:rPr>
        <w:t xml:space="preserve">enables the extraction and interpretation of specific parameter </w:t>
      </w:r>
      <w:r w:rsidR="003E0BF6">
        <w:rPr>
          <w:rFonts w:eastAsia="Arial"/>
          <w:color w:val="000000"/>
        </w:rPr>
        <w:t>ranges</w:t>
      </w:r>
      <w:r>
        <w:rPr>
          <w:rFonts w:eastAsia="Arial"/>
          <w:color w:val="000000"/>
        </w:rPr>
        <w:t xml:space="preserve"> in relation to hazard metrics. For instance, observations of delayed detection or insufficient ventilation in indoor releases can be translated into quantitative implications for concentration growth and overpressure risk. In this way, empirical experience becomes directly usable within design and risk assessment workflows.</w:t>
      </w:r>
    </w:p>
    <w:p w14:paraId="395DEA40" w14:textId="77777777" w:rsidR="00D80727" w:rsidRDefault="00000000">
      <w:pPr>
        <w:pBdr>
          <w:top w:val="nil"/>
          <w:left w:val="nil"/>
          <w:bottom w:val="nil"/>
          <w:right w:val="nil"/>
          <w:between w:val="nil"/>
        </w:pBdr>
        <w:rPr>
          <w:color w:val="000000"/>
        </w:rPr>
      </w:pPr>
      <w:r>
        <w:rPr>
          <w:rFonts w:eastAsia="Arial"/>
          <w:color w:val="000000"/>
        </w:rPr>
        <w:t>The knowledge-graph implementation further enhances this capability by enabling cross-case comparison and traceability. As additional case cards are incorporated, the graph can reveal recurring patterns in release conditions, mitigation performance, or evacuation outcomes. Such insights are difficult to obtain from narrative databases but become accessible when incidents are structured around comparable physical processes.</w:t>
      </w:r>
    </w:p>
    <w:p w14:paraId="62F05D6F" w14:textId="2B982BC9" w:rsidR="00D80727" w:rsidRDefault="00000000">
      <w:pPr>
        <w:pBdr>
          <w:top w:val="nil"/>
          <w:left w:val="nil"/>
          <w:bottom w:val="nil"/>
          <w:right w:val="nil"/>
          <w:between w:val="nil"/>
        </w:pBdr>
        <w:rPr>
          <w:color w:val="000000"/>
        </w:rPr>
      </w:pPr>
      <w:r>
        <w:rPr>
          <w:rFonts w:eastAsia="Arial"/>
          <w:color w:val="000000"/>
        </w:rPr>
        <w:t xml:space="preserve">Another implication concerns regulatory and safety justification. When engineering decisions are linked to parameters derived from documented incidents, the basis for those decisions becomes transparent. This transparency may be particularly valuable in emerging hydrogen applications, where regulatory frameworks are still </w:t>
      </w:r>
      <w:r w:rsidR="003E0BF6">
        <w:rPr>
          <w:rFonts w:eastAsia="Arial"/>
          <w:color w:val="000000"/>
        </w:rPr>
        <w:t>evolving,</w:t>
      </w:r>
      <w:r>
        <w:rPr>
          <w:rFonts w:eastAsia="Arial"/>
          <w:color w:val="000000"/>
        </w:rPr>
        <w:t xml:space="preserve"> and empirical evidence is limited.</w:t>
      </w:r>
    </w:p>
    <w:p w14:paraId="3A3D5067" w14:textId="77777777" w:rsidR="00D80727" w:rsidRDefault="00000000">
      <w:pPr>
        <w:pBdr>
          <w:top w:val="nil"/>
          <w:left w:val="nil"/>
          <w:bottom w:val="nil"/>
          <w:right w:val="nil"/>
          <w:between w:val="nil"/>
        </w:pBdr>
        <w:rPr>
          <w:color w:val="000000"/>
        </w:rPr>
      </w:pPr>
      <w:r>
        <w:rPr>
          <w:rFonts w:eastAsia="Arial"/>
          <w:color w:val="000000"/>
        </w:rPr>
        <w:t>The framework also creates opportunities for integration with digital safety tools. If operational monitoring systems record parameters in the same structure used in the case cards, deviations from empirically observed safe ranges could be detected automatically. This would allow incident knowledge to inform not only design but also real-time operation and maintenance planning.</w:t>
      </w:r>
    </w:p>
    <w:p w14:paraId="5D425A88" w14:textId="007BD802" w:rsidR="00D80727" w:rsidRPr="004031F6" w:rsidRDefault="00000000" w:rsidP="004031F6">
      <w:pPr>
        <w:pBdr>
          <w:top w:val="nil"/>
          <w:left w:val="nil"/>
          <w:bottom w:val="nil"/>
          <w:right w:val="nil"/>
          <w:between w:val="nil"/>
        </w:pBdr>
        <w:rPr>
          <w:rFonts w:eastAsia="Arial"/>
          <w:color w:val="000000"/>
        </w:rPr>
      </w:pPr>
      <w:r>
        <w:rPr>
          <w:rFonts w:eastAsia="Arial"/>
          <w:color w:val="000000"/>
        </w:rPr>
        <w:t xml:space="preserve">Despite these advantages, the framework </w:t>
      </w:r>
      <w:r w:rsidR="004031F6">
        <w:rPr>
          <w:rFonts w:eastAsia="Arial" w:hint="eastAsia"/>
          <w:color w:val="000000"/>
        </w:rPr>
        <w:t xml:space="preserve">still depends on the availability and quality of incident information. Many reports lack quantitative details, and mapping incidents to kernels requires engineering judgment. Future work could focus on developing semi-automated extraction methods and clearer mapping criteria to boost consistency. Expanding the dataset and testing the framework across different hydrogen applications would also strengthen its empirical basis. Several limitations should be acknowledged. First, incident reports often lack complete quantitative data, which creates uncertainty during parameter extraction. In such cases, conservative estimates or qualitative classifications are used, and the uncertainty is documented in the case cards. Second, mapping incidents to hazard kernels depends on engineering judgment. Although explicit mapping criteria were </w:t>
      </w:r>
      <w:r w:rsidR="004031F6">
        <w:rPr>
          <w:rFonts w:eastAsia="Arial" w:hint="eastAsia"/>
          <w:color w:val="000000"/>
        </w:rPr>
        <w:lastRenderedPageBreak/>
        <w:t>used, different analysts might interpret certain cases differently. Future work could explore semi-automated extraction methods and develop clearer mapping rules. Third, the dataset is based on publicly available reports, which may introduce reporting bias. Some incidents remain confidential or are poorly documented. Increasing the dataset wit</w:t>
      </w:r>
      <w:r w:rsidR="004031F6">
        <w:rPr>
          <w:rFonts w:eastAsia="Arial"/>
          <w:color w:val="000000"/>
        </w:rPr>
        <w:t>h</w:t>
      </w:r>
      <w:r w:rsidR="004031F6" w:rsidRPr="004031F6">
        <w:rPr>
          <w:rFonts w:eastAsia="Arial"/>
          <w:color w:val="000000"/>
        </w:rPr>
        <w:t xml:space="preserve"> additional sources and industry collaboration would improve coverage and robustness.</w:t>
      </w:r>
    </w:p>
    <w:p w14:paraId="3FBD63D6" w14:textId="2EECC923" w:rsidR="00D80727" w:rsidRDefault="00000000">
      <w:pPr>
        <w:pBdr>
          <w:top w:val="nil"/>
          <w:left w:val="nil"/>
          <w:bottom w:val="nil"/>
          <w:right w:val="nil"/>
          <w:between w:val="nil"/>
        </w:pBdr>
        <w:rPr>
          <w:color w:val="000000"/>
        </w:rPr>
      </w:pPr>
      <w:r>
        <w:rPr>
          <w:rFonts w:eastAsia="Arial"/>
          <w:color w:val="000000"/>
        </w:rPr>
        <w:t>Overall, the results suggest that organizing incident knowledge around physically interpretable kernels provides a practical pathway for transforming qualitative safety experience into structured analytical input.</w:t>
      </w:r>
    </w:p>
    <w:p w14:paraId="5FABDD56" w14:textId="7E60BC52" w:rsidR="00D80727" w:rsidRDefault="00000000" w:rsidP="00623598">
      <w:pPr>
        <w:pStyle w:val="a6"/>
        <w:keepNext/>
        <w:numPr>
          <w:ilvl w:val="0"/>
          <w:numId w:val="5"/>
        </w:numPr>
        <w:pBdr>
          <w:top w:val="nil"/>
          <w:left w:val="nil"/>
          <w:bottom w:val="nil"/>
          <w:right w:val="nil"/>
          <w:between w:val="nil"/>
        </w:pBdr>
        <w:spacing w:before="240" w:after="120" w:line="240" w:lineRule="auto"/>
        <w:ind w:firstLineChars="0"/>
        <w:jc w:val="left"/>
      </w:pPr>
      <w:r w:rsidRPr="00623598">
        <w:rPr>
          <w:rFonts w:eastAsia="Arial"/>
          <w:b/>
          <w:bCs/>
          <w:color w:val="000000"/>
          <w:sz w:val="20"/>
          <w:szCs w:val="20"/>
        </w:rPr>
        <w:t>Conclusions</w:t>
      </w:r>
    </w:p>
    <w:p w14:paraId="5F5708DA" w14:textId="77777777" w:rsidR="00D80727" w:rsidRDefault="00000000">
      <w:pPr>
        <w:pBdr>
          <w:top w:val="nil"/>
          <w:left w:val="nil"/>
          <w:bottom w:val="nil"/>
          <w:right w:val="nil"/>
          <w:between w:val="nil"/>
        </w:pBdr>
        <w:rPr>
          <w:color w:val="000000"/>
        </w:rPr>
      </w:pPr>
      <w:r>
        <w:rPr>
          <w:rFonts w:eastAsia="Arial"/>
          <w:color w:val="000000"/>
        </w:rPr>
        <w:t>This study introduced a framework for transforming hydrogen incident reports into standardized case cards grounded in physically interpretable hazard kernels. By structuring incident evidence around a small number of governing processes and formalizing relationships through a lightweight ontology and knowledge graph, the approach improves the comparability, traceability, and analytical usability of empirical safety information.</w:t>
      </w:r>
    </w:p>
    <w:p w14:paraId="28FB8084" w14:textId="77777777" w:rsidR="00D80727" w:rsidRDefault="00000000">
      <w:pPr>
        <w:pBdr>
          <w:top w:val="nil"/>
          <w:left w:val="nil"/>
          <w:bottom w:val="nil"/>
          <w:right w:val="nil"/>
          <w:between w:val="nil"/>
        </w:pBdr>
        <w:rPr>
          <w:color w:val="000000"/>
        </w:rPr>
      </w:pPr>
      <w:r>
        <w:rPr>
          <w:rFonts w:eastAsia="Arial"/>
          <w:color w:val="000000"/>
        </w:rPr>
        <w:t>The results demonstrate that kernel-based structuring enables incident knowledge to be linked more directly to engineering parameters and hazard metrics. This connection supports the reuse of operational experience in design, risk assessment, and safety justification, while also providing a foundation for integration with digital monitoring and modelling tools.</w:t>
      </w:r>
    </w:p>
    <w:p w14:paraId="3442B2DC" w14:textId="3E9C2FFB" w:rsidR="00D40E4F" w:rsidRPr="00D53CE4" w:rsidRDefault="00000000">
      <w:pPr>
        <w:pBdr>
          <w:top w:val="nil"/>
          <w:left w:val="nil"/>
          <w:bottom w:val="nil"/>
          <w:right w:val="nil"/>
          <w:between w:val="nil"/>
        </w:pBdr>
        <w:rPr>
          <w:color w:val="000000"/>
        </w:rPr>
      </w:pPr>
      <w:r>
        <w:rPr>
          <w:rFonts w:eastAsia="Arial"/>
          <w:color w:val="000000"/>
        </w:rPr>
        <w:t>Although the current demonstration is based on a limited dataset, the framework shows potential as a practical method for organizing safety knowledge in rapidly evolving hydrogen production systems. Its extensible structure also suggests a po</w:t>
      </w:r>
      <w:r w:rsidR="00623598">
        <w:rPr>
          <w:rFonts w:eastAsia="Arial" w:hint="eastAsia"/>
          <w:color w:val="000000"/>
        </w:rPr>
        <w:t>tential role in future standardization efforts to improve</w:t>
      </w:r>
      <w:r>
        <w:rPr>
          <w:rFonts w:eastAsia="Arial"/>
          <w:color w:val="000000"/>
        </w:rPr>
        <w:t xml:space="preserve"> the consistency and interoperability of hydrogen safety data.</w:t>
      </w:r>
      <w:r w:rsidR="00D53CE4">
        <w:rPr>
          <w:rFonts w:hint="eastAsia"/>
          <w:color w:val="000000"/>
        </w:rPr>
        <w:t xml:space="preserve"> </w:t>
      </w:r>
      <w:r>
        <w:rPr>
          <w:rFonts w:eastAsia="Arial"/>
          <w:color w:val="000000"/>
        </w:rPr>
        <w:t>By providing a bridge between narrative incident reporting and quantitative hazard analysis, the approach contributes to more systematic learning from operational experience and supports the development of safer green hydrogen production infrastructure.</w:t>
      </w:r>
    </w:p>
    <w:p w14:paraId="3431D97F" w14:textId="77777777" w:rsidR="00D80727" w:rsidRPr="0079049F" w:rsidRDefault="00000000">
      <w:pPr>
        <w:pBdr>
          <w:top w:val="nil"/>
          <w:left w:val="nil"/>
          <w:bottom w:val="nil"/>
          <w:right w:val="nil"/>
          <w:between w:val="nil"/>
        </w:pBdr>
        <w:spacing w:before="200" w:after="120" w:line="240" w:lineRule="auto"/>
        <w:jc w:val="left"/>
        <w:rPr>
          <w:b/>
          <w:bCs/>
          <w:color w:val="000000"/>
          <w:lang w:val="en-US"/>
        </w:rPr>
      </w:pPr>
      <w:r>
        <w:rPr>
          <w:rFonts w:eastAsia="Arial"/>
          <w:b/>
          <w:bCs/>
          <w:color w:val="000000"/>
        </w:rPr>
        <w:t>References</w:t>
      </w:r>
    </w:p>
    <w:p w14:paraId="3C432EA4" w14:textId="0596E9A6" w:rsidR="00D40E4F" w:rsidRPr="00D40E4F" w:rsidRDefault="00D40E4F" w:rsidP="00D40E4F">
      <w:pPr>
        <w:pBdr>
          <w:top w:val="nil"/>
          <w:left w:val="nil"/>
          <w:bottom w:val="nil"/>
          <w:right w:val="nil"/>
          <w:between w:val="nil"/>
        </w:pBdr>
        <w:ind w:left="284" w:hanging="284"/>
        <w:rPr>
          <w:color w:val="000000"/>
        </w:rPr>
      </w:pPr>
      <w:proofErr w:type="spellStart"/>
      <w:r w:rsidRPr="00D40E4F">
        <w:rPr>
          <w:color w:val="000000"/>
        </w:rPr>
        <w:t>Cipolletta</w:t>
      </w:r>
      <w:proofErr w:type="spellEnd"/>
      <w:r w:rsidRPr="00D40E4F">
        <w:rPr>
          <w:color w:val="000000"/>
        </w:rPr>
        <w:t xml:space="preserve">, M., Casson Moreno, V. &amp; </w:t>
      </w:r>
      <w:proofErr w:type="spellStart"/>
      <w:r w:rsidRPr="00D40E4F">
        <w:rPr>
          <w:color w:val="000000"/>
        </w:rPr>
        <w:t>Cozzani</w:t>
      </w:r>
      <w:proofErr w:type="spellEnd"/>
      <w:r w:rsidRPr="00D40E4F">
        <w:rPr>
          <w:color w:val="000000"/>
        </w:rPr>
        <w:t>, V. (2022). Green hydrogen production routes: An inherent safety assessment. Chemical Engineering Transactions, 90, pp.55–60. https://doi.org/10.3303/CET2290010</w:t>
      </w:r>
    </w:p>
    <w:p w14:paraId="419B716A" w14:textId="098E3D48" w:rsidR="00D40E4F" w:rsidRPr="00D40E4F" w:rsidRDefault="00D40E4F" w:rsidP="00D40E4F">
      <w:pPr>
        <w:pBdr>
          <w:top w:val="nil"/>
          <w:left w:val="nil"/>
          <w:bottom w:val="nil"/>
          <w:right w:val="nil"/>
          <w:between w:val="nil"/>
        </w:pBdr>
        <w:ind w:left="284" w:hanging="284"/>
        <w:rPr>
          <w:color w:val="000000"/>
        </w:rPr>
      </w:pPr>
      <w:r w:rsidRPr="00D40E4F">
        <w:rPr>
          <w:color w:val="000000"/>
        </w:rPr>
        <w:t>Domínguez, R., Calderón, E. &amp; Bustos, J. (2022). Process safety in electrolytic green hydrogen production. Production Management and Process Control, 36, pp.185–195.</w:t>
      </w:r>
    </w:p>
    <w:p w14:paraId="4C3EB4C3" w14:textId="30D19A92" w:rsidR="00D40E4F" w:rsidRPr="00D40E4F" w:rsidRDefault="00D40E4F" w:rsidP="00D40E4F">
      <w:pPr>
        <w:pBdr>
          <w:top w:val="nil"/>
          <w:left w:val="nil"/>
          <w:bottom w:val="nil"/>
          <w:right w:val="nil"/>
          <w:between w:val="nil"/>
        </w:pBdr>
        <w:ind w:left="284" w:hanging="284"/>
        <w:rPr>
          <w:color w:val="000000"/>
        </w:rPr>
      </w:pPr>
      <w:r w:rsidRPr="00D40E4F">
        <w:rPr>
          <w:color w:val="000000"/>
        </w:rPr>
        <w:t>European Commission (2022). REPowerEU Plan. Brussels: European Commission.</w:t>
      </w:r>
    </w:p>
    <w:p w14:paraId="06630539" w14:textId="150B63AD" w:rsidR="00D40E4F" w:rsidRPr="00D40E4F" w:rsidRDefault="00D40E4F" w:rsidP="00D40E4F">
      <w:pPr>
        <w:pBdr>
          <w:top w:val="nil"/>
          <w:left w:val="nil"/>
          <w:bottom w:val="nil"/>
          <w:right w:val="nil"/>
          <w:between w:val="nil"/>
        </w:pBdr>
        <w:ind w:left="284" w:hanging="284"/>
        <w:rPr>
          <w:color w:val="000000"/>
        </w:rPr>
      </w:pPr>
      <w:r w:rsidRPr="00D40E4F">
        <w:rPr>
          <w:color w:val="000000"/>
        </w:rPr>
        <w:t>European Commission – Joint Research Centre (2023). Hydrogen Incidents and Accidents Database (HIAD). Available at: https://minerva.jrc.ec.europa.eu/en/shorturl/capri/hiadpt (Accessed: 21 July 2025).</w:t>
      </w:r>
    </w:p>
    <w:p w14:paraId="71A8F8AB" w14:textId="067BD7C5" w:rsidR="00D40E4F" w:rsidRDefault="00D40E4F" w:rsidP="00D40E4F">
      <w:pPr>
        <w:pBdr>
          <w:top w:val="nil"/>
          <w:left w:val="nil"/>
          <w:bottom w:val="nil"/>
          <w:right w:val="nil"/>
          <w:between w:val="nil"/>
        </w:pBdr>
        <w:ind w:left="284" w:hanging="284"/>
        <w:rPr>
          <w:color w:val="000000"/>
        </w:rPr>
      </w:pPr>
      <w:proofErr w:type="spellStart"/>
      <w:r w:rsidRPr="00D40E4F">
        <w:rPr>
          <w:color w:val="000000"/>
        </w:rPr>
        <w:t>Muthiah</w:t>
      </w:r>
      <w:proofErr w:type="spellEnd"/>
      <w:r w:rsidRPr="00D40E4F">
        <w:rPr>
          <w:color w:val="000000"/>
        </w:rPr>
        <w:t xml:space="preserve">, M., </w:t>
      </w:r>
      <w:proofErr w:type="spellStart"/>
      <w:r w:rsidRPr="00D40E4F">
        <w:rPr>
          <w:color w:val="000000"/>
        </w:rPr>
        <w:t>Elnashar</w:t>
      </w:r>
      <w:proofErr w:type="spellEnd"/>
      <w:r w:rsidRPr="00D40E4F">
        <w:rPr>
          <w:color w:val="000000"/>
        </w:rPr>
        <w:t xml:space="preserve">, M., Afzal, W. &amp; Tan, H. (2024). Safety assessment of hydrogen production using alkaline water electrolysis. International Journal of Hydrogen Energy, 84, pp.803–821. </w:t>
      </w:r>
      <w:hyperlink r:id="rId10" w:history="1">
        <w:r w:rsidRPr="000A10E7">
          <w:rPr>
            <w:rStyle w:val="aa"/>
          </w:rPr>
          <w:t>https://doi.org/10.1016/j.ijhydene.2024.08.237</w:t>
        </w:r>
      </w:hyperlink>
    </w:p>
    <w:p w14:paraId="752942B1" w14:textId="77777777" w:rsidR="00D40E4F" w:rsidRDefault="00D40E4F" w:rsidP="00D40E4F">
      <w:pPr>
        <w:pBdr>
          <w:top w:val="nil"/>
          <w:left w:val="nil"/>
          <w:bottom w:val="nil"/>
          <w:right w:val="nil"/>
          <w:between w:val="nil"/>
        </w:pBdr>
        <w:ind w:left="284" w:hanging="284"/>
        <w:rPr>
          <w:rFonts w:eastAsia="Arial"/>
          <w:color w:val="000000"/>
        </w:rPr>
      </w:pPr>
      <w:proofErr w:type="spellStart"/>
      <w:r w:rsidRPr="00D40E4F">
        <w:rPr>
          <w:rFonts w:eastAsia="Arial"/>
          <w:color w:val="000000"/>
        </w:rPr>
        <w:t>Melideo</w:t>
      </w:r>
      <w:proofErr w:type="spellEnd"/>
      <w:r w:rsidRPr="00D40E4F">
        <w:rPr>
          <w:rFonts w:eastAsia="Arial"/>
          <w:color w:val="000000"/>
        </w:rPr>
        <w:t xml:space="preserve">, D., </w:t>
      </w:r>
      <w:proofErr w:type="spellStart"/>
      <w:r w:rsidRPr="00D40E4F">
        <w:rPr>
          <w:rFonts w:eastAsia="Arial"/>
          <w:color w:val="000000"/>
        </w:rPr>
        <w:t>Baraldi</w:t>
      </w:r>
      <w:proofErr w:type="spellEnd"/>
      <w:r w:rsidRPr="00D40E4F">
        <w:rPr>
          <w:rFonts w:eastAsia="Arial"/>
          <w:color w:val="000000"/>
        </w:rPr>
        <w:t>, D., Weidner-</w:t>
      </w:r>
      <w:proofErr w:type="spellStart"/>
      <w:r w:rsidRPr="00D40E4F">
        <w:rPr>
          <w:rFonts w:eastAsia="Arial"/>
          <w:color w:val="000000"/>
        </w:rPr>
        <w:t>Ronnefeld</w:t>
      </w:r>
      <w:proofErr w:type="spellEnd"/>
      <w:r w:rsidRPr="00D40E4F">
        <w:rPr>
          <w:rFonts w:eastAsia="Arial"/>
          <w:color w:val="000000"/>
        </w:rPr>
        <w:t xml:space="preserve">, E., </w:t>
      </w:r>
      <w:proofErr w:type="spellStart"/>
      <w:r w:rsidRPr="00D40E4F">
        <w:rPr>
          <w:rFonts w:eastAsia="Arial"/>
          <w:color w:val="000000"/>
        </w:rPr>
        <w:t>Dolci</w:t>
      </w:r>
      <w:proofErr w:type="spellEnd"/>
      <w:r w:rsidRPr="00D40E4F">
        <w:rPr>
          <w:rFonts w:eastAsia="Arial"/>
          <w:color w:val="000000"/>
        </w:rPr>
        <w:t>, F. &amp; Moretto, P. (2019). Hydrogen incident and accident database (HIAD 2.0): Lessons learned from hydrogen safety data. In: Proceedings of the International Conference on Hydrogen Safety (ICHS).</w:t>
      </w:r>
    </w:p>
    <w:p w14:paraId="4C0E90AF" w14:textId="050D9567" w:rsidR="00D40E4F" w:rsidRPr="00D40E4F" w:rsidRDefault="00D40E4F" w:rsidP="00D40E4F">
      <w:pPr>
        <w:pBdr>
          <w:top w:val="nil"/>
          <w:left w:val="nil"/>
          <w:bottom w:val="nil"/>
          <w:right w:val="nil"/>
          <w:between w:val="nil"/>
        </w:pBdr>
        <w:ind w:left="284" w:hanging="284"/>
        <w:rPr>
          <w:color w:val="000000"/>
        </w:rPr>
      </w:pPr>
      <w:r w:rsidRPr="00D40E4F">
        <w:rPr>
          <w:color w:val="000000"/>
        </w:rPr>
        <w:t>U.S. Department of Energy (2024). H2Tools: Hydrogen safety best practices and lessons learned. Available at: https://h2tools.org(Accessed: 21 July 2025).</w:t>
      </w:r>
    </w:p>
    <w:p w14:paraId="54EFA1C5" w14:textId="5910B9F6" w:rsidR="00D40E4F" w:rsidRDefault="00D40E4F" w:rsidP="00D40E4F">
      <w:pPr>
        <w:pBdr>
          <w:top w:val="nil"/>
          <w:left w:val="nil"/>
          <w:bottom w:val="nil"/>
          <w:right w:val="nil"/>
          <w:between w:val="nil"/>
        </w:pBdr>
        <w:ind w:left="284" w:hanging="284"/>
        <w:rPr>
          <w:color w:val="000000"/>
        </w:rPr>
      </w:pPr>
      <w:proofErr w:type="spellStart"/>
      <w:r w:rsidRPr="00D40E4F">
        <w:rPr>
          <w:color w:val="000000"/>
        </w:rPr>
        <w:t>Vidas</w:t>
      </w:r>
      <w:proofErr w:type="spellEnd"/>
      <w:r w:rsidRPr="00D40E4F">
        <w:rPr>
          <w:color w:val="000000"/>
        </w:rPr>
        <w:t xml:space="preserve">, L. &amp; Castro, R. (2021). Recent developments on hydrogen production technologies: State-of-the-art review with a focus on green electrolysis. Applied Sciences, 11(23), 11363. </w:t>
      </w:r>
      <w:hyperlink r:id="rId11" w:history="1">
        <w:r w:rsidRPr="000A10E7">
          <w:rPr>
            <w:rStyle w:val="aa"/>
          </w:rPr>
          <w:t>https://doi.org/10.3390/app112311363</w:t>
        </w:r>
      </w:hyperlink>
    </w:p>
    <w:p w14:paraId="5E0C4A50" w14:textId="0B111C70" w:rsidR="00D80727" w:rsidRPr="00D40E4F" w:rsidRDefault="00D40E4F" w:rsidP="00D40E4F">
      <w:pPr>
        <w:pBdr>
          <w:top w:val="nil"/>
          <w:left w:val="nil"/>
          <w:bottom w:val="nil"/>
          <w:right w:val="nil"/>
          <w:between w:val="nil"/>
        </w:pBdr>
        <w:ind w:left="284" w:hanging="284"/>
        <w:rPr>
          <w:color w:val="000000"/>
        </w:rPr>
      </w:pPr>
      <w:r w:rsidRPr="00D40E4F">
        <w:rPr>
          <w:rFonts w:eastAsia="Arial"/>
          <w:color w:val="000000"/>
        </w:rPr>
        <w:t xml:space="preserve">Wen, J.X., </w:t>
      </w:r>
      <w:proofErr w:type="spellStart"/>
      <w:r w:rsidRPr="00D40E4F">
        <w:rPr>
          <w:rFonts w:eastAsia="Arial"/>
          <w:color w:val="000000"/>
        </w:rPr>
        <w:t>Maroño</w:t>
      </w:r>
      <w:proofErr w:type="spellEnd"/>
      <w:r w:rsidRPr="00D40E4F">
        <w:rPr>
          <w:rFonts w:eastAsia="Arial"/>
          <w:color w:val="000000"/>
        </w:rPr>
        <w:t xml:space="preserve">, M., Moretto, P., Reinecke, E.A., </w:t>
      </w:r>
      <w:proofErr w:type="spellStart"/>
      <w:r w:rsidRPr="00D40E4F">
        <w:rPr>
          <w:rFonts w:eastAsia="Arial"/>
          <w:color w:val="000000"/>
        </w:rPr>
        <w:t>Sathiah</w:t>
      </w:r>
      <w:proofErr w:type="spellEnd"/>
      <w:r w:rsidRPr="00D40E4F">
        <w:rPr>
          <w:rFonts w:eastAsia="Arial"/>
          <w:color w:val="000000"/>
        </w:rPr>
        <w:t xml:space="preserve">, P., Studer, E., </w:t>
      </w:r>
      <w:proofErr w:type="spellStart"/>
      <w:r w:rsidRPr="00D40E4F">
        <w:rPr>
          <w:rFonts w:eastAsia="Arial"/>
          <w:color w:val="000000"/>
        </w:rPr>
        <w:t>Vyazmina</w:t>
      </w:r>
      <w:proofErr w:type="spellEnd"/>
      <w:r w:rsidRPr="00D40E4F">
        <w:rPr>
          <w:rFonts w:eastAsia="Arial"/>
          <w:color w:val="000000"/>
        </w:rPr>
        <w:t xml:space="preserve">, E. &amp; </w:t>
      </w:r>
      <w:proofErr w:type="spellStart"/>
      <w:r w:rsidRPr="00D40E4F">
        <w:rPr>
          <w:rFonts w:eastAsia="Arial"/>
          <w:color w:val="000000"/>
        </w:rPr>
        <w:t>Melideo</w:t>
      </w:r>
      <w:proofErr w:type="spellEnd"/>
      <w:r w:rsidRPr="00D40E4F">
        <w:rPr>
          <w:rFonts w:eastAsia="Arial"/>
          <w:color w:val="000000"/>
        </w:rPr>
        <w:t>, D. (2022). Statistics, lessons learned and recommendations from analysis of HIAD 2.0 database. International Journal of Hydrogen Energy, 47(38), pp.17082–17096.</w:t>
      </w:r>
    </w:p>
    <w:sectPr w:rsidR="00D80727" w:rsidRPr="00D40E4F">
      <w:pgSz w:w="11906" w:h="16838"/>
      <w:pgMar w:top="1701" w:right="1418" w:bottom="1701" w:left="1701" w:header="1701"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BF2A5" w14:textId="77777777" w:rsidR="004D7FBE" w:rsidRDefault="004D7FBE" w:rsidP="006A7270">
      <w:pPr>
        <w:spacing w:line="240" w:lineRule="auto"/>
      </w:pPr>
      <w:r>
        <w:separator/>
      </w:r>
    </w:p>
  </w:endnote>
  <w:endnote w:type="continuationSeparator" w:id="0">
    <w:p w14:paraId="7A7D3491" w14:textId="77777777" w:rsidR="004D7FBE" w:rsidRDefault="004D7FBE" w:rsidP="006A7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706800D-D545-CD4F-9511-399296194F8B}"/>
    <w:embedBold r:id="rId2" w:fontKey="{B0D2F90A-4842-164C-9000-0A541E59AE3F}"/>
  </w:font>
  <w:font w:name="Arial">
    <w:panose1 w:val="020B0604020202020204"/>
    <w:charset w:val="00"/>
    <w:family w:val="swiss"/>
    <w:pitch w:val="variable"/>
    <w:sig w:usb0="E0002AFF" w:usb1="C0007843" w:usb2="00000009" w:usb3="00000000" w:csb0="000001FF" w:csb1="00000000"/>
    <w:embedRegular r:id="rId3" w:fontKey="{7837581D-BE50-AE42-8A0E-5FCE6F1343A7}"/>
    <w:embedBold r:id="rId4" w:fontKey="{1D6C832F-FD1D-334F-975E-0A371EDFD77F}"/>
    <w:embedBoldItalic r:id="rId5" w:fontKey="{011AF83E-AD24-A34A-912C-382A25EF087A}"/>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AC7BB918-CC2B-7E42-B55D-66728A80FEAF}"/>
    <w:embedBold r:id="rId7" w:fontKey="{2700E8EF-3A82-D548-8AC8-4CD3FBB8B1DD}"/>
    <w:embedItalic r:id="rId8" w:fontKey="{B0B061DC-E7DE-604E-8103-DA1522950900}"/>
    <w:embedBoldItalic r:id="rId9" w:fontKey="{14571CB5-4466-3C4D-8385-F31CF5BC4E17}"/>
  </w:font>
  <w:font w:name="Georgia">
    <w:panose1 w:val="02040502050405020303"/>
    <w:charset w:val="00"/>
    <w:family w:val="roman"/>
    <w:pitch w:val="variable"/>
    <w:sig w:usb0="00000287" w:usb1="00000000" w:usb2="00000000" w:usb3="00000000" w:csb0="0000009F" w:csb1="00000000"/>
    <w:embedItalic r:id="rId10" w:fontKey="{C6F225EA-EC21-6A40-A305-215E726BF3F9}"/>
  </w:font>
  <w:font w:name="AdvP6960">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12" w:fontKey="{C55318FE-02C5-3D4C-B855-F2B6835E2B51}"/>
    <w:embedBold r:id="rId13" w:fontKey="{B29F4F6C-6D42-904C-A9D1-D71903FAAD17}"/>
  </w:font>
  <w:font w:name="微软雅黑">
    <w:panose1 w:val="020B0503020204020204"/>
    <w:charset w:val="86"/>
    <w:family w:val="swiss"/>
    <w:pitch w:val="variable"/>
    <w:sig w:usb0="80000287" w:usb1="28CF3C52" w:usb2="00000016" w:usb3="00000000" w:csb0="0004001F" w:csb1="00000000"/>
    <w:embedRegular r:id="rId14" w:subsetted="1" w:fontKey="{7AC8E947-39EF-914D-B3CD-30CF6FA90619}"/>
  </w:font>
  <w:font w:name="Calibri">
    <w:panose1 w:val="020F0502020204030204"/>
    <w:charset w:val="00"/>
    <w:family w:val="swiss"/>
    <w:pitch w:val="variable"/>
    <w:sig w:usb0="E0002AFF" w:usb1="C000247B" w:usb2="00000009" w:usb3="00000000" w:csb0="000001FF" w:csb1="00000000"/>
    <w:embedRegular r:id="rId15" w:fontKey="{AAD4BA2D-F20C-B146-9ED6-1BC01C12D7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7355F" w14:textId="77777777" w:rsidR="004D7FBE" w:rsidRDefault="004D7FBE" w:rsidP="006A7270">
      <w:pPr>
        <w:spacing w:line="240" w:lineRule="auto"/>
      </w:pPr>
      <w:r>
        <w:separator/>
      </w:r>
    </w:p>
  </w:footnote>
  <w:footnote w:type="continuationSeparator" w:id="0">
    <w:p w14:paraId="01F7C94C" w14:textId="77777777" w:rsidR="004D7FBE" w:rsidRDefault="004D7FBE" w:rsidP="006A72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40C92"/>
    <w:multiLevelType w:val="hybridMultilevel"/>
    <w:tmpl w:val="A816063A"/>
    <w:lvl w:ilvl="0" w:tplc="C512D242">
      <w:start w:val="1"/>
      <w:numFmt w:val="decimal"/>
      <w:lvlText w:val="%1"/>
      <w:lvlJc w:val="left"/>
      <w:pPr>
        <w:ind w:left="360" w:hanging="360"/>
      </w:pPr>
      <w:rPr>
        <w:rFonts w:eastAsia="Arial" w:hint="default"/>
        <w:b/>
        <w:color w:val="00000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991E59"/>
    <w:multiLevelType w:val="multilevel"/>
    <w:tmpl w:val="DC5416D4"/>
    <w:lvl w:ilvl="0">
      <w:start w:val="3"/>
      <w:numFmt w:val="decimal"/>
      <w:lvlText w:val="%1"/>
      <w:lvlJc w:val="left"/>
      <w:pPr>
        <w:ind w:left="360" w:hanging="360"/>
      </w:pPr>
      <w:rPr>
        <w:rFonts w:eastAsia="Arial" w:hint="default"/>
        <w:b/>
        <w:color w:val="000000"/>
      </w:rPr>
    </w:lvl>
    <w:lvl w:ilvl="1">
      <w:start w:val="1"/>
      <w:numFmt w:val="decimal"/>
      <w:lvlText w:val="%1.%2"/>
      <w:lvlJc w:val="left"/>
      <w:pPr>
        <w:ind w:left="360" w:hanging="360"/>
      </w:pPr>
      <w:rPr>
        <w:rFonts w:eastAsia="Arial" w:hint="default"/>
        <w:b/>
        <w:color w:val="000000"/>
      </w:rPr>
    </w:lvl>
    <w:lvl w:ilvl="2">
      <w:start w:val="1"/>
      <w:numFmt w:val="decimal"/>
      <w:lvlText w:val="%1.%2.%3"/>
      <w:lvlJc w:val="left"/>
      <w:pPr>
        <w:ind w:left="720" w:hanging="720"/>
      </w:pPr>
      <w:rPr>
        <w:rFonts w:eastAsia="Arial" w:hint="default"/>
        <w:b/>
        <w:color w:val="000000"/>
      </w:rPr>
    </w:lvl>
    <w:lvl w:ilvl="3">
      <w:start w:val="1"/>
      <w:numFmt w:val="decimal"/>
      <w:lvlText w:val="%1.%2.%3.%4"/>
      <w:lvlJc w:val="left"/>
      <w:pPr>
        <w:ind w:left="720" w:hanging="720"/>
      </w:pPr>
      <w:rPr>
        <w:rFonts w:eastAsia="Arial" w:hint="default"/>
        <w:b/>
        <w:color w:val="000000"/>
      </w:rPr>
    </w:lvl>
    <w:lvl w:ilvl="4">
      <w:start w:val="1"/>
      <w:numFmt w:val="decimal"/>
      <w:lvlText w:val="%1.%2.%3.%4.%5"/>
      <w:lvlJc w:val="left"/>
      <w:pPr>
        <w:ind w:left="720" w:hanging="720"/>
      </w:pPr>
      <w:rPr>
        <w:rFonts w:eastAsia="Arial" w:hint="default"/>
        <w:b/>
        <w:color w:val="000000"/>
      </w:rPr>
    </w:lvl>
    <w:lvl w:ilvl="5">
      <w:start w:val="1"/>
      <w:numFmt w:val="decimal"/>
      <w:lvlText w:val="%1.%2.%3.%4.%5.%6"/>
      <w:lvlJc w:val="left"/>
      <w:pPr>
        <w:ind w:left="1080" w:hanging="1080"/>
      </w:pPr>
      <w:rPr>
        <w:rFonts w:eastAsia="Arial" w:hint="default"/>
        <w:b/>
        <w:color w:val="000000"/>
      </w:rPr>
    </w:lvl>
    <w:lvl w:ilvl="6">
      <w:start w:val="1"/>
      <w:numFmt w:val="decimal"/>
      <w:lvlText w:val="%1.%2.%3.%4.%5.%6.%7"/>
      <w:lvlJc w:val="left"/>
      <w:pPr>
        <w:ind w:left="1080" w:hanging="1080"/>
      </w:pPr>
      <w:rPr>
        <w:rFonts w:eastAsia="Arial" w:hint="default"/>
        <w:b/>
        <w:color w:val="000000"/>
      </w:rPr>
    </w:lvl>
    <w:lvl w:ilvl="7">
      <w:start w:val="1"/>
      <w:numFmt w:val="decimal"/>
      <w:lvlText w:val="%1.%2.%3.%4.%5.%6.%7.%8"/>
      <w:lvlJc w:val="left"/>
      <w:pPr>
        <w:ind w:left="1440" w:hanging="1440"/>
      </w:pPr>
      <w:rPr>
        <w:rFonts w:eastAsia="Arial" w:hint="default"/>
        <w:b/>
        <w:color w:val="000000"/>
      </w:rPr>
    </w:lvl>
    <w:lvl w:ilvl="8">
      <w:start w:val="1"/>
      <w:numFmt w:val="decimal"/>
      <w:lvlText w:val="%1.%2.%3.%4.%5.%6.%7.%8.%9"/>
      <w:lvlJc w:val="left"/>
      <w:pPr>
        <w:ind w:left="1440" w:hanging="1440"/>
      </w:pPr>
      <w:rPr>
        <w:rFonts w:eastAsia="Arial" w:hint="default"/>
        <w:b/>
        <w:color w:val="000000"/>
      </w:rPr>
    </w:lvl>
  </w:abstractNum>
  <w:abstractNum w:abstractNumId="2" w15:restartNumberingAfterBreak="0">
    <w:nsid w:val="388A532E"/>
    <w:multiLevelType w:val="hybridMultilevel"/>
    <w:tmpl w:val="122A39AA"/>
    <w:lvl w:ilvl="0" w:tplc="9EBAADC0">
      <w:start w:val="2"/>
      <w:numFmt w:val="decimal"/>
      <w:lvlText w:val="%1."/>
      <w:lvlJc w:val="left"/>
      <w:pPr>
        <w:ind w:left="360" w:hanging="360"/>
      </w:pPr>
      <w:rPr>
        <w:rFonts w:eastAsia="Arial" w:hint="default"/>
        <w:b/>
        <w:color w:val="000000"/>
        <w:sz w:val="2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0B2268B"/>
    <w:multiLevelType w:val="multilevel"/>
    <w:tmpl w:val="9CE6B396"/>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4" w15:restartNumberingAfterBreak="0">
    <w:nsid w:val="4B181F17"/>
    <w:multiLevelType w:val="hybridMultilevel"/>
    <w:tmpl w:val="E5882EE0"/>
    <w:lvl w:ilvl="0" w:tplc="CF16FC18">
      <w:start w:val="1"/>
      <w:numFmt w:val="decimal"/>
      <w:lvlText w:val="%1"/>
      <w:lvlJc w:val="left"/>
      <w:pPr>
        <w:ind w:left="360" w:hanging="360"/>
      </w:pPr>
      <w:rPr>
        <w:rFonts w:eastAsia="Arial" w:hint="default"/>
        <w:b/>
        <w:color w:val="00000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80394353">
    <w:abstractNumId w:val="3"/>
  </w:num>
  <w:num w:numId="2" w16cid:durableId="148055705">
    <w:abstractNumId w:val="0"/>
  </w:num>
  <w:num w:numId="3" w16cid:durableId="203169">
    <w:abstractNumId w:val="4"/>
  </w:num>
  <w:num w:numId="4" w16cid:durableId="1482236728">
    <w:abstractNumId w:val="2"/>
  </w:num>
  <w:num w:numId="5" w16cid:durableId="417749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27"/>
    <w:rsid w:val="001916A0"/>
    <w:rsid w:val="001D6297"/>
    <w:rsid w:val="00233E62"/>
    <w:rsid w:val="003E0BF6"/>
    <w:rsid w:val="004031F6"/>
    <w:rsid w:val="00484CFA"/>
    <w:rsid w:val="004D7FBE"/>
    <w:rsid w:val="004E6352"/>
    <w:rsid w:val="005574DF"/>
    <w:rsid w:val="005C151E"/>
    <w:rsid w:val="00623598"/>
    <w:rsid w:val="006A7270"/>
    <w:rsid w:val="0079049F"/>
    <w:rsid w:val="008B11B1"/>
    <w:rsid w:val="008F50D3"/>
    <w:rsid w:val="009312A9"/>
    <w:rsid w:val="009E4526"/>
    <w:rsid w:val="00B239AD"/>
    <w:rsid w:val="00B973D7"/>
    <w:rsid w:val="00C5245D"/>
    <w:rsid w:val="00C75622"/>
    <w:rsid w:val="00D40E4F"/>
    <w:rsid w:val="00D53CE4"/>
    <w:rsid w:val="00D80727"/>
    <w:rsid w:val="00E87BC5"/>
    <w:rsid w:val="00F16BCC"/>
    <w:rsid w:val="00FE3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FA1407C"/>
  <w15:docId w15:val="{96936E2E-6CAE-2A4C-8D3E-00362286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18"/>
        <w:szCs w:val="18"/>
        <w:lang w:val="en" w:eastAsia="zh-CN"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spacing w:before="240" w:after="120" w:line="240" w:lineRule="auto"/>
      <w:outlineLvl w:val="0"/>
    </w:pPr>
    <w:rPr>
      <w:rFonts w:eastAsia="Arial"/>
      <w:b/>
      <w:bCs/>
      <w:color w:val="000000"/>
      <w:sz w:val="20"/>
      <w:szCs w:val="20"/>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bCs/>
      <w:color w:val="4F81BD"/>
    </w:rPr>
  </w:style>
  <w:style w:type="paragraph" w:styleId="4">
    <w:name w:val="heading 4"/>
    <w:basedOn w:val="a"/>
    <w:next w:val="a"/>
    <w:uiPriority w:val="9"/>
    <w:semiHidden/>
    <w:unhideWhenUsed/>
    <w:qFormat/>
    <w:pPr>
      <w:keepNext/>
      <w:keepLines/>
      <w:spacing w:before="200"/>
      <w:outlineLvl w:val="3"/>
    </w:pPr>
    <w:rPr>
      <w:rFonts w:ascii="Cambria" w:eastAsia="Cambria" w:hAnsi="Cambria" w:cs="Cambria"/>
      <w:b/>
      <w:bCs/>
      <w:i/>
      <w:iCs/>
      <w:color w:val="4F81BD"/>
    </w:rPr>
  </w:style>
  <w:style w:type="paragraph" w:styleId="5">
    <w:name w:val="heading 5"/>
    <w:basedOn w:val="a"/>
    <w:next w:val="a"/>
    <w:uiPriority w:val="9"/>
    <w:semiHidden/>
    <w:unhideWhenUsed/>
    <w:qFormat/>
    <w:pPr>
      <w:keepNext/>
      <w:keepLines/>
      <w:spacing w:before="200"/>
      <w:outlineLvl w:val="4"/>
    </w:pPr>
    <w:rPr>
      <w:rFonts w:ascii="Cambria" w:eastAsia="Cambria" w:hAnsi="Cambria" w:cs="Cambria"/>
      <w:color w:val="243F61"/>
    </w:rPr>
  </w:style>
  <w:style w:type="paragraph" w:styleId="6">
    <w:name w:val="heading 6"/>
    <w:basedOn w:val="a"/>
    <w:next w:val="a"/>
    <w:uiPriority w:val="9"/>
    <w:semiHidden/>
    <w:unhideWhenUsed/>
    <w:qFormat/>
    <w:pPr>
      <w:keepNext/>
      <w:keepLines/>
      <w:spacing w:before="200"/>
      <w:outlineLvl w:val="5"/>
    </w:pPr>
    <w:rPr>
      <w:rFonts w:ascii="Cambria" w:eastAsia="Cambria" w:hAnsi="Cambria" w:cs="Cambria"/>
      <w:i/>
      <w:iCs/>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List Paragraph"/>
    <w:basedOn w:val="a"/>
    <w:uiPriority w:val="34"/>
    <w:qFormat/>
    <w:rsid w:val="00623598"/>
    <w:pPr>
      <w:ind w:firstLineChars="200" w:firstLine="420"/>
    </w:pPr>
  </w:style>
  <w:style w:type="character" w:styleId="a7">
    <w:name w:val="footnote reference"/>
    <w:basedOn w:val="a0"/>
    <w:uiPriority w:val="99"/>
    <w:semiHidden/>
    <w:unhideWhenUsed/>
    <w:rsid w:val="006A7270"/>
    <w:rPr>
      <w:vertAlign w:val="superscript"/>
    </w:rPr>
  </w:style>
  <w:style w:type="paragraph" w:styleId="a8">
    <w:name w:val="footnote text"/>
    <w:basedOn w:val="a"/>
    <w:link w:val="a9"/>
    <w:uiPriority w:val="99"/>
    <w:semiHidden/>
    <w:unhideWhenUsed/>
    <w:rsid w:val="006A7270"/>
    <w:pPr>
      <w:tabs>
        <w:tab w:val="clear" w:pos="7100"/>
      </w:tabs>
      <w:spacing w:line="240" w:lineRule="auto"/>
      <w:jc w:val="left"/>
    </w:pPr>
    <w:rPr>
      <w:rFonts w:asciiTheme="minorHAnsi" w:hAnsiTheme="minorHAnsi" w:cstheme="minorBidi"/>
      <w:sz w:val="20"/>
      <w:szCs w:val="20"/>
      <w:lang w:val="en-IE"/>
    </w:rPr>
  </w:style>
  <w:style w:type="character" w:customStyle="1" w:styleId="a9">
    <w:name w:val="脚注文本 字符"/>
    <w:basedOn w:val="a0"/>
    <w:link w:val="a8"/>
    <w:uiPriority w:val="99"/>
    <w:semiHidden/>
    <w:rsid w:val="006A7270"/>
    <w:rPr>
      <w:rFonts w:asciiTheme="minorHAnsi" w:hAnsiTheme="minorHAnsi" w:cstheme="minorBidi"/>
      <w:sz w:val="20"/>
      <w:szCs w:val="20"/>
      <w:lang w:val="en-IE"/>
    </w:rPr>
  </w:style>
  <w:style w:type="character" w:styleId="aa">
    <w:name w:val="Hyperlink"/>
    <w:basedOn w:val="a0"/>
    <w:uiPriority w:val="99"/>
    <w:unhideWhenUsed/>
    <w:rsid w:val="00D40E4F"/>
    <w:rPr>
      <w:color w:val="0000FF" w:themeColor="hyperlink"/>
      <w:u w:val="single"/>
    </w:rPr>
  </w:style>
  <w:style w:type="character" w:styleId="ab">
    <w:name w:val="Unresolved Mention"/>
    <w:basedOn w:val="a0"/>
    <w:uiPriority w:val="99"/>
    <w:semiHidden/>
    <w:unhideWhenUsed/>
    <w:rsid w:val="00D40E4F"/>
    <w:rPr>
      <w:color w:val="605E5C"/>
      <w:shd w:val="clear" w:color="auto" w:fill="E1DFDD"/>
    </w:rPr>
  </w:style>
  <w:style w:type="table" w:styleId="ac">
    <w:name w:val="Table Grid"/>
    <w:basedOn w:val="a1"/>
    <w:uiPriority w:val="39"/>
    <w:rsid w:val="007904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Plain Table 2"/>
    <w:basedOn w:val="a1"/>
    <w:uiPriority w:val="42"/>
    <w:rsid w:val="0079049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Normal (Web)"/>
    <w:basedOn w:val="a"/>
    <w:uiPriority w:val="99"/>
    <w:semiHidden/>
    <w:unhideWhenUsed/>
    <w:rsid w:val="004E6352"/>
    <w:pPr>
      <w:tabs>
        <w:tab w:val="clear" w:pos="7100"/>
      </w:tabs>
      <w:spacing w:before="100" w:beforeAutospacing="1" w:after="100" w:afterAutospacing="1" w:line="240" w:lineRule="auto"/>
      <w:jc w:val="left"/>
    </w:pPr>
    <w:rPr>
      <w:rFonts w:ascii="宋体" w:eastAsia="宋体" w:hAnsi="宋体" w:cs="宋体"/>
      <w:sz w:val="24"/>
      <w:szCs w:val="24"/>
      <w:lang w:val="en-US"/>
    </w:rPr>
  </w:style>
  <w:style w:type="character" w:customStyle="1" w:styleId="katex-mathml">
    <w:name w:val="katex-mathml"/>
    <w:basedOn w:val="a0"/>
    <w:rsid w:val="004E6352"/>
  </w:style>
  <w:style w:type="character" w:customStyle="1" w:styleId="mord">
    <w:name w:val="mord"/>
    <w:basedOn w:val="a0"/>
    <w:rsid w:val="004E6352"/>
  </w:style>
  <w:style w:type="character" w:customStyle="1" w:styleId="vlist-s">
    <w:name w:val="vlist-s"/>
    <w:basedOn w:val="a0"/>
    <w:rsid w:val="004E6352"/>
  </w:style>
  <w:style w:type="character" w:customStyle="1" w:styleId="mrel">
    <w:name w:val="mrel"/>
    <w:basedOn w:val="a0"/>
    <w:rsid w:val="004E6352"/>
  </w:style>
  <w:style w:type="character" w:customStyle="1" w:styleId="mopen">
    <w:name w:val="mopen"/>
    <w:basedOn w:val="a0"/>
    <w:rsid w:val="004E6352"/>
  </w:style>
  <w:style w:type="character" w:customStyle="1" w:styleId="mpunct">
    <w:name w:val="mpunct"/>
    <w:basedOn w:val="a0"/>
    <w:rsid w:val="004E6352"/>
  </w:style>
  <w:style w:type="character" w:customStyle="1" w:styleId="mclose">
    <w:name w:val="mclose"/>
    <w:basedOn w:val="a0"/>
    <w:rsid w:val="004E6352"/>
  </w:style>
  <w:style w:type="character" w:customStyle="1" w:styleId="mbin">
    <w:name w:val="mbin"/>
    <w:basedOn w:val="a0"/>
    <w:rsid w:val="004E6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7455">
      <w:bodyDiv w:val="1"/>
      <w:marLeft w:val="0"/>
      <w:marRight w:val="0"/>
      <w:marTop w:val="0"/>
      <w:marBottom w:val="0"/>
      <w:divBdr>
        <w:top w:val="none" w:sz="0" w:space="0" w:color="auto"/>
        <w:left w:val="none" w:sz="0" w:space="0" w:color="auto"/>
        <w:bottom w:val="none" w:sz="0" w:space="0" w:color="auto"/>
        <w:right w:val="none" w:sz="0" w:space="0" w:color="auto"/>
      </w:divBdr>
    </w:div>
    <w:div w:id="878706806">
      <w:bodyDiv w:val="1"/>
      <w:marLeft w:val="0"/>
      <w:marRight w:val="0"/>
      <w:marTop w:val="0"/>
      <w:marBottom w:val="0"/>
      <w:divBdr>
        <w:top w:val="none" w:sz="0" w:space="0" w:color="auto"/>
        <w:left w:val="none" w:sz="0" w:space="0" w:color="auto"/>
        <w:bottom w:val="none" w:sz="0" w:space="0" w:color="auto"/>
        <w:right w:val="none" w:sz="0" w:space="0" w:color="auto"/>
      </w:divBdr>
    </w:div>
    <w:div w:id="1109350367">
      <w:bodyDiv w:val="1"/>
      <w:marLeft w:val="0"/>
      <w:marRight w:val="0"/>
      <w:marTop w:val="0"/>
      <w:marBottom w:val="0"/>
      <w:divBdr>
        <w:top w:val="none" w:sz="0" w:space="0" w:color="auto"/>
        <w:left w:val="none" w:sz="0" w:space="0" w:color="auto"/>
        <w:bottom w:val="none" w:sz="0" w:space="0" w:color="auto"/>
        <w:right w:val="none" w:sz="0" w:space="0" w:color="auto"/>
      </w:divBdr>
    </w:div>
    <w:div w:id="1701130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pp112311363" TargetMode="External"/><Relationship Id="rId5" Type="http://schemas.openxmlformats.org/officeDocument/2006/relationships/footnotes" Target="footnotes.xml"/><Relationship Id="rId10" Type="http://schemas.openxmlformats.org/officeDocument/2006/relationships/hyperlink" Target="https://doi.org/10.1016/j.ijhydene.2024.08.237" TargetMode="External"/><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3884</Words>
  <Characters>22142</Characters>
  <Application>Microsoft Office Word</Application>
  <DocSecurity>0</DocSecurity>
  <Lines>184</Lines>
  <Paragraphs>51</Paragraphs>
  <ScaleCrop>false</ScaleCrop>
  <Company/>
  <LinksUpToDate>false</LinksUpToDate>
  <CharactersWithSpaces>25975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Shuo  Yang</cp:lastModifiedBy>
  <cp:revision>17</cp:revision>
  <dcterms:created xsi:type="dcterms:W3CDTF">2026-03-17T01:34:00Z</dcterms:created>
  <dcterms:modified xsi:type="dcterms:W3CDTF">2026-03-17T06:32:00Z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