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E2301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E23016" w:rsidRDefault="000A03B2" w:rsidP="00A7751D">
            <w:pPr>
              <w:tabs>
                <w:tab w:val="left" w:pos="-108"/>
              </w:tabs>
              <w:ind w:left="-108"/>
              <w:jc w:val="left"/>
              <w:rPr>
                <w:rFonts w:cs="Arial"/>
                <w:b/>
                <w:bCs/>
                <w:i/>
                <w:iCs/>
                <w:color w:val="000066"/>
                <w:sz w:val="12"/>
                <w:szCs w:val="12"/>
                <w:lang w:eastAsia="it-IT"/>
              </w:rPr>
            </w:pPr>
            <w:r w:rsidRPr="00E2301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E23016">
              <w:rPr>
                <w:rFonts w:ascii="AdvP6960" w:hAnsi="AdvP6960" w:cs="AdvP6960"/>
                <w:color w:val="241F20"/>
                <w:szCs w:val="18"/>
                <w:lang w:eastAsia="it-IT"/>
              </w:rPr>
              <w:t xml:space="preserve"> </w:t>
            </w:r>
            <w:r w:rsidRPr="00E23016">
              <w:rPr>
                <w:rFonts w:cs="Arial"/>
                <w:b/>
                <w:bCs/>
                <w:i/>
                <w:iCs/>
                <w:color w:val="000066"/>
                <w:sz w:val="24"/>
                <w:szCs w:val="24"/>
                <w:lang w:eastAsia="it-IT"/>
              </w:rPr>
              <w:t>CHEMICAL ENGINEERING</w:t>
            </w:r>
            <w:r w:rsidRPr="00E23016">
              <w:rPr>
                <w:rFonts w:cs="Arial"/>
                <w:b/>
                <w:bCs/>
                <w:i/>
                <w:iCs/>
                <w:color w:val="0033FF"/>
                <w:sz w:val="24"/>
                <w:szCs w:val="24"/>
                <w:lang w:eastAsia="it-IT"/>
              </w:rPr>
              <w:t xml:space="preserve"> </w:t>
            </w:r>
            <w:r w:rsidRPr="00E23016">
              <w:rPr>
                <w:rFonts w:cs="Arial"/>
                <w:b/>
                <w:bCs/>
                <w:i/>
                <w:iCs/>
                <w:color w:val="666666"/>
                <w:sz w:val="24"/>
                <w:szCs w:val="24"/>
                <w:lang w:eastAsia="it-IT"/>
              </w:rPr>
              <w:t>TRANSACTIONS</w:t>
            </w:r>
            <w:r w:rsidRPr="00E23016">
              <w:rPr>
                <w:color w:val="333333"/>
                <w:sz w:val="24"/>
                <w:szCs w:val="24"/>
                <w:lang w:eastAsia="it-IT"/>
              </w:rPr>
              <w:t xml:space="preserve"> </w:t>
            </w:r>
            <w:r w:rsidRPr="00E23016">
              <w:rPr>
                <w:rFonts w:cs="Arial"/>
                <w:b/>
                <w:bCs/>
                <w:i/>
                <w:iCs/>
                <w:color w:val="000066"/>
                <w:sz w:val="27"/>
                <w:szCs w:val="27"/>
                <w:lang w:eastAsia="it-IT"/>
              </w:rPr>
              <w:br/>
            </w:r>
          </w:p>
          <w:p w14:paraId="4B780582" w14:textId="55CD8CEA" w:rsidR="000A03B2" w:rsidRPr="00E23016" w:rsidRDefault="00A76EFC" w:rsidP="00A7751D">
            <w:pPr>
              <w:tabs>
                <w:tab w:val="left" w:pos="-108"/>
              </w:tabs>
              <w:ind w:left="-108"/>
              <w:rPr>
                <w:rFonts w:cs="Arial"/>
                <w:b/>
                <w:bCs/>
                <w:i/>
                <w:iCs/>
                <w:color w:val="000066"/>
                <w:sz w:val="22"/>
                <w:szCs w:val="22"/>
                <w:lang w:eastAsia="it-IT"/>
              </w:rPr>
            </w:pPr>
            <w:r w:rsidRPr="00E23016">
              <w:rPr>
                <w:rFonts w:cs="Arial"/>
                <w:b/>
                <w:bCs/>
                <w:i/>
                <w:iCs/>
                <w:color w:val="000066"/>
                <w:sz w:val="22"/>
                <w:szCs w:val="22"/>
                <w:lang w:eastAsia="it-IT"/>
              </w:rPr>
              <w:t xml:space="preserve">VOL. </w:t>
            </w:r>
            <w:r w:rsidR="00825DD9" w:rsidRPr="00E23016">
              <w:rPr>
                <w:rFonts w:cs="Arial"/>
                <w:b/>
                <w:bCs/>
                <w:i/>
                <w:iCs/>
                <w:color w:val="000066"/>
                <w:sz w:val="22"/>
                <w:szCs w:val="22"/>
                <w:lang w:eastAsia="it-IT"/>
              </w:rPr>
              <w:t>xxx</w:t>
            </w:r>
            <w:r w:rsidR="007B48F9" w:rsidRPr="00E23016">
              <w:rPr>
                <w:rFonts w:cs="Arial"/>
                <w:b/>
                <w:bCs/>
                <w:i/>
                <w:iCs/>
                <w:color w:val="000066"/>
                <w:sz w:val="22"/>
                <w:szCs w:val="22"/>
                <w:lang w:eastAsia="it-IT"/>
              </w:rPr>
              <w:t>,</w:t>
            </w:r>
            <w:r w:rsidR="00FA5F5F" w:rsidRPr="00E23016">
              <w:rPr>
                <w:rFonts w:cs="Arial"/>
                <w:b/>
                <w:bCs/>
                <w:i/>
                <w:iCs/>
                <w:color w:val="000066"/>
                <w:sz w:val="22"/>
                <w:szCs w:val="22"/>
                <w:lang w:eastAsia="it-IT"/>
              </w:rPr>
              <w:t xml:space="preserve"> 20</w:t>
            </w:r>
            <w:r w:rsidR="00DF5072" w:rsidRPr="00E23016">
              <w:rPr>
                <w:rFonts w:cs="Arial"/>
                <w:b/>
                <w:bCs/>
                <w:i/>
                <w:iCs/>
                <w:color w:val="000066"/>
                <w:sz w:val="22"/>
                <w:szCs w:val="22"/>
                <w:lang w:eastAsia="it-IT"/>
              </w:rPr>
              <w:t>2</w:t>
            </w:r>
            <w:r w:rsidR="00F36A0E" w:rsidRPr="00E23016">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E23016" w:rsidRDefault="000A03B2" w:rsidP="00A7751D">
            <w:pPr>
              <w:spacing w:line="140" w:lineRule="atLeast"/>
              <w:jc w:val="right"/>
              <w:rPr>
                <w:rFonts w:cs="Arial"/>
                <w:sz w:val="14"/>
                <w:szCs w:val="14"/>
              </w:rPr>
            </w:pPr>
            <w:r w:rsidRPr="00E23016">
              <w:rPr>
                <w:rFonts w:cs="Arial"/>
                <w:sz w:val="14"/>
                <w:szCs w:val="14"/>
              </w:rPr>
              <w:t>A publication of</w:t>
            </w:r>
          </w:p>
          <w:p w14:paraId="599E5441" w14:textId="77777777" w:rsidR="000A03B2" w:rsidRPr="00E23016" w:rsidRDefault="000A03B2" w:rsidP="00A7751D">
            <w:pPr>
              <w:jc w:val="right"/>
            </w:pPr>
            <w:r w:rsidRPr="00E2301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E23016" w14:paraId="380FA3CD" w14:textId="77777777" w:rsidTr="00DE264A">
        <w:trPr>
          <w:trHeight w:val="567"/>
          <w:jc w:val="center"/>
        </w:trPr>
        <w:tc>
          <w:tcPr>
            <w:tcW w:w="6946" w:type="dxa"/>
            <w:vMerge/>
            <w:tcBorders>
              <w:right w:val="single" w:sz="4" w:space="0" w:color="auto"/>
            </w:tcBorders>
          </w:tcPr>
          <w:p w14:paraId="39E5E4C1" w14:textId="77777777" w:rsidR="000A03B2" w:rsidRPr="00E23016" w:rsidRDefault="000A03B2" w:rsidP="00A7751D">
            <w:pPr>
              <w:tabs>
                <w:tab w:val="left" w:pos="-108"/>
              </w:tabs>
            </w:pPr>
          </w:p>
        </w:tc>
        <w:tc>
          <w:tcPr>
            <w:tcW w:w="1843" w:type="dxa"/>
            <w:tcBorders>
              <w:left w:val="single" w:sz="4" w:space="0" w:color="auto"/>
              <w:bottom w:val="nil"/>
              <w:right w:val="single" w:sz="4" w:space="0" w:color="auto"/>
            </w:tcBorders>
          </w:tcPr>
          <w:p w14:paraId="43858A98" w14:textId="77777777" w:rsidR="000A03B2" w:rsidRPr="00E23016" w:rsidRDefault="000A03B2" w:rsidP="00A7751D">
            <w:pPr>
              <w:spacing w:line="140" w:lineRule="atLeast"/>
              <w:jc w:val="right"/>
              <w:rPr>
                <w:rFonts w:cs="Arial"/>
                <w:sz w:val="14"/>
                <w:szCs w:val="14"/>
              </w:rPr>
            </w:pPr>
            <w:r w:rsidRPr="00E23016">
              <w:rPr>
                <w:rFonts w:cs="Arial"/>
                <w:sz w:val="14"/>
                <w:szCs w:val="14"/>
              </w:rPr>
              <w:t>The Italian Association</w:t>
            </w:r>
          </w:p>
          <w:p w14:paraId="7522B1D2" w14:textId="77777777" w:rsidR="000A03B2" w:rsidRPr="00E23016" w:rsidRDefault="000A03B2" w:rsidP="00A7751D">
            <w:pPr>
              <w:spacing w:line="140" w:lineRule="atLeast"/>
              <w:jc w:val="right"/>
              <w:rPr>
                <w:rFonts w:cs="Arial"/>
                <w:sz w:val="14"/>
                <w:szCs w:val="14"/>
              </w:rPr>
            </w:pPr>
            <w:r w:rsidRPr="00E23016">
              <w:rPr>
                <w:rFonts w:cs="Arial"/>
                <w:sz w:val="14"/>
                <w:szCs w:val="14"/>
              </w:rPr>
              <w:t>of Chemical Engineering</w:t>
            </w:r>
          </w:p>
          <w:p w14:paraId="4F0CC5DE" w14:textId="47FDB2FC" w:rsidR="000A03B2" w:rsidRPr="00E23016" w:rsidRDefault="000D0268" w:rsidP="00A7751D">
            <w:pPr>
              <w:spacing w:line="140" w:lineRule="atLeast"/>
              <w:jc w:val="right"/>
              <w:rPr>
                <w:rFonts w:cs="Arial"/>
                <w:sz w:val="13"/>
                <w:szCs w:val="13"/>
              </w:rPr>
            </w:pPr>
            <w:r w:rsidRPr="00E23016">
              <w:rPr>
                <w:rFonts w:cs="Arial"/>
                <w:sz w:val="13"/>
                <w:szCs w:val="13"/>
              </w:rPr>
              <w:t>Online at www.cetjournal.it</w:t>
            </w:r>
          </w:p>
        </w:tc>
      </w:tr>
      <w:tr w:rsidR="000A03B2" w:rsidRPr="00E23016" w14:paraId="2D1B7169" w14:textId="77777777" w:rsidTr="00DE264A">
        <w:trPr>
          <w:trHeight w:val="68"/>
          <w:jc w:val="center"/>
        </w:trPr>
        <w:tc>
          <w:tcPr>
            <w:tcW w:w="8789" w:type="dxa"/>
            <w:gridSpan w:val="2"/>
          </w:tcPr>
          <w:p w14:paraId="4B0BB442" w14:textId="4EADF2C2" w:rsidR="00300E56" w:rsidRPr="00E23016" w:rsidRDefault="00300E56" w:rsidP="00A7751D">
            <w:pPr>
              <w:ind w:left="-107"/>
              <w:outlineLvl w:val="2"/>
              <w:rPr>
                <w:rFonts w:ascii="Tahoma" w:hAnsi="Tahoma" w:cs="Tahoma"/>
                <w:bCs/>
                <w:color w:val="000000"/>
                <w:sz w:val="14"/>
                <w:szCs w:val="14"/>
                <w:lang w:val="it-IT" w:eastAsia="it-IT"/>
              </w:rPr>
            </w:pPr>
            <w:r w:rsidRPr="00E23016">
              <w:rPr>
                <w:rFonts w:ascii="Tahoma" w:hAnsi="Tahoma" w:cs="Tahoma"/>
                <w:iCs/>
                <w:color w:val="333333"/>
                <w:sz w:val="14"/>
                <w:szCs w:val="14"/>
                <w:lang w:val="it-IT" w:eastAsia="it-IT"/>
              </w:rPr>
              <w:t>Guest Editors:</w:t>
            </w:r>
            <w:r w:rsidR="00904C62" w:rsidRPr="00E23016">
              <w:rPr>
                <w:rFonts w:ascii="Tahoma" w:hAnsi="Tahoma" w:cs="Tahoma"/>
                <w:iCs/>
                <w:color w:val="333333"/>
                <w:sz w:val="14"/>
                <w:szCs w:val="14"/>
                <w:lang w:val="it-IT" w:eastAsia="it-IT"/>
              </w:rPr>
              <w:t xml:space="preserve"> </w:t>
            </w:r>
            <w:r w:rsidR="00B57E6F" w:rsidRPr="00E23016">
              <w:rPr>
                <w:rFonts w:ascii="Tahoma" w:hAnsi="Tahoma" w:cs="Tahoma"/>
                <w:color w:val="000000"/>
                <w:sz w:val="14"/>
                <w:szCs w:val="14"/>
                <w:shd w:val="clear" w:color="auto" w:fill="FFFFFF"/>
                <w:lang w:val="it-IT"/>
              </w:rPr>
              <w:t xml:space="preserve">Valerio Cozzani, </w:t>
            </w:r>
            <w:r w:rsidR="001331DF" w:rsidRPr="00E23016">
              <w:rPr>
                <w:rFonts w:ascii="Tahoma" w:hAnsi="Tahoma" w:cs="Tahoma"/>
                <w:color w:val="000000"/>
                <w:sz w:val="14"/>
                <w:szCs w:val="14"/>
                <w:shd w:val="clear" w:color="auto" w:fill="FFFFFF"/>
                <w:lang w:val="it-IT"/>
              </w:rPr>
              <w:t>Bruno Fabiano</w:t>
            </w:r>
            <w:r w:rsidR="00B57E6F" w:rsidRPr="00E23016">
              <w:rPr>
                <w:rFonts w:ascii="Tahoma" w:hAnsi="Tahoma" w:cs="Tahoma"/>
                <w:color w:val="000000"/>
                <w:sz w:val="14"/>
                <w:szCs w:val="14"/>
                <w:shd w:val="clear" w:color="auto" w:fill="FFFFFF"/>
                <w:lang w:val="it-IT"/>
              </w:rPr>
              <w:t xml:space="preserve">, </w:t>
            </w:r>
            <w:proofErr w:type="spellStart"/>
            <w:r w:rsidR="00B57E6F" w:rsidRPr="00E23016">
              <w:rPr>
                <w:rFonts w:ascii="Tahoma" w:hAnsi="Tahoma" w:cs="Tahoma"/>
                <w:bCs/>
                <w:color w:val="000000"/>
                <w:sz w:val="14"/>
                <w:szCs w:val="14"/>
                <w:lang w:val="it-IT" w:eastAsia="it-IT"/>
              </w:rPr>
              <w:t>Genserik</w:t>
            </w:r>
            <w:proofErr w:type="spellEnd"/>
            <w:r w:rsidR="00B57E6F" w:rsidRPr="00E23016">
              <w:rPr>
                <w:rFonts w:ascii="Tahoma" w:hAnsi="Tahoma" w:cs="Tahoma"/>
                <w:bCs/>
                <w:color w:val="000000"/>
                <w:sz w:val="14"/>
                <w:szCs w:val="14"/>
                <w:lang w:val="it-IT" w:eastAsia="it-IT"/>
              </w:rPr>
              <w:t xml:space="preserve"> Reniers</w:t>
            </w:r>
          </w:p>
          <w:p w14:paraId="1B0F1814" w14:textId="634F9D45" w:rsidR="000A03B2" w:rsidRPr="00E23016" w:rsidRDefault="00FA5F5F" w:rsidP="00A7751D">
            <w:pPr>
              <w:tabs>
                <w:tab w:val="left" w:pos="-108"/>
              </w:tabs>
              <w:spacing w:line="140" w:lineRule="atLeast"/>
              <w:ind w:left="-107"/>
              <w:jc w:val="left"/>
            </w:pPr>
            <w:r w:rsidRPr="00E23016">
              <w:rPr>
                <w:rFonts w:ascii="Tahoma" w:hAnsi="Tahoma" w:cs="Tahoma"/>
                <w:iCs/>
                <w:color w:val="333333"/>
                <w:sz w:val="14"/>
                <w:szCs w:val="14"/>
                <w:lang w:eastAsia="it-IT"/>
              </w:rPr>
              <w:t>Copyright © 20</w:t>
            </w:r>
            <w:r w:rsidR="00DF5072" w:rsidRPr="00E23016">
              <w:rPr>
                <w:rFonts w:ascii="Tahoma" w:hAnsi="Tahoma" w:cs="Tahoma"/>
                <w:iCs/>
                <w:color w:val="333333"/>
                <w:sz w:val="14"/>
                <w:szCs w:val="14"/>
                <w:lang w:eastAsia="it-IT"/>
              </w:rPr>
              <w:t>2</w:t>
            </w:r>
            <w:r w:rsidR="00F36A0E" w:rsidRPr="00E23016">
              <w:rPr>
                <w:rFonts w:ascii="Tahoma" w:hAnsi="Tahoma" w:cs="Tahoma"/>
                <w:iCs/>
                <w:color w:val="333333"/>
                <w:sz w:val="14"/>
                <w:szCs w:val="14"/>
                <w:lang w:eastAsia="it-IT"/>
              </w:rPr>
              <w:t>6</w:t>
            </w:r>
            <w:r w:rsidR="00904C62" w:rsidRPr="00E23016">
              <w:rPr>
                <w:rFonts w:ascii="Tahoma" w:hAnsi="Tahoma" w:cs="Tahoma"/>
                <w:iCs/>
                <w:color w:val="333333"/>
                <w:sz w:val="14"/>
                <w:szCs w:val="14"/>
                <w:lang w:eastAsia="it-IT"/>
              </w:rPr>
              <w:t xml:space="preserve">, AIDIC Servizi </w:t>
            </w:r>
            <w:proofErr w:type="spellStart"/>
            <w:r w:rsidR="00904C62" w:rsidRPr="00E23016">
              <w:rPr>
                <w:rFonts w:ascii="Tahoma" w:hAnsi="Tahoma" w:cs="Tahoma"/>
                <w:iCs/>
                <w:color w:val="333333"/>
                <w:sz w:val="14"/>
                <w:szCs w:val="14"/>
                <w:lang w:eastAsia="it-IT"/>
              </w:rPr>
              <w:t>S.r.l</w:t>
            </w:r>
            <w:proofErr w:type="spellEnd"/>
            <w:r w:rsidR="00904C62" w:rsidRPr="00E23016">
              <w:rPr>
                <w:rFonts w:ascii="Tahoma" w:hAnsi="Tahoma" w:cs="Tahoma"/>
                <w:iCs/>
                <w:color w:val="333333"/>
                <w:sz w:val="14"/>
                <w:szCs w:val="14"/>
                <w:lang w:eastAsia="it-IT"/>
              </w:rPr>
              <w:t>.</w:t>
            </w:r>
            <w:r w:rsidR="00300E56" w:rsidRPr="00E23016">
              <w:rPr>
                <w:rFonts w:ascii="Tahoma" w:hAnsi="Tahoma" w:cs="Tahoma"/>
                <w:iCs/>
                <w:color w:val="333333"/>
                <w:sz w:val="14"/>
                <w:szCs w:val="14"/>
                <w:lang w:eastAsia="it-IT"/>
              </w:rPr>
              <w:br/>
            </w:r>
            <w:r w:rsidR="00300E56" w:rsidRPr="00E23016">
              <w:rPr>
                <w:rFonts w:ascii="Tahoma" w:hAnsi="Tahoma" w:cs="Tahoma"/>
                <w:b/>
                <w:iCs/>
                <w:color w:val="000000"/>
                <w:sz w:val="14"/>
                <w:szCs w:val="14"/>
                <w:lang w:eastAsia="it-IT"/>
              </w:rPr>
              <w:t>ISBN</w:t>
            </w:r>
            <w:r w:rsidR="00300E56" w:rsidRPr="00E23016">
              <w:rPr>
                <w:rFonts w:ascii="Tahoma" w:hAnsi="Tahoma" w:cs="Tahoma"/>
                <w:iCs/>
                <w:color w:val="000000"/>
                <w:sz w:val="14"/>
                <w:szCs w:val="14"/>
                <w:lang w:eastAsia="it-IT"/>
              </w:rPr>
              <w:t xml:space="preserve"> </w:t>
            </w:r>
            <w:r w:rsidR="00825DD9" w:rsidRPr="00E23016">
              <w:rPr>
                <w:rFonts w:ascii="Tahoma" w:hAnsi="Tahoma" w:cs="Tahoma"/>
                <w:sz w:val="14"/>
                <w:szCs w:val="14"/>
                <w:lang w:eastAsia="it-IT"/>
              </w:rPr>
              <w:t>979-12-81206-</w:t>
            </w:r>
            <w:r w:rsidR="00F36A0E" w:rsidRPr="00E23016">
              <w:rPr>
                <w:rFonts w:ascii="Tahoma" w:hAnsi="Tahoma" w:cs="Tahoma"/>
                <w:sz w:val="14"/>
                <w:szCs w:val="14"/>
                <w:lang w:eastAsia="it-IT"/>
              </w:rPr>
              <w:t>xx</w:t>
            </w:r>
            <w:r w:rsidR="00825DD9" w:rsidRPr="00E23016">
              <w:rPr>
                <w:rFonts w:ascii="Tahoma" w:hAnsi="Tahoma" w:cs="Tahoma"/>
                <w:sz w:val="14"/>
                <w:szCs w:val="14"/>
                <w:lang w:eastAsia="it-IT"/>
              </w:rPr>
              <w:t>-</w:t>
            </w:r>
            <w:r w:rsidR="00F36A0E" w:rsidRPr="00E23016">
              <w:rPr>
                <w:rFonts w:ascii="Tahoma" w:hAnsi="Tahoma" w:cs="Tahoma"/>
                <w:sz w:val="14"/>
                <w:szCs w:val="14"/>
                <w:lang w:eastAsia="it-IT"/>
              </w:rPr>
              <w:t>x</w:t>
            </w:r>
            <w:r w:rsidR="007B48F9" w:rsidRPr="00E23016">
              <w:rPr>
                <w:rFonts w:ascii="Tahoma" w:hAnsi="Tahoma" w:cs="Tahoma"/>
                <w:iCs/>
                <w:color w:val="333333"/>
                <w:sz w:val="14"/>
                <w:szCs w:val="14"/>
                <w:lang w:eastAsia="it-IT"/>
              </w:rPr>
              <w:t>;</w:t>
            </w:r>
            <w:r w:rsidR="00300E56" w:rsidRPr="00E23016">
              <w:rPr>
                <w:rFonts w:ascii="Tahoma" w:hAnsi="Tahoma" w:cs="Tahoma"/>
                <w:iCs/>
                <w:color w:val="333333"/>
                <w:sz w:val="14"/>
                <w:szCs w:val="14"/>
                <w:lang w:eastAsia="it-IT"/>
              </w:rPr>
              <w:t xml:space="preserve"> </w:t>
            </w:r>
            <w:r w:rsidR="00300E56" w:rsidRPr="00E23016">
              <w:rPr>
                <w:rFonts w:ascii="Tahoma" w:hAnsi="Tahoma" w:cs="Tahoma"/>
                <w:b/>
                <w:iCs/>
                <w:color w:val="333333"/>
                <w:sz w:val="14"/>
                <w:szCs w:val="14"/>
                <w:lang w:eastAsia="it-IT"/>
              </w:rPr>
              <w:t>ISSN</w:t>
            </w:r>
            <w:r w:rsidR="00300E56" w:rsidRPr="00E23016">
              <w:rPr>
                <w:rFonts w:ascii="Tahoma" w:hAnsi="Tahoma" w:cs="Tahoma"/>
                <w:iCs/>
                <w:color w:val="333333"/>
                <w:sz w:val="14"/>
                <w:szCs w:val="14"/>
                <w:lang w:eastAsia="it-IT"/>
              </w:rPr>
              <w:t xml:space="preserve"> 2283-9216</w:t>
            </w:r>
          </w:p>
        </w:tc>
      </w:tr>
    </w:tbl>
    <w:p w14:paraId="10DAA130" w14:textId="77777777" w:rsidR="000A03B2" w:rsidRPr="00E23016" w:rsidRDefault="000A03B2" w:rsidP="00A7751D">
      <w:pPr>
        <w:pStyle w:val="CETAuthors"/>
        <w:sectPr w:rsidR="000A03B2" w:rsidRPr="00E23016" w:rsidSect="00CD5FE2">
          <w:type w:val="continuous"/>
          <w:pgSz w:w="11906" w:h="16838" w:code="9"/>
          <w:pgMar w:top="1701" w:right="1418" w:bottom="1701" w:left="1701" w:header="1701" w:footer="0" w:gutter="0"/>
          <w:cols w:space="708"/>
          <w:titlePg/>
          <w:docGrid w:linePitch="360"/>
        </w:sectPr>
      </w:pPr>
    </w:p>
    <w:p w14:paraId="2EEFE1F6" w14:textId="18E7519C" w:rsidR="00F36BFE" w:rsidRPr="00E23016" w:rsidRDefault="0065297D" w:rsidP="00A7751D">
      <w:pPr>
        <w:pStyle w:val="CETTitle"/>
      </w:pPr>
      <w:r w:rsidRPr="00E23016">
        <w:t>Accident and Near Miss Management in Non-Seveso Production Sites of the Italian “Food Valley”: the Case of a Large Wine Company</w:t>
      </w:r>
    </w:p>
    <w:p w14:paraId="43BC7302" w14:textId="77D7725E" w:rsidR="00F36BFE" w:rsidRPr="00E23016" w:rsidRDefault="00F36BFE" w:rsidP="00A7751D">
      <w:pPr>
        <w:pStyle w:val="CETAuthors"/>
        <w:rPr>
          <w:lang w:val="it-IT"/>
        </w:rPr>
      </w:pPr>
      <w:r w:rsidRPr="00E23016">
        <w:rPr>
          <w:lang w:val="it-IT"/>
        </w:rPr>
        <w:t>Silvia Carra</w:t>
      </w:r>
      <w:r w:rsidRPr="00E23016">
        <w:rPr>
          <w:vertAlign w:val="superscript"/>
          <w:lang w:val="it-IT"/>
        </w:rPr>
        <w:t>a</w:t>
      </w:r>
      <w:r w:rsidRPr="00E23016">
        <w:rPr>
          <w:lang w:val="it-IT"/>
        </w:rPr>
        <w:t xml:space="preserve">, </w:t>
      </w:r>
      <w:r w:rsidR="00A73F9C" w:rsidRPr="00E23016">
        <w:rPr>
          <w:lang w:val="it-IT"/>
        </w:rPr>
        <w:t>Giuseppe Vignali</w:t>
      </w:r>
      <w:r w:rsidR="0065297D" w:rsidRPr="00E23016">
        <w:rPr>
          <w:vertAlign w:val="superscript"/>
          <w:lang w:val="it-IT"/>
        </w:rPr>
        <w:t>b,*</w:t>
      </w:r>
      <w:r w:rsidR="00454362" w:rsidRPr="00E23016">
        <w:rPr>
          <w:lang w:val="it-IT"/>
        </w:rPr>
        <w:t xml:space="preserve">, </w:t>
      </w:r>
      <w:r w:rsidR="00302DB1" w:rsidRPr="00E23016">
        <w:rPr>
          <w:lang w:val="it-IT"/>
        </w:rPr>
        <w:t>Luigi Monica</w:t>
      </w:r>
      <w:r w:rsidR="00302DB1" w:rsidRPr="00E23016">
        <w:rPr>
          <w:vertAlign w:val="superscript"/>
          <w:lang w:val="it-IT"/>
        </w:rPr>
        <w:t>a</w:t>
      </w:r>
    </w:p>
    <w:p w14:paraId="2F94E8FF" w14:textId="6B4BAE81" w:rsidR="00F36BFE" w:rsidRPr="00E23016" w:rsidRDefault="00F36BFE" w:rsidP="00A7751D">
      <w:pPr>
        <w:pStyle w:val="CETAddress"/>
        <w:rPr>
          <w:lang w:val="it-IT"/>
        </w:rPr>
      </w:pPr>
      <w:r w:rsidRPr="00E23016">
        <w:rPr>
          <w:vertAlign w:val="superscript"/>
          <w:lang w:val="it-IT"/>
        </w:rPr>
        <w:t>a</w:t>
      </w:r>
      <w:r w:rsidRPr="00E23016">
        <w:rPr>
          <w:lang w:val="it-IT"/>
        </w:rPr>
        <w:t xml:space="preserve">INAIL, Dipartimento Innovazione Tecnologica e Sicurezza degli Impianti, Prodotti e Insediamenti Antropici, </w:t>
      </w:r>
      <w:r w:rsidR="00FB260B" w:rsidRPr="00E23016">
        <w:rPr>
          <w:lang w:val="it-IT"/>
        </w:rPr>
        <w:t>Via Roberto Ferruzzi, 38, 00143 Roma</w:t>
      </w:r>
      <w:r w:rsidRPr="00E23016">
        <w:rPr>
          <w:lang w:val="it-IT"/>
        </w:rPr>
        <w:t xml:space="preserve">, Italy </w:t>
      </w:r>
    </w:p>
    <w:p w14:paraId="728EE563" w14:textId="05424BA9" w:rsidR="00F36BFE" w:rsidRPr="00E23016" w:rsidRDefault="0065297D" w:rsidP="00A7751D">
      <w:pPr>
        <w:pStyle w:val="CETAddress"/>
        <w:rPr>
          <w:lang w:val="it-IT"/>
        </w:rPr>
      </w:pPr>
      <w:r w:rsidRPr="00E23016">
        <w:rPr>
          <w:vertAlign w:val="superscript"/>
          <w:lang w:val="it-IT"/>
        </w:rPr>
        <w:t>b</w:t>
      </w:r>
      <w:r w:rsidR="00F6198E" w:rsidRPr="00E23016">
        <w:rPr>
          <w:lang w:val="it-IT"/>
        </w:rPr>
        <w:t xml:space="preserve">Università degli Studi di Parma, </w:t>
      </w:r>
      <w:r w:rsidR="00A45FFE" w:rsidRPr="00E23016">
        <w:rPr>
          <w:lang w:val="it-IT"/>
        </w:rPr>
        <w:t>Dipartimento di Ingegneria dei Sistemi e delle Tecnologie Industriali</w:t>
      </w:r>
      <w:r w:rsidR="00F6198E" w:rsidRPr="00E23016">
        <w:rPr>
          <w:lang w:val="it-IT"/>
        </w:rPr>
        <w:t>, Parco Area delle Scienze 181/A, 43124 Parma, Italy</w:t>
      </w:r>
    </w:p>
    <w:p w14:paraId="6F030B10" w14:textId="0C96AD99" w:rsidR="00F36BFE" w:rsidRPr="00E23016" w:rsidRDefault="00F36BFE" w:rsidP="00A7751D">
      <w:pPr>
        <w:pStyle w:val="CETemail"/>
      </w:pPr>
      <w:r w:rsidRPr="00E23016">
        <w:rPr>
          <w:lang w:val="it-IT"/>
        </w:rPr>
        <w:t xml:space="preserve"> </w:t>
      </w:r>
      <w:r w:rsidR="0065297D" w:rsidRPr="00E23016">
        <w:t>giuseppe.vignali@unipr.it</w:t>
      </w:r>
    </w:p>
    <w:p w14:paraId="4970BF68" w14:textId="0AD30A06" w:rsidR="001D2E3E" w:rsidRPr="00E23016" w:rsidRDefault="001D2E3E" w:rsidP="00A7751D">
      <w:pPr>
        <w:pStyle w:val="CETBodytext"/>
        <w:rPr>
          <w:lang w:val="en-GB"/>
        </w:rPr>
      </w:pPr>
      <w:r w:rsidRPr="00E23016">
        <w:rPr>
          <w:lang w:val="en-GB"/>
        </w:rPr>
        <w:t>Identification and management of near misses constitute a standard approach for supporting safety management systems in high-risk Italian industrial plants subject to Seveso Directive.</w:t>
      </w:r>
      <w:r w:rsidR="007F3093" w:rsidRPr="00E23016">
        <w:rPr>
          <w:lang w:val="en-GB"/>
        </w:rPr>
        <w:t xml:space="preserve"> A</w:t>
      </w:r>
      <w:r w:rsidRPr="00E23016">
        <w:rPr>
          <w:lang w:val="en-GB"/>
        </w:rPr>
        <w:t>ccidents, quasi-accidents and injuries have always to be registered and recorded; moreover, this aspect is typically subjected to the control action of the surveillance bodies.</w:t>
      </w:r>
      <w:r w:rsidR="007F3093" w:rsidRPr="00E23016">
        <w:rPr>
          <w:lang w:val="en-GB"/>
        </w:rPr>
        <w:t xml:space="preserve"> </w:t>
      </w:r>
      <w:r w:rsidRPr="00E23016">
        <w:rPr>
          <w:lang w:val="en-GB"/>
        </w:rPr>
        <w:t>Nonetheless, in recent years both the scientific literature and the national entities responsible for defending safety at the workplace have highlighted that even industrial contexts considered to be at lower risk, such as the manufacturing industry, can take great advantage in terms of accident prevention if they are able to focus on the identification of near misses</w:t>
      </w:r>
      <w:r w:rsidR="007F3093" w:rsidRPr="00E23016">
        <w:rPr>
          <w:lang w:val="en-GB"/>
        </w:rPr>
        <w:t>.</w:t>
      </w:r>
    </w:p>
    <w:p w14:paraId="57AF5878" w14:textId="381ABA5A" w:rsidR="005D3ACE" w:rsidRPr="00E23016" w:rsidRDefault="001D2E3E" w:rsidP="00A7751D">
      <w:pPr>
        <w:pStyle w:val="CETBodytext"/>
        <w:rPr>
          <w:lang w:val="en-GB"/>
        </w:rPr>
      </w:pPr>
      <w:r w:rsidRPr="00E23016">
        <w:rPr>
          <w:lang w:val="en-GB"/>
        </w:rPr>
        <w:t xml:space="preserve">This work aims to analyse the specific sector of the food industry, starting from the results of a questionnaire concerning </w:t>
      </w:r>
      <w:r w:rsidR="004761F6" w:rsidRPr="00E23016">
        <w:rPr>
          <w:lang w:val="en-GB"/>
        </w:rPr>
        <w:t xml:space="preserve">accidents and </w:t>
      </w:r>
      <w:r w:rsidRPr="00E23016">
        <w:rPr>
          <w:lang w:val="en-GB"/>
        </w:rPr>
        <w:t>near misses, to which numerous food companies in Emilia-Romagna (the so-called “Food Valley”</w:t>
      </w:r>
      <w:r w:rsidR="00EB084B" w:rsidRPr="00E23016">
        <w:rPr>
          <w:lang w:val="en-GB"/>
        </w:rPr>
        <w:t xml:space="preserve"> in Northern Italy</w:t>
      </w:r>
      <w:r w:rsidRPr="00E23016">
        <w:rPr>
          <w:lang w:val="en-GB"/>
        </w:rPr>
        <w:t xml:space="preserve">) were subjected. </w:t>
      </w:r>
      <w:r w:rsidR="007F3093" w:rsidRPr="00E23016">
        <w:rPr>
          <w:lang w:val="en-GB"/>
        </w:rPr>
        <w:t>Then</w:t>
      </w:r>
      <w:r w:rsidRPr="00E23016">
        <w:rPr>
          <w:lang w:val="en-GB"/>
        </w:rPr>
        <w:t xml:space="preserve">, the case of a large local winery </w:t>
      </w:r>
      <w:r w:rsidR="007F3093" w:rsidRPr="00E23016">
        <w:rPr>
          <w:lang w:val="en-GB"/>
        </w:rPr>
        <w:t>is</w:t>
      </w:r>
      <w:r w:rsidRPr="00E23016">
        <w:rPr>
          <w:lang w:val="en-GB"/>
        </w:rPr>
        <w:t xml:space="preserve"> investigated, to validate and to deepen the conclusions drawn from the survey. </w:t>
      </w:r>
      <w:r w:rsidR="007F3093" w:rsidRPr="00E23016">
        <w:rPr>
          <w:lang w:val="en-GB"/>
        </w:rPr>
        <w:t xml:space="preserve">The </w:t>
      </w:r>
      <w:r w:rsidR="004761F6" w:rsidRPr="00E23016">
        <w:rPr>
          <w:lang w:val="en-GB"/>
        </w:rPr>
        <w:t xml:space="preserve">occurred </w:t>
      </w:r>
      <w:r w:rsidRPr="00E23016">
        <w:rPr>
          <w:lang w:val="en-GB"/>
        </w:rPr>
        <w:t xml:space="preserve">unwanted events </w:t>
      </w:r>
      <w:r w:rsidR="00266B4E" w:rsidRPr="00E23016">
        <w:rPr>
          <w:lang w:val="en-GB"/>
        </w:rPr>
        <w:t>are</w:t>
      </w:r>
      <w:r w:rsidRPr="00E23016">
        <w:rPr>
          <w:lang w:val="en-GB"/>
        </w:rPr>
        <w:t xml:space="preserve"> </w:t>
      </w:r>
      <w:r w:rsidR="009265FB" w:rsidRPr="00E23016">
        <w:rPr>
          <w:lang w:val="en-GB"/>
        </w:rPr>
        <w:t>analysed</w:t>
      </w:r>
      <w:r w:rsidRPr="00E23016">
        <w:rPr>
          <w:lang w:val="en-GB"/>
        </w:rPr>
        <w:t xml:space="preserve"> and discussed</w:t>
      </w:r>
      <w:r w:rsidR="00266B4E" w:rsidRPr="00E23016">
        <w:rPr>
          <w:lang w:val="en-GB"/>
        </w:rPr>
        <w:t>.</w:t>
      </w:r>
      <w:r w:rsidRPr="00E23016">
        <w:rPr>
          <w:lang w:val="en-GB"/>
        </w:rPr>
        <w:t xml:space="preserve"> The obtained results </w:t>
      </w:r>
      <w:r w:rsidR="000A6DBA" w:rsidRPr="00E23016">
        <w:rPr>
          <w:lang w:val="en-GB"/>
        </w:rPr>
        <w:t>are expected</w:t>
      </w:r>
      <w:r w:rsidRPr="00E23016">
        <w:rPr>
          <w:lang w:val="en-GB"/>
        </w:rPr>
        <w:t xml:space="preserve"> to contribute to </w:t>
      </w:r>
      <w:r w:rsidR="000A6DBA" w:rsidRPr="00E23016">
        <w:rPr>
          <w:lang w:val="en-GB"/>
        </w:rPr>
        <w:t>show</w:t>
      </w:r>
      <w:r w:rsidR="0051128F" w:rsidRPr="00E23016">
        <w:rPr>
          <w:lang w:val="en-GB"/>
        </w:rPr>
        <w:t xml:space="preserve"> t</w:t>
      </w:r>
      <w:r w:rsidRPr="00E23016">
        <w:rPr>
          <w:lang w:val="en-GB"/>
        </w:rPr>
        <w:t xml:space="preserve">he meaning </w:t>
      </w:r>
      <w:r w:rsidR="0051128F" w:rsidRPr="00E23016">
        <w:rPr>
          <w:lang w:val="en-GB"/>
        </w:rPr>
        <w:t xml:space="preserve">and the importance </w:t>
      </w:r>
      <w:r w:rsidRPr="00E23016">
        <w:rPr>
          <w:lang w:val="en-GB"/>
        </w:rPr>
        <w:t xml:space="preserve">that the expression “near miss” acquires </w:t>
      </w:r>
      <w:r w:rsidR="008D3947" w:rsidRPr="00E23016">
        <w:rPr>
          <w:lang w:val="en-GB"/>
        </w:rPr>
        <w:t xml:space="preserve">even </w:t>
      </w:r>
      <w:r w:rsidRPr="00E23016">
        <w:rPr>
          <w:lang w:val="en-GB"/>
        </w:rPr>
        <w:t xml:space="preserve">in contexts other than </w:t>
      </w:r>
      <w:r w:rsidR="00266B4E" w:rsidRPr="00E23016">
        <w:rPr>
          <w:lang w:val="en-GB"/>
        </w:rPr>
        <w:t>the Seveso sites</w:t>
      </w:r>
      <w:r w:rsidRPr="00E23016">
        <w:rPr>
          <w:lang w:val="en-GB"/>
        </w:rPr>
        <w:t xml:space="preserve">. At the same time, it has been possible to identify different specific phases of the entire wine production process in which </w:t>
      </w:r>
      <w:r w:rsidR="00865059" w:rsidRPr="00E23016">
        <w:rPr>
          <w:lang w:val="en-GB"/>
        </w:rPr>
        <w:t>unwanted</w:t>
      </w:r>
      <w:r w:rsidRPr="00E23016">
        <w:rPr>
          <w:lang w:val="en-GB"/>
        </w:rPr>
        <w:t xml:space="preserve"> events mainly occur</w:t>
      </w:r>
      <w:r w:rsidR="005D3ACE" w:rsidRPr="00E23016">
        <w:rPr>
          <w:lang w:val="en-GB"/>
        </w:rPr>
        <w:t>.</w:t>
      </w:r>
    </w:p>
    <w:p w14:paraId="46CDEF16" w14:textId="77777777" w:rsidR="00F36BFE" w:rsidRPr="00E23016" w:rsidRDefault="00F36BFE" w:rsidP="00A7751D">
      <w:pPr>
        <w:pStyle w:val="CETHeading1"/>
        <w:rPr>
          <w:lang w:val="en-GB"/>
        </w:rPr>
      </w:pPr>
      <w:r w:rsidRPr="00E23016">
        <w:rPr>
          <w:lang w:val="en-GB"/>
        </w:rPr>
        <w:t>Introduction</w:t>
      </w:r>
    </w:p>
    <w:p w14:paraId="71938D43" w14:textId="465EAE1D" w:rsidR="003610BA" w:rsidRPr="00E23016" w:rsidRDefault="003610BA" w:rsidP="00A7751D">
      <w:pPr>
        <w:pStyle w:val="CETBodytext"/>
        <w:rPr>
          <w:lang w:val="en-GB"/>
        </w:rPr>
      </w:pPr>
      <w:r w:rsidRPr="00E23016">
        <w:rPr>
          <w:lang w:val="en-GB"/>
        </w:rPr>
        <w:t xml:space="preserve">The recording and analysis of near misses </w:t>
      </w:r>
      <w:r w:rsidR="003B7A27" w:rsidRPr="00E23016">
        <w:rPr>
          <w:lang w:val="en-GB"/>
        </w:rPr>
        <w:t>and</w:t>
      </w:r>
      <w:r w:rsidRPr="00E23016">
        <w:rPr>
          <w:lang w:val="en-GB"/>
        </w:rPr>
        <w:t xml:space="preserve"> accidents is </w:t>
      </w:r>
      <w:r w:rsidR="003B7A27" w:rsidRPr="00E23016">
        <w:rPr>
          <w:lang w:val="en-GB"/>
        </w:rPr>
        <w:t xml:space="preserve">an </w:t>
      </w:r>
      <w:r w:rsidRPr="00E23016">
        <w:rPr>
          <w:lang w:val="en-GB"/>
        </w:rPr>
        <w:t>established practice in all high-risk</w:t>
      </w:r>
      <w:r w:rsidR="000D0273" w:rsidRPr="00E23016">
        <w:rPr>
          <w:lang w:val="en-GB"/>
        </w:rPr>
        <w:t xml:space="preserve"> Italian </w:t>
      </w:r>
      <w:r w:rsidRPr="00E23016">
        <w:rPr>
          <w:lang w:val="en-GB"/>
        </w:rPr>
        <w:t xml:space="preserve">facilities commonly referred to as “Seveso </w:t>
      </w:r>
      <w:r w:rsidR="00332B67" w:rsidRPr="00E23016">
        <w:rPr>
          <w:lang w:val="en-GB"/>
        </w:rPr>
        <w:t>sites</w:t>
      </w:r>
      <w:r w:rsidRPr="00E23016">
        <w:rPr>
          <w:lang w:val="en-GB"/>
        </w:rPr>
        <w:t>” (</w:t>
      </w:r>
      <w:r w:rsidR="003B7A27" w:rsidRPr="00E23016">
        <w:rPr>
          <w:lang w:val="en-GB"/>
        </w:rPr>
        <w:t xml:space="preserve">e.g. big </w:t>
      </w:r>
      <w:r w:rsidRPr="00E23016">
        <w:rPr>
          <w:lang w:val="en-GB"/>
        </w:rPr>
        <w:t>chemical</w:t>
      </w:r>
      <w:r w:rsidR="003B7A27" w:rsidRPr="00E23016">
        <w:rPr>
          <w:lang w:val="en-GB"/>
        </w:rPr>
        <w:t xml:space="preserve"> and</w:t>
      </w:r>
      <w:r w:rsidRPr="00E23016">
        <w:rPr>
          <w:lang w:val="en-GB"/>
        </w:rPr>
        <w:t xml:space="preserve"> nuclear</w:t>
      </w:r>
      <w:r w:rsidR="003B7A27" w:rsidRPr="00E23016">
        <w:rPr>
          <w:lang w:val="en-GB"/>
        </w:rPr>
        <w:t xml:space="preserve"> plants</w:t>
      </w:r>
      <w:r w:rsidRPr="00E23016">
        <w:rPr>
          <w:lang w:val="en-GB"/>
        </w:rPr>
        <w:t>)</w:t>
      </w:r>
      <w:r w:rsidR="002738DC" w:rsidRPr="00E23016">
        <w:rPr>
          <w:lang w:val="en-GB"/>
        </w:rPr>
        <w:t>, which are subjected to Legislative Decree 105/2015 and therefore to mandatory inspections</w:t>
      </w:r>
      <w:r w:rsidR="009D3183" w:rsidRPr="00E23016">
        <w:rPr>
          <w:lang w:val="en-GB"/>
        </w:rPr>
        <w:t xml:space="preserve"> because of the presence of above-threshold quantities of dangerous</w:t>
      </w:r>
      <w:r w:rsidR="00B45AB7" w:rsidRPr="00E23016">
        <w:rPr>
          <w:lang w:val="en-GB"/>
        </w:rPr>
        <w:t xml:space="preserve"> substances</w:t>
      </w:r>
      <w:r w:rsidRPr="00E23016">
        <w:rPr>
          <w:lang w:val="en-GB"/>
        </w:rPr>
        <w:t xml:space="preserve">. In </w:t>
      </w:r>
      <w:r w:rsidR="00332B67" w:rsidRPr="00E23016">
        <w:rPr>
          <w:lang w:val="en-GB"/>
        </w:rPr>
        <w:t xml:space="preserve">such </w:t>
      </w:r>
      <w:r w:rsidR="00DD00BC" w:rsidRPr="00E23016">
        <w:rPr>
          <w:lang w:val="en-GB"/>
        </w:rPr>
        <w:t>contexts</w:t>
      </w:r>
      <w:r w:rsidR="00332B67" w:rsidRPr="00E23016">
        <w:rPr>
          <w:lang w:val="en-GB"/>
        </w:rPr>
        <w:t>,</w:t>
      </w:r>
      <w:r w:rsidRPr="00E23016">
        <w:rPr>
          <w:lang w:val="en-GB"/>
        </w:rPr>
        <w:t xml:space="preserve"> where it cannot be excluded that High-Impact Low Probability accidents may arrive, the a priori identification of conditions of initial or potential development of catastrophic events before they occur appears essential for preventive purposes. </w:t>
      </w:r>
      <w:r w:rsidR="00F8328C" w:rsidRPr="00E23016">
        <w:rPr>
          <w:lang w:val="en-GB"/>
        </w:rPr>
        <w:t xml:space="preserve">That is why even the international literature reports many studies showing </w:t>
      </w:r>
      <w:r w:rsidR="004E32C5" w:rsidRPr="00E23016">
        <w:rPr>
          <w:lang w:val="en-GB"/>
        </w:rPr>
        <w:t xml:space="preserve">methodologies for </w:t>
      </w:r>
      <w:r w:rsidR="000C3000" w:rsidRPr="00E23016">
        <w:rPr>
          <w:lang w:val="en-GB"/>
        </w:rPr>
        <w:t>analysing</w:t>
      </w:r>
      <w:r w:rsidR="004E32C5" w:rsidRPr="00E23016">
        <w:rPr>
          <w:lang w:val="en-GB"/>
        </w:rPr>
        <w:t xml:space="preserve"> quasi-accidental data coming from operative plants (Ansaldi et al., 2021)</w:t>
      </w:r>
      <w:r w:rsidR="000C3000" w:rsidRPr="00E23016">
        <w:rPr>
          <w:lang w:val="en-GB"/>
        </w:rPr>
        <w:t>, even in specific fields, e.g. steel industry (</w:t>
      </w:r>
      <w:proofErr w:type="spellStart"/>
      <w:r w:rsidR="000C3000" w:rsidRPr="00E23016">
        <w:rPr>
          <w:lang w:val="en-GB"/>
        </w:rPr>
        <w:t>Awolusi</w:t>
      </w:r>
      <w:proofErr w:type="spellEnd"/>
      <w:r w:rsidR="000C3000" w:rsidRPr="00E23016">
        <w:rPr>
          <w:lang w:val="en-GB"/>
        </w:rPr>
        <w:t xml:space="preserve"> and Marks, 2015) </w:t>
      </w:r>
      <w:r w:rsidR="00F57969" w:rsidRPr="00E23016">
        <w:rPr>
          <w:lang w:val="en-GB"/>
        </w:rPr>
        <w:t xml:space="preserve">or specific work phases (Di Girolamo et al., 2023) </w:t>
      </w:r>
      <w:r w:rsidR="000C3000" w:rsidRPr="00E23016">
        <w:rPr>
          <w:lang w:val="en-GB"/>
        </w:rPr>
        <w:t xml:space="preserve">through the historical analysis of such undesired events (Fabiano and </w:t>
      </w:r>
      <w:proofErr w:type="spellStart"/>
      <w:r w:rsidR="000C3000" w:rsidRPr="00E23016">
        <w:rPr>
          <w:lang w:val="en-GB"/>
        </w:rPr>
        <w:t>Currò</w:t>
      </w:r>
      <w:proofErr w:type="spellEnd"/>
      <w:r w:rsidR="000C3000" w:rsidRPr="00E23016">
        <w:rPr>
          <w:lang w:val="en-GB"/>
        </w:rPr>
        <w:t>, 2012).</w:t>
      </w:r>
      <w:r w:rsidR="00407386" w:rsidRPr="00E23016">
        <w:rPr>
          <w:lang w:val="en-GB"/>
        </w:rPr>
        <w:t xml:space="preserve"> </w:t>
      </w:r>
      <w:r w:rsidR="0005238D" w:rsidRPr="00E23016">
        <w:rPr>
          <w:lang w:val="en-GB"/>
        </w:rPr>
        <w:t xml:space="preserve">Possible inconsistencies related to the decisional phase have always to be </w:t>
      </w:r>
      <w:r w:rsidR="00534689" w:rsidRPr="00E23016">
        <w:rPr>
          <w:lang w:val="en-GB"/>
        </w:rPr>
        <w:t>considered</w:t>
      </w:r>
      <w:r w:rsidR="0005238D" w:rsidRPr="00E23016">
        <w:rPr>
          <w:lang w:val="en-GB"/>
        </w:rPr>
        <w:t xml:space="preserve"> (</w:t>
      </w:r>
      <w:r w:rsidR="00534689" w:rsidRPr="00E23016">
        <w:t>Winkler</w:t>
      </w:r>
      <w:r w:rsidR="00534689" w:rsidRPr="00E23016">
        <w:rPr>
          <w:lang w:val="en-GB"/>
        </w:rPr>
        <w:t xml:space="preserve"> et al., 2019). </w:t>
      </w:r>
      <w:r w:rsidR="00407386" w:rsidRPr="00E23016">
        <w:rPr>
          <w:lang w:val="en-GB"/>
        </w:rPr>
        <w:t>In some cases, the requirements in terms of completeness of the near miss reports ha</w:t>
      </w:r>
      <w:r w:rsidR="00E327CA" w:rsidRPr="00E23016">
        <w:rPr>
          <w:lang w:val="en-GB"/>
        </w:rPr>
        <w:t>ve</w:t>
      </w:r>
      <w:r w:rsidR="00407386" w:rsidRPr="00E23016">
        <w:rPr>
          <w:lang w:val="en-GB"/>
        </w:rPr>
        <w:t xml:space="preserve"> been also discussed (Simone et al., 202</w:t>
      </w:r>
      <w:r w:rsidR="006139E3" w:rsidRPr="00E23016">
        <w:rPr>
          <w:lang w:val="en-GB"/>
        </w:rPr>
        <w:t>3</w:t>
      </w:r>
      <w:r w:rsidR="00407386" w:rsidRPr="00E23016">
        <w:rPr>
          <w:lang w:val="en-GB"/>
        </w:rPr>
        <w:t>)</w:t>
      </w:r>
      <w:r w:rsidR="008846C3" w:rsidRPr="00E23016">
        <w:rPr>
          <w:lang w:val="en-GB"/>
        </w:rPr>
        <w:t>, as well as the possibility to use smart technologies to realize an automated detection system and increase reliability (Elia et al., 2022).</w:t>
      </w:r>
      <w:r w:rsidR="00D866D3" w:rsidRPr="00E23016">
        <w:rPr>
          <w:lang w:val="en-GB"/>
        </w:rPr>
        <w:t xml:space="preserve"> </w:t>
      </w:r>
      <w:r w:rsidRPr="00E23016">
        <w:rPr>
          <w:lang w:val="en-GB"/>
        </w:rPr>
        <w:t xml:space="preserve">Nevertheless, in </w:t>
      </w:r>
      <w:r w:rsidR="000C3000" w:rsidRPr="00E23016">
        <w:rPr>
          <w:lang w:val="en-GB"/>
        </w:rPr>
        <w:t xml:space="preserve">more </w:t>
      </w:r>
      <w:r w:rsidRPr="00E23016">
        <w:rPr>
          <w:lang w:val="en-GB"/>
        </w:rPr>
        <w:t xml:space="preserve">recent years, </w:t>
      </w:r>
      <w:r w:rsidR="009D3183" w:rsidRPr="00E23016">
        <w:rPr>
          <w:lang w:val="en-GB"/>
        </w:rPr>
        <w:t>a</w:t>
      </w:r>
      <w:r w:rsidR="00977D27" w:rsidRPr="00E23016">
        <w:rPr>
          <w:lang w:val="en-GB"/>
        </w:rPr>
        <w:t xml:space="preserve">ttention to near misses, as potential precursors to more serious accidents, is gradually spreading to industrial sectors </w:t>
      </w:r>
      <w:r w:rsidR="00267E2D" w:rsidRPr="00E23016">
        <w:rPr>
          <w:lang w:val="en-GB"/>
        </w:rPr>
        <w:t xml:space="preserve">even </w:t>
      </w:r>
      <w:r w:rsidR="00977D27" w:rsidRPr="00E23016">
        <w:rPr>
          <w:lang w:val="en-GB"/>
        </w:rPr>
        <w:t>not covered by major accident prevention regulations</w:t>
      </w:r>
      <w:r w:rsidR="009E1501" w:rsidRPr="00E23016">
        <w:rPr>
          <w:lang w:val="en-GB"/>
        </w:rPr>
        <w:t xml:space="preserve"> </w:t>
      </w:r>
      <w:r w:rsidR="00267E2D" w:rsidRPr="00E23016">
        <w:rPr>
          <w:lang w:val="en-GB"/>
        </w:rPr>
        <w:t>(</w:t>
      </w:r>
      <w:proofErr w:type="spellStart"/>
      <w:r w:rsidR="00267E2D" w:rsidRPr="00E23016">
        <w:rPr>
          <w:lang w:val="en-GB"/>
        </w:rPr>
        <w:t>Gnoni</w:t>
      </w:r>
      <w:proofErr w:type="spellEnd"/>
      <w:r w:rsidR="00267E2D" w:rsidRPr="00E23016">
        <w:rPr>
          <w:lang w:val="en-GB"/>
        </w:rPr>
        <w:t xml:space="preserve"> et al., 2022) </w:t>
      </w:r>
      <w:r w:rsidR="009E1501" w:rsidRPr="00E23016">
        <w:rPr>
          <w:lang w:val="en-GB"/>
        </w:rPr>
        <w:t xml:space="preserve">and some companies </w:t>
      </w:r>
      <w:r w:rsidR="002035A4" w:rsidRPr="00E23016">
        <w:rPr>
          <w:lang w:val="en-GB"/>
        </w:rPr>
        <w:t xml:space="preserve">have </w:t>
      </w:r>
      <w:r w:rsidR="009E1501" w:rsidRPr="00E23016">
        <w:rPr>
          <w:lang w:val="en-GB"/>
        </w:rPr>
        <w:t>even declare</w:t>
      </w:r>
      <w:r w:rsidR="002035A4" w:rsidRPr="00E23016">
        <w:rPr>
          <w:lang w:val="en-GB"/>
        </w:rPr>
        <w:t>d</w:t>
      </w:r>
      <w:r w:rsidR="009E1501" w:rsidRPr="00E23016">
        <w:rPr>
          <w:lang w:val="en-GB"/>
        </w:rPr>
        <w:t xml:space="preserve"> to be equipped with a dedicated </w:t>
      </w:r>
      <w:r w:rsidR="009403A9" w:rsidRPr="00E23016">
        <w:rPr>
          <w:lang w:val="en-GB"/>
        </w:rPr>
        <w:t>“</w:t>
      </w:r>
      <w:r w:rsidR="009E1501" w:rsidRPr="00E23016">
        <w:rPr>
          <w:lang w:val="en-GB"/>
        </w:rPr>
        <w:t>near miss management model</w:t>
      </w:r>
      <w:r w:rsidR="009403A9" w:rsidRPr="00E23016">
        <w:rPr>
          <w:lang w:val="en-GB"/>
        </w:rPr>
        <w:t>”</w:t>
      </w:r>
      <w:r w:rsidR="00F8328C" w:rsidRPr="00E23016">
        <w:rPr>
          <w:lang w:val="en-GB"/>
        </w:rPr>
        <w:t xml:space="preserve">, </w:t>
      </w:r>
      <w:r w:rsidR="00EA2C3D" w:rsidRPr="00E23016">
        <w:rPr>
          <w:lang w:val="en-GB"/>
        </w:rPr>
        <w:t xml:space="preserve">in accordance with current scientific </w:t>
      </w:r>
      <w:r w:rsidR="00391DC0" w:rsidRPr="00E23016">
        <w:rPr>
          <w:lang w:val="en-GB"/>
        </w:rPr>
        <w:lastRenderedPageBreak/>
        <w:t xml:space="preserve">international </w:t>
      </w:r>
      <w:r w:rsidR="00EA2C3D" w:rsidRPr="00E23016">
        <w:rPr>
          <w:lang w:val="en-GB"/>
        </w:rPr>
        <w:t>trends</w:t>
      </w:r>
      <w:r w:rsidR="00F8328C" w:rsidRPr="00E23016">
        <w:rPr>
          <w:lang w:val="en-GB"/>
        </w:rPr>
        <w:t xml:space="preserve"> </w:t>
      </w:r>
      <w:r w:rsidR="00EA2C3D" w:rsidRPr="00E23016">
        <w:rPr>
          <w:lang w:val="en-GB"/>
        </w:rPr>
        <w:t>(</w:t>
      </w:r>
      <w:proofErr w:type="spellStart"/>
      <w:r w:rsidR="00F8328C" w:rsidRPr="00E23016">
        <w:rPr>
          <w:lang w:val="en-GB"/>
        </w:rPr>
        <w:t>Baldissone</w:t>
      </w:r>
      <w:proofErr w:type="spellEnd"/>
      <w:r w:rsidR="00F8328C" w:rsidRPr="00E23016">
        <w:rPr>
          <w:lang w:val="en-GB"/>
        </w:rPr>
        <w:t xml:space="preserve"> et al.</w:t>
      </w:r>
      <w:r w:rsidR="00EA2C3D" w:rsidRPr="00E23016">
        <w:rPr>
          <w:lang w:val="en-GB"/>
        </w:rPr>
        <w:t xml:space="preserve">, </w:t>
      </w:r>
      <w:r w:rsidR="00F8328C" w:rsidRPr="00E23016">
        <w:rPr>
          <w:lang w:val="en-GB"/>
        </w:rPr>
        <w:t>2019).</w:t>
      </w:r>
      <w:r w:rsidR="0010697D" w:rsidRPr="00E23016">
        <w:rPr>
          <w:lang w:val="en-GB"/>
        </w:rPr>
        <w:t xml:space="preserve"> Many </w:t>
      </w:r>
      <w:r w:rsidR="00267E2D" w:rsidRPr="00E23016">
        <w:rPr>
          <w:lang w:val="en-GB"/>
        </w:rPr>
        <w:t xml:space="preserve">non-Seveso </w:t>
      </w:r>
      <w:r w:rsidR="0010697D" w:rsidRPr="00E23016">
        <w:rPr>
          <w:lang w:val="en-GB"/>
        </w:rPr>
        <w:t xml:space="preserve">companies have begun to put in place specific procedures dedicated to identification and managing of near miss, driven by the intuition of a possible advantage in terms of injuries or damages prevention and supported by the latest scientific </w:t>
      </w:r>
      <w:r w:rsidR="007258BB" w:rsidRPr="00E23016">
        <w:rPr>
          <w:lang w:val="en-GB"/>
        </w:rPr>
        <w:t>evidence</w:t>
      </w:r>
      <w:r w:rsidR="0010697D" w:rsidRPr="00E23016">
        <w:rPr>
          <w:lang w:val="en-GB"/>
        </w:rPr>
        <w:t>.</w:t>
      </w:r>
    </w:p>
    <w:p w14:paraId="4CF4F9FD" w14:textId="5C841A04" w:rsidR="003610BA" w:rsidRPr="00E23016" w:rsidRDefault="003610BA" w:rsidP="00BE5CAF">
      <w:pPr>
        <w:pStyle w:val="CETBodytext"/>
        <w:rPr>
          <w:lang w:val="en-GB"/>
        </w:rPr>
      </w:pPr>
      <w:r w:rsidRPr="00E23016">
        <w:rPr>
          <w:lang w:val="en-GB"/>
        </w:rPr>
        <w:t xml:space="preserve">In the very recent past, Law 29 </w:t>
      </w:r>
      <w:r w:rsidR="00E6341B" w:rsidRPr="00E23016">
        <w:rPr>
          <w:lang w:val="en-GB"/>
        </w:rPr>
        <w:t>December</w:t>
      </w:r>
      <w:r w:rsidRPr="00E23016">
        <w:rPr>
          <w:lang w:val="en-GB"/>
        </w:rPr>
        <w:t xml:space="preserve"> 2025, n. 198 (</w:t>
      </w:r>
      <w:r w:rsidR="00D618D8" w:rsidRPr="00E23016">
        <w:rPr>
          <w:lang w:val="en-GB"/>
        </w:rPr>
        <w:t>c</w:t>
      </w:r>
      <w:r w:rsidRPr="00E23016">
        <w:rPr>
          <w:lang w:val="en-GB"/>
        </w:rPr>
        <w:t xml:space="preserve">onverting Decree 31 </w:t>
      </w:r>
      <w:r w:rsidR="00E6341B" w:rsidRPr="00E23016">
        <w:rPr>
          <w:lang w:val="en-GB"/>
        </w:rPr>
        <w:t>October</w:t>
      </w:r>
      <w:r w:rsidRPr="00E23016">
        <w:rPr>
          <w:lang w:val="en-GB"/>
        </w:rPr>
        <w:t xml:space="preserve"> 2025, n. 159</w:t>
      </w:r>
      <w:r w:rsidR="0006580C" w:rsidRPr="00E23016">
        <w:rPr>
          <w:lang w:val="en-GB"/>
        </w:rPr>
        <w:t xml:space="preserve"> “Urgent measures to safeguard health and safety in the workplace and in the field of civil protection”</w:t>
      </w:r>
      <w:r w:rsidRPr="00E23016">
        <w:rPr>
          <w:lang w:val="en-GB"/>
        </w:rPr>
        <w:t xml:space="preserve">) has made the reporting, analysis and tracking of near misses mandatory </w:t>
      </w:r>
      <w:r w:rsidR="00F911FB" w:rsidRPr="00E23016">
        <w:rPr>
          <w:lang w:val="en-GB"/>
        </w:rPr>
        <w:t xml:space="preserve">in Italy </w:t>
      </w:r>
      <w:r w:rsidRPr="00E23016">
        <w:rPr>
          <w:lang w:val="en-GB"/>
        </w:rPr>
        <w:t xml:space="preserve">even </w:t>
      </w:r>
      <w:r w:rsidR="006B0E37" w:rsidRPr="00E23016">
        <w:rPr>
          <w:lang w:val="en-GB"/>
        </w:rPr>
        <w:t xml:space="preserve">for </w:t>
      </w:r>
      <w:r w:rsidRPr="00E23016">
        <w:rPr>
          <w:lang w:val="en-GB"/>
        </w:rPr>
        <w:t xml:space="preserve">non-Seveso companies with more than 15 employees, giving definitive confirmation of the </w:t>
      </w:r>
      <w:r w:rsidR="009D3183" w:rsidRPr="00E23016">
        <w:rPr>
          <w:lang w:val="en-GB"/>
        </w:rPr>
        <w:t xml:space="preserve">necessity to give </w:t>
      </w:r>
      <w:r w:rsidRPr="00E23016">
        <w:rPr>
          <w:lang w:val="en-GB"/>
        </w:rPr>
        <w:t xml:space="preserve">priority to the analysis of </w:t>
      </w:r>
      <w:r w:rsidR="009403A9" w:rsidRPr="00E23016">
        <w:rPr>
          <w:lang w:val="en-GB"/>
        </w:rPr>
        <w:t>quasi-accidents</w:t>
      </w:r>
      <w:r w:rsidRPr="00E23016">
        <w:rPr>
          <w:lang w:val="en-GB"/>
        </w:rPr>
        <w:t xml:space="preserve"> in a wider range of industrial contexts.</w:t>
      </w:r>
      <w:r w:rsidR="007974A3" w:rsidRPr="00E23016">
        <w:rPr>
          <w:lang w:val="en-GB"/>
        </w:rPr>
        <w:t xml:space="preserve"> </w:t>
      </w:r>
      <w:r w:rsidR="00BE5CAF" w:rsidRPr="00E23016">
        <w:rPr>
          <w:lang w:val="en-GB"/>
        </w:rPr>
        <w:t>The Italian Workers’ Compensation Authority</w:t>
      </w:r>
      <w:r w:rsidR="009B2927" w:rsidRPr="00E23016">
        <w:rPr>
          <w:lang w:val="en-GB"/>
        </w:rPr>
        <w:t>,</w:t>
      </w:r>
      <w:r w:rsidR="00BE5CAF" w:rsidRPr="00E23016">
        <w:rPr>
          <w:lang w:val="en-GB"/>
        </w:rPr>
        <w:t xml:space="preserve"> embodied in the National Institute for Insurance against Accidents at Work (</w:t>
      </w:r>
      <w:r w:rsidR="0065360C" w:rsidRPr="00E23016">
        <w:rPr>
          <w:lang w:val="en-GB"/>
        </w:rPr>
        <w:t>INAIL</w:t>
      </w:r>
      <w:r w:rsidR="00BE5CAF" w:rsidRPr="00E23016">
        <w:rPr>
          <w:lang w:val="en-GB"/>
        </w:rPr>
        <w:t>)</w:t>
      </w:r>
      <w:r w:rsidR="009B2927" w:rsidRPr="00E23016">
        <w:rPr>
          <w:lang w:val="en-GB"/>
        </w:rPr>
        <w:t>,</w:t>
      </w:r>
      <w:r w:rsidR="0065360C" w:rsidRPr="00E23016">
        <w:rPr>
          <w:lang w:val="en-GB"/>
        </w:rPr>
        <w:t xml:space="preserve"> i</w:t>
      </w:r>
      <w:r w:rsidR="00AC0DC0" w:rsidRPr="00E23016">
        <w:rPr>
          <w:lang w:val="en-GB"/>
        </w:rPr>
        <w:t>s</w:t>
      </w:r>
      <w:r w:rsidR="0065360C" w:rsidRPr="00E23016">
        <w:rPr>
          <w:lang w:val="en-GB"/>
        </w:rPr>
        <w:t xml:space="preserve"> already proposing a specific</w:t>
      </w:r>
      <w:r w:rsidR="00AC0DC0" w:rsidRPr="00E23016">
        <w:rPr>
          <w:lang w:val="en-GB"/>
        </w:rPr>
        <w:t xml:space="preserve"> web platform to support </w:t>
      </w:r>
      <w:r w:rsidR="00BA3CBA" w:rsidRPr="00E23016">
        <w:rPr>
          <w:lang w:val="en-GB"/>
        </w:rPr>
        <w:t xml:space="preserve">all </w:t>
      </w:r>
      <w:r w:rsidR="00AC0DC0" w:rsidRPr="00E23016">
        <w:rPr>
          <w:lang w:val="en-GB"/>
        </w:rPr>
        <w:t>companies in applicating a correct methodology to analyse near misses (INAIL, 2025).</w:t>
      </w:r>
      <w:r w:rsidR="0067309B" w:rsidRPr="00E23016">
        <w:rPr>
          <w:lang w:val="en-GB"/>
        </w:rPr>
        <w:t xml:space="preserve"> Even international scientific literature has started to deal with near misses in context</w:t>
      </w:r>
      <w:r w:rsidR="00055F93" w:rsidRPr="00E23016">
        <w:rPr>
          <w:lang w:val="en-GB"/>
        </w:rPr>
        <w:t>s</w:t>
      </w:r>
      <w:r w:rsidR="0067309B" w:rsidRPr="00E23016">
        <w:rPr>
          <w:lang w:val="en-GB"/>
        </w:rPr>
        <w:t xml:space="preserve"> with a limited level of risk, as in case of manufacturing industr</w:t>
      </w:r>
      <w:r w:rsidR="00725F8A" w:rsidRPr="00E23016">
        <w:rPr>
          <w:lang w:val="en-GB"/>
        </w:rPr>
        <w:t>y</w:t>
      </w:r>
      <w:r w:rsidR="0067309B" w:rsidRPr="00E23016">
        <w:rPr>
          <w:lang w:val="en-GB"/>
        </w:rPr>
        <w:t xml:space="preserve"> (</w:t>
      </w:r>
      <w:r w:rsidR="006315C5" w:rsidRPr="00E23016">
        <w:t xml:space="preserve">Pickup et al, 2020; </w:t>
      </w:r>
      <w:r w:rsidR="00741183" w:rsidRPr="00E23016">
        <w:t xml:space="preserve">Van </w:t>
      </w:r>
      <w:proofErr w:type="spellStart"/>
      <w:r w:rsidR="00741183" w:rsidRPr="00E23016">
        <w:t>Derlyke</w:t>
      </w:r>
      <w:proofErr w:type="spellEnd"/>
      <w:r w:rsidR="00741183" w:rsidRPr="00E23016">
        <w:t xml:space="preserve"> et al., 2022).</w:t>
      </w:r>
    </w:p>
    <w:p w14:paraId="160847EC" w14:textId="05FE8848" w:rsidR="007F267A" w:rsidRPr="00E23016" w:rsidRDefault="003610BA" w:rsidP="00A7751D">
      <w:pPr>
        <w:pStyle w:val="CETBodytext"/>
        <w:rPr>
          <w:lang w:val="en-GB"/>
        </w:rPr>
      </w:pPr>
      <w:r w:rsidRPr="00E23016">
        <w:rPr>
          <w:lang w:val="en-GB"/>
        </w:rPr>
        <w:t xml:space="preserve">In this scenario, </w:t>
      </w:r>
      <w:r w:rsidR="009D3183" w:rsidRPr="00E23016">
        <w:rPr>
          <w:lang w:val="en-GB"/>
        </w:rPr>
        <w:t>the present research</w:t>
      </w:r>
      <w:r w:rsidR="009403A9" w:rsidRPr="00E23016">
        <w:rPr>
          <w:lang w:val="en-GB"/>
        </w:rPr>
        <w:t xml:space="preserve"> addresses</w:t>
      </w:r>
      <w:r w:rsidR="009D3183" w:rsidRPr="00E23016">
        <w:rPr>
          <w:lang w:val="en-GB"/>
        </w:rPr>
        <w:t xml:space="preserve"> </w:t>
      </w:r>
      <w:r w:rsidR="002738DC" w:rsidRPr="00E23016">
        <w:rPr>
          <w:lang w:val="en-GB"/>
        </w:rPr>
        <w:t xml:space="preserve">the specific context of the food industry, which is one of the key sectors in the economy of the Emilia-Romagna region </w:t>
      </w:r>
      <w:r w:rsidR="00BA5886" w:rsidRPr="00E23016">
        <w:rPr>
          <w:lang w:val="en-GB"/>
        </w:rPr>
        <w:t xml:space="preserve">(located in Northern Italy in the Po Valley) </w:t>
      </w:r>
      <w:r w:rsidR="002738DC" w:rsidRPr="00E23016">
        <w:rPr>
          <w:lang w:val="en-GB"/>
        </w:rPr>
        <w:t xml:space="preserve">and, more generally, of Italy's so-called </w:t>
      </w:r>
      <w:r w:rsidR="001A22EE" w:rsidRPr="00E23016">
        <w:rPr>
          <w:lang w:val="en-GB"/>
        </w:rPr>
        <w:t>“</w:t>
      </w:r>
      <w:r w:rsidR="002738DC" w:rsidRPr="00E23016">
        <w:rPr>
          <w:lang w:val="en-GB"/>
        </w:rPr>
        <w:t>Food Valley</w:t>
      </w:r>
      <w:r w:rsidR="001A22EE" w:rsidRPr="00E23016">
        <w:rPr>
          <w:lang w:val="en-GB"/>
        </w:rPr>
        <w:t>”</w:t>
      </w:r>
      <w:r w:rsidR="009403A9" w:rsidRPr="00E23016">
        <w:rPr>
          <w:lang w:val="en-GB"/>
        </w:rPr>
        <w:t xml:space="preserve">. </w:t>
      </w:r>
      <w:r w:rsidR="007F267A" w:rsidRPr="00E23016">
        <w:rPr>
          <w:lang w:val="en-GB"/>
        </w:rPr>
        <w:t>Although accidents do not reach the same numbers as in other sectors (e.g. construction</w:t>
      </w:r>
      <w:r w:rsidR="009403A9" w:rsidRPr="00E23016">
        <w:rPr>
          <w:lang w:val="en-GB"/>
        </w:rPr>
        <w:t>s</w:t>
      </w:r>
      <w:r w:rsidR="007F267A" w:rsidRPr="00E23016">
        <w:rPr>
          <w:lang w:val="en-GB"/>
        </w:rPr>
        <w:t xml:space="preserve">) nor the same severity in terms of possible consequences as in Seveso plants, they should not be overlooked. There are particular risk factors, such as in the case of companies </w:t>
      </w:r>
      <w:r w:rsidR="001A22EE" w:rsidRPr="00E23016">
        <w:rPr>
          <w:lang w:val="en-GB"/>
        </w:rPr>
        <w:t>which</w:t>
      </w:r>
      <w:r w:rsidR="007F267A" w:rsidRPr="00E23016">
        <w:rPr>
          <w:lang w:val="en-GB"/>
        </w:rPr>
        <w:t xml:space="preserve"> use seasonal workers for specific activities (e.g. tomato harvesting): in Summer the number of employees increases dramatically and they also </w:t>
      </w:r>
      <w:r w:rsidR="001A22EE" w:rsidRPr="00E23016">
        <w:rPr>
          <w:lang w:val="en-GB"/>
        </w:rPr>
        <w:t>must</w:t>
      </w:r>
      <w:r w:rsidR="007F267A" w:rsidRPr="00E23016">
        <w:rPr>
          <w:lang w:val="en-GB"/>
        </w:rPr>
        <w:t xml:space="preserve"> be trained quickly and from zero, </w:t>
      </w:r>
      <w:r w:rsidR="009D3183" w:rsidRPr="00E23016">
        <w:rPr>
          <w:lang w:val="en-GB"/>
        </w:rPr>
        <w:t>sometimes</w:t>
      </w:r>
      <w:r w:rsidR="007F267A" w:rsidRPr="00E23016">
        <w:rPr>
          <w:lang w:val="en-GB"/>
        </w:rPr>
        <w:t xml:space="preserve"> </w:t>
      </w:r>
      <w:r w:rsidR="009D3183" w:rsidRPr="00E23016">
        <w:rPr>
          <w:lang w:val="en-GB"/>
        </w:rPr>
        <w:t>notwithstanding a</w:t>
      </w:r>
      <w:r w:rsidR="007F267A" w:rsidRPr="00E23016">
        <w:rPr>
          <w:lang w:val="en-GB"/>
        </w:rPr>
        <w:t xml:space="preserve"> limited supervision capacity. </w:t>
      </w:r>
    </w:p>
    <w:p w14:paraId="7D9C7B80" w14:textId="40658964" w:rsidR="007F3093" w:rsidRPr="00E23016" w:rsidRDefault="009403A9" w:rsidP="00A7751D">
      <w:pPr>
        <w:pStyle w:val="CETBodytext"/>
        <w:rPr>
          <w:lang w:val="en-GB"/>
        </w:rPr>
      </w:pPr>
      <w:r w:rsidRPr="00E23016">
        <w:t>In the present study, a</w:t>
      </w:r>
      <w:r w:rsidR="009E1501" w:rsidRPr="00E23016">
        <w:t xml:space="preserve">fter an initial analysis of </w:t>
      </w:r>
      <w:r w:rsidR="00E6341B" w:rsidRPr="00E23016">
        <w:t xml:space="preserve">the state of the sector in terms of awareness and management of accidents and near misses </w:t>
      </w:r>
      <w:r w:rsidR="009D3183" w:rsidRPr="00E23016">
        <w:t xml:space="preserve">- </w:t>
      </w:r>
      <w:r w:rsidR="009E1501" w:rsidRPr="00E23016">
        <w:t>carried out using a questionnaire sent to a large number of food production companies</w:t>
      </w:r>
      <w:r w:rsidR="009D3183" w:rsidRPr="00E23016">
        <w:t xml:space="preserve"> -</w:t>
      </w:r>
      <w:r w:rsidR="009E1501" w:rsidRPr="00E23016">
        <w:t xml:space="preserve"> </w:t>
      </w:r>
      <w:r w:rsidR="009D3183" w:rsidRPr="00E23016">
        <w:t>the</w:t>
      </w:r>
      <w:r w:rsidR="009E1501" w:rsidRPr="00E23016">
        <w:t xml:space="preserve"> case</w:t>
      </w:r>
      <w:r w:rsidR="009D3183" w:rsidRPr="00E23016">
        <w:t>-</w:t>
      </w:r>
      <w:r w:rsidR="009E1501" w:rsidRPr="00E23016">
        <w:t>study o</w:t>
      </w:r>
      <w:r w:rsidR="00824AC5" w:rsidRPr="00E23016">
        <w:t>f</w:t>
      </w:r>
      <w:r w:rsidR="009E1501" w:rsidRPr="00E23016">
        <w:t xml:space="preserve"> a single company </w:t>
      </w:r>
      <w:r w:rsidR="00E82D37" w:rsidRPr="00E23016">
        <w:t xml:space="preserve">(a large winery) </w:t>
      </w:r>
      <w:r w:rsidRPr="00E23016">
        <w:t xml:space="preserve">is investigated, </w:t>
      </w:r>
      <w:r w:rsidR="009E1501" w:rsidRPr="00E23016">
        <w:t>in order to verify or refute the conclusions drawn from the questionnaire results</w:t>
      </w:r>
      <w:r w:rsidR="008E283D" w:rsidRPr="00E23016">
        <w:t xml:space="preserve">, which </w:t>
      </w:r>
      <w:r w:rsidR="008E283D" w:rsidRPr="00E23016">
        <w:rPr>
          <w:lang w:val="en-GB"/>
        </w:rPr>
        <w:t>were reworked in aggregate form</w:t>
      </w:r>
      <w:r w:rsidR="009E1501" w:rsidRPr="00E23016">
        <w:t xml:space="preserve">. </w:t>
      </w:r>
      <w:r w:rsidR="007F3093" w:rsidRPr="00E23016">
        <w:rPr>
          <w:lang w:val="en-GB"/>
        </w:rPr>
        <w:t xml:space="preserve">Although the company does not fall within the Seveso domain, it presents various types of significant risks, including those related to the presence of </w:t>
      </w:r>
      <w:r w:rsidR="00AC695B" w:rsidRPr="00E23016">
        <w:rPr>
          <w:lang w:val="en-GB"/>
        </w:rPr>
        <w:t xml:space="preserve">dangerous </w:t>
      </w:r>
      <w:r w:rsidR="007F3093" w:rsidRPr="00E23016">
        <w:rPr>
          <w:lang w:val="en-GB"/>
        </w:rPr>
        <w:t xml:space="preserve">substances for oenological treatments and to human-machine contact (e.g. during the </w:t>
      </w:r>
      <w:r w:rsidR="00576AE0" w:rsidRPr="00E23016">
        <w:rPr>
          <w:lang w:val="en-GB"/>
        </w:rPr>
        <w:t xml:space="preserve">packaging and </w:t>
      </w:r>
      <w:r w:rsidR="007F3093" w:rsidRPr="00E23016">
        <w:rPr>
          <w:lang w:val="en-GB"/>
        </w:rPr>
        <w:t>bottling phase</w:t>
      </w:r>
      <w:r w:rsidR="00576AE0" w:rsidRPr="00E23016">
        <w:rPr>
          <w:lang w:val="en-GB"/>
        </w:rPr>
        <w:t>s</w:t>
      </w:r>
      <w:r w:rsidR="007F3093" w:rsidRPr="00E23016">
        <w:rPr>
          <w:lang w:val="en-GB"/>
        </w:rPr>
        <w:t>)</w:t>
      </w:r>
      <w:r w:rsidR="007258BB" w:rsidRPr="00E23016">
        <w:rPr>
          <w:lang w:val="en-GB"/>
        </w:rPr>
        <w:t xml:space="preserve">, therefore </w:t>
      </w:r>
      <w:r w:rsidR="00613F0F" w:rsidRPr="00E23016">
        <w:rPr>
          <w:lang w:val="en-GB"/>
        </w:rPr>
        <w:t xml:space="preserve">being a representative example of </w:t>
      </w:r>
      <w:r w:rsidR="007258BB" w:rsidRPr="00E23016">
        <w:rPr>
          <w:lang w:val="en-GB"/>
        </w:rPr>
        <w:t xml:space="preserve">food industry hazards </w:t>
      </w:r>
      <w:r w:rsidR="00613F0F" w:rsidRPr="00E23016">
        <w:rPr>
          <w:lang w:val="en-GB"/>
        </w:rPr>
        <w:t xml:space="preserve">as described </w:t>
      </w:r>
      <w:r w:rsidR="007258BB" w:rsidRPr="00E23016">
        <w:rPr>
          <w:lang w:val="en-GB"/>
        </w:rPr>
        <w:t xml:space="preserve">in </w:t>
      </w:r>
      <w:r w:rsidR="00613F0F" w:rsidRPr="00E23016">
        <w:rPr>
          <w:lang w:val="en-GB"/>
        </w:rPr>
        <w:t>other recent s</w:t>
      </w:r>
      <w:r w:rsidR="007258BB" w:rsidRPr="00E23016">
        <w:rPr>
          <w:lang w:val="en-GB"/>
        </w:rPr>
        <w:t>tudies (INAIL, 2024)</w:t>
      </w:r>
      <w:r w:rsidR="007F3093" w:rsidRPr="00E23016">
        <w:rPr>
          <w:lang w:val="en-GB"/>
        </w:rPr>
        <w:t xml:space="preserve">. </w:t>
      </w:r>
      <w:r w:rsidR="00B64E41" w:rsidRPr="00E23016">
        <w:rPr>
          <w:lang w:val="en-GB"/>
        </w:rPr>
        <w:t xml:space="preserve">As already observed by Gajek and Michalik (2013), the fact that the Seveso threshold for quantities of hazardous fluids is not exceeded does not rule out the possibility that serious accidents occur. </w:t>
      </w:r>
      <w:r w:rsidR="001A10B7" w:rsidRPr="00E23016">
        <w:rPr>
          <w:lang w:val="en-GB"/>
        </w:rPr>
        <w:t>The company</w:t>
      </w:r>
      <w:r w:rsidR="007F3093" w:rsidRPr="00E23016">
        <w:rPr>
          <w:lang w:val="en-GB"/>
        </w:rPr>
        <w:t xml:space="preserve"> has activated specific procedures for recordi</w:t>
      </w:r>
      <w:r w:rsidR="00D639A5" w:rsidRPr="00E23016">
        <w:rPr>
          <w:lang w:val="en-GB"/>
        </w:rPr>
        <w:t>n</w:t>
      </w:r>
      <w:r w:rsidR="007F3093" w:rsidRPr="00E23016">
        <w:rPr>
          <w:lang w:val="en-GB"/>
        </w:rPr>
        <w:t>g</w:t>
      </w:r>
      <w:r w:rsidR="00D639A5" w:rsidRPr="00E23016">
        <w:rPr>
          <w:lang w:val="en-GB"/>
        </w:rPr>
        <w:t>, collecting</w:t>
      </w:r>
      <w:r w:rsidR="007F3093" w:rsidRPr="00E23016">
        <w:rPr>
          <w:lang w:val="en-GB"/>
        </w:rPr>
        <w:t xml:space="preserve"> and </w:t>
      </w:r>
      <w:r w:rsidR="00E6341B" w:rsidRPr="00E23016">
        <w:rPr>
          <w:lang w:val="en-GB"/>
        </w:rPr>
        <w:t>analysing</w:t>
      </w:r>
      <w:r w:rsidR="007F3093" w:rsidRPr="00E23016">
        <w:rPr>
          <w:lang w:val="en-GB"/>
        </w:rPr>
        <w:t xml:space="preserve"> accidents as well as near misses</w:t>
      </w:r>
      <w:r w:rsidR="008E283D" w:rsidRPr="00E23016">
        <w:rPr>
          <w:lang w:val="en-GB"/>
        </w:rPr>
        <w:t>, also including actions taken to prevent them and interventions aimed at mitigating their consequences</w:t>
      </w:r>
      <w:r w:rsidR="00E6341B" w:rsidRPr="00E23016">
        <w:rPr>
          <w:lang w:val="en-GB"/>
        </w:rPr>
        <w:t>.</w:t>
      </w:r>
    </w:p>
    <w:p w14:paraId="74E8431D" w14:textId="775FA7B5" w:rsidR="007F3093" w:rsidRPr="00E23016" w:rsidRDefault="00E6341B" w:rsidP="00A7751D">
      <w:pPr>
        <w:pStyle w:val="CETBodytext"/>
        <w:rPr>
          <w:lang w:val="en-GB"/>
        </w:rPr>
      </w:pPr>
      <w:r w:rsidRPr="00E23016">
        <w:rPr>
          <w:lang w:val="en-GB"/>
        </w:rPr>
        <w:t xml:space="preserve">The results of both the questionnaire and the case-study analysis </w:t>
      </w:r>
      <w:r w:rsidR="003F04B2" w:rsidRPr="00E23016">
        <w:rPr>
          <w:lang w:val="en-GB"/>
        </w:rPr>
        <w:t>are</w:t>
      </w:r>
      <w:r w:rsidRPr="00E23016">
        <w:rPr>
          <w:lang w:val="en-GB"/>
        </w:rPr>
        <w:t xml:space="preserve"> reported and commented, to highlight the main anomalies detected (precursors of potential accidents), as well as the related </w:t>
      </w:r>
      <w:r w:rsidR="00736375" w:rsidRPr="00E23016">
        <w:rPr>
          <w:lang w:val="en-GB"/>
        </w:rPr>
        <w:t xml:space="preserve">possible </w:t>
      </w:r>
      <w:r w:rsidRPr="00E23016">
        <w:rPr>
          <w:lang w:val="en-GB"/>
        </w:rPr>
        <w:t xml:space="preserve">causal factors and </w:t>
      </w:r>
      <w:r w:rsidR="003F04B2" w:rsidRPr="00E23016">
        <w:rPr>
          <w:lang w:val="en-GB"/>
        </w:rPr>
        <w:t xml:space="preserve">adopted </w:t>
      </w:r>
      <w:r w:rsidRPr="00E23016">
        <w:rPr>
          <w:lang w:val="en-GB"/>
        </w:rPr>
        <w:t>solutions.</w:t>
      </w:r>
      <w:r w:rsidR="00736375" w:rsidRPr="00E23016">
        <w:t xml:space="preserve"> </w:t>
      </w:r>
      <w:r w:rsidR="00736375" w:rsidRPr="00E23016">
        <w:rPr>
          <w:lang w:val="en-GB"/>
        </w:rPr>
        <w:t xml:space="preserve">Finally, some points for possible further study and improvement are highlighted, </w:t>
      </w:r>
      <w:r w:rsidR="003F04B2" w:rsidRPr="00E23016">
        <w:rPr>
          <w:lang w:val="en-GB"/>
        </w:rPr>
        <w:t xml:space="preserve">with the aim of contributing to </w:t>
      </w:r>
      <w:r w:rsidR="00C90BFB" w:rsidRPr="00E23016">
        <w:rPr>
          <w:lang w:val="en-GB"/>
        </w:rPr>
        <w:t xml:space="preserve">diffusion and conscious use </w:t>
      </w:r>
      <w:r w:rsidR="003F04B2" w:rsidRPr="00E23016">
        <w:rPr>
          <w:lang w:val="en-GB"/>
        </w:rPr>
        <w:t xml:space="preserve">of </w:t>
      </w:r>
      <w:r w:rsidR="00A668C4" w:rsidRPr="00E23016">
        <w:rPr>
          <w:lang w:val="en-GB"/>
        </w:rPr>
        <w:t xml:space="preserve">common methodologies for </w:t>
      </w:r>
      <w:r w:rsidR="003F04B2" w:rsidRPr="00E23016">
        <w:rPr>
          <w:lang w:val="en-GB"/>
        </w:rPr>
        <w:t>near miss</w:t>
      </w:r>
      <w:r w:rsidR="00736375" w:rsidRPr="00E23016">
        <w:rPr>
          <w:lang w:val="en-GB"/>
        </w:rPr>
        <w:t xml:space="preserve"> management and prevention in </w:t>
      </w:r>
      <w:r w:rsidR="003F04B2" w:rsidRPr="00E23016">
        <w:rPr>
          <w:lang w:val="en-GB"/>
        </w:rPr>
        <w:t>the variety of the Italian</w:t>
      </w:r>
      <w:r w:rsidR="00736375" w:rsidRPr="00E23016">
        <w:rPr>
          <w:lang w:val="en-GB"/>
        </w:rPr>
        <w:t xml:space="preserve"> industrial contexts</w:t>
      </w:r>
      <w:r w:rsidR="003F04B2" w:rsidRPr="00E23016">
        <w:rPr>
          <w:lang w:val="en-GB"/>
        </w:rPr>
        <w:t>.</w:t>
      </w:r>
    </w:p>
    <w:p w14:paraId="24604E67" w14:textId="5F4B54D6" w:rsidR="00295AEE" w:rsidRPr="00E23016" w:rsidRDefault="00EA0FA8" w:rsidP="00A7751D">
      <w:pPr>
        <w:pStyle w:val="CETHeading1"/>
        <w:tabs>
          <w:tab w:val="num" w:pos="360"/>
        </w:tabs>
        <w:rPr>
          <w:lang w:val="en-GB"/>
        </w:rPr>
      </w:pPr>
      <w:r w:rsidRPr="00E23016">
        <w:rPr>
          <w:lang w:val="en-GB"/>
        </w:rPr>
        <w:t>The q</w:t>
      </w:r>
      <w:r w:rsidR="004D50EA" w:rsidRPr="00E23016">
        <w:rPr>
          <w:lang w:val="en-GB"/>
        </w:rPr>
        <w:t>uestionnaire</w:t>
      </w:r>
      <w:r w:rsidRPr="00E23016">
        <w:rPr>
          <w:lang w:val="en-GB"/>
        </w:rPr>
        <w:t xml:space="preserve">: </w:t>
      </w:r>
      <w:r w:rsidR="008A4BE2" w:rsidRPr="00E23016">
        <w:rPr>
          <w:lang w:val="en-GB"/>
        </w:rPr>
        <w:t xml:space="preserve">recipients, </w:t>
      </w:r>
      <w:r w:rsidRPr="00E23016">
        <w:rPr>
          <w:lang w:val="en-GB"/>
        </w:rPr>
        <w:t>covered topics</w:t>
      </w:r>
      <w:r w:rsidR="008A4BE2" w:rsidRPr="00E23016">
        <w:rPr>
          <w:lang w:val="en-GB"/>
        </w:rPr>
        <w:t xml:space="preserve">, </w:t>
      </w:r>
      <w:r w:rsidRPr="00E23016">
        <w:rPr>
          <w:lang w:val="en-GB"/>
        </w:rPr>
        <w:t>obtained results</w:t>
      </w:r>
    </w:p>
    <w:p w14:paraId="0701C616" w14:textId="4EBA544A" w:rsidR="008F0FE6" w:rsidRPr="00E23016" w:rsidRDefault="00CD2991" w:rsidP="00A7751D">
      <w:pPr>
        <w:pStyle w:val="CETBodytext"/>
        <w:rPr>
          <w:lang w:val="en-GB"/>
        </w:rPr>
      </w:pPr>
      <w:r w:rsidRPr="00E23016">
        <w:rPr>
          <w:lang w:val="en-GB"/>
        </w:rPr>
        <w:t>The study sample was defined focusing on food and beverage production sector in the Emilia-Romagna market</w:t>
      </w:r>
      <w:r w:rsidR="00AE1BBB" w:rsidRPr="00E23016">
        <w:rPr>
          <w:lang w:val="en-GB"/>
        </w:rPr>
        <w:t xml:space="preserve"> and using </w:t>
      </w:r>
      <w:proofErr w:type="spellStart"/>
      <w:r w:rsidRPr="00E23016">
        <w:rPr>
          <w:lang w:val="en-GB"/>
        </w:rPr>
        <w:t>Kompass</w:t>
      </w:r>
      <w:proofErr w:type="spellEnd"/>
      <w:r w:rsidRPr="00E23016">
        <w:rPr>
          <w:lang w:val="en-GB"/>
        </w:rPr>
        <w:t xml:space="preserve"> platform to identify </w:t>
      </w:r>
      <w:r w:rsidR="00AE1BBB" w:rsidRPr="00E23016">
        <w:rPr>
          <w:lang w:val="en-GB"/>
        </w:rPr>
        <w:t xml:space="preserve">the </w:t>
      </w:r>
      <w:r w:rsidRPr="00E23016">
        <w:rPr>
          <w:lang w:val="en-GB"/>
        </w:rPr>
        <w:t>companies of interest</w:t>
      </w:r>
      <w:r w:rsidR="00AE1BBB" w:rsidRPr="00E23016">
        <w:rPr>
          <w:lang w:val="en-GB"/>
        </w:rPr>
        <w:t xml:space="preserve"> (mainly through their ATECO codes)</w:t>
      </w:r>
      <w:r w:rsidR="00C51E17" w:rsidRPr="00E23016">
        <w:rPr>
          <w:lang w:val="en-GB"/>
        </w:rPr>
        <w:t>.</w:t>
      </w:r>
      <w:r w:rsidR="00575AE2" w:rsidRPr="00E23016">
        <w:rPr>
          <w:lang w:val="en-GB"/>
        </w:rPr>
        <w:t xml:space="preserve"> Food machinery manufacturers</w:t>
      </w:r>
      <w:r w:rsidR="00C51E17" w:rsidRPr="00E23016">
        <w:rPr>
          <w:lang w:val="en-GB"/>
        </w:rPr>
        <w:t xml:space="preserve"> </w:t>
      </w:r>
      <w:r w:rsidR="00575AE2" w:rsidRPr="00E23016">
        <w:rPr>
          <w:lang w:val="en-GB"/>
        </w:rPr>
        <w:t xml:space="preserve">were excluded. </w:t>
      </w:r>
      <w:r w:rsidR="00C51E17" w:rsidRPr="00E23016">
        <w:rPr>
          <w:lang w:val="en-GB"/>
        </w:rPr>
        <w:t xml:space="preserve">A </w:t>
      </w:r>
      <w:r w:rsidR="00AE1BBB" w:rsidRPr="00E23016">
        <w:rPr>
          <w:lang w:val="en-GB"/>
        </w:rPr>
        <w:t>list including a</w:t>
      </w:r>
      <w:r w:rsidRPr="00E23016">
        <w:rPr>
          <w:lang w:val="en-GB"/>
        </w:rPr>
        <w:t>lmost 800 companies</w:t>
      </w:r>
      <w:r w:rsidR="008F0FE6" w:rsidRPr="00E23016">
        <w:rPr>
          <w:lang w:val="en-GB"/>
        </w:rPr>
        <w:t xml:space="preserve"> was obtained</w:t>
      </w:r>
      <w:r w:rsidR="00C51E17" w:rsidRPr="00E23016">
        <w:rPr>
          <w:lang w:val="en-GB"/>
        </w:rPr>
        <w:t xml:space="preserve">; </w:t>
      </w:r>
      <w:r w:rsidR="00D56305" w:rsidRPr="00E23016">
        <w:rPr>
          <w:lang w:val="en-GB"/>
        </w:rPr>
        <w:t>a</w:t>
      </w:r>
      <w:r w:rsidR="00AE1BBB" w:rsidRPr="00E23016">
        <w:rPr>
          <w:lang w:val="en-GB"/>
        </w:rPr>
        <w:t>mong them, 50 answered to the questionnaire</w:t>
      </w:r>
      <w:r w:rsidR="003440AF" w:rsidRPr="00E23016">
        <w:rPr>
          <w:lang w:val="en-GB"/>
        </w:rPr>
        <w:t>, that was sent by email in Summer 2023.</w:t>
      </w:r>
      <w:r w:rsidR="008F0FE6" w:rsidRPr="00E23016">
        <w:rPr>
          <w:lang w:val="en-GB"/>
        </w:rPr>
        <w:t xml:space="preserve"> </w:t>
      </w:r>
    </w:p>
    <w:p w14:paraId="57B21F64" w14:textId="0B00DDB5" w:rsidR="003440AF" w:rsidRPr="00E23016" w:rsidRDefault="00AE1BBB" w:rsidP="00A7751D">
      <w:pPr>
        <w:pStyle w:val="CETBodytext"/>
        <w:rPr>
          <w:lang w:val="en-GB"/>
        </w:rPr>
      </w:pPr>
      <w:r w:rsidRPr="00E23016">
        <w:rPr>
          <w:lang w:val="en-GB"/>
        </w:rPr>
        <w:t>Regarding</w:t>
      </w:r>
      <w:r w:rsidR="00505363" w:rsidRPr="00E23016">
        <w:rPr>
          <w:lang w:val="en-GB"/>
        </w:rPr>
        <w:t xml:space="preserve"> companies that provided information on their size</w:t>
      </w:r>
      <w:r w:rsidR="00D920DB" w:rsidRPr="00E23016">
        <w:rPr>
          <w:lang w:val="en-GB"/>
        </w:rPr>
        <w:t xml:space="preserve"> (30 on the total of 50)</w:t>
      </w:r>
      <w:r w:rsidR="00505363" w:rsidRPr="00E23016">
        <w:rPr>
          <w:lang w:val="en-GB"/>
        </w:rPr>
        <w:t xml:space="preserve">, 23% of </w:t>
      </w:r>
      <w:r w:rsidRPr="00E23016">
        <w:rPr>
          <w:lang w:val="en-GB"/>
        </w:rPr>
        <w:t>them</w:t>
      </w:r>
      <w:r w:rsidR="00505363" w:rsidRPr="00E23016">
        <w:rPr>
          <w:lang w:val="en-GB"/>
        </w:rPr>
        <w:t xml:space="preserve"> </w:t>
      </w:r>
      <w:r w:rsidR="00D86CAE" w:rsidRPr="00E23016">
        <w:rPr>
          <w:lang w:val="en-GB"/>
        </w:rPr>
        <w:t>were</w:t>
      </w:r>
      <w:r w:rsidR="00505363" w:rsidRPr="00E23016">
        <w:rPr>
          <w:lang w:val="en-GB"/>
        </w:rPr>
        <w:t xml:space="preserve"> large </w:t>
      </w:r>
      <w:r w:rsidR="00E31C7D" w:rsidRPr="00E23016">
        <w:rPr>
          <w:lang w:val="en-GB"/>
        </w:rPr>
        <w:t>companies</w:t>
      </w:r>
      <w:r w:rsidR="00505363" w:rsidRPr="00E23016">
        <w:rPr>
          <w:lang w:val="en-GB"/>
        </w:rPr>
        <w:t xml:space="preserve">, 26% </w:t>
      </w:r>
      <w:r w:rsidR="00D86CAE" w:rsidRPr="00E23016">
        <w:rPr>
          <w:lang w:val="en-GB"/>
        </w:rPr>
        <w:t>were</w:t>
      </w:r>
      <w:r w:rsidR="00505363" w:rsidRPr="00E23016">
        <w:rPr>
          <w:lang w:val="en-GB"/>
        </w:rPr>
        <w:t xml:space="preserve"> medium-sized </w:t>
      </w:r>
      <w:r w:rsidR="00E31C7D" w:rsidRPr="00E23016">
        <w:rPr>
          <w:lang w:val="en-GB"/>
        </w:rPr>
        <w:t>companies</w:t>
      </w:r>
      <w:r w:rsidR="00505363" w:rsidRPr="00E23016">
        <w:rPr>
          <w:lang w:val="en-GB"/>
        </w:rPr>
        <w:t xml:space="preserve">, 35% </w:t>
      </w:r>
      <w:r w:rsidR="00D86CAE" w:rsidRPr="00E23016">
        <w:rPr>
          <w:lang w:val="en-GB"/>
        </w:rPr>
        <w:t>were</w:t>
      </w:r>
      <w:r w:rsidR="00505363" w:rsidRPr="00E23016">
        <w:rPr>
          <w:lang w:val="en-GB"/>
        </w:rPr>
        <w:t xml:space="preserve"> small enterprises and 16% </w:t>
      </w:r>
      <w:r w:rsidR="00D86CAE" w:rsidRPr="00E23016">
        <w:rPr>
          <w:lang w:val="en-GB"/>
        </w:rPr>
        <w:t>were</w:t>
      </w:r>
      <w:r w:rsidR="00505363" w:rsidRPr="00E23016">
        <w:rPr>
          <w:lang w:val="en-GB"/>
        </w:rPr>
        <w:t xml:space="preserve"> micro-enterprises</w:t>
      </w:r>
      <w:r w:rsidR="003440AF" w:rsidRPr="00E23016">
        <w:rPr>
          <w:lang w:val="en-GB"/>
        </w:rPr>
        <w:t>. Such company dimensions were defined according to the Italian Decree 18 April 2005</w:t>
      </w:r>
      <w:r w:rsidR="001B1553" w:rsidRPr="00E23016">
        <w:rPr>
          <w:lang w:val="en-GB"/>
        </w:rPr>
        <w:t xml:space="preserve"> “Alignment of the criteria for identifying small and medium-sized enterprises with EU regulations”</w:t>
      </w:r>
      <w:r w:rsidR="007C5D50" w:rsidRPr="00E23016">
        <w:rPr>
          <w:lang w:val="en-GB"/>
        </w:rPr>
        <w:t>, that is:</w:t>
      </w:r>
    </w:p>
    <w:p w14:paraId="071A497C" w14:textId="77777777" w:rsidR="003440AF" w:rsidRPr="00E23016" w:rsidRDefault="003440AF" w:rsidP="00A7751D">
      <w:pPr>
        <w:pStyle w:val="CETBodytext"/>
        <w:rPr>
          <w:lang w:val="en-GB"/>
        </w:rPr>
      </w:pPr>
    </w:p>
    <w:p w14:paraId="676B235B" w14:textId="53B9F029" w:rsidR="003440AF" w:rsidRPr="00E23016" w:rsidRDefault="003440AF" w:rsidP="00A7751D">
      <w:pPr>
        <w:pStyle w:val="CETBodytext"/>
        <w:numPr>
          <w:ilvl w:val="0"/>
          <w:numId w:val="40"/>
        </w:numPr>
        <w:ind w:left="142" w:hanging="142"/>
        <w:rPr>
          <w:lang w:val="en-GB"/>
        </w:rPr>
      </w:pPr>
      <w:r w:rsidRPr="00E23016">
        <w:rPr>
          <w:lang w:val="en-GB"/>
        </w:rPr>
        <w:t>Micro-enterprise: less than 10 employees, Financial Statement not exceeding €2 million</w:t>
      </w:r>
      <w:r w:rsidR="00D56305" w:rsidRPr="00E23016">
        <w:rPr>
          <w:lang w:val="en-GB"/>
        </w:rPr>
        <w:t>.</w:t>
      </w:r>
    </w:p>
    <w:p w14:paraId="143846B5" w14:textId="128694D9" w:rsidR="003440AF" w:rsidRPr="00E23016" w:rsidRDefault="003440AF" w:rsidP="00A7751D">
      <w:pPr>
        <w:pStyle w:val="CETBodytext"/>
        <w:numPr>
          <w:ilvl w:val="0"/>
          <w:numId w:val="40"/>
        </w:numPr>
        <w:ind w:left="142" w:hanging="142"/>
        <w:rPr>
          <w:lang w:val="en-GB"/>
        </w:rPr>
      </w:pPr>
      <w:r w:rsidRPr="00E23016">
        <w:rPr>
          <w:lang w:val="en-GB"/>
        </w:rPr>
        <w:t xml:space="preserve">Small enterprise: less than 50 employees, </w:t>
      </w:r>
      <w:r w:rsidR="00D86CAE" w:rsidRPr="00E23016">
        <w:rPr>
          <w:lang w:val="en-GB"/>
        </w:rPr>
        <w:t>Financial Statement</w:t>
      </w:r>
      <w:r w:rsidRPr="00E23016">
        <w:rPr>
          <w:lang w:val="en-GB"/>
        </w:rPr>
        <w:t xml:space="preserve"> </w:t>
      </w:r>
      <w:r w:rsidR="00F35478" w:rsidRPr="00E23016">
        <w:rPr>
          <w:lang w:val="en-GB"/>
        </w:rPr>
        <w:t>not exceeding</w:t>
      </w:r>
      <w:r w:rsidRPr="00E23016">
        <w:rPr>
          <w:lang w:val="en-GB"/>
        </w:rPr>
        <w:t xml:space="preserve"> €10 million</w:t>
      </w:r>
      <w:r w:rsidR="00D56305" w:rsidRPr="00E23016">
        <w:rPr>
          <w:lang w:val="en-GB"/>
        </w:rPr>
        <w:t>.</w:t>
      </w:r>
    </w:p>
    <w:p w14:paraId="4DFD4FC4" w14:textId="65E4DA5F" w:rsidR="003440AF" w:rsidRPr="00E23016" w:rsidRDefault="003440AF" w:rsidP="00A7751D">
      <w:pPr>
        <w:pStyle w:val="CETBodytext"/>
        <w:numPr>
          <w:ilvl w:val="0"/>
          <w:numId w:val="40"/>
        </w:numPr>
        <w:ind w:left="142" w:hanging="142"/>
        <w:rPr>
          <w:lang w:val="en-GB"/>
        </w:rPr>
      </w:pPr>
      <w:r w:rsidRPr="00E23016">
        <w:rPr>
          <w:lang w:val="en-GB"/>
        </w:rPr>
        <w:t xml:space="preserve">Medium-sized </w:t>
      </w:r>
      <w:r w:rsidR="00E31C7D" w:rsidRPr="00E23016">
        <w:rPr>
          <w:lang w:val="en-GB"/>
        </w:rPr>
        <w:t>company</w:t>
      </w:r>
      <w:r w:rsidRPr="00E23016">
        <w:rPr>
          <w:lang w:val="en-GB"/>
        </w:rPr>
        <w:t xml:space="preserve">: less than 250 employees, </w:t>
      </w:r>
      <w:r w:rsidR="00D86CAE" w:rsidRPr="00E23016">
        <w:rPr>
          <w:lang w:val="en-GB"/>
        </w:rPr>
        <w:t>Financial Statement</w:t>
      </w:r>
      <w:r w:rsidRPr="00E23016">
        <w:rPr>
          <w:lang w:val="en-GB"/>
        </w:rPr>
        <w:t xml:space="preserve"> </w:t>
      </w:r>
      <w:r w:rsidR="00F35478" w:rsidRPr="00E23016">
        <w:rPr>
          <w:lang w:val="en-GB"/>
        </w:rPr>
        <w:t xml:space="preserve">not exceeding </w:t>
      </w:r>
      <w:r w:rsidRPr="00E23016">
        <w:rPr>
          <w:lang w:val="en-GB"/>
        </w:rPr>
        <w:t>€50 million</w:t>
      </w:r>
      <w:r w:rsidR="00D56305" w:rsidRPr="00E23016">
        <w:rPr>
          <w:lang w:val="en-GB"/>
        </w:rPr>
        <w:t>.</w:t>
      </w:r>
    </w:p>
    <w:p w14:paraId="09E9ED05" w14:textId="20979CEA" w:rsidR="003440AF" w:rsidRPr="00E23016" w:rsidRDefault="003440AF" w:rsidP="00A7751D">
      <w:pPr>
        <w:pStyle w:val="CETBodytext"/>
        <w:numPr>
          <w:ilvl w:val="0"/>
          <w:numId w:val="40"/>
        </w:numPr>
        <w:ind w:left="142" w:hanging="142"/>
        <w:rPr>
          <w:lang w:val="en-GB"/>
        </w:rPr>
      </w:pPr>
      <w:r w:rsidRPr="00E23016">
        <w:rPr>
          <w:lang w:val="en-GB"/>
        </w:rPr>
        <w:t xml:space="preserve">Large </w:t>
      </w:r>
      <w:r w:rsidR="00E31C7D" w:rsidRPr="00E23016">
        <w:rPr>
          <w:lang w:val="en-GB"/>
        </w:rPr>
        <w:t>company</w:t>
      </w:r>
      <w:r w:rsidRPr="00E23016">
        <w:rPr>
          <w:lang w:val="en-GB"/>
        </w:rPr>
        <w:t xml:space="preserve">: more than 250 employees, </w:t>
      </w:r>
      <w:r w:rsidR="004A0E00" w:rsidRPr="00E23016">
        <w:rPr>
          <w:lang w:val="en-GB"/>
        </w:rPr>
        <w:t>Financial Statement</w:t>
      </w:r>
      <w:r w:rsidRPr="00E23016">
        <w:rPr>
          <w:lang w:val="en-GB"/>
        </w:rPr>
        <w:t xml:space="preserve"> exceeding €50 million.</w:t>
      </w:r>
    </w:p>
    <w:p w14:paraId="493BC721" w14:textId="6E3691FC" w:rsidR="00505363" w:rsidRPr="00E23016" w:rsidRDefault="00505363" w:rsidP="00A7751D">
      <w:pPr>
        <w:pStyle w:val="CETBodytext"/>
        <w:rPr>
          <w:lang w:val="en-GB"/>
        </w:rPr>
      </w:pPr>
    </w:p>
    <w:p w14:paraId="4FFA2D7B" w14:textId="0C307AE6" w:rsidR="004149A9" w:rsidRPr="00E23016" w:rsidRDefault="003440AF" w:rsidP="00A7751D">
      <w:pPr>
        <w:pStyle w:val="CETBodytext"/>
        <w:rPr>
          <w:lang w:val="en-GB"/>
        </w:rPr>
      </w:pPr>
      <w:r w:rsidRPr="00E23016">
        <w:rPr>
          <w:lang w:val="en-GB"/>
        </w:rPr>
        <w:t>A</w:t>
      </w:r>
      <w:r w:rsidR="00CD2991" w:rsidRPr="00E23016">
        <w:rPr>
          <w:lang w:val="en-GB"/>
        </w:rPr>
        <w:t xml:space="preserve"> comprehensive set of sixteen questions</w:t>
      </w:r>
      <w:r w:rsidRPr="00E23016">
        <w:rPr>
          <w:lang w:val="en-GB"/>
        </w:rPr>
        <w:t xml:space="preserve"> was developed</w:t>
      </w:r>
      <w:r w:rsidR="00CD2991" w:rsidRPr="00E23016">
        <w:rPr>
          <w:lang w:val="en-GB"/>
        </w:rPr>
        <w:t xml:space="preserve">, including </w:t>
      </w:r>
      <w:r w:rsidR="007C5D50" w:rsidRPr="00E23016">
        <w:rPr>
          <w:lang w:val="en-GB"/>
        </w:rPr>
        <w:t xml:space="preserve">both </w:t>
      </w:r>
      <w:r w:rsidR="00CD2991" w:rsidRPr="00E23016">
        <w:rPr>
          <w:lang w:val="en-GB"/>
        </w:rPr>
        <w:t>open-ended questions</w:t>
      </w:r>
      <w:r w:rsidR="007C5D50" w:rsidRPr="00E23016">
        <w:rPr>
          <w:lang w:val="en-GB"/>
        </w:rPr>
        <w:t xml:space="preserve"> and</w:t>
      </w:r>
      <w:r w:rsidR="00CD2991" w:rsidRPr="00E23016">
        <w:rPr>
          <w:lang w:val="en-GB"/>
        </w:rPr>
        <w:t xml:space="preserve"> multiple-choice questions, organized in two main sections</w:t>
      </w:r>
      <w:r w:rsidR="004A0E00" w:rsidRPr="00E23016">
        <w:rPr>
          <w:lang w:val="en-GB"/>
        </w:rPr>
        <w:t>:</w:t>
      </w:r>
      <w:r w:rsidR="00877384" w:rsidRPr="00E23016">
        <w:rPr>
          <w:lang w:val="en-GB"/>
        </w:rPr>
        <w:t xml:space="preserve"> the first one</w:t>
      </w:r>
      <w:r w:rsidR="00FC34CA" w:rsidRPr="00E23016">
        <w:rPr>
          <w:lang w:val="en-GB"/>
        </w:rPr>
        <w:t xml:space="preserve"> </w:t>
      </w:r>
      <w:r w:rsidR="004A0E00" w:rsidRPr="00E23016">
        <w:rPr>
          <w:lang w:val="en-GB"/>
        </w:rPr>
        <w:t>required</w:t>
      </w:r>
      <w:r w:rsidR="00FC34CA" w:rsidRPr="00E23016">
        <w:rPr>
          <w:lang w:val="en-GB"/>
        </w:rPr>
        <w:t xml:space="preserve"> general data </w:t>
      </w:r>
      <w:r w:rsidR="005D6503" w:rsidRPr="00E23016">
        <w:rPr>
          <w:lang w:val="en-GB"/>
        </w:rPr>
        <w:t>(</w:t>
      </w:r>
      <w:r w:rsidR="004A0E00" w:rsidRPr="00E23016">
        <w:rPr>
          <w:lang w:val="en-GB"/>
        </w:rPr>
        <w:t xml:space="preserve">company </w:t>
      </w:r>
      <w:r w:rsidR="005D6503" w:rsidRPr="00E23016">
        <w:rPr>
          <w:lang w:val="en-GB"/>
        </w:rPr>
        <w:t xml:space="preserve">location, dimension, etc.) </w:t>
      </w:r>
      <w:r w:rsidR="00FC34CA" w:rsidRPr="00E23016">
        <w:rPr>
          <w:lang w:val="en-GB"/>
        </w:rPr>
        <w:t xml:space="preserve">and </w:t>
      </w:r>
      <w:r w:rsidR="00877384" w:rsidRPr="00E23016">
        <w:rPr>
          <w:lang w:val="en-GB"/>
        </w:rPr>
        <w:t xml:space="preserve">the second one </w:t>
      </w:r>
      <w:r w:rsidR="004A0E00" w:rsidRPr="00E23016">
        <w:rPr>
          <w:lang w:val="en-GB"/>
        </w:rPr>
        <w:t>required information about</w:t>
      </w:r>
      <w:r w:rsidRPr="00E23016">
        <w:rPr>
          <w:lang w:val="en-GB"/>
        </w:rPr>
        <w:t xml:space="preserve"> management</w:t>
      </w:r>
      <w:r w:rsidR="00FC34CA" w:rsidRPr="00E23016">
        <w:rPr>
          <w:lang w:val="en-GB"/>
        </w:rPr>
        <w:t xml:space="preserve"> </w:t>
      </w:r>
      <w:r w:rsidRPr="00E23016">
        <w:rPr>
          <w:lang w:val="en-GB"/>
        </w:rPr>
        <w:t xml:space="preserve">of </w:t>
      </w:r>
      <w:r w:rsidR="00FC34CA" w:rsidRPr="00E23016">
        <w:rPr>
          <w:lang w:val="en-GB"/>
        </w:rPr>
        <w:t>accidents and near misses.</w:t>
      </w:r>
      <w:r w:rsidR="005D6503" w:rsidRPr="00E23016">
        <w:rPr>
          <w:lang w:val="en-GB"/>
        </w:rPr>
        <w:t xml:space="preserve"> </w:t>
      </w:r>
    </w:p>
    <w:p w14:paraId="38DF28F1" w14:textId="1F90EC31" w:rsidR="001C5EED" w:rsidRPr="00E23016" w:rsidRDefault="00667BFA" w:rsidP="00A7751D">
      <w:pPr>
        <w:pStyle w:val="CETBodytext"/>
        <w:rPr>
          <w:lang w:val="en-GB"/>
        </w:rPr>
      </w:pPr>
      <w:r w:rsidRPr="00E23016">
        <w:rPr>
          <w:lang w:val="en-GB"/>
        </w:rPr>
        <w:t xml:space="preserve">Almost 40% of participants stated that a definition of “near miss” </w:t>
      </w:r>
      <w:r w:rsidR="004A0E00" w:rsidRPr="00E23016">
        <w:rPr>
          <w:lang w:val="en-GB"/>
        </w:rPr>
        <w:t xml:space="preserve">did exist </w:t>
      </w:r>
      <w:r w:rsidRPr="00E23016">
        <w:rPr>
          <w:lang w:val="en-GB"/>
        </w:rPr>
        <w:t>within the company, but different answer</w:t>
      </w:r>
      <w:r w:rsidR="0004173C" w:rsidRPr="00E23016">
        <w:rPr>
          <w:lang w:val="en-GB"/>
        </w:rPr>
        <w:t>s</w:t>
      </w:r>
      <w:r w:rsidRPr="00E23016">
        <w:rPr>
          <w:lang w:val="en-GB"/>
        </w:rPr>
        <w:t xml:space="preserve"> were given, that is: (</w:t>
      </w:r>
      <w:proofErr w:type="spellStart"/>
      <w:r w:rsidRPr="00E23016">
        <w:rPr>
          <w:lang w:val="en-GB"/>
        </w:rPr>
        <w:t>i</w:t>
      </w:r>
      <w:proofErr w:type="spellEnd"/>
      <w:r w:rsidRPr="00E23016">
        <w:rPr>
          <w:lang w:val="en-GB"/>
        </w:rPr>
        <w:t xml:space="preserve">) </w:t>
      </w:r>
      <w:r w:rsidR="007260B2" w:rsidRPr="00E23016">
        <w:rPr>
          <w:lang w:val="en-GB"/>
        </w:rPr>
        <w:t>an accident/event that did not result in injury</w:t>
      </w:r>
      <w:r w:rsidRPr="00E23016">
        <w:rPr>
          <w:lang w:val="en-GB"/>
        </w:rPr>
        <w:t>,</w:t>
      </w:r>
      <w:r w:rsidR="007260B2" w:rsidRPr="00E23016">
        <w:rPr>
          <w:lang w:val="en-GB"/>
        </w:rPr>
        <w:t xml:space="preserve"> </w:t>
      </w:r>
      <w:r w:rsidRPr="00E23016">
        <w:rPr>
          <w:lang w:val="en-GB"/>
        </w:rPr>
        <w:t xml:space="preserve">(ii) </w:t>
      </w:r>
      <w:r w:rsidR="007260B2" w:rsidRPr="00E23016">
        <w:rPr>
          <w:lang w:val="en-GB"/>
        </w:rPr>
        <w:t xml:space="preserve">a potentially dangerous situation </w:t>
      </w:r>
      <w:r w:rsidR="007260B2" w:rsidRPr="00E23016">
        <w:rPr>
          <w:lang w:val="en-GB"/>
        </w:rPr>
        <w:lastRenderedPageBreak/>
        <w:t>that, for fortuitous reasons, did not cause damage</w:t>
      </w:r>
      <w:r w:rsidRPr="00E23016">
        <w:rPr>
          <w:lang w:val="en-GB"/>
        </w:rPr>
        <w:t>, (iii)</w:t>
      </w:r>
      <w:r w:rsidR="007260B2" w:rsidRPr="00E23016">
        <w:rPr>
          <w:lang w:val="en-GB"/>
        </w:rPr>
        <w:t xml:space="preserve"> a precursor </w:t>
      </w:r>
      <w:r w:rsidRPr="00E23016">
        <w:rPr>
          <w:lang w:val="en-GB"/>
        </w:rPr>
        <w:t>of</w:t>
      </w:r>
      <w:r w:rsidR="007260B2" w:rsidRPr="00E23016">
        <w:rPr>
          <w:lang w:val="en-GB"/>
        </w:rPr>
        <w:t xml:space="preserve"> an accident or</w:t>
      </w:r>
      <w:r w:rsidRPr="00E23016">
        <w:rPr>
          <w:lang w:val="en-GB"/>
        </w:rPr>
        <w:t xml:space="preserve"> (iv) something to be managed exactly as an accident. Previous studies report</w:t>
      </w:r>
      <w:r w:rsidR="004A0E00" w:rsidRPr="00E23016">
        <w:rPr>
          <w:lang w:val="en-GB"/>
        </w:rPr>
        <w:t>ed</w:t>
      </w:r>
      <w:r w:rsidRPr="00E23016">
        <w:rPr>
          <w:lang w:val="en-GB"/>
        </w:rPr>
        <w:t xml:space="preserve"> that a near miss can be really defined as an accident that does not cause injury or illness but has the potential to do that</w:t>
      </w:r>
      <w:r w:rsidR="00B1353E" w:rsidRPr="00E23016">
        <w:rPr>
          <w:lang w:val="en-GB"/>
        </w:rPr>
        <w:t xml:space="preserve"> [INAIL, 2025]</w:t>
      </w:r>
      <w:r w:rsidRPr="00E23016">
        <w:rPr>
          <w:lang w:val="en-GB"/>
        </w:rPr>
        <w:t xml:space="preserve">. </w:t>
      </w:r>
      <w:r w:rsidR="00A4248A" w:rsidRPr="00E23016">
        <w:rPr>
          <w:lang w:val="en-GB"/>
        </w:rPr>
        <w:t xml:space="preserve">In </w:t>
      </w:r>
      <w:r w:rsidR="004A0E00" w:rsidRPr="00E23016">
        <w:rPr>
          <w:lang w:val="en-GB"/>
        </w:rPr>
        <w:t>addition</w:t>
      </w:r>
      <w:r w:rsidR="00A4248A" w:rsidRPr="00E23016">
        <w:rPr>
          <w:lang w:val="en-GB"/>
        </w:rPr>
        <w:t>, 38</w:t>
      </w:r>
      <w:r w:rsidR="001C5EED" w:rsidRPr="00E23016">
        <w:rPr>
          <w:lang w:val="en-GB"/>
        </w:rPr>
        <w:t>% of the companies also declare</w:t>
      </w:r>
      <w:r w:rsidR="00E7305F" w:rsidRPr="00E23016">
        <w:rPr>
          <w:lang w:val="en-GB"/>
        </w:rPr>
        <w:t>d</w:t>
      </w:r>
      <w:r w:rsidR="001C5EED" w:rsidRPr="00E23016">
        <w:rPr>
          <w:lang w:val="en-GB"/>
        </w:rPr>
        <w:t xml:space="preserve"> to have adopted a </w:t>
      </w:r>
      <w:r w:rsidR="00E7305F" w:rsidRPr="00E23016">
        <w:rPr>
          <w:lang w:val="en-GB"/>
        </w:rPr>
        <w:t xml:space="preserve">real </w:t>
      </w:r>
      <w:r w:rsidR="001F6712" w:rsidRPr="00E23016">
        <w:rPr>
          <w:lang w:val="en-GB"/>
        </w:rPr>
        <w:t>N</w:t>
      </w:r>
      <w:r w:rsidR="001C5EED" w:rsidRPr="00E23016">
        <w:rPr>
          <w:lang w:val="en-GB"/>
        </w:rPr>
        <w:t>ear-</w:t>
      </w:r>
      <w:r w:rsidR="001F6712" w:rsidRPr="00E23016">
        <w:rPr>
          <w:lang w:val="en-GB"/>
        </w:rPr>
        <w:t>M</w:t>
      </w:r>
      <w:r w:rsidR="001C5EED" w:rsidRPr="00E23016">
        <w:rPr>
          <w:lang w:val="en-GB"/>
        </w:rPr>
        <w:t xml:space="preserve">iss </w:t>
      </w:r>
      <w:r w:rsidR="001F6712" w:rsidRPr="00E23016">
        <w:rPr>
          <w:lang w:val="en-GB"/>
        </w:rPr>
        <w:t>M</w:t>
      </w:r>
      <w:r w:rsidR="001C5EED" w:rsidRPr="00E23016">
        <w:rPr>
          <w:lang w:val="en-GB"/>
        </w:rPr>
        <w:t xml:space="preserve">anagement </w:t>
      </w:r>
      <w:r w:rsidR="001F6712" w:rsidRPr="00E23016">
        <w:rPr>
          <w:lang w:val="en-GB"/>
        </w:rPr>
        <w:t>S</w:t>
      </w:r>
      <w:r w:rsidR="001C5EED" w:rsidRPr="00E23016">
        <w:rPr>
          <w:lang w:val="en-GB"/>
        </w:rPr>
        <w:t>ystem.</w:t>
      </w:r>
    </w:p>
    <w:p w14:paraId="28A422FA" w14:textId="15C1E82C" w:rsidR="007260B2" w:rsidRPr="00E23016" w:rsidRDefault="004A0E00" w:rsidP="00A7751D">
      <w:pPr>
        <w:pStyle w:val="CETBodytext"/>
        <w:rPr>
          <w:lang w:val="en-GB"/>
        </w:rPr>
      </w:pPr>
      <w:r w:rsidRPr="00E23016">
        <w:rPr>
          <w:lang w:val="en-GB"/>
        </w:rPr>
        <w:t>Near</w:t>
      </w:r>
      <w:r w:rsidR="00667BFA" w:rsidRPr="00E23016">
        <w:rPr>
          <w:lang w:val="en-GB"/>
        </w:rPr>
        <w:t xml:space="preserve"> misses can be </w:t>
      </w:r>
      <w:r w:rsidRPr="00E23016">
        <w:rPr>
          <w:lang w:val="en-GB"/>
        </w:rPr>
        <w:t>generally related</w:t>
      </w:r>
      <w:r w:rsidR="00667BFA" w:rsidRPr="00E23016">
        <w:rPr>
          <w:lang w:val="en-GB"/>
        </w:rPr>
        <w:t xml:space="preserve"> to anomalies</w:t>
      </w:r>
      <w:r w:rsidR="001C5EED" w:rsidRPr="00E23016">
        <w:rPr>
          <w:lang w:val="en-GB"/>
        </w:rPr>
        <w:t>/</w:t>
      </w:r>
      <w:r w:rsidR="00667BFA" w:rsidRPr="00E23016">
        <w:rPr>
          <w:lang w:val="en-GB"/>
        </w:rPr>
        <w:t xml:space="preserve">non-conformities, </w:t>
      </w:r>
      <w:r w:rsidR="000926FB" w:rsidRPr="00E23016">
        <w:rPr>
          <w:lang w:val="en-GB"/>
        </w:rPr>
        <w:t>that is</w:t>
      </w:r>
      <w:r w:rsidR="00667BFA" w:rsidRPr="00E23016">
        <w:rPr>
          <w:lang w:val="en-GB"/>
        </w:rPr>
        <w:t xml:space="preserve"> </w:t>
      </w:r>
      <w:r w:rsidR="00414E8C" w:rsidRPr="00E23016">
        <w:rPr>
          <w:lang w:val="en-GB"/>
        </w:rPr>
        <w:t>hazardous situations that do not result in any accident/injury but are detectable in operating procedures, equipment, etc.</w:t>
      </w:r>
      <w:r w:rsidR="001C5EED" w:rsidRPr="00E23016">
        <w:rPr>
          <w:lang w:val="en-GB"/>
        </w:rPr>
        <w:t xml:space="preserve"> P</w:t>
      </w:r>
      <w:r w:rsidR="007260B2" w:rsidRPr="00E23016">
        <w:rPr>
          <w:lang w:val="en-GB"/>
        </w:rPr>
        <w:t xml:space="preserve">otentially critical situations that occurred in the last decade </w:t>
      </w:r>
      <w:r w:rsidR="00964CD5" w:rsidRPr="00E23016">
        <w:rPr>
          <w:lang w:val="en-GB"/>
        </w:rPr>
        <w:t xml:space="preserve">are shown and </w:t>
      </w:r>
      <w:r w:rsidR="000926FB" w:rsidRPr="00E23016">
        <w:rPr>
          <w:lang w:val="en-GB"/>
        </w:rPr>
        <w:t>listed</w:t>
      </w:r>
      <w:r w:rsidR="00964CD5" w:rsidRPr="00E23016">
        <w:rPr>
          <w:lang w:val="en-GB"/>
        </w:rPr>
        <w:t xml:space="preserve"> in </w:t>
      </w:r>
      <w:r w:rsidR="007260B2" w:rsidRPr="00E23016">
        <w:rPr>
          <w:lang w:val="en-GB"/>
        </w:rPr>
        <w:t>Figure 1</w:t>
      </w:r>
      <w:r w:rsidR="00D920DB" w:rsidRPr="00E23016">
        <w:rPr>
          <w:lang w:val="en-GB"/>
        </w:rPr>
        <w:t xml:space="preserve"> for different company dimensions</w:t>
      </w:r>
      <w:r w:rsidR="007260B2" w:rsidRPr="00E23016">
        <w:rPr>
          <w:lang w:val="en-GB"/>
        </w:rPr>
        <w:t>.</w:t>
      </w:r>
    </w:p>
    <w:p w14:paraId="713D6B71" w14:textId="77777777" w:rsidR="006568B2" w:rsidRPr="00E23016" w:rsidRDefault="006568B2" w:rsidP="00A7751D">
      <w:pPr>
        <w:pStyle w:val="CETBodytext"/>
        <w:jc w:val="left"/>
        <w:rPr>
          <w:rFonts w:eastAsiaTheme="minorHAnsi" w:cs="Arial"/>
          <w:szCs w:val="18"/>
        </w:rPr>
      </w:pPr>
      <w:r w:rsidRPr="00E23016">
        <w:rPr>
          <w:rFonts w:eastAsiaTheme="minorHAnsi" w:cs="Arial"/>
          <w:noProof/>
          <w:szCs w:val="18"/>
        </w:rPr>
        <w:drawing>
          <wp:inline distT="0" distB="0" distL="0" distR="0" wp14:anchorId="73C86674" wp14:editId="6CE596AF">
            <wp:extent cx="5399216" cy="3455043"/>
            <wp:effectExtent l="0" t="0" r="0" b="0"/>
            <wp:docPr id="2073990352" name="Immagine 3" descr="Immagine che contiene testo, schermat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90352" name="Immagine 3" descr="Immagine che contiene testo, schermata, diagramma, Parallelo&#10;&#10;Il contenuto generato dall'IA potrebbe non essere corretto."/>
                    <pic:cNvPicPr>
                      <a:picLocks noChangeAspect="1" noChangeArrowheads="1"/>
                    </pic:cNvPicPr>
                  </pic:nvPicPr>
                  <pic:blipFill rotWithShape="1">
                    <a:blip r:embed="rId10">
                      <a:extLst>
                        <a:ext uri="{28A0092B-C50C-407E-A947-70E740481C1C}">
                          <a14:useLocalDpi xmlns:a14="http://schemas.microsoft.com/office/drawing/2010/main" val="0"/>
                        </a:ext>
                      </a:extLst>
                    </a:blip>
                    <a:srcRect t="3373" b="12723"/>
                    <a:stretch>
                      <a:fillRect/>
                    </a:stretch>
                  </pic:blipFill>
                  <pic:spPr bwMode="auto">
                    <a:xfrm>
                      <a:off x="0" y="0"/>
                      <a:ext cx="5400000" cy="3455545"/>
                    </a:xfrm>
                    <a:prstGeom prst="rect">
                      <a:avLst/>
                    </a:prstGeom>
                    <a:noFill/>
                    <a:ln>
                      <a:noFill/>
                    </a:ln>
                    <a:extLst>
                      <a:ext uri="{53640926-AAD7-44D8-BBD7-CCE9431645EC}">
                        <a14:shadowObscured xmlns:a14="http://schemas.microsoft.com/office/drawing/2010/main"/>
                      </a:ext>
                    </a:extLst>
                  </pic:spPr>
                </pic:pic>
              </a:graphicData>
            </a:graphic>
          </wp:inline>
        </w:drawing>
      </w:r>
    </w:p>
    <w:p w14:paraId="5C4FCEED" w14:textId="77777777" w:rsidR="006568B2" w:rsidRPr="00E23016" w:rsidRDefault="006568B2" w:rsidP="00A7751D">
      <w:pPr>
        <w:pStyle w:val="CETCaption"/>
        <w:jc w:val="left"/>
        <w:rPr>
          <w:rStyle w:val="CETCaptionCarattere"/>
        </w:rPr>
      </w:pPr>
      <w:r w:rsidRPr="00E23016">
        <w:rPr>
          <w:rStyle w:val="CETCaptionCarattere"/>
          <w:i/>
        </w:rPr>
        <w:t>Figure 1: Distribution of observed anomalies related to near misses on companies with different dimensions</w:t>
      </w:r>
    </w:p>
    <w:p w14:paraId="002E172A" w14:textId="2ED75BE5" w:rsidR="006F1559" w:rsidRPr="00E23016" w:rsidRDefault="001E47FF" w:rsidP="00A7751D">
      <w:pPr>
        <w:pStyle w:val="CETBodytext"/>
        <w:rPr>
          <w:lang w:val="en-GB"/>
        </w:rPr>
      </w:pPr>
      <w:r w:rsidRPr="00E23016">
        <w:rPr>
          <w:lang w:val="en-GB"/>
        </w:rPr>
        <w:t xml:space="preserve">Human errors (failure to use or incorrect use of PPE, inappropriate behaviour, failure to comply with established procedures, overconfidence, misjudgement, underestimation of risk, incorrect setting of process parameters, lack of attention) are the most observed </w:t>
      </w:r>
      <w:r w:rsidR="0041040D" w:rsidRPr="00E23016">
        <w:rPr>
          <w:rFonts w:eastAsiaTheme="minorHAnsi" w:cs="Arial"/>
          <w:szCs w:val="18"/>
          <w:lang w:val="en-GB"/>
        </w:rPr>
        <w:t>fo</w:t>
      </w:r>
      <w:r w:rsidR="006F1559" w:rsidRPr="00E23016">
        <w:rPr>
          <w:rFonts w:eastAsiaTheme="minorHAnsi" w:cs="Arial"/>
          <w:szCs w:val="18"/>
          <w:lang w:val="en-GB"/>
        </w:rPr>
        <w:t>r</w:t>
      </w:r>
      <w:r w:rsidR="0041040D" w:rsidRPr="00E23016">
        <w:rPr>
          <w:rFonts w:eastAsiaTheme="minorHAnsi" w:cs="Arial"/>
          <w:szCs w:val="18"/>
          <w:lang w:val="en-GB"/>
        </w:rPr>
        <w:t xml:space="preserve"> each</w:t>
      </w:r>
      <w:r w:rsidRPr="00E23016">
        <w:rPr>
          <w:rFonts w:eastAsiaTheme="minorHAnsi" w:cs="Arial"/>
          <w:szCs w:val="18"/>
          <w:lang w:val="en-GB"/>
        </w:rPr>
        <w:t xml:space="preserve"> company dimension</w:t>
      </w:r>
      <w:r w:rsidRPr="00E23016">
        <w:rPr>
          <w:lang w:val="en-GB"/>
        </w:rPr>
        <w:t>.</w:t>
      </w:r>
      <w:r w:rsidR="006F1559" w:rsidRPr="00E23016">
        <w:rPr>
          <w:lang w:val="en-GB"/>
        </w:rPr>
        <w:t xml:space="preserve"> The human factor appears to be very significant for safety, as generally observed even in other industrial fields, since it significantly influences reliability (Di Nardo and Murino, 2021).</w:t>
      </w:r>
    </w:p>
    <w:p w14:paraId="6E909B88" w14:textId="0A392331" w:rsidR="007260B2" w:rsidRPr="00E23016" w:rsidRDefault="0004173C" w:rsidP="00A7751D">
      <w:pPr>
        <w:pStyle w:val="CETBodytext"/>
        <w:rPr>
          <w:lang w:val="en-GB"/>
        </w:rPr>
      </w:pPr>
      <w:r w:rsidRPr="00E23016">
        <w:rPr>
          <w:lang w:val="en-GB"/>
        </w:rPr>
        <w:t>Large</w:t>
      </w:r>
      <w:r w:rsidR="006F1559" w:rsidRPr="00E23016">
        <w:rPr>
          <w:lang w:val="en-GB"/>
        </w:rPr>
        <w:t xml:space="preserve"> companies seem to recognize </w:t>
      </w:r>
      <w:r w:rsidR="00E31C7D" w:rsidRPr="00E23016">
        <w:rPr>
          <w:lang w:val="en-GB"/>
        </w:rPr>
        <w:t xml:space="preserve">a </w:t>
      </w:r>
      <w:r w:rsidRPr="00E23016">
        <w:rPr>
          <w:lang w:val="en-GB"/>
        </w:rPr>
        <w:t>broader spectrum</w:t>
      </w:r>
      <w:r w:rsidR="006F1559" w:rsidRPr="00E23016">
        <w:rPr>
          <w:lang w:val="en-GB"/>
        </w:rPr>
        <w:t xml:space="preserve"> of anomalies</w:t>
      </w:r>
      <w:r w:rsidR="004A0E00" w:rsidRPr="00E23016">
        <w:rPr>
          <w:lang w:val="en-GB"/>
        </w:rPr>
        <w:t>;</w:t>
      </w:r>
      <w:r w:rsidR="006F1559" w:rsidRPr="00E23016">
        <w:rPr>
          <w:lang w:val="en-GB"/>
        </w:rPr>
        <w:t xml:space="preserve"> </w:t>
      </w:r>
      <w:r w:rsidR="004A0E00" w:rsidRPr="00E23016">
        <w:rPr>
          <w:lang w:val="en-GB"/>
        </w:rPr>
        <w:t>this number decreases</w:t>
      </w:r>
      <w:r w:rsidR="006F1559" w:rsidRPr="00E23016">
        <w:rPr>
          <w:lang w:val="en-GB"/>
        </w:rPr>
        <w:t xml:space="preserve"> when the comp</w:t>
      </w:r>
      <w:r w:rsidR="00E31C7D" w:rsidRPr="00E23016">
        <w:rPr>
          <w:lang w:val="en-GB"/>
        </w:rPr>
        <w:t>a</w:t>
      </w:r>
      <w:r w:rsidR="006F1559" w:rsidRPr="00E23016">
        <w:rPr>
          <w:lang w:val="en-GB"/>
        </w:rPr>
        <w:t>ny dimension decrease</w:t>
      </w:r>
      <w:r w:rsidR="00E31C7D" w:rsidRPr="00E23016">
        <w:rPr>
          <w:lang w:val="en-GB"/>
        </w:rPr>
        <w:t>s</w:t>
      </w:r>
      <w:r w:rsidR="006F1559" w:rsidRPr="00E23016">
        <w:rPr>
          <w:lang w:val="en-GB"/>
        </w:rPr>
        <w:t xml:space="preserve">, down to the case of micro-enterprises, which </w:t>
      </w:r>
      <w:r w:rsidRPr="00E23016">
        <w:rPr>
          <w:lang w:val="en-GB"/>
        </w:rPr>
        <w:t xml:space="preserve">only </w:t>
      </w:r>
      <w:r w:rsidR="0049229B" w:rsidRPr="00E23016">
        <w:rPr>
          <w:lang w:val="en-GB"/>
        </w:rPr>
        <w:t>present</w:t>
      </w:r>
      <w:r w:rsidR="006F1559" w:rsidRPr="00E23016">
        <w:rPr>
          <w:lang w:val="en-GB"/>
        </w:rPr>
        <w:t xml:space="preserve"> human errors, critical components with excessive wear/damage or breakage/malfunctions of machinery (technical problems) and communication errors between operators or between the various management levels of the company.</w:t>
      </w:r>
      <w:r w:rsidR="00E31C7D" w:rsidRPr="00E23016">
        <w:rPr>
          <w:lang w:val="en-GB"/>
        </w:rPr>
        <w:t xml:space="preserve"> </w:t>
      </w:r>
      <w:r w:rsidR="001C5EED" w:rsidRPr="00E23016">
        <w:rPr>
          <w:lang w:val="en-GB"/>
        </w:rPr>
        <w:t>In l</w:t>
      </w:r>
      <w:r w:rsidR="00E31C7D" w:rsidRPr="00E23016">
        <w:rPr>
          <w:lang w:val="en-GB"/>
        </w:rPr>
        <w:t>arge and medium-sized companies</w:t>
      </w:r>
      <w:r w:rsidR="001C5EED" w:rsidRPr="00E23016">
        <w:rPr>
          <w:lang w:val="en-GB"/>
        </w:rPr>
        <w:t xml:space="preserve">, non-compliances of machinery and equipment with the various Product Directives (e.g. Machinery Directive) </w:t>
      </w:r>
      <w:r w:rsidR="004A0E00" w:rsidRPr="00E23016">
        <w:rPr>
          <w:lang w:val="en-GB"/>
        </w:rPr>
        <w:t>are</w:t>
      </w:r>
      <w:r w:rsidR="001C5EED" w:rsidRPr="00E23016">
        <w:rPr>
          <w:lang w:val="en-GB"/>
        </w:rPr>
        <w:t xml:space="preserve"> also shown. Other observable anomalies are m</w:t>
      </w:r>
      <w:r w:rsidR="007260B2" w:rsidRPr="00E23016">
        <w:rPr>
          <w:lang w:val="en-GB"/>
        </w:rPr>
        <w:t xml:space="preserve">aintenance </w:t>
      </w:r>
      <w:r w:rsidR="001C5EED" w:rsidRPr="00E23016">
        <w:rPr>
          <w:lang w:val="en-GB"/>
        </w:rPr>
        <w:t>(</w:t>
      </w:r>
      <w:r w:rsidR="007260B2" w:rsidRPr="00E23016">
        <w:rPr>
          <w:lang w:val="en-GB"/>
        </w:rPr>
        <w:t>ineffective or incorrectly scheduled</w:t>
      </w:r>
      <w:r w:rsidR="001C5EED" w:rsidRPr="00E23016">
        <w:rPr>
          <w:lang w:val="en-GB"/>
        </w:rPr>
        <w:t>), o</w:t>
      </w:r>
      <w:r w:rsidR="007260B2" w:rsidRPr="00E23016">
        <w:rPr>
          <w:lang w:val="en-GB"/>
        </w:rPr>
        <w:t xml:space="preserve">perating procedures </w:t>
      </w:r>
      <w:r w:rsidR="001C5EED" w:rsidRPr="00E23016">
        <w:rPr>
          <w:lang w:val="en-GB"/>
        </w:rPr>
        <w:t>(</w:t>
      </w:r>
      <w:r w:rsidR="007260B2" w:rsidRPr="00E23016">
        <w:rPr>
          <w:lang w:val="en-GB"/>
        </w:rPr>
        <w:t>incomplete or inefficiently planned</w:t>
      </w:r>
      <w:r w:rsidR="001C5EED" w:rsidRPr="00E23016">
        <w:rPr>
          <w:lang w:val="en-GB"/>
        </w:rPr>
        <w:t>), r</w:t>
      </w:r>
      <w:r w:rsidR="007260B2" w:rsidRPr="00E23016">
        <w:rPr>
          <w:lang w:val="en-GB"/>
        </w:rPr>
        <w:t>elease of hazardous fluids in the workplace</w:t>
      </w:r>
      <w:r w:rsidR="001C5EED" w:rsidRPr="00E23016">
        <w:rPr>
          <w:lang w:val="en-GB"/>
        </w:rPr>
        <w:t xml:space="preserve"> and</w:t>
      </w:r>
      <w:r w:rsidR="007260B2" w:rsidRPr="00E23016">
        <w:rPr>
          <w:lang w:val="en-GB"/>
        </w:rPr>
        <w:t xml:space="preserve"> </w:t>
      </w:r>
      <w:r w:rsidR="001C5EED" w:rsidRPr="00E23016">
        <w:rPr>
          <w:lang w:val="en-GB"/>
        </w:rPr>
        <w:t>i</w:t>
      </w:r>
      <w:r w:rsidR="007260B2" w:rsidRPr="00E23016">
        <w:rPr>
          <w:lang w:val="en-GB"/>
        </w:rPr>
        <w:t>nappropriate management of workspaces (storage of materials in unsuitable places, excessive disorder in workstations).</w:t>
      </w:r>
      <w:r w:rsidR="008F0FE6" w:rsidRPr="00E23016">
        <w:rPr>
          <w:lang w:val="en-GB"/>
        </w:rPr>
        <w:t xml:space="preserve"> S</w:t>
      </w:r>
      <w:r w:rsidR="001C5EED" w:rsidRPr="00E23016">
        <w:rPr>
          <w:lang w:val="en-GB"/>
        </w:rPr>
        <w:t>uch situa</w:t>
      </w:r>
      <w:r w:rsidR="008F0FE6" w:rsidRPr="00E23016">
        <w:rPr>
          <w:lang w:val="en-GB"/>
        </w:rPr>
        <w:t>t</w:t>
      </w:r>
      <w:r w:rsidR="001C5EED" w:rsidRPr="00E23016">
        <w:rPr>
          <w:lang w:val="en-GB"/>
        </w:rPr>
        <w:t xml:space="preserve">ions were reported through </w:t>
      </w:r>
      <w:r w:rsidR="003A6C1D" w:rsidRPr="00E23016">
        <w:rPr>
          <w:lang w:val="en-GB"/>
        </w:rPr>
        <w:t>checklists</w:t>
      </w:r>
      <w:r w:rsidR="001C5EED" w:rsidRPr="00E23016">
        <w:rPr>
          <w:lang w:val="en-GB"/>
        </w:rPr>
        <w:t xml:space="preserve"> (</w:t>
      </w:r>
      <w:r w:rsidR="003A6C1D" w:rsidRPr="00E23016">
        <w:rPr>
          <w:lang w:val="en-GB"/>
        </w:rPr>
        <w:t>18</w:t>
      </w:r>
      <w:r w:rsidR="001C5EED" w:rsidRPr="00E23016">
        <w:rPr>
          <w:lang w:val="en-GB"/>
        </w:rPr>
        <w:t>%</w:t>
      </w:r>
      <w:r w:rsidR="00D5052A" w:rsidRPr="00E23016">
        <w:rPr>
          <w:lang w:val="en-GB"/>
        </w:rPr>
        <w:t xml:space="preserve"> of cases</w:t>
      </w:r>
      <w:r w:rsidR="001C5EED" w:rsidRPr="00E23016">
        <w:rPr>
          <w:lang w:val="en-GB"/>
        </w:rPr>
        <w:t>)</w:t>
      </w:r>
      <w:r w:rsidR="007260B2" w:rsidRPr="00E23016">
        <w:rPr>
          <w:lang w:val="en-GB"/>
        </w:rPr>
        <w:t xml:space="preserve">, </w:t>
      </w:r>
      <w:r w:rsidR="001C5EED" w:rsidRPr="00E23016">
        <w:rPr>
          <w:lang w:val="en-GB"/>
        </w:rPr>
        <w:t>v</w:t>
      </w:r>
      <w:r w:rsidR="007260B2" w:rsidRPr="00E23016">
        <w:rPr>
          <w:lang w:val="en-GB"/>
        </w:rPr>
        <w:t xml:space="preserve">oluntary </w:t>
      </w:r>
      <w:r w:rsidR="008F0FE6" w:rsidRPr="00E23016">
        <w:rPr>
          <w:lang w:val="en-GB"/>
        </w:rPr>
        <w:t xml:space="preserve">employees </w:t>
      </w:r>
      <w:r w:rsidR="007260B2" w:rsidRPr="00E23016">
        <w:rPr>
          <w:lang w:val="en-GB"/>
        </w:rPr>
        <w:t>reports</w:t>
      </w:r>
      <w:r w:rsidR="00D24C48" w:rsidRPr="00E23016">
        <w:rPr>
          <w:lang w:val="en-GB"/>
        </w:rPr>
        <w:t xml:space="preserve"> </w:t>
      </w:r>
      <w:r w:rsidR="001C5EED" w:rsidRPr="00E23016">
        <w:rPr>
          <w:lang w:val="en-GB"/>
        </w:rPr>
        <w:t>(</w:t>
      </w:r>
      <w:r w:rsidR="00305FC2" w:rsidRPr="00E23016">
        <w:rPr>
          <w:lang w:val="en-GB"/>
        </w:rPr>
        <w:t>62</w:t>
      </w:r>
      <w:r w:rsidR="001C5EED" w:rsidRPr="00E23016">
        <w:rPr>
          <w:lang w:val="en-GB"/>
        </w:rPr>
        <w:t>%)</w:t>
      </w:r>
      <w:r w:rsidR="007260B2" w:rsidRPr="00E23016">
        <w:rPr>
          <w:lang w:val="en-GB"/>
        </w:rPr>
        <w:t xml:space="preserve">, </w:t>
      </w:r>
      <w:r w:rsidR="00D24C48" w:rsidRPr="00E23016">
        <w:rPr>
          <w:lang w:val="en-GB"/>
        </w:rPr>
        <w:t>s</w:t>
      </w:r>
      <w:r w:rsidR="007260B2" w:rsidRPr="00E23016">
        <w:rPr>
          <w:lang w:val="en-GB"/>
        </w:rPr>
        <w:t>upervision</w:t>
      </w:r>
      <w:r w:rsidR="001C5EED" w:rsidRPr="00E23016">
        <w:rPr>
          <w:lang w:val="en-GB"/>
        </w:rPr>
        <w:t xml:space="preserve"> </w:t>
      </w:r>
      <w:r w:rsidR="00D24C48" w:rsidRPr="00E23016">
        <w:rPr>
          <w:lang w:val="en-GB"/>
        </w:rPr>
        <w:t>and monitoring</w:t>
      </w:r>
      <w:r w:rsidR="008F0FE6" w:rsidRPr="00E23016">
        <w:rPr>
          <w:lang w:val="en-GB"/>
        </w:rPr>
        <w:t xml:space="preserve"> </w:t>
      </w:r>
      <w:r w:rsidR="001C5EED" w:rsidRPr="00E23016">
        <w:rPr>
          <w:lang w:val="en-GB"/>
        </w:rPr>
        <w:t>(</w:t>
      </w:r>
      <w:r w:rsidR="00EB4F42" w:rsidRPr="00E23016">
        <w:rPr>
          <w:lang w:val="en-GB"/>
        </w:rPr>
        <w:t>48</w:t>
      </w:r>
      <w:r w:rsidR="001C5EED" w:rsidRPr="00E23016">
        <w:rPr>
          <w:lang w:val="en-GB"/>
        </w:rPr>
        <w:t>%)</w:t>
      </w:r>
      <w:r w:rsidR="00D24C48" w:rsidRPr="00E23016">
        <w:rPr>
          <w:lang w:val="en-GB"/>
        </w:rPr>
        <w:t xml:space="preserve"> and</w:t>
      </w:r>
      <w:r w:rsidR="007260B2" w:rsidRPr="00E23016">
        <w:rPr>
          <w:lang w:val="en-GB"/>
        </w:rPr>
        <w:t xml:space="preserve"> </w:t>
      </w:r>
      <w:r w:rsidR="00D24C48" w:rsidRPr="00E23016">
        <w:rPr>
          <w:lang w:val="en-GB"/>
        </w:rPr>
        <w:t>regular m</w:t>
      </w:r>
      <w:r w:rsidR="007260B2" w:rsidRPr="00E23016">
        <w:rPr>
          <w:lang w:val="en-GB"/>
        </w:rPr>
        <w:t>eetings</w:t>
      </w:r>
      <w:r w:rsidR="001C5EED" w:rsidRPr="00E23016">
        <w:rPr>
          <w:lang w:val="en-GB"/>
        </w:rPr>
        <w:t xml:space="preserve"> (</w:t>
      </w:r>
      <w:r w:rsidR="00412684" w:rsidRPr="00E23016">
        <w:rPr>
          <w:lang w:val="en-GB"/>
        </w:rPr>
        <w:t>20</w:t>
      </w:r>
      <w:r w:rsidR="001C5EED" w:rsidRPr="00E23016">
        <w:rPr>
          <w:lang w:val="en-GB"/>
        </w:rPr>
        <w:t>%)</w:t>
      </w:r>
      <w:r w:rsidR="009A4525" w:rsidRPr="00E23016">
        <w:rPr>
          <w:lang w:val="en-GB"/>
        </w:rPr>
        <w:t>.</w:t>
      </w:r>
    </w:p>
    <w:p w14:paraId="4DD32A59" w14:textId="05204CAF" w:rsidR="009A4525" w:rsidRPr="00E23016" w:rsidRDefault="004A0E00" w:rsidP="00A7751D">
      <w:pPr>
        <w:pStyle w:val="CETBodytext"/>
        <w:rPr>
          <w:lang w:val="en-GB"/>
        </w:rPr>
      </w:pPr>
      <w:r w:rsidRPr="00E23016">
        <w:rPr>
          <w:lang w:val="en-GB"/>
        </w:rPr>
        <w:t>The a</w:t>
      </w:r>
      <w:r w:rsidR="009A4525" w:rsidRPr="00E23016">
        <w:rPr>
          <w:lang w:val="en-GB"/>
        </w:rPr>
        <w:t xml:space="preserve">ctions taken by companies </w:t>
      </w:r>
      <w:r w:rsidRPr="00E23016">
        <w:rPr>
          <w:lang w:val="en-GB"/>
        </w:rPr>
        <w:t>after</w:t>
      </w:r>
      <w:r w:rsidR="009A4525" w:rsidRPr="00E23016">
        <w:rPr>
          <w:lang w:val="en-GB"/>
        </w:rPr>
        <w:t xml:space="preserve"> accidents </w:t>
      </w:r>
      <w:r w:rsidR="00D24C48" w:rsidRPr="00E23016">
        <w:rPr>
          <w:lang w:val="en-GB"/>
        </w:rPr>
        <w:t>(or near misses)</w:t>
      </w:r>
      <w:r w:rsidR="00D771EC" w:rsidRPr="00E23016">
        <w:rPr>
          <w:lang w:val="en-GB"/>
        </w:rPr>
        <w:t xml:space="preserve"> </w:t>
      </w:r>
      <w:r w:rsidR="00D24C48" w:rsidRPr="00E23016">
        <w:rPr>
          <w:lang w:val="en-GB"/>
        </w:rPr>
        <w:t xml:space="preserve">are shown in </w:t>
      </w:r>
      <w:r w:rsidR="009A4525" w:rsidRPr="00E23016">
        <w:rPr>
          <w:lang w:val="en-GB"/>
        </w:rPr>
        <w:t>Table 1</w:t>
      </w:r>
      <w:r w:rsidR="00D24C48" w:rsidRPr="00E23016">
        <w:rPr>
          <w:lang w:val="en-GB"/>
        </w:rPr>
        <w:t>, together with the perceived main effects of an accident</w:t>
      </w:r>
      <w:r w:rsidR="009B45A6" w:rsidRPr="00E23016">
        <w:rPr>
          <w:lang w:val="en-GB"/>
        </w:rPr>
        <w:t>. When participants were asked to define an accident, most of them declared to perceive it exclusively as an event that causes injuries, but (mainly in large companies) even technical damages to plants and equipment have been cited.</w:t>
      </w:r>
    </w:p>
    <w:p w14:paraId="1B8EE379" w14:textId="77777777" w:rsidR="007A5DB4" w:rsidRPr="00E23016" w:rsidRDefault="007A5DB4" w:rsidP="007A5DB4">
      <w:pPr>
        <w:pStyle w:val="CETBodytext"/>
        <w:rPr>
          <w:lang w:val="en-GB"/>
        </w:rPr>
      </w:pPr>
      <w:r w:rsidRPr="00E23016">
        <w:rPr>
          <w:lang w:val="en-GB"/>
        </w:rPr>
        <w:t>The prevailing action taken is education with training, confirming the significant role of human error in the occurrence of undesirable events. Then, changes to operating procedures (including safety procedures and internal communication procedures) highlight a commitment to adopt organisational changes. Technical problems are generally addressed through changes to maintenance procedures and design work on systems/machines and their components. Changes to workers supervision/monitoring methods and rearrangement of workspaces/layout are finally chosen as adoptable solutions in a limited number of cases.</w:t>
      </w:r>
    </w:p>
    <w:p w14:paraId="554B5E63" w14:textId="1B83AD9D" w:rsidR="006568B2" w:rsidRPr="00E23016" w:rsidRDefault="006568B2" w:rsidP="00A7751D">
      <w:pPr>
        <w:pStyle w:val="CETTabletitle"/>
      </w:pPr>
      <w:r w:rsidRPr="00E23016">
        <w:lastRenderedPageBreak/>
        <w:t>Table 1: Perceived characteristics of an accident in companies (percentage of total)</w:t>
      </w:r>
      <w:r w:rsidR="0071556D" w:rsidRPr="00E23016">
        <w:t xml:space="preserve"> and actions taken</w:t>
      </w:r>
    </w:p>
    <w:tbl>
      <w:tblPr>
        <w:tblW w:w="8846"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766"/>
        <w:gridCol w:w="992"/>
        <w:gridCol w:w="993"/>
        <w:gridCol w:w="1134"/>
        <w:gridCol w:w="1275"/>
        <w:gridCol w:w="993"/>
        <w:gridCol w:w="850"/>
        <w:gridCol w:w="992"/>
        <w:gridCol w:w="851"/>
      </w:tblGrid>
      <w:tr w:rsidR="006568B2" w:rsidRPr="00E23016" w14:paraId="62FB5300" w14:textId="77777777" w:rsidTr="00C4465C">
        <w:trPr>
          <w:trHeight w:val="201"/>
        </w:trPr>
        <w:tc>
          <w:tcPr>
            <w:tcW w:w="2751" w:type="dxa"/>
            <w:gridSpan w:val="3"/>
            <w:tcBorders>
              <w:top w:val="single" w:sz="12" w:space="0" w:color="008000"/>
              <w:bottom w:val="nil"/>
              <w:right w:val="single" w:sz="4" w:space="0" w:color="76923C" w:themeColor="accent3" w:themeShade="BF"/>
            </w:tcBorders>
            <w:shd w:val="clear" w:color="auto" w:fill="FFFFFF"/>
            <w:tcMar>
              <w:top w:w="57" w:type="dxa"/>
              <w:left w:w="57" w:type="dxa"/>
              <w:bottom w:w="57" w:type="dxa"/>
              <w:right w:w="57" w:type="dxa"/>
            </w:tcMar>
          </w:tcPr>
          <w:p w14:paraId="4770EAC9" w14:textId="77777777" w:rsidR="006568B2" w:rsidRPr="00E23016" w:rsidRDefault="006568B2" w:rsidP="00A7751D">
            <w:pPr>
              <w:pStyle w:val="CETBodytext"/>
              <w:jc w:val="center"/>
              <w:rPr>
                <w:lang w:val="en-GB"/>
              </w:rPr>
            </w:pPr>
            <w:r w:rsidRPr="00E23016">
              <w:rPr>
                <w:lang w:val="en-GB"/>
              </w:rPr>
              <w:t>Main effects of an accident</w:t>
            </w:r>
          </w:p>
        </w:tc>
        <w:tc>
          <w:tcPr>
            <w:tcW w:w="6095" w:type="dxa"/>
            <w:gridSpan w:val="6"/>
            <w:tcBorders>
              <w:top w:val="single" w:sz="12" w:space="0" w:color="008000"/>
              <w:left w:val="single" w:sz="4" w:space="0" w:color="76923C" w:themeColor="accent3" w:themeShade="BF"/>
              <w:bottom w:val="nil"/>
            </w:tcBorders>
            <w:shd w:val="clear" w:color="auto" w:fill="FFFFFF"/>
            <w:tcMar>
              <w:top w:w="57" w:type="dxa"/>
              <w:left w:w="57" w:type="dxa"/>
              <w:bottom w:w="57" w:type="dxa"/>
              <w:right w:w="57" w:type="dxa"/>
            </w:tcMar>
          </w:tcPr>
          <w:p w14:paraId="51EBED4C" w14:textId="77777777" w:rsidR="006568B2" w:rsidRPr="00E23016" w:rsidRDefault="006568B2" w:rsidP="00A7751D">
            <w:pPr>
              <w:pStyle w:val="CETBodytext"/>
              <w:jc w:val="center"/>
              <w:rPr>
                <w:lang w:val="en-GB"/>
              </w:rPr>
            </w:pPr>
            <w:r w:rsidRPr="00E23016">
              <w:rPr>
                <w:lang w:val="en-GB"/>
              </w:rPr>
              <w:t>Actions to be taken after an accident</w:t>
            </w:r>
          </w:p>
        </w:tc>
      </w:tr>
      <w:tr w:rsidR="006568B2" w:rsidRPr="00E23016" w14:paraId="04902EDD" w14:textId="77777777" w:rsidTr="00C4465C">
        <w:trPr>
          <w:trHeight w:val="455"/>
        </w:trPr>
        <w:tc>
          <w:tcPr>
            <w:tcW w:w="766" w:type="dxa"/>
            <w:tcBorders>
              <w:top w:val="nil"/>
              <w:bottom w:val="single" w:sz="4" w:space="0" w:color="76923C" w:themeColor="accent3" w:themeShade="BF"/>
            </w:tcBorders>
            <w:shd w:val="clear" w:color="auto" w:fill="FFFFFF"/>
            <w:tcMar>
              <w:top w:w="57" w:type="dxa"/>
              <w:left w:w="85" w:type="dxa"/>
              <w:right w:w="85" w:type="dxa"/>
            </w:tcMar>
          </w:tcPr>
          <w:p w14:paraId="5EAC1166" w14:textId="77777777" w:rsidR="006568B2" w:rsidRPr="00E23016" w:rsidRDefault="006568B2" w:rsidP="00A7751D">
            <w:pPr>
              <w:pStyle w:val="CETBodytext"/>
              <w:jc w:val="center"/>
              <w:rPr>
                <w:lang w:val="en-GB"/>
              </w:rPr>
            </w:pPr>
            <w:r w:rsidRPr="00E23016">
              <w:rPr>
                <w:lang w:val="en-GB"/>
              </w:rPr>
              <w:t>Injuries</w:t>
            </w:r>
          </w:p>
        </w:tc>
        <w:tc>
          <w:tcPr>
            <w:tcW w:w="992" w:type="dxa"/>
            <w:tcBorders>
              <w:top w:val="nil"/>
              <w:bottom w:val="single" w:sz="4" w:space="0" w:color="76923C" w:themeColor="accent3" w:themeShade="BF"/>
            </w:tcBorders>
            <w:shd w:val="clear" w:color="auto" w:fill="FFFFFF"/>
            <w:tcMar>
              <w:top w:w="57" w:type="dxa"/>
              <w:left w:w="85" w:type="dxa"/>
              <w:right w:w="85" w:type="dxa"/>
            </w:tcMar>
          </w:tcPr>
          <w:p w14:paraId="0A244D33" w14:textId="77777777" w:rsidR="006568B2" w:rsidRPr="00E23016" w:rsidRDefault="006568B2" w:rsidP="00A7751D">
            <w:pPr>
              <w:pStyle w:val="CETBodytext"/>
              <w:jc w:val="center"/>
              <w:rPr>
                <w:lang w:val="en-GB"/>
              </w:rPr>
            </w:pPr>
            <w:r w:rsidRPr="00E23016">
              <w:rPr>
                <w:lang w:val="en-GB"/>
              </w:rPr>
              <w:t>Economic damages</w:t>
            </w:r>
          </w:p>
        </w:tc>
        <w:tc>
          <w:tcPr>
            <w:tcW w:w="993" w:type="dxa"/>
            <w:tcBorders>
              <w:top w:val="nil"/>
              <w:bottom w:val="single" w:sz="4" w:space="0" w:color="76923C" w:themeColor="accent3" w:themeShade="BF"/>
              <w:right w:val="single" w:sz="4" w:space="0" w:color="76923C" w:themeColor="accent3" w:themeShade="BF"/>
            </w:tcBorders>
            <w:shd w:val="clear" w:color="auto" w:fill="FFFFFF"/>
            <w:tcMar>
              <w:top w:w="57" w:type="dxa"/>
              <w:left w:w="57" w:type="dxa"/>
              <w:right w:w="57" w:type="dxa"/>
            </w:tcMar>
          </w:tcPr>
          <w:p w14:paraId="2DB25A85" w14:textId="77777777" w:rsidR="006568B2" w:rsidRPr="00E23016" w:rsidRDefault="006568B2" w:rsidP="00A7751D">
            <w:pPr>
              <w:pStyle w:val="CETBodytext"/>
              <w:jc w:val="center"/>
              <w:rPr>
                <w:lang w:val="en-GB"/>
              </w:rPr>
            </w:pPr>
            <w:r w:rsidRPr="00E23016">
              <w:rPr>
                <w:lang w:val="en-GB"/>
              </w:rPr>
              <w:t>Technical</w:t>
            </w:r>
          </w:p>
          <w:p w14:paraId="2E47749D" w14:textId="77777777" w:rsidR="006568B2" w:rsidRPr="00E23016" w:rsidRDefault="006568B2" w:rsidP="00A7751D">
            <w:pPr>
              <w:pStyle w:val="CETBodytext"/>
              <w:jc w:val="center"/>
              <w:rPr>
                <w:lang w:val="en-GB"/>
              </w:rPr>
            </w:pPr>
            <w:r w:rsidRPr="00E23016">
              <w:rPr>
                <w:lang w:val="en-GB"/>
              </w:rPr>
              <w:t>damages</w:t>
            </w:r>
          </w:p>
        </w:tc>
        <w:tc>
          <w:tcPr>
            <w:tcW w:w="1134" w:type="dxa"/>
            <w:tcBorders>
              <w:top w:val="nil"/>
              <w:left w:val="single" w:sz="4" w:space="0" w:color="76923C" w:themeColor="accent3" w:themeShade="BF"/>
              <w:bottom w:val="single" w:sz="4" w:space="0" w:color="76923C" w:themeColor="accent3" w:themeShade="BF"/>
            </w:tcBorders>
            <w:shd w:val="clear" w:color="auto" w:fill="FFFFFF"/>
            <w:tcMar>
              <w:top w:w="57" w:type="dxa"/>
              <w:left w:w="57" w:type="dxa"/>
              <w:right w:w="57" w:type="dxa"/>
            </w:tcMar>
          </w:tcPr>
          <w:p w14:paraId="06516BC7" w14:textId="77777777" w:rsidR="006568B2" w:rsidRPr="00E23016" w:rsidRDefault="006568B2" w:rsidP="00A7751D">
            <w:pPr>
              <w:pStyle w:val="CETBodytext"/>
              <w:jc w:val="center"/>
              <w:rPr>
                <w:lang w:val="en-GB"/>
              </w:rPr>
            </w:pPr>
            <w:r w:rsidRPr="00E23016">
              <w:t>Changes to operative procedures</w:t>
            </w:r>
          </w:p>
        </w:tc>
        <w:tc>
          <w:tcPr>
            <w:tcW w:w="1275" w:type="dxa"/>
            <w:tcBorders>
              <w:top w:val="nil"/>
              <w:bottom w:val="single" w:sz="4" w:space="0" w:color="76923C" w:themeColor="accent3" w:themeShade="BF"/>
            </w:tcBorders>
            <w:shd w:val="clear" w:color="auto" w:fill="FFFFFF"/>
            <w:tcMar>
              <w:top w:w="57" w:type="dxa"/>
              <w:left w:w="57" w:type="dxa"/>
              <w:right w:w="57" w:type="dxa"/>
            </w:tcMar>
          </w:tcPr>
          <w:p w14:paraId="7CA0625E" w14:textId="77777777" w:rsidR="006568B2" w:rsidRPr="00E23016" w:rsidRDefault="006568B2" w:rsidP="00A7751D">
            <w:pPr>
              <w:pStyle w:val="CETBodytext"/>
              <w:jc w:val="center"/>
              <w:rPr>
                <w:lang w:val="en-GB"/>
              </w:rPr>
            </w:pPr>
            <w:r w:rsidRPr="00E23016">
              <w:t>Changes to maintenance</w:t>
            </w:r>
          </w:p>
        </w:tc>
        <w:tc>
          <w:tcPr>
            <w:tcW w:w="993" w:type="dxa"/>
            <w:tcBorders>
              <w:top w:val="nil"/>
              <w:bottom w:val="single" w:sz="4" w:space="0" w:color="76923C" w:themeColor="accent3" w:themeShade="BF"/>
            </w:tcBorders>
            <w:shd w:val="clear" w:color="auto" w:fill="FFFFFF"/>
            <w:tcMar>
              <w:top w:w="57" w:type="dxa"/>
              <w:left w:w="57" w:type="dxa"/>
              <w:right w:w="57" w:type="dxa"/>
            </w:tcMar>
          </w:tcPr>
          <w:p w14:paraId="2FEAAF61" w14:textId="4CB2C267" w:rsidR="006568B2" w:rsidRPr="00E23016" w:rsidRDefault="006568B2" w:rsidP="00A7751D">
            <w:pPr>
              <w:pStyle w:val="CETBodytext"/>
              <w:jc w:val="center"/>
              <w:rPr>
                <w:lang w:val="en-GB"/>
              </w:rPr>
            </w:pPr>
            <w:r w:rsidRPr="00E23016">
              <w:t>Machine redesign</w:t>
            </w:r>
          </w:p>
        </w:tc>
        <w:tc>
          <w:tcPr>
            <w:tcW w:w="850" w:type="dxa"/>
            <w:tcBorders>
              <w:top w:val="nil"/>
              <w:bottom w:val="single" w:sz="4" w:space="0" w:color="76923C" w:themeColor="accent3" w:themeShade="BF"/>
            </w:tcBorders>
            <w:shd w:val="clear" w:color="auto" w:fill="FFFFFF"/>
            <w:tcMar>
              <w:top w:w="57" w:type="dxa"/>
              <w:left w:w="57" w:type="dxa"/>
              <w:right w:w="57" w:type="dxa"/>
            </w:tcMar>
          </w:tcPr>
          <w:p w14:paraId="5956E032" w14:textId="77777777" w:rsidR="006568B2" w:rsidRPr="00E23016" w:rsidRDefault="006568B2" w:rsidP="00A7751D">
            <w:pPr>
              <w:pStyle w:val="CETBodytext"/>
              <w:jc w:val="center"/>
              <w:rPr>
                <w:lang w:val="en-GB"/>
              </w:rPr>
            </w:pPr>
            <w:r w:rsidRPr="00E23016">
              <w:t>Training</w:t>
            </w:r>
          </w:p>
        </w:tc>
        <w:tc>
          <w:tcPr>
            <w:tcW w:w="992" w:type="dxa"/>
            <w:tcBorders>
              <w:top w:val="nil"/>
              <w:bottom w:val="single" w:sz="4" w:space="0" w:color="76923C" w:themeColor="accent3" w:themeShade="BF"/>
            </w:tcBorders>
            <w:shd w:val="clear" w:color="auto" w:fill="FFFFFF"/>
            <w:tcMar>
              <w:top w:w="57" w:type="dxa"/>
              <w:left w:w="57" w:type="dxa"/>
              <w:right w:w="57" w:type="dxa"/>
            </w:tcMar>
          </w:tcPr>
          <w:p w14:paraId="74E3D4B3" w14:textId="77777777" w:rsidR="006568B2" w:rsidRPr="00E23016" w:rsidRDefault="006568B2" w:rsidP="00A7751D">
            <w:pPr>
              <w:pStyle w:val="CETBodytext"/>
              <w:jc w:val="center"/>
              <w:rPr>
                <w:lang w:val="en-GB"/>
              </w:rPr>
            </w:pPr>
            <w:r w:rsidRPr="00E23016">
              <w:t>Changes to monitoring</w:t>
            </w:r>
          </w:p>
        </w:tc>
        <w:tc>
          <w:tcPr>
            <w:tcW w:w="851" w:type="dxa"/>
            <w:tcBorders>
              <w:top w:val="nil"/>
              <w:bottom w:val="single" w:sz="4" w:space="0" w:color="76923C" w:themeColor="accent3" w:themeShade="BF"/>
            </w:tcBorders>
            <w:shd w:val="clear" w:color="auto" w:fill="FFFFFF"/>
            <w:tcMar>
              <w:top w:w="57" w:type="dxa"/>
              <w:left w:w="57" w:type="dxa"/>
              <w:right w:w="57" w:type="dxa"/>
            </w:tcMar>
          </w:tcPr>
          <w:p w14:paraId="6363BE80" w14:textId="77777777" w:rsidR="006568B2" w:rsidRPr="00E23016" w:rsidRDefault="006568B2" w:rsidP="00A7751D">
            <w:pPr>
              <w:pStyle w:val="CETBodytext"/>
              <w:jc w:val="center"/>
              <w:rPr>
                <w:lang w:val="en-GB"/>
              </w:rPr>
            </w:pPr>
            <w:r w:rsidRPr="00E23016">
              <w:t xml:space="preserve">Spaces </w:t>
            </w:r>
            <w:proofErr w:type="spellStart"/>
            <w:r w:rsidRPr="00E23016">
              <w:t>reassett</w:t>
            </w:r>
            <w:proofErr w:type="spellEnd"/>
          </w:p>
        </w:tc>
      </w:tr>
      <w:tr w:rsidR="006568B2" w:rsidRPr="00E23016" w14:paraId="6B76A8D5" w14:textId="77777777" w:rsidTr="00C4465C">
        <w:trPr>
          <w:trHeight w:val="198"/>
        </w:trPr>
        <w:tc>
          <w:tcPr>
            <w:tcW w:w="766" w:type="dxa"/>
            <w:tcBorders>
              <w:top w:val="single" w:sz="4" w:space="0" w:color="76923C" w:themeColor="accent3" w:themeShade="BF"/>
              <w:bottom w:val="single" w:sz="12" w:space="0" w:color="008000"/>
            </w:tcBorders>
            <w:shd w:val="clear" w:color="auto" w:fill="FFFFFF"/>
            <w:tcMar>
              <w:top w:w="57" w:type="dxa"/>
              <w:left w:w="85" w:type="dxa"/>
              <w:right w:w="85" w:type="dxa"/>
            </w:tcMar>
          </w:tcPr>
          <w:p w14:paraId="2A627927" w14:textId="77777777" w:rsidR="006568B2" w:rsidRPr="00E23016" w:rsidRDefault="006568B2" w:rsidP="00A7751D">
            <w:pPr>
              <w:pStyle w:val="CETBodytext"/>
              <w:jc w:val="center"/>
              <w:rPr>
                <w:lang w:val="en-GB"/>
              </w:rPr>
            </w:pPr>
            <w:r w:rsidRPr="00E23016">
              <w:rPr>
                <w:lang w:val="en-GB"/>
              </w:rPr>
              <w:t>92%</w:t>
            </w:r>
          </w:p>
        </w:tc>
        <w:tc>
          <w:tcPr>
            <w:tcW w:w="992" w:type="dxa"/>
            <w:tcBorders>
              <w:top w:val="single" w:sz="4" w:space="0" w:color="76923C" w:themeColor="accent3" w:themeShade="BF"/>
              <w:bottom w:val="single" w:sz="12" w:space="0" w:color="008000"/>
            </w:tcBorders>
            <w:shd w:val="clear" w:color="auto" w:fill="FFFFFF"/>
            <w:tcMar>
              <w:top w:w="57" w:type="dxa"/>
              <w:left w:w="85" w:type="dxa"/>
              <w:right w:w="85" w:type="dxa"/>
            </w:tcMar>
          </w:tcPr>
          <w:p w14:paraId="1ECE8EBC" w14:textId="77777777" w:rsidR="006568B2" w:rsidRPr="00E23016" w:rsidRDefault="006568B2" w:rsidP="00A7751D">
            <w:pPr>
              <w:pStyle w:val="CETBodytext"/>
              <w:jc w:val="center"/>
              <w:rPr>
                <w:lang w:val="en-GB"/>
              </w:rPr>
            </w:pPr>
            <w:r w:rsidRPr="00E23016">
              <w:rPr>
                <w:lang w:val="en-GB"/>
              </w:rPr>
              <w:t>14%</w:t>
            </w:r>
          </w:p>
        </w:tc>
        <w:tc>
          <w:tcPr>
            <w:tcW w:w="993" w:type="dxa"/>
            <w:tcBorders>
              <w:top w:val="single" w:sz="4" w:space="0" w:color="76923C" w:themeColor="accent3" w:themeShade="BF"/>
              <w:bottom w:val="single" w:sz="12" w:space="0" w:color="008000"/>
              <w:right w:val="single" w:sz="4" w:space="0" w:color="76923C" w:themeColor="accent3" w:themeShade="BF"/>
            </w:tcBorders>
            <w:shd w:val="clear" w:color="auto" w:fill="FFFFFF"/>
            <w:tcMar>
              <w:top w:w="57" w:type="dxa"/>
              <w:left w:w="57" w:type="dxa"/>
              <w:right w:w="57" w:type="dxa"/>
            </w:tcMar>
          </w:tcPr>
          <w:p w14:paraId="7546734C" w14:textId="77777777" w:rsidR="006568B2" w:rsidRPr="00E23016" w:rsidRDefault="006568B2" w:rsidP="00A7751D">
            <w:pPr>
              <w:pStyle w:val="CETBodytext"/>
              <w:jc w:val="center"/>
              <w:rPr>
                <w:lang w:val="en-GB"/>
              </w:rPr>
            </w:pPr>
            <w:r w:rsidRPr="00E23016">
              <w:rPr>
                <w:lang w:val="en-GB"/>
              </w:rPr>
              <w:t>24%</w:t>
            </w:r>
          </w:p>
        </w:tc>
        <w:tc>
          <w:tcPr>
            <w:tcW w:w="1134" w:type="dxa"/>
            <w:tcBorders>
              <w:top w:val="single" w:sz="4" w:space="0" w:color="76923C" w:themeColor="accent3" w:themeShade="BF"/>
              <w:left w:val="single" w:sz="4" w:space="0" w:color="76923C" w:themeColor="accent3" w:themeShade="BF"/>
              <w:bottom w:val="single" w:sz="12" w:space="0" w:color="008000"/>
            </w:tcBorders>
            <w:shd w:val="clear" w:color="auto" w:fill="FFFFFF"/>
            <w:tcMar>
              <w:top w:w="57" w:type="dxa"/>
              <w:left w:w="57" w:type="dxa"/>
              <w:right w:w="57" w:type="dxa"/>
            </w:tcMar>
          </w:tcPr>
          <w:p w14:paraId="2AC222DF" w14:textId="77777777" w:rsidR="006568B2" w:rsidRPr="00E23016" w:rsidRDefault="006568B2" w:rsidP="00A7751D">
            <w:pPr>
              <w:pStyle w:val="CETBodytext"/>
              <w:jc w:val="center"/>
              <w:rPr>
                <w:lang w:val="en-GB"/>
              </w:rPr>
            </w:pPr>
            <w:r w:rsidRPr="00E23016">
              <w:rPr>
                <w:lang w:val="en-GB"/>
              </w:rPr>
              <w:t>34%</w:t>
            </w:r>
          </w:p>
        </w:tc>
        <w:tc>
          <w:tcPr>
            <w:tcW w:w="1275" w:type="dxa"/>
            <w:tcBorders>
              <w:top w:val="single" w:sz="4" w:space="0" w:color="76923C" w:themeColor="accent3" w:themeShade="BF"/>
              <w:bottom w:val="single" w:sz="12" w:space="0" w:color="008000"/>
            </w:tcBorders>
            <w:shd w:val="clear" w:color="auto" w:fill="FFFFFF"/>
            <w:tcMar>
              <w:top w:w="57" w:type="dxa"/>
              <w:left w:w="57" w:type="dxa"/>
              <w:right w:w="57" w:type="dxa"/>
            </w:tcMar>
          </w:tcPr>
          <w:p w14:paraId="74C08D04" w14:textId="77777777" w:rsidR="006568B2" w:rsidRPr="00E23016" w:rsidRDefault="006568B2" w:rsidP="00A7751D">
            <w:pPr>
              <w:pStyle w:val="CETBodytext"/>
              <w:jc w:val="center"/>
              <w:rPr>
                <w:lang w:val="en-GB"/>
              </w:rPr>
            </w:pPr>
            <w:r w:rsidRPr="00E23016">
              <w:rPr>
                <w:lang w:val="en-GB"/>
              </w:rPr>
              <w:t>10%</w:t>
            </w:r>
          </w:p>
        </w:tc>
        <w:tc>
          <w:tcPr>
            <w:tcW w:w="993" w:type="dxa"/>
            <w:tcBorders>
              <w:top w:val="single" w:sz="4" w:space="0" w:color="76923C" w:themeColor="accent3" w:themeShade="BF"/>
              <w:bottom w:val="single" w:sz="12" w:space="0" w:color="008000"/>
            </w:tcBorders>
            <w:shd w:val="clear" w:color="auto" w:fill="FFFFFF"/>
            <w:tcMar>
              <w:top w:w="57" w:type="dxa"/>
              <w:left w:w="57" w:type="dxa"/>
              <w:right w:w="57" w:type="dxa"/>
            </w:tcMar>
          </w:tcPr>
          <w:p w14:paraId="19EEC1A6" w14:textId="77777777" w:rsidR="006568B2" w:rsidRPr="00E23016" w:rsidRDefault="006568B2" w:rsidP="00A7751D">
            <w:pPr>
              <w:pStyle w:val="CETBodytext"/>
              <w:jc w:val="center"/>
              <w:rPr>
                <w:lang w:val="en-GB"/>
              </w:rPr>
            </w:pPr>
            <w:r w:rsidRPr="00E23016">
              <w:rPr>
                <w:lang w:val="en-GB"/>
              </w:rPr>
              <w:t>12%</w:t>
            </w:r>
          </w:p>
        </w:tc>
        <w:tc>
          <w:tcPr>
            <w:tcW w:w="850" w:type="dxa"/>
            <w:tcBorders>
              <w:top w:val="single" w:sz="4" w:space="0" w:color="76923C" w:themeColor="accent3" w:themeShade="BF"/>
              <w:bottom w:val="single" w:sz="12" w:space="0" w:color="008000"/>
            </w:tcBorders>
            <w:shd w:val="clear" w:color="auto" w:fill="FFFFFF"/>
            <w:tcMar>
              <w:top w:w="57" w:type="dxa"/>
              <w:left w:w="57" w:type="dxa"/>
              <w:right w:w="57" w:type="dxa"/>
            </w:tcMar>
          </w:tcPr>
          <w:p w14:paraId="7787C60F" w14:textId="77777777" w:rsidR="006568B2" w:rsidRPr="00E23016" w:rsidRDefault="006568B2" w:rsidP="00A7751D">
            <w:pPr>
              <w:pStyle w:val="CETBodytext"/>
              <w:jc w:val="center"/>
              <w:rPr>
                <w:lang w:val="en-GB"/>
              </w:rPr>
            </w:pPr>
            <w:r w:rsidRPr="00E23016">
              <w:rPr>
                <w:lang w:val="en-GB"/>
              </w:rPr>
              <w:t>58%</w:t>
            </w:r>
          </w:p>
        </w:tc>
        <w:tc>
          <w:tcPr>
            <w:tcW w:w="992" w:type="dxa"/>
            <w:tcBorders>
              <w:top w:val="single" w:sz="4" w:space="0" w:color="76923C" w:themeColor="accent3" w:themeShade="BF"/>
              <w:bottom w:val="single" w:sz="12" w:space="0" w:color="008000"/>
            </w:tcBorders>
            <w:shd w:val="clear" w:color="auto" w:fill="FFFFFF"/>
            <w:tcMar>
              <w:top w:w="57" w:type="dxa"/>
              <w:left w:w="57" w:type="dxa"/>
              <w:right w:w="57" w:type="dxa"/>
            </w:tcMar>
          </w:tcPr>
          <w:p w14:paraId="2EC6159A" w14:textId="77777777" w:rsidR="006568B2" w:rsidRPr="00E23016" w:rsidRDefault="006568B2" w:rsidP="00A7751D">
            <w:pPr>
              <w:pStyle w:val="CETBodytext"/>
              <w:jc w:val="center"/>
              <w:rPr>
                <w:lang w:val="en-GB"/>
              </w:rPr>
            </w:pPr>
            <w:r w:rsidRPr="00E23016">
              <w:rPr>
                <w:lang w:val="en-GB"/>
              </w:rPr>
              <w:t>16%</w:t>
            </w:r>
          </w:p>
        </w:tc>
        <w:tc>
          <w:tcPr>
            <w:tcW w:w="851" w:type="dxa"/>
            <w:tcBorders>
              <w:top w:val="single" w:sz="4" w:space="0" w:color="76923C" w:themeColor="accent3" w:themeShade="BF"/>
              <w:bottom w:val="single" w:sz="12" w:space="0" w:color="008000"/>
            </w:tcBorders>
            <w:shd w:val="clear" w:color="auto" w:fill="FFFFFF"/>
            <w:tcMar>
              <w:top w:w="57" w:type="dxa"/>
              <w:left w:w="57" w:type="dxa"/>
              <w:right w:w="57" w:type="dxa"/>
            </w:tcMar>
          </w:tcPr>
          <w:p w14:paraId="00377B02" w14:textId="77777777" w:rsidR="006568B2" w:rsidRPr="00E23016" w:rsidRDefault="006568B2" w:rsidP="00A7751D">
            <w:pPr>
              <w:pStyle w:val="CETBodytext"/>
              <w:jc w:val="center"/>
              <w:rPr>
                <w:lang w:val="en-GB"/>
              </w:rPr>
            </w:pPr>
            <w:r w:rsidRPr="00E23016">
              <w:rPr>
                <w:lang w:val="en-GB"/>
              </w:rPr>
              <w:t>10%</w:t>
            </w:r>
          </w:p>
        </w:tc>
      </w:tr>
    </w:tbl>
    <w:p w14:paraId="32D04CC4" w14:textId="342CA548" w:rsidR="00F36BFE" w:rsidRPr="00E23016" w:rsidRDefault="002316F3" w:rsidP="00A7751D">
      <w:pPr>
        <w:pStyle w:val="CETHeading1"/>
        <w:rPr>
          <w:lang w:val="en-GB"/>
        </w:rPr>
      </w:pPr>
      <w:r w:rsidRPr="00E23016">
        <w:rPr>
          <w:lang w:val="en-GB"/>
        </w:rPr>
        <w:t>A</w:t>
      </w:r>
      <w:r w:rsidR="004D50EA" w:rsidRPr="00E23016">
        <w:rPr>
          <w:lang w:val="en-GB"/>
        </w:rPr>
        <w:t xml:space="preserve"> case</w:t>
      </w:r>
      <w:r w:rsidR="00E534CB" w:rsidRPr="00E23016">
        <w:rPr>
          <w:lang w:val="en-GB"/>
        </w:rPr>
        <w:t>-study: accident and near miss management in a large Italian winery</w:t>
      </w:r>
    </w:p>
    <w:p w14:paraId="2C44B447" w14:textId="5B351DA1" w:rsidR="0042506D" w:rsidRPr="00E23016" w:rsidRDefault="0087250A" w:rsidP="007A5DB4">
      <w:pPr>
        <w:pStyle w:val="CETBodytext"/>
      </w:pPr>
      <w:r w:rsidRPr="00E23016">
        <w:rPr>
          <w:lang w:val="en-GB"/>
        </w:rPr>
        <w:t xml:space="preserve">The </w:t>
      </w:r>
      <w:r w:rsidR="000936F1" w:rsidRPr="00E23016">
        <w:rPr>
          <w:lang w:val="en-GB"/>
        </w:rPr>
        <w:t xml:space="preserve">analysed </w:t>
      </w:r>
      <w:r w:rsidRPr="00E23016">
        <w:rPr>
          <w:lang w:val="en-GB"/>
        </w:rPr>
        <w:t>company operates in the wine and oenology sector and owns two main wineries</w:t>
      </w:r>
      <w:r w:rsidR="00AE67A9" w:rsidRPr="00E23016">
        <w:rPr>
          <w:lang w:val="en-GB"/>
        </w:rPr>
        <w:t xml:space="preserve"> - </w:t>
      </w:r>
      <w:r w:rsidRPr="00E23016">
        <w:rPr>
          <w:lang w:val="en-GB"/>
        </w:rPr>
        <w:t xml:space="preserve">where </w:t>
      </w:r>
      <w:r w:rsidR="00792302" w:rsidRPr="00E23016">
        <w:rPr>
          <w:lang w:val="en-GB"/>
        </w:rPr>
        <w:t>different</w:t>
      </w:r>
      <w:r w:rsidRPr="00E23016">
        <w:rPr>
          <w:lang w:val="en-GB"/>
        </w:rPr>
        <w:t xml:space="preserve"> types and varieties of wine are produced</w:t>
      </w:r>
      <w:r w:rsidR="00AE67A9" w:rsidRPr="00E23016">
        <w:rPr>
          <w:lang w:val="en-GB"/>
        </w:rPr>
        <w:t xml:space="preserve"> - </w:t>
      </w:r>
      <w:r w:rsidR="000936F1" w:rsidRPr="00E23016">
        <w:rPr>
          <w:lang w:val="en-GB"/>
        </w:rPr>
        <w:t>as well as</w:t>
      </w:r>
      <w:r w:rsidRPr="00E23016">
        <w:rPr>
          <w:lang w:val="en-GB"/>
        </w:rPr>
        <w:t xml:space="preserve"> seven other production sites where grapes are initially processed and must and wine are subsequently produced.</w:t>
      </w:r>
      <w:r w:rsidR="007A5DB4" w:rsidRPr="00E23016">
        <w:rPr>
          <w:lang w:val="en-GB"/>
        </w:rPr>
        <w:t xml:space="preserve"> </w:t>
      </w:r>
      <w:r w:rsidR="000936F1" w:rsidRPr="00E23016">
        <w:t>A</w:t>
      </w:r>
      <w:r w:rsidR="00DB49B6" w:rsidRPr="00E23016">
        <w:t xml:space="preserve"> detailed</w:t>
      </w:r>
      <w:r w:rsidR="000936F1" w:rsidRPr="00E23016">
        <w:t xml:space="preserve"> internal procedure is dedicated to f</w:t>
      </w:r>
      <w:r w:rsidR="0042506D" w:rsidRPr="00E23016">
        <w:t xml:space="preserve">irst aid and </w:t>
      </w:r>
      <w:r w:rsidR="00792302" w:rsidRPr="00E23016">
        <w:t xml:space="preserve">to the recording and analysis of </w:t>
      </w:r>
      <w:r w:rsidR="0042506D" w:rsidRPr="00E23016">
        <w:t>accident</w:t>
      </w:r>
      <w:r w:rsidR="00792302" w:rsidRPr="00E23016">
        <w:t>s</w:t>
      </w:r>
      <w:r w:rsidR="0042506D" w:rsidRPr="00E23016">
        <w:t xml:space="preserve"> </w:t>
      </w:r>
      <w:r w:rsidR="000936F1" w:rsidRPr="00E23016">
        <w:t>and near misses</w:t>
      </w:r>
      <w:r w:rsidR="00792302" w:rsidRPr="00E23016">
        <w:t>. A</w:t>
      </w:r>
      <w:r w:rsidR="0042506D" w:rsidRPr="00E23016">
        <w:t xml:space="preserve"> near miss is</w:t>
      </w:r>
      <w:r w:rsidR="000936F1" w:rsidRPr="00E23016">
        <w:t xml:space="preserve"> there</w:t>
      </w:r>
      <w:r w:rsidR="0042506D" w:rsidRPr="00E23016">
        <w:t xml:space="preserve"> defined as any event that, under different circumstances, could have caused harm to people but, only due to </w:t>
      </w:r>
      <w:proofErr w:type="spellStart"/>
      <w:r w:rsidR="0042506D" w:rsidRPr="00E23016">
        <w:t>favourable</w:t>
      </w:r>
      <w:proofErr w:type="spellEnd"/>
      <w:r w:rsidR="0042506D" w:rsidRPr="00E23016">
        <w:t xml:space="preserve"> and/or random conditions, did not produce such effects. It is therefore an event that has the potential to cause personal injury (physical and/or psychological damage).</w:t>
      </w:r>
      <w:r w:rsidR="00C9497F" w:rsidRPr="00E23016">
        <w:t xml:space="preserve"> </w:t>
      </w:r>
      <w:r w:rsidR="0042506D" w:rsidRPr="00E23016">
        <w:t xml:space="preserve">Any accident, incident and/or near-miss, discovered by anyone, must be promptly reported to the department manager. A specific accident or near-miss analysis report </w:t>
      </w:r>
      <w:proofErr w:type="gramStart"/>
      <w:r w:rsidR="000936F1" w:rsidRPr="00E23016">
        <w:t>has to</w:t>
      </w:r>
      <w:proofErr w:type="gramEnd"/>
      <w:r w:rsidR="000936F1" w:rsidRPr="00E23016">
        <w:t xml:space="preserve"> be</w:t>
      </w:r>
      <w:r w:rsidR="0042506D" w:rsidRPr="00E23016">
        <w:t xml:space="preserve"> completed. Subsequently, an analysis of the incident will be carried out (</w:t>
      </w:r>
      <w:r w:rsidR="00792302" w:rsidRPr="00E23016">
        <w:t xml:space="preserve">through </w:t>
      </w:r>
      <w:r w:rsidR="0042506D" w:rsidRPr="00E23016">
        <w:t xml:space="preserve">collection of information and testimonies, which </w:t>
      </w:r>
      <w:r w:rsidR="00792302" w:rsidRPr="00E23016">
        <w:t>help in</w:t>
      </w:r>
      <w:r w:rsidR="0042506D" w:rsidRPr="00E23016">
        <w:t xml:space="preserve"> establish</w:t>
      </w:r>
      <w:r w:rsidR="00792302" w:rsidRPr="00E23016">
        <w:t>ing</w:t>
      </w:r>
      <w:r w:rsidR="0042506D" w:rsidRPr="00E23016">
        <w:t xml:space="preserve"> the dynamics of the event</w:t>
      </w:r>
      <w:r w:rsidR="00792302" w:rsidRPr="00E23016">
        <w:t xml:space="preserve">) </w:t>
      </w:r>
      <w:r w:rsidR="0042506D" w:rsidRPr="00E23016">
        <w:t xml:space="preserve">and, if necessary, improvement actions will be implemented to prevent the recurrence of the </w:t>
      </w:r>
      <w:r w:rsidR="000936F1" w:rsidRPr="00E23016">
        <w:t>ac</w:t>
      </w:r>
      <w:r w:rsidR="0042506D" w:rsidRPr="00E23016">
        <w:t xml:space="preserve">cident. The reports drawn up during the calendar year are reviewed </w:t>
      </w:r>
      <w:r w:rsidR="000936F1" w:rsidRPr="00E23016">
        <w:t>to</w:t>
      </w:r>
      <w:r w:rsidR="0042506D" w:rsidRPr="00E23016">
        <w:t xml:space="preserve"> evaluate the actions taken and any further ideas for improvement.</w:t>
      </w:r>
    </w:p>
    <w:p w14:paraId="2DB7100B" w14:textId="04EBC30D" w:rsidR="00582844" w:rsidRPr="00E23016" w:rsidRDefault="003D1B13" w:rsidP="00A7751D">
      <w:r w:rsidRPr="00E23016">
        <w:t xml:space="preserve">The company reported that there </w:t>
      </w:r>
      <w:r w:rsidR="00792302" w:rsidRPr="00E23016">
        <w:t>have been</w:t>
      </w:r>
      <w:r w:rsidRPr="00E23016">
        <w:t xml:space="preserve"> 18 </w:t>
      </w:r>
      <w:r w:rsidR="00792302" w:rsidRPr="00E23016">
        <w:t>events (ac</w:t>
      </w:r>
      <w:r w:rsidRPr="00E23016">
        <w:t>cidents or near misses</w:t>
      </w:r>
      <w:r w:rsidR="00792302" w:rsidRPr="00E23016">
        <w:t>)</w:t>
      </w:r>
      <w:r w:rsidRPr="00E23016">
        <w:t xml:space="preserve"> in the period 2020-2025. Detailed information was </w:t>
      </w:r>
      <w:r w:rsidR="00DB49B6" w:rsidRPr="00E23016">
        <w:t>recorded</w:t>
      </w:r>
      <w:r w:rsidRPr="00E23016">
        <w:t xml:space="preserve"> for each of these events, including an analysis of possible causes and the sequence of corrective actions taken. </w:t>
      </w:r>
      <w:r w:rsidR="00C9497F" w:rsidRPr="00E23016">
        <w:t xml:space="preserve">Several managers </w:t>
      </w:r>
      <w:r w:rsidR="00792302" w:rsidRPr="00E23016">
        <w:t xml:space="preserve">typologies </w:t>
      </w:r>
      <w:r w:rsidRPr="00E23016">
        <w:t xml:space="preserve">(e.g. Maintenance Manager, Logistics Manager, Oenologist, Warehouse Manager) </w:t>
      </w:r>
      <w:r w:rsidR="00847568" w:rsidRPr="00E23016">
        <w:t>can be</w:t>
      </w:r>
      <w:r w:rsidRPr="00E23016">
        <w:t xml:space="preserve"> involved in the </w:t>
      </w:r>
      <w:r w:rsidR="00792302" w:rsidRPr="00E23016">
        <w:t>reporting and analysis process</w:t>
      </w:r>
      <w:r w:rsidRPr="00E23016">
        <w:t xml:space="preserve">, due to the complexity of the company, which include several departments and activity typologies. </w:t>
      </w:r>
      <w:proofErr w:type="gramStart"/>
      <w:r w:rsidRPr="00E23016">
        <w:t>In particular, a</w:t>
      </w:r>
      <w:proofErr w:type="gramEnd"/>
      <w:r w:rsidRPr="00E23016">
        <w:t xml:space="preserve"> storage area c</w:t>
      </w:r>
      <w:r w:rsidR="00792302" w:rsidRPr="00E23016">
        <w:t>a</w:t>
      </w:r>
      <w:r w:rsidRPr="00E23016">
        <w:t xml:space="preserve">n host raw materials and finished products, while </w:t>
      </w:r>
      <w:r w:rsidR="00792302" w:rsidRPr="00E23016">
        <w:t>a</w:t>
      </w:r>
      <w:r w:rsidRPr="00E23016">
        <w:t xml:space="preserve"> wine cellar include</w:t>
      </w:r>
      <w:r w:rsidR="00792302" w:rsidRPr="00E23016">
        <w:t>s</w:t>
      </w:r>
      <w:r w:rsidRPr="00E23016">
        <w:t xml:space="preserve"> bulk wine, finishing, production and rectification of concentrated musts. </w:t>
      </w:r>
      <w:r w:rsidR="00DB7EEF" w:rsidRPr="00E23016">
        <w:t>The bottling and packaging lines consist of a series of machines connected by conveyor belts on which the individual containers travel, undergoing specific technological processes aimed at creating and completing the finished container containing the wine.</w:t>
      </w:r>
      <w:r w:rsidR="0087250A" w:rsidRPr="00E23016">
        <w:t xml:space="preserve"> </w:t>
      </w:r>
      <w:r w:rsidR="00DB7EEF" w:rsidRPr="00E23016">
        <w:t>The most significant machines, for the purposes of the activities carried out, are therefore those dedicated to filling the containers, positioning the caps and labelling, as well as those that palletise the cartons containing the various types of filled containers (</w:t>
      </w:r>
      <w:r w:rsidR="00621C94" w:rsidRPr="00E23016">
        <w:t>bottles, cartons, jugs, bag-in-boxes, kegs and cans).</w:t>
      </w:r>
      <w:r w:rsidR="00582844" w:rsidRPr="00E23016">
        <w:t xml:space="preserve"> The maintenance department provides initial internal assistance for any malfunctions affecting company tools and equipment, as well as coordinating any interventions by external technicians and personnel who carry out specialised work on specific machinery and systems. </w:t>
      </w:r>
    </w:p>
    <w:p w14:paraId="4381E681" w14:textId="04607675" w:rsidR="00F0108D" w:rsidRPr="00E23016" w:rsidRDefault="00682A61" w:rsidP="00A7751D">
      <w:r w:rsidRPr="00E23016">
        <w:t xml:space="preserve">Figure 2 shows </w:t>
      </w:r>
      <w:r w:rsidR="00792302" w:rsidRPr="00E23016">
        <w:t xml:space="preserve">in a </w:t>
      </w:r>
      <w:r w:rsidR="00E87BB5" w:rsidRPr="00E23016">
        <w:t xml:space="preserve">pie chart </w:t>
      </w:r>
      <w:r w:rsidR="00792302" w:rsidRPr="00E23016">
        <w:t>the</w:t>
      </w:r>
      <w:r w:rsidR="00E87BB5" w:rsidRPr="00E23016">
        <w:t xml:space="preserve"> percentage</w:t>
      </w:r>
      <w:r w:rsidR="00792302" w:rsidRPr="00E23016">
        <w:t>s</w:t>
      </w:r>
      <w:r w:rsidR="00E87BB5" w:rsidRPr="00E23016">
        <w:t xml:space="preserve"> of undesirable events that occurred in each of the main company departments</w:t>
      </w:r>
      <w:r w:rsidR="00792302" w:rsidRPr="00E23016">
        <w:t xml:space="preserve"> in the considered period</w:t>
      </w:r>
      <w:r w:rsidR="00E87BB5" w:rsidRPr="00E23016">
        <w:t>.</w:t>
      </w:r>
      <w:r w:rsidR="00B90151" w:rsidRPr="00E23016">
        <w:t xml:space="preserve"> It should be noted that in </w:t>
      </w:r>
      <w:r w:rsidR="009977A5" w:rsidRPr="00E23016">
        <w:t>some</w:t>
      </w:r>
      <w:r w:rsidR="00B90151" w:rsidRPr="00E23016">
        <w:t xml:space="preserve"> cases, where the operator had actually </w:t>
      </w:r>
      <w:proofErr w:type="gramStart"/>
      <w:r w:rsidR="00B90151" w:rsidRPr="00E23016">
        <w:t>come into contact with</w:t>
      </w:r>
      <w:proofErr w:type="gramEnd"/>
      <w:r w:rsidR="00B90151" w:rsidRPr="00E23016">
        <w:t xml:space="preserve"> dangerous parts or toxic substances, the company chose to classify the event as a near miss (rather than an actual accident) if the physical consequences were ultimately negligible.</w:t>
      </w:r>
      <w:r w:rsidR="007A5DB4" w:rsidRPr="00E23016">
        <w:t xml:space="preserve"> </w:t>
      </w:r>
      <w:r w:rsidR="00B90151" w:rsidRPr="00E23016">
        <w:t xml:space="preserve">Next to the pie chart, the black boxes show the main issues that could </w:t>
      </w:r>
      <w:r w:rsidR="00792302" w:rsidRPr="00E23016">
        <w:t>represent</w:t>
      </w:r>
      <w:r w:rsidR="00B90151" w:rsidRPr="00E23016">
        <w:t xml:space="preserve"> near misses, as identified in the </w:t>
      </w:r>
      <w:r w:rsidR="00792302" w:rsidRPr="00E23016">
        <w:t>different</w:t>
      </w:r>
      <w:r w:rsidR="00B90151" w:rsidRPr="00E23016">
        <w:t xml:space="preserve"> sectors mentioned above. The red boxes list the possible causes for each issue, as identified by the company's analysis.</w:t>
      </w:r>
      <w:r w:rsidR="00F0108D" w:rsidRPr="00E23016">
        <w:t xml:space="preserve"> </w:t>
      </w:r>
    </w:p>
    <w:p w14:paraId="7F41B654" w14:textId="06007814" w:rsidR="00682A61" w:rsidRPr="00E23016" w:rsidRDefault="00F0108D" w:rsidP="00A7751D">
      <w:r w:rsidRPr="00E23016">
        <w:t xml:space="preserve">It </w:t>
      </w:r>
      <w:r w:rsidR="00DB49B6" w:rsidRPr="00E23016">
        <w:t>appears</w:t>
      </w:r>
      <w:r w:rsidRPr="00E23016">
        <w:t xml:space="preserve"> clear that the warehouse department is where most events </w:t>
      </w:r>
      <w:r w:rsidR="00792302" w:rsidRPr="00E23016">
        <w:t>generally</w:t>
      </w:r>
      <w:r w:rsidRPr="00E23016">
        <w:t xml:space="preserve"> occur. </w:t>
      </w:r>
      <w:r w:rsidR="00DB49B6" w:rsidRPr="00E23016">
        <w:t>I</w:t>
      </w:r>
      <w:r w:rsidRPr="00E23016">
        <w:t xml:space="preserve">n this department (but also in other ones) </w:t>
      </w:r>
      <w:r w:rsidR="00DB49B6" w:rsidRPr="00E23016">
        <w:t xml:space="preserve">there have been </w:t>
      </w:r>
      <w:r w:rsidRPr="00E23016">
        <w:t>collision</w:t>
      </w:r>
      <w:r w:rsidR="00DB49B6" w:rsidRPr="00E23016">
        <w:t>s</w:t>
      </w:r>
      <w:r w:rsidRPr="00E23016">
        <w:t xml:space="preserve"> between forklifts and operators on foot (</w:t>
      </w:r>
      <w:r w:rsidR="00DB49B6" w:rsidRPr="00E23016">
        <w:t xml:space="preserve">risk of </w:t>
      </w:r>
      <w:r w:rsidRPr="00E23016">
        <w:t>injuries) and/or pallets (</w:t>
      </w:r>
      <w:r w:rsidR="00DB49B6" w:rsidRPr="00E23016">
        <w:t>risk</w:t>
      </w:r>
      <w:r w:rsidRPr="00E23016">
        <w:t xml:space="preserve"> </w:t>
      </w:r>
      <w:r w:rsidR="00DB49B6" w:rsidRPr="00E23016">
        <w:t>of</w:t>
      </w:r>
      <w:r w:rsidRPr="00E23016">
        <w:t xml:space="preserve"> damage to goods). In these cases, responsibility </w:t>
      </w:r>
      <w:r w:rsidR="009977A5" w:rsidRPr="00E23016">
        <w:t>has been</w:t>
      </w:r>
      <w:r w:rsidRPr="00E23016">
        <w:t xml:space="preserve"> </w:t>
      </w:r>
      <w:r w:rsidR="00792302" w:rsidRPr="00E23016">
        <w:t>often</w:t>
      </w:r>
      <w:r w:rsidRPr="00E23016">
        <w:t xml:space="preserve"> attributed to the forklift operators if incorrect manoeuvres were performed, but also to poor space management </w:t>
      </w:r>
      <w:r w:rsidR="00DB49B6" w:rsidRPr="00E23016">
        <w:t>if</w:t>
      </w:r>
      <w:r w:rsidRPr="00E23016">
        <w:t xml:space="preserve"> safe routes </w:t>
      </w:r>
      <w:r w:rsidR="009977A5" w:rsidRPr="00E23016">
        <w:t>we</w:t>
      </w:r>
      <w:r w:rsidRPr="00E23016">
        <w:t>re obstructed by materials due to an already full warehouse.</w:t>
      </w:r>
      <w:r w:rsidR="00207C3B" w:rsidRPr="00E23016">
        <w:t xml:space="preserve"> Moreover, </w:t>
      </w:r>
      <w:r w:rsidR="00792302" w:rsidRPr="00E23016">
        <w:t>if</w:t>
      </w:r>
      <w:r w:rsidR="00207C3B" w:rsidRPr="00E23016">
        <w:t xml:space="preserve"> mechanical defect</w:t>
      </w:r>
      <w:r w:rsidR="00792302" w:rsidRPr="00E23016">
        <w:t>s</w:t>
      </w:r>
      <w:r w:rsidR="00207C3B" w:rsidRPr="00E23016">
        <w:t xml:space="preserve"> </w:t>
      </w:r>
      <w:r w:rsidR="00792302" w:rsidRPr="00E23016">
        <w:t>are</w:t>
      </w:r>
      <w:r w:rsidR="00207C3B" w:rsidRPr="00E23016">
        <w:t xml:space="preserve"> identified in forklifts, maintenance is required.</w:t>
      </w:r>
      <w:r w:rsidR="007A5DB4" w:rsidRPr="00E23016">
        <w:t xml:space="preserve"> </w:t>
      </w:r>
      <w:r w:rsidRPr="00E23016">
        <w:t>It can be also</w:t>
      </w:r>
      <w:r w:rsidR="00BF0BDA" w:rsidRPr="00E23016">
        <w:t xml:space="preserve"> observed that – during bottling and packaging - </w:t>
      </w:r>
      <w:r w:rsidR="00682A61" w:rsidRPr="00E23016">
        <w:t>operators may be subjected to accidents or near misses when working close</w:t>
      </w:r>
      <w:r w:rsidR="00BF0BDA" w:rsidRPr="00E23016">
        <w:t xml:space="preserve"> to the</w:t>
      </w:r>
      <w:r w:rsidR="00682A61" w:rsidRPr="00E23016">
        <w:t xml:space="preserve"> machines (palletizers, fillers, etc.) if they </w:t>
      </w:r>
      <w:r w:rsidR="00BF0BDA" w:rsidRPr="00E23016">
        <w:t>are</w:t>
      </w:r>
      <w:r w:rsidR="00682A61" w:rsidRPr="00E23016">
        <w:t xml:space="preserve"> entangled or </w:t>
      </w:r>
      <w:proofErr w:type="gramStart"/>
      <w:r w:rsidR="00682A61" w:rsidRPr="00E23016">
        <w:t>come into contact with</w:t>
      </w:r>
      <w:proofErr w:type="gramEnd"/>
      <w:r w:rsidR="00682A61" w:rsidRPr="00E23016">
        <w:t xml:space="preserve"> moving parts. These types of </w:t>
      </w:r>
      <w:r w:rsidR="009977A5" w:rsidRPr="00E23016">
        <w:t>events</w:t>
      </w:r>
      <w:r w:rsidR="00682A61" w:rsidRPr="00E23016">
        <w:t xml:space="preserve"> are widely documented in the food machinery sector in the context of machinery market surveillance (INAIL, 2021), since sometimes they can be caused by non-conformities of the machine itself. However, in this case the company mainly identifies the unpredictable misconduct of operators as the main cause of accidents.</w:t>
      </w:r>
    </w:p>
    <w:p w14:paraId="48A7C4A1" w14:textId="551F7EEE" w:rsidR="00C9497F" w:rsidRPr="00E23016" w:rsidRDefault="00BF0BDA" w:rsidP="00A7751D">
      <w:r w:rsidRPr="00E23016">
        <w:t xml:space="preserve">There is also the possibility that hazardous substances are released (a circumstance that </w:t>
      </w:r>
      <w:r w:rsidR="00DC07C2" w:rsidRPr="00E23016">
        <w:t>represents</w:t>
      </w:r>
      <w:r w:rsidRPr="00E23016">
        <w:t xml:space="preserve"> a </w:t>
      </w:r>
      <w:r w:rsidR="00DC07C2" w:rsidRPr="00E23016">
        <w:t>classical</w:t>
      </w:r>
      <w:r w:rsidRPr="00E23016">
        <w:t xml:space="preserve"> near miss in other plants, that is the Seveso ones), especially in the wine cellar area. </w:t>
      </w:r>
      <w:r w:rsidR="00682A61" w:rsidRPr="00E23016">
        <w:t xml:space="preserve">The incoming wines are stored in vats and tanks where the product is kept until the processing stage. These wine vats are subject to </w:t>
      </w:r>
      <w:r w:rsidR="00682A61" w:rsidRPr="00E23016">
        <w:lastRenderedPageBreak/>
        <w:t>cleaning, which may include washing and sanitising using specific chlorine-alkaline products used in appropriate dilutions and distributed by automatic washing systems. Access to the wine vats is normally prohibited. In cases where it is necessary to work in these confined spaces, a specific company procedure is in place. In the must concentration and rectification department, there are also three tanks containing sulphuric acid, hydrochloric acid and caustic soda, protected by special containment tanks. These products, which have concentrations ranging from 35</w:t>
      </w:r>
      <w:r w:rsidR="00C27809" w:rsidRPr="00E23016">
        <w:t>%</w:t>
      </w:r>
      <w:r w:rsidR="00682A61" w:rsidRPr="00E23016">
        <w:t xml:space="preserve"> to 50%, are used to wash the rectification plant. The presence of concentrated acids and bases is managed for loading and unloading activities with specific operating instructions.</w:t>
      </w:r>
    </w:p>
    <w:p w14:paraId="484636B6" w14:textId="1B3BE700" w:rsidR="00474FD8" w:rsidRPr="00E23016" w:rsidRDefault="00DF6655" w:rsidP="00A7751D">
      <w:pPr>
        <w:pStyle w:val="CETBodytext"/>
        <w:rPr>
          <w:lang w:val="it-IT"/>
        </w:rPr>
      </w:pPr>
      <w:r w:rsidRPr="00E23016">
        <w:rPr>
          <w:noProof/>
          <w:lang w:val="it-IT"/>
        </w:rPr>
        <w:drawing>
          <wp:inline distT="0" distB="0" distL="0" distR="0" wp14:anchorId="1D9FCC35" wp14:editId="3AC48772">
            <wp:extent cx="5400000" cy="3513600"/>
            <wp:effectExtent l="0" t="0" r="0" b="0"/>
            <wp:docPr id="193601958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3811" t="2420"/>
                    <a:stretch>
                      <a:fillRect/>
                    </a:stretch>
                  </pic:blipFill>
                  <pic:spPr bwMode="auto">
                    <a:xfrm>
                      <a:off x="0" y="0"/>
                      <a:ext cx="5400000" cy="3513600"/>
                    </a:xfrm>
                    <a:prstGeom prst="rect">
                      <a:avLst/>
                    </a:prstGeom>
                    <a:noFill/>
                    <a:ln>
                      <a:noFill/>
                    </a:ln>
                    <a:extLst>
                      <a:ext uri="{53640926-AAD7-44D8-BBD7-CCE9431645EC}">
                        <a14:shadowObscured xmlns:a14="http://schemas.microsoft.com/office/drawing/2010/main"/>
                      </a:ext>
                    </a:extLst>
                  </pic:spPr>
                </pic:pic>
              </a:graphicData>
            </a:graphic>
          </wp:inline>
        </w:drawing>
      </w:r>
    </w:p>
    <w:p w14:paraId="110694EA" w14:textId="5EE6D112" w:rsidR="007F098A" w:rsidRPr="00E23016" w:rsidRDefault="007F098A" w:rsidP="00A7751D">
      <w:pPr>
        <w:pStyle w:val="CETCaption"/>
        <w:jc w:val="left"/>
        <w:rPr>
          <w:rStyle w:val="CETCaptionCarattere"/>
        </w:rPr>
      </w:pPr>
      <w:r w:rsidRPr="00E23016">
        <w:rPr>
          <w:rStyle w:val="CETCaptionCarattere"/>
          <w:i/>
        </w:rPr>
        <w:t xml:space="preserve">Figure 2: </w:t>
      </w:r>
      <w:r w:rsidR="00D6336D" w:rsidRPr="00E23016">
        <w:rPr>
          <w:rStyle w:val="CETCaptionCarattere"/>
          <w:i/>
        </w:rPr>
        <w:t>Occurred</w:t>
      </w:r>
      <w:r w:rsidRPr="00E23016">
        <w:rPr>
          <w:rStyle w:val="CETCaptionCarattere"/>
          <w:i/>
        </w:rPr>
        <w:t xml:space="preserve"> </w:t>
      </w:r>
      <w:r w:rsidR="00D6336D" w:rsidRPr="00E23016">
        <w:rPr>
          <w:rStyle w:val="CETCaptionCarattere"/>
          <w:i/>
        </w:rPr>
        <w:t>unwanted events in different departments of the company (percentage of total). The main problems observed and their possible causes (as hypothesized by the company) are listed on the sides</w:t>
      </w:r>
      <w:r w:rsidR="00F6202F" w:rsidRPr="00E23016">
        <w:rPr>
          <w:rStyle w:val="CETCaptionCarattere"/>
          <w:i/>
        </w:rPr>
        <w:t>,</w:t>
      </w:r>
      <w:r w:rsidR="00D6336D" w:rsidRPr="00E23016">
        <w:rPr>
          <w:rStyle w:val="CETCaptionCarattere"/>
          <w:i/>
        </w:rPr>
        <w:t xml:space="preserve"> in black and red boxes respectively.</w:t>
      </w:r>
    </w:p>
    <w:p w14:paraId="665EB7BF" w14:textId="50AF9BED" w:rsidR="00937E8F" w:rsidRPr="00E23016" w:rsidRDefault="005B71DE" w:rsidP="00A7751D">
      <w:pPr>
        <w:pStyle w:val="CETBodytext"/>
      </w:pPr>
      <w:r w:rsidRPr="00E23016">
        <w:rPr>
          <w:lang w:val="en-GB"/>
        </w:rPr>
        <w:t xml:space="preserve">Consequently, various types of corrective actions are applied </w:t>
      </w:r>
      <w:proofErr w:type="gramStart"/>
      <w:r w:rsidRPr="00E23016">
        <w:rPr>
          <w:lang w:val="en-GB"/>
        </w:rPr>
        <w:t>in order to</w:t>
      </w:r>
      <w:proofErr w:type="gramEnd"/>
      <w:r w:rsidRPr="00E23016">
        <w:rPr>
          <w:lang w:val="en-GB"/>
        </w:rPr>
        <w:t xml:space="preserve"> manage </w:t>
      </w:r>
      <w:r w:rsidR="00DC07C2" w:rsidRPr="00E23016">
        <w:rPr>
          <w:lang w:val="en-GB"/>
        </w:rPr>
        <w:t>each</w:t>
      </w:r>
      <w:r w:rsidRPr="00E23016">
        <w:rPr>
          <w:lang w:val="en-GB"/>
        </w:rPr>
        <w:t xml:space="preserve"> event and try to prevent it from happening again. </w:t>
      </w:r>
      <w:r w:rsidR="009851CF" w:rsidRPr="00E23016">
        <w:rPr>
          <w:lang w:val="en-GB"/>
        </w:rPr>
        <w:t xml:space="preserve">Sometimes </w:t>
      </w:r>
      <w:r w:rsidR="007033AF" w:rsidRPr="00E23016">
        <w:rPr>
          <w:lang w:val="en-GB"/>
        </w:rPr>
        <w:t>such</w:t>
      </w:r>
      <w:r w:rsidR="009851CF" w:rsidRPr="00E23016">
        <w:rPr>
          <w:lang w:val="en-GB"/>
        </w:rPr>
        <w:t xml:space="preserve"> interventions involve operational (or maintenance) procedures, </w:t>
      </w:r>
      <w:r w:rsidR="00DC07C2" w:rsidRPr="00E23016">
        <w:rPr>
          <w:lang w:val="en-GB"/>
        </w:rPr>
        <w:t>when</w:t>
      </w:r>
      <w:r w:rsidR="009851CF" w:rsidRPr="00E23016">
        <w:rPr>
          <w:lang w:val="en-GB"/>
        </w:rPr>
        <w:t xml:space="preserve"> they need to be modified, updated or enhanced. In other cases, </w:t>
      </w:r>
      <w:r w:rsidR="00DC07C2" w:rsidRPr="00E23016">
        <w:rPr>
          <w:lang w:val="en-GB"/>
        </w:rPr>
        <w:t>if</w:t>
      </w:r>
      <w:r w:rsidR="00C12726" w:rsidRPr="00E23016">
        <w:rPr>
          <w:lang w:val="en-GB"/>
        </w:rPr>
        <w:t xml:space="preserve"> human error plays a central role</w:t>
      </w:r>
      <w:r w:rsidR="007033AF" w:rsidRPr="00E23016">
        <w:rPr>
          <w:lang w:val="en-GB"/>
        </w:rPr>
        <w:t xml:space="preserve"> (almost 55% of cases)</w:t>
      </w:r>
      <w:r w:rsidR="00C12726" w:rsidRPr="00E23016">
        <w:rPr>
          <w:lang w:val="en-GB"/>
        </w:rPr>
        <w:t>, training and awareness-raising activities for workers are preferred.</w:t>
      </w:r>
      <w:r w:rsidR="00D06722" w:rsidRPr="00E23016">
        <w:rPr>
          <w:lang w:val="en-GB"/>
        </w:rPr>
        <w:t xml:space="preserve"> Technical interventions are also necessary to close leaks from piping, while falls of goods or pallets can be avoided by checking the stability of structures (e.g., shelving) and replacing them if they are excessively old.</w:t>
      </w:r>
      <w:r w:rsidR="007A5DB4" w:rsidRPr="00E23016">
        <w:rPr>
          <w:lang w:val="en-GB"/>
        </w:rPr>
        <w:t xml:space="preserve"> </w:t>
      </w:r>
      <w:r w:rsidR="0099499E" w:rsidRPr="00E23016">
        <w:t>In relation to the proper management of spaces, it was sometimes decided to increase signage and, where necessary, install additional protective barriers.</w:t>
      </w:r>
      <w:r w:rsidR="007A5DB4" w:rsidRPr="00E23016">
        <w:t xml:space="preserve"> </w:t>
      </w:r>
      <w:r w:rsidR="00937E8F" w:rsidRPr="00E23016">
        <w:t xml:space="preserve">It should be finally noted that in some cases, </w:t>
      </w:r>
      <w:r w:rsidR="00A7751D" w:rsidRPr="00E23016">
        <w:t xml:space="preserve">even </w:t>
      </w:r>
      <w:r w:rsidR="00937E8F" w:rsidRPr="00E23016">
        <w:t xml:space="preserve">operators from external companies are involved (e.g., tanker drivers or maintenance workers). It is therefore necessary to </w:t>
      </w:r>
      <w:r w:rsidR="00DC07C2" w:rsidRPr="00E23016">
        <w:t>coordinate</w:t>
      </w:r>
      <w:r w:rsidR="00937E8F" w:rsidRPr="00E23016">
        <w:t xml:space="preserve"> with </w:t>
      </w:r>
      <w:r w:rsidR="00F2702E" w:rsidRPr="00E23016">
        <w:t>their employers</w:t>
      </w:r>
      <w:r w:rsidR="00937E8F" w:rsidRPr="00E23016">
        <w:t xml:space="preserve"> to ensure that appropriate information and instructions are provided for </w:t>
      </w:r>
      <w:r w:rsidR="00DC07C2" w:rsidRPr="00E23016">
        <w:t xml:space="preserve">their </w:t>
      </w:r>
      <w:r w:rsidR="00937E8F" w:rsidRPr="00E23016">
        <w:t>safe access to the site</w:t>
      </w:r>
      <w:r w:rsidR="00DC07C2" w:rsidRPr="00E23016">
        <w:t xml:space="preserve"> and </w:t>
      </w:r>
      <w:r w:rsidR="00F2702E" w:rsidRPr="00E23016">
        <w:t>that all</w:t>
      </w:r>
      <w:r w:rsidR="00DC07C2" w:rsidRPr="00E23016">
        <w:t xml:space="preserve"> internal procedures are followed</w:t>
      </w:r>
      <w:r w:rsidR="00937E8F" w:rsidRPr="00E23016">
        <w:t>.</w:t>
      </w:r>
    </w:p>
    <w:p w14:paraId="51138000" w14:textId="3CFA7E9F" w:rsidR="007A5DB4" w:rsidRPr="00E23016" w:rsidRDefault="007A5DB4" w:rsidP="00A7751D">
      <w:pPr>
        <w:pStyle w:val="CETBodytext"/>
      </w:pPr>
      <w:r w:rsidRPr="00E23016">
        <w:t xml:space="preserve">The company </w:t>
      </w:r>
      <w:r w:rsidR="009A32E2" w:rsidRPr="00E23016">
        <w:t xml:space="preserve">finally </w:t>
      </w:r>
      <w:r w:rsidR="00AB77A0" w:rsidRPr="00E23016">
        <w:t>observed</w:t>
      </w:r>
      <w:r w:rsidRPr="00E23016">
        <w:t xml:space="preserve"> </w:t>
      </w:r>
      <w:r w:rsidR="0082084B" w:rsidRPr="00E23016">
        <w:t xml:space="preserve">that </w:t>
      </w:r>
      <w:r w:rsidR="00C56246" w:rsidRPr="00E23016">
        <w:t>focusing</w:t>
      </w:r>
      <w:r w:rsidR="0082084B" w:rsidRPr="00E23016">
        <w:t xml:space="preserve"> on near misses has led </w:t>
      </w:r>
      <w:r w:rsidR="00C56246" w:rsidRPr="00E23016">
        <w:t xml:space="preserve">to </w:t>
      </w:r>
      <w:r w:rsidRPr="00E23016">
        <w:t>a</w:t>
      </w:r>
      <w:r w:rsidR="0082084B" w:rsidRPr="00E23016">
        <w:t xml:space="preserve">n </w:t>
      </w:r>
      <w:r w:rsidRPr="00E23016">
        <w:t>improvement in safety culture (reporting incidents has become part of the company’s routine), a general improvement in the management of the company’s response to critical situations and a reduction in near</w:t>
      </w:r>
      <w:r w:rsidR="006309C7" w:rsidRPr="00E23016">
        <w:t xml:space="preserve"> </w:t>
      </w:r>
      <w:r w:rsidRPr="00E23016">
        <w:t>misses</w:t>
      </w:r>
      <w:r w:rsidR="00324C51" w:rsidRPr="00E23016">
        <w:t xml:space="preserve"> (</w:t>
      </w:r>
      <w:r w:rsidR="00A44A28" w:rsidRPr="00E23016">
        <w:t>even more evident given</w:t>
      </w:r>
      <w:r w:rsidRPr="00E23016">
        <w:t xml:space="preserve"> the increase in the workforce, which has grown from 260 to approximately 490 employees over the last two years</w:t>
      </w:r>
      <w:r w:rsidR="00324C51" w:rsidRPr="00E23016">
        <w:t>)</w:t>
      </w:r>
      <w:r w:rsidRPr="00E23016">
        <w:t>.</w:t>
      </w:r>
    </w:p>
    <w:p w14:paraId="40D4DDBE" w14:textId="4D28670B" w:rsidR="00F36BFE" w:rsidRPr="00E23016" w:rsidRDefault="00F36BFE" w:rsidP="00A7751D">
      <w:pPr>
        <w:pStyle w:val="CETHeading1"/>
        <w:rPr>
          <w:lang w:val="en-GB"/>
        </w:rPr>
      </w:pPr>
      <w:r w:rsidRPr="00E23016">
        <w:rPr>
          <w:lang w:val="en-GB"/>
        </w:rPr>
        <w:t>Conclusions</w:t>
      </w:r>
      <w:r w:rsidR="00310741" w:rsidRPr="00E23016">
        <w:rPr>
          <w:lang w:val="en-GB"/>
        </w:rPr>
        <w:t xml:space="preserve"> </w:t>
      </w:r>
    </w:p>
    <w:p w14:paraId="7BA09073" w14:textId="53C83107" w:rsidR="00971AE0" w:rsidRPr="00E23016" w:rsidRDefault="00407AFA" w:rsidP="00A7751D">
      <w:pPr>
        <w:pStyle w:val="CETBodytext"/>
        <w:rPr>
          <w:rFonts w:eastAsiaTheme="minorHAnsi" w:cs="Arial"/>
          <w:szCs w:val="18"/>
          <w:lang w:val="en-GB"/>
        </w:rPr>
      </w:pPr>
      <w:r w:rsidRPr="00E23016">
        <w:rPr>
          <w:rFonts w:eastAsiaTheme="minorHAnsi" w:cs="Arial"/>
          <w:szCs w:val="18"/>
          <w:lang w:val="en-GB"/>
        </w:rPr>
        <w:t xml:space="preserve">The </w:t>
      </w:r>
      <w:r w:rsidR="009F125C" w:rsidRPr="00E23016">
        <w:rPr>
          <w:rFonts w:eastAsiaTheme="minorHAnsi" w:cs="Arial"/>
          <w:szCs w:val="18"/>
          <w:lang w:val="en-GB"/>
        </w:rPr>
        <w:t xml:space="preserve">proposed </w:t>
      </w:r>
      <w:r w:rsidRPr="00E23016">
        <w:rPr>
          <w:rFonts w:eastAsiaTheme="minorHAnsi" w:cs="Arial"/>
          <w:szCs w:val="18"/>
          <w:lang w:val="en-GB"/>
        </w:rPr>
        <w:t>questionnaire highlighted how the importance of recognizing</w:t>
      </w:r>
      <w:r w:rsidR="009F125C" w:rsidRPr="00E23016">
        <w:rPr>
          <w:rFonts w:eastAsiaTheme="minorHAnsi" w:cs="Arial"/>
          <w:szCs w:val="18"/>
          <w:lang w:val="en-GB"/>
        </w:rPr>
        <w:t xml:space="preserve"> and</w:t>
      </w:r>
      <w:r w:rsidRPr="00E23016">
        <w:rPr>
          <w:rFonts w:eastAsiaTheme="minorHAnsi" w:cs="Arial"/>
          <w:szCs w:val="18"/>
          <w:lang w:val="en-GB"/>
        </w:rPr>
        <w:t xml:space="preserve"> managing near misses is no longer an unknown concept in the Italian food industry, although this awareness is more evident in larger companies. </w:t>
      </w:r>
      <w:r w:rsidR="009F125C" w:rsidRPr="00E23016">
        <w:rPr>
          <w:rFonts w:eastAsiaTheme="minorHAnsi" w:cs="Arial"/>
          <w:szCs w:val="18"/>
          <w:lang w:val="en-GB"/>
        </w:rPr>
        <w:t>T</w:t>
      </w:r>
      <w:r w:rsidRPr="00E23016">
        <w:rPr>
          <w:rFonts w:eastAsiaTheme="minorHAnsi" w:cs="Arial"/>
          <w:szCs w:val="18"/>
          <w:lang w:val="en-GB"/>
        </w:rPr>
        <w:t xml:space="preserve">here is a need to define more clearly the distinction between near misses and accidents, to standardize approaches </w:t>
      </w:r>
      <w:r w:rsidR="008411D2" w:rsidRPr="00E23016">
        <w:rPr>
          <w:rFonts w:eastAsiaTheme="minorHAnsi" w:cs="Arial"/>
          <w:szCs w:val="18"/>
          <w:lang w:val="en-GB"/>
        </w:rPr>
        <w:t>without ambiguities</w:t>
      </w:r>
      <w:r w:rsidRPr="00E23016">
        <w:rPr>
          <w:rFonts w:eastAsiaTheme="minorHAnsi" w:cs="Arial"/>
          <w:szCs w:val="18"/>
          <w:lang w:val="en-GB"/>
        </w:rPr>
        <w:t xml:space="preserve">. Human error </w:t>
      </w:r>
      <w:r w:rsidR="00DC4DBD" w:rsidRPr="00E23016">
        <w:rPr>
          <w:rFonts w:eastAsiaTheme="minorHAnsi" w:cs="Arial"/>
          <w:szCs w:val="18"/>
          <w:lang w:val="en-GB"/>
        </w:rPr>
        <w:t>appears</w:t>
      </w:r>
      <w:r w:rsidRPr="00E23016">
        <w:rPr>
          <w:rFonts w:eastAsiaTheme="minorHAnsi" w:cs="Arial"/>
          <w:szCs w:val="18"/>
          <w:lang w:val="en-GB"/>
        </w:rPr>
        <w:t xml:space="preserve"> as the main component causing </w:t>
      </w:r>
      <w:r w:rsidR="007529DC" w:rsidRPr="00E23016">
        <w:rPr>
          <w:rFonts w:eastAsiaTheme="minorHAnsi" w:cs="Arial"/>
          <w:szCs w:val="18"/>
          <w:lang w:val="en-GB"/>
        </w:rPr>
        <w:t>unwanted events</w:t>
      </w:r>
      <w:r w:rsidRPr="00E23016">
        <w:rPr>
          <w:rFonts w:eastAsiaTheme="minorHAnsi" w:cs="Arial"/>
          <w:szCs w:val="18"/>
          <w:lang w:val="en-GB"/>
        </w:rPr>
        <w:t>, regardless of company size</w:t>
      </w:r>
      <w:r w:rsidR="007529DC" w:rsidRPr="00E23016">
        <w:rPr>
          <w:rFonts w:eastAsiaTheme="minorHAnsi" w:cs="Arial"/>
          <w:szCs w:val="18"/>
          <w:lang w:val="en-GB"/>
        </w:rPr>
        <w:t xml:space="preserve">, but </w:t>
      </w:r>
      <w:r w:rsidR="00DC4DBD" w:rsidRPr="00E23016">
        <w:rPr>
          <w:rFonts w:eastAsiaTheme="minorHAnsi" w:cs="Arial"/>
          <w:szCs w:val="18"/>
          <w:lang w:val="en-GB"/>
        </w:rPr>
        <w:t xml:space="preserve">many </w:t>
      </w:r>
      <w:r w:rsidR="009F125C" w:rsidRPr="00E23016">
        <w:rPr>
          <w:rFonts w:eastAsiaTheme="minorHAnsi" w:cs="Arial"/>
          <w:szCs w:val="18"/>
          <w:lang w:val="en-GB"/>
        </w:rPr>
        <w:t xml:space="preserve">other </w:t>
      </w:r>
      <w:r w:rsidR="007529DC" w:rsidRPr="00E23016">
        <w:rPr>
          <w:rFonts w:eastAsiaTheme="minorHAnsi" w:cs="Arial"/>
          <w:szCs w:val="18"/>
          <w:lang w:val="en-GB"/>
        </w:rPr>
        <w:t xml:space="preserve">typologies of </w:t>
      </w:r>
      <w:r w:rsidR="009F125C" w:rsidRPr="00E23016">
        <w:rPr>
          <w:rStyle w:val="CETCaptionCarattere"/>
          <w:i w:val="0"/>
          <w:iCs/>
        </w:rPr>
        <w:t>anomalies have been also identified.</w:t>
      </w:r>
    </w:p>
    <w:p w14:paraId="5369EB2E" w14:textId="506229F0" w:rsidR="008411D2" w:rsidRPr="00E23016" w:rsidRDefault="008411D2" w:rsidP="00A7751D">
      <w:pPr>
        <w:pStyle w:val="CETBodytext"/>
        <w:rPr>
          <w:rFonts w:eastAsiaTheme="minorHAnsi" w:cs="Arial"/>
          <w:szCs w:val="18"/>
          <w:lang w:val="en-GB"/>
        </w:rPr>
      </w:pPr>
      <w:r w:rsidRPr="00E23016">
        <w:rPr>
          <w:rFonts w:eastAsiaTheme="minorHAnsi" w:cs="Arial"/>
          <w:szCs w:val="18"/>
          <w:lang w:val="en-GB"/>
        </w:rPr>
        <w:lastRenderedPageBreak/>
        <w:t xml:space="preserve">The analysis of </w:t>
      </w:r>
      <w:r w:rsidR="009F125C" w:rsidRPr="00E23016">
        <w:rPr>
          <w:rFonts w:eastAsiaTheme="minorHAnsi" w:cs="Arial"/>
          <w:szCs w:val="18"/>
          <w:lang w:val="en-GB"/>
        </w:rPr>
        <w:t>the</w:t>
      </w:r>
      <w:r w:rsidRPr="00E23016">
        <w:rPr>
          <w:rFonts w:eastAsiaTheme="minorHAnsi" w:cs="Arial"/>
          <w:szCs w:val="18"/>
          <w:lang w:val="en-GB"/>
        </w:rPr>
        <w:t xml:space="preserve"> specific </w:t>
      </w:r>
      <w:r w:rsidR="009F125C" w:rsidRPr="00E23016">
        <w:rPr>
          <w:rFonts w:eastAsiaTheme="minorHAnsi" w:cs="Arial"/>
          <w:szCs w:val="18"/>
          <w:lang w:val="en-GB"/>
        </w:rPr>
        <w:t>case</w:t>
      </w:r>
      <w:r w:rsidRPr="00E23016">
        <w:rPr>
          <w:rFonts w:eastAsiaTheme="minorHAnsi" w:cs="Arial"/>
          <w:szCs w:val="18"/>
          <w:lang w:val="en-GB"/>
        </w:rPr>
        <w:t xml:space="preserve"> of a winery has clearly </w:t>
      </w:r>
      <w:r w:rsidR="009F125C" w:rsidRPr="00E23016">
        <w:rPr>
          <w:rFonts w:eastAsiaTheme="minorHAnsi" w:cs="Arial"/>
          <w:szCs w:val="18"/>
          <w:lang w:val="en-GB"/>
        </w:rPr>
        <w:t>confirmed</w:t>
      </w:r>
      <w:r w:rsidRPr="00E23016">
        <w:rPr>
          <w:rFonts w:eastAsiaTheme="minorHAnsi" w:cs="Arial"/>
          <w:szCs w:val="18"/>
          <w:lang w:val="en-GB"/>
        </w:rPr>
        <w:t xml:space="preserve"> </w:t>
      </w:r>
      <w:r w:rsidR="007529DC" w:rsidRPr="00E23016">
        <w:rPr>
          <w:rFonts w:eastAsiaTheme="minorHAnsi" w:cs="Arial"/>
          <w:szCs w:val="18"/>
          <w:lang w:val="en-GB"/>
        </w:rPr>
        <w:t>such</w:t>
      </w:r>
      <w:r w:rsidRPr="00E23016">
        <w:rPr>
          <w:rFonts w:eastAsiaTheme="minorHAnsi" w:cs="Arial"/>
          <w:szCs w:val="18"/>
          <w:lang w:val="en-GB"/>
        </w:rPr>
        <w:t xml:space="preserve"> variety of near misses that can occur, given the extreme diversification of activities and risks in the departments of the company. The storage phase appears to be the most affected by undesirable events or anomalies; this suggests that similar problems may also arise in many other types of </w:t>
      </w:r>
      <w:r w:rsidR="007C441E" w:rsidRPr="00E23016">
        <w:rPr>
          <w:rFonts w:eastAsiaTheme="minorHAnsi" w:cs="Arial"/>
          <w:szCs w:val="18"/>
          <w:lang w:val="en-GB"/>
        </w:rPr>
        <w:t>industrial field</w:t>
      </w:r>
      <w:r w:rsidR="00D21A92" w:rsidRPr="00E23016">
        <w:rPr>
          <w:rFonts w:eastAsiaTheme="minorHAnsi" w:cs="Arial"/>
          <w:szCs w:val="18"/>
          <w:lang w:val="en-GB"/>
        </w:rPr>
        <w:t>s</w:t>
      </w:r>
      <w:r w:rsidRPr="00E23016">
        <w:rPr>
          <w:rFonts w:eastAsiaTheme="minorHAnsi" w:cs="Arial"/>
          <w:szCs w:val="18"/>
          <w:lang w:val="en-GB"/>
        </w:rPr>
        <w:t>, where</w:t>
      </w:r>
      <w:r w:rsidR="009F125C" w:rsidRPr="00E23016">
        <w:rPr>
          <w:rFonts w:eastAsiaTheme="minorHAnsi" w:cs="Arial"/>
          <w:szCs w:val="18"/>
          <w:lang w:val="en-GB"/>
        </w:rPr>
        <w:t>as</w:t>
      </w:r>
      <w:r w:rsidRPr="00E23016">
        <w:rPr>
          <w:rFonts w:eastAsiaTheme="minorHAnsi" w:cs="Arial"/>
          <w:szCs w:val="18"/>
          <w:lang w:val="en-GB"/>
        </w:rPr>
        <w:t xml:space="preserve"> storing components or products is a fundamental requirement. The wine cellar also presents risks</w:t>
      </w:r>
      <w:r w:rsidR="009F125C" w:rsidRPr="00E23016">
        <w:rPr>
          <w:rFonts w:eastAsiaTheme="minorHAnsi" w:cs="Arial"/>
          <w:szCs w:val="18"/>
          <w:lang w:val="en-GB"/>
        </w:rPr>
        <w:t xml:space="preserve"> </w:t>
      </w:r>
      <w:r w:rsidRPr="00E23016">
        <w:rPr>
          <w:rFonts w:eastAsiaTheme="minorHAnsi" w:cs="Arial"/>
          <w:szCs w:val="18"/>
          <w:lang w:val="en-GB"/>
        </w:rPr>
        <w:t xml:space="preserve">in relation to possible leakage of hazardous chemicals used in wine processing or </w:t>
      </w:r>
      <w:r w:rsidR="009F125C" w:rsidRPr="00E23016">
        <w:rPr>
          <w:rFonts w:eastAsiaTheme="minorHAnsi" w:cs="Arial"/>
          <w:szCs w:val="18"/>
          <w:lang w:val="en-GB"/>
        </w:rPr>
        <w:t xml:space="preserve">in </w:t>
      </w:r>
      <w:r w:rsidRPr="00E23016">
        <w:rPr>
          <w:rFonts w:eastAsiaTheme="minorHAnsi" w:cs="Arial"/>
          <w:szCs w:val="18"/>
          <w:lang w:val="en-GB"/>
        </w:rPr>
        <w:t xml:space="preserve">cleaning. </w:t>
      </w:r>
      <w:r w:rsidR="009F125C" w:rsidRPr="00E23016">
        <w:rPr>
          <w:rFonts w:eastAsiaTheme="minorHAnsi" w:cs="Arial"/>
          <w:szCs w:val="18"/>
          <w:lang w:val="en-GB"/>
        </w:rPr>
        <w:t xml:space="preserve">This confirms that, even in non-Seveso sites, </w:t>
      </w:r>
      <w:r w:rsidR="0050337A" w:rsidRPr="00E23016">
        <w:rPr>
          <w:rFonts w:eastAsiaTheme="minorHAnsi" w:cs="Arial"/>
          <w:szCs w:val="18"/>
          <w:lang w:val="en-GB"/>
        </w:rPr>
        <w:t xml:space="preserve">accidents with severe consequences can </w:t>
      </w:r>
      <w:r w:rsidR="00CD40C1" w:rsidRPr="00E23016">
        <w:rPr>
          <w:rFonts w:eastAsiaTheme="minorHAnsi" w:cs="Arial"/>
          <w:szCs w:val="18"/>
          <w:lang w:val="en-GB"/>
        </w:rPr>
        <w:t>occur</w:t>
      </w:r>
      <w:r w:rsidR="009F125C" w:rsidRPr="00E23016">
        <w:rPr>
          <w:rFonts w:eastAsiaTheme="minorHAnsi" w:cs="Arial"/>
          <w:szCs w:val="18"/>
          <w:lang w:val="en-GB"/>
        </w:rPr>
        <w:t xml:space="preserve">. </w:t>
      </w:r>
      <w:r w:rsidRPr="00E23016">
        <w:rPr>
          <w:rFonts w:eastAsiaTheme="minorHAnsi" w:cs="Arial"/>
          <w:szCs w:val="18"/>
          <w:lang w:val="en-GB"/>
        </w:rPr>
        <w:t>Such diversification requires wide-ranging interventions and complex choices.</w:t>
      </w:r>
      <w:r w:rsidR="00324C51" w:rsidRPr="00E23016">
        <w:rPr>
          <w:rFonts w:eastAsiaTheme="minorHAnsi" w:cs="Arial"/>
          <w:szCs w:val="18"/>
          <w:lang w:val="en-GB"/>
        </w:rPr>
        <w:t xml:space="preserve"> The </w:t>
      </w:r>
      <w:r w:rsidR="005F7900" w:rsidRPr="00E23016">
        <w:rPr>
          <w:rFonts w:eastAsiaTheme="minorHAnsi" w:cs="Arial"/>
          <w:szCs w:val="18"/>
          <w:lang w:val="en-GB"/>
        </w:rPr>
        <w:t>investigated</w:t>
      </w:r>
      <w:r w:rsidR="00324C51" w:rsidRPr="00E23016">
        <w:rPr>
          <w:rFonts w:eastAsiaTheme="minorHAnsi" w:cs="Arial"/>
          <w:szCs w:val="18"/>
          <w:lang w:val="en-GB"/>
        </w:rPr>
        <w:t xml:space="preserve"> company has </w:t>
      </w:r>
      <w:r w:rsidR="00391CF6" w:rsidRPr="00E23016">
        <w:rPr>
          <w:rFonts w:eastAsiaTheme="minorHAnsi" w:cs="Arial"/>
          <w:szCs w:val="18"/>
          <w:lang w:val="en-GB"/>
        </w:rPr>
        <w:t>reported that</w:t>
      </w:r>
      <w:r w:rsidR="00324C51" w:rsidRPr="00E23016">
        <w:rPr>
          <w:rFonts w:eastAsiaTheme="minorHAnsi" w:cs="Arial"/>
          <w:szCs w:val="18"/>
          <w:lang w:val="en-GB"/>
        </w:rPr>
        <w:t xml:space="preserve"> the assessment of near misses </w:t>
      </w:r>
      <w:r w:rsidR="00391CF6" w:rsidRPr="00E23016">
        <w:rPr>
          <w:rFonts w:eastAsiaTheme="minorHAnsi" w:cs="Arial"/>
          <w:szCs w:val="18"/>
          <w:lang w:val="en-GB"/>
        </w:rPr>
        <w:t>has brought tangible benefits to the safety of its workplaces</w:t>
      </w:r>
      <w:r w:rsidR="00324C51" w:rsidRPr="00E23016">
        <w:rPr>
          <w:rFonts w:eastAsiaTheme="minorHAnsi" w:cs="Arial"/>
          <w:szCs w:val="18"/>
          <w:lang w:val="en-GB"/>
        </w:rPr>
        <w:t>.</w:t>
      </w:r>
      <w:r w:rsidRPr="00E23016">
        <w:rPr>
          <w:rFonts w:eastAsiaTheme="minorHAnsi" w:cs="Arial"/>
          <w:szCs w:val="18"/>
          <w:lang w:val="en-GB"/>
        </w:rPr>
        <w:t xml:space="preserve"> </w:t>
      </w:r>
    </w:p>
    <w:p w14:paraId="63A2D9C0" w14:textId="66F1BFA4" w:rsidR="001C597C" w:rsidRPr="00E23016" w:rsidRDefault="001C597C" w:rsidP="00A7751D">
      <w:pPr>
        <w:pStyle w:val="CETBodytext"/>
        <w:rPr>
          <w:rFonts w:eastAsiaTheme="minorHAnsi" w:cs="Arial"/>
          <w:szCs w:val="18"/>
        </w:rPr>
      </w:pPr>
      <w:r w:rsidRPr="00E23016">
        <w:rPr>
          <w:rFonts w:eastAsiaTheme="minorHAnsi" w:cs="Arial"/>
          <w:szCs w:val="18"/>
        </w:rPr>
        <w:t xml:space="preserve">Although non-compliance of machinery and equipment appears among the anomalies observed in large and medium-sized enterprises in the Food Valley, in </w:t>
      </w:r>
      <w:r w:rsidR="009F125C" w:rsidRPr="00E23016">
        <w:rPr>
          <w:rFonts w:eastAsiaTheme="minorHAnsi" w:cs="Arial"/>
          <w:szCs w:val="18"/>
        </w:rPr>
        <w:t>the analyzed winery</w:t>
      </w:r>
      <w:r w:rsidRPr="00E23016">
        <w:rPr>
          <w:rFonts w:eastAsiaTheme="minorHAnsi" w:cs="Arial"/>
          <w:szCs w:val="18"/>
        </w:rPr>
        <w:t xml:space="preserve"> </w:t>
      </w:r>
      <w:r w:rsidR="003955E3" w:rsidRPr="00E23016">
        <w:rPr>
          <w:rFonts w:eastAsiaTheme="minorHAnsi" w:cs="Arial"/>
          <w:szCs w:val="18"/>
        </w:rPr>
        <w:t>near misses</w:t>
      </w:r>
      <w:r w:rsidRPr="00E23016">
        <w:rPr>
          <w:rFonts w:eastAsiaTheme="minorHAnsi" w:cs="Arial"/>
          <w:szCs w:val="18"/>
        </w:rPr>
        <w:t xml:space="preserve"> </w:t>
      </w:r>
      <w:r w:rsidR="009F125C" w:rsidRPr="00E23016">
        <w:rPr>
          <w:rFonts w:eastAsiaTheme="minorHAnsi" w:cs="Arial"/>
          <w:szCs w:val="18"/>
        </w:rPr>
        <w:t>in</w:t>
      </w:r>
      <w:r w:rsidRPr="00E23016">
        <w:rPr>
          <w:rFonts w:eastAsiaTheme="minorHAnsi" w:cs="Arial"/>
          <w:szCs w:val="18"/>
        </w:rPr>
        <w:t xml:space="preserve"> packaging and bottling departments </w:t>
      </w:r>
      <w:r w:rsidR="009F125C" w:rsidRPr="00E23016">
        <w:rPr>
          <w:rFonts w:eastAsiaTheme="minorHAnsi" w:cs="Arial"/>
          <w:szCs w:val="18"/>
        </w:rPr>
        <w:t>were generally</w:t>
      </w:r>
      <w:r w:rsidRPr="00E23016">
        <w:rPr>
          <w:rFonts w:eastAsiaTheme="minorHAnsi" w:cs="Arial"/>
          <w:szCs w:val="18"/>
        </w:rPr>
        <w:t xml:space="preserve"> attributed to human error. Fu</w:t>
      </w:r>
      <w:r w:rsidR="003955E3" w:rsidRPr="00E23016">
        <w:rPr>
          <w:rFonts w:eastAsiaTheme="minorHAnsi" w:cs="Arial"/>
          <w:szCs w:val="18"/>
        </w:rPr>
        <w:t>ture</w:t>
      </w:r>
      <w:r w:rsidRPr="00E23016">
        <w:rPr>
          <w:rFonts w:eastAsiaTheme="minorHAnsi" w:cs="Arial"/>
          <w:szCs w:val="18"/>
        </w:rPr>
        <w:t xml:space="preserve"> studies could investigate </w:t>
      </w:r>
      <w:r w:rsidR="003955E3" w:rsidRPr="00E23016">
        <w:rPr>
          <w:rFonts w:eastAsiaTheme="minorHAnsi" w:cs="Arial"/>
          <w:szCs w:val="18"/>
        </w:rPr>
        <w:t xml:space="preserve">further </w:t>
      </w:r>
      <w:r w:rsidRPr="00E23016">
        <w:rPr>
          <w:rFonts w:eastAsiaTheme="minorHAnsi" w:cs="Arial"/>
          <w:szCs w:val="18"/>
        </w:rPr>
        <w:t xml:space="preserve">the effective role that possible non-conformities of machinery can have </w:t>
      </w:r>
      <w:r w:rsidR="00477028" w:rsidRPr="00E23016">
        <w:rPr>
          <w:rFonts w:eastAsiaTheme="minorHAnsi" w:cs="Arial"/>
          <w:szCs w:val="18"/>
        </w:rPr>
        <w:t>in</w:t>
      </w:r>
      <w:r w:rsidRPr="00E23016">
        <w:rPr>
          <w:rFonts w:eastAsiaTheme="minorHAnsi" w:cs="Arial"/>
          <w:szCs w:val="18"/>
        </w:rPr>
        <w:t xml:space="preserve"> the occurrence of accidents </w:t>
      </w:r>
      <w:r w:rsidR="00477028" w:rsidRPr="00E23016">
        <w:rPr>
          <w:rFonts w:eastAsiaTheme="minorHAnsi" w:cs="Arial"/>
          <w:szCs w:val="18"/>
        </w:rPr>
        <w:t>and</w:t>
      </w:r>
      <w:r w:rsidRPr="00E23016">
        <w:rPr>
          <w:rFonts w:eastAsiaTheme="minorHAnsi" w:cs="Arial"/>
          <w:szCs w:val="18"/>
        </w:rPr>
        <w:t xml:space="preserve"> near</w:t>
      </w:r>
      <w:r w:rsidR="0013711C" w:rsidRPr="00E23016">
        <w:rPr>
          <w:rFonts w:eastAsiaTheme="minorHAnsi" w:cs="Arial"/>
          <w:szCs w:val="18"/>
        </w:rPr>
        <w:t xml:space="preserve"> misses</w:t>
      </w:r>
      <w:r w:rsidRPr="00E23016">
        <w:rPr>
          <w:rFonts w:eastAsiaTheme="minorHAnsi" w:cs="Arial"/>
          <w:szCs w:val="18"/>
        </w:rPr>
        <w:t>.</w:t>
      </w:r>
    </w:p>
    <w:p w14:paraId="12521071" w14:textId="5A0C3B05" w:rsidR="00D642F5" w:rsidRPr="00E23016" w:rsidRDefault="001C597C" w:rsidP="00A7751D">
      <w:pPr>
        <w:pStyle w:val="CETBodytext"/>
        <w:rPr>
          <w:rFonts w:eastAsiaTheme="minorHAnsi" w:cs="Arial"/>
          <w:szCs w:val="18"/>
        </w:rPr>
      </w:pPr>
      <w:r w:rsidRPr="00E23016">
        <w:rPr>
          <w:rFonts w:eastAsiaTheme="minorHAnsi" w:cs="Arial"/>
          <w:szCs w:val="18"/>
          <w:lang w:val="en-GB"/>
        </w:rPr>
        <w:t>Finally, i</w:t>
      </w:r>
      <w:r w:rsidR="00CD2991" w:rsidRPr="00E23016">
        <w:rPr>
          <w:rFonts w:eastAsiaTheme="minorHAnsi" w:cs="Arial"/>
          <w:szCs w:val="18"/>
          <w:lang w:val="en-GB"/>
        </w:rPr>
        <w:t xml:space="preserve">t </w:t>
      </w:r>
      <w:r w:rsidR="009F125C" w:rsidRPr="00E23016">
        <w:rPr>
          <w:rFonts w:eastAsiaTheme="minorHAnsi" w:cs="Arial"/>
          <w:szCs w:val="18"/>
          <w:lang w:val="en-GB"/>
        </w:rPr>
        <w:t>must</w:t>
      </w:r>
      <w:r w:rsidR="00CD2991" w:rsidRPr="00E23016">
        <w:rPr>
          <w:rFonts w:eastAsiaTheme="minorHAnsi" w:cs="Arial"/>
          <w:szCs w:val="18"/>
          <w:lang w:val="en-GB"/>
        </w:rPr>
        <w:t xml:space="preserve"> be emphasized the importance of </w:t>
      </w:r>
      <w:r w:rsidR="009F125C" w:rsidRPr="00E23016">
        <w:rPr>
          <w:rFonts w:eastAsiaTheme="minorHAnsi" w:cs="Arial"/>
          <w:szCs w:val="18"/>
          <w:lang w:val="en-GB"/>
        </w:rPr>
        <w:t>i</w:t>
      </w:r>
      <w:r w:rsidR="00CD2991" w:rsidRPr="00E23016">
        <w:rPr>
          <w:rFonts w:eastAsiaTheme="minorHAnsi" w:cs="Arial"/>
          <w:szCs w:val="18"/>
          <w:lang w:val="en-GB"/>
        </w:rPr>
        <w:t xml:space="preserve">mplementing </w:t>
      </w:r>
      <w:r w:rsidR="0013711C" w:rsidRPr="00E23016">
        <w:rPr>
          <w:rFonts w:eastAsiaTheme="minorHAnsi" w:cs="Arial"/>
          <w:szCs w:val="18"/>
          <w:lang w:val="en-GB"/>
        </w:rPr>
        <w:t>common</w:t>
      </w:r>
      <w:r w:rsidR="00CD2991" w:rsidRPr="00E23016">
        <w:rPr>
          <w:rFonts w:eastAsiaTheme="minorHAnsi" w:cs="Arial"/>
          <w:szCs w:val="18"/>
          <w:lang w:val="en-GB"/>
        </w:rPr>
        <w:t xml:space="preserve"> guidelines at the national level </w:t>
      </w:r>
      <w:r w:rsidR="009F125C" w:rsidRPr="00E23016">
        <w:rPr>
          <w:rFonts w:eastAsiaTheme="minorHAnsi" w:cs="Arial"/>
          <w:szCs w:val="18"/>
          <w:lang w:val="en-GB"/>
        </w:rPr>
        <w:t>dealing with</w:t>
      </w:r>
      <w:r w:rsidR="00CD2991" w:rsidRPr="00E23016">
        <w:rPr>
          <w:rFonts w:eastAsiaTheme="minorHAnsi" w:cs="Arial"/>
          <w:szCs w:val="18"/>
          <w:lang w:val="en-GB"/>
        </w:rPr>
        <w:t xml:space="preserve"> management of near misses</w:t>
      </w:r>
      <w:r w:rsidR="0015462A" w:rsidRPr="00E23016">
        <w:rPr>
          <w:rFonts w:eastAsiaTheme="minorHAnsi" w:cs="Arial"/>
          <w:szCs w:val="18"/>
          <w:lang w:val="en-GB"/>
        </w:rPr>
        <w:t xml:space="preserve">, according to </w:t>
      </w:r>
      <w:r w:rsidRPr="00E23016">
        <w:rPr>
          <w:rFonts w:eastAsiaTheme="minorHAnsi" w:cs="Arial"/>
          <w:szCs w:val="18"/>
          <w:lang w:val="en-GB"/>
        </w:rPr>
        <w:t xml:space="preserve">the path </w:t>
      </w:r>
      <w:r w:rsidR="003955E3" w:rsidRPr="00E23016">
        <w:rPr>
          <w:rFonts w:eastAsiaTheme="minorHAnsi" w:cs="Arial"/>
          <w:szCs w:val="18"/>
          <w:lang w:val="en-GB"/>
        </w:rPr>
        <w:t xml:space="preserve">already </w:t>
      </w:r>
      <w:r w:rsidRPr="00E23016">
        <w:rPr>
          <w:rFonts w:eastAsiaTheme="minorHAnsi" w:cs="Arial"/>
          <w:szCs w:val="18"/>
          <w:lang w:val="en-GB"/>
        </w:rPr>
        <w:t>taken by new Decree 159</w:t>
      </w:r>
      <w:r w:rsidR="00577BD0" w:rsidRPr="00E23016">
        <w:rPr>
          <w:rFonts w:eastAsiaTheme="minorHAnsi" w:cs="Arial"/>
          <w:szCs w:val="18"/>
          <w:lang w:val="en-GB"/>
        </w:rPr>
        <w:t>/2025.</w:t>
      </w:r>
    </w:p>
    <w:p w14:paraId="66105839" w14:textId="77777777" w:rsidR="00F36BFE" w:rsidRPr="00E23016" w:rsidRDefault="00F36BFE" w:rsidP="00A7751D">
      <w:pPr>
        <w:pStyle w:val="CETAcknowledgementstitle"/>
      </w:pPr>
      <w:r w:rsidRPr="00E23016">
        <w:t>Acknowledgments</w:t>
      </w:r>
    </w:p>
    <w:p w14:paraId="1C1569F6" w14:textId="0C9716B9" w:rsidR="00F36BFE" w:rsidRPr="00E23016" w:rsidRDefault="005C2CDA" w:rsidP="00A7751D">
      <w:pPr>
        <w:pStyle w:val="CETBodytext"/>
        <w:rPr>
          <w:lang w:val="en-GB"/>
        </w:rPr>
      </w:pPr>
      <w:r w:rsidRPr="00E23016">
        <w:rPr>
          <w:lang w:val="en-GB"/>
        </w:rPr>
        <w:t xml:space="preserve">The authors are very grateful to </w:t>
      </w:r>
      <w:r w:rsidR="00A4089F" w:rsidRPr="00E23016">
        <w:rPr>
          <w:lang w:val="en-GB"/>
        </w:rPr>
        <w:t xml:space="preserve">Terre </w:t>
      </w:r>
      <w:proofErr w:type="spellStart"/>
      <w:r w:rsidR="00A4089F" w:rsidRPr="00E23016">
        <w:rPr>
          <w:lang w:val="en-GB"/>
        </w:rPr>
        <w:t>Cevico</w:t>
      </w:r>
      <w:proofErr w:type="spellEnd"/>
      <w:r w:rsidR="00A4089F" w:rsidRPr="00E23016">
        <w:rPr>
          <w:lang w:val="en-GB"/>
        </w:rPr>
        <w:t xml:space="preserve"> </w:t>
      </w:r>
      <w:r w:rsidR="00645C86" w:rsidRPr="00E23016">
        <w:rPr>
          <w:lang w:val="en-GB"/>
        </w:rPr>
        <w:t>Soc. Coop. Agricola</w:t>
      </w:r>
      <w:r w:rsidRPr="00E23016">
        <w:rPr>
          <w:lang w:val="en-GB"/>
        </w:rPr>
        <w:t xml:space="preserve"> for </w:t>
      </w:r>
      <w:r w:rsidR="00645C86" w:rsidRPr="00E23016">
        <w:rPr>
          <w:lang w:val="en-GB"/>
        </w:rPr>
        <w:t>sharing data, procedures and operational experiences</w:t>
      </w:r>
      <w:r w:rsidR="00F36BFE" w:rsidRPr="00E23016">
        <w:rPr>
          <w:lang w:val="en-GB"/>
        </w:rPr>
        <w:t>.</w:t>
      </w:r>
      <w:r w:rsidR="00A4089F" w:rsidRPr="00E23016">
        <w:rPr>
          <w:lang w:val="en-GB"/>
        </w:rPr>
        <w:t xml:space="preserve"> </w:t>
      </w:r>
      <w:r w:rsidR="00AF61B0" w:rsidRPr="00E23016">
        <w:rPr>
          <w:lang w:val="en-GB"/>
        </w:rPr>
        <w:t xml:space="preserve">Engineering student </w:t>
      </w:r>
      <w:r w:rsidR="00A4089F" w:rsidRPr="00E23016">
        <w:rPr>
          <w:lang w:val="en-GB"/>
        </w:rPr>
        <w:t xml:space="preserve">Yassine </w:t>
      </w:r>
      <w:proofErr w:type="spellStart"/>
      <w:r w:rsidR="00A4089F" w:rsidRPr="00E23016">
        <w:rPr>
          <w:lang w:val="en-GB"/>
        </w:rPr>
        <w:t>Bounafa</w:t>
      </w:r>
      <w:proofErr w:type="spellEnd"/>
      <w:r w:rsidR="00A4089F" w:rsidRPr="00E23016">
        <w:rPr>
          <w:lang w:val="en-GB"/>
        </w:rPr>
        <w:t xml:space="preserve"> is also thanked for </w:t>
      </w:r>
      <w:r w:rsidR="00137C29" w:rsidRPr="00E23016">
        <w:rPr>
          <w:lang w:val="en-GB"/>
        </w:rPr>
        <w:t>participating</w:t>
      </w:r>
      <w:r w:rsidR="00A4089F" w:rsidRPr="00E23016">
        <w:rPr>
          <w:lang w:val="en-GB"/>
        </w:rPr>
        <w:t xml:space="preserve"> in the questionnaire </w:t>
      </w:r>
      <w:r w:rsidR="00137C29" w:rsidRPr="00E23016">
        <w:rPr>
          <w:lang w:val="en-GB"/>
        </w:rPr>
        <w:t xml:space="preserve">design </w:t>
      </w:r>
      <w:r w:rsidR="00A4089F" w:rsidRPr="00E23016">
        <w:rPr>
          <w:lang w:val="en-GB"/>
        </w:rPr>
        <w:t xml:space="preserve">and </w:t>
      </w:r>
      <w:r w:rsidR="008A29CF" w:rsidRPr="00E23016">
        <w:rPr>
          <w:lang w:val="en-GB"/>
        </w:rPr>
        <w:t>reworking</w:t>
      </w:r>
      <w:r w:rsidR="00A4089F" w:rsidRPr="00E23016">
        <w:rPr>
          <w:lang w:val="en-GB"/>
        </w:rPr>
        <w:t>.</w:t>
      </w:r>
    </w:p>
    <w:p w14:paraId="7C8EC161" w14:textId="77777777" w:rsidR="00F36BFE" w:rsidRPr="00E23016" w:rsidRDefault="00F36BFE" w:rsidP="00A7751D">
      <w:pPr>
        <w:pStyle w:val="CETReference"/>
      </w:pPr>
      <w:r w:rsidRPr="00E23016">
        <w:t>References</w:t>
      </w:r>
    </w:p>
    <w:p w14:paraId="3BBA4403" w14:textId="77777777" w:rsidR="00B5570F" w:rsidRPr="00E23016" w:rsidRDefault="00B5570F" w:rsidP="00A7751D">
      <w:pPr>
        <w:pStyle w:val="CETReferencetext"/>
      </w:pPr>
      <w:r w:rsidRPr="00E23016">
        <w:t xml:space="preserve">Ansaldi S.M., Agnello P., Pirone A., </w:t>
      </w:r>
      <w:proofErr w:type="spellStart"/>
      <w:r w:rsidRPr="00E23016">
        <w:t>Vallerotonda</w:t>
      </w:r>
      <w:proofErr w:type="spellEnd"/>
      <w:r w:rsidRPr="00E23016">
        <w:t xml:space="preserve"> M.R., 2021, Near miss archive: a challenge to share knowledge among inspectors and improve Seveso inspections, Sustainability, 13, article number 8456.</w:t>
      </w:r>
    </w:p>
    <w:p w14:paraId="73CFEEA5" w14:textId="77777777" w:rsidR="00B5570F" w:rsidRPr="00E23016" w:rsidRDefault="00B5570F" w:rsidP="00A7751D">
      <w:pPr>
        <w:pStyle w:val="CETReferencetext"/>
      </w:pPr>
      <w:proofErr w:type="spellStart"/>
      <w:r w:rsidRPr="00E23016">
        <w:t>Awolusi</w:t>
      </w:r>
      <w:proofErr w:type="spellEnd"/>
      <w:r w:rsidRPr="00E23016">
        <w:t xml:space="preserve"> I., Marks E., 2015, Near miss reporting to enhance safety in the steel industry, Iron and Steel Technology, 12(10), 62–68.</w:t>
      </w:r>
    </w:p>
    <w:p w14:paraId="0B031BB1" w14:textId="77777777" w:rsidR="00B5570F" w:rsidRPr="00E23016" w:rsidRDefault="00B5570F" w:rsidP="00A7751D">
      <w:pPr>
        <w:pStyle w:val="CETReferencetext"/>
      </w:pPr>
      <w:proofErr w:type="spellStart"/>
      <w:r w:rsidRPr="00E23016">
        <w:t>Baldissone</w:t>
      </w:r>
      <w:proofErr w:type="spellEnd"/>
      <w:r w:rsidRPr="00E23016">
        <w:t xml:space="preserve"> G., </w:t>
      </w:r>
      <w:proofErr w:type="spellStart"/>
      <w:r w:rsidRPr="00E23016">
        <w:t>Comberti</w:t>
      </w:r>
      <w:proofErr w:type="spellEnd"/>
      <w:r w:rsidRPr="00E23016">
        <w:t xml:space="preserve"> L., Bosca S., </w:t>
      </w:r>
      <w:proofErr w:type="spellStart"/>
      <w:r w:rsidRPr="00E23016">
        <w:t>Murè</w:t>
      </w:r>
      <w:proofErr w:type="spellEnd"/>
      <w:r w:rsidRPr="00E23016">
        <w:t xml:space="preserve"> S., 2019, The analysis and management of unsafe acts and unsafe conditions. Data collection and analysis, Safety Science, 119, 240-251.</w:t>
      </w:r>
    </w:p>
    <w:p w14:paraId="114A1092" w14:textId="77777777" w:rsidR="00B5570F" w:rsidRPr="00E23016" w:rsidRDefault="00B5570F" w:rsidP="00A7751D">
      <w:pPr>
        <w:pStyle w:val="CETReferencetext"/>
      </w:pPr>
      <w:r w:rsidRPr="00E23016">
        <w:t>Di Girolamo C., Carra S., Monica L., Tonti A., 2023, Risks in loading and unloading LPG at storage sites: analysis of a set of quasi-accidental events, Chemical Engineering Transactions, 99, 343–348.</w:t>
      </w:r>
    </w:p>
    <w:p w14:paraId="616A7E83" w14:textId="77777777" w:rsidR="00B5570F" w:rsidRPr="00E23016" w:rsidRDefault="00B5570F" w:rsidP="00A7751D">
      <w:pPr>
        <w:pStyle w:val="CETReferencetext"/>
      </w:pPr>
      <w:r w:rsidRPr="00E23016">
        <w:t>Di Nardo M., Murino T., 2021, The system dynamics in the human reliability analysis through cognitive reliability and error analysis method: a case study of an LPG company, International Review of Civil Engineering, 12(2), 56–68.</w:t>
      </w:r>
    </w:p>
    <w:p w14:paraId="4D8460C0" w14:textId="77777777" w:rsidR="00B5570F" w:rsidRPr="00E23016" w:rsidRDefault="00B5570F" w:rsidP="00A7751D">
      <w:pPr>
        <w:pStyle w:val="CETReferencetext"/>
      </w:pPr>
      <w:r w:rsidRPr="00E23016">
        <w:t xml:space="preserve">Elia V., </w:t>
      </w:r>
      <w:proofErr w:type="spellStart"/>
      <w:r w:rsidRPr="00E23016">
        <w:t>Gnoni</w:t>
      </w:r>
      <w:proofErr w:type="spellEnd"/>
      <w:r w:rsidRPr="00E23016">
        <w:t xml:space="preserve"> M.G., Tornese F., Guglielmi A., Pellicci M., De </w:t>
      </w:r>
      <w:proofErr w:type="spellStart"/>
      <w:r w:rsidRPr="00E23016">
        <w:t>Merich</w:t>
      </w:r>
      <w:proofErr w:type="spellEnd"/>
      <w:r w:rsidRPr="00E23016">
        <w:t xml:space="preserve"> D., Campo G., 2022, Applications of smart technologies for automatic near miss detection in the industrial safety, Procedia Computer Science, 200, 1282–1287.</w:t>
      </w:r>
    </w:p>
    <w:p w14:paraId="6A807493" w14:textId="77777777" w:rsidR="00B5570F" w:rsidRPr="00E23016" w:rsidRDefault="00B5570F" w:rsidP="00A7751D">
      <w:pPr>
        <w:pStyle w:val="CETReferencetext"/>
      </w:pPr>
      <w:r w:rsidRPr="00E23016">
        <w:t xml:space="preserve">Fabiano B., </w:t>
      </w:r>
      <w:proofErr w:type="spellStart"/>
      <w:r w:rsidRPr="00E23016">
        <w:t>Currò</w:t>
      </w:r>
      <w:proofErr w:type="spellEnd"/>
      <w:r w:rsidRPr="00E23016">
        <w:t xml:space="preserve"> F., 2012, From a survey on accidents in the downstream oil industry to the development of a detailed near-miss reporting system, Process Safety and Environmental Protection, 90, 357–367.</w:t>
      </w:r>
    </w:p>
    <w:p w14:paraId="5D050889" w14:textId="77777777" w:rsidR="00B5570F" w:rsidRPr="00E23016" w:rsidRDefault="00B5570F" w:rsidP="00A7751D">
      <w:pPr>
        <w:pStyle w:val="CETReferencetext"/>
      </w:pPr>
      <w:r w:rsidRPr="00E23016">
        <w:t xml:space="preserve">Gajek A., Michalik J.S., 2013, Major accident hazard posed by non-Seveso establishments in Poland and management </w:t>
      </w:r>
      <w:proofErr w:type="gramStart"/>
      <w:r w:rsidRPr="00E23016">
        <w:t>in the area of</w:t>
      </w:r>
      <w:proofErr w:type="gramEnd"/>
      <w:r w:rsidRPr="00E23016">
        <w:t xml:space="preserve"> their control, </w:t>
      </w:r>
      <w:r w:rsidRPr="00E23016">
        <w:tab/>
        <w:t>Chemical Engineering Transactions, 31, 169–174.</w:t>
      </w:r>
    </w:p>
    <w:p w14:paraId="25256782" w14:textId="77777777" w:rsidR="00B5570F" w:rsidRPr="00E23016" w:rsidRDefault="00B5570F" w:rsidP="00A7751D">
      <w:pPr>
        <w:pStyle w:val="CETReferencetext"/>
      </w:pPr>
      <w:proofErr w:type="spellStart"/>
      <w:r w:rsidRPr="00E23016">
        <w:t>Gnoni</w:t>
      </w:r>
      <w:proofErr w:type="spellEnd"/>
      <w:r w:rsidRPr="00E23016">
        <w:t xml:space="preserve"> M.G., Tornese F., Guglielmi A., Pellicci M., Campo G., De </w:t>
      </w:r>
      <w:proofErr w:type="spellStart"/>
      <w:r w:rsidRPr="00E23016">
        <w:t>Merich</w:t>
      </w:r>
      <w:proofErr w:type="spellEnd"/>
      <w:r w:rsidRPr="00E23016">
        <w:t xml:space="preserve"> D., 2022, Near miss management systems in the industrial sector: a literature review, Safety Science, 150, article number 105704.</w:t>
      </w:r>
    </w:p>
    <w:p w14:paraId="2700A3BF" w14:textId="77777777" w:rsidR="00B5570F" w:rsidRPr="00E23016" w:rsidRDefault="00B5570F" w:rsidP="00A7751D">
      <w:pPr>
        <w:pStyle w:val="CETReferencetext"/>
      </w:pPr>
      <w:r w:rsidRPr="00E23016">
        <w:t>INAIL, 2021, The technical assessment for the safety of food machinery, Tipolitografia Inail - Milano, Italy (in Italian).</w:t>
      </w:r>
    </w:p>
    <w:p w14:paraId="5E968EBB" w14:textId="77777777" w:rsidR="00B5570F" w:rsidRPr="00E23016" w:rsidRDefault="00B5570F" w:rsidP="00A7751D">
      <w:pPr>
        <w:pStyle w:val="CETReferencetext"/>
      </w:pPr>
      <w:r w:rsidRPr="00E23016">
        <w:t>INAIL, 2024, Supporting companies in reporting and analysing near misses: a proposal for a technical and organizational model, Tipolitografia Inail - Milano, Italy (in Italian).</w:t>
      </w:r>
    </w:p>
    <w:p w14:paraId="50EE8C8D" w14:textId="77777777" w:rsidR="00B5570F" w:rsidRPr="00E23016" w:rsidRDefault="00B5570F" w:rsidP="00A7751D">
      <w:pPr>
        <w:pStyle w:val="CETReferencetext"/>
      </w:pPr>
      <w:r w:rsidRPr="00E23016">
        <w:t>INAIL, 2025, CONDIVIDO: an integrated approach in collaborative networks for the development of knowledge about near misses, Tipolitografia Inail – Milano, Italy (in Italian).</w:t>
      </w:r>
    </w:p>
    <w:p w14:paraId="6A92D749" w14:textId="77777777" w:rsidR="00B5570F" w:rsidRPr="00E23016" w:rsidRDefault="00B5570F" w:rsidP="00A7751D">
      <w:pPr>
        <w:pStyle w:val="CETReferencetext"/>
      </w:pPr>
      <w:r w:rsidRPr="00E23016">
        <w:t xml:space="preserve">Pickup S., Paton K., Hayes C., Morrison B., 2020, </w:t>
      </w:r>
      <w:proofErr w:type="gramStart"/>
      <w:r w:rsidRPr="00E23016">
        <w:t>A day</w:t>
      </w:r>
      <w:proofErr w:type="gramEnd"/>
      <w:r w:rsidRPr="00E23016">
        <w:t xml:space="preserve"> in the life of frontline manufacturing personnel: a diary-based safety study, 132, article number 104992.</w:t>
      </w:r>
    </w:p>
    <w:p w14:paraId="1E59F219" w14:textId="77777777" w:rsidR="00B5570F" w:rsidRPr="00E23016" w:rsidRDefault="00B5570F" w:rsidP="00A7751D">
      <w:pPr>
        <w:pStyle w:val="CETReferencetext"/>
      </w:pPr>
      <w:r w:rsidRPr="00E23016">
        <w:t>Simone F., Ansaldi S.M., Agnello P., Di Gravio G., Patriarca R., 2023, Knowledge in graphs: investigating the completeness of industrial near miss reports, Safety Science, 168, article number 106305.</w:t>
      </w:r>
    </w:p>
    <w:p w14:paraId="7BA9761B" w14:textId="77777777" w:rsidR="00B5570F" w:rsidRPr="00E23016" w:rsidRDefault="00B5570F" w:rsidP="00A7751D">
      <w:pPr>
        <w:pStyle w:val="CETReferencetext"/>
      </w:pPr>
      <w:r w:rsidRPr="00E23016">
        <w:t xml:space="preserve">Van </w:t>
      </w:r>
      <w:proofErr w:type="spellStart"/>
      <w:r w:rsidRPr="00E23016">
        <w:t>Derlyke</w:t>
      </w:r>
      <w:proofErr w:type="spellEnd"/>
      <w:r w:rsidRPr="00E23016">
        <w:t xml:space="preserve"> P., </w:t>
      </w:r>
      <w:proofErr w:type="spellStart"/>
      <w:r w:rsidRPr="00E23016">
        <w:t>Marìn</w:t>
      </w:r>
      <w:proofErr w:type="spellEnd"/>
      <w:r w:rsidRPr="00E23016">
        <w:t xml:space="preserve"> L.S., </w:t>
      </w:r>
      <w:proofErr w:type="spellStart"/>
      <w:r w:rsidRPr="00E23016">
        <w:t>Zreiqat</w:t>
      </w:r>
      <w:proofErr w:type="spellEnd"/>
      <w:r w:rsidRPr="00E23016">
        <w:t xml:space="preserve"> M., 2022, Discrepancies between implementation and perceived effectiveness of leading safety indicators in the US dairy product manufacturing industry, Safety and Health at Work, 13, 343-349.</w:t>
      </w:r>
    </w:p>
    <w:p w14:paraId="61ABD601" w14:textId="0DF2DD46" w:rsidR="00113DA0" w:rsidRPr="00BC52DE" w:rsidRDefault="00B5570F" w:rsidP="00A7751D">
      <w:pPr>
        <w:pStyle w:val="CETReferencetext"/>
      </w:pPr>
      <w:r w:rsidRPr="00E23016">
        <w:t xml:space="preserve">Winkler M., Perlman Y., Westreich S., 2019, Reporting near-miss safety events: impacts and decision-making analysis, Safety </w:t>
      </w:r>
      <w:r w:rsidR="004A3093" w:rsidRPr="00E23016">
        <w:t>S</w:t>
      </w:r>
      <w:r w:rsidRPr="00E23016">
        <w:t>cience, 117, 365-374.</w:t>
      </w:r>
    </w:p>
    <w:sectPr w:rsidR="00113DA0" w:rsidRPr="00BC52DE"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FCB7" w14:textId="77777777" w:rsidR="00FB7D67" w:rsidRDefault="00FB7D67" w:rsidP="004F5E36">
      <w:r>
        <w:separator/>
      </w:r>
    </w:p>
  </w:endnote>
  <w:endnote w:type="continuationSeparator" w:id="0">
    <w:p w14:paraId="1AFC38CE" w14:textId="77777777" w:rsidR="00FB7D67" w:rsidRDefault="00FB7D67" w:rsidP="004F5E36">
      <w:r>
        <w:continuationSeparator/>
      </w:r>
    </w:p>
  </w:endnote>
  <w:endnote w:type="continuationNotice" w:id="1">
    <w:p w14:paraId="229F06B5" w14:textId="77777777" w:rsidR="00FB7D67" w:rsidRDefault="00FB7D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9779" w14:textId="77777777" w:rsidR="00FB7D67" w:rsidRDefault="00FB7D67" w:rsidP="004F5E36">
      <w:r>
        <w:separator/>
      </w:r>
    </w:p>
  </w:footnote>
  <w:footnote w:type="continuationSeparator" w:id="0">
    <w:p w14:paraId="3E781243" w14:textId="77777777" w:rsidR="00FB7D67" w:rsidRDefault="00FB7D67" w:rsidP="004F5E36">
      <w:r>
        <w:continuationSeparator/>
      </w:r>
    </w:p>
  </w:footnote>
  <w:footnote w:type="continuationNotice" w:id="1">
    <w:p w14:paraId="785C65EA" w14:textId="77777777" w:rsidR="00FB7D67" w:rsidRDefault="00FB7D6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707DCB"/>
    <w:multiLevelType w:val="hybridMultilevel"/>
    <w:tmpl w:val="E842F2E2"/>
    <w:lvl w:ilvl="0" w:tplc="FE6623D4">
      <w:numFmt w:val="bullet"/>
      <w:lvlText w:val="•"/>
      <w:lvlJc w:val="left"/>
      <w:pPr>
        <w:ind w:left="720" w:hanging="360"/>
      </w:pPr>
      <w:rPr>
        <w:rFonts w:ascii="Arial" w:eastAsia="Times New Roman" w:hAnsi="Arial" w:cs="Arial" w:hint="default"/>
      </w:rPr>
    </w:lvl>
    <w:lvl w:ilvl="1" w:tplc="8AD456C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3041F"/>
    <w:multiLevelType w:val="hybridMultilevel"/>
    <w:tmpl w:val="A2B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D765A"/>
    <w:multiLevelType w:val="hybridMultilevel"/>
    <w:tmpl w:val="186E9496"/>
    <w:lvl w:ilvl="0" w:tplc="C08EA24C">
      <w:start w:val="1"/>
      <w:numFmt w:val="decimal"/>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7971B4"/>
    <w:multiLevelType w:val="hybridMultilevel"/>
    <w:tmpl w:val="8474B8B8"/>
    <w:lvl w:ilvl="0" w:tplc="F5FE980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8B092B"/>
    <w:multiLevelType w:val="hybridMultilevel"/>
    <w:tmpl w:val="BD4CA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756862"/>
    <w:multiLevelType w:val="hybridMultilevel"/>
    <w:tmpl w:val="454E3EDE"/>
    <w:lvl w:ilvl="0" w:tplc="FE6623D4">
      <w:numFmt w:val="bullet"/>
      <w:lvlText w:val="•"/>
      <w:lvlJc w:val="left"/>
      <w:pPr>
        <w:ind w:left="720" w:hanging="360"/>
      </w:pPr>
      <w:rPr>
        <w:rFonts w:ascii="Arial" w:eastAsia="Times New Roman" w:hAnsi="Arial" w:cs="Arial" w:hint="default"/>
      </w:rPr>
    </w:lvl>
    <w:lvl w:ilvl="1" w:tplc="3988811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CB24BAC"/>
    <w:multiLevelType w:val="hybridMultilevel"/>
    <w:tmpl w:val="F60CAE8C"/>
    <w:lvl w:ilvl="0" w:tplc="FE6623D4">
      <w:numFmt w:val="bullet"/>
      <w:lvlText w:val="•"/>
      <w:lvlJc w:val="left"/>
      <w:pPr>
        <w:ind w:left="360" w:hanging="360"/>
      </w:pPr>
      <w:rPr>
        <w:rFonts w:ascii="Arial" w:eastAsia="Times New Roman" w:hAnsi="Arial" w:cs="Arial" w:hint="default"/>
      </w:rPr>
    </w:lvl>
    <w:lvl w:ilvl="1" w:tplc="AD6EC11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5A0D16"/>
    <w:multiLevelType w:val="hybridMultilevel"/>
    <w:tmpl w:val="556A2330"/>
    <w:lvl w:ilvl="0" w:tplc="301056B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6643CA4"/>
    <w:multiLevelType w:val="hybridMultilevel"/>
    <w:tmpl w:val="E14245A8"/>
    <w:lvl w:ilvl="0" w:tplc="FE6623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626E8"/>
    <w:multiLevelType w:val="hybridMultilevel"/>
    <w:tmpl w:val="8ABE2750"/>
    <w:lvl w:ilvl="0" w:tplc="301056B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10E4997"/>
    <w:multiLevelType w:val="hybridMultilevel"/>
    <w:tmpl w:val="1362EB5A"/>
    <w:lvl w:ilvl="0" w:tplc="08090001">
      <w:start w:val="1"/>
      <w:numFmt w:val="bullet"/>
      <w:lvlText w:val=""/>
      <w:lvlJc w:val="left"/>
      <w:pPr>
        <w:ind w:left="360" w:hanging="360"/>
      </w:pPr>
      <w:rPr>
        <w:rFonts w:ascii="Symbol" w:hAnsi="Symbol" w:hint="default"/>
      </w:rPr>
    </w:lvl>
    <w:lvl w:ilvl="1" w:tplc="8E0E30F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151317"/>
    <w:multiLevelType w:val="hybridMultilevel"/>
    <w:tmpl w:val="278C933E"/>
    <w:lvl w:ilvl="0" w:tplc="0410001B">
      <w:start w:val="1"/>
      <w:numFmt w:val="lowerRoman"/>
      <w:lvlText w:val="%1."/>
      <w:lvlJc w:val="righ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015A70"/>
    <w:multiLevelType w:val="hybridMultilevel"/>
    <w:tmpl w:val="82AEEA46"/>
    <w:lvl w:ilvl="0" w:tplc="301056B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CF54CA5"/>
    <w:multiLevelType w:val="hybridMultilevel"/>
    <w:tmpl w:val="1E8C33EE"/>
    <w:lvl w:ilvl="0" w:tplc="301056B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D5E71F2"/>
    <w:multiLevelType w:val="hybridMultilevel"/>
    <w:tmpl w:val="2F949E48"/>
    <w:lvl w:ilvl="0" w:tplc="301056B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8065975"/>
    <w:multiLevelType w:val="hybridMultilevel"/>
    <w:tmpl w:val="65A6FD46"/>
    <w:lvl w:ilvl="0" w:tplc="301056B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960E1C"/>
    <w:multiLevelType w:val="hybridMultilevel"/>
    <w:tmpl w:val="DC8A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305860">
    <w:abstractNumId w:val="15"/>
  </w:num>
  <w:num w:numId="2" w16cid:durableId="1939479859">
    <w:abstractNumId w:val="8"/>
  </w:num>
  <w:num w:numId="3" w16cid:durableId="976295760">
    <w:abstractNumId w:val="3"/>
  </w:num>
  <w:num w:numId="4" w16cid:durableId="23678545">
    <w:abstractNumId w:val="2"/>
  </w:num>
  <w:num w:numId="5" w16cid:durableId="1901554720">
    <w:abstractNumId w:val="1"/>
  </w:num>
  <w:num w:numId="6" w16cid:durableId="1979601308">
    <w:abstractNumId w:val="0"/>
  </w:num>
  <w:num w:numId="7" w16cid:durableId="1215388478">
    <w:abstractNumId w:val="9"/>
  </w:num>
  <w:num w:numId="8" w16cid:durableId="759717833">
    <w:abstractNumId w:val="7"/>
  </w:num>
  <w:num w:numId="9" w16cid:durableId="815683955">
    <w:abstractNumId w:val="6"/>
  </w:num>
  <w:num w:numId="10" w16cid:durableId="1066416165">
    <w:abstractNumId w:val="5"/>
  </w:num>
  <w:num w:numId="11" w16cid:durableId="438722583">
    <w:abstractNumId w:val="4"/>
  </w:num>
  <w:num w:numId="12" w16cid:durableId="733702629">
    <w:abstractNumId w:val="28"/>
  </w:num>
  <w:num w:numId="13" w16cid:durableId="1573659240">
    <w:abstractNumId w:val="17"/>
  </w:num>
  <w:num w:numId="14" w16cid:durableId="2092192635">
    <w:abstractNumId w:val="29"/>
  </w:num>
  <w:num w:numId="15" w16cid:durableId="1115637783">
    <w:abstractNumId w:val="32"/>
  </w:num>
  <w:num w:numId="16" w16cid:durableId="635987207">
    <w:abstractNumId w:val="31"/>
  </w:num>
  <w:num w:numId="17" w16cid:durableId="1476411020">
    <w:abstractNumId w:val="16"/>
  </w:num>
  <w:num w:numId="18" w16cid:durableId="2106877164">
    <w:abstractNumId w:val="17"/>
    <w:lvlOverride w:ilvl="0">
      <w:startOverride w:val="1"/>
    </w:lvlOverride>
  </w:num>
  <w:num w:numId="19" w16cid:durableId="1650403514">
    <w:abstractNumId w:val="27"/>
  </w:num>
  <w:num w:numId="20" w16cid:durableId="536504040">
    <w:abstractNumId w:val="25"/>
  </w:num>
  <w:num w:numId="21" w16cid:durableId="518815501">
    <w:abstractNumId w:val="20"/>
  </w:num>
  <w:num w:numId="22" w16cid:durableId="299530822">
    <w:abstractNumId w:val="19"/>
  </w:num>
  <w:num w:numId="23" w16cid:durableId="1518277180">
    <w:abstractNumId w:val="30"/>
  </w:num>
  <w:num w:numId="24" w16cid:durableId="1589390107">
    <w:abstractNumId w:val="13"/>
  </w:num>
  <w:num w:numId="25" w16cid:durableId="654915595">
    <w:abstractNumId w:val="12"/>
  </w:num>
  <w:num w:numId="26" w16cid:durableId="864556263">
    <w:abstractNumId w:val="36"/>
  </w:num>
  <w:num w:numId="27" w16cid:durableId="636763916">
    <w:abstractNumId w:val="35"/>
  </w:num>
  <w:num w:numId="28" w16cid:durableId="252515373">
    <w:abstractNumId w:val="15"/>
  </w:num>
  <w:num w:numId="29" w16cid:durableId="1559707854">
    <w:abstractNumId w:val="33"/>
  </w:num>
  <w:num w:numId="30" w16cid:durableId="520170641">
    <w:abstractNumId w:val="34"/>
  </w:num>
  <w:num w:numId="31" w16cid:durableId="1607536188">
    <w:abstractNumId w:val="22"/>
  </w:num>
  <w:num w:numId="32" w16cid:durableId="1855608936">
    <w:abstractNumId w:val="24"/>
  </w:num>
  <w:num w:numId="33" w16cid:durableId="1080835823">
    <w:abstractNumId w:val="14"/>
  </w:num>
  <w:num w:numId="34" w16cid:durableId="363218637">
    <w:abstractNumId w:val="37"/>
  </w:num>
  <w:num w:numId="35" w16cid:durableId="1825773362">
    <w:abstractNumId w:val="11"/>
  </w:num>
  <w:num w:numId="36" w16cid:durableId="1242788491">
    <w:abstractNumId w:val="23"/>
  </w:num>
  <w:num w:numId="37" w16cid:durableId="973830128">
    <w:abstractNumId w:val="10"/>
  </w:num>
  <w:num w:numId="38" w16cid:durableId="135998194">
    <w:abstractNumId w:val="21"/>
  </w:num>
  <w:num w:numId="39" w16cid:durableId="2115127101">
    <w:abstractNumId w:val="18"/>
  </w:num>
  <w:num w:numId="40" w16cid:durableId="9993874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123"/>
    <w:rsid w:val="00000595"/>
    <w:rsid w:val="00001A98"/>
    <w:rsid w:val="00001B8B"/>
    <w:rsid w:val="000027C0"/>
    <w:rsid w:val="000052FB"/>
    <w:rsid w:val="000054FF"/>
    <w:rsid w:val="00007C7C"/>
    <w:rsid w:val="00010DDE"/>
    <w:rsid w:val="000117CB"/>
    <w:rsid w:val="00017D0D"/>
    <w:rsid w:val="0002128A"/>
    <w:rsid w:val="0003148D"/>
    <w:rsid w:val="00031AEA"/>
    <w:rsid w:val="00031EEC"/>
    <w:rsid w:val="00034272"/>
    <w:rsid w:val="00035CB4"/>
    <w:rsid w:val="00036339"/>
    <w:rsid w:val="00040C81"/>
    <w:rsid w:val="00040D3B"/>
    <w:rsid w:val="0004173C"/>
    <w:rsid w:val="00041CED"/>
    <w:rsid w:val="00044DD3"/>
    <w:rsid w:val="00044DFD"/>
    <w:rsid w:val="00045F54"/>
    <w:rsid w:val="00046172"/>
    <w:rsid w:val="00051566"/>
    <w:rsid w:val="0005238D"/>
    <w:rsid w:val="00055F93"/>
    <w:rsid w:val="00061972"/>
    <w:rsid w:val="00062A9A"/>
    <w:rsid w:val="000648E6"/>
    <w:rsid w:val="00065058"/>
    <w:rsid w:val="0006580C"/>
    <w:rsid w:val="00067490"/>
    <w:rsid w:val="00076445"/>
    <w:rsid w:val="000765D6"/>
    <w:rsid w:val="00076F24"/>
    <w:rsid w:val="0007714E"/>
    <w:rsid w:val="00080BC6"/>
    <w:rsid w:val="0008295F"/>
    <w:rsid w:val="000838EC"/>
    <w:rsid w:val="00086C39"/>
    <w:rsid w:val="00091473"/>
    <w:rsid w:val="000926FB"/>
    <w:rsid w:val="000936F1"/>
    <w:rsid w:val="000A03B2"/>
    <w:rsid w:val="000A2F30"/>
    <w:rsid w:val="000A385C"/>
    <w:rsid w:val="000A399C"/>
    <w:rsid w:val="000A531D"/>
    <w:rsid w:val="000A6DBA"/>
    <w:rsid w:val="000B2A4A"/>
    <w:rsid w:val="000C0598"/>
    <w:rsid w:val="000C26D8"/>
    <w:rsid w:val="000C3000"/>
    <w:rsid w:val="000C372B"/>
    <w:rsid w:val="000C3743"/>
    <w:rsid w:val="000D0268"/>
    <w:rsid w:val="000D0273"/>
    <w:rsid w:val="000D289E"/>
    <w:rsid w:val="000D34BE"/>
    <w:rsid w:val="000D4938"/>
    <w:rsid w:val="000D598A"/>
    <w:rsid w:val="000D608D"/>
    <w:rsid w:val="000E102F"/>
    <w:rsid w:val="000E1A25"/>
    <w:rsid w:val="000E36F1"/>
    <w:rsid w:val="000E3A73"/>
    <w:rsid w:val="000E414A"/>
    <w:rsid w:val="000E568A"/>
    <w:rsid w:val="000E7C71"/>
    <w:rsid w:val="000F06FB"/>
    <w:rsid w:val="000F093C"/>
    <w:rsid w:val="000F17D3"/>
    <w:rsid w:val="000F1A8D"/>
    <w:rsid w:val="000F1E1E"/>
    <w:rsid w:val="000F68FA"/>
    <w:rsid w:val="000F6C34"/>
    <w:rsid w:val="000F6CCA"/>
    <w:rsid w:val="000F787B"/>
    <w:rsid w:val="00102012"/>
    <w:rsid w:val="0010697D"/>
    <w:rsid w:val="00106A2A"/>
    <w:rsid w:val="00106B28"/>
    <w:rsid w:val="0011091B"/>
    <w:rsid w:val="00110A64"/>
    <w:rsid w:val="00113DA0"/>
    <w:rsid w:val="00116BF0"/>
    <w:rsid w:val="0012091F"/>
    <w:rsid w:val="0012656A"/>
    <w:rsid w:val="00126BC2"/>
    <w:rsid w:val="00126C3A"/>
    <w:rsid w:val="001307A7"/>
    <w:rsid w:val="001308B6"/>
    <w:rsid w:val="0013121F"/>
    <w:rsid w:val="00131FE6"/>
    <w:rsid w:val="0013263F"/>
    <w:rsid w:val="001331DF"/>
    <w:rsid w:val="00134DE4"/>
    <w:rsid w:val="00136F8F"/>
    <w:rsid w:val="0013711C"/>
    <w:rsid w:val="00137C29"/>
    <w:rsid w:val="0014034D"/>
    <w:rsid w:val="00144D16"/>
    <w:rsid w:val="00144F31"/>
    <w:rsid w:val="00150E59"/>
    <w:rsid w:val="00150F24"/>
    <w:rsid w:val="00152B41"/>
    <w:rsid w:val="00152DE3"/>
    <w:rsid w:val="0015462A"/>
    <w:rsid w:val="00154B0E"/>
    <w:rsid w:val="00154EAC"/>
    <w:rsid w:val="00157589"/>
    <w:rsid w:val="0016347A"/>
    <w:rsid w:val="00164CF9"/>
    <w:rsid w:val="001667A6"/>
    <w:rsid w:val="00166C02"/>
    <w:rsid w:val="00170CD3"/>
    <w:rsid w:val="0017298A"/>
    <w:rsid w:val="001736EE"/>
    <w:rsid w:val="001742AC"/>
    <w:rsid w:val="00177088"/>
    <w:rsid w:val="00183D8F"/>
    <w:rsid w:val="00184A05"/>
    <w:rsid w:val="00184AD6"/>
    <w:rsid w:val="00185E7F"/>
    <w:rsid w:val="00187428"/>
    <w:rsid w:val="00187F49"/>
    <w:rsid w:val="00192C0D"/>
    <w:rsid w:val="0019322A"/>
    <w:rsid w:val="00193684"/>
    <w:rsid w:val="0019394F"/>
    <w:rsid w:val="0019651E"/>
    <w:rsid w:val="0019705D"/>
    <w:rsid w:val="001A10B7"/>
    <w:rsid w:val="001A1B29"/>
    <w:rsid w:val="001A22D8"/>
    <w:rsid w:val="001A22EE"/>
    <w:rsid w:val="001A4292"/>
    <w:rsid w:val="001A4AF7"/>
    <w:rsid w:val="001A649B"/>
    <w:rsid w:val="001B0349"/>
    <w:rsid w:val="001B1553"/>
    <w:rsid w:val="001B1E93"/>
    <w:rsid w:val="001B2FA5"/>
    <w:rsid w:val="001B5AF7"/>
    <w:rsid w:val="001B65C1"/>
    <w:rsid w:val="001C0B8B"/>
    <w:rsid w:val="001C1501"/>
    <w:rsid w:val="001C2874"/>
    <w:rsid w:val="001C3DBF"/>
    <w:rsid w:val="001C597C"/>
    <w:rsid w:val="001C5EED"/>
    <w:rsid w:val="001C62AA"/>
    <w:rsid w:val="001C684B"/>
    <w:rsid w:val="001D0CFB"/>
    <w:rsid w:val="001D2E3E"/>
    <w:rsid w:val="001D3680"/>
    <w:rsid w:val="001D3681"/>
    <w:rsid w:val="001D53FC"/>
    <w:rsid w:val="001D5EBE"/>
    <w:rsid w:val="001E005C"/>
    <w:rsid w:val="001E0F00"/>
    <w:rsid w:val="001E3787"/>
    <w:rsid w:val="001E47FF"/>
    <w:rsid w:val="001E7603"/>
    <w:rsid w:val="001F04DA"/>
    <w:rsid w:val="001F42A5"/>
    <w:rsid w:val="001F6712"/>
    <w:rsid w:val="001F7B9D"/>
    <w:rsid w:val="00201C93"/>
    <w:rsid w:val="002035A4"/>
    <w:rsid w:val="002043DD"/>
    <w:rsid w:val="00204D9E"/>
    <w:rsid w:val="00207103"/>
    <w:rsid w:val="00207C3B"/>
    <w:rsid w:val="00213964"/>
    <w:rsid w:val="00213F10"/>
    <w:rsid w:val="002224B4"/>
    <w:rsid w:val="00226155"/>
    <w:rsid w:val="00227C83"/>
    <w:rsid w:val="002316F3"/>
    <w:rsid w:val="002319B6"/>
    <w:rsid w:val="002322DA"/>
    <w:rsid w:val="00232BD4"/>
    <w:rsid w:val="002447EF"/>
    <w:rsid w:val="00251550"/>
    <w:rsid w:val="002542D6"/>
    <w:rsid w:val="00255E05"/>
    <w:rsid w:val="00263B05"/>
    <w:rsid w:val="0026517B"/>
    <w:rsid w:val="00265BC0"/>
    <w:rsid w:val="00266B4E"/>
    <w:rsid w:val="00267E2D"/>
    <w:rsid w:val="0027221A"/>
    <w:rsid w:val="002738DC"/>
    <w:rsid w:val="00275B61"/>
    <w:rsid w:val="00276556"/>
    <w:rsid w:val="00280FAF"/>
    <w:rsid w:val="00282656"/>
    <w:rsid w:val="00285EE8"/>
    <w:rsid w:val="0029118E"/>
    <w:rsid w:val="002922F8"/>
    <w:rsid w:val="00292C88"/>
    <w:rsid w:val="00293B05"/>
    <w:rsid w:val="00295AEE"/>
    <w:rsid w:val="00296B83"/>
    <w:rsid w:val="00297BF1"/>
    <w:rsid w:val="002A2C9F"/>
    <w:rsid w:val="002A6645"/>
    <w:rsid w:val="002B104D"/>
    <w:rsid w:val="002B21A3"/>
    <w:rsid w:val="002B3BAD"/>
    <w:rsid w:val="002B4015"/>
    <w:rsid w:val="002B493F"/>
    <w:rsid w:val="002B7471"/>
    <w:rsid w:val="002B78CE"/>
    <w:rsid w:val="002C1529"/>
    <w:rsid w:val="002C2720"/>
    <w:rsid w:val="002C2B08"/>
    <w:rsid w:val="002C2FB6"/>
    <w:rsid w:val="002C2FD5"/>
    <w:rsid w:val="002C611B"/>
    <w:rsid w:val="002C6518"/>
    <w:rsid w:val="002C69E6"/>
    <w:rsid w:val="002D162E"/>
    <w:rsid w:val="002D2D94"/>
    <w:rsid w:val="002D586D"/>
    <w:rsid w:val="002E2D01"/>
    <w:rsid w:val="002E5FA7"/>
    <w:rsid w:val="002F0EFE"/>
    <w:rsid w:val="002F10DB"/>
    <w:rsid w:val="002F15DB"/>
    <w:rsid w:val="002F3309"/>
    <w:rsid w:val="003008CE"/>
    <w:rsid w:val="003009B7"/>
    <w:rsid w:val="00300E56"/>
    <w:rsid w:val="00302DB1"/>
    <w:rsid w:val="00303C2D"/>
    <w:rsid w:val="0030437E"/>
    <w:rsid w:val="0030469C"/>
    <w:rsid w:val="003059F5"/>
    <w:rsid w:val="00305FC2"/>
    <w:rsid w:val="00305FC4"/>
    <w:rsid w:val="0030737A"/>
    <w:rsid w:val="00307633"/>
    <w:rsid w:val="00307C06"/>
    <w:rsid w:val="00310741"/>
    <w:rsid w:val="00312FB2"/>
    <w:rsid w:val="00316A93"/>
    <w:rsid w:val="003179C5"/>
    <w:rsid w:val="0032146A"/>
    <w:rsid w:val="00321CA6"/>
    <w:rsid w:val="00321FEB"/>
    <w:rsid w:val="003220B0"/>
    <w:rsid w:val="00323470"/>
    <w:rsid w:val="00323763"/>
    <w:rsid w:val="00324C51"/>
    <w:rsid w:val="00332579"/>
    <w:rsid w:val="00332B67"/>
    <w:rsid w:val="003332A0"/>
    <w:rsid w:val="00334C09"/>
    <w:rsid w:val="00341F9B"/>
    <w:rsid w:val="003440AF"/>
    <w:rsid w:val="00346BA3"/>
    <w:rsid w:val="00350B2D"/>
    <w:rsid w:val="003522F4"/>
    <w:rsid w:val="003523D8"/>
    <w:rsid w:val="00352636"/>
    <w:rsid w:val="00360534"/>
    <w:rsid w:val="003610BA"/>
    <w:rsid w:val="00361D22"/>
    <w:rsid w:val="00364A5F"/>
    <w:rsid w:val="0036735E"/>
    <w:rsid w:val="003723D4"/>
    <w:rsid w:val="0037406B"/>
    <w:rsid w:val="003750DD"/>
    <w:rsid w:val="00375241"/>
    <w:rsid w:val="00377CFD"/>
    <w:rsid w:val="00381077"/>
    <w:rsid w:val="00381905"/>
    <w:rsid w:val="00382A96"/>
    <w:rsid w:val="00384CC8"/>
    <w:rsid w:val="00386DC8"/>
    <w:rsid w:val="003871FD"/>
    <w:rsid w:val="00387BCB"/>
    <w:rsid w:val="00390018"/>
    <w:rsid w:val="00390F7C"/>
    <w:rsid w:val="00391CF6"/>
    <w:rsid w:val="00391DC0"/>
    <w:rsid w:val="003937BA"/>
    <w:rsid w:val="003941DF"/>
    <w:rsid w:val="003955E3"/>
    <w:rsid w:val="003A1E30"/>
    <w:rsid w:val="003A2829"/>
    <w:rsid w:val="003A3D9F"/>
    <w:rsid w:val="003A66C3"/>
    <w:rsid w:val="003A6C1D"/>
    <w:rsid w:val="003A7D1C"/>
    <w:rsid w:val="003B26BC"/>
    <w:rsid w:val="003B304B"/>
    <w:rsid w:val="003B3146"/>
    <w:rsid w:val="003B4660"/>
    <w:rsid w:val="003B7A27"/>
    <w:rsid w:val="003B7B99"/>
    <w:rsid w:val="003C072E"/>
    <w:rsid w:val="003C0AD2"/>
    <w:rsid w:val="003C28EE"/>
    <w:rsid w:val="003C2BDF"/>
    <w:rsid w:val="003C7E36"/>
    <w:rsid w:val="003D1B13"/>
    <w:rsid w:val="003D6772"/>
    <w:rsid w:val="003E017E"/>
    <w:rsid w:val="003E125B"/>
    <w:rsid w:val="003E1ED1"/>
    <w:rsid w:val="003E5A89"/>
    <w:rsid w:val="003E762B"/>
    <w:rsid w:val="003F015E"/>
    <w:rsid w:val="003F04B2"/>
    <w:rsid w:val="003F6A01"/>
    <w:rsid w:val="003F7050"/>
    <w:rsid w:val="003F7661"/>
    <w:rsid w:val="003F7B0E"/>
    <w:rsid w:val="00400414"/>
    <w:rsid w:val="004008E8"/>
    <w:rsid w:val="00401B1C"/>
    <w:rsid w:val="0040606C"/>
    <w:rsid w:val="004066D8"/>
    <w:rsid w:val="00407386"/>
    <w:rsid w:val="004076B1"/>
    <w:rsid w:val="00407AFA"/>
    <w:rsid w:val="0041040D"/>
    <w:rsid w:val="00412684"/>
    <w:rsid w:val="00412A5F"/>
    <w:rsid w:val="004130E3"/>
    <w:rsid w:val="004141C4"/>
    <w:rsid w:val="0041431D"/>
    <w:rsid w:val="0041446B"/>
    <w:rsid w:val="004149A9"/>
    <w:rsid w:val="00414E8C"/>
    <w:rsid w:val="00414EF2"/>
    <w:rsid w:val="004155CA"/>
    <w:rsid w:val="0041766D"/>
    <w:rsid w:val="004213EE"/>
    <w:rsid w:val="0042506D"/>
    <w:rsid w:val="00425393"/>
    <w:rsid w:val="004305CE"/>
    <w:rsid w:val="00434029"/>
    <w:rsid w:val="00434BE9"/>
    <w:rsid w:val="004365F8"/>
    <w:rsid w:val="00441B8F"/>
    <w:rsid w:val="0044329C"/>
    <w:rsid w:val="00444BCB"/>
    <w:rsid w:val="00445431"/>
    <w:rsid w:val="0044598F"/>
    <w:rsid w:val="00445A1A"/>
    <w:rsid w:val="00450625"/>
    <w:rsid w:val="004506CD"/>
    <w:rsid w:val="0045248F"/>
    <w:rsid w:val="00453E24"/>
    <w:rsid w:val="00454362"/>
    <w:rsid w:val="00455372"/>
    <w:rsid w:val="00455850"/>
    <w:rsid w:val="004566DF"/>
    <w:rsid w:val="00457456"/>
    <w:rsid w:val="004577FE"/>
    <w:rsid w:val="00457B9C"/>
    <w:rsid w:val="0046164A"/>
    <w:rsid w:val="00461EE5"/>
    <w:rsid w:val="004628D2"/>
    <w:rsid w:val="00462DCD"/>
    <w:rsid w:val="00463035"/>
    <w:rsid w:val="004648AD"/>
    <w:rsid w:val="004679D4"/>
    <w:rsid w:val="00467DED"/>
    <w:rsid w:val="004703A9"/>
    <w:rsid w:val="00474FD8"/>
    <w:rsid w:val="004760DE"/>
    <w:rsid w:val="004761F6"/>
    <w:rsid w:val="004763D7"/>
    <w:rsid w:val="00476E47"/>
    <w:rsid w:val="00476F0C"/>
    <w:rsid w:val="00477028"/>
    <w:rsid w:val="00482222"/>
    <w:rsid w:val="004834EF"/>
    <w:rsid w:val="004904B6"/>
    <w:rsid w:val="00490D27"/>
    <w:rsid w:val="0049229B"/>
    <w:rsid w:val="00495064"/>
    <w:rsid w:val="0049790E"/>
    <w:rsid w:val="004A004E"/>
    <w:rsid w:val="004A0E00"/>
    <w:rsid w:val="004A24CF"/>
    <w:rsid w:val="004A2753"/>
    <w:rsid w:val="004A3093"/>
    <w:rsid w:val="004A33E7"/>
    <w:rsid w:val="004A5663"/>
    <w:rsid w:val="004B1901"/>
    <w:rsid w:val="004B736C"/>
    <w:rsid w:val="004C3D1D"/>
    <w:rsid w:val="004C517A"/>
    <w:rsid w:val="004C6D35"/>
    <w:rsid w:val="004C7913"/>
    <w:rsid w:val="004D1061"/>
    <w:rsid w:val="004D2417"/>
    <w:rsid w:val="004D50EA"/>
    <w:rsid w:val="004E1DD6"/>
    <w:rsid w:val="004E32C5"/>
    <w:rsid w:val="004E3CE6"/>
    <w:rsid w:val="004E4DD6"/>
    <w:rsid w:val="004E6EC1"/>
    <w:rsid w:val="004F5E36"/>
    <w:rsid w:val="0050337A"/>
    <w:rsid w:val="0050493F"/>
    <w:rsid w:val="00505363"/>
    <w:rsid w:val="00506313"/>
    <w:rsid w:val="00507B47"/>
    <w:rsid w:val="00507BEF"/>
    <w:rsid w:val="00507CC9"/>
    <w:rsid w:val="0051128F"/>
    <w:rsid w:val="005119A5"/>
    <w:rsid w:val="00514AAA"/>
    <w:rsid w:val="0051727A"/>
    <w:rsid w:val="005208F4"/>
    <w:rsid w:val="005209D1"/>
    <w:rsid w:val="00522E09"/>
    <w:rsid w:val="00523146"/>
    <w:rsid w:val="00523791"/>
    <w:rsid w:val="0052487A"/>
    <w:rsid w:val="00525C3E"/>
    <w:rsid w:val="005278B7"/>
    <w:rsid w:val="00532016"/>
    <w:rsid w:val="005331E0"/>
    <w:rsid w:val="00534689"/>
    <w:rsid w:val="005346C8"/>
    <w:rsid w:val="00541273"/>
    <w:rsid w:val="005421E6"/>
    <w:rsid w:val="00542DDA"/>
    <w:rsid w:val="00543E7D"/>
    <w:rsid w:val="00545FE3"/>
    <w:rsid w:val="00546364"/>
    <w:rsid w:val="00547A68"/>
    <w:rsid w:val="00550090"/>
    <w:rsid w:val="00551F19"/>
    <w:rsid w:val="00552999"/>
    <w:rsid w:val="005531C9"/>
    <w:rsid w:val="00557032"/>
    <w:rsid w:val="005615FA"/>
    <w:rsid w:val="00570103"/>
    <w:rsid w:val="0057064B"/>
    <w:rsid w:val="00570C43"/>
    <w:rsid w:val="005712D9"/>
    <w:rsid w:val="0057293B"/>
    <w:rsid w:val="0057322E"/>
    <w:rsid w:val="00575AE2"/>
    <w:rsid w:val="00576AE0"/>
    <w:rsid w:val="00577BD0"/>
    <w:rsid w:val="00581A8C"/>
    <w:rsid w:val="005823AC"/>
    <w:rsid w:val="00582844"/>
    <w:rsid w:val="00583C76"/>
    <w:rsid w:val="0058506C"/>
    <w:rsid w:val="005903E3"/>
    <w:rsid w:val="00592BB4"/>
    <w:rsid w:val="00594689"/>
    <w:rsid w:val="005953E1"/>
    <w:rsid w:val="005955C5"/>
    <w:rsid w:val="005A0E84"/>
    <w:rsid w:val="005A267A"/>
    <w:rsid w:val="005A7970"/>
    <w:rsid w:val="005B2110"/>
    <w:rsid w:val="005B44C3"/>
    <w:rsid w:val="005B457E"/>
    <w:rsid w:val="005B61E6"/>
    <w:rsid w:val="005B71DE"/>
    <w:rsid w:val="005C080B"/>
    <w:rsid w:val="005C2129"/>
    <w:rsid w:val="005C2CDA"/>
    <w:rsid w:val="005C2D64"/>
    <w:rsid w:val="005C77E1"/>
    <w:rsid w:val="005C7C60"/>
    <w:rsid w:val="005D10AA"/>
    <w:rsid w:val="005D3ACE"/>
    <w:rsid w:val="005D4C6F"/>
    <w:rsid w:val="005D6503"/>
    <w:rsid w:val="005D65F3"/>
    <w:rsid w:val="005D668A"/>
    <w:rsid w:val="005D6A2F"/>
    <w:rsid w:val="005E1721"/>
    <w:rsid w:val="005E1A82"/>
    <w:rsid w:val="005E3690"/>
    <w:rsid w:val="005E37A3"/>
    <w:rsid w:val="005E6B49"/>
    <w:rsid w:val="005E794C"/>
    <w:rsid w:val="005E7DD2"/>
    <w:rsid w:val="005F0A28"/>
    <w:rsid w:val="005F0DB3"/>
    <w:rsid w:val="005F0E5E"/>
    <w:rsid w:val="005F4661"/>
    <w:rsid w:val="005F653F"/>
    <w:rsid w:val="005F7900"/>
    <w:rsid w:val="00600535"/>
    <w:rsid w:val="00601EDD"/>
    <w:rsid w:val="00602439"/>
    <w:rsid w:val="00603473"/>
    <w:rsid w:val="00603F6B"/>
    <w:rsid w:val="006043CB"/>
    <w:rsid w:val="006066BB"/>
    <w:rsid w:val="00610CD6"/>
    <w:rsid w:val="006139E3"/>
    <w:rsid w:val="00613F0F"/>
    <w:rsid w:val="00613F97"/>
    <w:rsid w:val="006148C6"/>
    <w:rsid w:val="0061583D"/>
    <w:rsid w:val="00620DEE"/>
    <w:rsid w:val="00620E0B"/>
    <w:rsid w:val="00621C94"/>
    <w:rsid w:val="00621F92"/>
    <w:rsid w:val="0062280A"/>
    <w:rsid w:val="00625639"/>
    <w:rsid w:val="00627EB6"/>
    <w:rsid w:val="00627F58"/>
    <w:rsid w:val="006309C7"/>
    <w:rsid w:val="006315C5"/>
    <w:rsid w:val="00631B33"/>
    <w:rsid w:val="006348FE"/>
    <w:rsid w:val="0064184D"/>
    <w:rsid w:val="006422CC"/>
    <w:rsid w:val="00642A6D"/>
    <w:rsid w:val="00644BD6"/>
    <w:rsid w:val="00645C86"/>
    <w:rsid w:val="006510B5"/>
    <w:rsid w:val="0065297D"/>
    <w:rsid w:val="0065360C"/>
    <w:rsid w:val="006538B6"/>
    <w:rsid w:val="00654FEC"/>
    <w:rsid w:val="006568B2"/>
    <w:rsid w:val="00660C8B"/>
    <w:rsid w:val="00660E3E"/>
    <w:rsid w:val="00662E74"/>
    <w:rsid w:val="00664359"/>
    <w:rsid w:val="00665323"/>
    <w:rsid w:val="0066555E"/>
    <w:rsid w:val="00667BFA"/>
    <w:rsid w:val="0067309B"/>
    <w:rsid w:val="006760C1"/>
    <w:rsid w:val="00676625"/>
    <w:rsid w:val="00680C23"/>
    <w:rsid w:val="00682A61"/>
    <w:rsid w:val="006847C8"/>
    <w:rsid w:val="00693766"/>
    <w:rsid w:val="006A25D6"/>
    <w:rsid w:val="006A3281"/>
    <w:rsid w:val="006A67E5"/>
    <w:rsid w:val="006B0E37"/>
    <w:rsid w:val="006B4888"/>
    <w:rsid w:val="006C1276"/>
    <w:rsid w:val="006C2E45"/>
    <w:rsid w:val="006C359C"/>
    <w:rsid w:val="006C37EE"/>
    <w:rsid w:val="006C5579"/>
    <w:rsid w:val="006D4C1F"/>
    <w:rsid w:val="006D6E8B"/>
    <w:rsid w:val="006E0106"/>
    <w:rsid w:val="006E49BA"/>
    <w:rsid w:val="006E737D"/>
    <w:rsid w:val="006F1559"/>
    <w:rsid w:val="006F29DB"/>
    <w:rsid w:val="006F2DE3"/>
    <w:rsid w:val="006F3072"/>
    <w:rsid w:val="006F3114"/>
    <w:rsid w:val="00702D41"/>
    <w:rsid w:val="007033AF"/>
    <w:rsid w:val="00704B1E"/>
    <w:rsid w:val="00705697"/>
    <w:rsid w:val="007137C4"/>
    <w:rsid w:val="00713973"/>
    <w:rsid w:val="0071556D"/>
    <w:rsid w:val="00716623"/>
    <w:rsid w:val="0072019C"/>
    <w:rsid w:val="00720882"/>
    <w:rsid w:val="00720A24"/>
    <w:rsid w:val="0072208A"/>
    <w:rsid w:val="007258BB"/>
    <w:rsid w:val="00725F8A"/>
    <w:rsid w:val="007260B2"/>
    <w:rsid w:val="00731F79"/>
    <w:rsid w:val="00732386"/>
    <w:rsid w:val="0073514D"/>
    <w:rsid w:val="00736375"/>
    <w:rsid w:val="00736E91"/>
    <w:rsid w:val="00740E54"/>
    <w:rsid w:val="00741183"/>
    <w:rsid w:val="0074361C"/>
    <w:rsid w:val="007447F3"/>
    <w:rsid w:val="007454A5"/>
    <w:rsid w:val="00747808"/>
    <w:rsid w:val="0075180B"/>
    <w:rsid w:val="00751A0A"/>
    <w:rsid w:val="007529DC"/>
    <w:rsid w:val="0075499F"/>
    <w:rsid w:val="00765F16"/>
    <w:rsid w:val="007661C8"/>
    <w:rsid w:val="007675BD"/>
    <w:rsid w:val="00767611"/>
    <w:rsid w:val="007678D5"/>
    <w:rsid w:val="0077098D"/>
    <w:rsid w:val="00774317"/>
    <w:rsid w:val="007845D7"/>
    <w:rsid w:val="00787365"/>
    <w:rsid w:val="00787616"/>
    <w:rsid w:val="007911A1"/>
    <w:rsid w:val="00792302"/>
    <w:rsid w:val="007928A1"/>
    <w:rsid w:val="007931FA"/>
    <w:rsid w:val="00793C49"/>
    <w:rsid w:val="00794093"/>
    <w:rsid w:val="00796E3B"/>
    <w:rsid w:val="007974A3"/>
    <w:rsid w:val="007A23D2"/>
    <w:rsid w:val="007A4861"/>
    <w:rsid w:val="007A5DB4"/>
    <w:rsid w:val="007A7BBA"/>
    <w:rsid w:val="007B0C50"/>
    <w:rsid w:val="007B38D9"/>
    <w:rsid w:val="007B478B"/>
    <w:rsid w:val="007B48F9"/>
    <w:rsid w:val="007B5FD9"/>
    <w:rsid w:val="007C1A43"/>
    <w:rsid w:val="007C441E"/>
    <w:rsid w:val="007C4BD3"/>
    <w:rsid w:val="007C5D50"/>
    <w:rsid w:val="007C70A1"/>
    <w:rsid w:val="007D5580"/>
    <w:rsid w:val="007E2241"/>
    <w:rsid w:val="007E28D8"/>
    <w:rsid w:val="007E3DF7"/>
    <w:rsid w:val="007E5012"/>
    <w:rsid w:val="007E507F"/>
    <w:rsid w:val="007F098A"/>
    <w:rsid w:val="007F0DD4"/>
    <w:rsid w:val="007F1C3B"/>
    <w:rsid w:val="007F267A"/>
    <w:rsid w:val="007F3093"/>
    <w:rsid w:val="007F42AD"/>
    <w:rsid w:val="007F6516"/>
    <w:rsid w:val="007F6593"/>
    <w:rsid w:val="0080013E"/>
    <w:rsid w:val="00800893"/>
    <w:rsid w:val="00800936"/>
    <w:rsid w:val="008107A8"/>
    <w:rsid w:val="00813288"/>
    <w:rsid w:val="00814846"/>
    <w:rsid w:val="008168FC"/>
    <w:rsid w:val="0082084B"/>
    <w:rsid w:val="00820E7F"/>
    <w:rsid w:val="00824822"/>
    <w:rsid w:val="00824AC5"/>
    <w:rsid w:val="00825DD9"/>
    <w:rsid w:val="00826217"/>
    <w:rsid w:val="00826D47"/>
    <w:rsid w:val="00826DE4"/>
    <w:rsid w:val="00830996"/>
    <w:rsid w:val="00833A65"/>
    <w:rsid w:val="008345F1"/>
    <w:rsid w:val="00836F66"/>
    <w:rsid w:val="00840A19"/>
    <w:rsid w:val="008411D2"/>
    <w:rsid w:val="00842FB9"/>
    <w:rsid w:val="00844245"/>
    <w:rsid w:val="0084470C"/>
    <w:rsid w:val="00847568"/>
    <w:rsid w:val="00850354"/>
    <w:rsid w:val="00853672"/>
    <w:rsid w:val="00863AE4"/>
    <w:rsid w:val="00865018"/>
    <w:rsid w:val="00865059"/>
    <w:rsid w:val="00865B07"/>
    <w:rsid w:val="008667C6"/>
    <w:rsid w:val="008667EA"/>
    <w:rsid w:val="0087250A"/>
    <w:rsid w:val="00872890"/>
    <w:rsid w:val="0087637F"/>
    <w:rsid w:val="00877384"/>
    <w:rsid w:val="008807A4"/>
    <w:rsid w:val="008810BC"/>
    <w:rsid w:val="00883770"/>
    <w:rsid w:val="008846C3"/>
    <w:rsid w:val="00884A3B"/>
    <w:rsid w:val="00892AD5"/>
    <w:rsid w:val="008972FD"/>
    <w:rsid w:val="008A0B7B"/>
    <w:rsid w:val="008A1512"/>
    <w:rsid w:val="008A29CF"/>
    <w:rsid w:val="008A4A79"/>
    <w:rsid w:val="008A4BE2"/>
    <w:rsid w:val="008A75DB"/>
    <w:rsid w:val="008A7AA9"/>
    <w:rsid w:val="008B061E"/>
    <w:rsid w:val="008B322F"/>
    <w:rsid w:val="008B4648"/>
    <w:rsid w:val="008C0270"/>
    <w:rsid w:val="008C0901"/>
    <w:rsid w:val="008C2FDA"/>
    <w:rsid w:val="008C4A84"/>
    <w:rsid w:val="008D0194"/>
    <w:rsid w:val="008D32B9"/>
    <w:rsid w:val="008D33E5"/>
    <w:rsid w:val="008D36A1"/>
    <w:rsid w:val="008D3947"/>
    <w:rsid w:val="008D433B"/>
    <w:rsid w:val="008E283D"/>
    <w:rsid w:val="008E54D5"/>
    <w:rsid w:val="008E55D9"/>
    <w:rsid w:val="008E566E"/>
    <w:rsid w:val="008E704A"/>
    <w:rsid w:val="008E7593"/>
    <w:rsid w:val="008F0FE6"/>
    <w:rsid w:val="008F1819"/>
    <w:rsid w:val="008F56D2"/>
    <w:rsid w:val="0090161A"/>
    <w:rsid w:val="00901EB6"/>
    <w:rsid w:val="00902EB5"/>
    <w:rsid w:val="00904C62"/>
    <w:rsid w:val="009071BD"/>
    <w:rsid w:val="00907E20"/>
    <w:rsid w:val="00912143"/>
    <w:rsid w:val="00912886"/>
    <w:rsid w:val="00913415"/>
    <w:rsid w:val="00915C16"/>
    <w:rsid w:val="00915C3F"/>
    <w:rsid w:val="00917352"/>
    <w:rsid w:val="00917FD2"/>
    <w:rsid w:val="00920D0B"/>
    <w:rsid w:val="009210C2"/>
    <w:rsid w:val="00922BA8"/>
    <w:rsid w:val="00924DAC"/>
    <w:rsid w:val="00925BBF"/>
    <w:rsid w:val="009265FB"/>
    <w:rsid w:val="00927058"/>
    <w:rsid w:val="00930DF4"/>
    <w:rsid w:val="00933F4A"/>
    <w:rsid w:val="009358D6"/>
    <w:rsid w:val="00937E8F"/>
    <w:rsid w:val="009403A9"/>
    <w:rsid w:val="00942750"/>
    <w:rsid w:val="009450CE"/>
    <w:rsid w:val="00945662"/>
    <w:rsid w:val="00946B42"/>
    <w:rsid w:val="00947179"/>
    <w:rsid w:val="0095164B"/>
    <w:rsid w:val="00954090"/>
    <w:rsid w:val="009573E7"/>
    <w:rsid w:val="00957849"/>
    <w:rsid w:val="0096015B"/>
    <w:rsid w:val="00961193"/>
    <w:rsid w:val="00961288"/>
    <w:rsid w:val="00963D63"/>
    <w:rsid w:val="00963E05"/>
    <w:rsid w:val="0096463A"/>
    <w:rsid w:val="009646FF"/>
    <w:rsid w:val="00964CD5"/>
    <w:rsid w:val="00966846"/>
    <w:rsid w:val="009676B0"/>
    <w:rsid w:val="00967843"/>
    <w:rsid w:val="00967D54"/>
    <w:rsid w:val="00971028"/>
    <w:rsid w:val="00971AE0"/>
    <w:rsid w:val="00972892"/>
    <w:rsid w:val="00973355"/>
    <w:rsid w:val="00977D27"/>
    <w:rsid w:val="00977D94"/>
    <w:rsid w:val="009830A2"/>
    <w:rsid w:val="00983B44"/>
    <w:rsid w:val="009851CF"/>
    <w:rsid w:val="009871AA"/>
    <w:rsid w:val="009913DA"/>
    <w:rsid w:val="00993474"/>
    <w:rsid w:val="00993B84"/>
    <w:rsid w:val="00994871"/>
    <w:rsid w:val="0099499E"/>
    <w:rsid w:val="00996483"/>
    <w:rsid w:val="00996F5A"/>
    <w:rsid w:val="009977A5"/>
    <w:rsid w:val="009A32E2"/>
    <w:rsid w:val="009A3823"/>
    <w:rsid w:val="009A4525"/>
    <w:rsid w:val="009A6CD1"/>
    <w:rsid w:val="009A7439"/>
    <w:rsid w:val="009B041A"/>
    <w:rsid w:val="009B101A"/>
    <w:rsid w:val="009B2927"/>
    <w:rsid w:val="009B45A6"/>
    <w:rsid w:val="009B50DC"/>
    <w:rsid w:val="009B71C0"/>
    <w:rsid w:val="009B7807"/>
    <w:rsid w:val="009C37C3"/>
    <w:rsid w:val="009C7C86"/>
    <w:rsid w:val="009D09F4"/>
    <w:rsid w:val="009D1569"/>
    <w:rsid w:val="009D2FF7"/>
    <w:rsid w:val="009D3183"/>
    <w:rsid w:val="009D4FDE"/>
    <w:rsid w:val="009D704C"/>
    <w:rsid w:val="009D78AC"/>
    <w:rsid w:val="009E1501"/>
    <w:rsid w:val="009E1569"/>
    <w:rsid w:val="009E20FA"/>
    <w:rsid w:val="009E31A9"/>
    <w:rsid w:val="009E5440"/>
    <w:rsid w:val="009E547F"/>
    <w:rsid w:val="009E73C5"/>
    <w:rsid w:val="009E7884"/>
    <w:rsid w:val="009E788A"/>
    <w:rsid w:val="009F0E08"/>
    <w:rsid w:val="009F125C"/>
    <w:rsid w:val="009F4602"/>
    <w:rsid w:val="009F4F8E"/>
    <w:rsid w:val="00A01844"/>
    <w:rsid w:val="00A042DA"/>
    <w:rsid w:val="00A105EF"/>
    <w:rsid w:val="00A1123F"/>
    <w:rsid w:val="00A11593"/>
    <w:rsid w:val="00A12CA6"/>
    <w:rsid w:val="00A1763D"/>
    <w:rsid w:val="00A17CEC"/>
    <w:rsid w:val="00A202DC"/>
    <w:rsid w:val="00A2066D"/>
    <w:rsid w:val="00A23425"/>
    <w:rsid w:val="00A25BF6"/>
    <w:rsid w:val="00A265E1"/>
    <w:rsid w:val="00A26C2D"/>
    <w:rsid w:val="00A273B6"/>
    <w:rsid w:val="00A27EF0"/>
    <w:rsid w:val="00A319F7"/>
    <w:rsid w:val="00A3238C"/>
    <w:rsid w:val="00A32549"/>
    <w:rsid w:val="00A34560"/>
    <w:rsid w:val="00A4089F"/>
    <w:rsid w:val="00A42361"/>
    <w:rsid w:val="00A4248A"/>
    <w:rsid w:val="00A42550"/>
    <w:rsid w:val="00A44A28"/>
    <w:rsid w:val="00A45FFE"/>
    <w:rsid w:val="00A46CC8"/>
    <w:rsid w:val="00A47D63"/>
    <w:rsid w:val="00A50B20"/>
    <w:rsid w:val="00A51390"/>
    <w:rsid w:val="00A60D13"/>
    <w:rsid w:val="00A61D45"/>
    <w:rsid w:val="00A64A5A"/>
    <w:rsid w:val="00A668C4"/>
    <w:rsid w:val="00A72745"/>
    <w:rsid w:val="00A72874"/>
    <w:rsid w:val="00A732FE"/>
    <w:rsid w:val="00A73F9C"/>
    <w:rsid w:val="00A76EFC"/>
    <w:rsid w:val="00A7751D"/>
    <w:rsid w:val="00A77DEE"/>
    <w:rsid w:val="00A80EAD"/>
    <w:rsid w:val="00A83455"/>
    <w:rsid w:val="00A84FA5"/>
    <w:rsid w:val="00A91010"/>
    <w:rsid w:val="00A97F29"/>
    <w:rsid w:val="00AA1ABF"/>
    <w:rsid w:val="00AA25F8"/>
    <w:rsid w:val="00AA4022"/>
    <w:rsid w:val="00AA451F"/>
    <w:rsid w:val="00AA5AC2"/>
    <w:rsid w:val="00AA702E"/>
    <w:rsid w:val="00AB0944"/>
    <w:rsid w:val="00AB0964"/>
    <w:rsid w:val="00AB0D51"/>
    <w:rsid w:val="00AB2B35"/>
    <w:rsid w:val="00AB5011"/>
    <w:rsid w:val="00AB6173"/>
    <w:rsid w:val="00AB77A0"/>
    <w:rsid w:val="00AC0DC0"/>
    <w:rsid w:val="00AC1A05"/>
    <w:rsid w:val="00AC2D62"/>
    <w:rsid w:val="00AC695B"/>
    <w:rsid w:val="00AC6D4B"/>
    <w:rsid w:val="00AC6DFB"/>
    <w:rsid w:val="00AC6EEA"/>
    <w:rsid w:val="00AC7368"/>
    <w:rsid w:val="00AC765A"/>
    <w:rsid w:val="00AD16B9"/>
    <w:rsid w:val="00AD1B8B"/>
    <w:rsid w:val="00AD1E1C"/>
    <w:rsid w:val="00AD37C1"/>
    <w:rsid w:val="00AD3C61"/>
    <w:rsid w:val="00AD41C3"/>
    <w:rsid w:val="00AD733C"/>
    <w:rsid w:val="00AE1BBB"/>
    <w:rsid w:val="00AE377D"/>
    <w:rsid w:val="00AE67A9"/>
    <w:rsid w:val="00AF0816"/>
    <w:rsid w:val="00AF0B04"/>
    <w:rsid w:val="00AF0EBA"/>
    <w:rsid w:val="00AF3108"/>
    <w:rsid w:val="00AF3C8F"/>
    <w:rsid w:val="00AF61B0"/>
    <w:rsid w:val="00AF686D"/>
    <w:rsid w:val="00B02C8A"/>
    <w:rsid w:val="00B03C9F"/>
    <w:rsid w:val="00B0596F"/>
    <w:rsid w:val="00B12065"/>
    <w:rsid w:val="00B1353E"/>
    <w:rsid w:val="00B13777"/>
    <w:rsid w:val="00B14932"/>
    <w:rsid w:val="00B17FBD"/>
    <w:rsid w:val="00B20BC1"/>
    <w:rsid w:val="00B2380D"/>
    <w:rsid w:val="00B264C2"/>
    <w:rsid w:val="00B26ED6"/>
    <w:rsid w:val="00B304CB"/>
    <w:rsid w:val="00B31421"/>
    <w:rsid w:val="00B315A6"/>
    <w:rsid w:val="00B31813"/>
    <w:rsid w:val="00B31D60"/>
    <w:rsid w:val="00B33365"/>
    <w:rsid w:val="00B34E97"/>
    <w:rsid w:val="00B35100"/>
    <w:rsid w:val="00B45AB7"/>
    <w:rsid w:val="00B5336E"/>
    <w:rsid w:val="00B5570F"/>
    <w:rsid w:val="00B56033"/>
    <w:rsid w:val="00B57B36"/>
    <w:rsid w:val="00B57E6F"/>
    <w:rsid w:val="00B64E41"/>
    <w:rsid w:val="00B670D2"/>
    <w:rsid w:val="00B72334"/>
    <w:rsid w:val="00B77D23"/>
    <w:rsid w:val="00B80ACF"/>
    <w:rsid w:val="00B80DDA"/>
    <w:rsid w:val="00B827F0"/>
    <w:rsid w:val="00B84B0F"/>
    <w:rsid w:val="00B8686D"/>
    <w:rsid w:val="00B87DC4"/>
    <w:rsid w:val="00B90151"/>
    <w:rsid w:val="00B90F73"/>
    <w:rsid w:val="00B93F69"/>
    <w:rsid w:val="00BA0375"/>
    <w:rsid w:val="00BA1821"/>
    <w:rsid w:val="00BA22A1"/>
    <w:rsid w:val="00BA3CBA"/>
    <w:rsid w:val="00BA5886"/>
    <w:rsid w:val="00BA78AD"/>
    <w:rsid w:val="00BB1DDC"/>
    <w:rsid w:val="00BB41AF"/>
    <w:rsid w:val="00BB5EAC"/>
    <w:rsid w:val="00BC30C9"/>
    <w:rsid w:val="00BC3E3B"/>
    <w:rsid w:val="00BC44B1"/>
    <w:rsid w:val="00BC52DE"/>
    <w:rsid w:val="00BC5355"/>
    <w:rsid w:val="00BC61AD"/>
    <w:rsid w:val="00BC6F0B"/>
    <w:rsid w:val="00BC7E15"/>
    <w:rsid w:val="00BD077D"/>
    <w:rsid w:val="00BD51F2"/>
    <w:rsid w:val="00BE0EC7"/>
    <w:rsid w:val="00BE3D51"/>
    <w:rsid w:val="00BE3E58"/>
    <w:rsid w:val="00BE4D83"/>
    <w:rsid w:val="00BE5264"/>
    <w:rsid w:val="00BE5CAF"/>
    <w:rsid w:val="00BF0BDA"/>
    <w:rsid w:val="00BF15C0"/>
    <w:rsid w:val="00BF526A"/>
    <w:rsid w:val="00C01616"/>
    <w:rsid w:val="00C0162B"/>
    <w:rsid w:val="00C03B94"/>
    <w:rsid w:val="00C04076"/>
    <w:rsid w:val="00C067BF"/>
    <w:rsid w:val="00C068ED"/>
    <w:rsid w:val="00C12726"/>
    <w:rsid w:val="00C16705"/>
    <w:rsid w:val="00C1685B"/>
    <w:rsid w:val="00C2133D"/>
    <w:rsid w:val="00C224F7"/>
    <w:rsid w:val="00C22E0C"/>
    <w:rsid w:val="00C24B5B"/>
    <w:rsid w:val="00C27809"/>
    <w:rsid w:val="00C3327A"/>
    <w:rsid w:val="00C34426"/>
    <w:rsid w:val="00C345B1"/>
    <w:rsid w:val="00C35140"/>
    <w:rsid w:val="00C3707B"/>
    <w:rsid w:val="00C40142"/>
    <w:rsid w:val="00C44ED6"/>
    <w:rsid w:val="00C452C2"/>
    <w:rsid w:val="00C47D50"/>
    <w:rsid w:val="00C5172A"/>
    <w:rsid w:val="00C51E17"/>
    <w:rsid w:val="00C52C3C"/>
    <w:rsid w:val="00C56246"/>
    <w:rsid w:val="00C57182"/>
    <w:rsid w:val="00C57863"/>
    <w:rsid w:val="00C605DB"/>
    <w:rsid w:val="00C62B1A"/>
    <w:rsid w:val="00C62DF3"/>
    <w:rsid w:val="00C655FD"/>
    <w:rsid w:val="00C71E12"/>
    <w:rsid w:val="00C75407"/>
    <w:rsid w:val="00C8040F"/>
    <w:rsid w:val="00C85DA3"/>
    <w:rsid w:val="00C870A8"/>
    <w:rsid w:val="00C87ECD"/>
    <w:rsid w:val="00C90319"/>
    <w:rsid w:val="00C90BFB"/>
    <w:rsid w:val="00C92619"/>
    <w:rsid w:val="00C9314B"/>
    <w:rsid w:val="00C94434"/>
    <w:rsid w:val="00C94765"/>
    <w:rsid w:val="00C9497F"/>
    <w:rsid w:val="00C94A47"/>
    <w:rsid w:val="00C95A54"/>
    <w:rsid w:val="00CA0937"/>
    <w:rsid w:val="00CA0D75"/>
    <w:rsid w:val="00CA13EA"/>
    <w:rsid w:val="00CA1C95"/>
    <w:rsid w:val="00CA3C8E"/>
    <w:rsid w:val="00CA54AF"/>
    <w:rsid w:val="00CA5A9C"/>
    <w:rsid w:val="00CA65C7"/>
    <w:rsid w:val="00CA68E5"/>
    <w:rsid w:val="00CB2A4E"/>
    <w:rsid w:val="00CC05AD"/>
    <w:rsid w:val="00CC1D04"/>
    <w:rsid w:val="00CC3A63"/>
    <w:rsid w:val="00CC4BCC"/>
    <w:rsid w:val="00CC4C20"/>
    <w:rsid w:val="00CC4DBE"/>
    <w:rsid w:val="00CC6675"/>
    <w:rsid w:val="00CC7DC8"/>
    <w:rsid w:val="00CD0070"/>
    <w:rsid w:val="00CD27E2"/>
    <w:rsid w:val="00CD2991"/>
    <w:rsid w:val="00CD29AE"/>
    <w:rsid w:val="00CD3517"/>
    <w:rsid w:val="00CD3D3D"/>
    <w:rsid w:val="00CD40C1"/>
    <w:rsid w:val="00CD51EE"/>
    <w:rsid w:val="00CD5FE2"/>
    <w:rsid w:val="00CD6361"/>
    <w:rsid w:val="00CE49BD"/>
    <w:rsid w:val="00CE5699"/>
    <w:rsid w:val="00CE643E"/>
    <w:rsid w:val="00CE6591"/>
    <w:rsid w:val="00CE7C68"/>
    <w:rsid w:val="00CF0FE6"/>
    <w:rsid w:val="00CF1B1C"/>
    <w:rsid w:val="00CF5167"/>
    <w:rsid w:val="00D0138D"/>
    <w:rsid w:val="00D02345"/>
    <w:rsid w:val="00D02B4C"/>
    <w:rsid w:val="00D040C4"/>
    <w:rsid w:val="00D06722"/>
    <w:rsid w:val="00D15205"/>
    <w:rsid w:val="00D2165E"/>
    <w:rsid w:val="00D21A92"/>
    <w:rsid w:val="00D2272D"/>
    <w:rsid w:val="00D23572"/>
    <w:rsid w:val="00D24C48"/>
    <w:rsid w:val="00D24CC4"/>
    <w:rsid w:val="00D27676"/>
    <w:rsid w:val="00D279D5"/>
    <w:rsid w:val="00D32199"/>
    <w:rsid w:val="00D330E3"/>
    <w:rsid w:val="00D37199"/>
    <w:rsid w:val="00D37463"/>
    <w:rsid w:val="00D4237C"/>
    <w:rsid w:val="00D44553"/>
    <w:rsid w:val="00D44594"/>
    <w:rsid w:val="00D46B7E"/>
    <w:rsid w:val="00D46D13"/>
    <w:rsid w:val="00D5052A"/>
    <w:rsid w:val="00D53516"/>
    <w:rsid w:val="00D53631"/>
    <w:rsid w:val="00D546E9"/>
    <w:rsid w:val="00D552C4"/>
    <w:rsid w:val="00D554EC"/>
    <w:rsid w:val="00D560BE"/>
    <w:rsid w:val="00D56305"/>
    <w:rsid w:val="00D57385"/>
    <w:rsid w:val="00D578B0"/>
    <w:rsid w:val="00D57C84"/>
    <w:rsid w:val="00D6057D"/>
    <w:rsid w:val="00D618D8"/>
    <w:rsid w:val="00D6336D"/>
    <w:rsid w:val="00D639A5"/>
    <w:rsid w:val="00D642F5"/>
    <w:rsid w:val="00D66987"/>
    <w:rsid w:val="00D71544"/>
    <w:rsid w:val="00D72394"/>
    <w:rsid w:val="00D76111"/>
    <w:rsid w:val="00D771EC"/>
    <w:rsid w:val="00D836C5"/>
    <w:rsid w:val="00D84576"/>
    <w:rsid w:val="00D866D3"/>
    <w:rsid w:val="00D86CAE"/>
    <w:rsid w:val="00D9177A"/>
    <w:rsid w:val="00D920DB"/>
    <w:rsid w:val="00DA03B9"/>
    <w:rsid w:val="00DA1399"/>
    <w:rsid w:val="00DA15D9"/>
    <w:rsid w:val="00DA20CA"/>
    <w:rsid w:val="00DA24C6"/>
    <w:rsid w:val="00DA4D7B"/>
    <w:rsid w:val="00DB49B6"/>
    <w:rsid w:val="00DB4D3D"/>
    <w:rsid w:val="00DB63C9"/>
    <w:rsid w:val="00DB7EEF"/>
    <w:rsid w:val="00DC07C2"/>
    <w:rsid w:val="00DC3DC0"/>
    <w:rsid w:val="00DC4DBD"/>
    <w:rsid w:val="00DD00BC"/>
    <w:rsid w:val="00DD1BBC"/>
    <w:rsid w:val="00DD68CD"/>
    <w:rsid w:val="00DD6E43"/>
    <w:rsid w:val="00DE264A"/>
    <w:rsid w:val="00DE2DB1"/>
    <w:rsid w:val="00DF5072"/>
    <w:rsid w:val="00DF5801"/>
    <w:rsid w:val="00DF58D5"/>
    <w:rsid w:val="00DF6655"/>
    <w:rsid w:val="00DF7E17"/>
    <w:rsid w:val="00E00C1F"/>
    <w:rsid w:val="00E01C59"/>
    <w:rsid w:val="00E02D18"/>
    <w:rsid w:val="00E03268"/>
    <w:rsid w:val="00E041E7"/>
    <w:rsid w:val="00E06F04"/>
    <w:rsid w:val="00E0791A"/>
    <w:rsid w:val="00E100E5"/>
    <w:rsid w:val="00E10471"/>
    <w:rsid w:val="00E1062E"/>
    <w:rsid w:val="00E2007E"/>
    <w:rsid w:val="00E21798"/>
    <w:rsid w:val="00E23016"/>
    <w:rsid w:val="00E23CA1"/>
    <w:rsid w:val="00E25D6E"/>
    <w:rsid w:val="00E25E14"/>
    <w:rsid w:val="00E31C7D"/>
    <w:rsid w:val="00E327CA"/>
    <w:rsid w:val="00E409A8"/>
    <w:rsid w:val="00E41D00"/>
    <w:rsid w:val="00E500E9"/>
    <w:rsid w:val="00E50C12"/>
    <w:rsid w:val="00E534CB"/>
    <w:rsid w:val="00E62C95"/>
    <w:rsid w:val="00E6341B"/>
    <w:rsid w:val="00E64624"/>
    <w:rsid w:val="00E64CDA"/>
    <w:rsid w:val="00E65B91"/>
    <w:rsid w:val="00E66229"/>
    <w:rsid w:val="00E6642E"/>
    <w:rsid w:val="00E67AE3"/>
    <w:rsid w:val="00E67E25"/>
    <w:rsid w:val="00E71F28"/>
    <w:rsid w:val="00E7209D"/>
    <w:rsid w:val="00E72EAD"/>
    <w:rsid w:val="00E7305F"/>
    <w:rsid w:val="00E7383D"/>
    <w:rsid w:val="00E73AC1"/>
    <w:rsid w:val="00E756F1"/>
    <w:rsid w:val="00E75ACB"/>
    <w:rsid w:val="00E77223"/>
    <w:rsid w:val="00E8064F"/>
    <w:rsid w:val="00E806F5"/>
    <w:rsid w:val="00E82D37"/>
    <w:rsid w:val="00E84E51"/>
    <w:rsid w:val="00E8528B"/>
    <w:rsid w:val="00E85626"/>
    <w:rsid w:val="00E85B94"/>
    <w:rsid w:val="00E85D96"/>
    <w:rsid w:val="00E869E3"/>
    <w:rsid w:val="00E87BB5"/>
    <w:rsid w:val="00E906B3"/>
    <w:rsid w:val="00E907F0"/>
    <w:rsid w:val="00E954F3"/>
    <w:rsid w:val="00E978D0"/>
    <w:rsid w:val="00EA0FA8"/>
    <w:rsid w:val="00EA2517"/>
    <w:rsid w:val="00EA26BB"/>
    <w:rsid w:val="00EA2C3D"/>
    <w:rsid w:val="00EA4184"/>
    <w:rsid w:val="00EA4613"/>
    <w:rsid w:val="00EA6E08"/>
    <w:rsid w:val="00EA7F91"/>
    <w:rsid w:val="00EB0360"/>
    <w:rsid w:val="00EB084B"/>
    <w:rsid w:val="00EB1523"/>
    <w:rsid w:val="00EB2BC8"/>
    <w:rsid w:val="00EB369E"/>
    <w:rsid w:val="00EB4F42"/>
    <w:rsid w:val="00EC0E49"/>
    <w:rsid w:val="00EC101F"/>
    <w:rsid w:val="00EC1D9F"/>
    <w:rsid w:val="00EC27B9"/>
    <w:rsid w:val="00EC44CB"/>
    <w:rsid w:val="00EC6662"/>
    <w:rsid w:val="00EC67CB"/>
    <w:rsid w:val="00ED0903"/>
    <w:rsid w:val="00ED7470"/>
    <w:rsid w:val="00EE0131"/>
    <w:rsid w:val="00EE027A"/>
    <w:rsid w:val="00EE17B0"/>
    <w:rsid w:val="00EE4D34"/>
    <w:rsid w:val="00EE5147"/>
    <w:rsid w:val="00EF06D9"/>
    <w:rsid w:val="00EF075C"/>
    <w:rsid w:val="00F0108D"/>
    <w:rsid w:val="00F1650B"/>
    <w:rsid w:val="00F1685E"/>
    <w:rsid w:val="00F22C4E"/>
    <w:rsid w:val="00F22DAF"/>
    <w:rsid w:val="00F2702E"/>
    <w:rsid w:val="00F30C64"/>
    <w:rsid w:val="00F30E48"/>
    <w:rsid w:val="00F32BA2"/>
    <w:rsid w:val="00F32CDB"/>
    <w:rsid w:val="00F35478"/>
    <w:rsid w:val="00F36A0E"/>
    <w:rsid w:val="00F36BFE"/>
    <w:rsid w:val="00F40054"/>
    <w:rsid w:val="00F40421"/>
    <w:rsid w:val="00F413AE"/>
    <w:rsid w:val="00F4456A"/>
    <w:rsid w:val="00F45E30"/>
    <w:rsid w:val="00F45EF6"/>
    <w:rsid w:val="00F565FE"/>
    <w:rsid w:val="00F56F6F"/>
    <w:rsid w:val="00F57969"/>
    <w:rsid w:val="00F604AA"/>
    <w:rsid w:val="00F6198E"/>
    <w:rsid w:val="00F6202F"/>
    <w:rsid w:val="00F63A70"/>
    <w:rsid w:val="00F65E4C"/>
    <w:rsid w:val="00F7534E"/>
    <w:rsid w:val="00F80EA5"/>
    <w:rsid w:val="00F8200F"/>
    <w:rsid w:val="00F8328C"/>
    <w:rsid w:val="00F83F52"/>
    <w:rsid w:val="00F84231"/>
    <w:rsid w:val="00F84839"/>
    <w:rsid w:val="00F85F3F"/>
    <w:rsid w:val="00F911FB"/>
    <w:rsid w:val="00F95DCB"/>
    <w:rsid w:val="00F9772F"/>
    <w:rsid w:val="00F97742"/>
    <w:rsid w:val="00F97C8A"/>
    <w:rsid w:val="00F97DE9"/>
    <w:rsid w:val="00FA21D0"/>
    <w:rsid w:val="00FA5F5F"/>
    <w:rsid w:val="00FA7967"/>
    <w:rsid w:val="00FB0108"/>
    <w:rsid w:val="00FB260B"/>
    <w:rsid w:val="00FB57B2"/>
    <w:rsid w:val="00FB6B58"/>
    <w:rsid w:val="00FB730C"/>
    <w:rsid w:val="00FB7D67"/>
    <w:rsid w:val="00FC2695"/>
    <w:rsid w:val="00FC32EB"/>
    <w:rsid w:val="00FC34CA"/>
    <w:rsid w:val="00FC3E03"/>
    <w:rsid w:val="00FC3FC1"/>
    <w:rsid w:val="00FC4DFA"/>
    <w:rsid w:val="00FC5FA7"/>
    <w:rsid w:val="00FD02F2"/>
    <w:rsid w:val="00FD26BE"/>
    <w:rsid w:val="00FD30C1"/>
    <w:rsid w:val="00FD3856"/>
    <w:rsid w:val="00FD4EFF"/>
    <w:rsid w:val="00FD60D3"/>
    <w:rsid w:val="00FE1B43"/>
    <w:rsid w:val="00FE7AD6"/>
    <w:rsid w:val="00FF0E05"/>
    <w:rsid w:val="00FF381B"/>
    <w:rsid w:val="00FF3952"/>
    <w:rsid w:val="00FF633B"/>
    <w:rsid w:val="00FF6E90"/>
    <w:rsid w:val="4710ED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DE5B9DFA-7F9F-497B-A0F7-CB1436F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paragraph" w:styleId="Revisione">
    <w:name w:val="Revision"/>
    <w:hidden/>
    <w:uiPriority w:val="99"/>
    <w:semiHidden/>
    <w:rsid w:val="0019651E"/>
    <w:pPr>
      <w:spacing w:after="0" w:line="240" w:lineRule="auto"/>
    </w:pPr>
    <w:rPr>
      <w:rFonts w:ascii="Arial" w:eastAsia="Times New Roman" w:hAnsi="Arial" w:cs="Times New Roman"/>
      <w:sz w:val="18"/>
      <w:szCs w:val="20"/>
      <w:lang w:val="en-GB"/>
    </w:rPr>
  </w:style>
  <w:style w:type="character" w:customStyle="1" w:styleId="typography-modulelvnit">
    <w:name w:val="typography-module__lvnit"/>
    <w:basedOn w:val="Carpredefinitoparagrafo"/>
    <w:rsid w:val="000A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8867">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6961">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0F71-191D-47BC-A8C1-3D0E8451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3913</Words>
  <Characters>22384</Characters>
  <Application>Microsoft Office Word</Application>
  <DocSecurity>0</DocSecurity>
  <Lines>315</Lines>
  <Paragraphs>106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CARRA SILVIA</cp:lastModifiedBy>
  <cp:revision>2</cp:revision>
  <cp:lastPrinted>2015-05-12T18:31:00Z</cp:lastPrinted>
  <dcterms:created xsi:type="dcterms:W3CDTF">2026-03-27T09:51:00Z</dcterms:created>
  <dcterms:modified xsi:type="dcterms:W3CDTF">2026-03-27T09:51:00Z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