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8D361B"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1A45E5" w:rsidRDefault="000D0268" w:rsidP="00CD5FE2">
            <w:pPr>
              <w:spacing w:line="140" w:lineRule="atLeast"/>
              <w:jc w:val="right"/>
              <w:rPr>
                <w:rFonts w:cs="Arial"/>
                <w:sz w:val="13"/>
                <w:szCs w:val="13"/>
                <w:lang w:val="nb-NO"/>
              </w:rPr>
            </w:pPr>
            <w:r w:rsidRPr="001A45E5">
              <w:rPr>
                <w:rFonts w:cs="Arial"/>
                <w:sz w:val="13"/>
                <w:szCs w:val="13"/>
                <w:lang w:val="nb-NO"/>
              </w:rPr>
              <w:t>Online at www.cetjournal.it</w:t>
            </w:r>
          </w:p>
        </w:tc>
      </w:tr>
      <w:tr w:rsidR="000A03B2" w:rsidRPr="00B57B36" w14:paraId="2D1B7169" w14:textId="77777777" w:rsidTr="00DE264A">
        <w:trPr>
          <w:trHeight w:val="68"/>
          <w:jc w:val="center"/>
        </w:trPr>
        <w:tc>
          <w:tcPr>
            <w:tcW w:w="8789"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 xml:space="preserve">Valerio Cozzani, Bruno Fabiano, </w:t>
            </w:r>
            <w:proofErr w:type="spellStart"/>
            <w:r w:rsidR="007A6DF8" w:rsidRPr="007A6DF8">
              <w:rPr>
                <w:rFonts w:ascii="Tahoma" w:hAnsi="Tahoma" w:cs="Tahoma"/>
                <w:color w:val="000000"/>
                <w:sz w:val="14"/>
                <w:szCs w:val="14"/>
                <w:shd w:val="clear" w:color="auto" w:fill="FFFFFF"/>
                <w:lang w:val="it-IT"/>
              </w:rPr>
              <w:t>Genserik</w:t>
            </w:r>
            <w:proofErr w:type="spellEnd"/>
            <w:r w:rsidR="007A6DF8" w:rsidRPr="007A6DF8">
              <w:rPr>
                <w:rFonts w:ascii="Tahoma" w:hAnsi="Tahoma" w:cs="Tahoma"/>
                <w:color w:val="000000"/>
                <w:sz w:val="14"/>
                <w:szCs w:val="14"/>
                <w:shd w:val="clear" w:color="auto" w:fill="FFFFFF"/>
                <w:lang w:val="it-IT"/>
              </w:rPr>
              <w:t xml:space="preserve">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9C17322" w:rsidR="00E978D0" w:rsidRPr="00B57B36" w:rsidRDefault="001A45E5" w:rsidP="00E978D0">
      <w:pPr>
        <w:pStyle w:val="CETTitle"/>
      </w:pPr>
      <w:r>
        <w:t>Evaluating the Inherent Safety of Hydrogen Supply to Dispersed Industrial Sites</w:t>
      </w:r>
    </w:p>
    <w:p w14:paraId="6DADD8F9" w14:textId="77777777" w:rsidR="009003FA" w:rsidRDefault="00F02FDF" w:rsidP="005D3CCE">
      <w:pPr>
        <w:pStyle w:val="CETAuthors"/>
        <w:spacing w:after="0"/>
        <w:rPr>
          <w:lang w:val="it-IT"/>
        </w:rPr>
      </w:pPr>
      <w:r w:rsidRPr="00BA6C40">
        <w:rPr>
          <w:lang w:val="it-IT"/>
        </w:rPr>
        <w:t>Francesco Zanobetti</w:t>
      </w:r>
      <w:r w:rsidR="00B57E6F" w:rsidRPr="00BA6C40">
        <w:rPr>
          <w:vertAlign w:val="superscript"/>
          <w:lang w:val="it-IT"/>
        </w:rPr>
        <w:t>a</w:t>
      </w:r>
      <w:r w:rsidRPr="00BA6C40">
        <w:rPr>
          <w:vertAlign w:val="superscript"/>
          <w:lang w:val="it-IT"/>
        </w:rPr>
        <w:t>,</w:t>
      </w:r>
      <w:r w:rsidRPr="00BA6C40">
        <w:rPr>
          <w:lang w:val="it-IT"/>
        </w:rPr>
        <w:t>*</w:t>
      </w:r>
      <w:r w:rsidR="00B57E6F" w:rsidRPr="00BA6C40">
        <w:rPr>
          <w:lang w:val="it-IT"/>
        </w:rPr>
        <w:t xml:space="preserve">, </w:t>
      </w:r>
      <w:r w:rsidRPr="00BA6C40">
        <w:rPr>
          <w:lang w:val="it-IT"/>
        </w:rPr>
        <w:t>Alessandro Dal Pozzo</w:t>
      </w:r>
      <w:r w:rsidR="0007367A" w:rsidRPr="00BA6C40">
        <w:rPr>
          <w:vertAlign w:val="superscript"/>
          <w:lang w:val="it-IT"/>
        </w:rPr>
        <w:t>a</w:t>
      </w:r>
      <w:r w:rsidR="00B57E6F" w:rsidRPr="00BA6C40">
        <w:rPr>
          <w:lang w:val="it-IT"/>
        </w:rPr>
        <w:t xml:space="preserve">, </w:t>
      </w:r>
      <w:r w:rsidR="0007367A" w:rsidRPr="00BA6C40">
        <w:rPr>
          <w:lang w:val="it-IT"/>
        </w:rPr>
        <w:t>David Danaci</w:t>
      </w:r>
      <w:r w:rsidRPr="00BA6C40">
        <w:rPr>
          <w:vertAlign w:val="superscript"/>
          <w:lang w:val="it-IT"/>
        </w:rPr>
        <w:t>b</w:t>
      </w:r>
      <w:r w:rsidR="0007367A" w:rsidRPr="00BA6C40">
        <w:rPr>
          <w:vertAlign w:val="superscript"/>
          <w:lang w:val="it-IT"/>
        </w:rPr>
        <w:t>,c,d</w:t>
      </w:r>
      <w:r w:rsidRPr="00BA6C40">
        <w:rPr>
          <w:lang w:val="it-IT"/>
        </w:rPr>
        <w:t>,</w:t>
      </w:r>
      <w:r w:rsidR="009003FA">
        <w:rPr>
          <w:lang w:val="it-IT"/>
        </w:rPr>
        <w:t xml:space="preserve"> </w:t>
      </w:r>
    </w:p>
    <w:p w14:paraId="0488FED2" w14:textId="625477D2" w:rsidR="00B57E6F" w:rsidRPr="00BA6C40" w:rsidRDefault="00BA6C40" w:rsidP="00B57E6F">
      <w:pPr>
        <w:pStyle w:val="CETAuthors"/>
        <w:rPr>
          <w:lang w:val="it-IT"/>
        </w:rPr>
      </w:pPr>
      <w:r w:rsidRPr="00BA6C40">
        <w:rPr>
          <w:lang w:val="it-IT"/>
        </w:rPr>
        <w:t>Benoît Chachuat</w:t>
      </w:r>
      <w:r w:rsidR="0007367A" w:rsidRPr="00BA6C40">
        <w:rPr>
          <w:vertAlign w:val="superscript"/>
          <w:lang w:val="it-IT"/>
        </w:rPr>
        <w:t>b,c</w:t>
      </w:r>
      <w:r w:rsidRPr="00BA6C40">
        <w:rPr>
          <w:lang w:val="it-IT"/>
        </w:rPr>
        <w:t>, Nilay Shah</w:t>
      </w:r>
      <w:r w:rsidRPr="00BA6C40">
        <w:rPr>
          <w:vertAlign w:val="superscript"/>
          <w:lang w:val="it-IT"/>
        </w:rPr>
        <w:t>b,c</w:t>
      </w:r>
      <w:r w:rsidRPr="00BA6C40">
        <w:rPr>
          <w:lang w:val="it-IT"/>
        </w:rPr>
        <w:t>, V</w:t>
      </w:r>
      <w:r>
        <w:rPr>
          <w:lang w:val="it-IT"/>
        </w:rPr>
        <w:t>alerio Cozzani</w:t>
      </w:r>
      <w:r w:rsidRPr="00BA6C40">
        <w:rPr>
          <w:vertAlign w:val="superscript"/>
          <w:lang w:val="it-IT"/>
        </w:rPr>
        <w:t>a</w:t>
      </w:r>
    </w:p>
    <w:p w14:paraId="4800A62C" w14:textId="333CEE64" w:rsidR="002F283F" w:rsidRPr="002F283F" w:rsidRDefault="00B57E6F" w:rsidP="002F283F">
      <w:pPr>
        <w:pStyle w:val="CETAddress"/>
        <w:rPr>
          <w:iCs/>
          <w:lang w:val="it-IT"/>
        </w:rPr>
      </w:pPr>
      <w:r w:rsidRPr="002F283F">
        <w:rPr>
          <w:vertAlign w:val="superscript"/>
          <w:lang w:val="it-IT"/>
        </w:rPr>
        <w:t>a</w:t>
      </w:r>
      <w:r w:rsidR="002F283F" w:rsidRPr="002F283F">
        <w:rPr>
          <w:iCs/>
          <w:lang w:val="it-IT"/>
        </w:rPr>
        <w:t>LISES – Dipartimento di Ingegneria Civile, Chimica, Ambientale e dei Materiali</w:t>
      </w:r>
      <w:r w:rsidR="002F283F">
        <w:rPr>
          <w:iCs/>
          <w:lang w:val="it-IT"/>
        </w:rPr>
        <w:t xml:space="preserve">, </w:t>
      </w:r>
      <w:r w:rsidR="002F283F" w:rsidRPr="002F283F">
        <w:rPr>
          <w:iCs/>
          <w:lang w:val="it-IT"/>
        </w:rPr>
        <w:t xml:space="preserve">Alma Mater Studiorum - Università di Bologna, via </w:t>
      </w:r>
      <w:r w:rsidR="002F283F">
        <w:rPr>
          <w:iCs/>
          <w:lang w:val="it-IT"/>
        </w:rPr>
        <w:t xml:space="preserve">Umberto </w:t>
      </w:r>
      <w:r w:rsidR="002F283F" w:rsidRPr="002F283F">
        <w:rPr>
          <w:iCs/>
          <w:lang w:val="it-IT"/>
        </w:rPr>
        <w:t>Terracini 28, 40131 Bologna, Italy</w:t>
      </w:r>
    </w:p>
    <w:p w14:paraId="464D0FBB" w14:textId="77777777" w:rsidR="00A07396" w:rsidRPr="002B1119" w:rsidRDefault="00B57E6F" w:rsidP="00A07396">
      <w:pPr>
        <w:pStyle w:val="CETAddress"/>
      </w:pPr>
      <w:r w:rsidRPr="00B57B36">
        <w:rPr>
          <w:vertAlign w:val="superscript"/>
        </w:rPr>
        <w:t>b</w:t>
      </w:r>
      <w:r w:rsidR="00A07396" w:rsidRPr="002B1119">
        <w:t>The Sargent Centre for Process Systems Engineering, Imperial College London, London, SW7 2AZ, UK</w:t>
      </w:r>
    </w:p>
    <w:p w14:paraId="441D4F6C" w14:textId="77777777" w:rsidR="003E1297" w:rsidRPr="003E1297" w:rsidRDefault="00134E3E" w:rsidP="00B57E6F">
      <w:pPr>
        <w:pStyle w:val="CETAddress"/>
      </w:pPr>
      <w:r>
        <w:rPr>
          <w:vertAlign w:val="superscript"/>
        </w:rPr>
        <w:t>c</w:t>
      </w:r>
      <w:r w:rsidR="003E1297" w:rsidRPr="003E1297">
        <w:t>Department of Chemical Engineering, Imperial College London, London, SW7 2AZ, UK</w:t>
      </w:r>
    </w:p>
    <w:p w14:paraId="3D72B0B0" w14:textId="67D7773E" w:rsidR="00B57E6F" w:rsidRPr="004F210F" w:rsidRDefault="00134E3E" w:rsidP="00B57E6F">
      <w:pPr>
        <w:pStyle w:val="CETAddress"/>
        <w:rPr>
          <w:lang w:val="en-US"/>
        </w:rPr>
      </w:pPr>
      <w:r>
        <w:rPr>
          <w:vertAlign w:val="superscript"/>
        </w:rPr>
        <w:t>d</w:t>
      </w:r>
      <w:r w:rsidR="004F210F" w:rsidRPr="004F210F">
        <w:t>I-X Centre for AI In Science, Imperial College London, White City Campus, 84 Wood Lane, London, W12 0BZ, UK</w:t>
      </w:r>
      <w:r w:rsidRPr="00B57B36">
        <w:t xml:space="preserve"> </w:t>
      </w:r>
      <w:r w:rsidR="00B57E6F" w:rsidRPr="00B57B36">
        <w:t xml:space="preserve"> </w:t>
      </w:r>
    </w:p>
    <w:p w14:paraId="73F1267A" w14:textId="440E1AD3" w:rsidR="00B57E6F" w:rsidRPr="00B57B36" w:rsidRDefault="00B57E6F" w:rsidP="00B57E6F">
      <w:pPr>
        <w:pStyle w:val="CETemail"/>
      </w:pPr>
      <w:r>
        <w:t xml:space="preserve"> </w:t>
      </w:r>
      <w:r w:rsidR="004F210F">
        <w:t>francesco.zanobetti@unibo.it</w:t>
      </w:r>
    </w:p>
    <w:p w14:paraId="67AE42EF" w14:textId="11F4A192" w:rsidR="008C2DFA" w:rsidRDefault="00DE2FB4" w:rsidP="00600535">
      <w:pPr>
        <w:pStyle w:val="CETBodytext"/>
        <w:rPr>
          <w:lang w:val="en-GB"/>
        </w:rPr>
      </w:pPr>
      <w:r w:rsidRPr="00DE2FB4">
        <w:rPr>
          <w:lang w:val="en-GB"/>
        </w:rPr>
        <w:t>Spatially dispersed industrial sites contribute substantially to industrial CO</w:t>
      </w:r>
      <w:r w:rsidRPr="00DE2FB4">
        <w:rPr>
          <w:vertAlign w:val="subscript"/>
          <w:lang w:val="en-GB"/>
        </w:rPr>
        <w:t>2</w:t>
      </w:r>
      <w:r w:rsidRPr="00DE2FB4">
        <w:rPr>
          <w:lang w:val="en-GB"/>
        </w:rPr>
        <w:t xml:space="preserve"> emissions.</w:t>
      </w:r>
      <w:r>
        <w:rPr>
          <w:lang w:val="en-GB"/>
        </w:rPr>
        <w:t xml:space="preserve"> </w:t>
      </w:r>
      <w:r w:rsidR="006F4298" w:rsidRPr="006F4298">
        <w:rPr>
          <w:lang w:val="en-GB"/>
        </w:rPr>
        <w:t>Hydrogen is a key decarbonisation option</w:t>
      </w:r>
      <w:r w:rsidR="00377C20" w:rsidRPr="00377C20">
        <w:rPr>
          <w:lang w:val="en-GB"/>
        </w:rPr>
        <w:t xml:space="preserve">; however, its high flammability and the logistics required to supply dispersed sites raise safety concerns that remain insufficiently addressed. This work </w:t>
      </w:r>
      <w:r w:rsidR="006F4298">
        <w:rPr>
          <w:lang w:val="en-GB"/>
        </w:rPr>
        <w:t>investigates</w:t>
      </w:r>
      <w:r w:rsidR="00377C20" w:rsidRPr="00377C20">
        <w:rPr>
          <w:lang w:val="en-GB"/>
        </w:rPr>
        <w:t xml:space="preserve"> the inherent safety of hydrogen supply strategies </w:t>
      </w:r>
      <w:r w:rsidR="00187D37">
        <w:rPr>
          <w:lang w:val="en-GB"/>
        </w:rPr>
        <w:t>for</w:t>
      </w:r>
      <w:r w:rsidR="00377C20" w:rsidRPr="00377C20">
        <w:rPr>
          <w:lang w:val="en-GB"/>
        </w:rPr>
        <w:t xml:space="preserve"> </w:t>
      </w:r>
      <w:r w:rsidR="001B7C39">
        <w:rPr>
          <w:lang w:val="en-GB"/>
        </w:rPr>
        <w:t>spatially</w:t>
      </w:r>
      <w:r w:rsidR="001B7C39" w:rsidRPr="00377C20">
        <w:rPr>
          <w:lang w:val="en-GB"/>
        </w:rPr>
        <w:t xml:space="preserve"> </w:t>
      </w:r>
      <w:r w:rsidR="00377C20" w:rsidRPr="00377C20">
        <w:rPr>
          <w:lang w:val="en-GB"/>
        </w:rPr>
        <w:t xml:space="preserve">dispersed industrial sites. Centralised configurations are examined in which hydrogen production and conditioning are shared to exploit economies of scale, </w:t>
      </w:r>
      <w:r w:rsidR="00F27CF4" w:rsidRPr="00F27CF4">
        <w:rPr>
          <w:lang w:val="en-GB"/>
        </w:rPr>
        <w:t>while truck-based delivery connects dispersed end users</w:t>
      </w:r>
      <w:r w:rsidR="00377C20" w:rsidRPr="00377C20">
        <w:rPr>
          <w:lang w:val="en-GB"/>
        </w:rPr>
        <w:t xml:space="preserve">. Three centralised options—compressed gaseous hydrogen, liquid hydrogen, and liquid organic hydrogen carrier (LOHC)—are benchmarked against </w:t>
      </w:r>
      <w:r w:rsidR="00113CF9">
        <w:rPr>
          <w:lang w:val="en-GB"/>
        </w:rPr>
        <w:t>decentralised</w:t>
      </w:r>
      <w:r w:rsidR="00377C20" w:rsidRPr="00377C20">
        <w:rPr>
          <w:lang w:val="en-GB"/>
        </w:rPr>
        <w:t xml:space="preserve"> electrolysis. A newly developed </w:t>
      </w:r>
      <w:r w:rsidR="00EB0B4E">
        <w:rPr>
          <w:lang w:val="en-GB"/>
        </w:rPr>
        <w:t xml:space="preserve">inherent safety assessment </w:t>
      </w:r>
      <w:r w:rsidR="00377C20" w:rsidRPr="00377C20">
        <w:rPr>
          <w:lang w:val="en-GB"/>
        </w:rPr>
        <w:t xml:space="preserve">framework enables ex-ante evaluation through hydrogen supply potential and </w:t>
      </w:r>
      <w:r w:rsidR="006019C3">
        <w:rPr>
          <w:lang w:val="en-GB"/>
        </w:rPr>
        <w:t xml:space="preserve">inherent </w:t>
      </w:r>
      <w:r w:rsidR="00377C20" w:rsidRPr="00377C20">
        <w:rPr>
          <w:lang w:val="en-GB"/>
        </w:rPr>
        <w:t xml:space="preserve">hazard indices (HSPI and HSHI), integrating centralised operations, road transport, and on-site processing. </w:t>
      </w:r>
      <w:r w:rsidR="00F21C4C" w:rsidRPr="00F21C4C">
        <w:rPr>
          <w:lang w:val="en-GB"/>
        </w:rPr>
        <w:t xml:space="preserve">Applied to a </w:t>
      </w:r>
      <w:r w:rsidR="00FD0FF0">
        <w:rPr>
          <w:lang w:val="en-GB"/>
        </w:rPr>
        <w:t>reference</w:t>
      </w:r>
      <w:r w:rsidR="00F21C4C" w:rsidRPr="00F21C4C">
        <w:rPr>
          <w:lang w:val="en-GB"/>
        </w:rPr>
        <w:t xml:space="preserve"> </w:t>
      </w:r>
      <w:r w:rsidR="005F7E1F">
        <w:rPr>
          <w:lang w:val="en-GB"/>
        </w:rPr>
        <w:t>set of</w:t>
      </w:r>
      <w:r w:rsidR="00BF576F">
        <w:rPr>
          <w:lang w:val="en-GB"/>
        </w:rPr>
        <w:t xml:space="preserve"> spatially dispersed industrial sites</w:t>
      </w:r>
      <w:r w:rsidR="00F21C4C" w:rsidRPr="00F21C4C">
        <w:rPr>
          <w:lang w:val="en-GB"/>
        </w:rPr>
        <w:t xml:space="preserve">, </w:t>
      </w:r>
      <w:r w:rsidR="008A71C7">
        <w:rPr>
          <w:lang w:val="en-GB"/>
        </w:rPr>
        <w:t xml:space="preserve">the </w:t>
      </w:r>
      <w:r w:rsidR="00F21C4C" w:rsidRPr="00F21C4C">
        <w:rPr>
          <w:lang w:val="en-GB"/>
        </w:rPr>
        <w:t>results show that conditioning-intensive hydrogen supply options can increase inherent hazard levels, with HSPI values up to one order of magnitude above decentralised electrolysis.</w:t>
      </w:r>
      <w:r w:rsidR="00113CF9">
        <w:rPr>
          <w:lang w:val="en-GB"/>
        </w:rPr>
        <w:t xml:space="preserve"> </w:t>
      </w:r>
      <w:r w:rsidR="00C413AD" w:rsidRPr="00C413AD">
        <w:rPr>
          <w:lang w:val="en-GB"/>
        </w:rPr>
        <w:t>When accident scenario credibility is incorporated, transport operations emerge as the dominant contributor to inherent hazard</w:t>
      </w:r>
      <w:r w:rsidR="00377C20" w:rsidRPr="00377C20">
        <w:rPr>
          <w:lang w:val="en-GB"/>
        </w:rPr>
        <w:t xml:space="preserve">. </w:t>
      </w:r>
      <w:r w:rsidR="00BD1BEE">
        <w:rPr>
          <w:lang w:val="en-GB"/>
        </w:rPr>
        <w:t>Within</w:t>
      </w:r>
      <w:r w:rsidR="00BD1BEE" w:rsidRPr="00BC5020">
        <w:rPr>
          <w:lang w:val="en-GB"/>
        </w:rPr>
        <w:t xml:space="preserve"> </w:t>
      </w:r>
      <w:r w:rsidR="00BC5020" w:rsidRPr="00BC5020">
        <w:rPr>
          <w:lang w:val="en-GB"/>
        </w:rPr>
        <w:t>the centralised configurations, LOHC-based supply exhibits the lowest HSPI and HSHI values</w:t>
      </w:r>
      <w:r w:rsidR="00794FEE">
        <w:rPr>
          <w:lang w:val="en-GB"/>
        </w:rPr>
        <w:t xml:space="preserve"> and therefore the most favourable inherent safety performance.</w:t>
      </w:r>
    </w:p>
    <w:p w14:paraId="76153748" w14:textId="1A68B0EF" w:rsidR="000066E2" w:rsidRPr="0008037A" w:rsidRDefault="00600535" w:rsidP="000066E2">
      <w:pPr>
        <w:pStyle w:val="CETHeading1"/>
        <w:rPr>
          <w:lang w:val="en-GB"/>
        </w:rPr>
      </w:pPr>
      <w:r w:rsidRPr="00B57B36">
        <w:rPr>
          <w:lang w:val="en-GB"/>
        </w:rPr>
        <w:t>Introduction</w:t>
      </w:r>
    </w:p>
    <w:p w14:paraId="604A5BF5" w14:textId="3EBCE669" w:rsidR="0008037A" w:rsidRPr="0008037A" w:rsidRDefault="002C4DE1" w:rsidP="009D1206">
      <w:pPr>
        <w:pStyle w:val="CETBodytext"/>
        <w:rPr>
          <w:lang w:val="en-GB"/>
        </w:rPr>
      </w:pPr>
      <w:r w:rsidRPr="002C4DE1">
        <w:rPr>
          <w:lang w:val="en-GB"/>
        </w:rPr>
        <w:t>Hydrogen is widely recognised as a key enabling technology for industrial decarbonisation, particularly in applications where direct electrification remains challenging</w:t>
      </w:r>
      <w:r>
        <w:rPr>
          <w:lang w:val="en-GB"/>
        </w:rPr>
        <w:t xml:space="preserve"> </w:t>
      </w:r>
      <w:r>
        <w:rPr>
          <w:lang w:val="en-GB"/>
        </w:rPr>
        <w:fldChar w:fldCharType="begin" w:fldLock="1"/>
      </w:r>
      <w:r w:rsidR="00865F40">
        <w:rPr>
          <w:lang w:val="en-GB"/>
        </w:rPr>
        <w:instrText>ADDIN CSL_CITATION {"citationItems":[{"id":"ITEM-1","itemData":{"author":[{"dropping-particle":"","family":"IEA","given":"","non-dropping-particle":"","parse-names":false,"suffix":""}],"id":"ITEM-1","issued":{"date-parts":[["2025"]]},"publisher-place":"Paris","title":"Global Hydrogen Review 2025","type":"report"},"uris":["http://www.mendeley.com/documents/?uuid=e38b3e24-196a-489d-8a6d-246b2aef7d99","http://www.mendeley.com/documents/?uuid=dc4b7a0e-38a2-411d-b371-ee169e65f066"]}],"mendeley":{"formattedCitation":"(IEA, 2025)","plainTextFormattedCitation":"(IEA, 2025)","previouslyFormattedCitation":"(IEA, 2025)"},"properties":{"noteIndex":0},"schema":"https://github.com/citation-style-language/schema/raw/master/csl-citation.json"}</w:instrText>
      </w:r>
      <w:r>
        <w:rPr>
          <w:lang w:val="en-GB"/>
        </w:rPr>
        <w:fldChar w:fldCharType="separate"/>
      </w:r>
      <w:r w:rsidRPr="002C4DE1">
        <w:rPr>
          <w:noProof/>
          <w:lang w:val="en-GB"/>
        </w:rPr>
        <w:t>(IEA, 2025)</w:t>
      </w:r>
      <w:r>
        <w:rPr>
          <w:lang w:val="en-GB"/>
        </w:rPr>
        <w:fldChar w:fldCharType="end"/>
      </w:r>
      <w:r w:rsidRPr="002C4DE1">
        <w:rPr>
          <w:lang w:val="en-GB"/>
        </w:rPr>
        <w:t>.</w:t>
      </w:r>
      <w:r w:rsidR="0008037A" w:rsidRPr="0008037A">
        <w:rPr>
          <w:lang w:val="en-GB"/>
        </w:rPr>
        <w:t xml:space="preserve"> </w:t>
      </w:r>
      <w:r w:rsidR="00BA41FC" w:rsidRPr="00BA41FC">
        <w:rPr>
          <w:lang w:val="en-GB"/>
        </w:rPr>
        <w:t>A substantial share of industrial emissions originates from sectors such as glass manufacturing, food and drink processing, pulp and paper, and chemicals, where facilities are spatially dispersed</w:t>
      </w:r>
      <w:r w:rsidR="002A7076">
        <w:rPr>
          <w:lang w:val="en-GB"/>
        </w:rPr>
        <w:t xml:space="preserve"> </w:t>
      </w:r>
      <w:r w:rsidR="002A7076">
        <w:rPr>
          <w:lang w:val="en-GB"/>
        </w:rPr>
        <w:fldChar w:fldCharType="begin" w:fldLock="1"/>
      </w:r>
      <w:r w:rsidR="00EB650E">
        <w:rPr>
          <w:lang w:val="en-GB"/>
        </w:rPr>
        <w:instrText>ADDIN CSL_CITATION {"citationItems":[{"id":"ITEM-1","itemData":{"ISBN":"9783039170920","abstract":"Leading the way to net zero with advanced CCS research. We pioneer technology to accelerate project development &amp; deployment. We are at the forefront of cutting-edge carbon, capture and storage (CCS) research. We advance technology that reduces carbon emissions and accelerates the deployment of CCS projects by improving processes, reducing costs, and overcoming barriers. Our authoritative research is peer-reviewed and widely used by governments and industry worldwide. As CCS technology specialists, we regularly input to organisations such as the IPCC and UNFCCC, contributing to the global net-zero transition.","author":[{"dropping-particle":"","family":"IEAGHG","given":"","non-dropping-particle":"","parse-names":false,"suffix":""}],"id":"ITEM-1","issued":{"date-parts":[["2024"]]},"publisher-place":"Cheltenham, UK","title":"Techno-Economic Assessment of Small-Scale Carbon Capture for Industrial and Power Systems","type":"report"},"uris":["http://www.mendeley.com/documents/?uuid=beb39429-2a80-4e05-b329-015c3f8512f3"]}],"mendeley":{"formattedCitation":"(IEAGHG, 2024)","plainTextFormattedCitation":"(IEAGHG, 2024)","previouslyFormattedCitation":"(IEAGHG, 2024)"},"properties":{"noteIndex":0},"schema":"https://github.com/citation-style-language/schema/raw/master/csl-citation.json"}</w:instrText>
      </w:r>
      <w:r w:rsidR="002A7076">
        <w:rPr>
          <w:lang w:val="en-GB"/>
        </w:rPr>
        <w:fldChar w:fldCharType="separate"/>
      </w:r>
      <w:r w:rsidR="002A7076" w:rsidRPr="002A7076">
        <w:rPr>
          <w:noProof/>
          <w:lang w:val="en-GB"/>
        </w:rPr>
        <w:t>(IEAGHG, 2024)</w:t>
      </w:r>
      <w:r w:rsidR="002A7076">
        <w:rPr>
          <w:lang w:val="en-GB"/>
        </w:rPr>
        <w:fldChar w:fldCharType="end"/>
      </w:r>
      <w:r w:rsidR="00BA41FC" w:rsidRPr="00BA41FC">
        <w:rPr>
          <w:lang w:val="en-GB"/>
        </w:rPr>
        <w:t xml:space="preserve">. </w:t>
      </w:r>
      <w:r w:rsidR="00707914">
        <w:rPr>
          <w:lang w:val="en-GB"/>
        </w:rPr>
        <w:t>I</w:t>
      </w:r>
      <w:r w:rsidR="00BA41FC" w:rsidRPr="00BA41FC">
        <w:rPr>
          <w:lang w:val="en-GB"/>
        </w:rPr>
        <w:t>n the UK, these sites account for as much as 50</w:t>
      </w:r>
      <w:r w:rsidR="00B12F50">
        <w:rPr>
          <w:lang w:val="en-GB"/>
        </w:rPr>
        <w:t xml:space="preserve"> </w:t>
      </w:r>
      <w:r w:rsidR="00BA41FC" w:rsidRPr="00BA41FC">
        <w:rPr>
          <w:lang w:val="en-GB"/>
        </w:rPr>
        <w:t>% of industrial emissions</w:t>
      </w:r>
      <w:r w:rsidR="00917108">
        <w:rPr>
          <w:lang w:val="en-GB"/>
        </w:rPr>
        <w:t xml:space="preserve"> </w:t>
      </w:r>
      <w:r w:rsidR="009D1206">
        <w:rPr>
          <w:lang w:val="en-GB"/>
        </w:rPr>
        <w:fldChar w:fldCharType="begin" w:fldLock="1"/>
      </w:r>
      <w:r w:rsidR="00994128">
        <w:rPr>
          <w:lang w:val="en-GB"/>
        </w:rPr>
        <w:instrText>ADDIN CSL_CITATION {"citationItems":[{"id":"ITEM-1","itemData":{"DOI":"10.1007/s11625-023-01313-4","ISBN":"0123456789","ISSN":"1862-4057","author":[{"dropping-particle":"","family":"Rattle","given":"Imogen","non-dropping-particle":"","parse-names":false,"suffix":""},{"dropping-particle":"","family":"Gailani","given":"Ahmed","non-dropping-particle":"","parse-names":false,"suffix":""},{"dropping-particle":"","family":"Taylor","given":"Peter G","non-dropping-particle":"","parse-names":false,"suffix":""}],"container-title":"Sustainability Science","id":"ITEM-1","issue":"1","issued":{"date-parts":[["2024"]]},"page":"105-123","publisher":"Springer Japan","title":"Decarbonisation strategies in industry: going beyond clusters","type":"article-journal","volume":"19"},"uris":["http://www.mendeley.com/documents/?uuid=04471d0e-7f88-46e8-ae1e-5834b6f907d5"]}],"mendeley":{"formattedCitation":"(Rattle et al., 2024)","plainTextFormattedCitation":"(Rattle et al., 2024)","previouslyFormattedCitation":"(Rattle et al., 2024)"},"properties":{"noteIndex":0},"schema":"https://github.com/citation-style-language/schema/raw/master/csl-citation.json"}</w:instrText>
      </w:r>
      <w:r w:rsidR="009D1206">
        <w:rPr>
          <w:lang w:val="en-GB"/>
        </w:rPr>
        <w:fldChar w:fldCharType="separate"/>
      </w:r>
      <w:r w:rsidR="009D1206" w:rsidRPr="009D1206">
        <w:rPr>
          <w:noProof/>
          <w:lang w:val="en-GB"/>
        </w:rPr>
        <w:t>(Rattle et al., 2024)</w:t>
      </w:r>
      <w:r w:rsidR="009D1206">
        <w:rPr>
          <w:lang w:val="en-GB"/>
        </w:rPr>
        <w:fldChar w:fldCharType="end"/>
      </w:r>
      <w:r w:rsidR="009D1206" w:rsidRPr="009D1206">
        <w:rPr>
          <w:lang w:val="en-GB"/>
        </w:rPr>
        <w:t xml:space="preserve">. </w:t>
      </w:r>
      <w:r w:rsidR="004642B1" w:rsidRPr="004642B1">
        <w:rPr>
          <w:lang w:val="en-GB"/>
        </w:rPr>
        <w:t>Their geographic dispersion restricts access to emerging hydrogen and CO</w:t>
      </w:r>
      <w:r w:rsidR="004642B1" w:rsidRPr="004642B1">
        <w:rPr>
          <w:vertAlign w:val="subscript"/>
          <w:lang w:val="en-GB"/>
        </w:rPr>
        <w:t>2</w:t>
      </w:r>
      <w:r w:rsidR="004642B1" w:rsidRPr="004642B1">
        <w:rPr>
          <w:lang w:val="en-GB"/>
        </w:rPr>
        <w:t xml:space="preserve"> infrastructure, thereby </w:t>
      </w:r>
      <w:r w:rsidR="004642B1">
        <w:rPr>
          <w:lang w:val="en-GB"/>
        </w:rPr>
        <w:t>posing a challenge to</w:t>
      </w:r>
      <w:r w:rsidR="004642B1" w:rsidRPr="004642B1">
        <w:rPr>
          <w:lang w:val="en-GB"/>
        </w:rPr>
        <w:t xml:space="preserve"> decarbonisation</w:t>
      </w:r>
      <w:r w:rsidR="0063510C">
        <w:rPr>
          <w:lang w:val="en-GB"/>
        </w:rPr>
        <w:t xml:space="preserve"> </w:t>
      </w:r>
      <w:r w:rsidR="00994128">
        <w:rPr>
          <w:lang w:val="en-GB"/>
        </w:rPr>
        <w:fldChar w:fldCharType="begin" w:fldLock="1"/>
      </w:r>
      <w:r w:rsidR="00A66937">
        <w:rPr>
          <w:lang w:val="en-GB"/>
        </w:rPr>
        <w:instrText>ADDIN CSL_CITATION {"citationItems":[{"id":"ITEM-1","itemData":{"author":[{"dropping-particle":"","family":"Aldersgate Group","given":"","non-dropping-particle":"","parse-names":false,"suffix":""}],"id":"ITEM-1","issued":{"date-parts":[["2025"]]},"publisher-place":"London, UK","title":"Next steps for UK industrial decarbonisation policy in 2025","type":"report"},"uris":["http://www.mendeley.com/documents/?uuid=fb9426a1-2805-437b-b685-52be902a3f12"]}],"mendeley":{"formattedCitation":"(Aldersgate Group, 2025)","plainTextFormattedCitation":"(Aldersgate Group, 2025)","previouslyFormattedCitation":"(Aldersgate Group, 2025)"},"properties":{"noteIndex":0},"schema":"https://github.com/citation-style-language/schema/raw/master/csl-citation.json"}</w:instrText>
      </w:r>
      <w:r w:rsidR="00994128">
        <w:rPr>
          <w:lang w:val="en-GB"/>
        </w:rPr>
        <w:fldChar w:fldCharType="separate"/>
      </w:r>
      <w:r w:rsidR="00994128" w:rsidRPr="00994128">
        <w:rPr>
          <w:noProof/>
          <w:lang w:val="en-GB"/>
        </w:rPr>
        <w:t>(Aldersgate Group, 2025)</w:t>
      </w:r>
      <w:r w:rsidR="00994128">
        <w:rPr>
          <w:lang w:val="en-GB"/>
        </w:rPr>
        <w:fldChar w:fldCharType="end"/>
      </w:r>
      <w:r w:rsidR="009D1206" w:rsidRPr="009D1206">
        <w:rPr>
          <w:lang w:val="en-GB"/>
        </w:rPr>
        <w:t>. These sites are also typically characterised by comparatively small emission scales, for which the deployment of low-carbon technologies is associated with higher specific costs due to limited economies of scale</w:t>
      </w:r>
      <w:r w:rsidR="00A66937">
        <w:rPr>
          <w:lang w:val="en-GB"/>
        </w:rPr>
        <w:t xml:space="preserve"> </w:t>
      </w:r>
      <w:r w:rsidR="00A66937">
        <w:rPr>
          <w:lang w:val="en-GB"/>
        </w:rPr>
        <w:fldChar w:fldCharType="begin" w:fldLock="1"/>
      </w:r>
      <w:r w:rsidR="0078527F">
        <w:rPr>
          <w:lang w:val="en-GB"/>
        </w:rPr>
        <w:instrText>ADDIN CSL_CITATION {"citationItems":[{"id":"ITEM-1","itemData":{"DOI":"10.1016/j.ijggc.2015.05.019","ISSN":"17505836","abstract":"This study developed a method to assess the techno-economic performance and spatial footprint of CO2 capture infrastructure configurations in industrial zones. The method has been successfully applied to a cluster of sixteen industrial plants in the Dutch industrial Botlek area (7.1MtCO2/y) for 2020-2030. The configurations differ inter alia regarding capture technology (post-, pre-, oxyfuel combustion) and location of capture components (centralized vs. plant site). Results indicate that oxyfuel combustion with centralized oxygen production and decentralized CO2 compression is the most cost effective and realistic configuration when applying CO2 capture to all industrial plants (61€/tCO2; 5.8MtCO2/y avoided), mainly due to relatively low energy costs compared to post- and pre-combustion. However, oxyfuel combustion at plant level is economically preferable when capturing CO2 from only the three largest industrial plants. For post-combustion, a separated absorber-stripper configuration (73€/tCO2; 7.1MtCO2/y avoided) is preferable from a cost perspective, due to economic scale effects of capture equipment. The optimal pre-combustion configuration shows a slightly less favorable performance (81€/tCO2; 4.4MtCO2/y avoided). Whereas many industrial plants have insufficient space available for capture equipment, centralized/hybrid configurations show no insurmountable space issues. The deployment of the most favorable configurations is addressed in Part B.","author":[{"dropping-particle":"","family":"Berghout","given":"Niels","non-dropping-particle":"","parse-names":false,"suffix":""},{"dropping-particle":"","family":"Kuramochi","given":"Takeshi","non-dropping-particle":"","parse-names":false,"suffix":""},{"dropping-particle":"van den","family":"Broek","given":"Machteld","non-dropping-particle":"","parse-names":false,"suffix":""},{"dropping-particle":"","family":"Faaij","given":"André","non-dropping-particle":"","parse-names":false,"suffix":""}],"container-title":"International Journal of Greenhouse Gas Control","id":"ITEM-1","issue":"2015","issued":{"date-parts":[["2015"]]},"page":"256-284","title":"Techno-economic performance and spatial footprint of infrastructure configurations for large scale CO2 capture in industrial zones. A case study for the Rotterdam Botlek area (part A)","type":"article-journal","volume":"39"},"uris":["http://www.mendeley.com/documents/?uuid=481234ea-edc4-4043-95ae-1e8ea83ed5e3"]}],"mendeley":{"formattedCitation":"(Berghout et al., 2015)","plainTextFormattedCitation":"(Berghout et al., 2015)","previouslyFormattedCitation":"(Berghout et al., 2015)"},"properties":{"noteIndex":0},"schema":"https://github.com/citation-style-language/schema/raw/master/csl-citation.json"}</w:instrText>
      </w:r>
      <w:r w:rsidR="00A66937">
        <w:rPr>
          <w:lang w:val="en-GB"/>
        </w:rPr>
        <w:fldChar w:fldCharType="separate"/>
      </w:r>
      <w:r w:rsidR="00A66937" w:rsidRPr="00A66937">
        <w:rPr>
          <w:noProof/>
          <w:lang w:val="en-GB"/>
        </w:rPr>
        <w:t>(Berghout et al., 2015)</w:t>
      </w:r>
      <w:r w:rsidR="00A66937">
        <w:rPr>
          <w:lang w:val="en-GB"/>
        </w:rPr>
        <w:fldChar w:fldCharType="end"/>
      </w:r>
      <w:r w:rsidR="009D1206" w:rsidRPr="009D1206">
        <w:rPr>
          <w:lang w:val="en-GB"/>
        </w:rPr>
        <w:t xml:space="preserve">. </w:t>
      </w:r>
      <w:r w:rsidR="00235509" w:rsidRPr="00235509">
        <w:rPr>
          <w:lang w:val="en-GB"/>
        </w:rPr>
        <w:t>Beyond economic considerations, deploying hydrogen supply systems across dispersed installations may also raise safety concerns, as hazardous inventories and related process units are distributed across multiple locations</w:t>
      </w:r>
      <w:r w:rsidR="0078527F">
        <w:rPr>
          <w:lang w:val="en-GB"/>
        </w:rPr>
        <w:t xml:space="preserve"> </w:t>
      </w:r>
      <w:r w:rsidR="0078527F">
        <w:rPr>
          <w:lang w:val="en-GB"/>
        </w:rPr>
        <w:fldChar w:fldCharType="begin" w:fldLock="1"/>
      </w:r>
      <w:r w:rsidR="00964AC7">
        <w:rPr>
          <w:lang w:val="en-GB"/>
        </w:rPr>
        <w:instrText>ADDIN CSL_CITATION {"citationItems":[{"id":"ITEM-1","itemData":{"DOI":"10.1016/j.cej.2025.159466","ISSN":"1385-8947","author":[{"dropping-particle":"","family":"Zanobetti","given":"Francesco","non-dropping-particle":"","parse-names":false,"suffix":""},{"dropping-particle":"","family":"Dal Pozzo","given":"Alessandro","non-dropping-particle":"","parse-names":false,"suffix":""},{"dropping-particle":"","family":"Cozzani","given":"Valerio","non-dropping-particle":"","parse-names":false,"suffix":""}],"container-title":"Chemical Engineering Journal","id":"ITEM-1","issued":{"date-parts":[["2025"]]},"page":"159466","publisher":"Elsevier B.V.","title":"Sustainability assessment of CO2 capture across different scales of hard-to-abate emission sources","type":"article-journal","volume":"505"},"uris":["http://www.mendeley.com/documents/?uuid=ba60ddff-4130-4c21-bd3c-ff2d45852ed4"]}],"mendeley":{"formattedCitation":"(Zanobetti et al., 2025b)","plainTextFormattedCitation":"(Zanobetti et al., 2025b)","previouslyFormattedCitation":"(Zanobetti et al., 2025b)"},"properties":{"noteIndex":0},"schema":"https://github.com/citation-style-language/schema/raw/master/csl-citation.json"}</w:instrText>
      </w:r>
      <w:r w:rsidR="0078527F">
        <w:rPr>
          <w:lang w:val="en-GB"/>
        </w:rPr>
        <w:fldChar w:fldCharType="separate"/>
      </w:r>
      <w:r w:rsidR="00EF1AAD" w:rsidRPr="00EF1AAD">
        <w:rPr>
          <w:noProof/>
          <w:lang w:val="en-GB"/>
        </w:rPr>
        <w:t>(Zanobetti et al., 2025b)</w:t>
      </w:r>
      <w:r w:rsidR="0078527F">
        <w:rPr>
          <w:lang w:val="en-GB"/>
        </w:rPr>
        <w:fldChar w:fldCharType="end"/>
      </w:r>
      <w:r w:rsidR="009D1206" w:rsidRPr="009D1206">
        <w:rPr>
          <w:lang w:val="en-GB"/>
        </w:rPr>
        <w:t>.</w:t>
      </w:r>
    </w:p>
    <w:p w14:paraId="48A0D7CC" w14:textId="4330ACB1" w:rsidR="004B5C24" w:rsidRDefault="0008037A" w:rsidP="0008037A">
      <w:pPr>
        <w:pStyle w:val="CETBodytext"/>
        <w:rPr>
          <w:lang w:val="en-GB"/>
        </w:rPr>
      </w:pPr>
      <w:r w:rsidRPr="0008037A">
        <w:rPr>
          <w:lang w:val="en-GB"/>
        </w:rPr>
        <w:t>Safety represents a necessary enabling condition for sustainable deployment of low-carbon technologies</w:t>
      </w:r>
      <w:r w:rsidR="00EF1AAD">
        <w:rPr>
          <w:lang w:val="en-GB"/>
        </w:rPr>
        <w:t xml:space="preserve"> </w:t>
      </w:r>
      <w:r w:rsidR="00EF1AAD">
        <w:fldChar w:fldCharType="begin" w:fldLock="1"/>
      </w:r>
      <w:r w:rsidR="00EF1AAD">
        <w:rPr>
          <w:lang w:val="en-GB"/>
        </w:rPr>
        <w:instrText>ADDIN CSL_CITATION {"citationItems":[{"id":"ITEM-1","itemData":{"DOI":"10.1016/j.jlp.2019.104040","ISSN":"09504230","abstract":"This paper reviews principal concepts, tools, and metrics for risk management and Inherently Safer Design (ISD) during the conceptual stage of process design. Even though there has been a profusion of papers regarding ISD, the targeted audience has typically been safety engineers, not process engineers. Thus, the goal of this paper is to enable process engineers to use all the available design degrees of freedom to mitigate risk early enough in the design process. Mainly, this paper analyzes ISD and inherent safety assessment tools (ISATs) from the perspective of inclusion in conceptual process design. The paper also highlights the need to consider safety as a major component of process sustainability. In this paper, 73 ISATs were selected, and these tools were categorized into three groups: hazard-based inherent safety assessment tools (H-ISATs) for 22 tools, risk-based inherent safety assessment tools (R-ISATs) for 33 tools, and cost-optimal inherent safety assessment tools (CO-ISATs) for 18 tools. This paper also introduces an integrated framework for coordinating the conventional process design workflow with safety analysis at various levels of detail.","author":[{"dropping-particle":"","family":"Park","given":"Sunhwa","non-dropping-particle":"","parse-names":false,"suffix":""},{"dropping-particle":"","family":"Xu","given":"Sheng","non-dropping-particle":"","parse-names":false,"suffix":""},{"dropping-particle":"","family":"Rogers","given":"William","non-dropping-particle":"","parse-names":false,"suffix":""},{"dropping-particle":"","family":"Pasman","given":"Hans","non-dropping-particle":"","parse-names":false,"suffix":""},{"dropping-particle":"","family":"El-Halwagi","given":"Mahmoud M.","non-dropping-particle":"","parse-names":false,"suffix":""}],"container-title":"Journal of Loss Prevention in the Process Industries","id":"ITEM-1","issued":{"date-parts":[["2020"]]},"page":"104040","publisher":"Elsevier Ltd","title":"Incorporating inherent safety during the conceptual process design stage: A literature review","type":"article-journal","volume":"63"},"uris":["http://www.mendeley.com/documents/?uuid=a0390e34-17da-4cba-95f3-2e191e1cb1d9"]}],"mendeley":{"formattedCitation":"(Park et al., 2020)","plainTextFormattedCitation":"(Park et al., 2020)","previouslyFormattedCitation":"(Park et al., 2020)"},"properties":{"noteIndex":0},"schema":"https://github.com/citation-style-language/schema/raw/master/csl-citation.json"}</w:instrText>
      </w:r>
      <w:r w:rsidR="00EF1AAD">
        <w:fldChar w:fldCharType="separate"/>
      </w:r>
      <w:r w:rsidR="00EF1AAD" w:rsidRPr="00EF1AAD">
        <w:rPr>
          <w:noProof/>
          <w:lang w:val="en-GB"/>
        </w:rPr>
        <w:t>(Park et al., 2020)</w:t>
      </w:r>
      <w:r w:rsidR="00EF1AAD">
        <w:fldChar w:fldCharType="end"/>
      </w:r>
      <w:r w:rsidRPr="0008037A">
        <w:rPr>
          <w:lang w:val="en-GB"/>
        </w:rPr>
        <w:t xml:space="preserve">, as </w:t>
      </w:r>
      <w:r w:rsidR="00235509">
        <w:rPr>
          <w:lang w:val="en-GB"/>
        </w:rPr>
        <w:t>safety</w:t>
      </w:r>
      <w:r w:rsidRPr="0008037A">
        <w:rPr>
          <w:lang w:val="en-GB"/>
        </w:rPr>
        <w:t xml:space="preserve"> risk</w:t>
      </w:r>
      <w:r w:rsidR="00235509">
        <w:rPr>
          <w:lang w:val="en-GB"/>
        </w:rPr>
        <w:t>s</w:t>
      </w:r>
      <w:r w:rsidRPr="0008037A">
        <w:rPr>
          <w:lang w:val="en-GB"/>
        </w:rPr>
        <w:t xml:space="preserve"> influence technological acceptability and long-term implementation</w:t>
      </w:r>
      <w:r w:rsidR="00EF1AAD">
        <w:rPr>
          <w:lang w:val="en-GB"/>
        </w:rPr>
        <w:t xml:space="preserve"> </w:t>
      </w:r>
      <w:r w:rsidR="00EF1AAD">
        <w:fldChar w:fldCharType="begin" w:fldLock="1"/>
      </w:r>
      <w:r w:rsidR="00964AC7">
        <w:rPr>
          <w:lang w:val="en-GB"/>
        </w:rPr>
        <w:instrText>ADDIN CSL_CITATION {"citationItems":[{"id":"ITEM-1","itemData":{"DOI":"10.1039/D5SE00821B","abstract":"Reducing the carbon intensity of maritime transport is essential to achieve global emission reduction targets. Electro-fuels (e-fuels) represent a promising cleaner alternative to conventional marine fossil fuels{,} offering potential lifecycle greenhouse gas reductions when synthesised from renewable electricity and low-carbon feedstocks. While techno-economic and environmental assessments of e-fuels exist{,} their broader sustainability implications{,} spanning technological{,} economic{,} environmental and safety factors together{,} remain largely unexplored. This study introduces a quantitative framework to assess the sustainability of ship fuel systems that integrates key performance indicators (KPIs) across these four areas. A case study is conducted to compare the sustainability of carbon-based e-fuels (e-methanol and e-diesel) and carbon-free e-fuels (hydrogen and ammonia) against marine diesel oil (MDO) under multiple decision-making perspectives. The robustness of the overall sustainability-based ranking of fuel alternatives{,} as derived under each perspective{,} against uncertainties in the individual KPIs is confirmed via sensitivity analysis. Environmental and safety aspects are found to be critical in comparing the sustainability of alternative fuels. Both e-methanol and e-diesel achieve higher overall sustainability than MDO{,} irrespective of the decision-making perspective. Ammonia and hydrogen are hindered by safety concerns in the short term{,} although ammonia also shows long-term potential for sustainable shipping subject to appropriate risk management and the implementation of inherently safer design measures. Overall{,} the proposed framework enables a comprehensive assessment of alternative fuel systems for cleaner shipping{,} guiding future sustainability-driven policy and technology development.","author":[{"dropping-particle":"","family":"Zanobetti","given":"Francesco","non-dropping-particle":"","parse-names":false,"suffix":""},{"dropping-particle":"","family":"Bernardi","given":"Andrea","non-dropping-particle":"","parse-names":false,"suffix":""},{"dropping-particle":"","family":"Pio","given":"Gianmaria","non-dropping-particle":"","parse-names":false,"suffix":""},{"dropping-particle":"","family":"Freire Ordóñez","given":"Diego","non-dropping-particle":"","parse-names":false,"suffix":""},{"dropping-particle":"","family":"Danaci","given":"David","non-dropping-particle":"","parse-names":false,"suffix":""},{"dropping-particle":"","family":"Chachuat","given":"Benoît","non-dropping-particle":"","parse-names":false,"suffix":""},{"dropping-particle":"","family":"Cozzani","given":"Valerio","non-dropping-particle":"","parse-names":false,"suffix":""},{"dropping-particle":"","family":"Shah","given":"Nilay","non-dropping-particle":"","parse-names":false,"suffix":""}],"container-title":"Sustainable Energy &amp; Fuels","id":"ITEM-1","issue":"23","issued":{"date-parts":[["2025"]]},"page":"6506-6521","publisher":"The Royal Society of Chemistry","title":"Quantitative sustainability assessment of e-fuels for maritime transport","type":"article-journal","volume":"9"},"uris":["http://www.mendeley.com/documents/?uuid=0bbd1098-5496-406b-8d55-1e822d0ddd07"]}],"mendeley":{"formattedCitation":"(Zanobetti et al., 2025a)","plainTextFormattedCitation":"(Zanobetti et al., 2025a)","previouslyFormattedCitation":"(Zanobetti et al., 2025a)"},"properties":{"noteIndex":0},"schema":"https://github.com/citation-style-language/schema/raw/master/csl-citation.json"}</w:instrText>
      </w:r>
      <w:r w:rsidR="00EF1AAD">
        <w:fldChar w:fldCharType="separate"/>
      </w:r>
      <w:r w:rsidR="00EF1AAD" w:rsidRPr="00EF1AAD">
        <w:rPr>
          <w:noProof/>
          <w:lang w:val="en-GB"/>
        </w:rPr>
        <w:t>(Zanobetti et al., 2025a)</w:t>
      </w:r>
      <w:r w:rsidR="00EF1AAD">
        <w:fldChar w:fldCharType="end"/>
      </w:r>
      <w:r w:rsidRPr="0008037A">
        <w:rPr>
          <w:lang w:val="en-GB"/>
        </w:rPr>
        <w:t>. In this context, inherent safety is increasingly adopted as an ex-ante approach to screen emerging technologies prior to detailed design</w:t>
      </w:r>
      <w:r w:rsidR="004054D5">
        <w:rPr>
          <w:lang w:val="en-GB"/>
        </w:rPr>
        <w:t xml:space="preserve"> </w:t>
      </w:r>
      <w:r w:rsidR="00964AC7">
        <w:fldChar w:fldCharType="begin" w:fldLock="1"/>
      </w:r>
      <w:r w:rsidR="00865F40">
        <w:rPr>
          <w:lang w:val="en-GB"/>
        </w:rPr>
        <w:instrText>ADDIN CSL_CITATION {"citationItems":[{"id":"ITEM-1","itemData":{"DOI":"10.1016/j.psep.2025.106830","ISSN":"09575820","abstract":"Incorporating safety indexes during the conceptual design stage is essential for ensuring the safety and efficiency of chemical processes. Despite many advances in the field, there are still areas that can be improved. Here we present a new Stream Safety Index: a fully automated, stream-based safety index coupled with a process simulator. The index ranges over a simple scale from 0 to 10 and provides immediate feedback on safety performance, facilitating safer design decisions. It is constructed starting from various sub-indexes, based on continuous, optimized functions. The index is tested on a methanol production process flowsheet and compared to two existing indexes, Process Stream Index (PSI) and Comprehensive Inherent Safety Index (CISI). Stream Safety Index (SSI) identifies the same sensitive zones as CISI, but its calculation is automatized and almost instantaneous. While Stream Safety Index does not completely eliminate subjectivity, it can be easily adapted to fit the specific parameters of the end user.","author":[{"dropping-particle":"","family":"Pelucchi","given":"Silvia","non-dropping-particle":"","parse-names":false,"suffix":""},{"dropping-particle":"","family":"Carretta","given":"Filippo","non-dropping-particle":"","parse-names":false,"suffix":""},{"dropping-particle":"","family":"Mocellin","given":"Paolo","non-dropping-particle":"","parse-names":false,"suffix":""},{"dropping-particle":"","family":"Galli","given":"Federico","non-dropping-particle":"","parse-names":false,"suffix":""}],"container-title":"Process Safety and Environmental Protection","id":"ITEM-1","issued":{"date-parts":[["2025"]]},"page":"106830","publisher":"Elsevier Ltd","title":"Evaluating process safety at conceptual stage: A stream-based index approach","type":"article-journal","volume":"195"},"uris":["http://www.mendeley.com/documents/?uuid=e2ab8732-b86c-43f6-97ee-b357cb72c08a","http://www.mendeley.com/documents/?uuid=c816a9ad-51fd-4cb3-b01a-7b82a23629c6"]}],"mendeley":{"formattedCitation":"(Pelucchi et al., 2025)","plainTextFormattedCitation":"(Pelucchi et al., 2025)","previouslyFormattedCitation":"(Pelucchi et al., 2025)"},"properties":{"noteIndex":0},"schema":"https://github.com/citation-style-language/schema/raw/master/csl-citation.json"}</w:instrText>
      </w:r>
      <w:r w:rsidR="00964AC7">
        <w:fldChar w:fldCharType="separate"/>
      </w:r>
      <w:r w:rsidR="00964AC7" w:rsidRPr="00964AC7">
        <w:rPr>
          <w:noProof/>
          <w:lang w:val="en-GB"/>
        </w:rPr>
        <w:t>(Pelucchi et al., 2025)</w:t>
      </w:r>
      <w:r w:rsidR="00964AC7">
        <w:fldChar w:fldCharType="end"/>
      </w:r>
      <w:r w:rsidRPr="0008037A">
        <w:rPr>
          <w:lang w:val="en-GB"/>
        </w:rPr>
        <w:t>, with demonstrated applicability to hydrogen-based systems</w:t>
      </w:r>
      <w:r w:rsidR="00964AC7">
        <w:rPr>
          <w:lang w:val="en-GB"/>
        </w:rPr>
        <w:t xml:space="preserve"> </w:t>
      </w:r>
      <w:r w:rsidR="00964AC7">
        <w:fldChar w:fldCharType="begin" w:fldLock="1"/>
      </w:r>
      <w:r w:rsidR="00181DAA">
        <w:rPr>
          <w:lang w:val="en-GB"/>
        </w:rPr>
        <w:instrText>ADDIN CSL_CITATION {"citationItems":[{"id":"ITEM-1","itemData":{"DOI":"10.3303/CET24111083","ISBN":"9791281206113","ISSN":"22839216","abstract":"The utilisation on a large-scale basis of more sustainable solutions for the transport sector represents an essential step to comply with international standards and regulations as well as to reduce the impacts of human activities on the environment. Considering the current global emissions, the development and implementation of innovative solutions allowing for decarbonisation is particularly relevant for maritime transport. Recent studies have indicated the use of hydrogen as a promising solution from medium- and long-term perspectives. For these reasons, this work analyses possible alternative solutions suitable for large-scale ship propulsion based on hydrogen conversion. Considering the current readiness level, available know-how, and training, the use of highly reactive species such as hydrogen poses significant concerns on the safety aspects. Therefore, particular emphasis was given to the quantification of the most relevant safety aspects related to storage, fuel conditioning items, and power production systems. Quite obviously, the possible resulting scenarios are strongly affected by the selected strategy for storing hydrogen, requiring specific studies on the subject. Hence, compressed hydrogen, liquefied hydrogen, and cryo-compressed liquid hydrogen were deeply discussed in this study. For the sake of completeness, the results obtained were compared with data deriving from an existing system based on liquefied natural gas (LNG). Results showed that storage tanks represent the most safety-critical units for all the investigated alternatives evaluated in the analysis, regardless of the inherent safety metric adopted. The inherent safety footprint quantification highlighted that the adoption of emerging technologies based on cryo-compressed liquid hydrogen could improve the onboard inherent safety performance of the ship power system compared to LNG-fuelled engines.","author":[{"dropping-particle":"","family":"Zanobetti","given":"Francesco","non-dropping-particle":"","parse-names":false,"suffix":""},{"dropping-particle":"","family":"Pio","given":"Gianmaria","non-dropping-particle":"","parse-names":false,"suffix":""},{"dropping-particle":"","family":"Jafarzadeh","given":"Sepideh","non-dropping-particle":"","parse-names":false,"suffix":""},{"dropping-particle":"","family":"Ortiz","given":"Miguel Muñoz","non-dropping-particle":"","parse-names":false,"suffix":""},{"dropping-particle":"","family":"Cozzani","given":"Valerio","non-dropping-particle":"","parse-names":false,"suffix":""}],"container-title":"Chemical Engineering Transactions","id":"ITEM-1","issued":{"date-parts":[["2024"]]},"page":"493-498","title":"A Comparative Assessment of the Inherent Safety of Hydrogen-Fuelled Power Systems","type":"article-journal","volume":"111"},"uris":["http://www.mendeley.com/documents/?uuid=53b9fcab-c2a2-42bc-9351-8aed99422385"]}],"mendeley":{"formattedCitation":"(Zanobetti et al., 2024)","plainTextFormattedCitation":"(Zanobetti et al., 2024)","previouslyFormattedCitation":"(Zanobetti et al., 2024)"},"properties":{"noteIndex":0},"schema":"https://github.com/citation-style-language/schema/raw/master/csl-citation.json"}</w:instrText>
      </w:r>
      <w:r w:rsidR="00964AC7">
        <w:fldChar w:fldCharType="separate"/>
      </w:r>
      <w:r w:rsidR="00964AC7" w:rsidRPr="00964AC7">
        <w:rPr>
          <w:noProof/>
          <w:lang w:val="en-GB"/>
        </w:rPr>
        <w:t>(Zanobetti et al., 2024)</w:t>
      </w:r>
      <w:r w:rsidR="00964AC7">
        <w:fldChar w:fldCharType="end"/>
      </w:r>
      <w:r w:rsidRPr="0008037A">
        <w:rPr>
          <w:lang w:val="en-GB"/>
        </w:rPr>
        <w:t>.</w:t>
      </w:r>
      <w:r w:rsidR="0052358C">
        <w:rPr>
          <w:lang w:val="en-GB"/>
        </w:rPr>
        <w:t xml:space="preserve"> </w:t>
      </w:r>
      <w:r w:rsidRPr="0008037A">
        <w:rPr>
          <w:lang w:val="en-GB"/>
        </w:rPr>
        <w:t xml:space="preserve">Existing research on hydrogen supply to end users has predominantly focused </w:t>
      </w:r>
      <w:r w:rsidRPr="0008037A">
        <w:rPr>
          <w:lang w:val="en-GB"/>
        </w:rPr>
        <w:lastRenderedPageBreak/>
        <w:t>on techno-economic optimisation and logistics planning</w:t>
      </w:r>
      <w:r w:rsidR="00201584">
        <w:rPr>
          <w:lang w:val="en-GB"/>
        </w:rPr>
        <w:t xml:space="preserve"> </w:t>
      </w:r>
      <w:r w:rsidR="00201584">
        <w:fldChar w:fldCharType="begin" w:fldLock="1"/>
      </w:r>
      <w:r w:rsidR="00865F40">
        <w:rPr>
          <w:lang w:val="en-GB"/>
        </w:rPr>
        <w:instrText>ADDIN CSL_CITATION {"citationItems":[{"id":"ITEM-1","itemData":{"DOI":"10.1016/j.ijhydene.2024.09.099","ISSN":"03603199","abstract":"In Austria, one of the highest priorities of hydrogen usage lies in the industrial sector, particularly as a feedstock and for high-temperature applications. Connecting hydrogen producers with consumers is challenging and requires comprehensive research to outline the advantages and challenges associated with various hydrogen supply options. This study focuses on techno-economic assessment of different supply solutions for industrial sites, mainly depicted in two categories: providing hydrogen by transport means and via on-site production. The technologies needed for the investigation of these scenarios are identified based on the predictions of available technologies in near future (2030). The transportation options analyzed include delivering liquid hydrogen by truck, liquid hydrogen by railway and gaseous hydrogen via pipeline. For on-site low-carbon hydrogen production, a proton-exchange membrane (PEM) electrolysis was selected, as resent research suggests lower costs for PEM electrolysis compared to alkaline electrolysis (AEL). The frequency of deliveries and storage options vary by scenario and are determined by the industrial demand profile, transport capacity and electrolyser production capacity. The assessment evaluates the feasibility and cost-effectiveness of each option, considering factors such as infrastructure requirements, energy efficiency and economic viability. At a hydrogen demand of 80 GWh, the transport options indicate hydrogen supply costs in the range of 14–24 ct/kWh. In contrast, the scenarios investigating on-site production of hydrogen show costs between 29 and 49 ct/kWh. Therefore, transport by truck, rail or pipeline is economically advantageous to own-production under the specific assumptions and conditions. However, the results indicate that as energy demand increases, on-site production becomes more attractive. Additionally, the influence of electricity prices and the hydrogen production/import price were identified as decisive factors for the overall hydrogen supply costs.","author":[{"dropping-particle":"","family":"Cvetkovska","given":"Roberta","non-dropping-particle":"","parse-names":false,"suffix":""},{"dropping-particle":"","family":"Wechner","given":"Lukas","non-dropping-particle":"","parse-names":false,"suffix":""},{"dropping-particle":"","family":"Kienberger","given":"Thomas","non-dropping-particle":"","parse-names":false,"suffix":""}],"container-title":"International Journal of Hydrogen Energy","id":"ITEM-1","issued":{"date-parts":[["2025"]]},"page":"611-622","publisher":"Elsevier Ltd","title":"Techno-economic assessment of hydrogen supply solutions for industrial site","type":"article-journal","volume":"104"},"uris":["http://www.mendeley.com/documents/?uuid=7196d96c-1feb-4446-b523-24849a36f015","http://www.mendeley.com/documents/?uuid=e05def43-91b9-41b4-ab8a-592eacf000f0"]}],"mendeley":{"formattedCitation":"(Cvetkovska et al., 2025)","plainTextFormattedCitation":"(Cvetkovska et al., 2025)","previouslyFormattedCitation":"(Cvetkovska et al., 2025)"},"properties":{"noteIndex":0},"schema":"https://github.com/citation-style-language/schema/raw/master/csl-citation.json"}</w:instrText>
      </w:r>
      <w:r w:rsidR="00201584">
        <w:fldChar w:fldCharType="separate"/>
      </w:r>
      <w:r w:rsidR="00201584" w:rsidRPr="00201584">
        <w:rPr>
          <w:noProof/>
          <w:lang w:val="en-GB"/>
        </w:rPr>
        <w:t>(Cvetkovska et al., 2025)</w:t>
      </w:r>
      <w:r w:rsidR="00201584">
        <w:fldChar w:fldCharType="end"/>
      </w:r>
      <w:r w:rsidRPr="0008037A">
        <w:rPr>
          <w:lang w:val="en-GB"/>
        </w:rPr>
        <w:t xml:space="preserve">. </w:t>
      </w:r>
      <w:r w:rsidR="00181DAA">
        <w:rPr>
          <w:lang w:val="en-GB"/>
        </w:rPr>
        <w:t>Hydrogen</w:t>
      </w:r>
      <w:r w:rsidRPr="0008037A">
        <w:rPr>
          <w:lang w:val="en-GB"/>
        </w:rPr>
        <w:t xml:space="preserve"> supply chains have been analysed for alternative hydrogen vectors, including compressed gaseous hydrogen, liquid hydrogen, and liquid organic hydrogen carriers (LOHCs), with explicit modelling of trucking operations, conditioning units, and payload constraints</w:t>
      </w:r>
      <w:r w:rsidR="00181DAA">
        <w:rPr>
          <w:lang w:val="en-GB"/>
        </w:rPr>
        <w:t xml:space="preserve"> </w:t>
      </w:r>
      <w:r w:rsidR="00181DAA">
        <w:fldChar w:fldCharType="begin" w:fldLock="1"/>
      </w:r>
      <w:r w:rsidR="00201584">
        <w:rPr>
          <w:lang w:val="en-GB"/>
        </w:rPr>
        <w:instrText>ADDIN CSL_CITATION {"citationItems":[{"id":"ITEM-1","itemData":{"DOI":"10.3390/pr13041081","ISSN":"22279717","abstract":"This study presents a techno-economic analysis of hydrogen transportation via liquid organic hydrogen carriers by road, comparing this option with compressed hydrogen (350 bar) and liquefied hydrogen. The analysis includes the simulation of hydrogenation and dehydrogenation reactors for the dibenzyltoluene/perhydro-dibenzyltoluene system using ASPEN Plus, along with a cost assessment of compression, liquefaction, and trucking. A sensitivity analysis is also carried out, evaluating hydrogen transport at varying daily demand levels (1, 2, and 4 t/d) and transport distances (50, 150, and 300 km), with varying electricity prices and capital expenditures for hydrogenation and dehydrogenation units. Results indicate that compressed hydrogen is the most cost-effective solution for short distances up to 150 km, with a levelized cost of transported hydrogen ranging from 1.10 to 1.61 EUR/kg. However, LOHC technology becomes more competitive at longer distances, with LCOTH values between 1.49 and 1.90 EUR/kg at 300 km across all demand levels. Liquefied hydrogen remains the least competitive option, reaching costs up to 5.35 EUR/kg, although it requires fewer annual trips due to higher trailer capacity. Notably, at 150 km, LOHC transport becomes more cost-effective than compressed hydrogen when electricity prices exceed 0.22 EUR/kWh or when the capital costs for hydrogenation and dehydrogenation units are minimized. From an environmental perspective, switching from compressed to liquid hydrogen carriers significantly reduces CO2 emissions—by 56% for LOHCs and 78% for liquid hydrogen—highlighting the potential of these technologies to support the decarbonization of hydrogen logistics.","author":[{"dropping-particle":"","family":"Cava","given":"Carmine","non-dropping-particle":"","parse-names":false,"suffix":""},{"dropping-particle":"","family":"Gagliardi","given":"Gabriele Guglielmo","non-dropping-particle":"","parse-names":false,"suffix":""},{"dropping-particle":"","family":"Piscolla","given":"Enrica","non-dropping-particle":"","parse-names":false,"suffix":""},{"dropping-particle":"","family":"Borello","given":"Domenico","non-dropping-particle":"","parse-names":false,"suffix":""}],"container-title":"Processes","id":"ITEM-1","issue":"4","issued":{"date-parts":[["2025"]]},"page":"1-25","title":"Techno-Economic Analysis of Hydrogen Transport via Truck Using Liquid Organic Hydrogen Carriers","type":"article-journal","volume":"13"},"uris":["http://www.mendeley.com/documents/?uuid=d1426f57-3b1c-490b-85b6-d2e7dd1b8d17"]}],"mendeley":{"formattedCitation":"(Cava et al., 2025)","plainTextFormattedCitation":"(Cava et al., 2025)","previouslyFormattedCitation":"(Cava et al., 2025)"},"properties":{"noteIndex":0},"schema":"https://github.com/citation-style-language/schema/raw/master/csl-citation.json"}</w:instrText>
      </w:r>
      <w:r w:rsidR="00181DAA">
        <w:fldChar w:fldCharType="separate"/>
      </w:r>
      <w:r w:rsidR="00181DAA" w:rsidRPr="00181DAA">
        <w:rPr>
          <w:noProof/>
          <w:lang w:val="en-GB"/>
        </w:rPr>
        <w:t>(Cava et al., 2025)</w:t>
      </w:r>
      <w:r w:rsidR="00181DAA">
        <w:fldChar w:fldCharType="end"/>
      </w:r>
      <w:r w:rsidRPr="0008037A">
        <w:rPr>
          <w:lang w:val="en-GB"/>
        </w:rPr>
        <w:t xml:space="preserve">. </w:t>
      </w:r>
      <w:r w:rsidR="003C3DFB" w:rsidRPr="003C3DFB">
        <w:rPr>
          <w:lang w:val="en-GB"/>
        </w:rPr>
        <w:t>Despite improving understanding of economic and operational trade-offs, current studies provide limited insight into how safety considerations influence the comparative performance of alternative hydrogen supply configurations</w:t>
      </w:r>
      <w:r w:rsidR="003C3DFB">
        <w:rPr>
          <w:lang w:val="en-GB"/>
        </w:rPr>
        <w:t>.</w:t>
      </w:r>
      <w:r w:rsidR="004B5C24">
        <w:rPr>
          <w:lang w:val="en-GB"/>
        </w:rPr>
        <w:t xml:space="preserve"> </w:t>
      </w:r>
      <w:r w:rsidR="007526B2" w:rsidRPr="007526B2">
        <w:rPr>
          <w:lang w:val="en-GB"/>
        </w:rPr>
        <w:t xml:space="preserve">Safety-oriented studies of hydrogen systems have primarily examined specific technologies or applications, such as storage systems </w:t>
      </w:r>
      <w:r w:rsidR="00596B82">
        <w:rPr>
          <w:lang w:val="en-GB"/>
        </w:rPr>
        <w:fldChar w:fldCharType="begin" w:fldLock="1"/>
      </w:r>
      <w:r w:rsidR="00865F40">
        <w:rPr>
          <w:lang w:val="en-GB"/>
        </w:rPr>
        <w:instrText>ADDIN CSL_CITATION {"citationItems":[{"id":"ITEM-1","itemData":{"DOI":"10.1016/j.psep.2024.04.061","ISSN":"09575820","abstract":"Multilayer Insulation (MLI) is frequently used in vacuum conditions for the thermal insulation of cryogenic storage tanks. The severe consequences of the degradation of such materials in engulfing fire scenarios were recently evidenced by several large-scale experimental tests. In the present study, an innovative modelling approach was developed to assess the performance of heat transfer in polyester-based MLI materials for cryogenic applications under fire conditions. A specific layer-by-layer approach was integrated with an apparent kinetic thermal degradation model based on thermogravimetric analysis results. The modeling results provided a realistic simulation of the experimental data obtained by High-Temperature Thermal Vacuum Chamber tests reproducing fire exposure conditions. The model was then applied to assess the behavior of MLI systems for liquid hydrogen tanks in realistic fire scenarios. The results show that in intense fire scenarios degradation occurs rapidly, compromising the thermal insulation performances of the system within a few minutes.","author":[{"dropping-particle":"","family":"Camplese","given":"Davide","non-dropping-particle":"","parse-names":false,"suffix":""},{"dropping-particle":"","family":"Scarponi","given":"Giordano Emrys","non-dropping-particle":"","parse-names":false,"suffix":""},{"dropping-particle":"","family":"Chianese","given":"Carmela","non-dropping-particle":"","parse-names":false,"suffix":""},{"dropping-particle":"","family":"Hajhariri","given":"Aliasghar","non-dropping-particle":"","parse-names":false,"suffix":""},{"dropping-particle":"","family":"Eberwein","given":"Robert","non-dropping-particle":"","parse-names":false,"suffix":""},{"dropping-particle":"","family":"Otremba","given":"Frank","non-dropping-particle":"","parse-names":false,"suffix":""},{"dropping-particle":"","family":"Cozzani","given":"Valerio","non-dropping-particle":"","parse-names":false,"suffix":""}],"container-title":"Process Safety and Environmental Protection","id":"ITEM-1","issued":{"date-parts":[["2024"]]},"page":"1169-1182","publisher":"Elsevier Ltd","title":"Modeling the performance of multilayer insulation in cryogenic tanks undergoing external fire scenarios","type":"article-journal","volume":"186"},"uris":["http://www.mendeley.com/documents/?uuid=b2fbe0ee-43df-464e-b01b-fcdaa809ee45","http://www.mendeley.com/documents/?uuid=574635d8-2e7d-43d1-985a-c7ba59ee9e9b"]}],"mendeley":{"formattedCitation":"(Camplese et al., 2024)","plainTextFormattedCitation":"(Camplese et al., 2024)","previouslyFormattedCitation":"(Camplese et al., 2024)"},"properties":{"noteIndex":0},"schema":"https://github.com/citation-style-language/schema/raw/master/csl-citation.json"}</w:instrText>
      </w:r>
      <w:r w:rsidR="00596B82">
        <w:rPr>
          <w:lang w:val="en-GB"/>
        </w:rPr>
        <w:fldChar w:fldCharType="separate"/>
      </w:r>
      <w:r w:rsidR="00596B82" w:rsidRPr="00596B82">
        <w:rPr>
          <w:noProof/>
          <w:lang w:val="en-GB"/>
        </w:rPr>
        <w:t>(Camplese et al., 2024)</w:t>
      </w:r>
      <w:r w:rsidR="00596B82">
        <w:rPr>
          <w:lang w:val="en-GB"/>
        </w:rPr>
        <w:fldChar w:fldCharType="end"/>
      </w:r>
      <w:r w:rsidR="00596B82">
        <w:rPr>
          <w:lang w:val="en-GB"/>
        </w:rPr>
        <w:t xml:space="preserve"> </w:t>
      </w:r>
      <w:r w:rsidR="007526B2" w:rsidRPr="007526B2">
        <w:rPr>
          <w:lang w:val="en-GB"/>
        </w:rPr>
        <w:t>or refuelling infrastructure</w:t>
      </w:r>
      <w:r w:rsidR="00BF1739">
        <w:rPr>
          <w:lang w:val="en-GB"/>
        </w:rPr>
        <w:t xml:space="preserve"> </w:t>
      </w:r>
      <w:r w:rsidR="00BF1739">
        <w:rPr>
          <w:lang w:val="en-GB"/>
        </w:rPr>
        <w:fldChar w:fldCharType="begin" w:fldLock="1"/>
      </w:r>
      <w:r w:rsidR="00865F40">
        <w:rPr>
          <w:lang w:val="en-GB"/>
        </w:rPr>
        <w:instrText>ADDIN CSL_CITATION {"citationItems":[{"id":"ITEM-1","itemData":{"DOI":"10.1016/j.ijhydene.2025.151929","ISSN":"03603199","abstract":"This work presents a comparative sustainability assessment of hydrogen refueling stations with respect to vehicle refueling stations supplying conventional fuels. The assessment considers the integrate contribution of process economics, environmental impacts, and process safety, to represent all the pillars of sustainability. The comparison is among hydrogen (stored at the refueling station either as compressed gas vs. liquid) with respect to gasoline, diesel, liquefied petroleum gas, compressed and liquefied natural gas, and an e-charging station. The impacts related to each pillar of sustainability are quantified using key performance indicators, which are aggregated (by means of Analytic Hierarchy Process) into a single metric, called the Overall Sustainability Index (OSI), to obtain a ranking of the refueling alternatives. An uncertainty analysis (using Monte Carlo method) is also presented to discuss the robustness of the ranking. The results show that liquefied hydrogen refueling stations obtain better performance when environmental and economic aspects are preferred in the evaluation of the OSI. On the other hand, safety concerns of the novel hydrogen-based technologies make conventional fuels, such as LPG, better alternative due to the technical maturity and consolidated design practices. Finally, a sensitivity analysis with respect to main parameters affecting the calculation of the key performance indicators is also presented to draw broader conclusions.","author":[{"dropping-particle":"","family":"Casson Moreno","given":"Valeria","non-dropping-particle":"","parse-names":false,"suffix":""},{"dropping-particle":"","family":"Vianna","given":"Sávio Souza Venâncio","non-dropping-particle":"","parse-names":false,"suffix":""},{"dropping-particle":"","family":"Landucci","given":"Gabriele","non-dropping-particle":"","parse-names":false,"suffix":""}],"container-title":"International Journal of Hydrogen Energy","id":"ITEM-1","issued":{"date-parts":[["2025"]]},"page":"151929","title":"An integrated assessment of the safety, economic, and environmental impacts of hydrogen refueling stations in comparison to conventional fuel stations","type":"article-journal","volume":"185"},"uris":["http://www.mendeley.com/documents/?uuid=ea903a0c-f362-411c-b4dd-2cb2b127f8ee","http://www.mendeley.com/documents/?uuid=24568925-5833-4a65-ba65-909764560400"]}],"mendeley":{"formattedCitation":"(Casson Moreno et al., 2025)","plainTextFormattedCitation":"(Casson Moreno et al., 2025)","previouslyFormattedCitation":"(Casson Moreno et al., 2025)"},"properties":{"noteIndex":0},"schema":"https://github.com/citation-style-language/schema/raw/master/csl-citation.json"}</w:instrText>
      </w:r>
      <w:r w:rsidR="00BF1739">
        <w:rPr>
          <w:lang w:val="en-GB"/>
        </w:rPr>
        <w:fldChar w:fldCharType="separate"/>
      </w:r>
      <w:r w:rsidR="00BF1739" w:rsidRPr="00BF1739">
        <w:rPr>
          <w:noProof/>
          <w:lang w:val="en-GB"/>
        </w:rPr>
        <w:t>(Casson Moreno et al., 2025)</w:t>
      </w:r>
      <w:r w:rsidR="00BF1739">
        <w:rPr>
          <w:lang w:val="en-GB"/>
        </w:rPr>
        <w:fldChar w:fldCharType="end"/>
      </w:r>
      <w:r w:rsidR="00C42E07">
        <w:rPr>
          <w:lang w:val="en-GB"/>
        </w:rPr>
        <w:t>.</w:t>
      </w:r>
      <w:r w:rsidR="005F1920">
        <w:rPr>
          <w:lang w:val="en-GB"/>
        </w:rPr>
        <w:t xml:space="preserve"> </w:t>
      </w:r>
      <w:r w:rsidR="00532171" w:rsidRPr="00532171">
        <w:rPr>
          <w:lang w:val="en-GB"/>
        </w:rPr>
        <w:t>In industrial applications, inherent safety assessment has recently been integrated into hydrogen supply system design, enabling comparison between on-site production and externally supplied hydrogen at individual facilities</w:t>
      </w:r>
      <w:r w:rsidR="005F1920" w:rsidRPr="005F1920">
        <w:rPr>
          <w:lang w:val="en-GB"/>
        </w:rPr>
        <w:t xml:space="preserve"> </w:t>
      </w:r>
      <w:r w:rsidR="005F1920">
        <w:rPr>
          <w:lang w:val="en-GB"/>
        </w:rPr>
        <w:fldChar w:fldCharType="begin" w:fldLock="1"/>
      </w:r>
      <w:r w:rsidR="00865F40">
        <w:rPr>
          <w:lang w:val="en-GB"/>
        </w:rPr>
        <w:instrText>ADDIN CSL_CITATION {"citationItems":[{"id":"ITEM-1","itemData":{"DOI":"10.1016/j.ijhydene.2025.151373","ISSN":"03603199","abstract":"Through mathematical modeling, this paper integrates economic, safety, and environmental assessments to evaluate alternative hydrogen supply options (on-site production and external supply) and various hydrogen-based system configurations for decarbonizing energy-intensive industries. The model is applied to a case study in the glass sector. While reliance on natural gas remains the most cost-effective and safest solution, it does not align with decarbonization objectives. Assuming a complete hydrogen transition, on-site production reduces emissions by 85 % compared to current levels and improves safety performance over external supply. External supply of grey hydrogen becomes counterproductive, increasing emissions by 68 % compared to natural gas operations. Nevertheless, hydrogen cost rises from 3.6 €/kg with external supply to 4.2 €/kg with on-site production, doubling the fuel cost relative to natural gas. To address the trade-offs, the paper explores how specific constraints influence system design. A sensitivity analysis on key factors affecting hydrogen-related decisions provides additional support for strategic decision-making.","author":[{"dropping-particle":"","family":"Fede","given":"Giulia","non-dropping-particle":"","parse-names":false,"suffix":""},{"dropping-particle":"","family":"Collina","given":"Giulia","non-dropping-particle":"","parse-names":false,"suffix":""},{"dropping-particle":"","family":"Tugnoli","given":"Alessandro","non-dropping-particle":"","parse-names":false,"suffix":""},{"dropping-particle":"","family":"Bucelli","given":"Marta","non-dropping-particle":"","parse-names":false,"suffix":""},{"dropping-particle":"","family":"Silva","given":"Daniel F.","non-dropping-particle":"","parse-names":false,"suffix":""},{"dropping-particle":"","family":"Sgarbossa","given":"Fabio","non-dropping-particle":"","parse-names":false,"suffix":""}],"container-title":"International Journal of Hydrogen Energy","id":"ITEM-1","issue":"September","issued":{"date-parts":[["2025"]]},"page":"151373","publisher":"Elsevier Ltd","title":"Hydrogen supply design for the decarbonization of energy-intensive industries addressing cost, inherent safety and environmental performance","type":"article-journal","volume":"175"},"uris":["http://www.mendeley.com/documents/?uuid=33c6709b-beae-47ce-b69f-da71e1596939","http://www.mendeley.com/documents/?uuid=281d014c-c4d3-48fa-9b5b-4e074fc0f79b"]}],"mendeley":{"formattedCitation":"(Fede et al., 2025)","plainTextFormattedCitation":"(Fede et al., 2025)","previouslyFormattedCitation":"(Fede et al., 2025)"},"properties":{"noteIndex":0},"schema":"https://github.com/citation-style-language/schema/raw/master/csl-citation.json"}</w:instrText>
      </w:r>
      <w:r w:rsidR="005F1920">
        <w:rPr>
          <w:lang w:val="en-GB"/>
        </w:rPr>
        <w:fldChar w:fldCharType="separate"/>
      </w:r>
      <w:r w:rsidR="005F1920" w:rsidRPr="005F1920">
        <w:rPr>
          <w:noProof/>
          <w:lang w:val="en-GB"/>
        </w:rPr>
        <w:t>(Fede et al., 2025)</w:t>
      </w:r>
      <w:r w:rsidR="005F1920">
        <w:rPr>
          <w:lang w:val="en-GB"/>
        </w:rPr>
        <w:fldChar w:fldCharType="end"/>
      </w:r>
      <w:r w:rsidR="005F1920" w:rsidRPr="005F1920">
        <w:rPr>
          <w:lang w:val="en-GB"/>
        </w:rPr>
        <w:t xml:space="preserve">. </w:t>
      </w:r>
    </w:p>
    <w:p w14:paraId="24FC6909" w14:textId="577BDB44" w:rsidR="007E7FBE" w:rsidRPr="0008037A" w:rsidRDefault="00F57A33" w:rsidP="0008037A">
      <w:pPr>
        <w:pStyle w:val="CETBodytext"/>
        <w:rPr>
          <w:lang w:val="en-GB"/>
        </w:rPr>
      </w:pPr>
      <w:r w:rsidRPr="00F57A33">
        <w:rPr>
          <w:lang w:val="en-GB"/>
        </w:rPr>
        <w:t xml:space="preserve">However, the safety implications arising when hydrogen supply systems are deployed across </w:t>
      </w:r>
      <w:r w:rsidR="00391A5C">
        <w:rPr>
          <w:lang w:val="en-GB"/>
        </w:rPr>
        <w:t>spatially</w:t>
      </w:r>
      <w:r w:rsidRPr="00F57A33">
        <w:rPr>
          <w:lang w:val="en-GB"/>
        </w:rPr>
        <w:t xml:space="preserve"> dispersed industrial users remain insufficiently addressed</w:t>
      </w:r>
      <w:r>
        <w:rPr>
          <w:lang w:val="en-GB"/>
        </w:rPr>
        <w:t>.</w:t>
      </w:r>
      <w:r w:rsidR="004B5C24">
        <w:rPr>
          <w:lang w:val="en-GB"/>
        </w:rPr>
        <w:t xml:space="preserve"> </w:t>
      </w:r>
      <w:r w:rsidR="007E7FBE" w:rsidRPr="007E7FBE">
        <w:rPr>
          <w:lang w:val="en-GB"/>
        </w:rPr>
        <w:t>This study addresses this gap by developing an inherent safety assessment framework to compare hydrogen supply strategies for spatially dispersed industrial sites. Centralised configurations, in which hydrogen production and conditioning are shared among multiple sites and delivery is ensured via truck transport, are benchmarked against local electrolysis as a decentralised reference.</w:t>
      </w:r>
    </w:p>
    <w:p w14:paraId="049D240E" w14:textId="4328EA80" w:rsidR="005C5384" w:rsidRDefault="005C5384" w:rsidP="005C5384">
      <w:pPr>
        <w:pStyle w:val="CETHeading1"/>
        <w:rPr>
          <w:lang w:val="en-GB"/>
        </w:rPr>
      </w:pPr>
      <w:r>
        <w:rPr>
          <w:lang w:val="en-GB"/>
        </w:rPr>
        <w:t>Methodology</w:t>
      </w:r>
    </w:p>
    <w:p w14:paraId="45B21762" w14:textId="2FBD9B6D" w:rsidR="00260BA7" w:rsidRDefault="00400554" w:rsidP="005C5384">
      <w:pPr>
        <w:pStyle w:val="CETBodytext"/>
        <w:rPr>
          <w:lang w:val="en-GB"/>
        </w:rPr>
      </w:pPr>
      <w:r>
        <w:rPr>
          <w:lang w:val="en-GB"/>
        </w:rPr>
        <w:t xml:space="preserve">An </w:t>
      </w:r>
      <w:r w:rsidR="00AD2B85">
        <w:rPr>
          <w:lang w:val="en-GB"/>
        </w:rPr>
        <w:t xml:space="preserve">inherent safety assessment </w:t>
      </w:r>
      <w:r w:rsidR="003E0C3D">
        <w:rPr>
          <w:lang w:val="en-GB"/>
        </w:rPr>
        <w:t xml:space="preserve">framework was developed to enable the ex-ante evaluation of hydrogen supply strategies serving dispersed industrial sites. </w:t>
      </w:r>
      <w:r w:rsidR="00ED0D58">
        <w:rPr>
          <w:lang w:val="en-GB"/>
        </w:rPr>
        <w:fldChar w:fldCharType="begin"/>
      </w:r>
      <w:r w:rsidR="00ED0D58">
        <w:rPr>
          <w:lang w:val="en-GB"/>
        </w:rPr>
        <w:instrText xml:space="preserve"> REF _Ref222916559 \h </w:instrText>
      </w:r>
      <w:r w:rsidR="00ED0D58">
        <w:rPr>
          <w:lang w:val="en-GB"/>
        </w:rPr>
      </w:r>
      <w:r w:rsidR="00ED0D58">
        <w:rPr>
          <w:lang w:val="en-GB"/>
        </w:rPr>
        <w:fldChar w:fldCharType="separate"/>
      </w:r>
      <w:r w:rsidR="00ED0D58">
        <w:t xml:space="preserve">Figure </w:t>
      </w:r>
      <w:r w:rsidR="00ED0D58">
        <w:rPr>
          <w:noProof/>
        </w:rPr>
        <w:t>1</w:t>
      </w:r>
      <w:r w:rsidR="00ED0D58">
        <w:rPr>
          <w:lang w:val="en-GB"/>
        </w:rPr>
        <w:fldChar w:fldCharType="end"/>
      </w:r>
      <w:r w:rsidR="002676C8">
        <w:rPr>
          <w:lang w:val="en-GB"/>
        </w:rPr>
        <w:t xml:space="preserve"> illustrates the methodological workflow, which</w:t>
      </w:r>
      <w:r w:rsidR="00ED0D58">
        <w:rPr>
          <w:lang w:val="en-GB"/>
        </w:rPr>
        <w:t xml:space="preserve"> comprises four sequential steps: supply-chain decomposition, unit characterisation, consequence analysis, and hierarchical aggregation of inherent safety indicators.</w:t>
      </w:r>
    </w:p>
    <w:p w14:paraId="6EDD8290" w14:textId="77777777" w:rsidR="00400554" w:rsidRDefault="00400554" w:rsidP="005C5384">
      <w:pPr>
        <w:pStyle w:val="CETBodytext"/>
        <w:rPr>
          <w:lang w:val="en-GB"/>
        </w:rPr>
      </w:pPr>
    </w:p>
    <w:p w14:paraId="46ED6344" w14:textId="3F27E9D7" w:rsidR="00E5255C" w:rsidRDefault="00557803" w:rsidP="00E5255C">
      <w:pPr>
        <w:pStyle w:val="CETBodytext"/>
        <w:keepNext/>
      </w:pPr>
      <w:r w:rsidRPr="00557803">
        <w:rPr>
          <w:noProof/>
        </w:rPr>
        <w:drawing>
          <wp:inline distT="0" distB="0" distL="0" distR="0" wp14:anchorId="46DB6A05" wp14:editId="0B599795">
            <wp:extent cx="5579745" cy="1314450"/>
            <wp:effectExtent l="0" t="0" r="1905" b="0"/>
            <wp:docPr id="16506963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1314450"/>
                    </a:xfrm>
                    <a:prstGeom prst="rect">
                      <a:avLst/>
                    </a:prstGeom>
                    <a:noFill/>
                    <a:ln>
                      <a:noFill/>
                    </a:ln>
                  </pic:spPr>
                </pic:pic>
              </a:graphicData>
            </a:graphic>
          </wp:inline>
        </w:drawing>
      </w:r>
    </w:p>
    <w:p w14:paraId="68184B26" w14:textId="6BCE5BC4" w:rsidR="00260BA7" w:rsidRDefault="00E5255C" w:rsidP="00E5255C">
      <w:pPr>
        <w:pStyle w:val="CETCaption"/>
      </w:pPr>
      <w:bookmarkStart w:id="1" w:name="_Ref222916559"/>
      <w:r>
        <w:t xml:space="preserve">Figure </w:t>
      </w:r>
      <w:r>
        <w:fldChar w:fldCharType="begin"/>
      </w:r>
      <w:r>
        <w:instrText xml:space="preserve"> SEQ Figure \* ARABIC </w:instrText>
      </w:r>
      <w:r>
        <w:fldChar w:fldCharType="separate"/>
      </w:r>
      <w:r w:rsidR="00CE2DF9">
        <w:rPr>
          <w:noProof/>
        </w:rPr>
        <w:t>1</w:t>
      </w:r>
      <w:r>
        <w:fldChar w:fldCharType="end"/>
      </w:r>
      <w:bookmarkEnd w:id="1"/>
      <w:r>
        <w:t xml:space="preserve">: </w:t>
      </w:r>
      <w:r w:rsidR="003A3756" w:rsidRPr="003A3756">
        <w:t xml:space="preserve">Flowchart of the </w:t>
      </w:r>
      <w:r w:rsidR="004D1121">
        <w:t xml:space="preserve">proposed </w:t>
      </w:r>
      <w:r w:rsidR="003A3756">
        <w:t>i</w:t>
      </w:r>
      <w:r w:rsidR="003A3756" w:rsidRPr="003A3756">
        <w:t xml:space="preserve">nherent safety assessment </w:t>
      </w:r>
      <w:r w:rsidR="00BD05B5">
        <w:t>approach</w:t>
      </w:r>
      <w:r w:rsidR="003A3756" w:rsidRPr="003A3756">
        <w:t xml:space="preserve"> for hydrogen supply strategies serving </w:t>
      </w:r>
      <w:r w:rsidR="00391A5C">
        <w:t>spatially</w:t>
      </w:r>
      <w:r w:rsidR="003A3756" w:rsidRPr="003A3756">
        <w:t xml:space="preserve"> dispersed industrial sites.</w:t>
      </w:r>
    </w:p>
    <w:p w14:paraId="3C6F53D8" w14:textId="091A4E77" w:rsidR="00545151" w:rsidRDefault="00A8139A" w:rsidP="00545151">
      <w:pPr>
        <w:pStyle w:val="CETBodytext"/>
        <w:rPr>
          <w:lang w:val="en-GB"/>
        </w:rPr>
      </w:pPr>
      <w:r>
        <w:rPr>
          <w:lang w:val="en-GB"/>
        </w:rPr>
        <w:t>In Step 1, t</w:t>
      </w:r>
      <w:r w:rsidR="00942190" w:rsidRPr="00942190">
        <w:rPr>
          <w:lang w:val="en-GB"/>
        </w:rPr>
        <w:t>he hydrogen supply chain is first decomposed into functional stages to systematically isolate contributions from operations performed at the industrial user site (on-site), hydrogen transport, and centralised operations across all strategies.</w:t>
      </w:r>
      <w:r w:rsidR="00942190">
        <w:rPr>
          <w:lang w:val="en-GB"/>
        </w:rPr>
        <w:t xml:space="preserve"> </w:t>
      </w:r>
      <w:r w:rsidR="002010CA" w:rsidRPr="002010CA">
        <w:rPr>
          <w:lang w:val="en-GB"/>
        </w:rPr>
        <w:t xml:space="preserve">Within each stage, the relevant process units are identified and subjected to preliminary equipment design </w:t>
      </w:r>
      <w:proofErr w:type="gramStart"/>
      <w:r w:rsidR="002010CA" w:rsidRPr="002010CA">
        <w:rPr>
          <w:lang w:val="en-GB"/>
        </w:rPr>
        <w:t>in order to</w:t>
      </w:r>
      <w:proofErr w:type="gramEnd"/>
      <w:r w:rsidR="002010CA" w:rsidRPr="002010CA">
        <w:rPr>
          <w:lang w:val="en-GB"/>
        </w:rPr>
        <w:t xml:space="preserve"> estimate operating conditions and substance inventories</w:t>
      </w:r>
      <w:r w:rsidR="00D759F0">
        <w:rPr>
          <w:lang w:val="en-GB"/>
        </w:rPr>
        <w:t xml:space="preserve"> (Step 2)</w:t>
      </w:r>
      <w:r w:rsidR="002010CA" w:rsidRPr="002010CA">
        <w:rPr>
          <w:lang w:val="en-GB"/>
        </w:rPr>
        <w:t>.</w:t>
      </w:r>
      <w:r w:rsidR="00ED0D58" w:rsidRPr="00ED0D58">
        <w:rPr>
          <w:lang w:val="en-GB"/>
        </w:rPr>
        <w:t xml:space="preserve"> </w:t>
      </w:r>
      <w:r w:rsidR="00392A96" w:rsidRPr="00392A96">
        <w:rPr>
          <w:lang w:val="en-GB"/>
        </w:rPr>
        <w:t xml:space="preserve">For each unit, </w:t>
      </w:r>
      <w:r w:rsidR="000542F6" w:rsidRPr="000542F6">
        <w:rPr>
          <w:lang w:val="en-GB"/>
        </w:rPr>
        <w:t>a set of reference release modes (RMs) is defined in accordance with established technical literature, covering loss-of-containment scenarios ranging from small continuous leaks to catastrophic vessel and full-bore pipe ruptures</w:t>
      </w:r>
      <w:r w:rsidR="00123AD0">
        <w:rPr>
          <w:lang w:val="en-GB"/>
        </w:rPr>
        <w:t xml:space="preserve"> </w:t>
      </w:r>
      <w:r w:rsidR="009867E5">
        <w:rPr>
          <w:lang w:val="en-GB"/>
        </w:rPr>
        <w:fldChar w:fldCharType="begin" w:fldLock="1"/>
      </w:r>
      <w:r w:rsidR="004736FB">
        <w:rPr>
          <w:lang w:val="en-GB"/>
        </w:rPr>
        <w:instrText>ADDIN CSL_CITATION {"citationItems":[{"id":"ITEM-1","itemData":{"DOI":"10.26634/jfet.6.1.1292","ISBN":"9781420035889","ISSN":"09732632","abstract":"In the area of risk assessment, the focus can be on a number of issues. Interest can be placed on the characterization of the dose-response relationship, i.e., studying the dependence of a particular outcome such as the risk of a malformed foetus, on the dose which is administered to the dam. Besides investigating the dose-response relation, another issue is quantitative risk assessment. This critically important area of riskassessment is based on the relationship between dose and response, to derive a safe dose. In quantitative risk assessment, there are a number of choices that have to be made, resulting in a variety of approaches.","author":[{"dropping-particle":"","family":"Uijt de Haag","given":"P.A.M.","non-dropping-particle":"","parse-names":false,"suffix":""},{"dropping-particle":"","family":"Ale","given":"B.J.M.","non-dropping-particle":"","parse-names":false,"suffix":""}],"id":"ITEM-1","issued":{"date-parts":[["2005"]]},"publisher":"Committee for the Prevention of Disasters","publisher-place":"The Hague (NL)","title":"Guidelines for Quantitative Risk Assessment (Purple Book)","type":"book"},"uris":["http://www.mendeley.com/documents/?uuid=fa900821-73b7-4fba-81a5-43095e9b6fd0"]}],"mendeley":{"formattedCitation":"(Uijt de Haag and Ale, 2005)","plainTextFormattedCitation":"(Uijt de Haag and Ale, 2005)","previouslyFormattedCitation":"(Uijt de Haag and Ale, 2005)"},"properties":{"noteIndex":0},"schema":"https://github.com/citation-style-language/schema/raw/master/csl-citation.json"}</w:instrText>
      </w:r>
      <w:r w:rsidR="009867E5">
        <w:rPr>
          <w:lang w:val="en-GB"/>
        </w:rPr>
        <w:fldChar w:fldCharType="separate"/>
      </w:r>
      <w:r w:rsidR="009867E5" w:rsidRPr="009867E5">
        <w:rPr>
          <w:noProof/>
          <w:lang w:val="en-GB"/>
        </w:rPr>
        <w:t>(Uijt de Haag and Ale, 2005)</w:t>
      </w:r>
      <w:r w:rsidR="009867E5">
        <w:rPr>
          <w:lang w:val="en-GB"/>
        </w:rPr>
        <w:fldChar w:fldCharType="end"/>
      </w:r>
      <w:r w:rsidR="00A50734">
        <w:rPr>
          <w:lang w:val="en-GB"/>
        </w:rPr>
        <w:t xml:space="preserve">. </w:t>
      </w:r>
      <w:r w:rsidR="00545151" w:rsidRPr="00545151">
        <w:t xml:space="preserve">Credit factors </w:t>
      </w:r>
      <m:oMath>
        <m:r>
          <w:rPr>
            <w:rFonts w:ascii="Cambria Math" w:hAnsi="Cambria Math"/>
          </w:rPr>
          <m:t>c</m:t>
        </m:r>
        <m:sSub>
          <m:sSubPr>
            <m:ctrlPr>
              <w:rPr>
                <w:rFonts w:ascii="Cambria Math" w:hAnsi="Cambria Math"/>
              </w:rPr>
            </m:ctrlPr>
          </m:sSubPr>
          <m:e>
            <m:r>
              <w:rPr>
                <w:rFonts w:ascii="Cambria Math" w:hAnsi="Cambria Math"/>
              </w:rPr>
              <m:t>f</m:t>
            </m:r>
          </m:e>
          <m:sub>
            <m:r>
              <w:rPr>
                <w:rFonts w:ascii="Cambria Math" w:hAnsi="Cambria Math"/>
              </w:rPr>
              <m:t>k,l</m:t>
            </m:r>
          </m:sub>
        </m:sSub>
      </m:oMath>
      <w:r w:rsidR="00545151" w:rsidRPr="00545151">
        <w:t xml:space="preserve">, representing the propensity of unit </w:t>
      </w:r>
      <m:oMath>
        <m:r>
          <w:rPr>
            <w:rFonts w:ascii="Cambria Math" w:hAnsi="Cambria Math"/>
          </w:rPr>
          <m:t>k</m:t>
        </m:r>
      </m:oMath>
      <w:r w:rsidR="00545151">
        <w:t xml:space="preserve"> </w:t>
      </w:r>
      <w:r w:rsidR="00545151" w:rsidRPr="00545151">
        <w:t xml:space="preserve">to generate release mode </w:t>
      </w:r>
      <m:oMath>
        <m:r>
          <w:rPr>
            <w:rFonts w:ascii="Cambria Math" w:hAnsi="Cambria Math"/>
          </w:rPr>
          <m:t>l</m:t>
        </m:r>
      </m:oMath>
      <w:r w:rsidR="00545151" w:rsidRPr="00545151">
        <w:t xml:space="preserve">, </w:t>
      </w:r>
      <w:r w:rsidR="00035670" w:rsidRPr="00035670">
        <w:rPr>
          <w:lang w:val="en-GB"/>
        </w:rPr>
        <w:t>are derived from baseline equipment failure frequencies reported in the literature</w:t>
      </w:r>
      <w:r w:rsidR="004736FB">
        <w:rPr>
          <w:lang w:val="en-GB"/>
        </w:rPr>
        <w:t xml:space="preserve"> (for instance, </w:t>
      </w:r>
      <w:r w:rsidR="00EB650E">
        <w:rPr>
          <w:lang w:val="en-GB"/>
        </w:rPr>
        <w:fldChar w:fldCharType="begin" w:fldLock="1"/>
      </w:r>
      <w:r w:rsidR="006D18FE">
        <w:rPr>
          <w:lang w:val="en-GB"/>
        </w:rPr>
        <w:instrText>ADDIN CSL_CITATION {"citationItems":[{"id":"ITEM-1","itemData":{"DOI":"10.26634/jfet.6.1.1292","ISBN":"9781420035889","ISSN":"09732632","abstract":"In the area of risk assessment, the focus can be on a number of issues. Interest can be placed on the characterization of the dose-response relationship, i.e., studying the dependence of a particular outcome such as the risk of a malformed foetus, on the dose which is administered to the dam. Besides investigating the dose-response relation, another issue is quantitative risk assessment. This critically important area of riskassessment is based on the relationship between dose and response, to derive a safe dose. In quantitative risk assessment, there are a number of choices that have to be made, resulting in a variety of approaches.","author":[{"dropping-particle":"","family":"Uijt de Haag","given":"P.A.M.","non-dropping-particle":"","parse-names":false,"suffix":""},{"dropping-particle":"","family":"Ale","given":"B.J.M.","non-dropping-particle":"","parse-names":false,"suffix":""}],"id":"ITEM-1","issued":{"date-parts":[["2005"]]},"publisher":"Committee for the Prevention of Disasters","publisher-place":"The Hague (NL)","title":"Guidelines for Quantitative Risk Assessment (Purple Book)","type":"book"},"uris":["http://www.mendeley.com/documents/?uuid=fa900821-73b7-4fba-81a5-43095e9b6fd0"]},{"id":"ITEM-2","itemData":{"DOI":"10.1016/j.jhazmat.2005.07.005","ISSN":"03043894","PMID":"16126337","abstract":"In the frame of the Accidental Risk Assessment Methodology for Industries (ARAMIS) project, this paper aims at presenting the work carried out in the part of the project devoted to the definition of accident scenarios. This topic is a key-point in risk assessment and serves as basis for the whole risk quantification. The first result of the work is the building of a methodology for the identification of major accident hazards (MIMAH), which is carried out with the development of generic fault and event trees based on a typology of equipment and substances. The term \"major accidents\" must be understood as the worst accidents likely to occur on the equipment, assuming that no safety systems are installed. A second methodology, called methodology for the identification of reference accident scenarios (MIRAS) takes into account the influence of safety systems on both the frequencies and possible consequences of accidents. This methodology leads to identify more realistic accident scenarios. The reference accident scenarios are chosen with the help of a tool called \"risk matrix\", crossing the frequency and the consequences of accidents. This paper presents both methodologies and an application on an ethylene oxide storage. © 2005 Elsevier B.V. All rights reserved.","author":[{"dropping-particle":"","family":"Delvosalle","given":"Christian","non-dropping-particle":"","parse-names":false,"suffix":""},{"dropping-particle":"","family":"Fievez","given":"Cécile","non-dropping-particle":"","parse-names":false,"suffix":""},{"dropping-particle":"","family":"Pipart","given":"Aurore","non-dropping-particle":"","parse-names":false,"suffix":""},{"dropping-particle":"","family":"Debray","given":"Bruno","non-dropping-particle":"","parse-names":false,"suffix":""}],"container-title":"Journal of Hazardous Materials","id":"ITEM-2","issue":"3.","issued":{"date-parts":[["2006"]]},"page":"200-219","title":"ARAMIS project: A comprehensive methodology for the identification of reference accident scenarios in process industries","type":"article-journal","volume":"130"},"uris":["http://www.mendeley.com/documents/?uuid=7e03d045-c285-47c4-a0c2-bc6fb462cdde"]},{"id":"ITEM-3","itemData":{"DOI":"10.1016/j.psep.2025.108352","ISSN":"09575820","abstract":"A holistic life cycle assessment of industrial value chains requires integrating the prospective safety performance of technologies, to reduce or eliminate potential impacts of accidents on humans and the environment. This study introduces a novel consequence-based inherent safety methodology—ExALIS (Ex-ante Assessment of Life cycle Inherent Safety)—designed to support proactive hazard identification during the conceptual design phase of industrial value chains. Unlike conventional approaches that focus on single process units, ExALIS adopts a life cycle perspective, addressing safety-related concerns across the entire value chain. By integrating inherent safety principles with life cycle analysis, it provides a holistic assessment, highlighting the impact of technological decisions on human health and the environment. Its modular design ensures adaptability across diverse sectors and decision-making contexts. To demonstrate its capabilities, ExALIS was applied to a case study addressing technological alternatives (biomethane and hydrogen) for clean energy supply to ceramic manufacturing plants. The findings show that ExALIS is able to assess latent hazards in seemingly sustainable options, highlighting the critical importance of an early incorporation of safety considerations in the design process to support forward-looking design strategies. Overall, ExALIS offers a practical and systemic tool to support the design of safer, cleaner, and more resilient industrial processes.","author":[{"dropping-particle":"","family":"Tamburini","given":"Federica","non-dropping-particle":"","parse-names":false,"suffix":""},{"dropping-particle":"","family":"Pasquali","given":"Lorenzo","non-dropping-particle":"","parse-names":false,"suffix":""},{"dropping-particle":"","family":"Dal Pozzo","given":"Alessandro","non-dropping-particle":"","parse-names":false,"suffix":""},{"dropping-particle":"","family":"Tugnoli","given":"Alessandro","non-dropping-particle":"","parse-names":false,"suffix":""},{"dropping-particle":"","family":"Cozzani","given":"Valerio","non-dropping-particle":"","parse-names":false,"suffix":""}],"container-title":"Process Safety and Environmental Protection","id":"ITEM-3","issued":{"date-parts":[["2026"]]},"page":"108352","publisher":"Elsevier Ltd","title":"Ex-ante assessment of life cycle inherent safety (ExALIS) of industrial value chains","type":"article-journal","volume":"207"},"uris":["http://www.mendeley.com/documents/?uuid=33e2820e-2472-4b7f-8e08-032319bd2aec"]}],"mendeley":{"formattedCitation":"(Delvosalle et al., 2006; Tamburini et al., 2026; Uijt de Haag and Ale, 2005)","manualFormatting":"Tamburini et al., 2026; Uijt de Haag and Ale, 2005","plainTextFormattedCitation":"(Delvosalle et al., 2006; Tamburini et al., 2026; Uijt de Haag and Ale, 2005)"},"properties":{"noteIndex":0},"schema":"https://github.com/citation-style-language/schema/raw/master/csl-citation.json"}</w:instrText>
      </w:r>
      <w:r w:rsidR="00EB650E">
        <w:rPr>
          <w:lang w:val="en-GB"/>
        </w:rPr>
        <w:fldChar w:fldCharType="separate"/>
      </w:r>
      <w:r w:rsidR="00EB650E" w:rsidRPr="005C58FB">
        <w:rPr>
          <w:noProof/>
          <w:lang w:val="en-GB"/>
        </w:rPr>
        <w:t>Tamburini et al., 2026; Uijt de Haag and Ale, 2005</w:t>
      </w:r>
      <w:r w:rsidR="00EB650E">
        <w:rPr>
          <w:lang w:val="en-GB"/>
        </w:rPr>
        <w:fldChar w:fldCharType="end"/>
      </w:r>
      <w:r w:rsidR="004736FB" w:rsidRPr="005C58FB">
        <w:rPr>
          <w:noProof/>
          <w:lang w:val="en-GB"/>
        </w:rPr>
        <w:t>)</w:t>
      </w:r>
      <w:r w:rsidR="00545151" w:rsidRPr="005C58FB">
        <w:rPr>
          <w:lang w:val="en-GB"/>
        </w:rPr>
        <w:t>.</w:t>
      </w:r>
      <w:r w:rsidR="007669F0" w:rsidRPr="005C58FB">
        <w:rPr>
          <w:lang w:val="en-GB"/>
        </w:rPr>
        <w:t xml:space="preserve"> </w:t>
      </w:r>
      <w:r w:rsidR="00A53BC5" w:rsidRPr="00896909">
        <w:rPr>
          <w:lang w:val="en-GB"/>
        </w:rPr>
        <w:t xml:space="preserve">In Step 3, </w:t>
      </w:r>
      <w:r w:rsidR="00650C6D" w:rsidRPr="00896909">
        <w:rPr>
          <w:lang w:val="en-GB"/>
        </w:rPr>
        <w:t xml:space="preserve">the consequences associated with the release modes assigned to each unit are evaluated. </w:t>
      </w:r>
      <w:r w:rsidR="00650C6D" w:rsidRPr="00650C6D">
        <w:rPr>
          <w:lang w:val="en-GB"/>
        </w:rPr>
        <w:t>Event-tree analysis is used to identify the accident scenarios associated with the considered release modes.</w:t>
      </w:r>
      <w:r w:rsidR="00650C6D">
        <w:rPr>
          <w:lang w:val="en-GB"/>
        </w:rPr>
        <w:t xml:space="preserve"> </w:t>
      </w:r>
      <w:r w:rsidR="00A53BC5">
        <w:rPr>
          <w:lang w:val="en-GB"/>
        </w:rPr>
        <w:t>F</w:t>
      </w:r>
      <w:r w:rsidR="006565A6" w:rsidRPr="006565A6">
        <w:rPr>
          <w:lang w:val="en-GB"/>
        </w:rPr>
        <w:t xml:space="preserve">or each combination of unit </w:t>
      </w:r>
      <m:oMath>
        <m:r>
          <w:rPr>
            <w:rFonts w:ascii="Cambria Math" w:hAnsi="Cambria Math"/>
            <w:lang w:val="en-GB"/>
          </w:rPr>
          <m:t>k</m:t>
        </m:r>
      </m:oMath>
      <w:r w:rsidR="006565A6" w:rsidRPr="006565A6">
        <w:rPr>
          <w:lang w:val="en-GB"/>
        </w:rPr>
        <w:t xml:space="preserve">, release mode </w:t>
      </w:r>
      <m:oMath>
        <m:r>
          <w:rPr>
            <w:rFonts w:ascii="Cambria Math" w:hAnsi="Cambria Math"/>
            <w:lang w:val="en-GB"/>
          </w:rPr>
          <m:t>l</m:t>
        </m:r>
      </m:oMath>
      <w:r w:rsidR="006565A6" w:rsidRPr="006565A6">
        <w:rPr>
          <w:lang w:val="en-GB"/>
        </w:rPr>
        <w:t xml:space="preserve">, and accident scenario </w:t>
      </w:r>
      <m:oMath>
        <m:r>
          <w:rPr>
            <w:rFonts w:ascii="Cambria Math" w:hAnsi="Cambria Math"/>
            <w:lang w:val="en-GB"/>
          </w:rPr>
          <m:t>r</m:t>
        </m:r>
      </m:oMath>
      <w:r w:rsidR="006565A6" w:rsidRPr="006565A6">
        <w:rPr>
          <w:lang w:val="en-GB"/>
        </w:rPr>
        <w:t xml:space="preserve">, the damage distance </w:t>
      </w:r>
      <m:oMath>
        <m:sSub>
          <m:sSubPr>
            <m:ctrlPr>
              <w:rPr>
                <w:rFonts w:ascii="Cambria Math" w:hAnsi="Cambria Math"/>
                <w:lang w:val="en-GB"/>
              </w:rPr>
            </m:ctrlPr>
          </m:sSubPr>
          <m:e>
            <m:r>
              <w:rPr>
                <w:rFonts w:ascii="Cambria Math" w:hAnsi="Cambria Math"/>
                <w:lang w:val="en-GB"/>
              </w:rPr>
              <m:t>d</m:t>
            </m:r>
          </m:e>
          <m:sub>
            <m:r>
              <w:rPr>
                <w:rFonts w:ascii="Cambria Math" w:hAnsi="Cambria Math"/>
                <w:lang w:val="en-GB"/>
              </w:rPr>
              <m:t>k,l,r</m:t>
            </m:r>
          </m:sub>
        </m:sSub>
      </m:oMath>
      <w:r w:rsidR="0045103B">
        <w:rPr>
          <w:lang w:val="en-GB"/>
        </w:rPr>
        <w:t xml:space="preserve"> </w:t>
      </w:r>
      <w:r w:rsidR="00CC468C" w:rsidRPr="00CC468C">
        <w:rPr>
          <w:lang w:val="en-GB"/>
        </w:rPr>
        <w:t>is determined as the distance at which the consequences of the</w:t>
      </w:r>
      <w:r w:rsidR="00A03291">
        <w:rPr>
          <w:lang w:val="en-GB"/>
        </w:rPr>
        <w:t xml:space="preserve"> </w:t>
      </w:r>
      <w:r w:rsidR="00CC468C" w:rsidRPr="00CC468C">
        <w:rPr>
          <w:lang w:val="en-GB"/>
        </w:rPr>
        <w:t>accident scenario reach the prescribed threshold value for the human target, depending on the hazardous phenomenon considered</w:t>
      </w:r>
      <w:r w:rsidR="002C3CE7">
        <w:rPr>
          <w:lang w:val="en-GB"/>
        </w:rPr>
        <w:t xml:space="preserve"> </w:t>
      </w:r>
      <w:r w:rsidR="00017432" w:rsidRPr="00017432">
        <w:rPr>
          <w:lang w:val="en-GB"/>
        </w:rPr>
        <w:t>(e.g., thermal radiation or explosion overpressure).</w:t>
      </w:r>
      <w:r w:rsidR="006565A6" w:rsidRPr="006565A6">
        <w:rPr>
          <w:lang w:val="en-GB"/>
        </w:rPr>
        <w:t xml:space="preserve"> Threshold criteria are adopted from </w:t>
      </w:r>
      <w:r w:rsidR="002C65FD">
        <w:rPr>
          <w:lang w:val="en-GB"/>
        </w:rPr>
        <w:fldChar w:fldCharType="begin" w:fldLock="1"/>
      </w:r>
      <w:r w:rsidR="004E091C">
        <w:rPr>
          <w:lang w:val="en-GB"/>
        </w:rPr>
        <w:instrText>ADDIN CSL_CITATION {"citationItems":[{"id":"ITEM-1","itemData":{"DOI":"https://doi.org/10.1002/aic.11315","abstract":"Abstract The availability of inherent safety drivers for early process design is a critical issue for the further development of the chemical and process industry. In this study, a consequence-based method for the inherent safety assessment of process alternatives was developed. Key performance indicators (KPIs) for inherent safety were defined and a procedure for their quantitative assessment was developed. A specific equipment classification and the related failure modes were identified, in order to define the potential accidental scenarios associated to each process unit. Rules for the calculation, by physical model runs, of the damage distances for conventional effects were also defined. Credit factors to account for the safety score of the different equipment classes were introduced. KPIs were defined by the combination of the expected damage distances and of credit factors. The methodology was demonstrated through a case study, and provided useful results both for the identification of safety critical units, and for the assessment of the inherent safety of alternative processes. The comparison of the results with those obtained from other literature methods for inherent safety assessment showed that the KPIs introduced allowed considering the hazards coming from auxiliary equipment, that are often overlooked in conventional inherent safety assessment methods. © 2007 American Institute of Chemical Engineers AIChE J, 2007","author":[{"dropping-particle":"","family":"Tugnoli","given":"Alessandro","non-dropping-particle":"","parse-names":false,"suffix":""},{"dropping-particle":"","family":"Cozzani","given":"Valerio","non-dropping-particle":"","parse-names":false,"suffix":""},{"dropping-particle":"","family":"Landucci","given":"Gabriele","non-dropping-particle":"","parse-names":false,"suffix":""}],"container-title":"AIChE Journal","id":"ITEM-1","issue":"12","issued":{"date-parts":[["2007"]]},"page":"3171-3182","title":"A consequence based approach to the quantitative assessment of inherent safety","type":"article-journal","volume":"53"},"uris":["http://www.mendeley.com/documents/?uuid=34d38f15-22af-40ad-964f-69eea075b42b"]}],"mendeley":{"formattedCitation":"(Tugnoli et al., 2007)","manualFormatting":"Tugnoli et al. (2007)","plainTextFormattedCitation":"(Tugnoli et al., 2007)","previouslyFormattedCitation":"(Tugnoli et al., 2007)"},"properties":{"noteIndex":0},"schema":"https://github.com/citation-style-language/schema/raw/master/csl-citation.json"}</w:instrText>
      </w:r>
      <w:r w:rsidR="002C65FD">
        <w:rPr>
          <w:lang w:val="en-GB"/>
        </w:rPr>
        <w:fldChar w:fldCharType="separate"/>
      </w:r>
      <w:r w:rsidR="002C65FD" w:rsidRPr="002C65FD">
        <w:rPr>
          <w:noProof/>
          <w:lang w:val="en-GB"/>
        </w:rPr>
        <w:t xml:space="preserve">Tugnoli et al. </w:t>
      </w:r>
      <w:r w:rsidR="00262067">
        <w:rPr>
          <w:noProof/>
          <w:lang w:val="en-GB"/>
        </w:rPr>
        <w:t>(</w:t>
      </w:r>
      <w:r w:rsidR="002C65FD" w:rsidRPr="002C65FD">
        <w:rPr>
          <w:noProof/>
          <w:lang w:val="en-GB"/>
        </w:rPr>
        <w:t>2007)</w:t>
      </w:r>
      <w:r w:rsidR="002C65FD">
        <w:rPr>
          <w:lang w:val="en-GB"/>
        </w:rPr>
        <w:fldChar w:fldCharType="end"/>
      </w:r>
      <w:r w:rsidR="006565A6" w:rsidRPr="006565A6">
        <w:rPr>
          <w:lang w:val="en-GB"/>
        </w:rPr>
        <w:t xml:space="preserve"> and correspond to the consequence level associated with 1</w:t>
      </w:r>
      <w:r w:rsidR="008E08F4">
        <w:rPr>
          <w:lang w:val="en-GB"/>
        </w:rPr>
        <w:t xml:space="preserve"> </w:t>
      </w:r>
      <w:r w:rsidR="006565A6" w:rsidRPr="006565A6">
        <w:rPr>
          <w:lang w:val="en-GB"/>
        </w:rPr>
        <w:t xml:space="preserve">% mortality for exposed individuals. Consequence modelling is performed using EFFECTS v.12.5.2 </w:t>
      </w:r>
      <w:r w:rsidR="004E091C">
        <w:rPr>
          <w:lang w:val="en-GB"/>
        </w:rPr>
        <w:fldChar w:fldCharType="begin" w:fldLock="1"/>
      </w:r>
      <w:r w:rsidR="00865F40">
        <w:rPr>
          <w:lang w:val="en-GB"/>
        </w:rPr>
        <w:instrText>ADDIN CSL_CITATION {"citationItems":[{"id":"ITEM-1","itemData":{"URL":"https://www.gexcon.com/software/effects/","author":[{"dropping-particle":"","family":"GEXCON","given":"","non-dropping-particle":"","parse-names":false,"suffix":""}],"id":"ITEM-1","issued":{"date-parts":[["2026"]]},"title":"EFFECTS. Consequence modelling software for safety and design optimisation.","type":"webpage"},"uris":["http://www.mendeley.com/documents/?uuid=5b25784a-f8d0-451e-99c3-a3e454136e59","http://www.mendeley.com/documents/?uuid=cf116329-e5ce-40ca-96fb-410fe1375f38"]}],"mendeley":{"formattedCitation":"(GEXCON, 2026)","plainTextFormattedCitation":"(GEXCON, 2026)","previouslyFormattedCitation":"(GEXCON, 2026)"},"properties":{"noteIndex":0},"schema":"https://github.com/citation-style-language/schema/raw/master/csl-citation.json"}</w:instrText>
      </w:r>
      <w:r w:rsidR="004E091C">
        <w:rPr>
          <w:lang w:val="en-GB"/>
        </w:rPr>
        <w:fldChar w:fldCharType="separate"/>
      </w:r>
      <w:r w:rsidR="004E091C" w:rsidRPr="004E091C">
        <w:rPr>
          <w:noProof/>
          <w:lang w:val="en-GB"/>
        </w:rPr>
        <w:t>(GEXCON, 2026)</w:t>
      </w:r>
      <w:r w:rsidR="004E091C">
        <w:rPr>
          <w:lang w:val="en-GB"/>
        </w:rPr>
        <w:fldChar w:fldCharType="end"/>
      </w:r>
      <w:r w:rsidR="00BE75B4">
        <w:rPr>
          <w:lang w:val="en-GB"/>
        </w:rPr>
        <w:t xml:space="preserve"> </w:t>
      </w:r>
      <w:r w:rsidR="006565A6" w:rsidRPr="006565A6">
        <w:rPr>
          <w:lang w:val="en-GB"/>
        </w:rPr>
        <w:t>under reference atmospheric conditions (wind speed 2 m</w:t>
      </w:r>
      <w:r w:rsidR="00BE75B4">
        <w:rPr>
          <w:lang w:val="en-GB"/>
        </w:rPr>
        <w:t xml:space="preserve"> s</w:t>
      </w:r>
      <w:r w:rsidR="00BE75B4" w:rsidRPr="00BE75B4">
        <w:rPr>
          <w:vertAlign w:val="superscript"/>
          <w:lang w:val="en-GB"/>
        </w:rPr>
        <w:t>-1</w:t>
      </w:r>
      <w:r w:rsidR="00BE75B4">
        <w:rPr>
          <w:lang w:val="en-GB"/>
        </w:rPr>
        <w:t xml:space="preserve">, </w:t>
      </w:r>
      <w:r w:rsidR="006565A6" w:rsidRPr="006565A6">
        <w:rPr>
          <w:lang w:val="en-GB"/>
        </w:rPr>
        <w:t>air temperature 20 °C, relative humidity 70</w:t>
      </w:r>
      <w:r w:rsidR="00BE75B4">
        <w:rPr>
          <w:lang w:val="en-GB"/>
        </w:rPr>
        <w:t xml:space="preserve"> </w:t>
      </w:r>
      <w:r w:rsidR="006565A6" w:rsidRPr="006565A6">
        <w:rPr>
          <w:lang w:val="en-GB"/>
        </w:rPr>
        <w:t>%, and surface roughness 0.17 m).</w:t>
      </w:r>
    </w:p>
    <w:p w14:paraId="7BB98894" w14:textId="7999446C" w:rsidR="00107FAB" w:rsidRDefault="00F26DCA" w:rsidP="005C5384">
      <w:pPr>
        <w:pStyle w:val="CETBodytext"/>
        <w:rPr>
          <w:lang w:val="en-GB"/>
        </w:rPr>
      </w:pPr>
      <w:r w:rsidRPr="00F26DCA">
        <w:rPr>
          <w:lang w:val="en-GB"/>
        </w:rPr>
        <w:t>The fourth step of the methodology defines unit-level inherent hazard indicators based on the computed damage distances and the credit factors associated with the release modes of each unit.</w:t>
      </w:r>
      <w:r w:rsidR="003038A1">
        <w:rPr>
          <w:lang w:val="en-GB"/>
        </w:rPr>
        <w:t xml:space="preserve"> </w:t>
      </w:r>
      <w:r w:rsidR="00274CD5">
        <w:rPr>
          <w:lang w:val="en-GB"/>
        </w:rPr>
        <w:t>Following</w:t>
      </w:r>
      <w:r w:rsidR="003038A1" w:rsidRPr="003038A1">
        <w:rPr>
          <w:lang w:val="en-GB"/>
        </w:rPr>
        <w:t xml:space="preserve"> the formulation proposed by </w:t>
      </w:r>
      <w:r w:rsidR="003038A1">
        <w:rPr>
          <w:lang w:val="en-GB"/>
        </w:rPr>
        <w:fldChar w:fldCharType="begin" w:fldLock="1"/>
      </w:r>
      <w:r w:rsidR="003038A1">
        <w:rPr>
          <w:lang w:val="en-GB"/>
        </w:rPr>
        <w:instrText>ADDIN CSL_CITATION {"citationItems":[{"id":"ITEM-1","itemData":{"DOI":"https://doi.org/10.1002/aic.11315","abstract":"Abstract The availability of inherent safety drivers for early process design is a critical issue for the further development of the chemical and process industry. In this study, a consequence-based method for the inherent safety assessment of process alternatives was developed. Key performance indicators (KPIs) for inherent safety were defined and a procedure for their quantitative assessment was developed. A specific equipment classification and the related failure modes were identified, in order to define the potential accidental scenarios associated to each process unit. Rules for the calculation, by physical model runs, of the damage distances for conventional effects were also defined. Credit factors to account for the safety score of the different equipment classes were introduced. KPIs were defined by the combination of the expected damage distances and of credit factors. The methodology was demonstrated through a case study, and provided useful results both for the identification of safety critical units, and for the assessment of the inherent safety of alternative processes. The comparison of the results with those obtained from other literature methods for inherent safety assessment showed that the KPIs introduced allowed considering the hazards coming from auxiliary equipment, that are often overlooked in conventional inherent safety assessment methods. © 2007 American Institute of Chemical Engineers AIChE J, 2007","author":[{"dropping-particle":"","family":"Tugnoli","given":"Alessandro","non-dropping-particle":"","parse-names":false,"suffix":""},{"dropping-particle":"","family":"Cozzani","given":"Valerio","non-dropping-particle":"","parse-names":false,"suffix":""},{"dropping-particle":"","family":"Landucci","given":"Gabriele","non-dropping-particle":"","parse-names":false,"suffix":""}],"container-title":"AIChE Journal","id":"ITEM-1","issue":"12","issued":{"date-parts":[["2007"]]},"page":"3171-3182","title":"A consequence based approach to the quantitative assessment of inherent safety","type":"article-journal","volume":"53"},"uris":["http://www.mendeley.com/documents/?uuid=34d38f15-22af-40ad-964f-69eea075b42b"]}],"mendeley":{"formattedCitation":"(Tugnoli et al., 2007)","manualFormatting":"Tugnoli et al. (2007)","plainTextFormattedCitation":"(Tugnoli et al., 2007)","previouslyFormattedCitation":"(Tugnoli et al., 2007)"},"properties":{"noteIndex":0},"schema":"https://github.com/citation-style-language/schema/raw/master/csl-citation.json"}</w:instrText>
      </w:r>
      <w:r w:rsidR="003038A1">
        <w:rPr>
          <w:lang w:val="en-GB"/>
        </w:rPr>
        <w:fldChar w:fldCharType="separate"/>
      </w:r>
      <w:r w:rsidR="003038A1" w:rsidRPr="002C65FD">
        <w:rPr>
          <w:noProof/>
          <w:lang w:val="en-GB"/>
        </w:rPr>
        <w:t xml:space="preserve">Tugnoli et al. </w:t>
      </w:r>
      <w:r w:rsidR="003038A1">
        <w:rPr>
          <w:noProof/>
          <w:lang w:val="en-GB"/>
        </w:rPr>
        <w:t>(</w:t>
      </w:r>
      <w:r w:rsidR="003038A1" w:rsidRPr="002C65FD">
        <w:rPr>
          <w:noProof/>
          <w:lang w:val="en-GB"/>
        </w:rPr>
        <w:t>2007)</w:t>
      </w:r>
      <w:r w:rsidR="003038A1">
        <w:rPr>
          <w:lang w:val="en-GB"/>
        </w:rPr>
        <w:fldChar w:fldCharType="end"/>
      </w:r>
      <w:r w:rsidR="003038A1" w:rsidRPr="003038A1">
        <w:rPr>
          <w:lang w:val="en-GB"/>
        </w:rPr>
        <w:t xml:space="preserve">, </w:t>
      </w:r>
      <w:r w:rsidR="004A3445" w:rsidRPr="004A3445">
        <w:rPr>
          <w:lang w:val="en-GB"/>
        </w:rPr>
        <w:t>two complementary metrics are introduced to represent potential</w:t>
      </w:r>
      <w:r w:rsidR="00C8451E">
        <w:rPr>
          <w:lang w:val="en-GB"/>
        </w:rPr>
        <w:t xml:space="preserve"> </w:t>
      </w:r>
      <w:r w:rsidR="004A3445" w:rsidRPr="004A3445">
        <w:rPr>
          <w:lang w:val="en-GB"/>
        </w:rPr>
        <w:t>consequence severity and a combined measure accounting for both consequence severity and accident scenario credibility.</w:t>
      </w:r>
    </w:p>
    <w:p w14:paraId="60DFAF86" w14:textId="1E6DF76B" w:rsidR="00355762" w:rsidRDefault="00113882" w:rsidP="005C5384">
      <w:pPr>
        <w:pStyle w:val="CETBodytext"/>
        <w:rPr>
          <w:lang w:val="en-GB"/>
        </w:rPr>
      </w:pPr>
      <w:r>
        <w:rPr>
          <w:lang w:val="en-GB"/>
        </w:rPr>
        <w:lastRenderedPageBreak/>
        <w:t>The unit potential hazard index (</w:t>
      </w:r>
      <w:r w:rsidRPr="007E1195">
        <w:rPr>
          <w:i/>
          <w:iCs/>
          <w:lang w:val="en-GB"/>
        </w:rPr>
        <w:t>UPI</w:t>
      </w:r>
      <w:r>
        <w:rPr>
          <w:lang w:val="en-GB"/>
        </w:rPr>
        <w:t xml:space="preserve">) </w:t>
      </w:r>
      <w:r w:rsidR="0091448C" w:rsidRPr="0091448C">
        <w:rPr>
          <w:lang w:val="en-GB"/>
        </w:rPr>
        <w:t xml:space="preserve">quantifies the </w:t>
      </w:r>
      <w:r w:rsidR="00A44C5D">
        <w:rPr>
          <w:lang w:val="en-GB"/>
        </w:rPr>
        <w:t>largest consequence footprint</w:t>
      </w:r>
      <w:r w:rsidR="0091448C" w:rsidRPr="0091448C">
        <w:rPr>
          <w:lang w:val="en-GB"/>
        </w:rPr>
        <w:t xml:space="preserve"> </w:t>
      </w:r>
      <w:r w:rsidR="00A44C5D">
        <w:rPr>
          <w:lang w:val="en-GB"/>
        </w:rPr>
        <w:t>that</w:t>
      </w:r>
      <w:r w:rsidR="0091448C" w:rsidRPr="0091448C">
        <w:rPr>
          <w:lang w:val="en-GB"/>
        </w:rPr>
        <w:t xml:space="preserve"> unit </w:t>
      </w:r>
      <m:oMath>
        <m:r>
          <w:rPr>
            <w:rFonts w:ascii="Cambria Math" w:hAnsi="Cambria Math"/>
            <w:lang w:val="en-GB"/>
          </w:rPr>
          <m:t>k</m:t>
        </m:r>
      </m:oMath>
      <w:r w:rsidR="00A44C5D">
        <w:rPr>
          <w:lang w:val="en-GB"/>
        </w:rPr>
        <w:t xml:space="preserve"> can generate</w:t>
      </w:r>
      <w:r w:rsidR="0091448C" w:rsidRPr="0091448C">
        <w:rPr>
          <w:lang w:val="en-GB"/>
        </w:rPr>
        <w:t xml:space="preserve">, </w:t>
      </w:r>
      <w:r w:rsidR="00A44C5D">
        <w:rPr>
          <w:lang w:val="en-GB"/>
        </w:rPr>
        <w:t>irrespective of the credibility of the associated release modes</w:t>
      </w:r>
      <w:r w:rsidR="0091448C" w:rsidRPr="0091448C">
        <w:rPr>
          <w:lang w:val="en-GB"/>
        </w:rPr>
        <w:t>:</w:t>
      </w:r>
    </w:p>
    <w:tbl>
      <w:tblPr>
        <w:tblW w:w="5000" w:type="pct"/>
        <w:tblLook w:val="04A0" w:firstRow="1" w:lastRow="0" w:firstColumn="1" w:lastColumn="0" w:noHBand="0" w:noVBand="1"/>
      </w:tblPr>
      <w:tblGrid>
        <w:gridCol w:w="7983"/>
        <w:gridCol w:w="804"/>
      </w:tblGrid>
      <w:tr w:rsidR="00CF0B02" w:rsidRPr="00B57B36" w14:paraId="1331060B" w14:textId="77777777" w:rsidTr="00303507">
        <w:tc>
          <w:tcPr>
            <w:tcW w:w="8188" w:type="dxa"/>
            <w:vAlign w:val="center"/>
          </w:tcPr>
          <w:p w14:paraId="2FF295C1" w14:textId="72DEC613" w:rsidR="00CF0B02" w:rsidRPr="00404D27" w:rsidRDefault="00000000" w:rsidP="00733D1B">
            <w:pPr>
              <w:pStyle w:val="CETEquation"/>
              <w:rPr>
                <w:i/>
                <w:iCs/>
                <w:lang w:val="nb-NO"/>
              </w:rPr>
            </w:pPr>
            <m:oMathPara>
              <m:oMathParaPr>
                <m:jc m:val="left"/>
              </m:oMathParaPr>
              <m:oMath>
                <m:sSub>
                  <m:sSubPr>
                    <m:ctrlPr>
                      <w:rPr>
                        <w:rFonts w:ascii="Cambria Math" w:hAnsi="Cambria Math"/>
                        <w:i/>
                        <w:iCs/>
                      </w:rPr>
                    </m:ctrlPr>
                  </m:sSubPr>
                  <m:e>
                    <m:r>
                      <w:rPr>
                        <w:rFonts w:ascii="Cambria Math" w:hAnsi="Cambria Math"/>
                        <w:lang w:val="nb-NO"/>
                      </w:rPr>
                      <m:t>UPI</m:t>
                    </m:r>
                  </m:e>
                  <m:sub>
                    <m:r>
                      <w:rPr>
                        <w:rFonts w:ascii="Cambria Math" w:hAnsi="Cambria Math"/>
                        <w:lang w:val="nb-NO"/>
                      </w:rPr>
                      <m:t>k</m:t>
                    </m:r>
                  </m:sub>
                </m:sSub>
                <m:r>
                  <w:rPr>
                    <w:rFonts w:ascii="Cambria Math" w:hAnsi="Cambria Math"/>
                    <w:lang w:val="nb-NO"/>
                  </w:rPr>
                  <m:t>=</m:t>
                </m:r>
                <m:r>
                  <w:rPr>
                    <w:rFonts w:ascii="Cambria Math" w:hAnsi="Cambria Math"/>
                  </w:rPr>
                  <m:t>π</m:t>
                </m:r>
                <m:func>
                  <m:funcPr>
                    <m:ctrlPr>
                      <w:rPr>
                        <w:rFonts w:ascii="Cambria Math" w:hAnsi="Cambria Math"/>
                        <w:i/>
                        <w:iCs/>
                      </w:rPr>
                    </m:ctrlPr>
                  </m:funcPr>
                  <m:fName>
                    <m:limLow>
                      <m:limLowPr>
                        <m:ctrlPr>
                          <w:rPr>
                            <w:rFonts w:ascii="Cambria Math" w:hAnsi="Cambria Math"/>
                            <w:i/>
                            <w:iCs/>
                          </w:rPr>
                        </m:ctrlPr>
                      </m:limLowPr>
                      <m:e>
                        <m:r>
                          <w:rPr>
                            <w:rFonts w:ascii="Cambria Math" w:hAnsi="Cambria Math"/>
                            <w:lang w:val="nb-NO"/>
                          </w:rPr>
                          <m:t>max</m:t>
                        </m:r>
                      </m:e>
                      <m:lim>
                        <m:r>
                          <w:rPr>
                            <w:rFonts w:ascii="Cambria Math" w:hAnsi="Cambria Math"/>
                            <w:lang w:val="nb-NO"/>
                          </w:rPr>
                          <m:t>l,r</m:t>
                        </m:r>
                      </m:lim>
                    </m:limLow>
                  </m:fName>
                  <m:e>
                    <m:d>
                      <m:dPr>
                        <m:ctrlPr>
                          <w:rPr>
                            <w:rFonts w:ascii="Cambria Math" w:hAnsi="Cambria Math"/>
                            <w:i/>
                            <w:iCs/>
                          </w:rPr>
                        </m:ctrlPr>
                      </m:dPr>
                      <m:e>
                        <m:sSubSup>
                          <m:sSubSupPr>
                            <m:ctrlPr>
                              <w:rPr>
                                <w:rFonts w:ascii="Cambria Math" w:hAnsi="Cambria Math"/>
                                <w:i/>
                                <w:iCs/>
                              </w:rPr>
                            </m:ctrlPr>
                          </m:sSubSupPr>
                          <m:e>
                            <m:r>
                              <w:rPr>
                                <w:rFonts w:ascii="Cambria Math" w:hAnsi="Cambria Math"/>
                                <w:lang w:val="nb-NO"/>
                              </w:rPr>
                              <m:t>d</m:t>
                            </m:r>
                          </m:e>
                          <m:sub>
                            <m:r>
                              <w:rPr>
                                <w:rFonts w:ascii="Cambria Math" w:hAnsi="Cambria Math"/>
                                <w:lang w:val="nb-NO"/>
                              </w:rPr>
                              <m:t>k,l,r</m:t>
                            </m:r>
                          </m:sub>
                          <m:sup>
                            <m:r>
                              <w:rPr>
                                <w:rFonts w:ascii="Cambria Math" w:hAnsi="Cambria Math"/>
                                <w:lang w:val="nb-NO"/>
                              </w:rPr>
                              <m:t>2</m:t>
                            </m:r>
                          </m:sup>
                        </m:sSubSup>
                      </m:e>
                    </m:d>
                  </m:e>
                </m:func>
              </m:oMath>
            </m:oMathPara>
          </w:p>
        </w:tc>
        <w:tc>
          <w:tcPr>
            <w:tcW w:w="815" w:type="dxa"/>
            <w:vAlign w:val="center"/>
          </w:tcPr>
          <w:p w14:paraId="0867DA5E" w14:textId="77777777" w:rsidR="00CF0B02" w:rsidRPr="00B57B36" w:rsidRDefault="00CF0B02" w:rsidP="00303507">
            <w:pPr>
              <w:pStyle w:val="CETEquation"/>
              <w:jc w:val="right"/>
            </w:pPr>
            <w:r w:rsidRPr="00B57B36">
              <w:t>(1)</w:t>
            </w:r>
          </w:p>
        </w:tc>
      </w:tr>
    </w:tbl>
    <w:p w14:paraId="44A52A98" w14:textId="5FC47A8E" w:rsidR="004110BD" w:rsidRDefault="00D37350" w:rsidP="005C5384">
      <w:pPr>
        <w:pStyle w:val="CETBodytext"/>
        <w:rPr>
          <w:lang w:val="en-GB"/>
        </w:rPr>
      </w:pPr>
      <w:r>
        <w:rPr>
          <w:lang w:val="en-GB"/>
        </w:rPr>
        <w:t xml:space="preserve">where </w:t>
      </w:r>
      <w:r w:rsidR="00A44C5D">
        <w:rPr>
          <w:lang w:val="en-GB"/>
        </w:rPr>
        <w:t xml:space="preserve">the maximum is taken over all release modes </w:t>
      </w:r>
      <m:oMath>
        <m:r>
          <w:rPr>
            <w:rFonts w:ascii="Cambria Math" w:hAnsi="Cambria Math"/>
            <w:lang w:val="en-GB"/>
          </w:rPr>
          <m:t>l</m:t>
        </m:r>
      </m:oMath>
      <w:r w:rsidR="00A44C5D">
        <w:rPr>
          <w:lang w:val="en-GB"/>
        </w:rPr>
        <w:t xml:space="preserve"> and the corresponding accident scenarios </w:t>
      </w:r>
      <m:oMath>
        <m:r>
          <w:rPr>
            <w:rFonts w:ascii="Cambria Math" w:hAnsi="Cambria Math"/>
            <w:lang w:val="en-GB"/>
          </w:rPr>
          <m:t>r</m:t>
        </m:r>
      </m:oMath>
      <w:r w:rsidR="00A44C5D">
        <w:rPr>
          <w:lang w:val="en-GB"/>
        </w:rPr>
        <w:t>.</w:t>
      </w:r>
    </w:p>
    <w:p w14:paraId="04FFDD55" w14:textId="03617761" w:rsidR="000818CE" w:rsidRDefault="000818CE" w:rsidP="005C5384">
      <w:pPr>
        <w:pStyle w:val="CETBodytext"/>
        <w:rPr>
          <w:lang w:val="en-GB"/>
        </w:rPr>
      </w:pPr>
      <w:r>
        <w:rPr>
          <w:lang w:val="en-GB"/>
        </w:rPr>
        <w:t xml:space="preserve">By contrast, the unit </w:t>
      </w:r>
      <w:r w:rsidR="00B12D2A">
        <w:rPr>
          <w:lang w:val="en-GB"/>
        </w:rPr>
        <w:t xml:space="preserve">inherent </w:t>
      </w:r>
      <w:r>
        <w:rPr>
          <w:lang w:val="en-GB"/>
        </w:rPr>
        <w:t>hazard index (</w:t>
      </w:r>
      <w:r w:rsidRPr="007E1195">
        <w:rPr>
          <w:i/>
          <w:iCs/>
          <w:lang w:val="en-GB"/>
        </w:rPr>
        <w:t>UHI</w:t>
      </w:r>
      <w:r>
        <w:rPr>
          <w:lang w:val="en-GB"/>
        </w:rPr>
        <w:t xml:space="preserve">) accounts for the credibility of the release modes through credit factors </w:t>
      </w:r>
      <m:oMath>
        <m:r>
          <w:rPr>
            <w:rFonts w:ascii="Cambria Math" w:hAnsi="Cambria Math"/>
          </w:rPr>
          <m:t>c</m:t>
        </m:r>
        <m:sSub>
          <m:sSubPr>
            <m:ctrlPr>
              <w:rPr>
                <w:rFonts w:ascii="Cambria Math" w:hAnsi="Cambria Math"/>
              </w:rPr>
            </m:ctrlPr>
          </m:sSubPr>
          <m:e>
            <m:r>
              <w:rPr>
                <w:rFonts w:ascii="Cambria Math" w:hAnsi="Cambria Math"/>
              </w:rPr>
              <m:t>f</m:t>
            </m:r>
          </m:e>
          <m:sub>
            <m:r>
              <w:rPr>
                <w:rFonts w:ascii="Cambria Math" w:hAnsi="Cambria Math"/>
              </w:rPr>
              <m:t>k,l</m:t>
            </m:r>
          </m:sub>
        </m:sSub>
      </m:oMath>
      <w:r>
        <w:t xml:space="preserve">, </w:t>
      </w:r>
      <w:r w:rsidR="00D94099">
        <w:t>thereby</w:t>
      </w:r>
      <w:r>
        <w:t xml:space="preserve"> weighting consequence severity </w:t>
      </w:r>
      <w:r w:rsidR="00D94099">
        <w:t>according to</w:t>
      </w:r>
      <w:r>
        <w:t xml:space="preserve"> the credibility assigned to each release mode:</w:t>
      </w:r>
    </w:p>
    <w:tbl>
      <w:tblPr>
        <w:tblW w:w="5000" w:type="pct"/>
        <w:tblLook w:val="04A0" w:firstRow="1" w:lastRow="0" w:firstColumn="1" w:lastColumn="0" w:noHBand="0" w:noVBand="1"/>
      </w:tblPr>
      <w:tblGrid>
        <w:gridCol w:w="7985"/>
        <w:gridCol w:w="802"/>
      </w:tblGrid>
      <w:tr w:rsidR="00733D1B" w:rsidRPr="00B57B36" w14:paraId="17902FF4" w14:textId="77777777" w:rsidTr="007E1195">
        <w:tc>
          <w:tcPr>
            <w:tcW w:w="7985" w:type="dxa"/>
            <w:vAlign w:val="center"/>
          </w:tcPr>
          <w:p w14:paraId="091CEA35" w14:textId="16A6320B" w:rsidR="00733D1B" w:rsidRPr="004628AF" w:rsidRDefault="00000000" w:rsidP="004628AF">
            <w:pPr>
              <w:pStyle w:val="CETEquation"/>
              <w:rPr>
                <w:i/>
                <w:iCs/>
              </w:rPr>
            </w:pPr>
            <m:oMathPara>
              <m:oMathParaPr>
                <m:jc m:val="left"/>
              </m:oMathParaPr>
              <m:oMath>
                <m:sSub>
                  <m:sSubPr>
                    <m:ctrlPr>
                      <w:rPr>
                        <w:rFonts w:ascii="Cambria Math" w:hAnsi="Cambria Math"/>
                        <w:i/>
                        <w:iCs/>
                      </w:rPr>
                    </m:ctrlPr>
                  </m:sSubPr>
                  <m:e>
                    <m:r>
                      <w:rPr>
                        <w:rFonts w:ascii="Cambria Math" w:hAnsi="Cambria Math"/>
                      </w:rPr>
                      <m:t>UHI</m:t>
                    </m:r>
                  </m:e>
                  <m:sub>
                    <m:r>
                      <w:rPr>
                        <w:rFonts w:ascii="Cambria Math" w:hAnsi="Cambria Math"/>
                      </w:rPr>
                      <m:t>k</m:t>
                    </m:r>
                  </m:sub>
                </m:sSub>
                <m:r>
                  <w:rPr>
                    <w:rFonts w:ascii="Cambria Math" w:hAnsi="Cambria Math"/>
                  </w:rPr>
                  <m:t>=π</m:t>
                </m:r>
                <m:nary>
                  <m:naryPr>
                    <m:chr m:val="∑"/>
                    <m:limLoc m:val="undOvr"/>
                    <m:ctrlPr>
                      <w:rPr>
                        <w:rFonts w:ascii="Cambria Math" w:hAnsi="Cambria Math"/>
                        <w:i/>
                        <w:iCs/>
                      </w:rPr>
                    </m:ctrlPr>
                  </m:naryPr>
                  <m:sub>
                    <m:r>
                      <w:rPr>
                        <w:rFonts w:ascii="Cambria Math" w:hAnsi="Cambria Math"/>
                      </w:rPr>
                      <m:t>l=1</m:t>
                    </m:r>
                  </m:sub>
                  <m:sup>
                    <m:sSub>
                      <m:sSubPr>
                        <m:ctrlPr>
                          <w:rPr>
                            <w:rFonts w:ascii="Cambria Math" w:hAnsi="Cambria Math"/>
                            <w:i/>
                            <w:iCs/>
                          </w:rPr>
                        </m:ctrlPr>
                      </m:sSubPr>
                      <m:e>
                        <m:r>
                          <w:rPr>
                            <w:rFonts w:ascii="Cambria Math" w:hAnsi="Cambria Math"/>
                          </w:rPr>
                          <m:t>N</m:t>
                        </m:r>
                      </m:e>
                      <m:sub>
                        <m:r>
                          <w:rPr>
                            <w:rFonts w:ascii="Cambria Math" w:hAnsi="Cambria Math"/>
                          </w:rPr>
                          <m:t>RM</m:t>
                        </m:r>
                      </m:sub>
                    </m:sSub>
                  </m:sup>
                  <m:e>
                    <m:sSub>
                      <m:sSubPr>
                        <m:ctrlPr>
                          <w:rPr>
                            <w:rFonts w:ascii="Cambria Math" w:hAnsi="Cambria Math"/>
                            <w:i/>
                            <w:iCs/>
                          </w:rPr>
                        </m:ctrlPr>
                      </m:sSubPr>
                      <m:e>
                        <m:r>
                          <w:rPr>
                            <w:rFonts w:ascii="Cambria Math" w:hAnsi="Cambria Math"/>
                          </w:rPr>
                          <m:t>cf</m:t>
                        </m:r>
                      </m:e>
                      <m:sub>
                        <m:r>
                          <w:rPr>
                            <w:rFonts w:ascii="Cambria Math" w:hAnsi="Cambria Math"/>
                          </w:rPr>
                          <m:t>k,l</m:t>
                        </m:r>
                      </m:sub>
                    </m:sSub>
                  </m:e>
                </m:nary>
                <m:func>
                  <m:funcPr>
                    <m:ctrlPr>
                      <w:rPr>
                        <w:rFonts w:ascii="Cambria Math" w:hAnsi="Cambria Math"/>
                        <w:i/>
                        <w:iCs/>
                      </w:rPr>
                    </m:ctrlPr>
                  </m:funcPr>
                  <m:fName>
                    <m:limLow>
                      <m:limLowPr>
                        <m:ctrlPr>
                          <w:rPr>
                            <w:rFonts w:ascii="Cambria Math" w:hAnsi="Cambria Math"/>
                            <w:i/>
                            <w:iCs/>
                          </w:rPr>
                        </m:ctrlPr>
                      </m:limLowPr>
                      <m:e>
                        <m:r>
                          <w:rPr>
                            <w:rFonts w:ascii="Cambria Math" w:hAnsi="Cambria Math"/>
                          </w:rPr>
                          <m:t>max</m:t>
                        </m:r>
                      </m:e>
                      <m:lim>
                        <m:r>
                          <w:rPr>
                            <w:rFonts w:ascii="Cambria Math" w:hAnsi="Cambria Math"/>
                          </w:rPr>
                          <m:t>r</m:t>
                        </m:r>
                      </m:lim>
                    </m:limLow>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d</m:t>
                            </m:r>
                          </m:e>
                          <m:sub>
                            <m:r>
                              <w:rPr>
                                <w:rFonts w:ascii="Cambria Math" w:hAnsi="Cambria Math"/>
                              </w:rPr>
                              <m:t>k,l,r</m:t>
                            </m:r>
                          </m:sub>
                          <m:sup>
                            <m:r>
                              <w:rPr>
                                <w:rFonts w:ascii="Cambria Math" w:hAnsi="Cambria Math"/>
                              </w:rPr>
                              <m:t>2</m:t>
                            </m:r>
                          </m:sup>
                        </m:sSubSup>
                      </m:e>
                    </m:d>
                  </m:e>
                </m:func>
              </m:oMath>
            </m:oMathPara>
          </w:p>
        </w:tc>
        <w:tc>
          <w:tcPr>
            <w:tcW w:w="802" w:type="dxa"/>
            <w:vAlign w:val="center"/>
          </w:tcPr>
          <w:p w14:paraId="3551A0BD" w14:textId="6C2A6FA8" w:rsidR="00733D1B" w:rsidRPr="00B57B36" w:rsidRDefault="00733D1B" w:rsidP="00303507">
            <w:pPr>
              <w:pStyle w:val="CETEquation"/>
              <w:jc w:val="right"/>
            </w:pPr>
            <w:r w:rsidRPr="00B57B36">
              <w:t>(</w:t>
            </w:r>
            <w:r>
              <w:t>2</w:t>
            </w:r>
            <w:r w:rsidRPr="00B57B36">
              <w:t>)</w:t>
            </w:r>
          </w:p>
        </w:tc>
      </w:tr>
    </w:tbl>
    <w:p w14:paraId="250B7D19" w14:textId="6888B60C" w:rsidR="004628AF" w:rsidRDefault="0055325C" w:rsidP="005C5384">
      <w:pPr>
        <w:pStyle w:val="CETBodytext"/>
        <w:rPr>
          <w:lang w:val="en-GB"/>
        </w:rPr>
      </w:pPr>
      <w:r w:rsidRPr="0055325C">
        <w:rPr>
          <w:lang w:val="en-GB"/>
        </w:rPr>
        <w:t>Unit-level indices are subsequently aggregated within each stage of the hydrogen supply chain — on-site operations (</w:t>
      </w:r>
      <m:oMath>
        <m:r>
          <w:rPr>
            <w:rFonts w:ascii="Cambria Math" w:hAnsi="Cambria Math"/>
            <w:lang w:val="en-GB"/>
          </w:rPr>
          <m:t>O</m:t>
        </m:r>
      </m:oMath>
      <w:r w:rsidRPr="0055325C">
        <w:rPr>
          <w:lang w:val="en-GB"/>
        </w:rPr>
        <w:t>), transport (</w:t>
      </w:r>
      <m:oMath>
        <m:r>
          <w:rPr>
            <w:rFonts w:ascii="Cambria Math" w:hAnsi="Cambria Math"/>
            <w:lang w:val="en-GB"/>
          </w:rPr>
          <m:t>T</m:t>
        </m:r>
      </m:oMath>
      <w:r w:rsidRPr="0055325C">
        <w:rPr>
          <w:lang w:val="en-GB"/>
        </w:rPr>
        <w:t>), and centralised operations (</w:t>
      </w:r>
      <m:oMath>
        <m:r>
          <w:rPr>
            <w:rFonts w:ascii="Cambria Math" w:hAnsi="Cambria Math"/>
            <w:lang w:val="en-GB"/>
          </w:rPr>
          <m:t>C</m:t>
        </m:r>
      </m:oMath>
      <w:r w:rsidRPr="0055325C">
        <w:rPr>
          <w:lang w:val="en-GB"/>
        </w:rPr>
        <w:t>) — to obtain stage-level inherent safety indices. For each stage, the corresponding stage</w:t>
      </w:r>
      <w:r w:rsidR="00FF290E">
        <w:rPr>
          <w:lang w:val="en-GB"/>
        </w:rPr>
        <w:t>-level</w:t>
      </w:r>
      <w:r w:rsidRPr="0055325C">
        <w:rPr>
          <w:lang w:val="en-GB"/>
        </w:rPr>
        <w:t xml:space="preserve"> </w:t>
      </w:r>
      <w:r w:rsidR="00EA61D2">
        <w:rPr>
          <w:lang w:val="en-GB"/>
        </w:rPr>
        <w:t xml:space="preserve">inherent safety </w:t>
      </w:r>
      <w:r w:rsidRPr="0055325C">
        <w:rPr>
          <w:lang w:val="en-GB"/>
        </w:rPr>
        <w:t>index</w:t>
      </w:r>
      <w:r w:rsidR="00FF290E">
        <w:rPr>
          <w:lang w:val="en-GB"/>
        </w:rPr>
        <w:t>,</w:t>
      </w:r>
      <w:r w:rsidRPr="0055325C">
        <w:rPr>
          <w:lang w:val="en-GB"/>
        </w:rPr>
        <w:t xml:space="preserve"> </w:t>
      </w:r>
      <m:oMath>
        <m:sSubSup>
          <m:sSubSupPr>
            <m:ctrlPr>
              <w:rPr>
                <w:rFonts w:ascii="Cambria Math" w:hAnsi="Cambria Math"/>
                <w:i/>
                <w:lang w:val="en-GB"/>
              </w:rPr>
            </m:ctrlPr>
          </m:sSubSupPr>
          <m:e>
            <m:r>
              <w:rPr>
                <w:rFonts w:ascii="Cambria Math" w:hAnsi="Cambria Math"/>
                <w:lang w:val="en-GB"/>
              </w:rPr>
              <m:t>ISI</m:t>
            </m:r>
          </m:e>
          <m:sub>
            <m:r>
              <w:rPr>
                <w:rFonts w:ascii="Cambria Math" w:hAnsi="Cambria Math"/>
                <w:lang w:val="en-GB"/>
              </w:rPr>
              <m:t>X</m:t>
            </m:r>
          </m:sub>
          <m:sup>
            <m:d>
              <m:dPr>
                <m:ctrlPr>
                  <w:rPr>
                    <w:rFonts w:ascii="Cambria Math" w:hAnsi="Cambria Math"/>
                    <w:i/>
                    <w:lang w:val="en-GB"/>
                  </w:rPr>
                </m:ctrlPr>
              </m:dPr>
              <m:e>
                <m:r>
                  <w:rPr>
                    <w:rFonts w:ascii="Cambria Math" w:hAnsi="Cambria Math"/>
                    <w:lang w:val="en-GB"/>
                  </w:rPr>
                  <m:t>St</m:t>
                </m:r>
              </m:e>
            </m:d>
          </m:sup>
        </m:sSubSup>
      </m:oMath>
      <w:r w:rsidR="00FF290E">
        <w:rPr>
          <w:lang w:val="en-GB"/>
        </w:rPr>
        <w:t>,</w:t>
      </w:r>
      <w:r w:rsidR="000B38B7">
        <w:rPr>
          <w:lang w:val="en-GB"/>
        </w:rPr>
        <w:t xml:space="preserve"> </w:t>
      </w:r>
      <w:r w:rsidRPr="0055325C">
        <w:rPr>
          <w:lang w:val="en-GB"/>
        </w:rPr>
        <w:t xml:space="preserve">represents the sum of the unit-level indicators belonging to that stage, where </w:t>
      </w:r>
      <m:oMath>
        <m:r>
          <w:rPr>
            <w:rFonts w:ascii="Cambria Math" w:hAnsi="Cambria Math"/>
            <w:lang w:val="en-GB"/>
          </w:rPr>
          <m:t>X∈{O,T,C}</m:t>
        </m:r>
      </m:oMath>
      <w:r w:rsidRPr="0055325C">
        <w:rPr>
          <w:lang w:val="en-GB"/>
        </w:rPr>
        <w:t>.</w:t>
      </w:r>
    </w:p>
    <w:p w14:paraId="7D28AF95" w14:textId="76DC7F40" w:rsidR="0055325C" w:rsidRDefault="00BF282C" w:rsidP="005C5384">
      <w:pPr>
        <w:pStyle w:val="CETBodytext"/>
        <w:rPr>
          <w:lang w:val="en-GB"/>
        </w:rPr>
      </w:pPr>
      <w:r w:rsidRPr="00BF282C">
        <w:rPr>
          <w:lang w:val="en-GB"/>
        </w:rPr>
        <w:t xml:space="preserve">The overall inherent safety index for a given hydrogen supply </w:t>
      </w:r>
      <w:r w:rsidR="002B0B1B">
        <w:rPr>
          <w:lang w:val="en-GB"/>
        </w:rPr>
        <w:t>chain</w:t>
      </w:r>
      <w:r w:rsidR="00193D31">
        <w:rPr>
          <w:lang w:val="en-GB"/>
        </w:rPr>
        <w:t xml:space="preserve">, </w:t>
      </w:r>
      <m:oMath>
        <m:sSup>
          <m:sSupPr>
            <m:ctrlPr>
              <w:rPr>
                <w:rFonts w:ascii="Cambria Math" w:hAnsi="Cambria Math"/>
                <w:i/>
                <w:iCs/>
              </w:rPr>
            </m:ctrlPr>
          </m:sSupPr>
          <m:e>
            <m:r>
              <w:rPr>
                <w:rFonts w:ascii="Cambria Math" w:hAnsi="Cambria Math"/>
              </w:rPr>
              <m:t>ISI</m:t>
            </m:r>
          </m:e>
          <m:sup>
            <m:r>
              <w:rPr>
                <w:rFonts w:ascii="Cambria Math" w:hAnsi="Cambria Math"/>
              </w:rPr>
              <m:t>(SC)</m:t>
            </m:r>
          </m:sup>
        </m:sSup>
      </m:oMath>
      <w:r w:rsidR="00CD1B0C">
        <w:rPr>
          <w:iCs/>
        </w:rPr>
        <w:t>,</w:t>
      </w:r>
      <w:r w:rsidRPr="00BF282C">
        <w:rPr>
          <w:lang w:val="en-GB"/>
        </w:rPr>
        <w:t xml:space="preserve"> is calculated on a </w:t>
      </w:r>
      <w:r w:rsidR="00704D21">
        <w:rPr>
          <w:lang w:val="en-GB"/>
        </w:rPr>
        <w:t>per-site</w:t>
      </w:r>
      <w:r w:rsidRPr="00BF282C">
        <w:rPr>
          <w:lang w:val="en-GB"/>
        </w:rPr>
        <w:t xml:space="preserve"> basis as follows:</w:t>
      </w:r>
    </w:p>
    <w:tbl>
      <w:tblPr>
        <w:tblW w:w="5000" w:type="pct"/>
        <w:tblLook w:val="04A0" w:firstRow="1" w:lastRow="0" w:firstColumn="1" w:lastColumn="0" w:noHBand="0" w:noVBand="1"/>
      </w:tblPr>
      <w:tblGrid>
        <w:gridCol w:w="7985"/>
        <w:gridCol w:w="802"/>
      </w:tblGrid>
      <w:tr w:rsidR="004C0509" w:rsidRPr="00B57B36" w14:paraId="7E0E391D" w14:textId="77777777" w:rsidTr="00A83125">
        <w:tc>
          <w:tcPr>
            <w:tcW w:w="7985" w:type="dxa"/>
            <w:vAlign w:val="center"/>
          </w:tcPr>
          <w:p w14:paraId="4C2CDB3B" w14:textId="2E4DFF4C" w:rsidR="004C0509" w:rsidRPr="00075333" w:rsidRDefault="00000000" w:rsidP="00075333">
            <w:pPr>
              <w:pStyle w:val="CETEquation"/>
              <w:rPr>
                <w:i/>
                <w:iCs/>
              </w:rPr>
            </w:pPr>
            <m:oMathPara>
              <m:oMathParaPr>
                <m:jc m:val="left"/>
              </m:oMathParaPr>
              <m:oMath>
                <m:sSup>
                  <m:sSupPr>
                    <m:ctrlPr>
                      <w:rPr>
                        <w:rFonts w:ascii="Cambria Math" w:hAnsi="Cambria Math"/>
                        <w:i/>
                        <w:iCs/>
                      </w:rPr>
                    </m:ctrlPr>
                  </m:sSupPr>
                  <m:e>
                    <m:r>
                      <w:rPr>
                        <w:rFonts w:ascii="Cambria Math" w:hAnsi="Cambria Math"/>
                      </w:rPr>
                      <m:t>ISI</m:t>
                    </m:r>
                  </m:e>
                  <m:sup>
                    <m:r>
                      <w:rPr>
                        <w:rFonts w:ascii="Cambria Math" w:hAnsi="Cambria Math"/>
                      </w:rPr>
                      <m:t>(SC)</m:t>
                    </m:r>
                  </m:sup>
                </m:sSup>
                <m:r>
                  <w:rPr>
                    <w:rFonts w:ascii="Cambria Math" w:hAnsi="Cambria Math"/>
                  </w:rPr>
                  <m:t>=</m:t>
                </m:r>
                <m:f>
                  <m:fPr>
                    <m:ctrlPr>
                      <w:rPr>
                        <w:rFonts w:ascii="Cambria Math" w:hAnsi="Cambria Math"/>
                        <w:i/>
                        <w:iCs/>
                      </w:rPr>
                    </m:ctrlPr>
                  </m:fPr>
                  <m:num>
                    <m:sSubSup>
                      <m:sSubSupPr>
                        <m:ctrlPr>
                          <w:rPr>
                            <w:rFonts w:ascii="Cambria Math" w:hAnsi="Cambria Math"/>
                            <w:i/>
                            <w:iCs/>
                          </w:rPr>
                        </m:ctrlPr>
                      </m:sSubSupPr>
                      <m:e>
                        <m:r>
                          <w:rPr>
                            <w:rFonts w:ascii="Cambria Math" w:hAnsi="Cambria Math"/>
                          </w:rPr>
                          <m:t>ISI</m:t>
                        </m:r>
                      </m:e>
                      <m:sub>
                        <m:r>
                          <w:rPr>
                            <w:rFonts w:ascii="Cambria Math" w:hAnsi="Cambria Math"/>
                          </w:rPr>
                          <m:t>O</m:t>
                        </m:r>
                      </m:sub>
                      <m:sup>
                        <m:r>
                          <w:rPr>
                            <w:rFonts w:ascii="Cambria Math" w:hAnsi="Cambria Math"/>
                          </w:rPr>
                          <m:t>(St)</m:t>
                        </m:r>
                      </m:sup>
                    </m:sSubSup>
                    <m:r>
                      <w:rPr>
                        <w:rFonts w:ascii="Cambria Math" w:hAnsi="Cambria Math"/>
                      </w:rPr>
                      <m:t>+</m:t>
                    </m:r>
                    <m:sSubSup>
                      <m:sSubSupPr>
                        <m:ctrlPr>
                          <w:rPr>
                            <w:rFonts w:ascii="Cambria Math" w:hAnsi="Cambria Math"/>
                            <w:i/>
                            <w:iCs/>
                          </w:rPr>
                        </m:ctrlPr>
                      </m:sSubSupPr>
                      <m:e>
                        <m:r>
                          <w:rPr>
                            <w:rFonts w:ascii="Cambria Math" w:hAnsi="Cambria Math"/>
                          </w:rPr>
                          <m:t>ISI</m:t>
                        </m:r>
                      </m:e>
                      <m:sub>
                        <m:r>
                          <w:rPr>
                            <w:rFonts w:ascii="Cambria Math" w:hAnsi="Cambria Math"/>
                          </w:rPr>
                          <m:t>T</m:t>
                        </m:r>
                      </m:sub>
                      <m:sup>
                        <m:r>
                          <w:rPr>
                            <w:rFonts w:ascii="Cambria Math" w:hAnsi="Cambria Math"/>
                          </w:rPr>
                          <m:t>(St)</m:t>
                        </m:r>
                      </m:sup>
                    </m:sSubSup>
                    <m:r>
                      <w:rPr>
                        <w:rFonts w:ascii="Cambria Math" w:hAnsi="Cambria Math"/>
                      </w:rPr>
                      <m:t>+α</m:t>
                    </m:r>
                    <m:sSubSup>
                      <m:sSubSupPr>
                        <m:ctrlPr>
                          <w:rPr>
                            <w:rFonts w:ascii="Cambria Math" w:hAnsi="Cambria Math"/>
                            <w:i/>
                            <w:iCs/>
                          </w:rPr>
                        </m:ctrlPr>
                      </m:sSubSupPr>
                      <m:e>
                        <m:r>
                          <w:rPr>
                            <w:rFonts w:ascii="Cambria Math" w:hAnsi="Cambria Math"/>
                          </w:rPr>
                          <m:t>ISI</m:t>
                        </m:r>
                      </m:e>
                      <m:sub>
                        <m:r>
                          <w:rPr>
                            <w:rFonts w:ascii="Cambria Math" w:hAnsi="Cambria Math"/>
                          </w:rPr>
                          <m:t>C</m:t>
                        </m:r>
                      </m:sub>
                      <m:sup>
                        <m:r>
                          <w:rPr>
                            <w:rFonts w:ascii="Cambria Math" w:hAnsi="Cambria Math"/>
                          </w:rPr>
                          <m:t>(St)</m:t>
                        </m:r>
                      </m:sup>
                    </m:sSubSup>
                  </m:num>
                  <m:den>
                    <m:sSub>
                      <m:sSubPr>
                        <m:ctrlPr>
                          <w:rPr>
                            <w:rFonts w:ascii="Cambria Math" w:hAnsi="Cambria Math"/>
                            <w:i/>
                            <w:iCs/>
                          </w:rPr>
                        </m:ctrlPr>
                      </m:sSubPr>
                      <m:e>
                        <m:r>
                          <w:rPr>
                            <w:rFonts w:ascii="Cambria Math" w:hAnsi="Cambria Math"/>
                          </w:rPr>
                          <m:t>D</m:t>
                        </m:r>
                      </m:e>
                      <m:sub>
                        <m:r>
                          <w:rPr>
                            <w:rFonts w:ascii="Cambria Math" w:hAnsi="Cambria Math"/>
                          </w:rPr>
                          <m:t>H2</m:t>
                        </m:r>
                      </m:sub>
                    </m:sSub>
                  </m:den>
                </m:f>
              </m:oMath>
            </m:oMathPara>
          </w:p>
        </w:tc>
        <w:tc>
          <w:tcPr>
            <w:tcW w:w="802" w:type="dxa"/>
            <w:vAlign w:val="center"/>
          </w:tcPr>
          <w:p w14:paraId="6FE34D02" w14:textId="1F387851" w:rsidR="004C0509" w:rsidRPr="00B57B36" w:rsidRDefault="004C0509" w:rsidP="00303507">
            <w:pPr>
              <w:pStyle w:val="CETEquation"/>
              <w:jc w:val="right"/>
            </w:pPr>
            <w:r w:rsidRPr="00B57B36">
              <w:t>(</w:t>
            </w:r>
            <w:r w:rsidR="00295595">
              <w:t>3</w:t>
            </w:r>
            <w:r w:rsidRPr="00B57B36">
              <w:t>)</w:t>
            </w:r>
          </w:p>
        </w:tc>
      </w:tr>
    </w:tbl>
    <w:p w14:paraId="3BA5FE47" w14:textId="0EC04A98" w:rsidR="00D36E01" w:rsidRDefault="00A83125" w:rsidP="005C5384">
      <w:pPr>
        <w:pStyle w:val="CETBodytext"/>
        <w:rPr>
          <w:lang w:val="en-GB"/>
        </w:rPr>
      </w:pPr>
      <w:r w:rsidRPr="00A83125">
        <w:rPr>
          <w:lang w:val="en-GB"/>
        </w:rPr>
        <w:t xml:space="preserve">where </w:t>
      </w:r>
      <m:oMath>
        <m:sSub>
          <m:sSubPr>
            <m:ctrlPr>
              <w:rPr>
                <w:rFonts w:ascii="Cambria Math" w:hAnsi="Cambria Math"/>
                <w:lang w:val="en-GB"/>
              </w:rPr>
            </m:ctrlPr>
          </m:sSubPr>
          <m:e>
            <m:r>
              <w:rPr>
                <w:rFonts w:ascii="Cambria Math" w:hAnsi="Cambria Math"/>
                <w:lang w:val="en-GB"/>
              </w:rPr>
              <m:t>D</m:t>
            </m:r>
          </m:e>
          <m:sub>
            <m:sSub>
              <m:sSubPr>
                <m:ctrlPr>
                  <w:rPr>
                    <w:rFonts w:ascii="Cambria Math" w:hAnsi="Cambria Math"/>
                    <w:lang w:val="en-GB"/>
                  </w:rPr>
                </m:ctrlPr>
              </m:sSubPr>
              <m:e>
                <m:r>
                  <m:rPr>
                    <m:sty m:val="p"/>
                  </m:rPr>
                  <w:rPr>
                    <w:rFonts w:ascii="Cambria Math" w:hAnsi="Cambria Math"/>
                    <w:lang w:val="en-GB"/>
                  </w:rPr>
                  <m:t>H</m:t>
                </m:r>
              </m:e>
              <m:sub>
                <m:r>
                  <w:rPr>
                    <w:rFonts w:ascii="Cambria Math" w:hAnsi="Cambria Math"/>
                    <w:lang w:val="en-GB"/>
                  </w:rPr>
                  <m:t>2</m:t>
                </m:r>
              </m:sub>
            </m:sSub>
          </m:sub>
        </m:sSub>
      </m:oMath>
      <w:r w:rsidR="00FF290E">
        <w:rPr>
          <w:lang w:val="en-GB"/>
        </w:rPr>
        <w:t xml:space="preserve"> </w:t>
      </w:r>
      <w:r w:rsidRPr="00A83125">
        <w:rPr>
          <w:lang w:val="en-GB"/>
        </w:rPr>
        <w:t xml:space="preserve">denotes the hydrogen demand of the </w:t>
      </w:r>
      <w:r w:rsidR="00FA76F0">
        <w:rPr>
          <w:lang w:val="en-GB"/>
        </w:rPr>
        <w:t>industrial site under consideration</w:t>
      </w:r>
      <w:r w:rsidRPr="00A83125">
        <w:rPr>
          <w:lang w:val="en-GB"/>
        </w:rPr>
        <w:t xml:space="preserve">. The factor </w:t>
      </w:r>
      <m:oMath>
        <m:r>
          <w:rPr>
            <w:rFonts w:ascii="Cambria Math" w:hAnsi="Cambria Math"/>
            <w:lang w:val="en-GB"/>
          </w:rPr>
          <m:t>α</m:t>
        </m:r>
      </m:oMath>
      <w:r w:rsidR="00FF290E">
        <w:rPr>
          <w:lang w:val="en-GB"/>
        </w:rPr>
        <w:t xml:space="preserve"> </w:t>
      </w:r>
      <w:r w:rsidR="005D212C" w:rsidRPr="005D212C">
        <w:rPr>
          <w:lang w:val="en-GB"/>
        </w:rPr>
        <w:t xml:space="preserve">allocates the contribution of centralised operations </w:t>
      </w:r>
      <w:r w:rsidR="003E4B80">
        <w:rPr>
          <w:lang w:val="en-GB"/>
        </w:rPr>
        <w:t>to that site in proportion to its hydrogen demand</w:t>
      </w:r>
      <w:r w:rsidR="00ED12C9" w:rsidRPr="00ED12C9">
        <w:rPr>
          <w:lang w:val="en-GB"/>
        </w:rPr>
        <w:t>.</w:t>
      </w:r>
      <w:r w:rsidR="00773A49">
        <w:rPr>
          <w:lang w:val="en-GB"/>
        </w:rPr>
        <w:t xml:space="preserve"> </w:t>
      </w:r>
      <w:r w:rsidR="00773A49" w:rsidRPr="00773A49">
        <w:rPr>
          <w:lang w:val="en-GB"/>
        </w:rPr>
        <w:t xml:space="preserve">When the aggregation is performed using the unit potential index (UPI) as the unit-level metric, the resulting </w:t>
      </w:r>
      <w:r w:rsidR="00BB342B">
        <w:rPr>
          <w:lang w:val="en-GB"/>
        </w:rPr>
        <w:t>overall inherent safety</w:t>
      </w:r>
      <w:r w:rsidR="00773A49" w:rsidRPr="00773A49">
        <w:rPr>
          <w:lang w:val="en-GB"/>
        </w:rPr>
        <w:t xml:space="preserve"> </w:t>
      </w:r>
      <w:r w:rsidR="00BB342B">
        <w:rPr>
          <w:lang w:val="en-GB"/>
        </w:rPr>
        <w:t>index</w:t>
      </w:r>
      <w:r w:rsidR="00773A49" w:rsidRPr="00773A49">
        <w:rPr>
          <w:lang w:val="en-GB"/>
        </w:rPr>
        <w:t xml:space="preserve"> corresponds to the hydrogen supply potential</w:t>
      </w:r>
      <w:r w:rsidR="0098369D">
        <w:rPr>
          <w:lang w:val="en-GB"/>
        </w:rPr>
        <w:t xml:space="preserve"> hazard</w:t>
      </w:r>
      <w:r w:rsidR="00773A49" w:rsidRPr="00773A49">
        <w:rPr>
          <w:lang w:val="en-GB"/>
        </w:rPr>
        <w:t xml:space="preserve"> index (HSPI). </w:t>
      </w:r>
      <w:r w:rsidR="002F1866" w:rsidRPr="002F1866">
        <w:rPr>
          <w:lang w:val="en-GB"/>
        </w:rPr>
        <w:t>Conversely, when the unit hazard index (UHI) is adopted, the resulting metric defines the hydrogen supply inherent hazard index (HSHI).</w:t>
      </w:r>
    </w:p>
    <w:p w14:paraId="54AC2B93" w14:textId="19922413" w:rsidR="005C5384" w:rsidRPr="005C5384" w:rsidRDefault="005C5384" w:rsidP="005C5384">
      <w:pPr>
        <w:pStyle w:val="CETHeading1"/>
        <w:rPr>
          <w:lang w:val="en-GB"/>
        </w:rPr>
      </w:pPr>
      <w:r>
        <w:rPr>
          <w:lang w:val="en-GB"/>
        </w:rPr>
        <w:t>Case study</w:t>
      </w:r>
    </w:p>
    <w:p w14:paraId="71019C1C" w14:textId="3C22E9CF" w:rsidR="005C5384" w:rsidRPr="00B57B36" w:rsidRDefault="004B3858" w:rsidP="005C5384">
      <w:pPr>
        <w:pStyle w:val="CETheadingx"/>
      </w:pPr>
      <w:r>
        <w:t xml:space="preserve">Reference </w:t>
      </w:r>
      <w:r w:rsidR="00A93499">
        <w:t xml:space="preserve">set </w:t>
      </w:r>
      <w:r w:rsidR="000864D5">
        <w:t xml:space="preserve">of </w:t>
      </w:r>
      <w:r w:rsidR="001B7C39">
        <w:t xml:space="preserve">spatially </w:t>
      </w:r>
      <w:r w:rsidR="000864D5">
        <w:t xml:space="preserve">dispersed industrial </w:t>
      </w:r>
      <w:r w:rsidR="00D36E01">
        <w:t>sites</w:t>
      </w:r>
    </w:p>
    <w:p w14:paraId="0EE8AEF4" w14:textId="77777777" w:rsidR="00815562" w:rsidRDefault="001E515E" w:rsidP="00C4049E">
      <w:pPr>
        <w:pStyle w:val="CETBodytext"/>
        <w:rPr>
          <w:lang w:val="en-GB"/>
        </w:rPr>
      </w:pPr>
      <w:r w:rsidRPr="00C4049E">
        <w:rPr>
          <w:lang w:val="en-GB"/>
        </w:rPr>
        <w:t xml:space="preserve">A representative case study is defined to </w:t>
      </w:r>
      <w:r w:rsidR="00C4049E" w:rsidRPr="00C4049E">
        <w:rPr>
          <w:lang w:val="en-GB"/>
        </w:rPr>
        <w:t>assess</w:t>
      </w:r>
      <w:r w:rsidRPr="00C4049E">
        <w:rPr>
          <w:lang w:val="en-GB"/>
        </w:rPr>
        <w:t xml:space="preserve"> and compare the inherent safety performance of alternative hydrogen supply strategies. </w:t>
      </w:r>
      <w:r w:rsidR="00C4049E" w:rsidRPr="00C4049E">
        <w:rPr>
          <w:lang w:val="en-GB"/>
        </w:rPr>
        <w:fldChar w:fldCharType="begin"/>
      </w:r>
      <w:r w:rsidR="00C4049E" w:rsidRPr="00C4049E">
        <w:rPr>
          <w:lang w:val="en-GB"/>
        </w:rPr>
        <w:instrText xml:space="preserve"> REF _Ref222927850 \h </w:instrText>
      </w:r>
      <w:r w:rsidR="00C4049E" w:rsidRPr="00C4049E">
        <w:rPr>
          <w:lang w:val="en-GB"/>
        </w:rPr>
      </w:r>
      <w:r w:rsidR="00C4049E" w:rsidRPr="00C4049E">
        <w:rPr>
          <w:lang w:val="en-GB"/>
        </w:rPr>
        <w:fldChar w:fldCharType="separate"/>
      </w:r>
      <w:r w:rsidR="00C4049E" w:rsidRPr="00C4049E">
        <w:rPr>
          <w:lang w:val="en-GB"/>
        </w:rPr>
        <w:t xml:space="preserve">Table </w:t>
      </w:r>
      <w:r w:rsidR="00C4049E" w:rsidRPr="00C4049E">
        <w:rPr>
          <w:noProof/>
          <w:lang w:val="en-GB"/>
        </w:rPr>
        <w:t>1</w:t>
      </w:r>
      <w:r w:rsidR="00C4049E" w:rsidRPr="00C4049E">
        <w:rPr>
          <w:lang w:val="en-GB"/>
        </w:rPr>
        <w:fldChar w:fldCharType="end"/>
      </w:r>
      <w:r w:rsidR="00C4049E" w:rsidRPr="00C4049E">
        <w:rPr>
          <w:lang w:val="en-GB"/>
        </w:rPr>
        <w:t xml:space="preserve"> summarises the key assumptions</w:t>
      </w:r>
      <w:r w:rsidRPr="00C4049E">
        <w:rPr>
          <w:lang w:val="en-GB"/>
        </w:rPr>
        <w:t xml:space="preserve">. </w:t>
      </w:r>
    </w:p>
    <w:p w14:paraId="01B557C0" w14:textId="77777777" w:rsidR="00815562" w:rsidRDefault="00815562" w:rsidP="00815562">
      <w:pPr>
        <w:pStyle w:val="CETTabletitle"/>
      </w:pPr>
      <w:bookmarkStart w:id="2" w:name="_Ref222927850"/>
      <w:r>
        <w:t xml:space="preserve">Table </w:t>
      </w:r>
      <w:r>
        <w:fldChar w:fldCharType="begin"/>
      </w:r>
      <w:r>
        <w:instrText xml:space="preserve"> SEQ Table \* ARABIC </w:instrText>
      </w:r>
      <w:r>
        <w:fldChar w:fldCharType="separate"/>
      </w:r>
      <w:r>
        <w:rPr>
          <w:noProof/>
        </w:rPr>
        <w:t>1</w:t>
      </w:r>
      <w:r>
        <w:fldChar w:fldCharType="end"/>
      </w:r>
      <w:bookmarkEnd w:id="2"/>
      <w:r>
        <w:t>: Key assumptions for dispersed industrial sites and hydrogen transport logistics.</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4820"/>
        <w:gridCol w:w="2979"/>
        <w:gridCol w:w="988"/>
      </w:tblGrid>
      <w:tr w:rsidR="00815562" w:rsidRPr="00B57B36" w14:paraId="15AD10AF" w14:textId="77777777" w:rsidTr="00F4695C">
        <w:tc>
          <w:tcPr>
            <w:tcW w:w="2743" w:type="pct"/>
            <w:tcBorders>
              <w:top w:val="single" w:sz="12" w:space="0" w:color="008000"/>
              <w:bottom w:val="single" w:sz="6" w:space="0" w:color="008000"/>
            </w:tcBorders>
            <w:shd w:val="clear" w:color="auto" w:fill="FFFFFF"/>
          </w:tcPr>
          <w:p w14:paraId="24F40551" w14:textId="77777777" w:rsidR="00815562" w:rsidRPr="00B57B36" w:rsidRDefault="00815562" w:rsidP="00B32913">
            <w:pPr>
              <w:pStyle w:val="CETBodytext"/>
              <w:rPr>
                <w:lang w:val="en-GB"/>
              </w:rPr>
            </w:pPr>
            <w:r>
              <w:rPr>
                <w:lang w:val="en-GB"/>
              </w:rPr>
              <w:t>Parameter</w:t>
            </w:r>
          </w:p>
        </w:tc>
        <w:tc>
          <w:tcPr>
            <w:tcW w:w="1695" w:type="pct"/>
            <w:tcBorders>
              <w:top w:val="single" w:sz="12" w:space="0" w:color="008000"/>
              <w:bottom w:val="single" w:sz="6" w:space="0" w:color="008000"/>
            </w:tcBorders>
            <w:shd w:val="clear" w:color="auto" w:fill="FFFFFF"/>
          </w:tcPr>
          <w:p w14:paraId="407CC07B" w14:textId="77777777" w:rsidR="00815562" w:rsidRPr="00B57B36" w:rsidRDefault="00815562" w:rsidP="00B32913">
            <w:pPr>
              <w:pStyle w:val="CETBodytext"/>
              <w:rPr>
                <w:lang w:val="en-GB"/>
              </w:rPr>
            </w:pPr>
            <w:r>
              <w:rPr>
                <w:lang w:val="en-GB"/>
              </w:rPr>
              <w:t>Assumption</w:t>
            </w:r>
          </w:p>
        </w:tc>
        <w:tc>
          <w:tcPr>
            <w:tcW w:w="563" w:type="pct"/>
            <w:tcBorders>
              <w:top w:val="single" w:sz="12" w:space="0" w:color="008000"/>
              <w:bottom w:val="single" w:sz="6" w:space="0" w:color="008000"/>
            </w:tcBorders>
            <w:shd w:val="clear" w:color="auto" w:fill="FFFFFF"/>
          </w:tcPr>
          <w:p w14:paraId="0CF1072D" w14:textId="6A82426E" w:rsidR="00815562" w:rsidRDefault="00815562" w:rsidP="00B32913">
            <w:pPr>
              <w:pStyle w:val="CETBodytext"/>
              <w:rPr>
                <w:lang w:val="en-GB"/>
              </w:rPr>
            </w:pPr>
            <w:r>
              <w:rPr>
                <w:lang w:val="en-GB"/>
              </w:rPr>
              <w:t>Unit</w:t>
            </w:r>
          </w:p>
        </w:tc>
      </w:tr>
      <w:tr w:rsidR="00815562" w:rsidRPr="00B57B36" w14:paraId="789F7290" w14:textId="77777777" w:rsidTr="00F4695C">
        <w:tc>
          <w:tcPr>
            <w:tcW w:w="5000" w:type="pct"/>
            <w:gridSpan w:val="3"/>
            <w:tcBorders>
              <w:top w:val="single" w:sz="6" w:space="0" w:color="008000"/>
              <w:bottom w:val="single" w:sz="6" w:space="0" w:color="008000"/>
            </w:tcBorders>
            <w:shd w:val="clear" w:color="auto" w:fill="FFFFFF"/>
          </w:tcPr>
          <w:p w14:paraId="2B65BA0E" w14:textId="77777777" w:rsidR="00815562" w:rsidRDefault="00815562" w:rsidP="00B32913">
            <w:pPr>
              <w:pStyle w:val="CETBodytext"/>
              <w:jc w:val="center"/>
              <w:rPr>
                <w:lang w:val="en-GB"/>
              </w:rPr>
            </w:pPr>
            <w:r>
              <w:rPr>
                <w:lang w:val="en-GB"/>
              </w:rPr>
              <w:t>Industrial sites</w:t>
            </w:r>
          </w:p>
        </w:tc>
      </w:tr>
      <w:tr w:rsidR="00815562" w:rsidRPr="00B57B36" w14:paraId="2B837BAD" w14:textId="77777777" w:rsidTr="00B32913">
        <w:tc>
          <w:tcPr>
            <w:tcW w:w="2743" w:type="pct"/>
            <w:tcBorders>
              <w:top w:val="single" w:sz="6" w:space="0" w:color="008000"/>
              <w:bottom w:val="nil"/>
            </w:tcBorders>
            <w:shd w:val="clear" w:color="auto" w:fill="FFFFFF"/>
          </w:tcPr>
          <w:p w14:paraId="17FB0975" w14:textId="77777777" w:rsidR="00815562" w:rsidRPr="00B57B36" w:rsidRDefault="00815562" w:rsidP="00B32913">
            <w:pPr>
              <w:pStyle w:val="CETBodytext"/>
              <w:ind w:right="-1"/>
              <w:rPr>
                <w:rFonts w:cs="Arial"/>
                <w:szCs w:val="18"/>
                <w:lang w:val="en-GB"/>
              </w:rPr>
            </w:pPr>
            <w:r>
              <w:rPr>
                <w:rFonts w:cs="Arial"/>
                <w:szCs w:val="18"/>
                <w:lang w:val="en-GB"/>
              </w:rPr>
              <w:t>Number of industrial sites</w:t>
            </w:r>
          </w:p>
        </w:tc>
        <w:tc>
          <w:tcPr>
            <w:tcW w:w="1695" w:type="pct"/>
            <w:tcBorders>
              <w:top w:val="single" w:sz="6" w:space="0" w:color="008000"/>
              <w:bottom w:val="nil"/>
            </w:tcBorders>
            <w:shd w:val="clear" w:color="auto" w:fill="FFFFFF"/>
          </w:tcPr>
          <w:p w14:paraId="14A68CD2" w14:textId="77777777" w:rsidR="00815562" w:rsidRPr="00B57B36" w:rsidRDefault="00815562" w:rsidP="00B32913">
            <w:pPr>
              <w:pStyle w:val="CETBodytext"/>
              <w:ind w:right="-1"/>
              <w:rPr>
                <w:rFonts w:cs="Arial"/>
                <w:szCs w:val="18"/>
                <w:lang w:val="en-GB"/>
              </w:rPr>
            </w:pPr>
            <w:r>
              <w:rPr>
                <w:rFonts w:cs="Arial"/>
                <w:szCs w:val="18"/>
                <w:lang w:val="en-GB"/>
              </w:rPr>
              <w:t>30</w:t>
            </w:r>
          </w:p>
        </w:tc>
        <w:tc>
          <w:tcPr>
            <w:tcW w:w="563" w:type="pct"/>
            <w:tcBorders>
              <w:top w:val="single" w:sz="6" w:space="0" w:color="008000"/>
              <w:bottom w:val="nil"/>
            </w:tcBorders>
            <w:shd w:val="clear" w:color="auto" w:fill="FFFFFF"/>
          </w:tcPr>
          <w:p w14:paraId="54751A6C" w14:textId="77777777" w:rsidR="00815562" w:rsidRDefault="00815562" w:rsidP="00B32913">
            <w:pPr>
              <w:pStyle w:val="CETBodytext"/>
              <w:ind w:right="-1"/>
              <w:rPr>
                <w:rFonts w:cs="Arial"/>
                <w:szCs w:val="18"/>
                <w:lang w:val="en-GB"/>
              </w:rPr>
            </w:pPr>
            <w:r>
              <w:rPr>
                <w:rFonts w:cs="Arial"/>
                <w:szCs w:val="18"/>
                <w:lang w:val="en-GB"/>
              </w:rPr>
              <w:t>-</w:t>
            </w:r>
          </w:p>
        </w:tc>
      </w:tr>
      <w:tr w:rsidR="00815562" w:rsidRPr="00B57B36" w14:paraId="761A0907" w14:textId="77777777" w:rsidTr="00B32913">
        <w:tc>
          <w:tcPr>
            <w:tcW w:w="2743" w:type="pct"/>
            <w:tcBorders>
              <w:top w:val="nil"/>
              <w:bottom w:val="nil"/>
            </w:tcBorders>
            <w:shd w:val="clear" w:color="auto" w:fill="FFFFFF"/>
          </w:tcPr>
          <w:p w14:paraId="6E2C5889" w14:textId="77777777" w:rsidR="00815562" w:rsidRPr="00B57B36" w:rsidRDefault="00815562" w:rsidP="00B32913">
            <w:pPr>
              <w:pStyle w:val="CETBodytext"/>
              <w:ind w:right="-1"/>
              <w:rPr>
                <w:rFonts w:cs="Arial"/>
                <w:szCs w:val="18"/>
                <w:lang w:val="en-GB"/>
              </w:rPr>
            </w:pPr>
            <w:r>
              <w:rPr>
                <w:rFonts w:cs="Arial"/>
                <w:szCs w:val="18"/>
                <w:lang w:val="en-GB"/>
              </w:rPr>
              <w:t>Reference CO</w:t>
            </w:r>
            <w:r w:rsidRPr="00307EF5">
              <w:rPr>
                <w:rFonts w:cs="Arial"/>
                <w:szCs w:val="18"/>
                <w:vertAlign w:val="subscript"/>
                <w:lang w:val="en-GB"/>
              </w:rPr>
              <w:t>2</w:t>
            </w:r>
            <w:r>
              <w:rPr>
                <w:rFonts w:cs="Arial"/>
                <w:szCs w:val="18"/>
                <w:lang w:val="en-GB"/>
              </w:rPr>
              <w:t xml:space="preserve"> emission source (per site)</w:t>
            </w:r>
          </w:p>
        </w:tc>
        <w:tc>
          <w:tcPr>
            <w:tcW w:w="1695" w:type="pct"/>
            <w:tcBorders>
              <w:top w:val="nil"/>
              <w:bottom w:val="nil"/>
            </w:tcBorders>
            <w:shd w:val="clear" w:color="auto" w:fill="FFFFFF"/>
          </w:tcPr>
          <w:p w14:paraId="364D84EB" w14:textId="77777777" w:rsidR="00815562" w:rsidRPr="00B57B36" w:rsidRDefault="00815562" w:rsidP="00B32913">
            <w:pPr>
              <w:pStyle w:val="CETBodytext"/>
              <w:ind w:right="-1"/>
              <w:rPr>
                <w:rFonts w:cs="Arial"/>
                <w:szCs w:val="18"/>
                <w:lang w:val="en-GB"/>
              </w:rPr>
            </w:pPr>
            <w:r>
              <w:rPr>
                <w:rFonts w:cs="Arial"/>
                <w:szCs w:val="18"/>
                <w:lang w:val="en-GB"/>
              </w:rPr>
              <w:t>Natural-gas-fired boiler</w:t>
            </w:r>
          </w:p>
        </w:tc>
        <w:tc>
          <w:tcPr>
            <w:tcW w:w="563" w:type="pct"/>
            <w:tcBorders>
              <w:top w:val="nil"/>
              <w:bottom w:val="nil"/>
            </w:tcBorders>
            <w:shd w:val="clear" w:color="auto" w:fill="FFFFFF"/>
          </w:tcPr>
          <w:p w14:paraId="56F0FCAB" w14:textId="77777777" w:rsidR="00815562" w:rsidRDefault="00815562" w:rsidP="00B32913">
            <w:pPr>
              <w:pStyle w:val="CETBodytext"/>
              <w:ind w:right="-1"/>
              <w:rPr>
                <w:rFonts w:cs="Arial"/>
                <w:szCs w:val="18"/>
                <w:lang w:val="en-GB"/>
              </w:rPr>
            </w:pPr>
            <w:r>
              <w:rPr>
                <w:rFonts w:cs="Arial"/>
                <w:szCs w:val="18"/>
                <w:lang w:val="en-GB"/>
              </w:rPr>
              <w:t>-</w:t>
            </w:r>
          </w:p>
        </w:tc>
      </w:tr>
      <w:tr w:rsidR="00815562" w:rsidRPr="00B57B36" w14:paraId="4BC20E8E" w14:textId="77777777" w:rsidTr="00B32913">
        <w:tc>
          <w:tcPr>
            <w:tcW w:w="2743" w:type="pct"/>
            <w:tcBorders>
              <w:top w:val="nil"/>
              <w:bottom w:val="single" w:sz="6" w:space="0" w:color="008000"/>
            </w:tcBorders>
            <w:shd w:val="clear" w:color="auto" w:fill="FFFFFF"/>
          </w:tcPr>
          <w:p w14:paraId="5FD95ABC" w14:textId="77777777" w:rsidR="00815562" w:rsidRPr="00B57B36" w:rsidRDefault="00815562" w:rsidP="00B32913">
            <w:pPr>
              <w:pStyle w:val="CETBodytext"/>
              <w:ind w:right="-1"/>
              <w:rPr>
                <w:rFonts w:cs="Arial"/>
                <w:szCs w:val="18"/>
                <w:lang w:val="en-GB"/>
              </w:rPr>
            </w:pPr>
            <w:r>
              <w:rPr>
                <w:rFonts w:cs="Arial"/>
                <w:szCs w:val="18"/>
                <w:lang w:val="en-GB"/>
              </w:rPr>
              <w:t>Annual CO</w:t>
            </w:r>
            <w:r w:rsidRPr="00EC3553">
              <w:rPr>
                <w:rFonts w:cs="Arial"/>
                <w:szCs w:val="18"/>
                <w:vertAlign w:val="subscript"/>
                <w:lang w:val="en-GB"/>
              </w:rPr>
              <w:t>2</w:t>
            </w:r>
            <w:r>
              <w:rPr>
                <w:rFonts w:cs="Arial"/>
                <w:szCs w:val="18"/>
                <w:lang w:val="en-GB"/>
              </w:rPr>
              <w:t xml:space="preserve"> emissions from the reference source (per site)</w:t>
            </w:r>
          </w:p>
        </w:tc>
        <w:tc>
          <w:tcPr>
            <w:tcW w:w="1695" w:type="pct"/>
            <w:tcBorders>
              <w:top w:val="nil"/>
              <w:bottom w:val="single" w:sz="6" w:space="0" w:color="008000"/>
            </w:tcBorders>
            <w:shd w:val="clear" w:color="auto" w:fill="FFFFFF"/>
          </w:tcPr>
          <w:p w14:paraId="307ACE9E" w14:textId="77777777" w:rsidR="00815562" w:rsidRPr="00B57B36" w:rsidRDefault="00815562" w:rsidP="00B32913">
            <w:pPr>
              <w:pStyle w:val="CETBodytext"/>
              <w:ind w:right="-1"/>
              <w:rPr>
                <w:rFonts w:cs="Arial"/>
                <w:szCs w:val="18"/>
                <w:lang w:val="en-GB"/>
              </w:rPr>
            </w:pPr>
            <w:r>
              <w:rPr>
                <w:rFonts w:cs="Arial"/>
                <w:szCs w:val="18"/>
                <w:lang w:val="en-GB"/>
              </w:rPr>
              <w:t>2</w:t>
            </w:r>
          </w:p>
        </w:tc>
        <w:tc>
          <w:tcPr>
            <w:tcW w:w="563" w:type="pct"/>
            <w:tcBorders>
              <w:top w:val="nil"/>
              <w:bottom w:val="single" w:sz="6" w:space="0" w:color="008000"/>
            </w:tcBorders>
            <w:shd w:val="clear" w:color="auto" w:fill="FFFFFF"/>
          </w:tcPr>
          <w:p w14:paraId="72554196" w14:textId="77777777" w:rsidR="00815562" w:rsidRDefault="00815562" w:rsidP="00B32913">
            <w:pPr>
              <w:pStyle w:val="CETBodytext"/>
              <w:ind w:right="-1"/>
              <w:rPr>
                <w:rFonts w:cs="Arial"/>
                <w:szCs w:val="18"/>
                <w:lang w:val="en-GB"/>
              </w:rPr>
            </w:pPr>
            <w:r w:rsidRPr="00AC017F">
              <w:rPr>
                <w:rFonts w:cs="Arial"/>
                <w:szCs w:val="18"/>
                <w:lang w:val="en-GB"/>
              </w:rPr>
              <w:t>ktCO</w:t>
            </w:r>
            <w:r w:rsidRPr="00AC017F">
              <w:rPr>
                <w:rFonts w:cs="Arial"/>
                <w:szCs w:val="18"/>
                <w:vertAlign w:val="subscript"/>
                <w:lang w:val="en-GB"/>
              </w:rPr>
              <w:t>2</w:t>
            </w:r>
            <w:r>
              <w:rPr>
                <w:rFonts w:cs="Arial"/>
                <w:szCs w:val="18"/>
                <w:lang w:val="en-GB"/>
              </w:rPr>
              <w:t xml:space="preserve"> </w:t>
            </w:r>
            <w:r w:rsidRPr="00AC017F">
              <w:rPr>
                <w:rFonts w:cs="Arial"/>
                <w:szCs w:val="18"/>
                <w:lang w:val="en-GB"/>
              </w:rPr>
              <w:t>yr</w:t>
            </w:r>
            <w:r w:rsidRPr="00AC017F">
              <w:rPr>
                <w:rFonts w:cs="Arial"/>
                <w:szCs w:val="18"/>
                <w:vertAlign w:val="superscript"/>
                <w:lang w:val="en-GB"/>
              </w:rPr>
              <w:t>-1</w:t>
            </w:r>
          </w:p>
        </w:tc>
      </w:tr>
      <w:tr w:rsidR="00815562" w:rsidRPr="00B57B36" w14:paraId="36F9FAD8" w14:textId="77777777" w:rsidTr="00B32913">
        <w:tc>
          <w:tcPr>
            <w:tcW w:w="5000" w:type="pct"/>
            <w:gridSpan w:val="3"/>
            <w:tcBorders>
              <w:top w:val="single" w:sz="6" w:space="0" w:color="008000"/>
              <w:bottom w:val="single" w:sz="6" w:space="0" w:color="008000"/>
            </w:tcBorders>
            <w:shd w:val="clear" w:color="auto" w:fill="FFFFFF"/>
          </w:tcPr>
          <w:p w14:paraId="6EB52930" w14:textId="77777777" w:rsidR="00815562" w:rsidRDefault="00815562" w:rsidP="00B32913">
            <w:pPr>
              <w:pStyle w:val="CETBodytext"/>
              <w:ind w:right="-1"/>
              <w:jc w:val="center"/>
              <w:rPr>
                <w:lang w:val="en-GB"/>
              </w:rPr>
            </w:pPr>
            <w:r>
              <w:rPr>
                <w:lang w:val="en-GB"/>
              </w:rPr>
              <w:t>Transport between sites and centralised facility</w:t>
            </w:r>
          </w:p>
        </w:tc>
      </w:tr>
      <w:tr w:rsidR="00815562" w:rsidRPr="00B57B36" w14:paraId="0D04A8C5" w14:textId="77777777" w:rsidTr="00B32913">
        <w:tc>
          <w:tcPr>
            <w:tcW w:w="2743" w:type="pct"/>
            <w:tcBorders>
              <w:top w:val="single" w:sz="6" w:space="0" w:color="008000"/>
              <w:bottom w:val="nil"/>
            </w:tcBorders>
            <w:shd w:val="clear" w:color="auto" w:fill="FFFFFF"/>
          </w:tcPr>
          <w:p w14:paraId="2F18F33B" w14:textId="77777777" w:rsidR="00815562" w:rsidRDefault="00815562" w:rsidP="00B32913">
            <w:pPr>
              <w:pStyle w:val="CETBodytext"/>
              <w:ind w:right="-1"/>
              <w:rPr>
                <w:rFonts w:cs="Arial"/>
                <w:szCs w:val="18"/>
                <w:lang w:val="en-GB"/>
              </w:rPr>
            </w:pPr>
            <w:r>
              <w:rPr>
                <w:rFonts w:cs="Arial"/>
                <w:szCs w:val="18"/>
                <w:lang w:val="en-GB"/>
              </w:rPr>
              <w:t>Transport mode</w:t>
            </w:r>
          </w:p>
        </w:tc>
        <w:tc>
          <w:tcPr>
            <w:tcW w:w="1695" w:type="pct"/>
            <w:tcBorders>
              <w:top w:val="single" w:sz="6" w:space="0" w:color="008000"/>
              <w:bottom w:val="nil"/>
            </w:tcBorders>
            <w:shd w:val="clear" w:color="auto" w:fill="FFFFFF"/>
          </w:tcPr>
          <w:p w14:paraId="6B37F233" w14:textId="77777777" w:rsidR="00815562" w:rsidRDefault="00815562" w:rsidP="00B32913">
            <w:pPr>
              <w:pStyle w:val="CETBodytext"/>
              <w:ind w:right="-1"/>
              <w:rPr>
                <w:rFonts w:cs="Arial"/>
                <w:szCs w:val="18"/>
                <w:lang w:val="en-GB"/>
              </w:rPr>
            </w:pPr>
            <w:r>
              <w:rPr>
                <w:rFonts w:cs="Arial"/>
                <w:szCs w:val="18"/>
                <w:lang w:val="en-GB"/>
              </w:rPr>
              <w:t>Road (diesel heavy-duty trucks)</w:t>
            </w:r>
          </w:p>
        </w:tc>
        <w:tc>
          <w:tcPr>
            <w:tcW w:w="563" w:type="pct"/>
            <w:tcBorders>
              <w:top w:val="single" w:sz="6" w:space="0" w:color="008000"/>
              <w:bottom w:val="nil"/>
            </w:tcBorders>
            <w:shd w:val="clear" w:color="auto" w:fill="FFFFFF"/>
          </w:tcPr>
          <w:p w14:paraId="5C539193" w14:textId="77777777" w:rsidR="00815562" w:rsidRDefault="00815562" w:rsidP="00B32913">
            <w:pPr>
              <w:pStyle w:val="CETBodytext"/>
              <w:ind w:right="-1"/>
              <w:rPr>
                <w:rFonts w:cs="Arial"/>
                <w:szCs w:val="18"/>
                <w:lang w:val="en-GB"/>
              </w:rPr>
            </w:pPr>
            <w:r>
              <w:rPr>
                <w:rFonts w:cs="Arial"/>
                <w:szCs w:val="18"/>
                <w:lang w:val="en-GB"/>
              </w:rPr>
              <w:t>-</w:t>
            </w:r>
          </w:p>
        </w:tc>
      </w:tr>
      <w:tr w:rsidR="00815562" w:rsidRPr="00B57B36" w14:paraId="777131F0" w14:textId="77777777" w:rsidTr="00B32913">
        <w:tc>
          <w:tcPr>
            <w:tcW w:w="2743" w:type="pct"/>
            <w:tcBorders>
              <w:top w:val="nil"/>
              <w:bottom w:val="single" w:sz="12" w:space="0" w:color="008000"/>
            </w:tcBorders>
            <w:shd w:val="clear" w:color="auto" w:fill="FFFFFF"/>
          </w:tcPr>
          <w:p w14:paraId="06CB446B" w14:textId="77777777" w:rsidR="00815562" w:rsidRPr="00B57B36" w:rsidRDefault="00815562" w:rsidP="00B32913">
            <w:pPr>
              <w:pStyle w:val="CETBodytext"/>
              <w:ind w:right="-1"/>
              <w:rPr>
                <w:rFonts w:cs="Arial"/>
                <w:szCs w:val="18"/>
                <w:lang w:val="en-GB"/>
              </w:rPr>
            </w:pPr>
            <w:r>
              <w:rPr>
                <w:rFonts w:cs="Arial"/>
                <w:szCs w:val="18"/>
                <w:lang w:val="en-GB"/>
              </w:rPr>
              <w:t>One-way transport distance</w:t>
            </w:r>
          </w:p>
        </w:tc>
        <w:tc>
          <w:tcPr>
            <w:tcW w:w="1695" w:type="pct"/>
            <w:tcBorders>
              <w:top w:val="nil"/>
              <w:bottom w:val="single" w:sz="12" w:space="0" w:color="008000"/>
            </w:tcBorders>
            <w:shd w:val="clear" w:color="auto" w:fill="FFFFFF"/>
          </w:tcPr>
          <w:p w14:paraId="3F0C6ED9" w14:textId="77777777" w:rsidR="00815562" w:rsidRPr="00B57B36" w:rsidRDefault="00815562" w:rsidP="00B32913">
            <w:pPr>
              <w:pStyle w:val="CETBodytext"/>
              <w:ind w:right="-1"/>
              <w:rPr>
                <w:rFonts w:cs="Arial"/>
                <w:szCs w:val="18"/>
                <w:lang w:val="en-GB"/>
              </w:rPr>
            </w:pPr>
            <w:r>
              <w:rPr>
                <w:rFonts w:cs="Arial"/>
                <w:szCs w:val="18"/>
                <w:lang w:val="en-GB"/>
              </w:rPr>
              <w:t>100</w:t>
            </w:r>
          </w:p>
        </w:tc>
        <w:tc>
          <w:tcPr>
            <w:tcW w:w="563" w:type="pct"/>
            <w:tcBorders>
              <w:top w:val="nil"/>
              <w:bottom w:val="single" w:sz="12" w:space="0" w:color="008000"/>
            </w:tcBorders>
            <w:shd w:val="clear" w:color="auto" w:fill="FFFFFF"/>
          </w:tcPr>
          <w:p w14:paraId="5B055A97" w14:textId="77777777" w:rsidR="00815562" w:rsidRDefault="00815562" w:rsidP="00B32913">
            <w:pPr>
              <w:pStyle w:val="CETBodytext"/>
              <w:ind w:right="-1"/>
              <w:rPr>
                <w:rFonts w:cs="Arial"/>
                <w:szCs w:val="18"/>
                <w:lang w:val="en-GB"/>
              </w:rPr>
            </w:pPr>
            <w:r>
              <w:rPr>
                <w:rFonts w:cs="Arial"/>
                <w:szCs w:val="18"/>
                <w:lang w:val="en-GB"/>
              </w:rPr>
              <w:t xml:space="preserve">km </w:t>
            </w:r>
          </w:p>
        </w:tc>
      </w:tr>
    </w:tbl>
    <w:p w14:paraId="606EA169" w14:textId="77777777" w:rsidR="00815562" w:rsidRDefault="00815562" w:rsidP="00C4049E">
      <w:pPr>
        <w:pStyle w:val="CETBodytext"/>
        <w:rPr>
          <w:lang w:val="en-GB"/>
        </w:rPr>
      </w:pPr>
    </w:p>
    <w:p w14:paraId="13EBF0E6" w14:textId="2454798E" w:rsidR="001E515E" w:rsidRPr="00C4049E" w:rsidRDefault="00706355" w:rsidP="00C4049E">
      <w:pPr>
        <w:pStyle w:val="CETBodytext"/>
        <w:rPr>
          <w:lang w:val="en-GB"/>
        </w:rPr>
      </w:pPr>
      <w:r w:rsidRPr="00706355">
        <w:rPr>
          <w:lang w:val="en-GB"/>
        </w:rPr>
        <w:t xml:space="preserve">Centralised hydrogen supply configurations are </w:t>
      </w:r>
      <w:r>
        <w:rPr>
          <w:lang w:val="en-GB"/>
        </w:rPr>
        <w:t>investigated</w:t>
      </w:r>
      <w:r w:rsidRPr="00706355">
        <w:rPr>
          <w:lang w:val="en-GB"/>
        </w:rPr>
        <w:t>, whereby hydrogen production and conditioning are shared among industrial sites and delivery is ensured via truck transport, as detailed</w:t>
      </w:r>
      <w:r w:rsidR="00411D3B" w:rsidRPr="00411D3B">
        <w:rPr>
          <w:lang w:val="en-GB"/>
        </w:rPr>
        <w:t xml:space="preserve"> in</w:t>
      </w:r>
      <w:r w:rsidR="005107EE">
        <w:rPr>
          <w:lang w:val="en-GB"/>
        </w:rPr>
        <w:t xml:space="preserve"> Section </w:t>
      </w:r>
      <w:r w:rsidR="004B408C">
        <w:rPr>
          <w:lang w:val="en-GB"/>
        </w:rPr>
        <w:fldChar w:fldCharType="begin"/>
      </w:r>
      <w:r w:rsidR="004B408C">
        <w:rPr>
          <w:lang w:val="en-GB"/>
        </w:rPr>
        <w:instrText xml:space="preserve"> REF _Ref223019294 \r \h </w:instrText>
      </w:r>
      <w:r w:rsidR="004B408C">
        <w:rPr>
          <w:lang w:val="en-GB"/>
        </w:rPr>
      </w:r>
      <w:r w:rsidR="004B408C">
        <w:rPr>
          <w:lang w:val="en-GB"/>
        </w:rPr>
        <w:fldChar w:fldCharType="separate"/>
      </w:r>
      <w:r w:rsidR="004B408C">
        <w:rPr>
          <w:lang w:val="en-GB"/>
        </w:rPr>
        <w:t>3.2</w:t>
      </w:r>
      <w:r w:rsidR="004B408C">
        <w:rPr>
          <w:lang w:val="en-GB"/>
        </w:rPr>
        <w:fldChar w:fldCharType="end"/>
      </w:r>
      <w:r w:rsidR="00997AA1" w:rsidRPr="007822F8">
        <w:rPr>
          <w:lang w:val="en-GB"/>
        </w:rPr>
        <w:t>.</w:t>
      </w:r>
      <w:r w:rsidR="005107EE">
        <w:rPr>
          <w:lang w:val="en-GB"/>
        </w:rPr>
        <w:t xml:space="preserve"> </w:t>
      </w:r>
      <w:r w:rsidR="001E515E" w:rsidRPr="00C4049E">
        <w:rPr>
          <w:lang w:val="en-GB"/>
        </w:rPr>
        <w:t xml:space="preserve">A </w:t>
      </w:r>
      <w:r w:rsidR="008C0A91">
        <w:rPr>
          <w:lang w:val="en-GB"/>
        </w:rPr>
        <w:t>set</w:t>
      </w:r>
      <w:r w:rsidR="008C0A91" w:rsidRPr="00C4049E">
        <w:rPr>
          <w:lang w:val="en-GB"/>
        </w:rPr>
        <w:t xml:space="preserve"> </w:t>
      </w:r>
      <w:r w:rsidR="001E515E" w:rsidRPr="00C4049E">
        <w:rPr>
          <w:lang w:val="en-GB"/>
        </w:rPr>
        <w:t>of 30</w:t>
      </w:r>
      <w:r w:rsidR="001E515E" w:rsidRPr="00C4049E" w:rsidDel="0016013A">
        <w:rPr>
          <w:lang w:val="en-GB"/>
        </w:rPr>
        <w:t xml:space="preserve"> </w:t>
      </w:r>
      <w:r w:rsidR="0016013A">
        <w:rPr>
          <w:lang w:val="en-GB"/>
        </w:rPr>
        <w:t xml:space="preserve">representative </w:t>
      </w:r>
      <w:r w:rsidR="001E515E" w:rsidRPr="00C4049E">
        <w:rPr>
          <w:lang w:val="en-GB"/>
        </w:rPr>
        <w:t xml:space="preserve">dispersed industrial sites is considered, each characterised by an identical reference emission source consisting of a natural-gas-fired boiler with annual </w:t>
      </w:r>
      <w:r w:rsidR="00C4049E">
        <w:rPr>
          <w:lang w:val="en-GB"/>
        </w:rPr>
        <w:t>CO</w:t>
      </w:r>
      <w:r w:rsidR="00C4049E" w:rsidRPr="00C4049E">
        <w:rPr>
          <w:vertAlign w:val="subscript"/>
          <w:lang w:val="en-GB"/>
        </w:rPr>
        <w:t>2</w:t>
      </w:r>
      <w:r w:rsidR="001E515E" w:rsidRPr="00C4049E">
        <w:rPr>
          <w:lang w:val="en-GB"/>
        </w:rPr>
        <w:t xml:space="preserve"> emissions fixed at 2 ktCO</w:t>
      </w:r>
      <w:r w:rsidR="00C4049E" w:rsidRPr="00C4049E">
        <w:rPr>
          <w:rFonts w:cs="Arial"/>
          <w:vertAlign w:val="subscript"/>
          <w:lang w:val="en-GB"/>
        </w:rPr>
        <w:t>2</w:t>
      </w:r>
      <w:r w:rsidR="001E515E" w:rsidRPr="00C4049E">
        <w:rPr>
          <w:lang w:val="en-GB"/>
        </w:rPr>
        <w:t xml:space="preserve"> yr</w:t>
      </w:r>
      <w:r w:rsidR="00D66D8E" w:rsidRPr="00D66D8E">
        <w:rPr>
          <w:vertAlign w:val="superscript"/>
          <w:lang w:val="en-GB"/>
        </w:rPr>
        <w:t>-1</w:t>
      </w:r>
      <w:r w:rsidR="001E515E" w:rsidRPr="00C4049E">
        <w:rPr>
          <w:lang w:val="en-GB"/>
        </w:rPr>
        <w:t xml:space="preserve">. </w:t>
      </w:r>
      <w:r w:rsidR="00B05B7F" w:rsidRPr="00B05B7F">
        <w:rPr>
          <w:lang w:val="en-GB"/>
        </w:rPr>
        <w:t xml:space="preserve">All </w:t>
      </w:r>
      <w:r w:rsidR="00B56EDC">
        <w:rPr>
          <w:lang w:val="en-GB"/>
        </w:rPr>
        <w:t xml:space="preserve">industrial </w:t>
      </w:r>
      <w:r w:rsidR="00B05B7F" w:rsidRPr="00B05B7F">
        <w:rPr>
          <w:lang w:val="en-GB"/>
        </w:rPr>
        <w:t xml:space="preserve">sites are assumed to be located at a uniform distance from </w:t>
      </w:r>
      <w:r w:rsidR="001B3308">
        <w:rPr>
          <w:lang w:val="en-GB"/>
        </w:rPr>
        <w:t>the centralised</w:t>
      </w:r>
      <w:r w:rsidR="00B05B7F" w:rsidRPr="00B05B7F">
        <w:rPr>
          <w:lang w:val="en-GB"/>
        </w:rPr>
        <w:t xml:space="preserve"> hydrogen </w:t>
      </w:r>
      <w:r w:rsidR="009C4046">
        <w:rPr>
          <w:lang w:val="en-GB"/>
        </w:rPr>
        <w:t>production</w:t>
      </w:r>
      <w:r w:rsidR="001B3308">
        <w:rPr>
          <w:lang w:val="en-GB"/>
        </w:rPr>
        <w:t xml:space="preserve"> and conditioning</w:t>
      </w:r>
      <w:r w:rsidR="009C4046">
        <w:rPr>
          <w:lang w:val="en-GB"/>
        </w:rPr>
        <w:t xml:space="preserve"> </w:t>
      </w:r>
      <w:r w:rsidR="00B05B7F" w:rsidRPr="00B05B7F">
        <w:rPr>
          <w:lang w:val="en-GB"/>
        </w:rPr>
        <w:t xml:space="preserve">facility. </w:t>
      </w:r>
      <w:r w:rsidR="00420426" w:rsidRPr="00134FAD">
        <w:rPr>
          <w:lang w:val="en-GB"/>
        </w:rPr>
        <w:t xml:space="preserve">A one-way transport distance of 100 km is adopted, consistent with the order of magnitude of inter-site distances reported for dispersed installations under the EU Emissions Trading System (EU ETS) registry </w:t>
      </w:r>
      <w:r w:rsidR="00420426">
        <w:rPr>
          <w:lang w:val="en-GB"/>
        </w:rPr>
        <w:fldChar w:fldCharType="begin" w:fldLock="1"/>
      </w:r>
      <w:r w:rsidR="00420426">
        <w:rPr>
          <w:lang w:val="en-GB"/>
        </w:rPr>
        <w:instrText>ADDIN CSL_CITATION {"citationItems":[{"id":"ITEM-1","itemData":{"DOI":"10.1016/j.dib.2021.107046","ISSN":"23523409","abstract":"The dataset has been developed within the framework of the EU EIT-Climate Kic Flagship Project “Re-Industrialise” and it includes data of Carbon Emission Intensity (CEI) from industrial sources for the European Regions. CEI is considered as a proxy for analysing the Industrial Sustainability Transition pathways and is calculated as the ratio between CO2 equivalent emissions (CO2e) and Gross Domestic Product (GDP) of the industrial sector over a nine-year timespan, i.e. from 2008 to 2016. CO2e data at plant level have been retrieved from EU Emission Trading System (EU ETS) register and aggregated at different geographical scales, corresponding to the nested structure of NUTS (Nomenclature of Territorial Units for Statistics), proposed by EUROSTAT. Industrial GDP data have been selected from EUROSTAT database to match the industrial sectors covered by EU ETS.","author":[{"dropping-particle":"","family":"Mura","given":"Matteo","non-dropping-particle":"","parse-names":false,"suffix":""},{"dropping-particle":"","family":"Longo","given":"Mariolina","non-dropping-particle":"","parse-names":false,"suffix":""},{"dropping-particle":"","family":"Toschi","given":"Laura","non-dropping-particle":"","parse-names":false,"suffix":""},{"dropping-particle":"","family":"Zanni","given":"Sara","non-dropping-particle":"","parse-names":false,"suffix":""},{"dropping-particle":"","family":"Visani","given":"Franco","non-dropping-particle":"","parse-names":false,"suffix":""},{"dropping-particle":"","family":"Bianconcini","given":"Silvia","non-dropping-particle":"","parse-names":false,"suffix":""}],"container-title":"Data in Brief","id":"ITEM-1","issued":{"date-parts":[["2021"]]},"page":"107046","publisher":"Elsevier Inc.","title":"Industrial carbon emission intensity: A comprehensive dataset of European regions","type":"article-journal","volume":"36"},"uris":["http://www.mendeley.com/documents/?uuid=b3592ca4-156b-46e8-b825-77c827dbe576"]}],"mendeley":{"formattedCitation":"(Mura et al., 2021)","plainTextFormattedCitation":"(Mura et al., 2021)","previouslyFormattedCitation":"(Mura et al., 2021)"},"properties":{"noteIndex":0},"schema":"https://github.com/citation-style-language/schema/raw/master/csl-citation.json"}</w:instrText>
      </w:r>
      <w:r w:rsidR="00420426">
        <w:rPr>
          <w:lang w:val="en-GB"/>
        </w:rPr>
        <w:fldChar w:fldCharType="separate"/>
      </w:r>
      <w:r w:rsidR="00420426" w:rsidRPr="00134FAD">
        <w:rPr>
          <w:noProof/>
          <w:lang w:val="en-GB"/>
        </w:rPr>
        <w:t>(Mura et al., 2021)</w:t>
      </w:r>
      <w:r w:rsidR="00420426">
        <w:rPr>
          <w:lang w:val="en-GB"/>
        </w:rPr>
        <w:fldChar w:fldCharType="end"/>
      </w:r>
      <w:r w:rsidR="00420426" w:rsidRPr="00134FAD">
        <w:rPr>
          <w:lang w:val="en-GB"/>
        </w:rPr>
        <w:t xml:space="preserve">. </w:t>
      </w:r>
      <w:r w:rsidR="00B05B7F" w:rsidRPr="00B05B7F">
        <w:rPr>
          <w:lang w:val="en-GB"/>
        </w:rPr>
        <w:t>The adoption of homogeneous emission scales and equal transport distances enables the comparison to focus on differences arising from the hydrogen supply configuration rather than from variability in site characteristics</w:t>
      </w:r>
      <w:r w:rsidR="0002124E">
        <w:rPr>
          <w:lang w:val="en-GB"/>
        </w:rPr>
        <w:t xml:space="preserve">. </w:t>
      </w:r>
      <w:r w:rsidR="00D12EA3">
        <w:rPr>
          <w:lang w:val="en-GB"/>
        </w:rPr>
        <w:t>At each site, t</w:t>
      </w:r>
      <w:r w:rsidR="001E515E" w:rsidRPr="00C4049E">
        <w:rPr>
          <w:lang w:val="en-GB"/>
        </w:rPr>
        <w:t xml:space="preserve">he reference </w:t>
      </w:r>
      <w:r w:rsidR="00296128">
        <w:rPr>
          <w:lang w:val="en-GB"/>
        </w:rPr>
        <w:t xml:space="preserve">natural-gas-fired </w:t>
      </w:r>
      <w:r w:rsidR="001E515E" w:rsidRPr="00C4049E">
        <w:rPr>
          <w:lang w:val="en-GB"/>
        </w:rPr>
        <w:t xml:space="preserve">boiler is assumed to be retrofitted for hydrogen combustion. </w:t>
      </w:r>
      <w:r w:rsidR="008D71D5" w:rsidRPr="008D71D5">
        <w:rPr>
          <w:lang w:val="en-GB"/>
        </w:rPr>
        <w:t xml:space="preserve">Hydrogen transport in centralised supply configurations is assumed to occur via diesel heavy-duty road trucks, given the suitability of truck-based delivery for </w:t>
      </w:r>
      <w:r w:rsidR="00391A5C">
        <w:rPr>
          <w:lang w:val="en-GB"/>
        </w:rPr>
        <w:t>spatially</w:t>
      </w:r>
      <w:r w:rsidR="008D71D5" w:rsidRPr="008D71D5">
        <w:rPr>
          <w:lang w:val="en-GB"/>
        </w:rPr>
        <w:t xml:space="preserve"> dispersed industrial sites with relatively small demand</w:t>
      </w:r>
      <w:r w:rsidR="008D71D5">
        <w:rPr>
          <w:lang w:val="en-GB"/>
        </w:rPr>
        <w:t xml:space="preserve"> </w:t>
      </w:r>
      <w:r w:rsidR="00134FAD">
        <w:rPr>
          <w:lang w:val="en-GB"/>
        </w:rPr>
        <w:fldChar w:fldCharType="begin" w:fldLock="1"/>
      </w:r>
      <w:r w:rsidR="00134FAD">
        <w:rPr>
          <w:lang w:val="en-GB"/>
        </w:rPr>
        <w:instrText>ADDIN CSL_CITATION {"citationItems":[{"id":"ITEM-1","itemData":{"DOI":"10.1016/j.ijhydene.2017.08.002","ISSN":"03603199","abstract":"In this paper, performance and cost assessment studies, including the stages of hydrogen storage, transmission and distribution of three different hydrogen delivery pathways are undertaken comparatively. The produced hydrogen is stored under different temperatures and pressures and then transported to the nearby cities for distribution. In addition, three different methods for the transportation of the produced hydrogen to the distribution centers are studied, which are as transportation for hydrogen by the pressurized tanks, cryogenic liquid hydrogen tanker and the gas pipelines. Moreover, the transmission options from the distribution center to the target consumer are also examined for three different conditions. As a result, the hydrogen production capacity, the levelized cost of energy distribution (in $/kg), the infrastructure costs (truck, tanker number, gas line costs, etc.) for the selected transmission scenario are calculated. Furthermore, the environmental impact (greenhouse gas (GHG) emissions) and some application parameters of the proposed system (e.g., number of hydrogen fuel stations and the distance between the stations, length of the distribution lines, etc.) are also determined. The highest levelized cost of delivery is obtained as 8.02 $/kg H2 for the first scenario whereas the lowest cost is obtained as 2.73 $/kg H2 for the third scenario.","author":[{"dropping-particle":"","family":"Demir","given":"Murat Emre","non-dropping-particle":"","parse-names":false,"suffix":""},{"dropping-particle":"","family":"Dincer","given":"Ibrahim","non-dropping-particle":"","parse-names":false,"suffix":""}],"container-title":"International Journal of Hydrogen Energy","id":"ITEM-1","issue":"22","issued":{"date-parts":[["2018"]]},"page":"10420-10430","publisher":"Elsevier Ltd","title":"Cost assessment and evaluation of various hydrogen delivery scenarios","type":"article-journal","volume":"43"},"uris":["http://www.mendeley.com/documents/?uuid=4245846c-ca2d-4aa1-86fe-382edd7ef51f"]}],"mendeley":{"formattedCitation":"(Demir and Dincer, 2018)","plainTextFormattedCitation":"(Demir and Dincer, 2018)","previouslyFormattedCitation":"(Demir and Dincer, 2018)"},"properties":{"noteIndex":0},"schema":"https://github.com/citation-style-language/schema/raw/master/csl-citation.json"}</w:instrText>
      </w:r>
      <w:r w:rsidR="00134FAD">
        <w:rPr>
          <w:lang w:val="en-GB"/>
        </w:rPr>
        <w:fldChar w:fldCharType="separate"/>
      </w:r>
      <w:r w:rsidR="00134FAD" w:rsidRPr="00134FAD">
        <w:rPr>
          <w:noProof/>
          <w:lang w:val="en-GB"/>
        </w:rPr>
        <w:t>(Demir and Dincer, 2018)</w:t>
      </w:r>
      <w:r w:rsidR="00134FAD">
        <w:rPr>
          <w:lang w:val="en-GB"/>
        </w:rPr>
        <w:fldChar w:fldCharType="end"/>
      </w:r>
      <w:r w:rsidR="00134FAD" w:rsidRPr="00134FAD">
        <w:rPr>
          <w:lang w:val="en-GB"/>
        </w:rPr>
        <w:t>.</w:t>
      </w:r>
      <w:r w:rsidR="008D71D5">
        <w:rPr>
          <w:lang w:val="en-GB"/>
        </w:rPr>
        <w:t xml:space="preserve"> </w:t>
      </w:r>
      <w:r w:rsidR="00D96FBC" w:rsidRPr="00D96FBC">
        <w:rPr>
          <w:lang w:val="en-GB"/>
        </w:rPr>
        <w:t xml:space="preserve">The truck–trailer fleet is sized to meet the aggregate </w:t>
      </w:r>
      <w:r w:rsidR="00D96FBC" w:rsidRPr="00D96FBC">
        <w:rPr>
          <w:lang w:val="en-GB"/>
        </w:rPr>
        <w:lastRenderedPageBreak/>
        <w:t xml:space="preserve">hydrogen demand of the reference </w:t>
      </w:r>
      <w:r w:rsidR="00D96FBC">
        <w:rPr>
          <w:lang w:val="en-GB"/>
        </w:rPr>
        <w:t xml:space="preserve">industrial </w:t>
      </w:r>
      <w:r w:rsidR="00D96FBC" w:rsidRPr="00D96FBC">
        <w:rPr>
          <w:lang w:val="en-GB"/>
        </w:rPr>
        <w:t>sites, accounting for trailer payload capacity, transport distance, and round-trip time.</w:t>
      </w:r>
    </w:p>
    <w:p w14:paraId="156339AC" w14:textId="09C88FD8" w:rsidR="000864D5" w:rsidRDefault="004A4305" w:rsidP="000864D5">
      <w:pPr>
        <w:pStyle w:val="CETheadingx"/>
      </w:pPr>
      <w:bookmarkStart w:id="3" w:name="_Ref223019294"/>
      <w:r>
        <w:t>Hydrogen supply strategies</w:t>
      </w:r>
      <w:bookmarkEnd w:id="3"/>
    </w:p>
    <w:p w14:paraId="4B8ACC54" w14:textId="19F4BE78" w:rsidR="00664F25" w:rsidRPr="008C250A" w:rsidRDefault="00246D3C" w:rsidP="00891E6A">
      <w:pPr>
        <w:pStyle w:val="CETBodytext"/>
        <w:rPr>
          <w:lang w:val="en-GB"/>
        </w:rPr>
      </w:pPr>
      <w:r w:rsidRPr="00246D3C">
        <w:rPr>
          <w:lang w:val="en-GB"/>
        </w:rPr>
        <w:t xml:space="preserve">The hydrogen supply strategies analysed are specifically tailored to </w:t>
      </w:r>
      <w:r w:rsidR="001B7C39">
        <w:rPr>
          <w:lang w:val="en-GB"/>
        </w:rPr>
        <w:t>spatially</w:t>
      </w:r>
      <w:r w:rsidR="001B7C39" w:rsidRPr="00246D3C">
        <w:rPr>
          <w:lang w:val="en-GB"/>
        </w:rPr>
        <w:t xml:space="preserve"> </w:t>
      </w:r>
      <w:r w:rsidRPr="00246D3C">
        <w:rPr>
          <w:lang w:val="en-GB"/>
        </w:rPr>
        <w:t xml:space="preserve">dispersed industrial sites. </w:t>
      </w:r>
      <w:r w:rsidR="00556A08" w:rsidRPr="00556A08">
        <w:rPr>
          <w:lang w:val="en-GB"/>
        </w:rPr>
        <w:t>The proposed configurations address two structural constraints inherent to such settings—limited economies of scale and geographic dispersion—by centralising hydrogen production and conditioning and by adopting truck-based delivery to link distributed end users.</w:t>
      </w:r>
      <w:r w:rsidR="006F571F">
        <w:t xml:space="preserve"> </w:t>
      </w:r>
      <w:r w:rsidR="00891E6A">
        <w:rPr>
          <w:lang w:val="en-GB"/>
        </w:rPr>
        <w:fldChar w:fldCharType="begin"/>
      </w:r>
      <w:r w:rsidR="00891E6A">
        <w:instrText xml:space="preserve"> REF _Ref222931554 \h </w:instrText>
      </w:r>
      <w:r w:rsidR="00891E6A">
        <w:rPr>
          <w:lang w:val="en-GB"/>
        </w:rPr>
      </w:r>
      <w:r w:rsidR="00891E6A">
        <w:rPr>
          <w:lang w:val="en-GB"/>
        </w:rPr>
        <w:fldChar w:fldCharType="separate"/>
      </w:r>
      <w:r w:rsidR="00891E6A" w:rsidRPr="00CE2DF9">
        <w:t>Figure 2</w:t>
      </w:r>
      <w:r w:rsidR="00891E6A">
        <w:rPr>
          <w:lang w:val="en-GB"/>
        </w:rPr>
        <w:fldChar w:fldCharType="end"/>
      </w:r>
      <w:r w:rsidR="00891E6A" w:rsidRPr="00891E6A">
        <w:rPr>
          <w:lang w:val="en-GB"/>
        </w:rPr>
        <w:t xml:space="preserve"> schematically illustrates the evaluated strategies—</w:t>
      </w:r>
      <w:r w:rsidR="00891E6A">
        <w:rPr>
          <w:lang w:val="en-GB"/>
        </w:rPr>
        <w:t>CGH</w:t>
      </w:r>
      <w:r w:rsidR="00891E6A" w:rsidRPr="00891E6A">
        <w:rPr>
          <w:vertAlign w:val="subscript"/>
          <w:lang w:val="en-GB"/>
        </w:rPr>
        <w:t>2</w:t>
      </w:r>
      <w:r w:rsidR="00891E6A" w:rsidRPr="00891E6A">
        <w:rPr>
          <w:lang w:val="en-GB"/>
        </w:rPr>
        <w:t>, L</w:t>
      </w:r>
      <w:r w:rsidR="00891E6A">
        <w:rPr>
          <w:lang w:val="en-GB"/>
        </w:rPr>
        <w:t>H</w:t>
      </w:r>
      <w:r w:rsidR="00891E6A" w:rsidRPr="00891E6A">
        <w:rPr>
          <w:vertAlign w:val="subscript"/>
          <w:lang w:val="en-GB"/>
        </w:rPr>
        <w:t>2</w:t>
      </w:r>
      <w:r w:rsidR="000F66F1">
        <w:rPr>
          <w:lang w:val="en-GB"/>
        </w:rPr>
        <w:t xml:space="preserve"> and</w:t>
      </w:r>
      <w:r w:rsidR="00891E6A" w:rsidRPr="00891E6A">
        <w:rPr>
          <w:lang w:val="en-GB"/>
        </w:rPr>
        <w:t xml:space="preserve"> LOHC</w:t>
      </w:r>
      <w:r w:rsidR="00891E6A" w:rsidRPr="00891E6A">
        <w:rPr>
          <w:rFonts w:cs="Arial"/>
          <w:lang w:val="en-GB"/>
        </w:rPr>
        <w:t>—</w:t>
      </w:r>
      <w:r w:rsidR="00891E6A" w:rsidRPr="00891E6A">
        <w:rPr>
          <w:lang w:val="en-GB"/>
        </w:rPr>
        <w:t xml:space="preserve">highlighting centralised operations, road transport, and on-site processing prior to industrial use. </w:t>
      </w:r>
      <w:r w:rsidR="008F6755" w:rsidRPr="008F6755">
        <w:rPr>
          <w:lang w:val="en-GB"/>
        </w:rPr>
        <w:t>LOHC was selected as the hydrogen carrier option due to its favourable safety and handling characteristics compared with alternative hydrogen carriers such as ammonia</w:t>
      </w:r>
      <w:r w:rsidR="008E5720">
        <w:rPr>
          <w:lang w:val="en-GB"/>
        </w:rPr>
        <w:t xml:space="preserve"> and methanol</w:t>
      </w:r>
      <w:r w:rsidR="008F6755" w:rsidRPr="008F6755">
        <w:rPr>
          <w:lang w:val="en-GB"/>
        </w:rPr>
        <w:t xml:space="preserve"> (SGN, 2021)</w:t>
      </w:r>
      <w:r w:rsidR="008F6755">
        <w:rPr>
          <w:lang w:val="en-GB"/>
        </w:rPr>
        <w:t xml:space="preserve">. </w:t>
      </w:r>
      <w:r w:rsidR="00891E6A" w:rsidRPr="00891E6A">
        <w:rPr>
          <w:lang w:val="en-GB"/>
        </w:rPr>
        <w:t>Local electrolysis is introduced as the benchmark configuration, representing a fully decentralised supply option without hydrogen transport.</w:t>
      </w:r>
    </w:p>
    <w:p w14:paraId="20410CAF" w14:textId="77777777" w:rsidR="00814622" w:rsidRPr="00814622" w:rsidRDefault="00814622" w:rsidP="00814622">
      <w:pPr>
        <w:pStyle w:val="CETBodytext"/>
      </w:pPr>
    </w:p>
    <w:p w14:paraId="0DF19625" w14:textId="57C128D1" w:rsidR="00CE2DF9" w:rsidRDefault="00DA4523" w:rsidP="00CE2DF9">
      <w:pPr>
        <w:pStyle w:val="CETBodytext"/>
        <w:keepNext/>
      </w:pPr>
      <w:r w:rsidRPr="00DA4523">
        <w:rPr>
          <w:noProof/>
        </w:rPr>
        <w:drawing>
          <wp:inline distT="0" distB="0" distL="0" distR="0" wp14:anchorId="18C84412" wp14:editId="475F04F6">
            <wp:extent cx="5546271" cy="2428625"/>
            <wp:effectExtent l="0" t="0" r="0" b="0"/>
            <wp:docPr id="4967390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l="5658"/>
                    <a:stretch>
                      <a:fillRect/>
                    </a:stretch>
                  </pic:blipFill>
                  <pic:spPr bwMode="auto">
                    <a:xfrm>
                      <a:off x="0" y="0"/>
                      <a:ext cx="5559836" cy="2434565"/>
                    </a:xfrm>
                    <a:prstGeom prst="rect">
                      <a:avLst/>
                    </a:prstGeom>
                    <a:noFill/>
                    <a:ln>
                      <a:noFill/>
                    </a:ln>
                    <a:extLst>
                      <a:ext uri="{53640926-AAD7-44D8-BBD7-CCE9431645EC}">
                        <a14:shadowObscured xmlns:a14="http://schemas.microsoft.com/office/drawing/2010/main"/>
                      </a:ext>
                    </a:extLst>
                  </pic:spPr>
                </pic:pic>
              </a:graphicData>
            </a:graphic>
          </wp:inline>
        </w:drawing>
      </w:r>
    </w:p>
    <w:p w14:paraId="528AD587" w14:textId="580655DE" w:rsidR="005C5384" w:rsidRDefault="00CE2DF9" w:rsidP="00682621">
      <w:pPr>
        <w:pStyle w:val="CETCaption"/>
      </w:pPr>
      <w:bookmarkStart w:id="4" w:name="_Ref222931554"/>
      <w:r w:rsidRPr="00CE2DF9">
        <w:t xml:space="preserve">Figure </w:t>
      </w:r>
      <w:r w:rsidRPr="00CE2DF9">
        <w:fldChar w:fldCharType="begin"/>
      </w:r>
      <w:r w:rsidRPr="00CE2DF9">
        <w:instrText xml:space="preserve"> SEQ Figure \* ARABIC </w:instrText>
      </w:r>
      <w:r w:rsidRPr="00CE2DF9">
        <w:fldChar w:fldCharType="separate"/>
      </w:r>
      <w:r w:rsidRPr="00CE2DF9">
        <w:t>2</w:t>
      </w:r>
      <w:r w:rsidRPr="00CE2DF9">
        <w:fldChar w:fldCharType="end"/>
      </w:r>
      <w:bookmarkEnd w:id="4"/>
      <w:r w:rsidRPr="00CE2DF9">
        <w:t>: Schematic representation of the evaluated hydrogen supply strategies (CGH</w:t>
      </w:r>
      <w:r w:rsidRPr="00CE2DF9">
        <w:rPr>
          <w:vertAlign w:val="subscript"/>
        </w:rPr>
        <w:t>2</w:t>
      </w:r>
      <w:r w:rsidRPr="00CE2DF9">
        <w:t>, LH</w:t>
      </w:r>
      <w:r w:rsidRPr="00CE2DF9">
        <w:rPr>
          <w:vertAlign w:val="subscript"/>
        </w:rPr>
        <w:t>2</w:t>
      </w:r>
      <w:r w:rsidRPr="00CE2DF9">
        <w:t>, LOHC, and local electrolysis), illustrating centralised operations, road transport, and on-site processing prior to industrial use.</w:t>
      </w:r>
    </w:p>
    <w:p w14:paraId="399AB7E8" w14:textId="7B7A0D38" w:rsidR="008C250A" w:rsidRPr="000864D5" w:rsidRDefault="008C250A" w:rsidP="0089366D">
      <w:pPr>
        <w:pStyle w:val="CETBodytext"/>
      </w:pPr>
      <w:r w:rsidRPr="00891E6A">
        <w:t xml:space="preserve">An alkaline </w:t>
      </w:r>
      <w:proofErr w:type="spellStart"/>
      <w:r w:rsidRPr="00891E6A">
        <w:t>electrolyser</w:t>
      </w:r>
      <w:proofErr w:type="spellEnd"/>
      <w:r w:rsidRPr="00891E6A">
        <w:t xml:space="preserve"> (AEL) is assumed for </w:t>
      </w:r>
      <w:r w:rsidR="00A166E0">
        <w:t xml:space="preserve">renewable </w:t>
      </w:r>
      <w:r w:rsidRPr="00891E6A">
        <w:t>hydrogen production across all strategies to ensure technological consistency and comparability</w:t>
      </w:r>
      <w:r w:rsidRPr="008C250A">
        <w:t xml:space="preserve"> </w:t>
      </w:r>
      <w:r w:rsidRPr="008C250A">
        <w:fldChar w:fldCharType="begin" w:fldLock="1"/>
      </w:r>
      <w:r w:rsidRPr="008C250A">
        <w:instrText>ADDIN CSL_CITATION {"citationItems":[{"id":"ITEM-1","itemData":{"DOI":"10.3390/pr13041081","ISSN":"22279717","abstract":"This study presents a techno-economic analysis of hydrogen transportation via liquid organic hydrogen carriers by road, comparing this option with compressed hydrogen (350 bar) and liquefied hydrogen. The analysis includes the simulation of hydrogenation and dehydrogenation reactors for the dibenzyltoluene/perhydro-dibenzyltoluene system using ASPEN Plus, along with a cost assessment of compression, liquefaction, and trucking. A sensitivity analysis is also carried out, evaluating hydrogen transport at varying daily demand levels (1, 2, and 4 t/d) and transport distances (50, 150, and 300 km), with varying electricity prices and capital expenditures for hydrogenation and dehydrogenation units. Results indicate that compressed hydrogen is the most cost-effective solution for short distances up to 150 km, with a levelized cost of transported hydrogen ranging from 1.10 to 1.61 EUR/kg. However, LOHC technology becomes more competitive at longer distances, with LCOTH values between 1.49 and 1.90 EUR/kg at 300 km across all demand levels. Liquefied hydrogen remains the least competitive option, reaching costs up to 5.35 EUR/kg, although it requires fewer annual trips due to higher trailer capacity. Notably, at 150 km, LOHC transport becomes more cost-effective than compressed hydrogen when electricity prices exceed 0.22 EUR/kWh or when the capital costs for hydrogenation and dehydrogenation units are minimized. From an environmental perspective, switching from compressed to liquid hydrogen carriers significantly reduces CO2 emissions—by 56% for LOHCs and 78% for liquid hydrogen—highlighting the potential of these technologies to support the decarbonization of hydrogen logistics.","author":[{"dropping-particle":"","family":"Cava","given":"Carmine","non-dropping-particle":"","parse-names":false,"suffix":""},{"dropping-particle":"","family":"Gagliardi","given":"Gabriele Guglielmo","non-dropping-particle":"","parse-names":false,"suffix":""},{"dropping-particle":"","family":"Piscolla","given":"Enrica","non-dropping-particle":"","parse-names":false,"suffix":""},{"dropping-particle":"","family":"Borello","given":"Domenico","non-dropping-particle":"","parse-names":false,"suffix":""}],"container-title":"Processes","id":"ITEM-1","issue":"4","issued":{"date-parts":[["2025"]]},"page":"1-25","title":"Techno-Economic Analysis of Hydrogen Transport via Truck Using Liquid Organic Hydrogen Carriers","type":"article-journal","volume":"13"},"uris":["http://www.mendeley.com/documents/?uuid=d1426f57-3b1c-490b-85b6-d2e7dd1b8d17"]}],"mendeley":{"formattedCitation":"(Cava et al., 2025)","plainTextFormattedCitation":"(Cava et al., 2025)","previouslyFormattedCitation":"(Cava et al., 2025)"},"properties":{"noteIndex":0},"schema":"https://github.com/citation-style-language/schema/raw/master/csl-citation.json"}</w:instrText>
      </w:r>
      <w:r w:rsidRPr="008C250A">
        <w:fldChar w:fldCharType="separate"/>
      </w:r>
      <w:r w:rsidRPr="008C250A">
        <w:rPr>
          <w:noProof/>
        </w:rPr>
        <w:t>(Cava et al., 2025)</w:t>
      </w:r>
      <w:r w:rsidRPr="008C250A">
        <w:fldChar w:fldCharType="end"/>
      </w:r>
      <w:r w:rsidRPr="00891E6A">
        <w:t xml:space="preserve">. </w:t>
      </w:r>
      <w:r w:rsidR="003351D9" w:rsidRPr="003351D9">
        <w:rPr>
          <w:lang w:val="en-GB"/>
        </w:rPr>
        <w:t xml:space="preserve">This modelling assumption allows the analysis to isolate the safety implications of alternative hydrogen supply </w:t>
      </w:r>
      <w:r w:rsidR="00905EAB">
        <w:rPr>
          <w:lang w:val="en-GB"/>
        </w:rPr>
        <w:t>modes</w:t>
      </w:r>
      <w:r w:rsidR="003351D9" w:rsidRPr="003351D9">
        <w:rPr>
          <w:lang w:val="en-GB"/>
        </w:rPr>
        <w:t xml:space="preserve">, independently of the </w:t>
      </w:r>
      <w:r w:rsidR="00905EAB">
        <w:rPr>
          <w:lang w:val="en-GB"/>
        </w:rPr>
        <w:t xml:space="preserve">upstream </w:t>
      </w:r>
      <w:r w:rsidR="003351D9" w:rsidRPr="003351D9">
        <w:rPr>
          <w:lang w:val="en-GB"/>
        </w:rPr>
        <w:t>hydrogen production route.</w:t>
      </w:r>
      <w:r w:rsidR="00905EAB">
        <w:rPr>
          <w:lang w:val="en-GB"/>
        </w:rPr>
        <w:t xml:space="preserve"> </w:t>
      </w:r>
      <w:r w:rsidRPr="00891E6A">
        <w:t xml:space="preserve">Operating conditions required for process unit sizing in the </w:t>
      </w:r>
      <w:r w:rsidRPr="008C250A">
        <w:t>CGH</w:t>
      </w:r>
      <w:r w:rsidRPr="008C250A">
        <w:rPr>
          <w:vertAlign w:val="subscript"/>
        </w:rPr>
        <w:t>2</w:t>
      </w:r>
      <w:r w:rsidRPr="00891E6A">
        <w:t xml:space="preserve"> and </w:t>
      </w:r>
      <w:r w:rsidRPr="008C250A">
        <w:t>LH</w:t>
      </w:r>
      <w:r w:rsidRPr="008C250A">
        <w:rPr>
          <w:vertAlign w:val="subscript"/>
        </w:rPr>
        <w:t>2</w:t>
      </w:r>
      <w:r w:rsidRPr="00891E6A">
        <w:t xml:space="preserve"> </w:t>
      </w:r>
      <w:r w:rsidRPr="008C250A">
        <w:t>strategies</w:t>
      </w:r>
      <w:r w:rsidRPr="00891E6A">
        <w:t xml:space="preserve"> are adopted from </w:t>
      </w:r>
      <w:r w:rsidRPr="008C250A">
        <w:fldChar w:fldCharType="begin" w:fldLock="1"/>
      </w:r>
      <w:r w:rsidRPr="008C250A">
        <w:instrText>ADDIN CSL_CITATION {"citationItems":[{"id":"ITEM-1","itemData":{"DOI":"10.3390/pr13041081","ISSN":"22279717","abstract":"This study presents a techno-economic analysis of hydrogen transportation via liquid organic hydrogen carriers by road, comparing this option with compressed hydrogen (350 bar) and liquefied hydrogen. The analysis includes the simulation of hydrogenation and dehydrogenation reactors for the dibenzyltoluene/perhydro-dibenzyltoluene system using ASPEN Plus, along with a cost assessment of compression, liquefaction, and trucking. A sensitivity analysis is also carried out, evaluating hydrogen transport at varying daily demand levels (1, 2, and 4 t/d) and transport distances (50, 150, and 300 km), with varying electricity prices and capital expenditures for hydrogenation and dehydrogenation units. Results indicate that compressed hydrogen is the most cost-effective solution for short distances up to 150 km, with a levelized cost of transported hydrogen ranging from 1.10 to 1.61 EUR/kg. However, LOHC technology becomes more competitive at longer distances, with LCOTH values between 1.49 and 1.90 EUR/kg at 300 km across all demand levels. Liquefied hydrogen remains the least competitive option, reaching costs up to 5.35 EUR/kg, although it requires fewer annual trips due to higher trailer capacity. Notably, at 150 km, LOHC transport becomes more cost-effective than compressed hydrogen when electricity prices exceed 0.22 EUR/kWh or when the capital costs for hydrogenation and dehydrogenation units are minimized. From an environmental perspective, switching from compressed to liquid hydrogen carriers significantly reduces CO2 emissions—by 56% for LOHCs and 78% for liquid hydrogen—highlighting the potential of these technologies to support the decarbonization of hydrogen logistics.","author":[{"dropping-particle":"","family":"Cava","given":"Carmine","non-dropping-particle":"","parse-names":false,"suffix":""},{"dropping-particle":"","family":"Gagliardi","given":"Gabriele Guglielmo","non-dropping-particle":"","parse-names":false,"suffix":""},{"dropping-particle":"","family":"Piscolla","given":"Enrica","non-dropping-particle":"","parse-names":false,"suffix":""},{"dropping-particle":"","family":"Borello","given":"Domenico","non-dropping-particle":"","parse-names":false,"suffix":""}],"container-title":"Processes","id":"ITEM-1","issue":"4","issued":{"date-parts":[["2025"]]},"page":"1-25","title":"Techno-Economic Analysis of Hydrogen Transport via Truck Using Liquid Organic Hydrogen Carriers","type":"article-journal","volume":"13"},"uris":["http://www.mendeley.com/documents/?uuid=d1426f57-3b1c-490b-85b6-d2e7dd1b8d17"]}],"mendeley":{"formattedCitation":"(Cava et al., 2025)","manualFormatting":"Cava et al. (2025)","plainTextFormattedCitation":"(Cava et al., 2025)","previouslyFormattedCitation":"(Cava et al., 2025)"},"properties":{"noteIndex":0},"schema":"https://github.com/citation-style-language/schema/raw/master/csl-citation.json"}</w:instrText>
      </w:r>
      <w:r w:rsidRPr="008C250A">
        <w:fldChar w:fldCharType="separate"/>
      </w:r>
      <w:r w:rsidRPr="008C250A">
        <w:rPr>
          <w:noProof/>
        </w:rPr>
        <w:t>Cava et al. (2025)</w:t>
      </w:r>
      <w:r w:rsidRPr="008C250A">
        <w:fldChar w:fldCharType="end"/>
      </w:r>
      <w:r w:rsidRPr="00891E6A">
        <w:t xml:space="preserve">, while LOHC hydrogenation and dehydrogenation sections are </w:t>
      </w:r>
      <w:r w:rsidRPr="008C250A">
        <w:t>modelled</w:t>
      </w:r>
      <w:r w:rsidRPr="00891E6A">
        <w:t xml:space="preserve"> according to </w:t>
      </w:r>
      <w:r w:rsidRPr="008C250A">
        <w:fldChar w:fldCharType="begin" w:fldLock="1"/>
      </w:r>
      <w:r w:rsidR="006E6073">
        <w:instrText>ADDIN CSL_CITATION {"citationItems":[{"id":"ITEM-1","itemData":{"DOI":"10.1016/j.apenergy.2016.10.068","ISSN":"03062619","abstract":"A techno-economic evaluation and feasibility study of a stationary electricity storage system is conducted for an application in an industrial plant. The analysis is based on a model that includes both technological and economic components. It assumes that electricity is produced through wind turbines and photovoltaic systems. The produced electricity can be stored by conversion to hydrogen through electrolysis and reconversion through thermal energy converters. The system stores the produced hydrogen using Liquid Organic Hydrogen Carriers (LOHC). As carrier material, dibenzyltoluene is selected. The model includes investment costs and calculations to conduct economic analysis. It is used to create economically optimized systems that give realistic cost estimations. Technical and economic data are taken from in-house experiments, quotes from manufacturers and literature. The application is evaluated for the electricity supply to a BMW Group production site located in Germany. Results show that at present, converting excess energy to heat is a more economical option than electricity storage using LOHC. However, if the goal is to provide a majority (&gt;75%) of the needed electricity with on-site renewable energy, an energy storage system becomes economical to use today. Based on assumptions for the year 2030 a completely self-sufficient energy supply system built in 2030 is competitive to the electricity purchase from the grid.","author":[{"dropping-particle":"","family":"Eypasch","given":"Martin","non-dropping-particle":"","parse-names":false,"suffix":""},{"dropping-particle":"","family":"Schimpe","given":"Michael","non-dropping-particle":"","parse-names":false,"suffix":""},{"dropping-particle":"","family":"Kanwar","given":"Aastha","non-dropping-particle":"","parse-names":false,"suffix":""},{"dropping-particle":"","family":"Hartmann","given":"Tobias","non-dropping-particle":"","parse-names":false,"suffix":""},{"dropping-particle":"","family":"Herzog","given":"Simon","non-dropping-particle":"","parse-names":false,"suffix":""},{"dropping-particle":"","family":"Frank","given":"Torsten","non-dropping-particle":"","parse-names":false,"suffix":""},{"dropping-particle":"","family":"Hamacher","given":"Thomas","non-dropping-particle":"","parse-names":false,"suffix":""}],"container-title":"Applied Energy","id":"ITEM-1","issued":{"date-parts":[["2017"]]},"page":"320-330","publisher":"Elsevier Ltd","title":"Model-based techno-economic evaluation of an electricity storage system based on Liquid Organic Hydrogen Carriers","type":"article-journal","volume":"185"},"uris":["http://www.mendeley.com/documents/?uuid=80bf48da-4c32-47bf-892b-08a5f0771485"]}],"mendeley":{"formattedCitation":"(Eypasch et al., 2017)","manualFormatting":"Eypasch et al. (2017)","plainTextFormattedCitation":"(Eypasch et al., 2017)","previouslyFormattedCitation":"(Eypasch et al., 2017)"},"properties":{"noteIndex":0},"schema":"https://github.com/citation-style-language/schema/raw/master/csl-citation.json"}</w:instrText>
      </w:r>
      <w:r w:rsidRPr="008C250A">
        <w:fldChar w:fldCharType="separate"/>
      </w:r>
      <w:r w:rsidRPr="008C250A">
        <w:rPr>
          <w:noProof/>
        </w:rPr>
        <w:t>Eypasch et al. (2017)</w:t>
      </w:r>
      <w:r w:rsidRPr="008C250A">
        <w:fldChar w:fldCharType="end"/>
      </w:r>
      <w:r w:rsidRPr="00891E6A">
        <w:t xml:space="preserve">. </w:t>
      </w:r>
      <w:r w:rsidRPr="008C250A">
        <w:t>The payload capacity of the corresponding transport trailers (tube trailers for CGH</w:t>
      </w:r>
      <w:r w:rsidRPr="008C250A">
        <w:rPr>
          <w:vertAlign w:val="subscript"/>
        </w:rPr>
        <w:t>2</w:t>
      </w:r>
      <w:r w:rsidRPr="008C250A">
        <w:t xml:space="preserve"> and tanker trailers for LH</w:t>
      </w:r>
      <w:r w:rsidRPr="008C250A">
        <w:rPr>
          <w:vertAlign w:val="subscript"/>
        </w:rPr>
        <w:t>2</w:t>
      </w:r>
      <w:r w:rsidRPr="008C250A">
        <w:t xml:space="preserve"> and </w:t>
      </w:r>
      <w:r w:rsidRPr="00891E6A">
        <w:t>LOHC</w:t>
      </w:r>
      <w:r w:rsidRPr="008C250A">
        <w:t xml:space="preserve">) is derived from technical data reported by </w:t>
      </w:r>
      <w:r w:rsidRPr="008C250A">
        <w:fldChar w:fldCharType="begin" w:fldLock="1"/>
      </w:r>
      <w:r w:rsidRPr="008C250A">
        <w:instrText>ADDIN CSL_CITATION {"citationItems":[{"id":"ITEM-1","itemData":{"DOI":"10.3390/pr13041081","ISSN":"22279717","abstract":"This study presents a techno-economic analysis of hydrogen transportation via liquid organic hydrogen carriers by road, comparing this option with compressed hydrogen (350 bar) and liquefied hydrogen. The analysis includes the simulation of hydrogenation and dehydrogenation reactors for the dibenzyltoluene/perhydro-dibenzyltoluene system using ASPEN Plus, along with a cost assessment of compression, liquefaction, and trucking. A sensitivity analysis is also carried out, evaluating hydrogen transport at varying daily demand levels (1, 2, and 4 t/d) and transport distances (50, 150, and 300 km), with varying electricity prices and capital expenditures for hydrogenation and dehydrogenation units. Results indicate that compressed hydrogen is the most cost-effective solution for short distances up to 150 km, with a levelized cost of transported hydrogen ranging from 1.10 to 1.61 EUR/kg. However, LOHC technology becomes more competitive at longer distances, with LCOTH values between 1.49 and 1.90 EUR/kg at 300 km across all demand levels. Liquefied hydrogen remains the least competitive option, reaching costs up to 5.35 EUR/kg, although it requires fewer annual trips due to higher trailer capacity. Notably, at 150 km, LOHC transport becomes more cost-effective than compressed hydrogen when electricity prices exceed 0.22 EUR/kWh or when the capital costs for hydrogenation and dehydrogenation units are minimized. From an environmental perspective, switching from compressed to liquid hydrogen carriers significantly reduces CO2 emissions—by 56% for LOHCs and 78% for liquid hydrogen—highlighting the potential of these technologies to support the decarbonization of hydrogen logistics.","author":[{"dropping-particle":"","family":"Cava","given":"Carmine","non-dropping-particle":"","parse-names":false,"suffix":""},{"dropping-particle":"","family":"Gagliardi","given":"Gabriele Guglielmo","non-dropping-particle":"","parse-names":false,"suffix":""},{"dropping-particle":"","family":"Piscolla","given":"Enrica","non-dropping-particle":"","parse-names":false,"suffix":""},{"dropping-particle":"","family":"Borello","given":"Domenico","non-dropping-particle":"","parse-names":false,"suffix":""}],"container-title":"Processes","id":"ITEM-1","issue":"4","issued":{"date-parts":[["2025"]]},"page":"1-25","title":"Techno-Economic Analysis of Hydrogen Transport via Truck Using Liquid Organic Hydrogen Carriers","type":"article-journal","volume":"13"},"uris":["http://www.mendeley.com/documents/?uuid=d1426f57-3b1c-490b-85b6-d2e7dd1b8d17"]}],"mendeley":{"formattedCitation":"(Cava et al., 2025)","manualFormatting":"Cava et al. (2025)","plainTextFormattedCitation":"(Cava et al., 2025)","previouslyFormattedCitation":"(Cava et al., 2025)"},"properties":{"noteIndex":0},"schema":"https://github.com/citation-style-language/schema/raw/master/csl-citation.json"}</w:instrText>
      </w:r>
      <w:r w:rsidRPr="008C250A">
        <w:fldChar w:fldCharType="separate"/>
      </w:r>
      <w:r w:rsidRPr="008C250A">
        <w:rPr>
          <w:noProof/>
        </w:rPr>
        <w:t>Cava et al. (2025)</w:t>
      </w:r>
      <w:r w:rsidRPr="008C250A">
        <w:fldChar w:fldCharType="end"/>
      </w:r>
      <w:r w:rsidRPr="008C250A">
        <w:t>.</w:t>
      </w:r>
    </w:p>
    <w:p w14:paraId="7D41C329" w14:textId="20509FCF" w:rsidR="00D36E01" w:rsidRDefault="00D36E01" w:rsidP="00D36E01">
      <w:pPr>
        <w:pStyle w:val="CETHeading1"/>
        <w:rPr>
          <w:lang w:val="en-GB"/>
        </w:rPr>
      </w:pPr>
      <w:r>
        <w:rPr>
          <w:lang w:val="en-GB"/>
        </w:rPr>
        <w:t>Results and discussion</w:t>
      </w:r>
    </w:p>
    <w:p w14:paraId="47E13B46" w14:textId="69BD6DBD" w:rsidR="00F06B02" w:rsidRDefault="008312F5" w:rsidP="00F06B02">
      <w:pPr>
        <w:pStyle w:val="CETBodytext"/>
        <w:rPr>
          <w:lang w:val="en-GB"/>
        </w:rPr>
      </w:pPr>
      <w:r w:rsidRPr="008312F5">
        <w:rPr>
          <w:lang w:val="en-GB"/>
        </w:rPr>
        <w:t xml:space="preserve">HSPI and HSHI were calculated for the alternative hydrogen supply strategies </w:t>
      </w:r>
      <w:r w:rsidR="00957A1F">
        <w:rPr>
          <w:lang w:val="en-GB"/>
        </w:rPr>
        <w:t>serving</w:t>
      </w:r>
      <w:r w:rsidRPr="008312F5">
        <w:rPr>
          <w:lang w:val="en-GB"/>
        </w:rPr>
        <w:t xml:space="preserve"> the </w:t>
      </w:r>
      <w:r w:rsidR="00957A1F">
        <w:rPr>
          <w:lang w:val="en-GB"/>
        </w:rPr>
        <w:t>spatially</w:t>
      </w:r>
      <w:r w:rsidR="00957A1F" w:rsidRPr="008312F5">
        <w:rPr>
          <w:lang w:val="en-GB"/>
        </w:rPr>
        <w:t xml:space="preserve"> </w:t>
      </w:r>
      <w:r w:rsidRPr="008312F5">
        <w:rPr>
          <w:lang w:val="en-GB"/>
        </w:rPr>
        <w:t xml:space="preserve">dispersed industrial sites considered in the case study. </w:t>
      </w:r>
      <w:r>
        <w:rPr>
          <w:lang w:val="en-GB"/>
        </w:rPr>
        <w:fldChar w:fldCharType="begin"/>
      </w:r>
      <w:r>
        <w:rPr>
          <w:lang w:val="en-GB"/>
        </w:rPr>
        <w:instrText xml:space="preserve"> REF _Ref222995231 \h </w:instrText>
      </w:r>
      <w:r>
        <w:rPr>
          <w:lang w:val="en-GB"/>
        </w:rPr>
      </w:r>
      <w:r>
        <w:rPr>
          <w:lang w:val="en-GB"/>
        </w:rPr>
        <w:fldChar w:fldCharType="separate"/>
      </w:r>
      <w:r>
        <w:t xml:space="preserve">Figure </w:t>
      </w:r>
      <w:r>
        <w:rPr>
          <w:noProof/>
        </w:rPr>
        <w:t>3</w:t>
      </w:r>
      <w:r>
        <w:rPr>
          <w:lang w:val="en-GB"/>
        </w:rPr>
        <w:fldChar w:fldCharType="end"/>
      </w:r>
      <w:r>
        <w:rPr>
          <w:lang w:val="en-GB"/>
        </w:rPr>
        <w:t xml:space="preserve"> </w:t>
      </w:r>
      <w:r w:rsidRPr="008312F5">
        <w:rPr>
          <w:lang w:val="en-GB"/>
        </w:rPr>
        <w:t>presents the resulting indices together with the contribution of on-site operations, transport, and centralised facilities.</w:t>
      </w:r>
    </w:p>
    <w:p w14:paraId="69B025E6" w14:textId="01A74D60" w:rsidR="007526B2" w:rsidRDefault="007526B2" w:rsidP="007526B2">
      <w:pPr>
        <w:pStyle w:val="CETBodytext"/>
        <w:rPr>
          <w:lang w:val="en-GB"/>
        </w:rPr>
      </w:pPr>
      <w:r>
        <w:rPr>
          <w:lang w:val="en-GB"/>
        </w:rPr>
        <w:t>Under the</w:t>
      </w:r>
      <w:r w:rsidRPr="004B6AD4">
        <w:rPr>
          <w:lang w:val="en-GB"/>
        </w:rPr>
        <w:t xml:space="preserve"> HSPI </w:t>
      </w:r>
      <w:r>
        <w:rPr>
          <w:lang w:val="en-GB"/>
        </w:rPr>
        <w:t xml:space="preserve">metric </w:t>
      </w:r>
      <w:r w:rsidRPr="004B6AD4">
        <w:rPr>
          <w:lang w:val="en-GB"/>
        </w:rPr>
        <w:t>(</w:t>
      </w:r>
      <w:r>
        <w:rPr>
          <w:lang w:val="en-GB"/>
        </w:rPr>
        <w:fldChar w:fldCharType="begin"/>
      </w:r>
      <w:r>
        <w:rPr>
          <w:lang w:val="en-GB"/>
        </w:rPr>
        <w:instrText xml:space="preserve"> REF _Ref222995231 \h </w:instrText>
      </w:r>
      <w:r>
        <w:rPr>
          <w:lang w:val="en-GB"/>
        </w:rPr>
      </w:r>
      <w:r>
        <w:rPr>
          <w:lang w:val="en-GB"/>
        </w:rPr>
        <w:fldChar w:fldCharType="separate"/>
      </w:r>
      <w:r>
        <w:t xml:space="preserve">Figure </w:t>
      </w:r>
      <w:r>
        <w:rPr>
          <w:noProof/>
        </w:rPr>
        <w:t>3</w:t>
      </w:r>
      <w:r>
        <w:rPr>
          <w:lang w:val="en-GB"/>
        </w:rPr>
        <w:fldChar w:fldCharType="end"/>
      </w:r>
      <w:r w:rsidRPr="004B6AD4">
        <w:rPr>
          <w:lang w:val="en-GB"/>
        </w:rPr>
        <w:t xml:space="preserve">a), which reflects </w:t>
      </w:r>
      <w:r>
        <w:rPr>
          <w:lang w:val="en-GB"/>
        </w:rPr>
        <w:t>consequence severity only</w:t>
      </w:r>
      <w:r w:rsidRPr="004B6AD4">
        <w:rPr>
          <w:lang w:val="en-GB"/>
        </w:rPr>
        <w:t xml:space="preserve">, </w:t>
      </w:r>
      <w:r w:rsidRPr="00BB3C2C">
        <w:rPr>
          <w:lang w:val="en-GB"/>
        </w:rPr>
        <w:t xml:space="preserve">the </w:t>
      </w:r>
      <w:r w:rsidRPr="008C250A">
        <w:t>LH</w:t>
      </w:r>
      <w:r w:rsidRPr="008C250A">
        <w:rPr>
          <w:vertAlign w:val="subscript"/>
        </w:rPr>
        <w:t>2</w:t>
      </w:r>
      <w:r w:rsidRPr="00BB3C2C">
        <w:rPr>
          <w:lang w:val="en-GB"/>
        </w:rPr>
        <w:t xml:space="preserve"> supply option exhibits the highest </w:t>
      </w:r>
      <w:r>
        <w:rPr>
          <w:lang w:val="en-GB"/>
        </w:rPr>
        <w:t xml:space="preserve">inherent </w:t>
      </w:r>
      <w:r w:rsidRPr="00BB3C2C">
        <w:rPr>
          <w:lang w:val="en-GB"/>
        </w:rPr>
        <w:t xml:space="preserve">hazard level, with an HSPI approximately one order of magnitude higher than </w:t>
      </w:r>
      <w:r>
        <w:rPr>
          <w:lang w:val="en-GB"/>
        </w:rPr>
        <w:t xml:space="preserve">that of </w:t>
      </w:r>
      <w:r w:rsidRPr="00BB3C2C">
        <w:rPr>
          <w:lang w:val="en-GB"/>
        </w:rPr>
        <w:t>the Local EL benchmark.</w:t>
      </w:r>
      <w:r>
        <w:rPr>
          <w:lang w:val="en-GB"/>
        </w:rPr>
        <w:t xml:space="preserve"> </w:t>
      </w:r>
      <w:r w:rsidR="00BB4974" w:rsidRPr="00BB4974">
        <w:rPr>
          <w:lang w:val="en-GB"/>
        </w:rPr>
        <w:t>This outcome is largely driven by the significant number of process units required for hydrogen liquefaction at the centralised facility, which accounts for approximately 4</w:t>
      </w:r>
      <w:r w:rsidR="00896909">
        <w:rPr>
          <w:lang w:val="en-GB"/>
        </w:rPr>
        <w:t>9</w:t>
      </w:r>
      <w:r w:rsidR="00BB4974">
        <w:rPr>
          <w:lang w:val="en-GB"/>
        </w:rPr>
        <w:t xml:space="preserve"> </w:t>
      </w:r>
      <w:r w:rsidR="00BB4974" w:rsidRPr="00BB4974">
        <w:rPr>
          <w:lang w:val="en-GB"/>
        </w:rPr>
        <w:t xml:space="preserve">% of the total HSPI value in the </w:t>
      </w:r>
      <w:r w:rsidR="00BB4974" w:rsidRPr="008C250A">
        <w:t>LH</w:t>
      </w:r>
      <w:r w:rsidR="00BB4974" w:rsidRPr="008C250A">
        <w:rPr>
          <w:vertAlign w:val="subscript"/>
        </w:rPr>
        <w:t>2</w:t>
      </w:r>
      <w:r w:rsidR="00BB4974" w:rsidRPr="00BB4974">
        <w:rPr>
          <w:lang w:val="en-GB"/>
        </w:rPr>
        <w:t xml:space="preserve"> supply option</w:t>
      </w:r>
      <w:r w:rsidR="002968F8" w:rsidRPr="002968F8">
        <w:rPr>
          <w:lang w:val="en-GB"/>
        </w:rPr>
        <w:t>.</w:t>
      </w:r>
      <w:r w:rsidR="002968F8">
        <w:rPr>
          <w:lang w:val="en-GB"/>
        </w:rPr>
        <w:t xml:space="preserve"> </w:t>
      </w:r>
      <w:r w:rsidRPr="00157296">
        <w:rPr>
          <w:lang w:val="en-GB"/>
        </w:rPr>
        <w:t>Consequently, in conditioning-intensive hydrogen supply configurations, centralised facilities may become dominant sources of inherent hazard due to the increased severity of accident consequences arising from additional processing steps.</w:t>
      </w:r>
    </w:p>
    <w:p w14:paraId="30207EE0" w14:textId="6258AC11" w:rsidR="007526B2" w:rsidRDefault="007526B2" w:rsidP="00F06B02">
      <w:pPr>
        <w:pStyle w:val="CETBodytext"/>
        <w:rPr>
          <w:lang w:val="en-GB"/>
        </w:rPr>
      </w:pPr>
      <w:r w:rsidRPr="00FF25E2">
        <w:rPr>
          <w:lang w:val="en-GB"/>
        </w:rPr>
        <w:t>A different ranking emerges under the HSHI metric (</w:t>
      </w:r>
      <w:r>
        <w:rPr>
          <w:lang w:val="en-GB"/>
        </w:rPr>
        <w:fldChar w:fldCharType="begin"/>
      </w:r>
      <w:r>
        <w:rPr>
          <w:lang w:val="en-GB"/>
        </w:rPr>
        <w:instrText xml:space="preserve"> REF _Ref222995231 \h </w:instrText>
      </w:r>
      <w:r>
        <w:rPr>
          <w:lang w:val="en-GB"/>
        </w:rPr>
      </w:r>
      <w:r>
        <w:rPr>
          <w:lang w:val="en-GB"/>
        </w:rPr>
        <w:fldChar w:fldCharType="separate"/>
      </w:r>
      <w:r>
        <w:t xml:space="preserve">Figure </w:t>
      </w:r>
      <w:r>
        <w:rPr>
          <w:noProof/>
        </w:rPr>
        <w:t>3</w:t>
      </w:r>
      <w:r>
        <w:rPr>
          <w:lang w:val="en-GB"/>
        </w:rPr>
        <w:fldChar w:fldCharType="end"/>
      </w:r>
      <w:r w:rsidRPr="00FF25E2">
        <w:rPr>
          <w:lang w:val="en-GB"/>
        </w:rPr>
        <w:t>b), reflecting the influence of accident scenario credibility in addition to consequence severity. Under this metric, the CGH</w:t>
      </w:r>
      <w:r w:rsidRPr="00FF25E2">
        <w:rPr>
          <w:vertAlign w:val="subscript"/>
          <w:lang w:val="en-GB"/>
        </w:rPr>
        <w:t>2</w:t>
      </w:r>
      <w:r w:rsidRPr="00FF25E2">
        <w:rPr>
          <w:lang w:val="en-GB"/>
        </w:rPr>
        <w:t xml:space="preserve"> configuration becomes the most penalised option, as the large number of truck deliveries required to supply </w:t>
      </w:r>
      <w:r w:rsidR="00391A5C">
        <w:rPr>
          <w:lang w:val="en-GB"/>
        </w:rPr>
        <w:t>spatially</w:t>
      </w:r>
      <w:r w:rsidRPr="00FF25E2">
        <w:rPr>
          <w:lang w:val="en-GB"/>
        </w:rPr>
        <w:t xml:space="preserve"> dispersed sites </w:t>
      </w:r>
      <w:r w:rsidR="00F70A67" w:rsidRPr="00F70A67">
        <w:rPr>
          <w:lang w:val="en-GB"/>
        </w:rPr>
        <w:t>increases the likelihood of transport-related accident scenarios.</w:t>
      </w:r>
      <w:r>
        <w:rPr>
          <w:lang w:val="en-GB"/>
        </w:rPr>
        <w:t xml:space="preserve"> </w:t>
      </w:r>
      <w:r w:rsidRPr="00FF25E2">
        <w:rPr>
          <w:lang w:val="en-GB"/>
        </w:rPr>
        <w:t xml:space="preserve">As a result, truck transport dominates the overall inherent </w:t>
      </w:r>
      <w:r w:rsidRPr="00FF25E2">
        <w:rPr>
          <w:lang w:val="en-GB"/>
        </w:rPr>
        <w:lastRenderedPageBreak/>
        <w:t>hazard contribution, accounting for nearly the entire HSHI value associated with the CGH</w:t>
      </w:r>
      <w:r w:rsidRPr="00FF25E2">
        <w:rPr>
          <w:vertAlign w:val="subscript"/>
          <w:lang w:val="en-GB"/>
        </w:rPr>
        <w:t>2</w:t>
      </w:r>
      <w:r w:rsidRPr="00FF25E2">
        <w:rPr>
          <w:lang w:val="en-GB"/>
        </w:rPr>
        <w:t xml:space="preserve"> supply </w:t>
      </w:r>
      <w:r>
        <w:rPr>
          <w:lang w:val="en-GB"/>
        </w:rPr>
        <w:t>strategy</w:t>
      </w:r>
      <w:r w:rsidRPr="00FF25E2">
        <w:rPr>
          <w:lang w:val="en-GB"/>
        </w:rPr>
        <w:t>.</w:t>
      </w:r>
      <w:r w:rsidR="00106AEA">
        <w:rPr>
          <w:lang w:val="en-GB"/>
        </w:rPr>
        <w:t xml:space="preserve"> </w:t>
      </w:r>
      <w:r w:rsidR="00106AEA" w:rsidRPr="00FF25E2">
        <w:rPr>
          <w:lang w:val="en-GB"/>
        </w:rPr>
        <w:t xml:space="preserve">In contrast, the LOHC strategy maintains </w:t>
      </w:r>
      <w:r w:rsidR="009E11D1">
        <w:rPr>
          <w:lang w:val="en-GB"/>
        </w:rPr>
        <w:t xml:space="preserve">a </w:t>
      </w:r>
      <w:r w:rsidR="00106AEA" w:rsidRPr="00FF25E2">
        <w:rPr>
          <w:lang w:val="en-GB"/>
        </w:rPr>
        <w:t xml:space="preserve">comparatively favourable </w:t>
      </w:r>
      <w:r w:rsidR="00106AEA">
        <w:rPr>
          <w:lang w:val="en-GB"/>
        </w:rPr>
        <w:t xml:space="preserve">inherent safety </w:t>
      </w:r>
      <w:r w:rsidR="00106AEA" w:rsidRPr="00FF25E2">
        <w:rPr>
          <w:lang w:val="en-GB"/>
        </w:rPr>
        <w:t>performance by limiting hazard contributions at the industrial site while requiring fewer delivery operations relative to compressed gaseous hydrogen transport.</w:t>
      </w:r>
    </w:p>
    <w:p w14:paraId="51BAD3FF" w14:textId="44A85150" w:rsidR="00107005" w:rsidRDefault="0037033E" w:rsidP="00107005">
      <w:pPr>
        <w:pStyle w:val="CETBodytext"/>
        <w:keepNext/>
      </w:pPr>
      <w:r w:rsidRPr="0037033E">
        <w:rPr>
          <w:noProof/>
        </w:rPr>
        <w:drawing>
          <wp:inline distT="0" distB="0" distL="0" distR="0" wp14:anchorId="6F723E58" wp14:editId="64C89515">
            <wp:extent cx="5596105" cy="217912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490" r="1247"/>
                    <a:stretch/>
                  </pic:blipFill>
                  <pic:spPr bwMode="auto">
                    <a:xfrm>
                      <a:off x="0" y="0"/>
                      <a:ext cx="5603705" cy="2182082"/>
                    </a:xfrm>
                    <a:prstGeom prst="rect">
                      <a:avLst/>
                    </a:prstGeom>
                    <a:noFill/>
                    <a:ln>
                      <a:noFill/>
                    </a:ln>
                    <a:extLst>
                      <a:ext uri="{53640926-AAD7-44D8-BBD7-CCE9431645EC}">
                        <a14:shadowObscured xmlns:a14="http://schemas.microsoft.com/office/drawing/2010/main"/>
                      </a:ext>
                    </a:extLst>
                  </pic:spPr>
                </pic:pic>
              </a:graphicData>
            </a:graphic>
          </wp:inline>
        </w:drawing>
      </w:r>
    </w:p>
    <w:p w14:paraId="731EC7FF" w14:textId="488B6A79" w:rsidR="00D36E01" w:rsidRDefault="00107005" w:rsidP="00BE5B70">
      <w:pPr>
        <w:pStyle w:val="CETCaption"/>
      </w:pPr>
      <w:bookmarkStart w:id="5" w:name="_Ref222995231"/>
      <w:r>
        <w:t xml:space="preserve">Figure </w:t>
      </w:r>
      <w:r>
        <w:fldChar w:fldCharType="begin"/>
      </w:r>
      <w:r>
        <w:instrText xml:space="preserve"> SEQ Figure \* ARABIC </w:instrText>
      </w:r>
      <w:r>
        <w:fldChar w:fldCharType="separate"/>
      </w:r>
      <w:r w:rsidR="00CE2DF9">
        <w:rPr>
          <w:noProof/>
        </w:rPr>
        <w:t>3</w:t>
      </w:r>
      <w:r>
        <w:fldChar w:fldCharType="end"/>
      </w:r>
      <w:bookmarkEnd w:id="5"/>
      <w:r>
        <w:t xml:space="preserve">: </w:t>
      </w:r>
      <w:r w:rsidR="00086B19">
        <w:t>Hydrogen supply potential hazard index (HSPI) and hydrogen supply inherent hazard index (HSHI) for the hydrogen supply strategies</w:t>
      </w:r>
      <w:r w:rsidR="00385763">
        <w:t xml:space="preserve"> evaluate</w:t>
      </w:r>
      <w:r w:rsidR="00093D14">
        <w:t>d</w:t>
      </w:r>
      <w:r w:rsidR="00385763">
        <w:t>:</w:t>
      </w:r>
      <w:r w:rsidR="00086B19">
        <w:t xml:space="preserve"> (a) HSPI</w:t>
      </w:r>
      <w:r w:rsidR="00385763">
        <w:t>;</w:t>
      </w:r>
      <w:r w:rsidR="00086B19">
        <w:t xml:space="preserve"> (b) HS</w:t>
      </w:r>
      <w:r w:rsidR="00D57878">
        <w:t>HI.</w:t>
      </w:r>
    </w:p>
    <w:p w14:paraId="5998063E" w14:textId="77777777" w:rsidR="00AD1598" w:rsidRDefault="006B73F7" w:rsidP="00FF25E2">
      <w:pPr>
        <w:pStyle w:val="CETBodytext"/>
        <w:rPr>
          <w:lang w:val="en-GB"/>
        </w:rPr>
      </w:pPr>
      <w:r w:rsidRPr="006B73F7">
        <w:rPr>
          <w:lang w:val="en-GB"/>
        </w:rPr>
        <w:t>Consequently, the overall HSHI remains close to that of the decentralised Local EL benchmark, exceeding it by</w:t>
      </w:r>
      <w:r>
        <w:rPr>
          <w:lang w:val="en-GB"/>
        </w:rPr>
        <w:t xml:space="preserve"> 12</w:t>
      </w:r>
      <w:r w:rsidR="00FB4BF9">
        <w:rPr>
          <w:lang w:val="en-GB"/>
        </w:rPr>
        <w:t xml:space="preserve"> </w:t>
      </w:r>
      <w:r w:rsidR="00FB4BF9" w:rsidRPr="00FB4BF9">
        <w:rPr>
          <w:lang w:val="en-GB"/>
        </w:rPr>
        <w:t>%.</w:t>
      </w:r>
      <w:r w:rsidR="00A66845">
        <w:rPr>
          <w:lang w:val="en-GB"/>
        </w:rPr>
        <w:t xml:space="preserve"> </w:t>
      </w:r>
      <w:r w:rsidR="00FF25E2" w:rsidRPr="00FF25E2">
        <w:rPr>
          <w:lang w:val="en-GB"/>
        </w:rPr>
        <w:t xml:space="preserve">These results indicate that, once </w:t>
      </w:r>
      <w:r w:rsidR="00FB4BF9">
        <w:rPr>
          <w:lang w:val="en-GB"/>
        </w:rPr>
        <w:t xml:space="preserve">accident </w:t>
      </w:r>
      <w:r w:rsidR="00FF25E2" w:rsidRPr="00FF25E2">
        <w:rPr>
          <w:lang w:val="en-GB"/>
        </w:rPr>
        <w:t xml:space="preserve">scenario credibility is considered, the inherent safety performance of hydrogen supply chains serving dispersed </w:t>
      </w:r>
      <w:r w:rsidR="00FB4BF9">
        <w:rPr>
          <w:lang w:val="en-GB"/>
        </w:rPr>
        <w:t xml:space="preserve">industrial </w:t>
      </w:r>
      <w:r w:rsidR="00FF25E2" w:rsidRPr="00FF25E2">
        <w:rPr>
          <w:lang w:val="en-GB"/>
        </w:rPr>
        <w:t>users becomes primarily governed by logistics intensity and delivery frequency rather than by process-related consequence severity alone</w:t>
      </w:r>
      <w:r w:rsidR="00467AD4" w:rsidRPr="00FF25E2">
        <w:rPr>
          <w:lang w:val="en-GB"/>
        </w:rPr>
        <w:t>.</w:t>
      </w:r>
    </w:p>
    <w:p w14:paraId="243CD1DF" w14:textId="66C6872C" w:rsidR="00F25E7E" w:rsidRPr="00FF25E2" w:rsidRDefault="00E13543" w:rsidP="00FF25E2">
      <w:pPr>
        <w:pStyle w:val="CETBodytext"/>
        <w:rPr>
          <w:lang w:val="en-GB"/>
        </w:rPr>
      </w:pPr>
      <w:r w:rsidRPr="00E13543">
        <w:rPr>
          <w:lang w:val="en-GB"/>
        </w:rPr>
        <w:t>In this context, hydrogen delivery through existing natural gas infrastructure may represent an additional supply configuration of interest, particularly in relation to the logistics-related hazard contributions identified here. At present, however, hydrogen use in gas networks is largely restricted to partial blending, which offers markedly lower decarbonisation potential than the supply routes assessed in this study, whereas large-scale conversion of gas networks to pure hydrogen has yet to be established</w:t>
      </w:r>
      <w:r w:rsidR="005527DA">
        <w:rPr>
          <w:lang w:val="en-GB"/>
        </w:rPr>
        <w:t xml:space="preserve"> (Department for Energy Security and Net Zero, 2023)</w:t>
      </w:r>
      <w:r w:rsidR="00F25E7E" w:rsidRPr="00F25E7E">
        <w:rPr>
          <w:lang w:val="en-GB"/>
        </w:rPr>
        <w:t xml:space="preserve">. </w:t>
      </w:r>
      <w:r w:rsidR="00813713" w:rsidRPr="00813713">
        <w:rPr>
          <w:lang w:val="en-GB"/>
        </w:rPr>
        <w:t xml:space="preserve">In addition, the applicability of pipeline-based hydrogen delivery to the </w:t>
      </w:r>
      <w:r w:rsidR="00391A5C">
        <w:rPr>
          <w:lang w:val="en-GB"/>
        </w:rPr>
        <w:t>spatially</w:t>
      </w:r>
      <w:r w:rsidR="00813713" w:rsidRPr="00813713">
        <w:rPr>
          <w:lang w:val="en-GB"/>
        </w:rPr>
        <w:t xml:space="preserve"> dispersed industrial sites considered here may be constrained by their remoteness and relatively low hydrogen demand.</w:t>
      </w:r>
      <w:r w:rsidR="00813713">
        <w:rPr>
          <w:lang w:val="en-GB"/>
        </w:rPr>
        <w:t xml:space="preserve"> </w:t>
      </w:r>
      <w:r w:rsidR="0030396F" w:rsidRPr="0030396F">
        <w:rPr>
          <w:lang w:val="en-GB"/>
        </w:rPr>
        <w:t>More generally, the feasibility of the hydrogen supply strategies assessed also depends on upstream factors, including the energy demand of hydrogen production, the characteristics of the electricity supply, and the production pathway adopted. These aspects are beyond the scope of the present work, which focuses specifically on the inherent safety performance of alternative hydrogen supply options.</w:t>
      </w:r>
    </w:p>
    <w:p w14:paraId="68D26B83" w14:textId="77777777" w:rsidR="00600535" w:rsidRPr="00B57B36" w:rsidRDefault="00600535" w:rsidP="00600535">
      <w:pPr>
        <w:pStyle w:val="CETHeading1"/>
        <w:rPr>
          <w:lang w:val="en-GB"/>
        </w:rPr>
      </w:pPr>
      <w:r w:rsidRPr="00B57B36">
        <w:rPr>
          <w:lang w:val="en-GB"/>
        </w:rPr>
        <w:t>Conclusions</w:t>
      </w:r>
    </w:p>
    <w:p w14:paraId="6C0B686D" w14:textId="349A2CE2" w:rsidR="007C07DD" w:rsidRDefault="00617E7C" w:rsidP="00795A63">
      <w:pPr>
        <w:pStyle w:val="CETBodytext"/>
      </w:pPr>
      <w:r w:rsidRPr="00617E7C">
        <w:rPr>
          <w:lang w:val="en-GB"/>
        </w:rPr>
        <w:t xml:space="preserve">An inherent safety assessment framework was developed to enable the ex-ante comparison of hydrogen supply strategies for </w:t>
      </w:r>
      <w:r w:rsidR="00391A5C">
        <w:rPr>
          <w:lang w:val="en-GB"/>
        </w:rPr>
        <w:t>spatially</w:t>
      </w:r>
      <w:r w:rsidR="004A31B6" w:rsidRPr="00617E7C">
        <w:rPr>
          <w:lang w:val="en-GB"/>
        </w:rPr>
        <w:t xml:space="preserve"> </w:t>
      </w:r>
      <w:r w:rsidRPr="00617E7C">
        <w:rPr>
          <w:lang w:val="en-GB"/>
        </w:rPr>
        <w:t xml:space="preserve">dispersed industrial sites, explicitly accounting for hazard contributions </w:t>
      </w:r>
      <w:r w:rsidR="00AF76D0">
        <w:rPr>
          <w:lang w:val="en-GB"/>
        </w:rPr>
        <w:t>associated with</w:t>
      </w:r>
      <w:r w:rsidRPr="00617E7C">
        <w:rPr>
          <w:lang w:val="en-GB"/>
        </w:rPr>
        <w:t xml:space="preserve"> on-site operations, transport logistics, and centralised facilities. </w:t>
      </w:r>
      <w:r w:rsidR="00AF76D0">
        <w:rPr>
          <w:lang w:val="en-GB"/>
        </w:rPr>
        <w:t>Its a</w:t>
      </w:r>
      <w:r w:rsidR="00510801" w:rsidRPr="00510801">
        <w:rPr>
          <w:lang w:val="en-GB"/>
        </w:rPr>
        <w:t xml:space="preserve">pplication to a representative </w:t>
      </w:r>
      <w:r w:rsidR="00EB0CF2">
        <w:rPr>
          <w:lang w:val="en-GB"/>
        </w:rPr>
        <w:t>case study</w:t>
      </w:r>
      <w:r w:rsidR="009E11D1" w:rsidRPr="00510801">
        <w:rPr>
          <w:lang w:val="en-GB"/>
        </w:rPr>
        <w:t xml:space="preserve"> </w:t>
      </w:r>
      <w:r w:rsidR="00510801" w:rsidRPr="00510801">
        <w:rPr>
          <w:lang w:val="en-GB"/>
        </w:rPr>
        <w:t xml:space="preserve">shows that the inherent safety performance of hydrogen supply chains is strongly influenced by how production, conditioning, and delivery requirements redistribute hazards across the system. </w:t>
      </w:r>
      <w:r w:rsidR="001C6113" w:rsidRPr="001C6113">
        <w:rPr>
          <w:lang w:val="en-GB"/>
        </w:rPr>
        <w:t>Centralised supply strategies involving intensive hydrogen conditioning</w:t>
      </w:r>
      <w:r w:rsidR="001C6113">
        <w:rPr>
          <w:lang w:val="en-GB"/>
        </w:rPr>
        <w:t xml:space="preserve">, </w:t>
      </w:r>
      <w:r w:rsidR="001C6113" w:rsidRPr="001C6113">
        <w:rPr>
          <w:lang w:val="en-GB"/>
        </w:rPr>
        <w:t>particularly liquid hydrogen supply</w:t>
      </w:r>
      <w:r w:rsidR="001C6113">
        <w:rPr>
          <w:lang w:val="en-GB"/>
        </w:rPr>
        <w:t xml:space="preserve">, </w:t>
      </w:r>
      <w:r w:rsidR="001C6113" w:rsidRPr="001C6113">
        <w:rPr>
          <w:lang w:val="en-GB"/>
        </w:rPr>
        <w:t>may substantially increase accident consequence severity, with HSPI values reaching approximately one order of magnitude above the decentralised electrolysis benchmark.</w:t>
      </w:r>
      <w:r w:rsidR="00510801" w:rsidRPr="005F6F02">
        <w:rPr>
          <w:lang w:val="en-GB"/>
        </w:rPr>
        <w:t xml:space="preserve"> </w:t>
      </w:r>
      <w:r w:rsidR="00277AFB" w:rsidRPr="00277AFB">
        <w:rPr>
          <w:lang w:val="en-GB"/>
        </w:rPr>
        <w:t xml:space="preserve">When accident scenario credibility is </w:t>
      </w:r>
      <w:r w:rsidR="00037349">
        <w:rPr>
          <w:lang w:val="en-GB"/>
        </w:rPr>
        <w:t>considered</w:t>
      </w:r>
      <w:r w:rsidR="00277AFB" w:rsidRPr="00277AFB">
        <w:rPr>
          <w:lang w:val="en-GB"/>
        </w:rPr>
        <w:t xml:space="preserve">, transport logistics </w:t>
      </w:r>
      <w:r w:rsidR="00037349">
        <w:rPr>
          <w:lang w:val="en-GB"/>
        </w:rPr>
        <w:t>emerge as</w:t>
      </w:r>
      <w:r w:rsidR="00277AFB" w:rsidRPr="00277AFB">
        <w:rPr>
          <w:lang w:val="en-GB"/>
        </w:rPr>
        <w:t xml:space="preserve"> the dominant contributor to inherent hazard, with delivery operations accounting for nearly the entire HSHI in the </w:t>
      </w:r>
      <w:r w:rsidR="00A84280">
        <w:rPr>
          <w:lang w:val="en-GB"/>
        </w:rPr>
        <w:t>CGH</w:t>
      </w:r>
      <w:r w:rsidR="00A84280" w:rsidRPr="00A84280">
        <w:rPr>
          <w:vertAlign w:val="subscript"/>
          <w:lang w:val="en-GB"/>
        </w:rPr>
        <w:t>2</w:t>
      </w:r>
      <w:r w:rsidR="00D7384B" w:rsidRPr="00277AFB">
        <w:rPr>
          <w:lang w:val="en-GB"/>
        </w:rPr>
        <w:t xml:space="preserve"> </w:t>
      </w:r>
      <w:r w:rsidR="008D361B">
        <w:rPr>
          <w:lang w:val="en-GB"/>
        </w:rPr>
        <w:t>configuration</w:t>
      </w:r>
      <w:r w:rsidR="00277AFB" w:rsidRPr="00277AFB">
        <w:rPr>
          <w:lang w:val="en-GB"/>
        </w:rPr>
        <w:t>.</w:t>
      </w:r>
      <w:r w:rsidR="00546584" w:rsidRPr="00546584">
        <w:rPr>
          <w:lang w:val="en-GB"/>
        </w:rPr>
        <w:t xml:space="preserve"> </w:t>
      </w:r>
      <w:r w:rsidR="00CD1F08" w:rsidRPr="00CD1F08">
        <w:rPr>
          <w:lang w:val="en-GB"/>
        </w:rPr>
        <w:t xml:space="preserve">Compared with the decentralised electrolysis benchmark, the LOHC strategy </w:t>
      </w:r>
      <w:r w:rsidR="0066314A">
        <w:rPr>
          <w:lang w:val="en-GB"/>
        </w:rPr>
        <w:t>substantially</w:t>
      </w:r>
      <w:r w:rsidR="0066314A" w:rsidRPr="00CD1F08">
        <w:rPr>
          <w:lang w:val="en-GB"/>
        </w:rPr>
        <w:t xml:space="preserve"> </w:t>
      </w:r>
      <w:r w:rsidR="00DD4117">
        <w:rPr>
          <w:lang w:val="en-GB"/>
        </w:rPr>
        <w:t>lowers</w:t>
      </w:r>
      <w:r w:rsidR="00CD1F08" w:rsidRPr="00CD1F08">
        <w:rPr>
          <w:lang w:val="en-GB"/>
        </w:rPr>
        <w:t xml:space="preserve"> on-site hazard contributions, </w:t>
      </w:r>
      <w:r w:rsidR="0066314A">
        <w:rPr>
          <w:lang w:val="en-GB"/>
        </w:rPr>
        <w:t>with</w:t>
      </w:r>
      <w:r w:rsidR="0066314A" w:rsidRPr="00CD1F08">
        <w:rPr>
          <w:lang w:val="en-GB"/>
        </w:rPr>
        <w:t xml:space="preserve"> </w:t>
      </w:r>
      <w:r w:rsidR="00CD1F08" w:rsidRPr="00CD1F08">
        <w:rPr>
          <w:lang w:val="en-GB"/>
        </w:rPr>
        <w:t>reductions of up to 83</w:t>
      </w:r>
      <w:r w:rsidR="00CD1F08">
        <w:rPr>
          <w:lang w:val="en-GB"/>
        </w:rPr>
        <w:t xml:space="preserve"> </w:t>
      </w:r>
      <w:r w:rsidR="00CD1F08" w:rsidRPr="00CD1F08">
        <w:rPr>
          <w:lang w:val="en-GB"/>
        </w:rPr>
        <w:t>%.</w:t>
      </w:r>
      <w:r w:rsidR="000522C9">
        <w:rPr>
          <w:lang w:val="en-GB"/>
        </w:rPr>
        <w:t xml:space="preserve"> </w:t>
      </w:r>
      <w:r w:rsidR="00F66FEE" w:rsidRPr="00F66FEE">
        <w:rPr>
          <w:lang w:val="en-GB"/>
        </w:rPr>
        <w:t>By providing insight into the safety implications of alternative hydrogen supply configurations, this work supports more informed decision-making in the development of safe and scalable hydrogen supply networks.</w:t>
      </w:r>
    </w:p>
    <w:p w14:paraId="4F1327F8" w14:textId="5B83D83C" w:rsidR="00600535" w:rsidRDefault="00600535" w:rsidP="00600535">
      <w:pPr>
        <w:pStyle w:val="CETReference"/>
      </w:pPr>
      <w:r w:rsidRPr="00B57B36">
        <w:t>References</w:t>
      </w:r>
    </w:p>
    <w:p w14:paraId="5BC82A0B" w14:textId="5B2CE527" w:rsidR="00EB650E" w:rsidRPr="00EB650E" w:rsidRDefault="00D7172E" w:rsidP="00EB650E">
      <w:pPr>
        <w:pStyle w:val="CETReferencetext"/>
        <w:rPr>
          <w:noProof/>
        </w:rPr>
      </w:pPr>
      <w:r w:rsidRPr="00030D5F">
        <w:fldChar w:fldCharType="begin" w:fldLock="1"/>
      </w:r>
      <w:r w:rsidRPr="00030D5F">
        <w:instrText xml:space="preserve">ADDIN Mendeley Bibliography CSL_BIBLIOGRAPHY </w:instrText>
      </w:r>
      <w:r w:rsidRPr="00030D5F">
        <w:fldChar w:fldCharType="separate"/>
      </w:r>
      <w:r w:rsidR="00EB650E" w:rsidRPr="00EB650E">
        <w:rPr>
          <w:noProof/>
        </w:rPr>
        <w:t xml:space="preserve">Aldersgate Group, 2025, Next steps for UK industrial decarbonisation policy in 2025, </w:t>
      </w:r>
      <w:r w:rsidR="008B04BD">
        <w:rPr>
          <w:noProof/>
        </w:rPr>
        <w:t>Aldersgate Group &lt;</w:t>
      </w:r>
      <w:r w:rsidR="00CD311C" w:rsidRPr="00CD311C">
        <w:rPr>
          <w:noProof/>
        </w:rPr>
        <w:t>https://www.aldersgategroup.org.uk/publications/post/8675/</w:t>
      </w:r>
      <w:r w:rsidR="008B04BD">
        <w:rPr>
          <w:noProof/>
        </w:rPr>
        <w:t>&gt; accessed 24.04.2026</w:t>
      </w:r>
      <w:r w:rsidR="00EB650E" w:rsidRPr="00EB650E">
        <w:rPr>
          <w:noProof/>
        </w:rPr>
        <w:t>.</w:t>
      </w:r>
    </w:p>
    <w:p w14:paraId="2901D8B1" w14:textId="206E7CE9" w:rsidR="00EB650E" w:rsidRPr="00EB650E" w:rsidRDefault="00EB650E" w:rsidP="00EB650E">
      <w:pPr>
        <w:pStyle w:val="CETReferencetext"/>
        <w:rPr>
          <w:noProof/>
        </w:rPr>
      </w:pPr>
      <w:r w:rsidRPr="00EB650E">
        <w:rPr>
          <w:noProof/>
        </w:rPr>
        <w:lastRenderedPageBreak/>
        <w:t>Berghout N., Kuramochi T., Broek M. van den, Faaij A., 2015, Techno-economic performance and spatial footprint of infrastructure configurations for large scale CO</w:t>
      </w:r>
      <w:r w:rsidRPr="006124C3">
        <w:rPr>
          <w:noProof/>
          <w:vertAlign w:val="subscript"/>
        </w:rPr>
        <w:t>2</w:t>
      </w:r>
      <w:r w:rsidRPr="00EB650E">
        <w:rPr>
          <w:noProof/>
        </w:rPr>
        <w:t xml:space="preserve"> capture in industrial zones. A case study for the Rotterdam Botlek area (part A), </w:t>
      </w:r>
      <w:r w:rsidR="00AB1584">
        <w:rPr>
          <w:noProof/>
        </w:rPr>
        <w:t>International Journal of Greenhouse</w:t>
      </w:r>
      <w:r w:rsidR="001B04B0">
        <w:rPr>
          <w:noProof/>
        </w:rPr>
        <w:t xml:space="preserve"> G</w:t>
      </w:r>
      <w:r w:rsidR="00AB1584">
        <w:rPr>
          <w:noProof/>
        </w:rPr>
        <w:t xml:space="preserve">as Control, </w:t>
      </w:r>
      <w:r w:rsidRPr="00EB650E">
        <w:rPr>
          <w:noProof/>
        </w:rPr>
        <w:t>39, 256–284.</w:t>
      </w:r>
    </w:p>
    <w:p w14:paraId="46E2B8F8" w14:textId="64B8454A" w:rsidR="00EB650E" w:rsidRPr="00EB650E" w:rsidRDefault="00EB650E" w:rsidP="00EB650E">
      <w:pPr>
        <w:pStyle w:val="CETReferencetext"/>
        <w:rPr>
          <w:noProof/>
        </w:rPr>
      </w:pPr>
      <w:r w:rsidRPr="00EB650E">
        <w:rPr>
          <w:noProof/>
        </w:rPr>
        <w:t xml:space="preserve">Camplese D., Scarponi G.E., Chianese C., Hajhariri A., Eberwein R., Otremba F., Cozzani V., 2024, Modeling the performance of multilayer insulation in cryogenic tanks undergoing external fire scenarios, </w:t>
      </w:r>
      <w:r w:rsidR="00BE736F">
        <w:rPr>
          <w:noProof/>
        </w:rPr>
        <w:t>Process Safety and Environmental Protection,</w:t>
      </w:r>
      <w:r w:rsidRPr="00EB650E">
        <w:rPr>
          <w:noProof/>
        </w:rPr>
        <w:t xml:space="preserve"> 186, 1169–1182.</w:t>
      </w:r>
    </w:p>
    <w:p w14:paraId="02DEE48E" w14:textId="175D8B33" w:rsidR="00EB650E" w:rsidRPr="00EB650E" w:rsidRDefault="00EB650E" w:rsidP="00EB650E">
      <w:pPr>
        <w:pStyle w:val="CETReferencetext"/>
        <w:rPr>
          <w:noProof/>
        </w:rPr>
      </w:pPr>
      <w:r w:rsidRPr="00EB650E">
        <w:rPr>
          <w:noProof/>
        </w:rPr>
        <w:t xml:space="preserve">Casson Moreno V., Vianna S.S.V., Landucci G., 2025, An integrated assessment of the safety, economic, and environmental impacts of hydrogen refueling stations in comparison to conventional fuel stations, </w:t>
      </w:r>
      <w:r w:rsidR="00BE736F">
        <w:rPr>
          <w:noProof/>
        </w:rPr>
        <w:t>International Journal of Hydrogen Energy,</w:t>
      </w:r>
      <w:r w:rsidRPr="00EB650E">
        <w:rPr>
          <w:noProof/>
        </w:rPr>
        <w:t xml:space="preserve"> 185, 151929.</w:t>
      </w:r>
    </w:p>
    <w:p w14:paraId="3BF2C2A0" w14:textId="7AB1CF22" w:rsidR="00EB650E" w:rsidRPr="00EB650E" w:rsidRDefault="00EB650E" w:rsidP="00EB650E">
      <w:pPr>
        <w:pStyle w:val="CETReferencetext"/>
        <w:rPr>
          <w:noProof/>
        </w:rPr>
      </w:pPr>
      <w:r w:rsidRPr="00EB650E">
        <w:rPr>
          <w:noProof/>
        </w:rPr>
        <w:t>Cava C., Gagliardi G.G., Piscolla E., Borello D., 2025, Techno-Economic Analysis of Hydrogen Transport via Truck Using Liquid Organic Hydrogen Carriers, Processes</w:t>
      </w:r>
      <w:r w:rsidR="00BE736F">
        <w:rPr>
          <w:noProof/>
        </w:rPr>
        <w:t>,</w:t>
      </w:r>
      <w:r w:rsidRPr="00EB650E">
        <w:rPr>
          <w:noProof/>
        </w:rPr>
        <w:t xml:space="preserve"> 13, 1–25.</w:t>
      </w:r>
    </w:p>
    <w:p w14:paraId="759F5D96" w14:textId="6A7DCAC0" w:rsidR="00EB650E" w:rsidRPr="00EB650E" w:rsidRDefault="00EB650E" w:rsidP="006D18FE">
      <w:pPr>
        <w:pStyle w:val="CETReferencetext"/>
        <w:rPr>
          <w:noProof/>
        </w:rPr>
      </w:pPr>
      <w:r w:rsidRPr="00EB650E">
        <w:rPr>
          <w:noProof/>
        </w:rPr>
        <w:t>Cvetkovska R., Wechner L., Kienberger T., 2025, Techno-economic assessment of hydrogen supply solutions for industrial site, I</w:t>
      </w:r>
      <w:r w:rsidR="004509BA">
        <w:rPr>
          <w:noProof/>
        </w:rPr>
        <w:t>nternational Journal of Hydrogen Energy,</w:t>
      </w:r>
      <w:r w:rsidRPr="00EB650E">
        <w:rPr>
          <w:noProof/>
        </w:rPr>
        <w:t xml:space="preserve"> 104, 611–622.</w:t>
      </w:r>
    </w:p>
    <w:p w14:paraId="7DD63DB2" w14:textId="2AF9DBE3" w:rsidR="00EB650E" w:rsidRDefault="00EB650E" w:rsidP="00EB650E">
      <w:pPr>
        <w:pStyle w:val="CETReferencetext"/>
        <w:rPr>
          <w:noProof/>
        </w:rPr>
      </w:pPr>
      <w:r w:rsidRPr="00EB650E">
        <w:rPr>
          <w:noProof/>
        </w:rPr>
        <w:t xml:space="preserve">Demir M.E., Dincer I., 2018, Cost assessment and evaluation of various hydrogen delivery scenarios, </w:t>
      </w:r>
      <w:r w:rsidR="004509BA">
        <w:rPr>
          <w:noProof/>
        </w:rPr>
        <w:t>International Journal of Hydrogen Energy,</w:t>
      </w:r>
      <w:r w:rsidRPr="00EB650E">
        <w:rPr>
          <w:noProof/>
        </w:rPr>
        <w:t xml:space="preserve"> 43, 10420–10430.</w:t>
      </w:r>
    </w:p>
    <w:p w14:paraId="633B9C55" w14:textId="5284FFC2" w:rsidR="008241A4" w:rsidRPr="00EB650E" w:rsidRDefault="008876FA" w:rsidP="00EB650E">
      <w:pPr>
        <w:pStyle w:val="CETReferencetext"/>
        <w:rPr>
          <w:noProof/>
        </w:rPr>
      </w:pPr>
      <w:r w:rsidRPr="008876FA">
        <w:rPr>
          <w:noProof/>
        </w:rPr>
        <w:t xml:space="preserve">Department for Energy Security and Net Zero, 2023, Hydrogen transport and storage networks pathway, Department for Energy Security and Net Zero </w:t>
      </w:r>
      <w:r w:rsidR="00885931">
        <w:rPr>
          <w:noProof/>
        </w:rPr>
        <w:t>&lt;</w:t>
      </w:r>
      <w:r w:rsidRPr="00795A63">
        <w:t>https://www.gov.uk/government/publications/hydrogen-transport-and-storage-networks-pathway/hydrogen-transport-and-storage-networks-pathway</w:t>
      </w:r>
      <w:r w:rsidR="00885931">
        <w:rPr>
          <w:noProof/>
        </w:rPr>
        <w:t xml:space="preserve">&gt; </w:t>
      </w:r>
      <w:r w:rsidRPr="008876FA">
        <w:rPr>
          <w:noProof/>
        </w:rPr>
        <w:t xml:space="preserve">accessed </w:t>
      </w:r>
      <w:r w:rsidR="00885931">
        <w:rPr>
          <w:noProof/>
        </w:rPr>
        <w:t>16</w:t>
      </w:r>
      <w:r w:rsidRPr="008876FA">
        <w:rPr>
          <w:noProof/>
        </w:rPr>
        <w:t>.0</w:t>
      </w:r>
      <w:r w:rsidR="00885931">
        <w:rPr>
          <w:noProof/>
        </w:rPr>
        <w:t>3</w:t>
      </w:r>
      <w:r w:rsidRPr="008876FA">
        <w:rPr>
          <w:noProof/>
        </w:rPr>
        <w:t>.2026.</w:t>
      </w:r>
    </w:p>
    <w:p w14:paraId="1F09DFC2" w14:textId="62B6B4E5" w:rsidR="00EB650E" w:rsidRPr="00EB650E" w:rsidRDefault="00EB650E" w:rsidP="00EB650E">
      <w:pPr>
        <w:pStyle w:val="CETReferencetext"/>
        <w:rPr>
          <w:noProof/>
        </w:rPr>
      </w:pPr>
      <w:r w:rsidRPr="00EB650E">
        <w:rPr>
          <w:noProof/>
        </w:rPr>
        <w:t xml:space="preserve">Eypasch M., Schimpe M., Kanwar A., Hartmann T., Herzog S., Frank T., Hamacher T., 2017, Model-based techno-economic evaluation of an electricity storage system based on Liquid Organic Hydrogen Carriers, </w:t>
      </w:r>
      <w:r w:rsidR="004509BA">
        <w:rPr>
          <w:noProof/>
        </w:rPr>
        <w:t>Applied Energy,</w:t>
      </w:r>
      <w:r w:rsidRPr="00EB650E">
        <w:rPr>
          <w:noProof/>
        </w:rPr>
        <w:t xml:space="preserve"> 185, 320–330.</w:t>
      </w:r>
    </w:p>
    <w:p w14:paraId="58D9E653" w14:textId="50135889" w:rsidR="00EB650E" w:rsidRPr="00EB650E" w:rsidRDefault="00EB650E" w:rsidP="00EB650E">
      <w:pPr>
        <w:pStyle w:val="CETReferencetext"/>
        <w:rPr>
          <w:noProof/>
        </w:rPr>
      </w:pPr>
      <w:r w:rsidRPr="00EB650E">
        <w:rPr>
          <w:noProof/>
        </w:rPr>
        <w:t xml:space="preserve">Fede G., Collina G., Tugnoli A., Bucelli M., Silva D.F., Sgarbossa F., 2025, Hydrogen supply design for the decarbonization of energy-intensive industries addressing cost, inherent safety and environmental performance, </w:t>
      </w:r>
      <w:r w:rsidR="004509BA">
        <w:rPr>
          <w:noProof/>
        </w:rPr>
        <w:t>International Journal of Hydrogen Energy,</w:t>
      </w:r>
      <w:r w:rsidRPr="00EB650E">
        <w:rPr>
          <w:noProof/>
        </w:rPr>
        <w:t xml:space="preserve"> 175, 151373.</w:t>
      </w:r>
    </w:p>
    <w:p w14:paraId="3A65D79E" w14:textId="3FE3F321" w:rsidR="00EB650E" w:rsidRPr="00EB650E" w:rsidRDefault="00EB650E" w:rsidP="00EB650E">
      <w:pPr>
        <w:pStyle w:val="CETReferencetext"/>
        <w:rPr>
          <w:noProof/>
        </w:rPr>
      </w:pPr>
      <w:r w:rsidRPr="00EB650E">
        <w:rPr>
          <w:noProof/>
        </w:rPr>
        <w:t>GEXCON, 2026, EFFECTS. Consequence modelling software for safety and design optimisation</w:t>
      </w:r>
      <w:r w:rsidR="00D96BB9">
        <w:rPr>
          <w:noProof/>
        </w:rPr>
        <w:t xml:space="preserve">, GEXCON </w:t>
      </w:r>
      <w:r w:rsidRPr="00EB650E">
        <w:rPr>
          <w:noProof/>
        </w:rPr>
        <w:t>&lt;https://www.gexcon.com/software/effects/&gt;</w:t>
      </w:r>
      <w:r w:rsidR="002E0D65">
        <w:rPr>
          <w:noProof/>
        </w:rPr>
        <w:t xml:space="preserve"> accessed 24.02.2026.</w:t>
      </w:r>
    </w:p>
    <w:p w14:paraId="700D9D97" w14:textId="08793A5B" w:rsidR="00EB650E" w:rsidRPr="00EB650E" w:rsidRDefault="00EB650E" w:rsidP="007F0D9D">
      <w:pPr>
        <w:pStyle w:val="CETReferencetext"/>
        <w:rPr>
          <w:noProof/>
        </w:rPr>
      </w:pPr>
      <w:r w:rsidRPr="00EB650E">
        <w:rPr>
          <w:noProof/>
        </w:rPr>
        <w:t xml:space="preserve">IEA, 2025, Global Hydrogen Review 2025, </w:t>
      </w:r>
      <w:r w:rsidR="00D96BB9">
        <w:rPr>
          <w:noProof/>
        </w:rPr>
        <w:t>IEA</w:t>
      </w:r>
      <w:r w:rsidR="007F0D9D">
        <w:rPr>
          <w:noProof/>
        </w:rPr>
        <w:t xml:space="preserve"> &lt;</w:t>
      </w:r>
      <w:r w:rsidR="007F0D9D" w:rsidRPr="007F0D9D">
        <w:rPr>
          <w:noProof/>
        </w:rPr>
        <w:t>https://www.iea.org/reports/global-hydrogen-review-2025</w:t>
      </w:r>
      <w:r w:rsidR="007F0D9D">
        <w:rPr>
          <w:noProof/>
        </w:rPr>
        <w:t>&gt;</w:t>
      </w:r>
      <w:r w:rsidR="00D96BB9">
        <w:rPr>
          <w:noProof/>
        </w:rPr>
        <w:t xml:space="preserve"> accessed 24.02.2026</w:t>
      </w:r>
      <w:r w:rsidRPr="00EB650E">
        <w:rPr>
          <w:noProof/>
        </w:rPr>
        <w:t>.</w:t>
      </w:r>
    </w:p>
    <w:p w14:paraId="556397D9" w14:textId="363D8614" w:rsidR="00EB650E" w:rsidRPr="00EB650E" w:rsidRDefault="00EB650E" w:rsidP="00EB650E">
      <w:pPr>
        <w:pStyle w:val="CETReferencetext"/>
        <w:rPr>
          <w:noProof/>
        </w:rPr>
      </w:pPr>
      <w:r w:rsidRPr="00EB650E">
        <w:rPr>
          <w:noProof/>
        </w:rPr>
        <w:t xml:space="preserve">IEAGHG, 2024, Techno-Economic Assessment of Small-Scale Carbon Capture for Industrial and Power Systems, </w:t>
      </w:r>
      <w:r w:rsidR="00A965C4">
        <w:rPr>
          <w:noProof/>
        </w:rPr>
        <w:t>IEA</w:t>
      </w:r>
      <w:r w:rsidR="009B41E7">
        <w:rPr>
          <w:noProof/>
        </w:rPr>
        <w:t>GHG</w:t>
      </w:r>
      <w:r w:rsidR="00A965C4">
        <w:rPr>
          <w:noProof/>
        </w:rPr>
        <w:t xml:space="preserve"> &lt;</w:t>
      </w:r>
      <w:r w:rsidR="00A965C4" w:rsidRPr="00A965C4">
        <w:rPr>
          <w:noProof/>
        </w:rPr>
        <w:t>https://ieaghg.org/publications/techno-economic-assessment-of-small-scale-carbon-capture-for-industrial-and-power-systems/</w:t>
      </w:r>
      <w:r w:rsidR="00A965C4">
        <w:rPr>
          <w:noProof/>
        </w:rPr>
        <w:t>&gt; accessed 24.02.2026</w:t>
      </w:r>
      <w:r w:rsidRPr="00EB650E">
        <w:rPr>
          <w:noProof/>
        </w:rPr>
        <w:t>.</w:t>
      </w:r>
    </w:p>
    <w:p w14:paraId="68C5528C" w14:textId="40F43485" w:rsidR="00EB650E" w:rsidRPr="00795A63" w:rsidRDefault="00EB650E" w:rsidP="00EB650E">
      <w:pPr>
        <w:pStyle w:val="CETReferencetext"/>
        <w:rPr>
          <w:noProof/>
          <w:lang w:val="it-IT"/>
        </w:rPr>
      </w:pPr>
      <w:r w:rsidRPr="00795A63">
        <w:rPr>
          <w:noProof/>
          <w:lang w:val="it-IT"/>
        </w:rPr>
        <w:t xml:space="preserve">Mura M., Longo M., Toschi L., Zanni S., Visani F., Bianconcini S., 2021, Industrial carbon emission intensity: A comprehensive dataset of European regions, Data </w:t>
      </w:r>
      <w:r w:rsidR="00B451CA" w:rsidRPr="00795A63">
        <w:rPr>
          <w:noProof/>
          <w:lang w:val="it-IT"/>
        </w:rPr>
        <w:t xml:space="preserve">in </w:t>
      </w:r>
      <w:r w:rsidRPr="00795A63">
        <w:rPr>
          <w:noProof/>
          <w:lang w:val="it-IT"/>
        </w:rPr>
        <w:t>Br</w:t>
      </w:r>
      <w:r w:rsidR="00B451CA" w:rsidRPr="00795A63">
        <w:rPr>
          <w:noProof/>
          <w:lang w:val="it-IT"/>
        </w:rPr>
        <w:t>ief,</w:t>
      </w:r>
      <w:r w:rsidRPr="00795A63">
        <w:rPr>
          <w:noProof/>
          <w:lang w:val="it-IT"/>
        </w:rPr>
        <w:t xml:space="preserve"> 36, 107046.</w:t>
      </w:r>
    </w:p>
    <w:p w14:paraId="74FCA238" w14:textId="33D42325" w:rsidR="00EB650E" w:rsidRPr="00EB650E" w:rsidRDefault="00EB650E" w:rsidP="00EB650E">
      <w:pPr>
        <w:pStyle w:val="CETReferencetext"/>
        <w:rPr>
          <w:noProof/>
        </w:rPr>
      </w:pPr>
      <w:r w:rsidRPr="00EB650E">
        <w:rPr>
          <w:noProof/>
        </w:rPr>
        <w:t>Park S., Xu S., Rogers W., Pasman H., El-Halwagi M.M., 2020, Incorporating inherent safety during the conceptual process design stage: A literature review, J</w:t>
      </w:r>
      <w:r w:rsidR="00BA3BC8">
        <w:rPr>
          <w:noProof/>
        </w:rPr>
        <w:t>ournal of Loss Prevention in the Process Industries,</w:t>
      </w:r>
      <w:r w:rsidRPr="00EB650E">
        <w:rPr>
          <w:noProof/>
        </w:rPr>
        <w:t xml:space="preserve"> 63, 104040.</w:t>
      </w:r>
    </w:p>
    <w:p w14:paraId="1AE824A0" w14:textId="4BDFE710" w:rsidR="00EB650E" w:rsidRPr="00EB650E" w:rsidRDefault="00EB650E" w:rsidP="00EB650E">
      <w:pPr>
        <w:pStyle w:val="CETReferencetext"/>
        <w:rPr>
          <w:noProof/>
        </w:rPr>
      </w:pPr>
      <w:r w:rsidRPr="00EB650E">
        <w:rPr>
          <w:noProof/>
        </w:rPr>
        <w:t xml:space="preserve">Pelucchi S., Carretta F., Mocellin P., Galli F., 2025, Evaluating process safety at conceptual stage: A stream-based index approach, </w:t>
      </w:r>
      <w:r w:rsidR="004C1BCE">
        <w:rPr>
          <w:noProof/>
        </w:rPr>
        <w:t xml:space="preserve">Process Safety and Environmental Protection, </w:t>
      </w:r>
      <w:r w:rsidRPr="00EB650E">
        <w:rPr>
          <w:noProof/>
        </w:rPr>
        <w:t>195, 106830.</w:t>
      </w:r>
    </w:p>
    <w:p w14:paraId="56D1BF5A" w14:textId="04465ACB" w:rsidR="00EB650E" w:rsidRDefault="00EB650E" w:rsidP="00EB650E">
      <w:pPr>
        <w:pStyle w:val="CETReferencetext"/>
        <w:rPr>
          <w:noProof/>
        </w:rPr>
      </w:pPr>
      <w:r w:rsidRPr="00EB650E">
        <w:rPr>
          <w:noProof/>
        </w:rPr>
        <w:t xml:space="preserve">Rattle I., Gailani A., Taylor P.G., 2024, Decarbonisation strategies in industry: going beyond clusters, </w:t>
      </w:r>
      <w:r w:rsidR="00F82231">
        <w:rPr>
          <w:noProof/>
        </w:rPr>
        <w:t>Sustainability Science,</w:t>
      </w:r>
      <w:r w:rsidRPr="00EB650E">
        <w:rPr>
          <w:noProof/>
        </w:rPr>
        <w:t xml:space="preserve"> 19, 105–123.</w:t>
      </w:r>
    </w:p>
    <w:p w14:paraId="0E844BCD" w14:textId="1C7F34BE" w:rsidR="00116133" w:rsidRPr="00EB650E" w:rsidRDefault="00116133" w:rsidP="00EB650E">
      <w:pPr>
        <w:pStyle w:val="CETReferencetext"/>
        <w:rPr>
          <w:noProof/>
        </w:rPr>
      </w:pPr>
      <w:r>
        <w:rPr>
          <w:noProof/>
        </w:rPr>
        <w:t xml:space="preserve">SGN, 2021, </w:t>
      </w:r>
      <w:r w:rsidR="003C7C94" w:rsidRPr="003C7C94">
        <w:rPr>
          <w:noProof/>
        </w:rPr>
        <w:t>HySCALE: Feasibility study investigating the use of LOHCs for bulk hydrogen storage and transport, SGN</w:t>
      </w:r>
      <w:r w:rsidR="003C7C94">
        <w:rPr>
          <w:noProof/>
        </w:rPr>
        <w:t xml:space="preserve"> &lt;</w:t>
      </w:r>
      <w:r w:rsidR="003C7C94" w:rsidRPr="003C7C94">
        <w:rPr>
          <w:noProof/>
        </w:rPr>
        <w:t>https://smarter.energynetworks.org/projects/NIA_SGN0164</w:t>
      </w:r>
      <w:r w:rsidR="003C7C94">
        <w:rPr>
          <w:noProof/>
        </w:rPr>
        <w:t>&gt;</w:t>
      </w:r>
      <w:r w:rsidR="001710B1">
        <w:rPr>
          <w:noProof/>
        </w:rPr>
        <w:t xml:space="preserve"> accessed 16.03.2026.</w:t>
      </w:r>
    </w:p>
    <w:p w14:paraId="47A6C67F" w14:textId="4A02E020" w:rsidR="00EB650E" w:rsidRPr="00EB650E" w:rsidRDefault="00EB650E" w:rsidP="00EB650E">
      <w:pPr>
        <w:pStyle w:val="CETReferencetext"/>
        <w:rPr>
          <w:noProof/>
        </w:rPr>
      </w:pPr>
      <w:r w:rsidRPr="00EB650E">
        <w:rPr>
          <w:noProof/>
        </w:rPr>
        <w:t xml:space="preserve">Tamburini F., Pasquali L., Dal Pozzo A., Tugnoli A., Cozzani V., 2026, Ex-ante assessment of life cycle inherent safety (ExALIS) of industrial value chains, </w:t>
      </w:r>
      <w:r w:rsidR="00F82231">
        <w:rPr>
          <w:noProof/>
        </w:rPr>
        <w:t>Process Safety and Environmental Protection,</w:t>
      </w:r>
      <w:r w:rsidRPr="00EB650E">
        <w:rPr>
          <w:noProof/>
        </w:rPr>
        <w:t xml:space="preserve"> 207, 108352.</w:t>
      </w:r>
    </w:p>
    <w:p w14:paraId="6419D811" w14:textId="0FAF6289" w:rsidR="00EB650E" w:rsidRPr="00EB650E" w:rsidRDefault="00EB650E" w:rsidP="00EB650E">
      <w:pPr>
        <w:pStyle w:val="CETReferencetext"/>
        <w:rPr>
          <w:noProof/>
        </w:rPr>
      </w:pPr>
      <w:r w:rsidRPr="00EB650E">
        <w:rPr>
          <w:noProof/>
        </w:rPr>
        <w:t>Tugnoli A., Cozzani V., Landucci G., 2007, A consequence based approach to the quantitative assessment of inherent safety, AIChE J</w:t>
      </w:r>
      <w:r w:rsidR="00F82231">
        <w:rPr>
          <w:noProof/>
        </w:rPr>
        <w:t>ournal,</w:t>
      </w:r>
      <w:r w:rsidRPr="00EB650E">
        <w:rPr>
          <w:noProof/>
        </w:rPr>
        <w:t xml:space="preserve"> 53, 3171–3182.</w:t>
      </w:r>
    </w:p>
    <w:p w14:paraId="0FDF165C" w14:textId="115AB59A" w:rsidR="00EB650E" w:rsidRPr="00EB650E" w:rsidRDefault="00EB650E" w:rsidP="00EE1629">
      <w:pPr>
        <w:pStyle w:val="CETReferencetext"/>
        <w:rPr>
          <w:noProof/>
        </w:rPr>
      </w:pPr>
      <w:r w:rsidRPr="00EB650E">
        <w:rPr>
          <w:noProof/>
        </w:rPr>
        <w:t>Uijt de Haag P.A.M., Ale B.J.M., 2005, Guidelines for Quantitative Risk Assessment (Purple Book), Committee for the Prevention of Disasters, The Hague (NL).</w:t>
      </w:r>
    </w:p>
    <w:p w14:paraId="7C697161" w14:textId="375358BE" w:rsidR="00EB650E" w:rsidRPr="00EB650E" w:rsidRDefault="00EB650E" w:rsidP="00EB650E">
      <w:pPr>
        <w:pStyle w:val="CETReferencetext"/>
        <w:rPr>
          <w:noProof/>
        </w:rPr>
      </w:pPr>
      <w:r w:rsidRPr="00EB650E">
        <w:rPr>
          <w:noProof/>
        </w:rPr>
        <w:t xml:space="preserve">Zanobetti F., Bernardi A., Pio G., Freire Ordóñez D., Danaci D., Chachuat B., Cozzani V., Shah N., 2025a, Quantitative sustainability assessment of e-fuels for maritime transport, </w:t>
      </w:r>
      <w:r w:rsidR="007C07DD">
        <w:rPr>
          <w:noProof/>
        </w:rPr>
        <w:t>Sustainable Energy &amp; Fuels,</w:t>
      </w:r>
      <w:r w:rsidRPr="00EB650E">
        <w:rPr>
          <w:noProof/>
        </w:rPr>
        <w:t xml:space="preserve"> 9, 6506–6521.</w:t>
      </w:r>
    </w:p>
    <w:p w14:paraId="742F8BA6" w14:textId="6D72E7B1" w:rsidR="00EB650E" w:rsidRPr="00EB650E" w:rsidRDefault="00EB650E" w:rsidP="00EB650E">
      <w:pPr>
        <w:pStyle w:val="CETReferencetext"/>
        <w:rPr>
          <w:noProof/>
        </w:rPr>
      </w:pPr>
      <w:r w:rsidRPr="00EB650E">
        <w:rPr>
          <w:noProof/>
        </w:rPr>
        <w:t>Zanobetti F., Dal Pozzo A., Cozzani V., 2025b, Sustainability assessment of CO</w:t>
      </w:r>
      <w:r w:rsidRPr="00ED5ACD">
        <w:rPr>
          <w:noProof/>
          <w:vertAlign w:val="subscript"/>
        </w:rPr>
        <w:t>2</w:t>
      </w:r>
      <w:r w:rsidRPr="00EB650E">
        <w:rPr>
          <w:noProof/>
        </w:rPr>
        <w:t xml:space="preserve"> capture across different scales of hard-to-abate emission sources, Chem</w:t>
      </w:r>
      <w:r w:rsidR="007C07DD">
        <w:rPr>
          <w:noProof/>
        </w:rPr>
        <w:t>ical</w:t>
      </w:r>
      <w:r w:rsidRPr="00EB650E">
        <w:rPr>
          <w:noProof/>
        </w:rPr>
        <w:t xml:space="preserve"> Eng</w:t>
      </w:r>
      <w:r w:rsidR="007C07DD">
        <w:rPr>
          <w:noProof/>
        </w:rPr>
        <w:t>ineering</w:t>
      </w:r>
      <w:r w:rsidRPr="00EB650E">
        <w:rPr>
          <w:noProof/>
        </w:rPr>
        <w:t xml:space="preserve"> J</w:t>
      </w:r>
      <w:r w:rsidR="007C07DD">
        <w:rPr>
          <w:noProof/>
        </w:rPr>
        <w:t>ournal,</w:t>
      </w:r>
      <w:r w:rsidRPr="00EB650E">
        <w:rPr>
          <w:noProof/>
        </w:rPr>
        <w:t xml:space="preserve"> 505, 159466.</w:t>
      </w:r>
    </w:p>
    <w:p w14:paraId="5F0D516B" w14:textId="5C9CB136" w:rsidR="00EB650E" w:rsidRPr="00EB650E" w:rsidRDefault="00EB650E" w:rsidP="00EB650E">
      <w:pPr>
        <w:pStyle w:val="CETReferencetext"/>
        <w:rPr>
          <w:noProof/>
        </w:rPr>
      </w:pPr>
      <w:r w:rsidRPr="00EB650E">
        <w:rPr>
          <w:noProof/>
        </w:rPr>
        <w:t>Zanobetti F., Pio G., Jafarzadeh S., Ortiz M.M., Cozzani V., 2024, A Comparative Assessment of the Inherent Safety of Hydrogen-Fuelled Power Systems, Chem</w:t>
      </w:r>
      <w:r w:rsidR="007C07DD">
        <w:rPr>
          <w:noProof/>
        </w:rPr>
        <w:t>ical</w:t>
      </w:r>
      <w:r w:rsidRPr="00EB650E">
        <w:rPr>
          <w:noProof/>
        </w:rPr>
        <w:t xml:space="preserve"> Eng</w:t>
      </w:r>
      <w:r w:rsidR="007C07DD">
        <w:rPr>
          <w:noProof/>
        </w:rPr>
        <w:t>ineering</w:t>
      </w:r>
      <w:r w:rsidRPr="00EB650E">
        <w:rPr>
          <w:noProof/>
        </w:rPr>
        <w:t xml:space="preserve"> Trans</w:t>
      </w:r>
      <w:r w:rsidR="007C07DD">
        <w:rPr>
          <w:noProof/>
        </w:rPr>
        <w:t>actions,</w:t>
      </w:r>
      <w:r w:rsidRPr="00EB650E">
        <w:rPr>
          <w:noProof/>
        </w:rPr>
        <w:t xml:space="preserve"> 111, 493–498.</w:t>
      </w:r>
    </w:p>
    <w:p w14:paraId="19C4FC68" w14:textId="7CE8AF4F" w:rsidR="004628D2" w:rsidRDefault="00D7172E" w:rsidP="00220FBE">
      <w:pPr>
        <w:pStyle w:val="CETReferencetext"/>
      </w:pPr>
      <w:r w:rsidRPr="00030D5F">
        <w:fldChar w:fldCharType="end"/>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313C" w14:textId="77777777" w:rsidR="00512219" w:rsidRDefault="00512219" w:rsidP="004F5E36">
      <w:r>
        <w:separator/>
      </w:r>
    </w:p>
  </w:endnote>
  <w:endnote w:type="continuationSeparator" w:id="0">
    <w:p w14:paraId="327AB3DA" w14:textId="77777777" w:rsidR="00512219" w:rsidRDefault="0051221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2A35" w14:textId="77777777" w:rsidR="00512219" w:rsidRDefault="00512219" w:rsidP="004F5E36">
      <w:r>
        <w:separator/>
      </w:r>
    </w:p>
  </w:footnote>
  <w:footnote w:type="continuationSeparator" w:id="0">
    <w:p w14:paraId="0035AC3F" w14:textId="77777777" w:rsidR="00512219" w:rsidRDefault="0051221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529"/>
    <w:rsid w:val="00002792"/>
    <w:rsid w:val="000027C0"/>
    <w:rsid w:val="000052FB"/>
    <w:rsid w:val="00005884"/>
    <w:rsid w:val="00005A19"/>
    <w:rsid w:val="000066E2"/>
    <w:rsid w:val="000075CE"/>
    <w:rsid w:val="000117CB"/>
    <w:rsid w:val="00014AB9"/>
    <w:rsid w:val="00017432"/>
    <w:rsid w:val="0002124E"/>
    <w:rsid w:val="000234D4"/>
    <w:rsid w:val="00023E91"/>
    <w:rsid w:val="00026989"/>
    <w:rsid w:val="000277F9"/>
    <w:rsid w:val="00030D5F"/>
    <w:rsid w:val="00030E3E"/>
    <w:rsid w:val="0003148D"/>
    <w:rsid w:val="00031EEC"/>
    <w:rsid w:val="00032CFA"/>
    <w:rsid w:val="00035670"/>
    <w:rsid w:val="0003573A"/>
    <w:rsid w:val="0003635E"/>
    <w:rsid w:val="00037349"/>
    <w:rsid w:val="0004387D"/>
    <w:rsid w:val="00043A55"/>
    <w:rsid w:val="00051566"/>
    <w:rsid w:val="00052266"/>
    <w:rsid w:val="000522C9"/>
    <w:rsid w:val="000542F6"/>
    <w:rsid w:val="00054E8B"/>
    <w:rsid w:val="000552EB"/>
    <w:rsid w:val="00055C9F"/>
    <w:rsid w:val="000562A9"/>
    <w:rsid w:val="00056C0C"/>
    <w:rsid w:val="000572BE"/>
    <w:rsid w:val="00062A9A"/>
    <w:rsid w:val="00062D3E"/>
    <w:rsid w:val="00065058"/>
    <w:rsid w:val="00071A7C"/>
    <w:rsid w:val="00071D01"/>
    <w:rsid w:val="0007367A"/>
    <w:rsid w:val="000746B7"/>
    <w:rsid w:val="00075333"/>
    <w:rsid w:val="0008037A"/>
    <w:rsid w:val="000818CE"/>
    <w:rsid w:val="00083C94"/>
    <w:rsid w:val="000864D5"/>
    <w:rsid w:val="00086892"/>
    <w:rsid w:val="00086B19"/>
    <w:rsid w:val="00086C39"/>
    <w:rsid w:val="00091205"/>
    <w:rsid w:val="00091326"/>
    <w:rsid w:val="0009369C"/>
    <w:rsid w:val="00093D14"/>
    <w:rsid w:val="00097CA2"/>
    <w:rsid w:val="000A03B2"/>
    <w:rsid w:val="000A4BE5"/>
    <w:rsid w:val="000A6C80"/>
    <w:rsid w:val="000B01E9"/>
    <w:rsid w:val="000B337B"/>
    <w:rsid w:val="000B38B7"/>
    <w:rsid w:val="000C28E1"/>
    <w:rsid w:val="000C32FD"/>
    <w:rsid w:val="000C5289"/>
    <w:rsid w:val="000C6167"/>
    <w:rsid w:val="000D0268"/>
    <w:rsid w:val="000D210A"/>
    <w:rsid w:val="000D2295"/>
    <w:rsid w:val="000D34BE"/>
    <w:rsid w:val="000D7518"/>
    <w:rsid w:val="000E102F"/>
    <w:rsid w:val="000E1D31"/>
    <w:rsid w:val="000E1D4E"/>
    <w:rsid w:val="000E34DC"/>
    <w:rsid w:val="000E36F1"/>
    <w:rsid w:val="000E3A73"/>
    <w:rsid w:val="000E414A"/>
    <w:rsid w:val="000E75FD"/>
    <w:rsid w:val="000F062A"/>
    <w:rsid w:val="000F093C"/>
    <w:rsid w:val="000F0B5D"/>
    <w:rsid w:val="000F66F1"/>
    <w:rsid w:val="000F787B"/>
    <w:rsid w:val="00106AEA"/>
    <w:rsid w:val="00106F18"/>
    <w:rsid w:val="00107005"/>
    <w:rsid w:val="00107A68"/>
    <w:rsid w:val="00107FAB"/>
    <w:rsid w:val="00113882"/>
    <w:rsid w:val="00113CF9"/>
    <w:rsid w:val="00116133"/>
    <w:rsid w:val="001172D3"/>
    <w:rsid w:val="00120247"/>
    <w:rsid w:val="0012091F"/>
    <w:rsid w:val="00123AD0"/>
    <w:rsid w:val="001249BC"/>
    <w:rsid w:val="00124AAD"/>
    <w:rsid w:val="00126BC2"/>
    <w:rsid w:val="001308B6"/>
    <w:rsid w:val="00130DFD"/>
    <w:rsid w:val="0013121F"/>
    <w:rsid w:val="00131FE6"/>
    <w:rsid w:val="0013263F"/>
    <w:rsid w:val="001331DF"/>
    <w:rsid w:val="00134DE4"/>
    <w:rsid w:val="00134E3E"/>
    <w:rsid w:val="00134FAD"/>
    <w:rsid w:val="0013672C"/>
    <w:rsid w:val="0014034D"/>
    <w:rsid w:val="00140FE3"/>
    <w:rsid w:val="001416A8"/>
    <w:rsid w:val="00144D16"/>
    <w:rsid w:val="001460AB"/>
    <w:rsid w:val="00146DF3"/>
    <w:rsid w:val="00150E59"/>
    <w:rsid w:val="00152DE3"/>
    <w:rsid w:val="00156980"/>
    <w:rsid w:val="00157296"/>
    <w:rsid w:val="001574E8"/>
    <w:rsid w:val="0016013A"/>
    <w:rsid w:val="00161A36"/>
    <w:rsid w:val="00162079"/>
    <w:rsid w:val="0016318C"/>
    <w:rsid w:val="00164CF9"/>
    <w:rsid w:val="001667A6"/>
    <w:rsid w:val="00167E10"/>
    <w:rsid w:val="001710B1"/>
    <w:rsid w:val="00171CFA"/>
    <w:rsid w:val="0017312A"/>
    <w:rsid w:val="001759BC"/>
    <w:rsid w:val="00176147"/>
    <w:rsid w:val="00181DAA"/>
    <w:rsid w:val="00182508"/>
    <w:rsid w:val="00183857"/>
    <w:rsid w:val="00183C6D"/>
    <w:rsid w:val="00184AD6"/>
    <w:rsid w:val="0018581B"/>
    <w:rsid w:val="00187D37"/>
    <w:rsid w:val="00190841"/>
    <w:rsid w:val="00193D31"/>
    <w:rsid w:val="00195641"/>
    <w:rsid w:val="001967C9"/>
    <w:rsid w:val="001A072B"/>
    <w:rsid w:val="001A45E5"/>
    <w:rsid w:val="001A4AF7"/>
    <w:rsid w:val="001B0349"/>
    <w:rsid w:val="001B04B0"/>
    <w:rsid w:val="001B1A14"/>
    <w:rsid w:val="001B1E93"/>
    <w:rsid w:val="001B2426"/>
    <w:rsid w:val="001B3308"/>
    <w:rsid w:val="001B47E6"/>
    <w:rsid w:val="001B61A7"/>
    <w:rsid w:val="001B65C1"/>
    <w:rsid w:val="001B70F0"/>
    <w:rsid w:val="001B7C39"/>
    <w:rsid w:val="001C260F"/>
    <w:rsid w:val="001C33F1"/>
    <w:rsid w:val="001C48D5"/>
    <w:rsid w:val="001C58AD"/>
    <w:rsid w:val="001C6113"/>
    <w:rsid w:val="001C684B"/>
    <w:rsid w:val="001D0CFB"/>
    <w:rsid w:val="001D1432"/>
    <w:rsid w:val="001D21AF"/>
    <w:rsid w:val="001D418B"/>
    <w:rsid w:val="001D53FC"/>
    <w:rsid w:val="001E04AF"/>
    <w:rsid w:val="001E515E"/>
    <w:rsid w:val="001E5EF6"/>
    <w:rsid w:val="001F1666"/>
    <w:rsid w:val="001F42A5"/>
    <w:rsid w:val="001F7B9D"/>
    <w:rsid w:val="002010CA"/>
    <w:rsid w:val="00201584"/>
    <w:rsid w:val="00201C93"/>
    <w:rsid w:val="00204A41"/>
    <w:rsid w:val="002111DB"/>
    <w:rsid w:val="00211E76"/>
    <w:rsid w:val="002139CD"/>
    <w:rsid w:val="00220A74"/>
    <w:rsid w:val="00220FBE"/>
    <w:rsid w:val="002224B4"/>
    <w:rsid w:val="00225BC4"/>
    <w:rsid w:val="00225DBC"/>
    <w:rsid w:val="0022774C"/>
    <w:rsid w:val="00227B6E"/>
    <w:rsid w:val="00231F33"/>
    <w:rsid w:val="00234220"/>
    <w:rsid w:val="00235509"/>
    <w:rsid w:val="002372B2"/>
    <w:rsid w:val="002447EF"/>
    <w:rsid w:val="00245634"/>
    <w:rsid w:val="00246D3C"/>
    <w:rsid w:val="002504E8"/>
    <w:rsid w:val="00251550"/>
    <w:rsid w:val="00256CC3"/>
    <w:rsid w:val="00260BA7"/>
    <w:rsid w:val="00260DE9"/>
    <w:rsid w:val="002613E1"/>
    <w:rsid w:val="00262067"/>
    <w:rsid w:val="00263B05"/>
    <w:rsid w:val="002676C8"/>
    <w:rsid w:val="0027221A"/>
    <w:rsid w:val="00274CD5"/>
    <w:rsid w:val="00275034"/>
    <w:rsid w:val="00275B61"/>
    <w:rsid w:val="00276988"/>
    <w:rsid w:val="00277AFB"/>
    <w:rsid w:val="00280FAF"/>
    <w:rsid w:val="00282656"/>
    <w:rsid w:val="00283B79"/>
    <w:rsid w:val="00287A55"/>
    <w:rsid w:val="00295595"/>
    <w:rsid w:val="00296128"/>
    <w:rsid w:val="002968F8"/>
    <w:rsid w:val="00296B83"/>
    <w:rsid w:val="0029704C"/>
    <w:rsid w:val="002A61CE"/>
    <w:rsid w:val="002A7076"/>
    <w:rsid w:val="002B0B1B"/>
    <w:rsid w:val="002B1119"/>
    <w:rsid w:val="002B4015"/>
    <w:rsid w:val="002B78CE"/>
    <w:rsid w:val="002C035A"/>
    <w:rsid w:val="002C1D4B"/>
    <w:rsid w:val="002C2FB6"/>
    <w:rsid w:val="002C38BF"/>
    <w:rsid w:val="002C3CE7"/>
    <w:rsid w:val="002C4DE1"/>
    <w:rsid w:val="002C65FD"/>
    <w:rsid w:val="002D2D86"/>
    <w:rsid w:val="002D6770"/>
    <w:rsid w:val="002E0D65"/>
    <w:rsid w:val="002E5FA7"/>
    <w:rsid w:val="002E7DF5"/>
    <w:rsid w:val="002F05D9"/>
    <w:rsid w:val="002F065B"/>
    <w:rsid w:val="002F1866"/>
    <w:rsid w:val="002F283F"/>
    <w:rsid w:val="002F3309"/>
    <w:rsid w:val="003008CE"/>
    <w:rsid w:val="003009B7"/>
    <w:rsid w:val="00300E56"/>
    <w:rsid w:val="0030152C"/>
    <w:rsid w:val="003038A1"/>
    <w:rsid w:val="0030396F"/>
    <w:rsid w:val="0030469C"/>
    <w:rsid w:val="0030516A"/>
    <w:rsid w:val="0030529D"/>
    <w:rsid w:val="0030642F"/>
    <w:rsid w:val="0030714E"/>
    <w:rsid w:val="00307EF5"/>
    <w:rsid w:val="0031140A"/>
    <w:rsid w:val="00313E75"/>
    <w:rsid w:val="0031432E"/>
    <w:rsid w:val="00315744"/>
    <w:rsid w:val="0031703B"/>
    <w:rsid w:val="00320B91"/>
    <w:rsid w:val="00321C56"/>
    <w:rsid w:val="00321CA6"/>
    <w:rsid w:val="00323763"/>
    <w:rsid w:val="00323C5F"/>
    <w:rsid w:val="003319D0"/>
    <w:rsid w:val="00332455"/>
    <w:rsid w:val="00333BE0"/>
    <w:rsid w:val="00334C09"/>
    <w:rsid w:val="003351D9"/>
    <w:rsid w:val="00336E82"/>
    <w:rsid w:val="00337442"/>
    <w:rsid w:val="00340EC6"/>
    <w:rsid w:val="003424BD"/>
    <w:rsid w:val="00346C23"/>
    <w:rsid w:val="003507FF"/>
    <w:rsid w:val="00355762"/>
    <w:rsid w:val="00355830"/>
    <w:rsid w:val="0036380D"/>
    <w:rsid w:val="00363D85"/>
    <w:rsid w:val="00365055"/>
    <w:rsid w:val="003674B4"/>
    <w:rsid w:val="0036755A"/>
    <w:rsid w:val="0037033E"/>
    <w:rsid w:val="003723D4"/>
    <w:rsid w:val="00374DBA"/>
    <w:rsid w:val="00377C20"/>
    <w:rsid w:val="00381905"/>
    <w:rsid w:val="00384CC8"/>
    <w:rsid w:val="00385763"/>
    <w:rsid w:val="00386670"/>
    <w:rsid w:val="00387098"/>
    <w:rsid w:val="003871FD"/>
    <w:rsid w:val="00387DAD"/>
    <w:rsid w:val="003914FD"/>
    <w:rsid w:val="00391A5C"/>
    <w:rsid w:val="00392A96"/>
    <w:rsid w:val="00395EE5"/>
    <w:rsid w:val="003A1E30"/>
    <w:rsid w:val="003A2427"/>
    <w:rsid w:val="003A2829"/>
    <w:rsid w:val="003A3756"/>
    <w:rsid w:val="003A7D1C"/>
    <w:rsid w:val="003B0F2E"/>
    <w:rsid w:val="003B1BC6"/>
    <w:rsid w:val="003B2885"/>
    <w:rsid w:val="003B304B"/>
    <w:rsid w:val="003B3146"/>
    <w:rsid w:val="003B3873"/>
    <w:rsid w:val="003B569F"/>
    <w:rsid w:val="003C27AB"/>
    <w:rsid w:val="003C3DFB"/>
    <w:rsid w:val="003C4CEC"/>
    <w:rsid w:val="003C5AD6"/>
    <w:rsid w:val="003C641D"/>
    <w:rsid w:val="003C7C94"/>
    <w:rsid w:val="003D0AA3"/>
    <w:rsid w:val="003D0F65"/>
    <w:rsid w:val="003D1E02"/>
    <w:rsid w:val="003D24C9"/>
    <w:rsid w:val="003E0C3D"/>
    <w:rsid w:val="003E0E54"/>
    <w:rsid w:val="003E1297"/>
    <w:rsid w:val="003E4B80"/>
    <w:rsid w:val="003F015E"/>
    <w:rsid w:val="003F0FF6"/>
    <w:rsid w:val="00400414"/>
    <w:rsid w:val="00400554"/>
    <w:rsid w:val="00404D27"/>
    <w:rsid w:val="004054D5"/>
    <w:rsid w:val="004110BD"/>
    <w:rsid w:val="00411D3B"/>
    <w:rsid w:val="0041446B"/>
    <w:rsid w:val="00414815"/>
    <w:rsid w:val="00420426"/>
    <w:rsid w:val="00422F4C"/>
    <w:rsid w:val="004266EC"/>
    <w:rsid w:val="00437A75"/>
    <w:rsid w:val="00440347"/>
    <w:rsid w:val="0044071E"/>
    <w:rsid w:val="00442756"/>
    <w:rsid w:val="0044329C"/>
    <w:rsid w:val="004475FC"/>
    <w:rsid w:val="004509BA"/>
    <w:rsid w:val="0045103B"/>
    <w:rsid w:val="0045294D"/>
    <w:rsid w:val="00453E24"/>
    <w:rsid w:val="004554B0"/>
    <w:rsid w:val="00457456"/>
    <w:rsid w:val="004577FE"/>
    <w:rsid w:val="00457B9C"/>
    <w:rsid w:val="004608A0"/>
    <w:rsid w:val="0046164A"/>
    <w:rsid w:val="004628AF"/>
    <w:rsid w:val="004628D2"/>
    <w:rsid w:val="00462DCD"/>
    <w:rsid w:val="004642B1"/>
    <w:rsid w:val="004647E6"/>
    <w:rsid w:val="004648AD"/>
    <w:rsid w:val="00467394"/>
    <w:rsid w:val="00467AD4"/>
    <w:rsid w:val="004703A9"/>
    <w:rsid w:val="004708E9"/>
    <w:rsid w:val="004736FB"/>
    <w:rsid w:val="004760DE"/>
    <w:rsid w:val="004763D7"/>
    <w:rsid w:val="00476E45"/>
    <w:rsid w:val="00484CEA"/>
    <w:rsid w:val="00486034"/>
    <w:rsid w:val="00487400"/>
    <w:rsid w:val="004918A4"/>
    <w:rsid w:val="00493E24"/>
    <w:rsid w:val="004962F1"/>
    <w:rsid w:val="0049652B"/>
    <w:rsid w:val="004A004E"/>
    <w:rsid w:val="004A1532"/>
    <w:rsid w:val="004A24CF"/>
    <w:rsid w:val="004A31B6"/>
    <w:rsid w:val="004A3445"/>
    <w:rsid w:val="004A4305"/>
    <w:rsid w:val="004A5E57"/>
    <w:rsid w:val="004B3858"/>
    <w:rsid w:val="004B408C"/>
    <w:rsid w:val="004B5C24"/>
    <w:rsid w:val="004B6280"/>
    <w:rsid w:val="004B6AD4"/>
    <w:rsid w:val="004C0509"/>
    <w:rsid w:val="004C194F"/>
    <w:rsid w:val="004C1BCE"/>
    <w:rsid w:val="004C2969"/>
    <w:rsid w:val="004C3D1D"/>
    <w:rsid w:val="004C3D84"/>
    <w:rsid w:val="004C52F3"/>
    <w:rsid w:val="004C7913"/>
    <w:rsid w:val="004D1121"/>
    <w:rsid w:val="004D279A"/>
    <w:rsid w:val="004D3B86"/>
    <w:rsid w:val="004D4AAD"/>
    <w:rsid w:val="004D7309"/>
    <w:rsid w:val="004E091C"/>
    <w:rsid w:val="004E1DDE"/>
    <w:rsid w:val="004E2621"/>
    <w:rsid w:val="004E3E8B"/>
    <w:rsid w:val="004E4DD6"/>
    <w:rsid w:val="004E6D24"/>
    <w:rsid w:val="004F210F"/>
    <w:rsid w:val="004F5E36"/>
    <w:rsid w:val="0050213D"/>
    <w:rsid w:val="00504645"/>
    <w:rsid w:val="00504675"/>
    <w:rsid w:val="00507B47"/>
    <w:rsid w:val="00507BEF"/>
    <w:rsid w:val="00507CC9"/>
    <w:rsid w:val="005107EE"/>
    <w:rsid w:val="00510801"/>
    <w:rsid w:val="005119A5"/>
    <w:rsid w:val="00512219"/>
    <w:rsid w:val="00517B84"/>
    <w:rsid w:val="005210D2"/>
    <w:rsid w:val="0052358C"/>
    <w:rsid w:val="005236C7"/>
    <w:rsid w:val="005278B7"/>
    <w:rsid w:val="00527D1A"/>
    <w:rsid w:val="00532016"/>
    <w:rsid w:val="00532171"/>
    <w:rsid w:val="005346C8"/>
    <w:rsid w:val="00536489"/>
    <w:rsid w:val="00536FDC"/>
    <w:rsid w:val="0054349D"/>
    <w:rsid w:val="00543E7D"/>
    <w:rsid w:val="00545151"/>
    <w:rsid w:val="00546584"/>
    <w:rsid w:val="00547A68"/>
    <w:rsid w:val="00551117"/>
    <w:rsid w:val="005527DA"/>
    <w:rsid w:val="005531C9"/>
    <w:rsid w:val="0055325C"/>
    <w:rsid w:val="005551FF"/>
    <w:rsid w:val="00556A08"/>
    <w:rsid w:val="00557803"/>
    <w:rsid w:val="00570C43"/>
    <w:rsid w:val="00571D56"/>
    <w:rsid w:val="0057579A"/>
    <w:rsid w:val="005757C5"/>
    <w:rsid w:val="00575940"/>
    <w:rsid w:val="005829D6"/>
    <w:rsid w:val="00592274"/>
    <w:rsid w:val="00594AA0"/>
    <w:rsid w:val="0059552F"/>
    <w:rsid w:val="005969FF"/>
    <w:rsid w:val="00596B82"/>
    <w:rsid w:val="005A2A25"/>
    <w:rsid w:val="005A3299"/>
    <w:rsid w:val="005B2110"/>
    <w:rsid w:val="005B26D0"/>
    <w:rsid w:val="005B410A"/>
    <w:rsid w:val="005B445A"/>
    <w:rsid w:val="005B531D"/>
    <w:rsid w:val="005B5DF0"/>
    <w:rsid w:val="005B61E6"/>
    <w:rsid w:val="005B6D00"/>
    <w:rsid w:val="005C3BC8"/>
    <w:rsid w:val="005C5384"/>
    <w:rsid w:val="005C58FB"/>
    <w:rsid w:val="005C67AE"/>
    <w:rsid w:val="005C77E1"/>
    <w:rsid w:val="005D04CC"/>
    <w:rsid w:val="005D212C"/>
    <w:rsid w:val="005D3CCE"/>
    <w:rsid w:val="005D668A"/>
    <w:rsid w:val="005D6A2F"/>
    <w:rsid w:val="005E0592"/>
    <w:rsid w:val="005E1A82"/>
    <w:rsid w:val="005E44C6"/>
    <w:rsid w:val="005E794C"/>
    <w:rsid w:val="005F0A28"/>
    <w:rsid w:val="005F0E5E"/>
    <w:rsid w:val="005F1920"/>
    <w:rsid w:val="005F1AAE"/>
    <w:rsid w:val="005F6F02"/>
    <w:rsid w:val="005F7E1F"/>
    <w:rsid w:val="00600535"/>
    <w:rsid w:val="006016DF"/>
    <w:rsid w:val="006019C3"/>
    <w:rsid w:val="00610CD6"/>
    <w:rsid w:val="006124C3"/>
    <w:rsid w:val="00615908"/>
    <w:rsid w:val="00617E7C"/>
    <w:rsid w:val="00620DEE"/>
    <w:rsid w:val="00621F92"/>
    <w:rsid w:val="006220D0"/>
    <w:rsid w:val="00622234"/>
    <w:rsid w:val="0062280A"/>
    <w:rsid w:val="006231E1"/>
    <w:rsid w:val="00625639"/>
    <w:rsid w:val="00625EA5"/>
    <w:rsid w:val="00630DFA"/>
    <w:rsid w:val="00631B33"/>
    <w:rsid w:val="00633371"/>
    <w:rsid w:val="00634B06"/>
    <w:rsid w:val="0063510C"/>
    <w:rsid w:val="006367E3"/>
    <w:rsid w:val="0064066D"/>
    <w:rsid w:val="006414FE"/>
    <w:rsid w:val="0064184D"/>
    <w:rsid w:val="006422CC"/>
    <w:rsid w:val="006438A2"/>
    <w:rsid w:val="006465AA"/>
    <w:rsid w:val="00650C6D"/>
    <w:rsid w:val="00651D18"/>
    <w:rsid w:val="00655865"/>
    <w:rsid w:val="006565A6"/>
    <w:rsid w:val="00660E3E"/>
    <w:rsid w:val="00662368"/>
    <w:rsid w:val="00662E28"/>
    <w:rsid w:val="00662E74"/>
    <w:rsid w:val="0066314A"/>
    <w:rsid w:val="00664F25"/>
    <w:rsid w:val="006761FE"/>
    <w:rsid w:val="00680C23"/>
    <w:rsid w:val="00681913"/>
    <w:rsid w:val="00682485"/>
    <w:rsid w:val="00682621"/>
    <w:rsid w:val="0068377F"/>
    <w:rsid w:val="00683E23"/>
    <w:rsid w:val="006876CA"/>
    <w:rsid w:val="00693766"/>
    <w:rsid w:val="006953F1"/>
    <w:rsid w:val="006A01BB"/>
    <w:rsid w:val="006A317F"/>
    <w:rsid w:val="006A3281"/>
    <w:rsid w:val="006A7617"/>
    <w:rsid w:val="006B1E7D"/>
    <w:rsid w:val="006B349B"/>
    <w:rsid w:val="006B362A"/>
    <w:rsid w:val="006B4888"/>
    <w:rsid w:val="006B4BEC"/>
    <w:rsid w:val="006B73F7"/>
    <w:rsid w:val="006B7E53"/>
    <w:rsid w:val="006C0133"/>
    <w:rsid w:val="006C1B7F"/>
    <w:rsid w:val="006C2A3A"/>
    <w:rsid w:val="006C2E45"/>
    <w:rsid w:val="006C359C"/>
    <w:rsid w:val="006C41F1"/>
    <w:rsid w:val="006C50BD"/>
    <w:rsid w:val="006C5579"/>
    <w:rsid w:val="006C6109"/>
    <w:rsid w:val="006D0EB1"/>
    <w:rsid w:val="006D18FE"/>
    <w:rsid w:val="006D1DD9"/>
    <w:rsid w:val="006D3046"/>
    <w:rsid w:val="006D6E8B"/>
    <w:rsid w:val="006D7209"/>
    <w:rsid w:val="006D77AD"/>
    <w:rsid w:val="006E05B8"/>
    <w:rsid w:val="006E0C0B"/>
    <w:rsid w:val="006E5657"/>
    <w:rsid w:val="006E6073"/>
    <w:rsid w:val="006E737D"/>
    <w:rsid w:val="006F0EBE"/>
    <w:rsid w:val="006F1312"/>
    <w:rsid w:val="006F4298"/>
    <w:rsid w:val="006F435A"/>
    <w:rsid w:val="006F571F"/>
    <w:rsid w:val="006F6F0E"/>
    <w:rsid w:val="00704D21"/>
    <w:rsid w:val="00706355"/>
    <w:rsid w:val="00706B15"/>
    <w:rsid w:val="00707914"/>
    <w:rsid w:val="00707DD1"/>
    <w:rsid w:val="00710733"/>
    <w:rsid w:val="00711EDA"/>
    <w:rsid w:val="00713973"/>
    <w:rsid w:val="00720A24"/>
    <w:rsid w:val="00725285"/>
    <w:rsid w:val="007270DD"/>
    <w:rsid w:val="00732386"/>
    <w:rsid w:val="007328F4"/>
    <w:rsid w:val="00733D1B"/>
    <w:rsid w:val="00734037"/>
    <w:rsid w:val="00734834"/>
    <w:rsid w:val="00734E21"/>
    <w:rsid w:val="00734E2A"/>
    <w:rsid w:val="0073514D"/>
    <w:rsid w:val="007447F3"/>
    <w:rsid w:val="0074796B"/>
    <w:rsid w:val="007501B2"/>
    <w:rsid w:val="007526B2"/>
    <w:rsid w:val="0075499F"/>
    <w:rsid w:val="00757BB3"/>
    <w:rsid w:val="007617CC"/>
    <w:rsid w:val="0076232A"/>
    <w:rsid w:val="007661C8"/>
    <w:rsid w:val="007669F0"/>
    <w:rsid w:val="007669F8"/>
    <w:rsid w:val="00766C29"/>
    <w:rsid w:val="0077098D"/>
    <w:rsid w:val="00773A49"/>
    <w:rsid w:val="0077520C"/>
    <w:rsid w:val="00775D60"/>
    <w:rsid w:val="007822F8"/>
    <w:rsid w:val="007835D1"/>
    <w:rsid w:val="0078527F"/>
    <w:rsid w:val="00785BF9"/>
    <w:rsid w:val="00786EF0"/>
    <w:rsid w:val="0079173E"/>
    <w:rsid w:val="007931FA"/>
    <w:rsid w:val="007935A9"/>
    <w:rsid w:val="00794FEE"/>
    <w:rsid w:val="00795A63"/>
    <w:rsid w:val="00797401"/>
    <w:rsid w:val="007A4861"/>
    <w:rsid w:val="007A6DF8"/>
    <w:rsid w:val="007A7BBA"/>
    <w:rsid w:val="007B0299"/>
    <w:rsid w:val="007B0C50"/>
    <w:rsid w:val="007B3DA2"/>
    <w:rsid w:val="007B48F9"/>
    <w:rsid w:val="007B73DB"/>
    <w:rsid w:val="007C07DD"/>
    <w:rsid w:val="007C0899"/>
    <w:rsid w:val="007C1A43"/>
    <w:rsid w:val="007D0951"/>
    <w:rsid w:val="007D7DD0"/>
    <w:rsid w:val="007E1195"/>
    <w:rsid w:val="007E17D9"/>
    <w:rsid w:val="007E4FFF"/>
    <w:rsid w:val="007E7FBE"/>
    <w:rsid w:val="007F0D9D"/>
    <w:rsid w:val="007F27C8"/>
    <w:rsid w:val="007F4500"/>
    <w:rsid w:val="0080013E"/>
    <w:rsid w:val="0080409C"/>
    <w:rsid w:val="008055D4"/>
    <w:rsid w:val="0081053E"/>
    <w:rsid w:val="00812521"/>
    <w:rsid w:val="00813288"/>
    <w:rsid w:val="00813713"/>
    <w:rsid w:val="008144A9"/>
    <w:rsid w:val="00814622"/>
    <w:rsid w:val="00815562"/>
    <w:rsid w:val="008168FC"/>
    <w:rsid w:val="00821EAA"/>
    <w:rsid w:val="008241A4"/>
    <w:rsid w:val="0082552E"/>
    <w:rsid w:val="00830996"/>
    <w:rsid w:val="008312F5"/>
    <w:rsid w:val="008314D7"/>
    <w:rsid w:val="00831919"/>
    <w:rsid w:val="0083410B"/>
    <w:rsid w:val="008345F1"/>
    <w:rsid w:val="00835049"/>
    <w:rsid w:val="0083680F"/>
    <w:rsid w:val="00845756"/>
    <w:rsid w:val="00845A26"/>
    <w:rsid w:val="0085258E"/>
    <w:rsid w:val="00853CD8"/>
    <w:rsid w:val="0085618E"/>
    <w:rsid w:val="00860888"/>
    <w:rsid w:val="00865B07"/>
    <w:rsid w:val="00865F40"/>
    <w:rsid w:val="008667EA"/>
    <w:rsid w:val="008750E1"/>
    <w:rsid w:val="0087637F"/>
    <w:rsid w:val="00881CC1"/>
    <w:rsid w:val="00884C44"/>
    <w:rsid w:val="00885931"/>
    <w:rsid w:val="008876FA"/>
    <w:rsid w:val="00887C13"/>
    <w:rsid w:val="008909C2"/>
    <w:rsid w:val="00891E6A"/>
    <w:rsid w:val="00892A5D"/>
    <w:rsid w:val="00892AD5"/>
    <w:rsid w:val="00892E49"/>
    <w:rsid w:val="0089366D"/>
    <w:rsid w:val="00894B30"/>
    <w:rsid w:val="00896909"/>
    <w:rsid w:val="00896BC9"/>
    <w:rsid w:val="008A1512"/>
    <w:rsid w:val="008A16E8"/>
    <w:rsid w:val="008A30CE"/>
    <w:rsid w:val="008A5C0D"/>
    <w:rsid w:val="008A71C7"/>
    <w:rsid w:val="008B04BD"/>
    <w:rsid w:val="008B68AD"/>
    <w:rsid w:val="008C0A91"/>
    <w:rsid w:val="008C250A"/>
    <w:rsid w:val="008C2DFA"/>
    <w:rsid w:val="008C5A04"/>
    <w:rsid w:val="008C6870"/>
    <w:rsid w:val="008D06AD"/>
    <w:rsid w:val="008D0FAD"/>
    <w:rsid w:val="008D315F"/>
    <w:rsid w:val="008D32B9"/>
    <w:rsid w:val="008D361B"/>
    <w:rsid w:val="008D36B9"/>
    <w:rsid w:val="008D433B"/>
    <w:rsid w:val="008D4A16"/>
    <w:rsid w:val="008D64D8"/>
    <w:rsid w:val="008D71D5"/>
    <w:rsid w:val="008D7449"/>
    <w:rsid w:val="008E08F4"/>
    <w:rsid w:val="008E2025"/>
    <w:rsid w:val="008E209A"/>
    <w:rsid w:val="008E45BC"/>
    <w:rsid w:val="008E566E"/>
    <w:rsid w:val="008E5720"/>
    <w:rsid w:val="008F1314"/>
    <w:rsid w:val="008F30D8"/>
    <w:rsid w:val="008F37A2"/>
    <w:rsid w:val="008F56C5"/>
    <w:rsid w:val="008F6755"/>
    <w:rsid w:val="008F6983"/>
    <w:rsid w:val="008F7660"/>
    <w:rsid w:val="009003FA"/>
    <w:rsid w:val="0090161A"/>
    <w:rsid w:val="00901EB6"/>
    <w:rsid w:val="009041F8"/>
    <w:rsid w:val="00904C62"/>
    <w:rsid w:val="00905C36"/>
    <w:rsid w:val="00905EAB"/>
    <w:rsid w:val="009067D1"/>
    <w:rsid w:val="0091448C"/>
    <w:rsid w:val="00916A13"/>
    <w:rsid w:val="00916BF2"/>
    <w:rsid w:val="00917108"/>
    <w:rsid w:val="009177C8"/>
    <w:rsid w:val="00922BA8"/>
    <w:rsid w:val="00924DAC"/>
    <w:rsid w:val="009266DA"/>
    <w:rsid w:val="00927058"/>
    <w:rsid w:val="00942190"/>
    <w:rsid w:val="00942750"/>
    <w:rsid w:val="00943FD3"/>
    <w:rsid w:val="009450CE"/>
    <w:rsid w:val="009459BB"/>
    <w:rsid w:val="0094666E"/>
    <w:rsid w:val="00947179"/>
    <w:rsid w:val="0095105A"/>
    <w:rsid w:val="0095164B"/>
    <w:rsid w:val="00954090"/>
    <w:rsid w:val="00955566"/>
    <w:rsid w:val="00955A95"/>
    <w:rsid w:val="009573E7"/>
    <w:rsid w:val="00957A1F"/>
    <w:rsid w:val="00957EEC"/>
    <w:rsid w:val="009624A9"/>
    <w:rsid w:val="00963E05"/>
    <w:rsid w:val="00964A45"/>
    <w:rsid w:val="00964AC7"/>
    <w:rsid w:val="00967843"/>
    <w:rsid w:val="00967A67"/>
    <w:rsid w:val="00967D54"/>
    <w:rsid w:val="00971028"/>
    <w:rsid w:val="00974B8A"/>
    <w:rsid w:val="00980988"/>
    <w:rsid w:val="00981818"/>
    <w:rsid w:val="0098369D"/>
    <w:rsid w:val="009867E5"/>
    <w:rsid w:val="0099257F"/>
    <w:rsid w:val="009925DA"/>
    <w:rsid w:val="00993B84"/>
    <w:rsid w:val="00994128"/>
    <w:rsid w:val="00994A53"/>
    <w:rsid w:val="00996483"/>
    <w:rsid w:val="00996F5A"/>
    <w:rsid w:val="00997AA1"/>
    <w:rsid w:val="009A22F6"/>
    <w:rsid w:val="009A3FD6"/>
    <w:rsid w:val="009A5FAD"/>
    <w:rsid w:val="009B041A"/>
    <w:rsid w:val="009B101A"/>
    <w:rsid w:val="009B41E7"/>
    <w:rsid w:val="009C37C3"/>
    <w:rsid w:val="009C4046"/>
    <w:rsid w:val="009C5E92"/>
    <w:rsid w:val="009C7C86"/>
    <w:rsid w:val="009D1206"/>
    <w:rsid w:val="009D2FF7"/>
    <w:rsid w:val="009E0882"/>
    <w:rsid w:val="009E11D1"/>
    <w:rsid w:val="009E3C91"/>
    <w:rsid w:val="009E50A5"/>
    <w:rsid w:val="009E694F"/>
    <w:rsid w:val="009E7884"/>
    <w:rsid w:val="009E788A"/>
    <w:rsid w:val="009F0E08"/>
    <w:rsid w:val="009F1E1B"/>
    <w:rsid w:val="009F2642"/>
    <w:rsid w:val="009F5A45"/>
    <w:rsid w:val="009F6FCA"/>
    <w:rsid w:val="00A03291"/>
    <w:rsid w:val="00A060BA"/>
    <w:rsid w:val="00A07396"/>
    <w:rsid w:val="00A079AE"/>
    <w:rsid w:val="00A13940"/>
    <w:rsid w:val="00A1469B"/>
    <w:rsid w:val="00A1590A"/>
    <w:rsid w:val="00A166E0"/>
    <w:rsid w:val="00A1763D"/>
    <w:rsid w:val="00A17CEC"/>
    <w:rsid w:val="00A21FDE"/>
    <w:rsid w:val="00A22DD0"/>
    <w:rsid w:val="00A26CBB"/>
    <w:rsid w:val="00A27B66"/>
    <w:rsid w:val="00A27EF0"/>
    <w:rsid w:val="00A345FA"/>
    <w:rsid w:val="00A355ED"/>
    <w:rsid w:val="00A36365"/>
    <w:rsid w:val="00A42361"/>
    <w:rsid w:val="00A44C5D"/>
    <w:rsid w:val="00A50148"/>
    <w:rsid w:val="00A50734"/>
    <w:rsid w:val="00A50B20"/>
    <w:rsid w:val="00A51390"/>
    <w:rsid w:val="00A53BC5"/>
    <w:rsid w:val="00A5424D"/>
    <w:rsid w:val="00A54832"/>
    <w:rsid w:val="00A55BD0"/>
    <w:rsid w:val="00A56A2D"/>
    <w:rsid w:val="00A60D13"/>
    <w:rsid w:val="00A60D99"/>
    <w:rsid w:val="00A61F6F"/>
    <w:rsid w:val="00A653E7"/>
    <w:rsid w:val="00A66845"/>
    <w:rsid w:val="00A66937"/>
    <w:rsid w:val="00A7223D"/>
    <w:rsid w:val="00A72745"/>
    <w:rsid w:val="00A76EFC"/>
    <w:rsid w:val="00A8139A"/>
    <w:rsid w:val="00A827A9"/>
    <w:rsid w:val="00A82CE7"/>
    <w:rsid w:val="00A83125"/>
    <w:rsid w:val="00A84280"/>
    <w:rsid w:val="00A87D50"/>
    <w:rsid w:val="00A91010"/>
    <w:rsid w:val="00A93499"/>
    <w:rsid w:val="00A955E6"/>
    <w:rsid w:val="00A965C4"/>
    <w:rsid w:val="00A96790"/>
    <w:rsid w:val="00A97F29"/>
    <w:rsid w:val="00AA59BC"/>
    <w:rsid w:val="00AA6D33"/>
    <w:rsid w:val="00AA702E"/>
    <w:rsid w:val="00AA7D26"/>
    <w:rsid w:val="00AB0964"/>
    <w:rsid w:val="00AB1584"/>
    <w:rsid w:val="00AB240A"/>
    <w:rsid w:val="00AB27E7"/>
    <w:rsid w:val="00AB5011"/>
    <w:rsid w:val="00AB6547"/>
    <w:rsid w:val="00AC017F"/>
    <w:rsid w:val="00AC0829"/>
    <w:rsid w:val="00AC7368"/>
    <w:rsid w:val="00AD0278"/>
    <w:rsid w:val="00AD1598"/>
    <w:rsid w:val="00AD16B9"/>
    <w:rsid w:val="00AD23C4"/>
    <w:rsid w:val="00AD2B85"/>
    <w:rsid w:val="00AD4285"/>
    <w:rsid w:val="00AE377D"/>
    <w:rsid w:val="00AE4D21"/>
    <w:rsid w:val="00AF0EBA"/>
    <w:rsid w:val="00AF49B8"/>
    <w:rsid w:val="00AF76D0"/>
    <w:rsid w:val="00AF7CE3"/>
    <w:rsid w:val="00B01D61"/>
    <w:rsid w:val="00B01E9A"/>
    <w:rsid w:val="00B02C8A"/>
    <w:rsid w:val="00B05B7F"/>
    <w:rsid w:val="00B061E6"/>
    <w:rsid w:val="00B10384"/>
    <w:rsid w:val="00B11743"/>
    <w:rsid w:val="00B12D2A"/>
    <w:rsid w:val="00B12F50"/>
    <w:rsid w:val="00B13248"/>
    <w:rsid w:val="00B143D7"/>
    <w:rsid w:val="00B17FBD"/>
    <w:rsid w:val="00B22681"/>
    <w:rsid w:val="00B24136"/>
    <w:rsid w:val="00B259DE"/>
    <w:rsid w:val="00B315A6"/>
    <w:rsid w:val="00B31813"/>
    <w:rsid w:val="00B33365"/>
    <w:rsid w:val="00B3489C"/>
    <w:rsid w:val="00B34960"/>
    <w:rsid w:val="00B3789F"/>
    <w:rsid w:val="00B447EA"/>
    <w:rsid w:val="00B451CA"/>
    <w:rsid w:val="00B47213"/>
    <w:rsid w:val="00B518E1"/>
    <w:rsid w:val="00B55554"/>
    <w:rsid w:val="00B56EDC"/>
    <w:rsid w:val="00B57B36"/>
    <w:rsid w:val="00B57E6F"/>
    <w:rsid w:val="00B60AD5"/>
    <w:rsid w:val="00B60EAB"/>
    <w:rsid w:val="00B611C7"/>
    <w:rsid w:val="00B62DE1"/>
    <w:rsid w:val="00B70D2A"/>
    <w:rsid w:val="00B84366"/>
    <w:rsid w:val="00B8686D"/>
    <w:rsid w:val="00B90826"/>
    <w:rsid w:val="00B93F69"/>
    <w:rsid w:val="00BA3BC8"/>
    <w:rsid w:val="00BA41FC"/>
    <w:rsid w:val="00BA6C40"/>
    <w:rsid w:val="00BB1DDC"/>
    <w:rsid w:val="00BB342B"/>
    <w:rsid w:val="00BB3C2C"/>
    <w:rsid w:val="00BB4974"/>
    <w:rsid w:val="00BB6BAC"/>
    <w:rsid w:val="00BC2B13"/>
    <w:rsid w:val="00BC30C9"/>
    <w:rsid w:val="00BC5020"/>
    <w:rsid w:val="00BC51B5"/>
    <w:rsid w:val="00BC649B"/>
    <w:rsid w:val="00BC69FF"/>
    <w:rsid w:val="00BD05B5"/>
    <w:rsid w:val="00BD077D"/>
    <w:rsid w:val="00BD1BEE"/>
    <w:rsid w:val="00BD4054"/>
    <w:rsid w:val="00BD60BB"/>
    <w:rsid w:val="00BE1432"/>
    <w:rsid w:val="00BE2CD7"/>
    <w:rsid w:val="00BE3E58"/>
    <w:rsid w:val="00BE3EBF"/>
    <w:rsid w:val="00BE5B70"/>
    <w:rsid w:val="00BE736F"/>
    <w:rsid w:val="00BE75B4"/>
    <w:rsid w:val="00BF1739"/>
    <w:rsid w:val="00BF282C"/>
    <w:rsid w:val="00BF3172"/>
    <w:rsid w:val="00BF32B1"/>
    <w:rsid w:val="00BF576F"/>
    <w:rsid w:val="00BF5E21"/>
    <w:rsid w:val="00C01616"/>
    <w:rsid w:val="00C0162B"/>
    <w:rsid w:val="00C03B5D"/>
    <w:rsid w:val="00C068ED"/>
    <w:rsid w:val="00C11829"/>
    <w:rsid w:val="00C17C98"/>
    <w:rsid w:val="00C208E9"/>
    <w:rsid w:val="00C22E0C"/>
    <w:rsid w:val="00C237D1"/>
    <w:rsid w:val="00C345B1"/>
    <w:rsid w:val="00C34A0D"/>
    <w:rsid w:val="00C40142"/>
    <w:rsid w:val="00C4049E"/>
    <w:rsid w:val="00C413AD"/>
    <w:rsid w:val="00C42E07"/>
    <w:rsid w:val="00C454BB"/>
    <w:rsid w:val="00C470A4"/>
    <w:rsid w:val="00C47172"/>
    <w:rsid w:val="00C5222F"/>
    <w:rsid w:val="00C52C3C"/>
    <w:rsid w:val="00C53925"/>
    <w:rsid w:val="00C57182"/>
    <w:rsid w:val="00C57863"/>
    <w:rsid w:val="00C61C60"/>
    <w:rsid w:val="00C640AF"/>
    <w:rsid w:val="00C655FD"/>
    <w:rsid w:val="00C702C0"/>
    <w:rsid w:val="00C722E1"/>
    <w:rsid w:val="00C72512"/>
    <w:rsid w:val="00C737F4"/>
    <w:rsid w:val="00C7525B"/>
    <w:rsid w:val="00C75407"/>
    <w:rsid w:val="00C817D7"/>
    <w:rsid w:val="00C841C6"/>
    <w:rsid w:val="00C8451E"/>
    <w:rsid w:val="00C8478D"/>
    <w:rsid w:val="00C870A8"/>
    <w:rsid w:val="00C903A4"/>
    <w:rsid w:val="00C909E7"/>
    <w:rsid w:val="00C94434"/>
    <w:rsid w:val="00C9471D"/>
    <w:rsid w:val="00CA0D75"/>
    <w:rsid w:val="00CA1C95"/>
    <w:rsid w:val="00CA4B72"/>
    <w:rsid w:val="00CA53D5"/>
    <w:rsid w:val="00CA5A9C"/>
    <w:rsid w:val="00CA6858"/>
    <w:rsid w:val="00CB2654"/>
    <w:rsid w:val="00CB419E"/>
    <w:rsid w:val="00CB51FC"/>
    <w:rsid w:val="00CB71D2"/>
    <w:rsid w:val="00CC0CCA"/>
    <w:rsid w:val="00CC468C"/>
    <w:rsid w:val="00CC4C20"/>
    <w:rsid w:val="00CC540B"/>
    <w:rsid w:val="00CD1B0C"/>
    <w:rsid w:val="00CD1F08"/>
    <w:rsid w:val="00CD20E7"/>
    <w:rsid w:val="00CD311C"/>
    <w:rsid w:val="00CD3517"/>
    <w:rsid w:val="00CD5FE2"/>
    <w:rsid w:val="00CE2DF9"/>
    <w:rsid w:val="00CE45E3"/>
    <w:rsid w:val="00CE7C68"/>
    <w:rsid w:val="00CF0B02"/>
    <w:rsid w:val="00CF0D63"/>
    <w:rsid w:val="00CF24E3"/>
    <w:rsid w:val="00CF32F9"/>
    <w:rsid w:val="00CF5645"/>
    <w:rsid w:val="00D02B4C"/>
    <w:rsid w:val="00D040C4"/>
    <w:rsid w:val="00D0585E"/>
    <w:rsid w:val="00D07AD6"/>
    <w:rsid w:val="00D12EA3"/>
    <w:rsid w:val="00D161AA"/>
    <w:rsid w:val="00D20AD1"/>
    <w:rsid w:val="00D2582C"/>
    <w:rsid w:val="00D35E94"/>
    <w:rsid w:val="00D36E01"/>
    <w:rsid w:val="00D37350"/>
    <w:rsid w:val="00D4403F"/>
    <w:rsid w:val="00D46B7E"/>
    <w:rsid w:val="00D52E4C"/>
    <w:rsid w:val="00D53C7B"/>
    <w:rsid w:val="00D55F15"/>
    <w:rsid w:val="00D5667A"/>
    <w:rsid w:val="00D57878"/>
    <w:rsid w:val="00D57C84"/>
    <w:rsid w:val="00D6057D"/>
    <w:rsid w:val="00D621E5"/>
    <w:rsid w:val="00D66D8E"/>
    <w:rsid w:val="00D71640"/>
    <w:rsid w:val="00D7172E"/>
    <w:rsid w:val="00D7384B"/>
    <w:rsid w:val="00D73A58"/>
    <w:rsid w:val="00D759F0"/>
    <w:rsid w:val="00D7647C"/>
    <w:rsid w:val="00D80287"/>
    <w:rsid w:val="00D836C5"/>
    <w:rsid w:val="00D84576"/>
    <w:rsid w:val="00D94099"/>
    <w:rsid w:val="00D96BB9"/>
    <w:rsid w:val="00D96FBC"/>
    <w:rsid w:val="00DA1399"/>
    <w:rsid w:val="00DA24C6"/>
    <w:rsid w:val="00DA4523"/>
    <w:rsid w:val="00DA4D7B"/>
    <w:rsid w:val="00DA6DC8"/>
    <w:rsid w:val="00DB23E9"/>
    <w:rsid w:val="00DB5BF0"/>
    <w:rsid w:val="00DC08C7"/>
    <w:rsid w:val="00DC132B"/>
    <w:rsid w:val="00DC1A5D"/>
    <w:rsid w:val="00DC79BA"/>
    <w:rsid w:val="00DD0DDD"/>
    <w:rsid w:val="00DD229F"/>
    <w:rsid w:val="00DD271C"/>
    <w:rsid w:val="00DD4117"/>
    <w:rsid w:val="00DD49BF"/>
    <w:rsid w:val="00DD4C02"/>
    <w:rsid w:val="00DE081F"/>
    <w:rsid w:val="00DE264A"/>
    <w:rsid w:val="00DE2FB4"/>
    <w:rsid w:val="00DE5082"/>
    <w:rsid w:val="00DE5393"/>
    <w:rsid w:val="00DE6159"/>
    <w:rsid w:val="00DF0CE4"/>
    <w:rsid w:val="00DF2102"/>
    <w:rsid w:val="00DF4E57"/>
    <w:rsid w:val="00DF5072"/>
    <w:rsid w:val="00E00BAF"/>
    <w:rsid w:val="00E00D16"/>
    <w:rsid w:val="00E02D18"/>
    <w:rsid w:val="00E041E7"/>
    <w:rsid w:val="00E11393"/>
    <w:rsid w:val="00E13543"/>
    <w:rsid w:val="00E14D95"/>
    <w:rsid w:val="00E23CA1"/>
    <w:rsid w:val="00E27279"/>
    <w:rsid w:val="00E27FCB"/>
    <w:rsid w:val="00E31687"/>
    <w:rsid w:val="00E34345"/>
    <w:rsid w:val="00E36D5C"/>
    <w:rsid w:val="00E37908"/>
    <w:rsid w:val="00E409A8"/>
    <w:rsid w:val="00E44A3D"/>
    <w:rsid w:val="00E47D61"/>
    <w:rsid w:val="00E50C12"/>
    <w:rsid w:val="00E5255C"/>
    <w:rsid w:val="00E55204"/>
    <w:rsid w:val="00E56F8B"/>
    <w:rsid w:val="00E576C7"/>
    <w:rsid w:val="00E62C8E"/>
    <w:rsid w:val="00E640B5"/>
    <w:rsid w:val="00E64D81"/>
    <w:rsid w:val="00E65137"/>
    <w:rsid w:val="00E65B91"/>
    <w:rsid w:val="00E7209D"/>
    <w:rsid w:val="00E72EAD"/>
    <w:rsid w:val="00E74579"/>
    <w:rsid w:val="00E77223"/>
    <w:rsid w:val="00E8071C"/>
    <w:rsid w:val="00E84B63"/>
    <w:rsid w:val="00E8528B"/>
    <w:rsid w:val="00E85B5B"/>
    <w:rsid w:val="00E85B94"/>
    <w:rsid w:val="00E86FC2"/>
    <w:rsid w:val="00E875C9"/>
    <w:rsid w:val="00E978D0"/>
    <w:rsid w:val="00EA0A77"/>
    <w:rsid w:val="00EA1AFD"/>
    <w:rsid w:val="00EA4613"/>
    <w:rsid w:val="00EA61D2"/>
    <w:rsid w:val="00EA7583"/>
    <w:rsid w:val="00EA7F91"/>
    <w:rsid w:val="00EB0B4E"/>
    <w:rsid w:val="00EB0CF2"/>
    <w:rsid w:val="00EB1523"/>
    <w:rsid w:val="00EB23FA"/>
    <w:rsid w:val="00EB3329"/>
    <w:rsid w:val="00EB650E"/>
    <w:rsid w:val="00EB7E29"/>
    <w:rsid w:val="00EC0E49"/>
    <w:rsid w:val="00EC101F"/>
    <w:rsid w:val="00EC1D9F"/>
    <w:rsid w:val="00EC3553"/>
    <w:rsid w:val="00EC6AD3"/>
    <w:rsid w:val="00ED037C"/>
    <w:rsid w:val="00ED0D58"/>
    <w:rsid w:val="00ED12C9"/>
    <w:rsid w:val="00ED1992"/>
    <w:rsid w:val="00ED4B9F"/>
    <w:rsid w:val="00ED567F"/>
    <w:rsid w:val="00ED5ACD"/>
    <w:rsid w:val="00ED609C"/>
    <w:rsid w:val="00ED76F2"/>
    <w:rsid w:val="00EE0131"/>
    <w:rsid w:val="00EE1629"/>
    <w:rsid w:val="00EE17B0"/>
    <w:rsid w:val="00EE1A2E"/>
    <w:rsid w:val="00EE4202"/>
    <w:rsid w:val="00EF06D9"/>
    <w:rsid w:val="00EF0982"/>
    <w:rsid w:val="00EF1AAD"/>
    <w:rsid w:val="00EF2E99"/>
    <w:rsid w:val="00F016C2"/>
    <w:rsid w:val="00F02FDF"/>
    <w:rsid w:val="00F03A4B"/>
    <w:rsid w:val="00F06B02"/>
    <w:rsid w:val="00F1120E"/>
    <w:rsid w:val="00F14176"/>
    <w:rsid w:val="00F150B7"/>
    <w:rsid w:val="00F16BC0"/>
    <w:rsid w:val="00F20256"/>
    <w:rsid w:val="00F21C4C"/>
    <w:rsid w:val="00F25E7E"/>
    <w:rsid w:val="00F26DCA"/>
    <w:rsid w:val="00F2728F"/>
    <w:rsid w:val="00F27CF4"/>
    <w:rsid w:val="00F30286"/>
    <w:rsid w:val="00F3049E"/>
    <w:rsid w:val="00F30C64"/>
    <w:rsid w:val="00F32BA2"/>
    <w:rsid w:val="00F32CDB"/>
    <w:rsid w:val="00F3348F"/>
    <w:rsid w:val="00F33AF3"/>
    <w:rsid w:val="00F366A5"/>
    <w:rsid w:val="00F37280"/>
    <w:rsid w:val="00F37A18"/>
    <w:rsid w:val="00F41EE4"/>
    <w:rsid w:val="00F43476"/>
    <w:rsid w:val="00F4695C"/>
    <w:rsid w:val="00F5056D"/>
    <w:rsid w:val="00F51B26"/>
    <w:rsid w:val="00F565FE"/>
    <w:rsid w:val="00F569F4"/>
    <w:rsid w:val="00F57A33"/>
    <w:rsid w:val="00F57F2F"/>
    <w:rsid w:val="00F63A70"/>
    <w:rsid w:val="00F63D8C"/>
    <w:rsid w:val="00F65FAE"/>
    <w:rsid w:val="00F66F6D"/>
    <w:rsid w:val="00F66FEE"/>
    <w:rsid w:val="00F70A67"/>
    <w:rsid w:val="00F74519"/>
    <w:rsid w:val="00F7534E"/>
    <w:rsid w:val="00F755F3"/>
    <w:rsid w:val="00F82231"/>
    <w:rsid w:val="00F826B6"/>
    <w:rsid w:val="00F832E9"/>
    <w:rsid w:val="00F83F10"/>
    <w:rsid w:val="00F8563C"/>
    <w:rsid w:val="00F93EDF"/>
    <w:rsid w:val="00F94E0D"/>
    <w:rsid w:val="00FA1802"/>
    <w:rsid w:val="00FA21D0"/>
    <w:rsid w:val="00FA40A5"/>
    <w:rsid w:val="00FA4290"/>
    <w:rsid w:val="00FA5935"/>
    <w:rsid w:val="00FA5F5F"/>
    <w:rsid w:val="00FA76F0"/>
    <w:rsid w:val="00FB4BF9"/>
    <w:rsid w:val="00FB730C"/>
    <w:rsid w:val="00FC2695"/>
    <w:rsid w:val="00FC3E03"/>
    <w:rsid w:val="00FC3FC1"/>
    <w:rsid w:val="00FC6CC5"/>
    <w:rsid w:val="00FC7B9D"/>
    <w:rsid w:val="00FD0FF0"/>
    <w:rsid w:val="00FD3BEC"/>
    <w:rsid w:val="00FD6BCF"/>
    <w:rsid w:val="00FD7336"/>
    <w:rsid w:val="00FE2C1E"/>
    <w:rsid w:val="00FE524F"/>
    <w:rsid w:val="00FF1B51"/>
    <w:rsid w:val="00FF1B59"/>
    <w:rsid w:val="00FF25E2"/>
    <w:rsid w:val="00FF290E"/>
    <w:rsid w:val="00FF459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PlaceholderText">
    <w:name w:val="Placeholder Text"/>
    <w:basedOn w:val="DefaultParagraphFont"/>
    <w:uiPriority w:val="99"/>
    <w:semiHidden/>
    <w:rsid w:val="00CF0B02"/>
    <w:rPr>
      <w:color w:val="666666"/>
    </w:rPr>
  </w:style>
  <w:style w:type="paragraph" w:styleId="Revision">
    <w:name w:val="Revision"/>
    <w:hidden/>
    <w:uiPriority w:val="99"/>
    <w:semiHidden/>
    <w:rsid w:val="0016013A"/>
    <w:pPr>
      <w:spacing w:after="0" w:line="240" w:lineRule="auto"/>
    </w:pPr>
    <w:rPr>
      <w:rFonts w:ascii="Arial" w:eastAsia="Times New Roman" w:hAnsi="Arial" w:cs="Times New Roman"/>
      <w:sz w:val="18"/>
      <w:szCs w:val="20"/>
      <w:lang w:val="en-GB"/>
    </w:rPr>
  </w:style>
  <w:style w:type="character" w:styleId="UnresolvedMention">
    <w:name w:val="Unresolved Mention"/>
    <w:basedOn w:val="DefaultParagraphFont"/>
    <w:uiPriority w:val="99"/>
    <w:semiHidden/>
    <w:unhideWhenUsed/>
    <w:rsid w:val="008B0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9890">
      <w:bodyDiv w:val="1"/>
      <w:marLeft w:val="0"/>
      <w:marRight w:val="0"/>
      <w:marTop w:val="0"/>
      <w:marBottom w:val="0"/>
      <w:divBdr>
        <w:top w:val="none" w:sz="0" w:space="0" w:color="auto"/>
        <w:left w:val="none" w:sz="0" w:space="0" w:color="auto"/>
        <w:bottom w:val="none" w:sz="0" w:space="0" w:color="auto"/>
        <w:right w:val="none" w:sz="0" w:space="0" w:color="auto"/>
      </w:divBdr>
    </w:div>
    <w:div w:id="756171356">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71237">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74898858">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8794">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3265</Words>
  <Characters>21152</Characters>
  <Application>Microsoft Office Word</Application>
  <DocSecurity>0</DocSecurity>
  <Lines>295</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Francesco Zanobetti</cp:lastModifiedBy>
  <cp:revision>31</cp:revision>
  <cp:lastPrinted>2026-03-23T16:38:00Z</cp:lastPrinted>
  <dcterms:created xsi:type="dcterms:W3CDTF">2026-03-23T16:36:00Z</dcterms:created>
  <dcterms:modified xsi:type="dcterms:W3CDTF">2026-03-23T17:57:00Z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Document_1">
    <vt:lpwstr>True</vt:lpwstr>
  </property>
  <property fmtid="{D5CDD505-2E9C-101B-9397-08002B2CF9AE}" pid="5" name="Mendeley Unique User Id_1">
    <vt:lpwstr>ffc6383b-acd1-3c45-aaa8-91c9040c6bc0</vt:lpwstr>
  </property>
  <property fmtid="{D5CDD505-2E9C-101B-9397-08002B2CF9AE}" pid="6" name="Mendeley Citation Style_1">
    <vt:lpwstr>https://csl.mendeley.com/styles/648582171/elsevier-harvard-AIDIC-leobo</vt:lpwstr>
  </property>
  <property fmtid="{D5CDD505-2E9C-101B-9397-08002B2CF9AE}" pid="7" name="Mendeley Recent Style Id 0_1">
    <vt:lpwstr>https://csl.mendeley.com/styles/648582171/elsevier-harvard-AIDIC-leobo</vt:lpwstr>
  </property>
  <property fmtid="{D5CDD505-2E9C-101B-9397-08002B2CF9AE}" pid="8" name="Mendeley Recent Style Name 0_1">
    <vt:lpwstr>AIDIC CEt Leobo</vt:lpwstr>
  </property>
  <property fmtid="{D5CDD505-2E9C-101B-9397-08002B2CF9AE}" pid="9" name="Mendeley Recent Style Id 1_1">
    <vt:lpwstr>http://www.zotero.org/styles/american-sociological-association</vt:lpwstr>
  </property>
  <property fmtid="{D5CDD505-2E9C-101B-9397-08002B2CF9AE}" pid="10" name="Mendeley Recent Style Name 1_1">
    <vt:lpwstr>American Sociological Association 6th edition</vt:lpwstr>
  </property>
  <property fmtid="{D5CDD505-2E9C-101B-9397-08002B2CF9AE}" pid="11" name="Mendeley Recent Style Id 2_1">
    <vt:lpwstr>http://www.zotero.org/styles/applied-energy</vt:lpwstr>
  </property>
  <property fmtid="{D5CDD505-2E9C-101B-9397-08002B2CF9AE}" pid="12" name="Mendeley Recent Style Name 2_1">
    <vt:lpwstr>Applied Energy</vt:lpwstr>
  </property>
  <property fmtid="{D5CDD505-2E9C-101B-9397-08002B2CF9AE}" pid="13" name="Mendeley Recent Style Id 3_1">
    <vt:lpwstr>http://www.zotero.org/styles/chemical-engineering-journal</vt:lpwstr>
  </property>
  <property fmtid="{D5CDD505-2E9C-101B-9397-08002B2CF9AE}" pid="14" name="Mendeley Recent Style Name 3_1">
    <vt:lpwstr>Chemical Engineering Journal</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http://www.zotero.org/styles/first-break</vt:lpwstr>
  </property>
  <property fmtid="{D5CDD505-2E9C-101B-9397-08002B2CF9AE}" pid="18" name="Mendeley Recent Style Name 5_1">
    <vt:lpwstr>First Break</vt:lpwstr>
  </property>
  <property fmtid="{D5CDD505-2E9C-101B-9397-08002B2CF9AE}" pid="19" name="Mendeley Recent Style Id 6_1">
    <vt:lpwstr>http://www.zotero.org/styles/modern-language-association</vt:lpwstr>
  </property>
  <property fmtid="{D5CDD505-2E9C-101B-9397-08002B2CF9AE}" pid="20" name="Mendeley Recent Style Name 6_1">
    <vt:lpwstr>Modern Language Association 9th edition</vt:lpwstr>
  </property>
  <property fmtid="{D5CDD505-2E9C-101B-9397-08002B2CF9AE}" pid="21" name="Mendeley Recent Style Id 7_1">
    <vt:lpwstr>http://www.zotero.org/styles/sustainable-energy-and-fuels</vt:lpwstr>
  </property>
  <property fmtid="{D5CDD505-2E9C-101B-9397-08002B2CF9AE}" pid="22" name="Mendeley Recent Style Name 7_1">
    <vt:lpwstr>Sustainable Energy &amp; Fuels</vt:lpwstr>
  </property>
  <property fmtid="{D5CDD505-2E9C-101B-9397-08002B2CF9AE}" pid="23" name="Mendeley Recent Style Id 8_1">
    <vt:lpwstr>http://www.zotero.org/styles/vancouver</vt:lpwstr>
  </property>
  <property fmtid="{D5CDD505-2E9C-101B-9397-08002B2CF9AE}" pid="24" name="Mendeley Recent Style Name 8_1">
    <vt:lpwstr>Vancouver</vt:lpwstr>
  </property>
  <property fmtid="{D5CDD505-2E9C-101B-9397-08002B2CF9AE}" pid="25" name="Mendeley Recent Style Id 9_1">
    <vt:lpwstr>http://www.zotero.org/styles/vancouver-superscript</vt:lpwstr>
  </property>
  <property fmtid="{D5CDD505-2E9C-101B-9397-08002B2CF9AE}" pid="26" name="Mendeley Recent Style Name 9_1">
    <vt:lpwstr>Vancouver (superscript)</vt:lpwstr>
  </property>
</Properties>
</file>