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E31E2F">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en-MY" w:eastAsia="zh-CN"/>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1087A532"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35009F">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en-MY" w:eastAsia="zh-CN"/>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E31E2F">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E31E2F">
        <w:trPr>
          <w:trHeight w:val="68"/>
          <w:jc w:val="center"/>
        </w:trPr>
        <w:tc>
          <w:tcPr>
            <w:tcW w:w="8782" w:type="dxa"/>
            <w:gridSpan w:val="2"/>
          </w:tcPr>
          <w:p w14:paraId="1D8DD3C9" w14:textId="086598E2" w:rsidR="00AA7D26" w:rsidRPr="00F93EDF" w:rsidRDefault="00AA7D26"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Editors:</w:t>
            </w:r>
            <w:r w:rsidRPr="00F93EDF">
              <w:rPr>
                <w:rFonts w:ascii="Tahoma" w:hAnsi="Tahoma" w:cs="Tahoma"/>
                <w:color w:val="000000"/>
                <w:sz w:val="14"/>
                <w:szCs w:val="14"/>
                <w:shd w:val="clear" w:color="auto" w:fill="FFFFFF"/>
              </w:rPr>
              <w:t xml:space="preserve"> </w:t>
            </w:r>
          </w:p>
          <w:p w14:paraId="1B0F1814" w14:textId="57AA03E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557E00">
              <w:rPr>
                <w:rFonts w:ascii="Tahoma" w:hAnsi="Tahoma" w:cs="Tahoma"/>
                <w:sz w:val="14"/>
                <w:szCs w:val="14"/>
              </w:rPr>
              <w:t>XX</w:t>
            </w:r>
            <w:r w:rsidR="00D2582C">
              <w:rPr>
                <w:rFonts w:ascii="Tahoma" w:hAnsi="Tahoma" w:cs="Tahoma"/>
                <w:sz w:val="14"/>
                <w:szCs w:val="14"/>
              </w:rPr>
              <w:t>-</w:t>
            </w:r>
            <w:r w:rsidR="00557E00">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4B54B6AD" w:rsidR="00E978D0" w:rsidRPr="00B57B36" w:rsidRDefault="00E31E2F" w:rsidP="00E978D0">
      <w:pPr>
        <w:pStyle w:val="CETTitle"/>
      </w:pPr>
      <w:r w:rsidRPr="00E31E2F">
        <w:t>A Multi-Period Model for Optimal Deployment of Cost</w:t>
      </w:r>
      <w:r w:rsidRPr="00E31E2F">
        <w:rPr>
          <w:rFonts w:ascii="Cambria Math" w:hAnsi="Cambria Math" w:cs="Cambria Math"/>
        </w:rPr>
        <w:t>‐</w:t>
      </w:r>
      <w:r w:rsidRPr="00E31E2F">
        <w:t>Effective Risk Reduction Systems</w:t>
      </w:r>
    </w:p>
    <w:p w14:paraId="0488FED2" w14:textId="18DD51CC" w:rsidR="00B57E6F" w:rsidRPr="00B57B36" w:rsidRDefault="00F841E1" w:rsidP="00B57E6F">
      <w:pPr>
        <w:pStyle w:val="CETAuthors"/>
      </w:pPr>
      <w:r>
        <w:t>Dominic C. Y. Foo</w:t>
      </w:r>
      <w:r w:rsidR="00B57E6F" w:rsidRPr="00B57B36">
        <w:rPr>
          <w:vertAlign w:val="superscript"/>
        </w:rPr>
        <w:t>a</w:t>
      </w:r>
      <w:r w:rsidRPr="00B57B36">
        <w:rPr>
          <w:vertAlign w:val="superscript"/>
        </w:rPr>
        <w:t>,</w:t>
      </w:r>
      <w:r w:rsidRPr="00B57B36">
        <w:t>*</w:t>
      </w:r>
      <w:r w:rsidR="00B57E6F" w:rsidRPr="00B57B36">
        <w:t xml:space="preserve">, </w:t>
      </w:r>
      <w:r>
        <w:t>Raymond R</w:t>
      </w:r>
      <w:r w:rsidR="00351BC5">
        <w:t>.</w:t>
      </w:r>
      <w:r>
        <w:t xml:space="preserve"> Tan</w:t>
      </w:r>
      <w:r w:rsidR="00B57E6F" w:rsidRPr="00B57B36">
        <w:rPr>
          <w:vertAlign w:val="superscript"/>
        </w:rPr>
        <w:t>b</w:t>
      </w:r>
    </w:p>
    <w:p w14:paraId="6B2D21B3" w14:textId="58C2A151" w:rsidR="00B57E6F" w:rsidRPr="00B57B36" w:rsidRDefault="00B57E6F" w:rsidP="00B57E6F">
      <w:pPr>
        <w:pStyle w:val="CETAddress"/>
      </w:pPr>
      <w:r w:rsidRPr="00F841E1">
        <w:rPr>
          <w:vertAlign w:val="superscript"/>
        </w:rPr>
        <w:t>a</w:t>
      </w:r>
      <w:r w:rsidR="00F841E1" w:rsidRPr="00F841E1">
        <w:rPr>
          <w:lang w:val="en-MY"/>
        </w:rPr>
        <w:t>Department of Chemical and Environmental Engineering/ Centre of Excellence for Green Technologies, University of Nottingham Malaysia, Broga Road, 43500 Semenyih, Selangor, Malaysia</w:t>
      </w:r>
      <w:r w:rsidRPr="00B57B36">
        <w:t xml:space="preserve"> </w:t>
      </w:r>
    </w:p>
    <w:p w14:paraId="3D72B0B0" w14:textId="286A9272" w:rsidR="00B57E6F" w:rsidRDefault="00B57E6F" w:rsidP="00B57E6F">
      <w:pPr>
        <w:pStyle w:val="CETAddress"/>
      </w:pPr>
      <w:r w:rsidRPr="007E23D9">
        <w:rPr>
          <w:vertAlign w:val="superscript"/>
        </w:rPr>
        <w:t>b</w:t>
      </w:r>
      <w:r w:rsidR="00351BC5">
        <w:t xml:space="preserve">Department of </w:t>
      </w:r>
      <w:r w:rsidR="00F841E1" w:rsidRPr="00351BC5">
        <w:t>Chemical</w:t>
      </w:r>
      <w:r w:rsidR="00F841E1" w:rsidRPr="00F841E1">
        <w:t xml:space="preserve"> Engineering, De La Salle University, 2401 Taft Avenue, 0922 Manila, Philippines</w:t>
      </w:r>
    </w:p>
    <w:p w14:paraId="325C1225" w14:textId="073CC97A" w:rsidR="00681460" w:rsidRPr="009378F0" w:rsidRDefault="00F841E1" w:rsidP="00681460">
      <w:pPr>
        <w:pStyle w:val="CETemail"/>
      </w:pPr>
      <w:r w:rsidRPr="00F841E1">
        <w:t>Dominic.Foo@nottingham.edu.my</w:t>
      </w:r>
    </w:p>
    <w:p w14:paraId="7115A5A7" w14:textId="3DA33DA4" w:rsidR="00C010DF" w:rsidRPr="00B57B36" w:rsidRDefault="00E31E2F" w:rsidP="00600535">
      <w:pPr>
        <w:pStyle w:val="CETBodytext"/>
        <w:rPr>
          <w:lang w:val="en-GB"/>
        </w:rPr>
      </w:pPr>
      <w:r w:rsidRPr="00E31E2F">
        <w:rPr>
          <w:lang w:val="en-GB"/>
        </w:rPr>
        <w:t xml:space="preserve">Reducing safety risk is an </w:t>
      </w:r>
      <w:r w:rsidR="00351BC5">
        <w:rPr>
          <w:lang w:val="en-GB"/>
        </w:rPr>
        <w:t>important priority</w:t>
      </w:r>
      <w:r w:rsidRPr="00E31E2F">
        <w:rPr>
          <w:lang w:val="en-GB"/>
        </w:rPr>
        <w:t xml:space="preserve"> for all industrial plants. However, it </w:t>
      </w:r>
      <w:r w:rsidR="008F0434" w:rsidRPr="00435B5B">
        <w:rPr>
          <w:color w:val="FF0000"/>
          <w:lang w:val="en-GB"/>
        </w:rPr>
        <w:t>can be</w:t>
      </w:r>
      <w:r w:rsidRPr="00435B5B">
        <w:rPr>
          <w:color w:val="FF0000"/>
          <w:lang w:val="en-GB"/>
        </w:rPr>
        <w:t xml:space="preserve"> </w:t>
      </w:r>
      <w:r w:rsidRPr="00E31E2F">
        <w:rPr>
          <w:lang w:val="en-GB"/>
        </w:rPr>
        <w:t xml:space="preserve">difficult </w:t>
      </w:r>
      <w:r w:rsidR="00351BC5">
        <w:rPr>
          <w:lang w:val="en-GB"/>
        </w:rPr>
        <w:t>to select a risk management por</w:t>
      </w:r>
      <w:r w:rsidR="00756C58">
        <w:rPr>
          <w:lang w:val="en-GB"/>
        </w:rPr>
        <w:t>t</w:t>
      </w:r>
      <w:r w:rsidR="00351BC5">
        <w:rPr>
          <w:lang w:val="en-GB"/>
        </w:rPr>
        <w:t>folio</w:t>
      </w:r>
      <w:r w:rsidRPr="00E31E2F">
        <w:rPr>
          <w:lang w:val="en-GB"/>
        </w:rPr>
        <w:t xml:space="preserve"> </w:t>
      </w:r>
      <w:r w:rsidR="00351BC5">
        <w:rPr>
          <w:lang w:val="en-GB"/>
        </w:rPr>
        <w:t>from a</w:t>
      </w:r>
      <w:r w:rsidRPr="00E31E2F">
        <w:rPr>
          <w:lang w:val="en-GB"/>
        </w:rPr>
        <w:t xml:space="preserve"> large number of options</w:t>
      </w:r>
      <w:r w:rsidR="00351BC5">
        <w:rPr>
          <w:lang w:val="en-GB"/>
        </w:rPr>
        <w:t xml:space="preserve"> when there is a</w:t>
      </w:r>
      <w:r w:rsidRPr="00E31E2F">
        <w:rPr>
          <w:lang w:val="en-GB"/>
        </w:rPr>
        <w:t xml:space="preserve"> constraint on capital expenditure. In this work, a mixed-integer linear program</w:t>
      </w:r>
      <w:r w:rsidR="008F0434">
        <w:rPr>
          <w:lang w:val="en-GB"/>
        </w:rPr>
        <w:t>ming</w:t>
      </w:r>
      <w:r w:rsidRPr="00E31E2F">
        <w:rPr>
          <w:lang w:val="en-GB"/>
        </w:rPr>
        <w:t xml:space="preserve"> model is </w:t>
      </w:r>
      <w:r w:rsidR="00351BC5">
        <w:rPr>
          <w:lang w:val="en-GB"/>
        </w:rPr>
        <w:t>developed</w:t>
      </w:r>
      <w:r w:rsidRPr="00E31E2F">
        <w:rPr>
          <w:lang w:val="en-GB"/>
        </w:rPr>
        <w:t xml:space="preserve"> for the optimal deployment of risk reduction systems, taking into cost constraints and multi</w:t>
      </w:r>
      <w:r w:rsidR="00351BC5">
        <w:rPr>
          <w:lang w:val="en-GB"/>
        </w:rPr>
        <w:t xml:space="preserve">ple time </w:t>
      </w:r>
      <w:r w:rsidRPr="00E31E2F">
        <w:rPr>
          <w:lang w:val="en-GB"/>
        </w:rPr>
        <w:t>period</w:t>
      </w:r>
      <w:r w:rsidR="00351BC5">
        <w:rPr>
          <w:lang w:val="en-GB"/>
        </w:rPr>
        <w:t>s</w:t>
      </w:r>
      <w:r w:rsidRPr="00E31E2F">
        <w:rPr>
          <w:lang w:val="en-GB"/>
        </w:rPr>
        <w:t xml:space="preserve">. Results </w:t>
      </w:r>
      <w:r w:rsidR="00351BC5">
        <w:rPr>
          <w:lang w:val="en-GB"/>
        </w:rPr>
        <w:t>from</w:t>
      </w:r>
      <w:r w:rsidR="00351BC5" w:rsidRPr="00E31E2F">
        <w:rPr>
          <w:lang w:val="en-GB"/>
        </w:rPr>
        <w:t xml:space="preserve"> </w:t>
      </w:r>
      <w:r w:rsidRPr="00E31E2F">
        <w:rPr>
          <w:lang w:val="en-GB"/>
        </w:rPr>
        <w:t xml:space="preserve">the solved model </w:t>
      </w:r>
      <w:r w:rsidR="00351BC5">
        <w:rPr>
          <w:lang w:val="en-GB"/>
        </w:rPr>
        <w:t>can then be visualized</w:t>
      </w:r>
      <w:r w:rsidRPr="00E31E2F">
        <w:rPr>
          <w:lang w:val="en-GB"/>
        </w:rPr>
        <w:t xml:space="preserve"> graphical</w:t>
      </w:r>
      <w:r w:rsidR="00351BC5">
        <w:rPr>
          <w:lang w:val="en-GB"/>
        </w:rPr>
        <w:t>ly via a</w:t>
      </w:r>
      <w:r w:rsidRPr="00E31E2F">
        <w:rPr>
          <w:lang w:val="en-GB"/>
        </w:rPr>
        <w:t xml:space="preserve"> composite curve to facilitate </w:t>
      </w:r>
      <w:r w:rsidR="00351BC5">
        <w:rPr>
          <w:lang w:val="en-GB"/>
        </w:rPr>
        <w:t>analysis and communication</w:t>
      </w:r>
      <w:r w:rsidRPr="00E31E2F">
        <w:rPr>
          <w:lang w:val="en-GB"/>
        </w:rPr>
        <w:t xml:space="preserve">. The model is useful for industrial </w:t>
      </w:r>
      <w:r w:rsidR="00351BC5">
        <w:rPr>
          <w:lang w:val="en-GB"/>
        </w:rPr>
        <w:t>scenarios involving</w:t>
      </w:r>
      <w:r w:rsidRPr="00E31E2F">
        <w:rPr>
          <w:lang w:val="en-GB"/>
        </w:rPr>
        <w:t xml:space="preserve"> selecting risk reduction systems with capital expenditure constraint</w:t>
      </w:r>
      <w:r w:rsidR="00351BC5">
        <w:rPr>
          <w:lang w:val="en-GB"/>
        </w:rPr>
        <w:t>s</w:t>
      </w:r>
      <w:r w:rsidRPr="00E31E2F">
        <w:rPr>
          <w:lang w:val="en-GB"/>
        </w:rPr>
        <w:t xml:space="preserve">. The new method </w:t>
      </w:r>
      <w:r w:rsidR="00351BC5">
        <w:rPr>
          <w:lang w:val="en-GB"/>
        </w:rPr>
        <w:t>i</w:t>
      </w:r>
      <w:r w:rsidRPr="00E31E2F">
        <w:rPr>
          <w:lang w:val="en-GB"/>
        </w:rPr>
        <w:t>s demonstrated with a literature example, where</w:t>
      </w:r>
      <w:r w:rsidR="00351BC5">
        <w:rPr>
          <w:lang w:val="en-GB"/>
        </w:rPr>
        <w:t xml:space="preserve"> a portfolio is determined from</w:t>
      </w:r>
      <w:r w:rsidRPr="00E31E2F">
        <w:rPr>
          <w:lang w:val="en-GB"/>
        </w:rPr>
        <w:t xml:space="preserve"> 13 risk reduction options across three </w:t>
      </w:r>
      <w:r w:rsidR="00351BC5">
        <w:rPr>
          <w:lang w:val="en-GB"/>
        </w:rPr>
        <w:t xml:space="preserve">time </w:t>
      </w:r>
      <w:r w:rsidRPr="00E31E2F">
        <w:rPr>
          <w:lang w:val="en-GB"/>
        </w:rPr>
        <w:t>periods</w:t>
      </w:r>
      <w:r w:rsidR="00351BC5">
        <w:rPr>
          <w:lang w:val="en-GB"/>
        </w:rPr>
        <w:t>, each with its own</w:t>
      </w:r>
      <w:r w:rsidRPr="00E31E2F">
        <w:rPr>
          <w:lang w:val="en-GB"/>
        </w:rPr>
        <w:t xml:space="preserve"> maximum allocated budget. </w:t>
      </w:r>
      <w:r w:rsidRPr="00C010DF">
        <w:rPr>
          <w:lang w:val="en-GB"/>
        </w:rPr>
        <w:t>Two scenarios</w:t>
      </w:r>
      <w:r w:rsidRPr="00E31E2F">
        <w:rPr>
          <w:lang w:val="en-GB"/>
        </w:rPr>
        <w:t xml:space="preserve"> are </w:t>
      </w:r>
      <w:r w:rsidR="00756C58">
        <w:rPr>
          <w:lang w:val="en-GB"/>
        </w:rPr>
        <w:t>considered</w:t>
      </w:r>
      <w:r w:rsidR="00756C58" w:rsidRPr="00E31E2F">
        <w:rPr>
          <w:lang w:val="en-GB"/>
        </w:rPr>
        <w:t xml:space="preserve"> </w:t>
      </w:r>
      <w:r w:rsidRPr="00E31E2F">
        <w:rPr>
          <w:lang w:val="en-GB"/>
        </w:rPr>
        <w:t>with different capital expenditure</w:t>
      </w:r>
      <w:r w:rsidR="00351BC5">
        <w:rPr>
          <w:lang w:val="en-GB"/>
        </w:rPr>
        <w:t>s</w:t>
      </w:r>
      <w:r w:rsidRPr="00E31E2F">
        <w:rPr>
          <w:lang w:val="en-GB"/>
        </w:rPr>
        <w:t xml:space="preserve"> for each period</w:t>
      </w:r>
      <w:r w:rsidR="00600535" w:rsidRPr="00B57B36">
        <w:rPr>
          <w:lang w:val="en-GB"/>
        </w:rPr>
        <w:t>.</w:t>
      </w:r>
      <w:r w:rsidR="00756C58">
        <w:rPr>
          <w:lang w:val="en-GB"/>
        </w:rPr>
        <w:t xml:space="preserve"> The methodology itself can be readily generalized to similar applications assuming that the required input data is available.</w:t>
      </w:r>
    </w:p>
    <w:p w14:paraId="476B2F2E" w14:textId="77777777" w:rsidR="00600535" w:rsidRPr="00B57B36" w:rsidRDefault="00600535" w:rsidP="00600535">
      <w:pPr>
        <w:pStyle w:val="CETHeading1"/>
        <w:rPr>
          <w:lang w:val="en-GB"/>
        </w:rPr>
      </w:pPr>
      <w:r w:rsidRPr="00B57B36">
        <w:rPr>
          <w:lang w:val="en-GB"/>
        </w:rPr>
        <w:t>Introduction</w:t>
      </w:r>
    </w:p>
    <w:p w14:paraId="013676A2" w14:textId="3A809153" w:rsidR="007629F7" w:rsidRPr="007629F7" w:rsidRDefault="007629F7" w:rsidP="007629F7">
      <w:pPr>
        <w:pStyle w:val="CETBodytext"/>
        <w:rPr>
          <w:lang w:val="en-GB"/>
        </w:rPr>
      </w:pPr>
      <w:r w:rsidRPr="007629F7">
        <w:rPr>
          <w:lang w:val="en-GB"/>
        </w:rPr>
        <w:t xml:space="preserve">Process systems engineering (PSE), also known as computer-aided process engineering (CAPE), is the branch of chemical engineering dedicated to the development and use of computing techniques for the discipline. Mathematical programming is an </w:t>
      </w:r>
      <w:r w:rsidRPr="007629F7">
        <w:rPr>
          <w:lang w:val="en-GB"/>
        </w:rPr>
        <w:t xml:space="preserve">important tool in PSE/CAPE for optimizing the design and operation of process plants based on various economic, environmental, and </w:t>
      </w:r>
      <w:r w:rsidR="00756C58">
        <w:rPr>
          <w:lang w:val="en-GB"/>
        </w:rPr>
        <w:t xml:space="preserve">even </w:t>
      </w:r>
      <w:r w:rsidRPr="007629F7">
        <w:rPr>
          <w:lang w:val="en-GB"/>
        </w:rPr>
        <w:t xml:space="preserve">safety aspects (Pistikopoulos and Gani, 2026). </w:t>
      </w:r>
      <w:r w:rsidR="00756C58">
        <w:rPr>
          <w:lang w:val="en-GB"/>
        </w:rPr>
        <w:t>Models for improving plant safety often make use of integer decision variables</w:t>
      </w:r>
      <w:r w:rsidR="008F0434">
        <w:rPr>
          <w:lang w:val="en-GB"/>
        </w:rPr>
        <w:t xml:space="preserve"> to represent discrete choices</w:t>
      </w:r>
      <w:r w:rsidR="00756C58">
        <w:rPr>
          <w:lang w:val="en-GB"/>
        </w:rPr>
        <w:t xml:space="preserve">. </w:t>
      </w:r>
      <w:r w:rsidRPr="007629F7">
        <w:rPr>
          <w:lang w:val="en-GB"/>
        </w:rPr>
        <w:t>For example, Caputo et al. (2011) developed a 0-1 programming (i.e., “knapsack”) model for optimizing the mix of process safety measures based on cost, using genetic algorithm to deal with computational challenges resulting from non-linear model components. Caputo et al. (2013) also developed a mu</w:t>
      </w:r>
      <w:r w:rsidR="00756C58">
        <w:rPr>
          <w:lang w:val="en-GB"/>
        </w:rPr>
        <w:t>l</w:t>
      </w:r>
      <w:r w:rsidRPr="007629F7">
        <w:rPr>
          <w:lang w:val="en-GB"/>
        </w:rPr>
        <w:t>ti</w:t>
      </w:r>
      <w:r w:rsidR="00756C58">
        <w:rPr>
          <w:lang w:val="en-GB"/>
        </w:rPr>
        <w:t>-</w:t>
      </w:r>
      <w:r w:rsidRPr="007629F7">
        <w:rPr>
          <w:lang w:val="en-GB"/>
        </w:rPr>
        <w:t xml:space="preserve">criterion knapsack model extension of this approach. Eslami Baladeh et al. (2019) extended this approach into a multi-objective model that was </w:t>
      </w:r>
      <w:r w:rsidRPr="007629F7">
        <w:rPr>
          <w:lang w:val="en-GB"/>
        </w:rPr>
        <w:t xml:space="preserve">demonstrated on oil and gas facilities. </w:t>
      </w:r>
      <w:r w:rsidRPr="00A37793">
        <w:rPr>
          <w:color w:val="FF0000"/>
          <w:lang w:val="en-GB"/>
        </w:rPr>
        <w:t>More recently, Özkan et al. (2025) developed a stochastic knapsack model to consider uncertainties as well as interactions among the component safety measures.</w:t>
      </w:r>
      <w:r w:rsidR="00A37793" w:rsidRPr="00A37793">
        <w:rPr>
          <w:color w:val="FF0000"/>
          <w:lang w:val="en-GB"/>
        </w:rPr>
        <w:t xml:space="preserve"> The work of Jameel Malik et al. (2025) considered safety-economic index for preliminary process design.</w:t>
      </w:r>
    </w:p>
    <w:p w14:paraId="2171D170" w14:textId="3442539F" w:rsidR="007629F7" w:rsidRPr="007629F7" w:rsidRDefault="007629F7" w:rsidP="007629F7">
      <w:pPr>
        <w:pStyle w:val="CETBodytext"/>
        <w:rPr>
          <w:lang w:val="en-GB"/>
        </w:rPr>
      </w:pPr>
      <w:r w:rsidRPr="007629F7">
        <w:rPr>
          <w:lang w:val="en-GB"/>
        </w:rPr>
        <w:t>In addition to pure mathematical programming approaches, alternative PSE/CAPE techniques have also been developed for these problems. Antes et al. (2001) developed a methodology for the design of safety risk mitigation portfolios by selecting component measures considering cost and benefits. Ishizaka and Labib (2014) developed a hybrid framework to mitigate safety risk in process plants, using a crisis tree-based approach to analy</w:t>
      </w:r>
      <w:r w:rsidR="00756C58">
        <w:rPr>
          <w:lang w:val="en-GB"/>
        </w:rPr>
        <w:t>s</w:t>
      </w:r>
      <w:r w:rsidRPr="007629F7">
        <w:rPr>
          <w:lang w:val="en-GB"/>
        </w:rPr>
        <w:t>e causality of complex events; they then proposed a mathematical programming model to determine the cost-optimal mix of mitigation measures using a new criticality index. Tan et al. (2016) then developed a graphical pinch analysis approach utilizing this criticality index. This approach is based on a versatile family of techniques with a broad range of</w:t>
      </w:r>
      <w:r w:rsidR="00EB69A3">
        <w:rPr>
          <w:lang w:val="en-GB"/>
        </w:rPr>
        <w:t xml:space="preserve"> process integration (PI) and PI-like</w:t>
      </w:r>
      <w:r w:rsidRPr="007629F7">
        <w:rPr>
          <w:lang w:val="en-GB"/>
        </w:rPr>
        <w:t xml:space="preserve"> applications (Klemeš, 2023). Yuan et al. (2015) developed a Bayesian network-based methodology to find optimal budget-constrained safety measures to mitigate dust explosion risks. Tan et al. (2022) used a P-graph causality map approach to retrospectively analy</w:t>
      </w:r>
      <w:r w:rsidR="00756C58">
        <w:rPr>
          <w:lang w:val="en-GB"/>
        </w:rPr>
        <w:t>s</w:t>
      </w:r>
      <w:r w:rsidRPr="007629F7">
        <w:rPr>
          <w:lang w:val="en-GB"/>
        </w:rPr>
        <w:t xml:space="preserve">e the factors that contributed to the Union Carbide disaster in Bhopal, India. </w:t>
      </w:r>
      <w:r w:rsidR="00455336">
        <w:rPr>
          <w:lang w:val="en-GB"/>
        </w:rPr>
        <w:t xml:space="preserve">In addition to safety, PSE/CAPE tools have also been developed to the related problem of securing plants </w:t>
      </w:r>
      <w:r w:rsidR="00455336">
        <w:rPr>
          <w:lang w:val="en-GB"/>
        </w:rPr>
        <w:lastRenderedPageBreak/>
        <w:t xml:space="preserve">against attacks by malicious agents (Amin et al., 2022). </w:t>
      </w:r>
      <w:r w:rsidRPr="007629F7">
        <w:rPr>
          <w:lang w:val="en-GB"/>
        </w:rPr>
        <w:t xml:space="preserve">Some of these approaches demonstrate advantages in interpretability compared to pure mathematical programming methods, enabling them to provide superior decision support to engineers. Inherently interactive procedures enhance the generation of useful and explainable engineering insights by keeping the “human in the loop” in contrast to black-box approaches (Lumbreras and Ciller, 2025). Because safety is of paramount importance in the process industries, there is still a need for better interpretable optimization approaches for planning safety risk mitigation measures. </w:t>
      </w:r>
    </w:p>
    <w:p w14:paraId="23F86FEF" w14:textId="0E1F75FB" w:rsidR="00600535" w:rsidRDefault="007629F7" w:rsidP="007629F7">
      <w:pPr>
        <w:pStyle w:val="CETBodytext"/>
        <w:rPr>
          <w:lang w:val="en-GB"/>
        </w:rPr>
      </w:pPr>
      <w:r w:rsidRPr="007629F7">
        <w:rPr>
          <w:lang w:val="en-GB"/>
        </w:rPr>
        <w:t xml:space="preserve">In this work, a novel mixed-integer linear programming (MILP) </w:t>
      </w:r>
      <w:r w:rsidR="008F0434" w:rsidRPr="00435B5B">
        <w:rPr>
          <w:color w:val="FF0000"/>
          <w:lang w:val="en-GB"/>
        </w:rPr>
        <w:t xml:space="preserve">model </w:t>
      </w:r>
      <w:r w:rsidRPr="007629F7">
        <w:rPr>
          <w:lang w:val="en-GB"/>
        </w:rPr>
        <w:t xml:space="preserve">for finding optimal combinations of process safety measures is developed. The formulation is based on the </w:t>
      </w:r>
      <w:r w:rsidR="002B64B8" w:rsidRPr="007629F7">
        <w:rPr>
          <w:lang w:val="en-GB"/>
        </w:rPr>
        <w:t xml:space="preserve">automated targeting model </w:t>
      </w:r>
      <w:r w:rsidRPr="007629F7">
        <w:rPr>
          <w:lang w:val="en-GB"/>
        </w:rPr>
        <w:t xml:space="preserve">(ATM), which was originally developed in the context of process integration for resource conservation (Foo, 2025). A recent extension applied a modified version of ATM to industrial decarbonization measures (Foo and Chew, 2025); this same approach is adapted to the current problem of optimizing a portfolio of safety measures. The rest of this paper is organized as follows. Section 2 gives the formal problem statement. Section 3 describes the model formulation and methodology. Section 4 demonstrates this approach on a </w:t>
      </w:r>
      <w:r w:rsidR="006B6CE8" w:rsidRPr="00435B5B">
        <w:rPr>
          <w:color w:val="FF0000"/>
          <w:lang w:val="en-GB"/>
        </w:rPr>
        <w:t xml:space="preserve">literature </w:t>
      </w:r>
      <w:r w:rsidRPr="007629F7">
        <w:rPr>
          <w:lang w:val="en-GB"/>
        </w:rPr>
        <w:t xml:space="preserve">case study (Antes et al., 2001). Section 5 gives the conclusions and discusses promising </w:t>
      </w:r>
      <w:r>
        <w:rPr>
          <w:lang w:val="en-GB"/>
        </w:rPr>
        <w:t>directions for future research.</w:t>
      </w:r>
      <w:r w:rsidR="00600535" w:rsidRPr="00FA5F5F">
        <w:rPr>
          <w:lang w:val="en-GB"/>
        </w:rPr>
        <w:t xml:space="preserve"> </w:t>
      </w:r>
    </w:p>
    <w:p w14:paraId="5741900F" w14:textId="7E9FD27F" w:rsidR="00453E24" w:rsidRPr="00DB31A8" w:rsidRDefault="00F841E1" w:rsidP="00453E24">
      <w:pPr>
        <w:pStyle w:val="CETHeading1"/>
      </w:pPr>
      <w:r w:rsidRPr="00DB31A8">
        <w:t xml:space="preserve">Problem statement </w:t>
      </w:r>
    </w:p>
    <w:p w14:paraId="09406386" w14:textId="0471349C" w:rsidR="00453E24" w:rsidRDefault="00A03937" w:rsidP="00453E24">
      <w:pPr>
        <w:pStyle w:val="CETBodytext"/>
      </w:pPr>
      <w:r>
        <w:t>The problem to be addressed in this work is formally stated as follows</w:t>
      </w:r>
      <w:r w:rsidR="00453E24">
        <w:t>.</w:t>
      </w:r>
    </w:p>
    <w:p w14:paraId="05FBF9A6" w14:textId="15F44CB2" w:rsidR="00A03937" w:rsidRDefault="00A03937" w:rsidP="00DB31A8">
      <w:pPr>
        <w:pStyle w:val="CETBodytext"/>
        <w:numPr>
          <w:ilvl w:val="0"/>
          <w:numId w:val="23"/>
        </w:numPr>
      </w:pPr>
      <w:r>
        <w:t xml:space="preserve">Given a </w:t>
      </w:r>
      <w:r w:rsidR="003A7DCC">
        <w:t xml:space="preserve">long </w:t>
      </w:r>
      <w:r>
        <w:t>planning horizon</w:t>
      </w:r>
      <w:r w:rsidR="003A7DCC">
        <w:t xml:space="preserve"> with various time periods </w:t>
      </w:r>
      <w:r w:rsidR="003A7DCC">
        <w:rPr>
          <w:i/>
        </w:rPr>
        <w:t>t</w:t>
      </w:r>
      <w:r w:rsidR="003A7DCC">
        <w:t xml:space="preserve">; the </w:t>
      </w:r>
      <w:r w:rsidR="003A7DCC" w:rsidRPr="002B64B8">
        <w:rPr>
          <w:color w:val="FF0000"/>
        </w:rPr>
        <w:t xml:space="preserve">latter </w:t>
      </w:r>
      <w:r w:rsidR="003A7DCC">
        <w:t xml:space="preserve">may </w:t>
      </w:r>
      <w:r>
        <w:t xml:space="preserve">take several </w:t>
      </w:r>
      <w:r w:rsidR="00390576">
        <w:t>month/</w:t>
      </w:r>
      <w:r>
        <w:t>years.</w:t>
      </w:r>
      <w:r w:rsidR="003A7DCC">
        <w:t xml:space="preserve"> In each planning period, a budget is given for the investment of risk reduction initiatives. </w:t>
      </w:r>
      <w:r>
        <w:t xml:space="preserve"> </w:t>
      </w:r>
    </w:p>
    <w:p w14:paraId="28EE5C94" w14:textId="6BA99178" w:rsidR="003A7DCC" w:rsidRDefault="003A7DCC" w:rsidP="00DB31A8">
      <w:pPr>
        <w:pStyle w:val="CETBodytext"/>
        <w:numPr>
          <w:ilvl w:val="0"/>
          <w:numId w:val="23"/>
        </w:numPr>
      </w:pPr>
      <w:r>
        <w:t xml:space="preserve">Given a list of risk reduction initiatives </w:t>
      </w:r>
      <w:r>
        <w:rPr>
          <w:i/>
        </w:rPr>
        <w:t>i</w:t>
      </w:r>
      <w:r>
        <w:t xml:space="preserve">, each will help to reduce safety risk upon implementation. </w:t>
      </w:r>
      <w:r w:rsidR="004B790C">
        <w:t xml:space="preserve">The </w:t>
      </w:r>
      <w:r w:rsidR="004B790C" w:rsidRPr="004B790C">
        <w:rPr>
          <w:color w:val="FF0000"/>
        </w:rPr>
        <w:t>latter may take the form of</w:t>
      </w:r>
      <w:r w:rsidRPr="004B790C">
        <w:rPr>
          <w:color w:val="FF0000"/>
        </w:rPr>
        <w:t xml:space="preserve"> financial benefit</w:t>
      </w:r>
      <w:r w:rsidR="004B790C" w:rsidRPr="004B790C">
        <w:rPr>
          <w:color w:val="FF0000"/>
        </w:rPr>
        <w:t>s</w:t>
      </w:r>
      <w:r w:rsidR="004B790C">
        <w:rPr>
          <w:color w:val="FF0000"/>
        </w:rPr>
        <w:t xml:space="preserve"> with</w:t>
      </w:r>
      <w:r w:rsidRPr="004B790C">
        <w:rPr>
          <w:color w:val="FF0000"/>
        </w:rPr>
        <w:t xml:space="preserve"> </w:t>
      </w:r>
      <w:r>
        <w:t xml:space="preserve">reduced fatality. Each initiative </w:t>
      </w:r>
      <w:r w:rsidR="00EB69A3">
        <w:t xml:space="preserve">also </w:t>
      </w:r>
      <w:r>
        <w:t>has its capital investment</w:t>
      </w:r>
      <w:r w:rsidR="00EB69A3">
        <w:t xml:space="preserve"> cost</w:t>
      </w:r>
      <w:r>
        <w:t xml:space="preserve">. </w:t>
      </w:r>
      <w:r w:rsidR="004B790C" w:rsidRPr="004B790C">
        <w:rPr>
          <w:color w:val="FF0000"/>
        </w:rPr>
        <w:t>Dividing the risk reduction benefit by its capital investment yield a</w:t>
      </w:r>
      <w:r w:rsidR="004B790C">
        <w:rPr>
          <w:color w:val="FF0000"/>
        </w:rPr>
        <w:t xml:space="preserve"> </w:t>
      </w:r>
      <w:r w:rsidR="00AD01B1">
        <w:rPr>
          <w:color w:val="FF0000"/>
        </w:rPr>
        <w:t>safety-</w:t>
      </w:r>
      <w:r w:rsidR="004B790C" w:rsidRPr="004B790C">
        <w:rPr>
          <w:color w:val="FF0000"/>
        </w:rPr>
        <w:t xml:space="preserve">intensity value for each initiatives </w:t>
      </w:r>
      <w:r w:rsidR="004B790C" w:rsidRPr="004B790C">
        <w:rPr>
          <w:i/>
          <w:color w:val="FF0000"/>
        </w:rPr>
        <w:t>i</w:t>
      </w:r>
      <w:r w:rsidR="004B790C" w:rsidRPr="004B790C">
        <w:rPr>
          <w:color w:val="FF0000"/>
        </w:rPr>
        <w:t xml:space="preserve">. </w:t>
      </w:r>
      <w:r>
        <w:t>It is assumed that all initiatives can only be implemented once throughout the planning horizon.</w:t>
      </w:r>
    </w:p>
    <w:p w14:paraId="0591C724" w14:textId="4E6EFACE" w:rsidR="003A7DCC" w:rsidRPr="00DB31A8" w:rsidRDefault="003A7DCC" w:rsidP="003A7DCC">
      <w:pPr>
        <w:pStyle w:val="CETBodytext"/>
      </w:pPr>
      <w:r>
        <w:t xml:space="preserve">It is desired to pick the right risk reduction initiatives to be implemented in time period </w:t>
      </w:r>
      <w:r w:rsidR="00DB31A8">
        <w:rPr>
          <w:i/>
        </w:rPr>
        <w:t>t</w:t>
      </w:r>
      <w:r w:rsidR="00DB31A8">
        <w:t xml:space="preserve">, subject to the maximum budget available in that period. </w:t>
      </w:r>
    </w:p>
    <w:p w14:paraId="677EBFF0" w14:textId="015721C8" w:rsidR="00600535" w:rsidRPr="00DB31A8" w:rsidRDefault="00F841E1" w:rsidP="00600535">
      <w:pPr>
        <w:pStyle w:val="CETHeading1"/>
        <w:tabs>
          <w:tab w:val="clear" w:pos="360"/>
          <w:tab w:val="right" w:pos="7100"/>
        </w:tabs>
        <w:jc w:val="both"/>
        <w:rPr>
          <w:lang w:val="en-GB"/>
        </w:rPr>
      </w:pPr>
      <w:r w:rsidRPr="00DB31A8">
        <w:rPr>
          <w:lang w:val="en-GB"/>
        </w:rPr>
        <w:t xml:space="preserve">Methodology </w:t>
      </w:r>
    </w:p>
    <w:p w14:paraId="4C321604" w14:textId="66182415" w:rsidR="00502EEF" w:rsidRDefault="00502EEF" w:rsidP="00502EEF">
      <w:pPr>
        <w:pStyle w:val="CETBodytext"/>
      </w:pPr>
      <w:r>
        <w:t xml:space="preserve">The </w:t>
      </w:r>
      <w:r w:rsidR="002B64B8" w:rsidRPr="00435B5B">
        <w:rPr>
          <w:color w:val="FF0000"/>
        </w:rPr>
        <w:t>MILP</w:t>
      </w:r>
      <w:r w:rsidRPr="00435B5B">
        <w:t>-based automated targeting model</w:t>
      </w:r>
      <w:r w:rsidR="00A04DD0">
        <w:rPr>
          <w:i/>
        </w:rPr>
        <w:t xml:space="preserve"> </w:t>
      </w:r>
      <w:r w:rsidR="00A04DD0">
        <w:t>(Foo and Chew, 2025)</w:t>
      </w:r>
      <w:r>
        <w:rPr>
          <w:i/>
        </w:rPr>
        <w:t xml:space="preserve"> </w:t>
      </w:r>
      <w:r>
        <w:t xml:space="preserve">is extended in this work for the </w:t>
      </w:r>
      <w:r w:rsidRPr="00E31E2F">
        <w:rPr>
          <w:lang w:val="en-GB"/>
        </w:rPr>
        <w:t>optimal deployment of risk reduction systems</w:t>
      </w:r>
      <w:r>
        <w:t xml:space="preserve"> </w:t>
      </w:r>
      <w:r w:rsidRPr="00502EEF">
        <w:rPr>
          <w:i/>
        </w:rPr>
        <w:t>k</w:t>
      </w:r>
      <w:r>
        <w:t xml:space="preserve"> in time period </w:t>
      </w:r>
      <w:r w:rsidRPr="00502EEF">
        <w:rPr>
          <w:i/>
        </w:rPr>
        <w:t>t</w:t>
      </w:r>
      <w:r>
        <w:t>. A basic framework for the model is given in Figure 1, and has the following structure:</w:t>
      </w:r>
    </w:p>
    <w:p w14:paraId="2E562C00" w14:textId="0EC9D82C" w:rsidR="004577FE" w:rsidRPr="00FE7FDD" w:rsidRDefault="00502EEF" w:rsidP="00F841E1">
      <w:pPr>
        <w:pStyle w:val="CETBodytext"/>
      </w:pPr>
      <w:r>
        <w:t xml:space="preserve">Intensity level: all </w:t>
      </w:r>
      <w:r w:rsidRPr="00E31E2F">
        <w:rPr>
          <w:lang w:val="en-GB"/>
        </w:rPr>
        <w:t>risk reduction systems</w:t>
      </w:r>
      <w:r>
        <w:rPr>
          <w:lang w:val="en-GB"/>
        </w:rPr>
        <w:t xml:space="preserve"> </w:t>
      </w:r>
      <w:r>
        <w:rPr>
          <w:i/>
          <w:lang w:val="en-GB"/>
        </w:rPr>
        <w:t>k</w:t>
      </w:r>
      <w:r>
        <w:t xml:space="preserve"> are arranged in ascending order based on their </w:t>
      </w:r>
      <w:r w:rsidR="00A04DD0">
        <w:t>safety-</w:t>
      </w:r>
      <w:r w:rsidRPr="00A04DD0">
        <w:t>financial intensity</w:t>
      </w:r>
      <w:r>
        <w:t xml:space="preserve"> value (</w:t>
      </w:r>
      <m:oMath>
        <m:sSub>
          <m:sSubPr>
            <m:ctrlPr>
              <w:rPr>
                <w:rFonts w:ascii="Cambria Math" w:hAnsi="Cambria Math"/>
                <w:i/>
              </w:rPr>
            </m:ctrlPr>
          </m:sSubPr>
          <m:e>
            <m:r>
              <w:rPr>
                <w:rFonts w:ascii="Cambria Math" w:hAnsi="Cambria Math"/>
              </w:rPr>
              <m:t>INT</m:t>
            </m:r>
          </m:e>
          <m:sub>
            <m:r>
              <w:rPr>
                <w:rFonts w:ascii="Cambria Math" w:hAnsi="Cambria Math"/>
              </w:rPr>
              <m:t>k</m:t>
            </m:r>
          </m:sub>
        </m:sSub>
      </m:oMath>
      <w:r>
        <w:t xml:space="preserve">; columns 1 and 2 of Figure 1). </w:t>
      </w:r>
      <w:r w:rsidR="00A04DD0">
        <w:t xml:space="preserve">Note that this </w:t>
      </w:r>
      <w:r w:rsidR="00A04DD0" w:rsidRPr="00A04DD0">
        <w:t>financial intensity</w:t>
      </w:r>
      <w:r w:rsidR="00A04DD0">
        <w:t xml:space="preserve"> may take the form of risk reduction (per investment), or financial benefit gain (due to reduction of fatality). </w:t>
      </w:r>
      <w:r w:rsidR="00A37793" w:rsidRPr="00A37793">
        <w:rPr>
          <w:color w:val="FF0000"/>
        </w:rPr>
        <w:t xml:space="preserve">In other words, the intensity level allows one to compare different risk </w:t>
      </w:r>
      <w:r w:rsidR="00A37793" w:rsidRPr="00A37793">
        <w:rPr>
          <w:color w:val="FF0000"/>
          <w:lang w:val="en-GB"/>
        </w:rPr>
        <w:t xml:space="preserve">reduction systems – those higher in the rank perform better per capital investment. </w:t>
      </w:r>
      <w:r w:rsidR="00A04DD0">
        <w:t>Next, t</w:t>
      </w:r>
      <w:r>
        <w:t xml:space="preserve">he </w:t>
      </w:r>
      <w:r w:rsidRPr="00E31E2F">
        <w:rPr>
          <w:lang w:val="en-GB"/>
        </w:rPr>
        <w:t>risk reduction systems</w:t>
      </w:r>
      <w:r>
        <w:rPr>
          <w:lang w:val="en-GB"/>
        </w:rPr>
        <w:t xml:space="preserve"> </w:t>
      </w:r>
      <w:r>
        <w:t>with its capital investment (</w:t>
      </w:r>
      <w:r w:rsidRPr="00502EEF">
        <w:rPr>
          <w:i/>
        </w:rPr>
        <w:t>CAPEX</w:t>
      </w:r>
      <w:r w:rsidRPr="00502EEF">
        <w:rPr>
          <w:i/>
          <w:vertAlign w:val="subscript"/>
        </w:rPr>
        <w:t>k</w:t>
      </w:r>
      <w:r>
        <w:t xml:space="preserve">) is located at the respective level (column 3).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582"/>
        <w:gridCol w:w="1468"/>
        <w:gridCol w:w="426"/>
        <w:gridCol w:w="980"/>
        <w:gridCol w:w="1211"/>
        <w:gridCol w:w="410"/>
        <w:gridCol w:w="1112"/>
        <w:gridCol w:w="992"/>
        <w:gridCol w:w="628"/>
      </w:tblGrid>
      <w:tr w:rsidR="00502EEF" w:rsidRPr="003025F9" w14:paraId="4576CA86" w14:textId="77777777" w:rsidTr="00A04DD0">
        <w:trPr>
          <w:jc w:val="center"/>
        </w:trPr>
        <w:tc>
          <w:tcPr>
            <w:tcW w:w="978" w:type="dxa"/>
            <w:tcBorders>
              <w:bottom w:val="single" w:sz="4" w:space="0" w:color="auto"/>
            </w:tcBorders>
          </w:tcPr>
          <w:p w14:paraId="288CA0BC" w14:textId="77777777" w:rsidR="00502EEF" w:rsidRPr="003025F9" w:rsidRDefault="00502EEF" w:rsidP="0002783E">
            <w:pPr>
              <w:jc w:val="center"/>
              <w:rPr>
                <w:b/>
                <w:i/>
              </w:rPr>
            </w:pPr>
          </w:p>
        </w:tc>
        <w:tc>
          <w:tcPr>
            <w:tcW w:w="582" w:type="dxa"/>
            <w:tcBorders>
              <w:bottom w:val="single" w:sz="4" w:space="0" w:color="auto"/>
            </w:tcBorders>
          </w:tcPr>
          <w:p w14:paraId="35FF22C4" w14:textId="77777777" w:rsidR="00502EEF" w:rsidRPr="003025F9" w:rsidRDefault="00502EEF" w:rsidP="0002783E">
            <w:pPr>
              <w:jc w:val="center"/>
              <w:rPr>
                <w:b/>
                <w:i/>
              </w:rPr>
            </w:pPr>
          </w:p>
        </w:tc>
        <w:tc>
          <w:tcPr>
            <w:tcW w:w="1468" w:type="dxa"/>
            <w:tcBorders>
              <w:bottom w:val="single" w:sz="4" w:space="0" w:color="auto"/>
            </w:tcBorders>
          </w:tcPr>
          <w:p w14:paraId="17E58436" w14:textId="77777777" w:rsidR="00502EEF" w:rsidRPr="003025F9" w:rsidRDefault="00502EEF" w:rsidP="0002783E">
            <w:pPr>
              <w:jc w:val="center"/>
              <w:rPr>
                <w:b/>
                <w:i/>
              </w:rPr>
            </w:pPr>
          </w:p>
        </w:tc>
        <w:tc>
          <w:tcPr>
            <w:tcW w:w="426" w:type="dxa"/>
            <w:tcBorders>
              <w:bottom w:val="single" w:sz="4" w:space="0" w:color="auto"/>
            </w:tcBorders>
          </w:tcPr>
          <w:p w14:paraId="5B0DB846" w14:textId="77777777" w:rsidR="00502EEF" w:rsidRPr="003025F9" w:rsidRDefault="00502EEF" w:rsidP="0002783E">
            <w:pPr>
              <w:jc w:val="center"/>
              <w:rPr>
                <w:b/>
              </w:rPr>
            </w:pPr>
          </w:p>
        </w:tc>
        <w:tc>
          <w:tcPr>
            <w:tcW w:w="980" w:type="dxa"/>
            <w:tcBorders>
              <w:bottom w:val="single" w:sz="4" w:space="0" w:color="auto"/>
            </w:tcBorders>
          </w:tcPr>
          <w:p w14:paraId="38633929" w14:textId="77777777" w:rsidR="00502EEF" w:rsidRPr="003025F9" w:rsidRDefault="00502EEF" w:rsidP="0002783E">
            <w:pPr>
              <w:jc w:val="center"/>
              <w:rPr>
                <w:b/>
                <w:i/>
              </w:rPr>
            </w:pPr>
          </w:p>
        </w:tc>
        <w:tc>
          <w:tcPr>
            <w:tcW w:w="1211" w:type="dxa"/>
            <w:tcBorders>
              <w:bottom w:val="single" w:sz="4" w:space="0" w:color="auto"/>
            </w:tcBorders>
          </w:tcPr>
          <w:p w14:paraId="5194AAAB" w14:textId="77777777" w:rsidR="00502EEF" w:rsidRPr="003025F9" w:rsidRDefault="00502EEF" w:rsidP="0002783E">
            <w:pPr>
              <w:jc w:val="center"/>
              <w:rPr>
                <w:b/>
              </w:rPr>
            </w:pPr>
          </w:p>
        </w:tc>
        <w:tc>
          <w:tcPr>
            <w:tcW w:w="410" w:type="dxa"/>
            <w:tcBorders>
              <w:bottom w:val="single" w:sz="4" w:space="0" w:color="auto"/>
            </w:tcBorders>
          </w:tcPr>
          <w:p w14:paraId="4F64349E" w14:textId="77777777" w:rsidR="00502EEF" w:rsidRPr="003025F9" w:rsidRDefault="00502EEF" w:rsidP="0002783E">
            <w:pPr>
              <w:jc w:val="center"/>
              <w:rPr>
                <w:b/>
                <w:i/>
              </w:rPr>
            </w:pPr>
          </w:p>
        </w:tc>
        <w:tc>
          <w:tcPr>
            <w:tcW w:w="1112" w:type="dxa"/>
            <w:tcBorders>
              <w:bottom w:val="single" w:sz="4" w:space="0" w:color="auto"/>
            </w:tcBorders>
          </w:tcPr>
          <w:p w14:paraId="52436AB6" w14:textId="77777777" w:rsidR="00502EEF" w:rsidRPr="003025F9" w:rsidRDefault="00502EEF" w:rsidP="0002783E">
            <w:pPr>
              <w:jc w:val="center"/>
              <w:rPr>
                <w:b/>
                <w:i/>
              </w:rPr>
            </w:pPr>
          </w:p>
        </w:tc>
        <w:tc>
          <w:tcPr>
            <w:tcW w:w="992" w:type="dxa"/>
            <w:tcBorders>
              <w:bottom w:val="single" w:sz="4" w:space="0" w:color="auto"/>
            </w:tcBorders>
          </w:tcPr>
          <w:p w14:paraId="7F61B5BC" w14:textId="77777777" w:rsidR="00502EEF" w:rsidRPr="003025F9" w:rsidRDefault="00502EEF" w:rsidP="0002783E">
            <w:pPr>
              <w:jc w:val="center"/>
              <w:rPr>
                <w:b/>
              </w:rPr>
            </w:pPr>
          </w:p>
        </w:tc>
        <w:tc>
          <w:tcPr>
            <w:tcW w:w="628" w:type="dxa"/>
            <w:tcBorders>
              <w:bottom w:val="single" w:sz="4" w:space="0" w:color="auto"/>
            </w:tcBorders>
          </w:tcPr>
          <w:p w14:paraId="6285E388" w14:textId="77777777" w:rsidR="00502EEF" w:rsidRPr="003025F9" w:rsidRDefault="00502EEF" w:rsidP="0002783E">
            <w:pPr>
              <w:jc w:val="center"/>
              <w:rPr>
                <w:b/>
              </w:rPr>
            </w:pPr>
          </w:p>
        </w:tc>
      </w:tr>
      <w:tr w:rsidR="00502EEF" w14:paraId="4F242F7F" w14:textId="77777777" w:rsidTr="00A04DD0">
        <w:trPr>
          <w:jc w:val="center"/>
        </w:trPr>
        <w:tc>
          <w:tcPr>
            <w:tcW w:w="978" w:type="dxa"/>
            <w:tcBorders>
              <w:top w:val="single" w:sz="4" w:space="0" w:color="auto"/>
              <w:left w:val="single" w:sz="4" w:space="0" w:color="auto"/>
            </w:tcBorders>
          </w:tcPr>
          <w:p w14:paraId="794442A7" w14:textId="77777777" w:rsidR="00502EEF" w:rsidRDefault="00502EEF" w:rsidP="0002783E">
            <w:pPr>
              <w:jc w:val="center"/>
            </w:pPr>
          </w:p>
        </w:tc>
        <w:tc>
          <w:tcPr>
            <w:tcW w:w="582" w:type="dxa"/>
            <w:tcBorders>
              <w:top w:val="single" w:sz="4" w:space="0" w:color="auto"/>
            </w:tcBorders>
          </w:tcPr>
          <w:p w14:paraId="4ABE07EA" w14:textId="77777777" w:rsidR="00502EEF" w:rsidRDefault="00502EEF" w:rsidP="0002783E">
            <w:pPr>
              <w:jc w:val="center"/>
            </w:pPr>
          </w:p>
        </w:tc>
        <w:tc>
          <w:tcPr>
            <w:tcW w:w="1468" w:type="dxa"/>
            <w:tcBorders>
              <w:top w:val="single" w:sz="4" w:space="0" w:color="auto"/>
            </w:tcBorders>
          </w:tcPr>
          <w:p w14:paraId="77427099" w14:textId="77777777" w:rsidR="00502EEF" w:rsidRDefault="00502EEF" w:rsidP="0002783E">
            <w:pPr>
              <w:jc w:val="center"/>
            </w:pPr>
          </w:p>
        </w:tc>
        <w:tc>
          <w:tcPr>
            <w:tcW w:w="426" w:type="dxa"/>
            <w:tcBorders>
              <w:top w:val="single" w:sz="4" w:space="0" w:color="auto"/>
            </w:tcBorders>
          </w:tcPr>
          <w:p w14:paraId="4AE6A08E" w14:textId="77777777" w:rsidR="00502EEF" w:rsidRDefault="00502EEF" w:rsidP="0002783E">
            <w:pPr>
              <w:jc w:val="center"/>
            </w:pPr>
          </w:p>
        </w:tc>
        <w:tc>
          <w:tcPr>
            <w:tcW w:w="2191" w:type="dxa"/>
            <w:gridSpan w:val="2"/>
            <w:tcBorders>
              <w:top w:val="single" w:sz="4" w:space="0" w:color="auto"/>
            </w:tcBorders>
          </w:tcPr>
          <w:p w14:paraId="0CAA54E9" w14:textId="46D1CF8C" w:rsidR="00502EEF" w:rsidRPr="009A17F7" w:rsidRDefault="0002783E" w:rsidP="0002783E">
            <w:pPr>
              <w:ind w:right="-132"/>
              <w:jc w:val="center"/>
              <w:rPr>
                <w:b/>
              </w:rPr>
            </w:pPr>
            <w:r>
              <w:rPr>
                <w:b/>
              </w:rPr>
              <w:t>Risk reduction</w:t>
            </w:r>
            <w:r w:rsidR="00502EEF" w:rsidRPr="009A17F7">
              <w:rPr>
                <w:b/>
              </w:rPr>
              <w:t xml:space="preserve"> cascade</w:t>
            </w:r>
          </w:p>
        </w:tc>
        <w:tc>
          <w:tcPr>
            <w:tcW w:w="410" w:type="dxa"/>
            <w:tcBorders>
              <w:top w:val="single" w:sz="4" w:space="0" w:color="auto"/>
            </w:tcBorders>
          </w:tcPr>
          <w:p w14:paraId="7D8822A4" w14:textId="77777777" w:rsidR="00502EEF" w:rsidRPr="009A17F7" w:rsidRDefault="00502EEF" w:rsidP="0002783E">
            <w:pPr>
              <w:jc w:val="center"/>
              <w:rPr>
                <w:b/>
              </w:rPr>
            </w:pPr>
          </w:p>
        </w:tc>
        <w:tc>
          <w:tcPr>
            <w:tcW w:w="2104" w:type="dxa"/>
            <w:gridSpan w:val="2"/>
            <w:tcBorders>
              <w:top w:val="single" w:sz="4" w:space="0" w:color="auto"/>
            </w:tcBorders>
          </w:tcPr>
          <w:p w14:paraId="6AA5F007" w14:textId="77777777" w:rsidR="00502EEF" w:rsidRPr="009A17F7" w:rsidRDefault="00502EEF" w:rsidP="0002783E">
            <w:pPr>
              <w:jc w:val="center"/>
              <w:rPr>
                <w:b/>
              </w:rPr>
            </w:pPr>
            <w:r w:rsidRPr="009A17F7">
              <w:rPr>
                <w:b/>
              </w:rPr>
              <w:t>Cost cascade</w:t>
            </w:r>
          </w:p>
        </w:tc>
        <w:tc>
          <w:tcPr>
            <w:tcW w:w="628" w:type="dxa"/>
            <w:tcBorders>
              <w:top w:val="single" w:sz="4" w:space="0" w:color="auto"/>
              <w:right w:val="single" w:sz="4" w:space="0" w:color="auto"/>
            </w:tcBorders>
          </w:tcPr>
          <w:p w14:paraId="7AF61F85" w14:textId="77777777" w:rsidR="00502EEF" w:rsidRDefault="00502EEF" w:rsidP="0002783E">
            <w:pPr>
              <w:jc w:val="center"/>
            </w:pPr>
          </w:p>
        </w:tc>
      </w:tr>
      <w:tr w:rsidR="00502EEF" w14:paraId="37AC9E03" w14:textId="77777777" w:rsidTr="00A04DD0">
        <w:trPr>
          <w:jc w:val="center"/>
        </w:trPr>
        <w:tc>
          <w:tcPr>
            <w:tcW w:w="978" w:type="dxa"/>
            <w:tcBorders>
              <w:left w:val="single" w:sz="4" w:space="0" w:color="auto"/>
            </w:tcBorders>
          </w:tcPr>
          <w:p w14:paraId="3A3EF07B" w14:textId="77777777" w:rsidR="00502EEF" w:rsidRPr="001B4471" w:rsidRDefault="00502EEF" w:rsidP="0002783E">
            <w:pPr>
              <w:jc w:val="center"/>
              <w:rPr>
                <w:sz w:val="4"/>
                <w:szCs w:val="4"/>
              </w:rPr>
            </w:pPr>
          </w:p>
        </w:tc>
        <w:tc>
          <w:tcPr>
            <w:tcW w:w="582" w:type="dxa"/>
          </w:tcPr>
          <w:p w14:paraId="1B9C7441" w14:textId="77777777" w:rsidR="00502EEF" w:rsidRPr="001B4471" w:rsidRDefault="00502EEF" w:rsidP="0002783E">
            <w:pPr>
              <w:jc w:val="center"/>
              <w:rPr>
                <w:sz w:val="4"/>
                <w:szCs w:val="4"/>
              </w:rPr>
            </w:pPr>
          </w:p>
        </w:tc>
        <w:tc>
          <w:tcPr>
            <w:tcW w:w="1468" w:type="dxa"/>
          </w:tcPr>
          <w:p w14:paraId="5C24A5B9" w14:textId="77777777" w:rsidR="00502EEF" w:rsidRPr="001B4471" w:rsidRDefault="00502EEF" w:rsidP="0002783E">
            <w:pPr>
              <w:jc w:val="center"/>
              <w:rPr>
                <w:sz w:val="4"/>
                <w:szCs w:val="4"/>
              </w:rPr>
            </w:pPr>
          </w:p>
        </w:tc>
        <w:tc>
          <w:tcPr>
            <w:tcW w:w="426" w:type="dxa"/>
          </w:tcPr>
          <w:p w14:paraId="04F68852" w14:textId="77777777" w:rsidR="00502EEF" w:rsidRPr="001B4471" w:rsidRDefault="00502EEF" w:rsidP="0002783E">
            <w:pPr>
              <w:jc w:val="center"/>
              <w:rPr>
                <w:sz w:val="4"/>
                <w:szCs w:val="4"/>
              </w:rPr>
            </w:pPr>
          </w:p>
        </w:tc>
        <w:tc>
          <w:tcPr>
            <w:tcW w:w="980" w:type="dxa"/>
          </w:tcPr>
          <w:p w14:paraId="00D86AAA" w14:textId="77777777" w:rsidR="00502EEF" w:rsidRPr="001B4471" w:rsidRDefault="00502EEF" w:rsidP="0002783E">
            <w:pPr>
              <w:jc w:val="center"/>
              <w:rPr>
                <w:sz w:val="4"/>
                <w:szCs w:val="4"/>
              </w:rPr>
            </w:pPr>
          </w:p>
        </w:tc>
        <w:tc>
          <w:tcPr>
            <w:tcW w:w="1211" w:type="dxa"/>
            <w:tcBorders>
              <w:bottom w:val="single" w:sz="4" w:space="0" w:color="auto"/>
            </w:tcBorders>
          </w:tcPr>
          <w:p w14:paraId="0980AA11" w14:textId="77777777" w:rsidR="00502EEF" w:rsidRPr="001B4471" w:rsidRDefault="00502EEF" w:rsidP="0002783E">
            <w:pPr>
              <w:jc w:val="center"/>
              <w:rPr>
                <w:sz w:val="4"/>
                <w:szCs w:val="4"/>
              </w:rPr>
            </w:pPr>
          </w:p>
        </w:tc>
        <w:tc>
          <w:tcPr>
            <w:tcW w:w="410" w:type="dxa"/>
          </w:tcPr>
          <w:p w14:paraId="28090B65" w14:textId="77777777" w:rsidR="00502EEF" w:rsidRPr="001B4471" w:rsidRDefault="00502EEF" w:rsidP="0002783E">
            <w:pPr>
              <w:rPr>
                <w:sz w:val="4"/>
                <w:szCs w:val="4"/>
              </w:rPr>
            </w:pPr>
          </w:p>
        </w:tc>
        <w:tc>
          <w:tcPr>
            <w:tcW w:w="1112" w:type="dxa"/>
          </w:tcPr>
          <w:p w14:paraId="7E06F007" w14:textId="77777777" w:rsidR="00502EEF" w:rsidRPr="001B4471" w:rsidRDefault="00502EEF" w:rsidP="0002783E">
            <w:pPr>
              <w:rPr>
                <w:sz w:val="4"/>
                <w:szCs w:val="4"/>
              </w:rPr>
            </w:pPr>
          </w:p>
        </w:tc>
        <w:tc>
          <w:tcPr>
            <w:tcW w:w="992" w:type="dxa"/>
            <w:tcBorders>
              <w:bottom w:val="single" w:sz="4" w:space="0" w:color="auto"/>
            </w:tcBorders>
          </w:tcPr>
          <w:p w14:paraId="6B3325ED" w14:textId="77777777" w:rsidR="00502EEF" w:rsidRPr="001B4471" w:rsidRDefault="00502EEF" w:rsidP="0002783E">
            <w:pPr>
              <w:jc w:val="center"/>
              <w:rPr>
                <w:sz w:val="4"/>
                <w:szCs w:val="4"/>
              </w:rPr>
            </w:pPr>
          </w:p>
        </w:tc>
        <w:tc>
          <w:tcPr>
            <w:tcW w:w="628" w:type="dxa"/>
            <w:tcBorders>
              <w:right w:val="single" w:sz="4" w:space="0" w:color="auto"/>
            </w:tcBorders>
          </w:tcPr>
          <w:p w14:paraId="2442F48D" w14:textId="77777777" w:rsidR="00502EEF" w:rsidRPr="001B4471" w:rsidRDefault="00502EEF" w:rsidP="0002783E">
            <w:pPr>
              <w:jc w:val="center"/>
              <w:rPr>
                <w:sz w:val="4"/>
                <w:szCs w:val="4"/>
              </w:rPr>
            </w:pPr>
          </w:p>
        </w:tc>
      </w:tr>
      <w:tr w:rsidR="00A04DD0" w14:paraId="581AB14C" w14:textId="77777777" w:rsidTr="00A04DD0">
        <w:trPr>
          <w:jc w:val="center"/>
        </w:trPr>
        <w:tc>
          <w:tcPr>
            <w:tcW w:w="978" w:type="dxa"/>
            <w:tcBorders>
              <w:left w:val="single" w:sz="4" w:space="0" w:color="auto"/>
            </w:tcBorders>
          </w:tcPr>
          <w:p w14:paraId="7436BC4B" w14:textId="77777777" w:rsidR="00A04DD0" w:rsidRDefault="00A04DD0" w:rsidP="00A04DD0">
            <w:pPr>
              <w:jc w:val="center"/>
            </w:pPr>
            <w:r>
              <w:t>1</w:t>
            </w:r>
          </w:p>
        </w:tc>
        <w:tc>
          <w:tcPr>
            <w:tcW w:w="582" w:type="dxa"/>
          </w:tcPr>
          <w:p w14:paraId="72E275F7" w14:textId="6389B509" w:rsidR="00A04DD0" w:rsidRDefault="00A04DD0" w:rsidP="00A04DD0">
            <w:pPr>
              <w:jc w:val="center"/>
            </w:pPr>
            <w:r>
              <w:rPr>
                <w:i/>
              </w:rPr>
              <w:t>INT</w:t>
            </w:r>
            <w:r w:rsidRPr="003025F9">
              <w:rPr>
                <w:vertAlign w:val="subscript"/>
              </w:rPr>
              <w:t>1</w:t>
            </w:r>
          </w:p>
        </w:tc>
        <w:tc>
          <w:tcPr>
            <w:tcW w:w="1468" w:type="dxa"/>
          </w:tcPr>
          <w:p w14:paraId="74D47425" w14:textId="6E511366" w:rsidR="00A04DD0" w:rsidRDefault="00A04DD0" w:rsidP="00A04DD0">
            <w:pPr>
              <w:jc w:val="center"/>
            </w:pPr>
            <w:r>
              <w:rPr>
                <w:i/>
              </w:rPr>
              <w:t>CAPEX</w:t>
            </w:r>
            <w:r w:rsidRPr="003025F9">
              <w:rPr>
                <w:vertAlign w:val="subscript"/>
              </w:rPr>
              <w:t>1</w:t>
            </w:r>
          </w:p>
        </w:tc>
        <w:tc>
          <w:tcPr>
            <w:tcW w:w="426" w:type="dxa"/>
          </w:tcPr>
          <w:p w14:paraId="1578B38B" w14:textId="77777777" w:rsidR="00A04DD0" w:rsidRDefault="00A04DD0" w:rsidP="00A04DD0">
            <w:pPr>
              <w:jc w:val="center"/>
            </w:pPr>
          </w:p>
        </w:tc>
        <w:tc>
          <w:tcPr>
            <w:tcW w:w="980" w:type="dxa"/>
            <w:tcBorders>
              <w:right w:val="single" w:sz="4" w:space="0" w:color="auto"/>
            </w:tcBorders>
          </w:tcPr>
          <w:p w14:paraId="528C97F6" w14:textId="4B29E18C" w:rsidR="00A04DD0" w:rsidRDefault="00A04DD0" w:rsidP="00A04DD0">
            <w:pPr>
              <w:jc w:val="center"/>
            </w:pPr>
            <w:r>
              <w:rPr>
                <w:i/>
              </w:rPr>
              <w:t>R</w:t>
            </w:r>
            <w:r w:rsidRPr="00E655DE">
              <w:rPr>
                <w:i/>
              </w:rPr>
              <w:t>R</w:t>
            </w:r>
            <w:r w:rsidRPr="003025F9">
              <w:rPr>
                <w:vertAlign w:val="subscript"/>
              </w:rPr>
              <w:t>1</w:t>
            </w:r>
            <w:r w:rsidRPr="00E655DE">
              <w:rPr>
                <w:i/>
                <w:vertAlign w:val="subscript"/>
              </w:rPr>
              <w:t>,t</w:t>
            </w:r>
          </w:p>
        </w:tc>
        <w:tc>
          <w:tcPr>
            <w:tcW w:w="1211" w:type="dxa"/>
            <w:tcBorders>
              <w:top w:val="single" w:sz="4" w:space="0" w:color="auto"/>
              <w:left w:val="single" w:sz="4" w:space="0" w:color="auto"/>
              <w:bottom w:val="single" w:sz="4" w:space="0" w:color="auto"/>
              <w:right w:val="single" w:sz="4" w:space="0" w:color="auto"/>
            </w:tcBorders>
          </w:tcPr>
          <w:p w14:paraId="76AEA89B" w14:textId="4B04E4E5" w:rsidR="00A04DD0" w:rsidRDefault="00A04DD0" w:rsidP="00A04DD0">
            <w:pPr>
              <w:jc w:val="center"/>
            </w:pPr>
            <w:r>
              <w:rPr>
                <w:i/>
              </w:rPr>
              <w:t>CR</w:t>
            </w:r>
            <w:r w:rsidRPr="00E655DE">
              <w:rPr>
                <w:i/>
              </w:rPr>
              <w:t>R</w:t>
            </w:r>
            <w:r w:rsidRPr="003025F9">
              <w:rPr>
                <w:vertAlign w:val="subscript"/>
              </w:rPr>
              <w:t>1</w:t>
            </w:r>
            <w:r w:rsidRPr="00E655DE">
              <w:rPr>
                <w:i/>
                <w:vertAlign w:val="subscript"/>
              </w:rPr>
              <w:t>,t</w:t>
            </w:r>
          </w:p>
        </w:tc>
        <w:tc>
          <w:tcPr>
            <w:tcW w:w="410" w:type="dxa"/>
            <w:tcBorders>
              <w:left w:val="single" w:sz="4" w:space="0" w:color="auto"/>
            </w:tcBorders>
          </w:tcPr>
          <w:p w14:paraId="25874642" w14:textId="77777777" w:rsidR="00A04DD0" w:rsidRPr="009B40E8" w:rsidRDefault="00A04DD0" w:rsidP="00A04DD0">
            <w:pPr>
              <w:jc w:val="center"/>
              <w:rPr>
                <w:i/>
              </w:rPr>
            </w:pPr>
          </w:p>
        </w:tc>
        <w:tc>
          <w:tcPr>
            <w:tcW w:w="1112" w:type="dxa"/>
            <w:tcBorders>
              <w:right w:val="single" w:sz="4" w:space="0" w:color="auto"/>
            </w:tcBorders>
          </w:tcPr>
          <w:p w14:paraId="519F26DF" w14:textId="77777777" w:rsidR="00A04DD0" w:rsidRDefault="00A04DD0" w:rsidP="00A04DD0">
            <w:pPr>
              <w:jc w:val="center"/>
            </w:pPr>
            <w:r w:rsidRPr="009B40E8">
              <w:rPr>
                <w:i/>
              </w:rPr>
              <w:t>COST</w:t>
            </w:r>
            <w:r w:rsidRPr="003025F9">
              <w:rPr>
                <w:vertAlign w:val="subscript"/>
              </w:rPr>
              <w:t>1</w:t>
            </w:r>
            <w:r>
              <w:rPr>
                <w:i/>
                <w:vertAlign w:val="subscript"/>
              </w:rPr>
              <w:t>,t</w:t>
            </w:r>
          </w:p>
        </w:tc>
        <w:tc>
          <w:tcPr>
            <w:tcW w:w="992" w:type="dxa"/>
            <w:tcBorders>
              <w:top w:val="single" w:sz="4" w:space="0" w:color="auto"/>
              <w:left w:val="single" w:sz="4" w:space="0" w:color="auto"/>
              <w:bottom w:val="single" w:sz="4" w:space="0" w:color="auto"/>
              <w:right w:val="single" w:sz="4" w:space="0" w:color="auto"/>
            </w:tcBorders>
          </w:tcPr>
          <w:p w14:paraId="61A30B22" w14:textId="77777777" w:rsidR="00A04DD0" w:rsidRDefault="00A04DD0" w:rsidP="00A04DD0">
            <w:pPr>
              <w:jc w:val="center"/>
            </w:pPr>
            <w:r w:rsidRPr="009B40E8">
              <w:rPr>
                <w:i/>
              </w:rPr>
              <w:t>C</w:t>
            </w:r>
            <w:r w:rsidRPr="00E655DE">
              <w:rPr>
                <w:i/>
              </w:rPr>
              <w:t>C</w:t>
            </w:r>
            <w:r>
              <w:rPr>
                <w:i/>
              </w:rPr>
              <w:t>OS</w:t>
            </w:r>
            <w:r w:rsidRPr="00E655DE">
              <w:rPr>
                <w:i/>
              </w:rPr>
              <w:t>T</w:t>
            </w:r>
            <w:r w:rsidRPr="003025F9">
              <w:rPr>
                <w:vertAlign w:val="subscript"/>
              </w:rPr>
              <w:t>1</w:t>
            </w:r>
            <w:r>
              <w:rPr>
                <w:i/>
                <w:vertAlign w:val="subscript"/>
              </w:rPr>
              <w:t>,t</w:t>
            </w:r>
          </w:p>
        </w:tc>
        <w:tc>
          <w:tcPr>
            <w:tcW w:w="628" w:type="dxa"/>
            <w:tcBorders>
              <w:left w:val="single" w:sz="4" w:space="0" w:color="auto"/>
              <w:right w:val="single" w:sz="4" w:space="0" w:color="auto"/>
            </w:tcBorders>
          </w:tcPr>
          <w:p w14:paraId="46EEF430" w14:textId="77777777" w:rsidR="00A04DD0" w:rsidRDefault="00A04DD0" w:rsidP="00A04DD0">
            <w:pPr>
              <w:jc w:val="center"/>
              <w:rPr>
                <w:i/>
              </w:rPr>
            </w:pPr>
          </w:p>
        </w:tc>
      </w:tr>
      <w:tr w:rsidR="00A04DD0" w14:paraId="49C11D34" w14:textId="77777777" w:rsidTr="00A04DD0">
        <w:trPr>
          <w:jc w:val="center"/>
        </w:trPr>
        <w:tc>
          <w:tcPr>
            <w:tcW w:w="978" w:type="dxa"/>
            <w:tcBorders>
              <w:left w:val="single" w:sz="4" w:space="0" w:color="auto"/>
            </w:tcBorders>
          </w:tcPr>
          <w:p w14:paraId="1310A4FA" w14:textId="77777777" w:rsidR="00A04DD0" w:rsidRPr="00435B5B" w:rsidRDefault="00A04DD0" w:rsidP="00A04DD0">
            <w:pPr>
              <w:jc w:val="center"/>
              <w:rPr>
                <w:sz w:val="10"/>
                <w:szCs w:val="18"/>
              </w:rPr>
            </w:pPr>
          </w:p>
        </w:tc>
        <w:tc>
          <w:tcPr>
            <w:tcW w:w="582" w:type="dxa"/>
          </w:tcPr>
          <w:p w14:paraId="0095C1AC" w14:textId="77777777" w:rsidR="00A04DD0" w:rsidRPr="00435B5B" w:rsidRDefault="00A04DD0" w:rsidP="00A04DD0">
            <w:pPr>
              <w:jc w:val="center"/>
              <w:rPr>
                <w:i/>
                <w:sz w:val="10"/>
                <w:szCs w:val="18"/>
              </w:rPr>
            </w:pPr>
          </w:p>
        </w:tc>
        <w:tc>
          <w:tcPr>
            <w:tcW w:w="1468" w:type="dxa"/>
          </w:tcPr>
          <w:p w14:paraId="0C339577" w14:textId="77777777" w:rsidR="00A04DD0" w:rsidRPr="00435B5B" w:rsidRDefault="00A04DD0" w:rsidP="00A04DD0">
            <w:pPr>
              <w:jc w:val="center"/>
              <w:rPr>
                <w:i/>
                <w:sz w:val="10"/>
                <w:szCs w:val="18"/>
              </w:rPr>
            </w:pPr>
          </w:p>
        </w:tc>
        <w:tc>
          <w:tcPr>
            <w:tcW w:w="426" w:type="dxa"/>
          </w:tcPr>
          <w:p w14:paraId="31F9AFA1" w14:textId="77777777" w:rsidR="00A04DD0" w:rsidRPr="00435B5B" w:rsidRDefault="00A04DD0" w:rsidP="00A04DD0">
            <w:pPr>
              <w:jc w:val="center"/>
              <w:rPr>
                <w:sz w:val="10"/>
                <w:szCs w:val="18"/>
              </w:rPr>
            </w:pPr>
          </w:p>
        </w:tc>
        <w:tc>
          <w:tcPr>
            <w:tcW w:w="980" w:type="dxa"/>
          </w:tcPr>
          <w:p w14:paraId="52D377B6" w14:textId="77777777" w:rsidR="00A04DD0" w:rsidRPr="00435B5B" w:rsidRDefault="00A04DD0" w:rsidP="00A04DD0">
            <w:pPr>
              <w:jc w:val="center"/>
              <w:rPr>
                <w:i/>
                <w:sz w:val="10"/>
                <w:szCs w:val="18"/>
              </w:rPr>
            </w:pPr>
          </w:p>
        </w:tc>
        <w:tc>
          <w:tcPr>
            <w:tcW w:w="1211" w:type="dxa"/>
            <w:tcBorders>
              <w:top w:val="single" w:sz="4" w:space="0" w:color="auto"/>
              <w:bottom w:val="single" w:sz="4" w:space="0" w:color="auto"/>
            </w:tcBorders>
          </w:tcPr>
          <w:p w14:paraId="15A45680" w14:textId="77777777" w:rsidR="00A04DD0" w:rsidRPr="00435B5B" w:rsidRDefault="00A04DD0" w:rsidP="00A04DD0">
            <w:pPr>
              <w:jc w:val="center"/>
              <w:rPr>
                <w:sz w:val="10"/>
                <w:szCs w:val="18"/>
              </w:rPr>
            </w:pPr>
            <w:r w:rsidRPr="00435B5B">
              <w:rPr>
                <w:sz w:val="10"/>
                <w:szCs w:val="18"/>
              </w:rPr>
              <w:sym w:font="Wingdings" w:char="F0F2"/>
            </w:r>
          </w:p>
        </w:tc>
        <w:tc>
          <w:tcPr>
            <w:tcW w:w="410" w:type="dxa"/>
          </w:tcPr>
          <w:p w14:paraId="5C973255" w14:textId="77777777" w:rsidR="00A04DD0" w:rsidRPr="00435B5B" w:rsidRDefault="00A04DD0" w:rsidP="00A04DD0">
            <w:pPr>
              <w:jc w:val="center"/>
              <w:rPr>
                <w:sz w:val="10"/>
                <w:szCs w:val="18"/>
              </w:rPr>
            </w:pPr>
          </w:p>
        </w:tc>
        <w:tc>
          <w:tcPr>
            <w:tcW w:w="1112" w:type="dxa"/>
          </w:tcPr>
          <w:p w14:paraId="2F72CBCF" w14:textId="77777777" w:rsidR="00A04DD0" w:rsidRPr="00435B5B" w:rsidRDefault="00A04DD0" w:rsidP="00A04DD0">
            <w:pPr>
              <w:jc w:val="center"/>
              <w:rPr>
                <w:sz w:val="10"/>
                <w:szCs w:val="18"/>
              </w:rPr>
            </w:pPr>
          </w:p>
        </w:tc>
        <w:tc>
          <w:tcPr>
            <w:tcW w:w="992" w:type="dxa"/>
            <w:tcBorders>
              <w:top w:val="single" w:sz="4" w:space="0" w:color="auto"/>
              <w:bottom w:val="single" w:sz="4" w:space="0" w:color="auto"/>
            </w:tcBorders>
          </w:tcPr>
          <w:p w14:paraId="62019160" w14:textId="77777777" w:rsidR="00A04DD0" w:rsidRPr="00435B5B" w:rsidRDefault="00A04DD0" w:rsidP="00A04DD0">
            <w:pPr>
              <w:jc w:val="center"/>
              <w:rPr>
                <w:sz w:val="10"/>
                <w:szCs w:val="18"/>
              </w:rPr>
            </w:pPr>
            <w:r w:rsidRPr="00435B5B">
              <w:rPr>
                <w:sz w:val="10"/>
                <w:szCs w:val="18"/>
              </w:rPr>
              <w:sym w:font="Wingdings" w:char="F0F2"/>
            </w:r>
          </w:p>
        </w:tc>
        <w:tc>
          <w:tcPr>
            <w:tcW w:w="628" w:type="dxa"/>
            <w:tcBorders>
              <w:right w:val="single" w:sz="4" w:space="0" w:color="auto"/>
            </w:tcBorders>
          </w:tcPr>
          <w:p w14:paraId="7132ED28" w14:textId="77777777" w:rsidR="00A04DD0" w:rsidRPr="00435B5B" w:rsidRDefault="00A04DD0" w:rsidP="00A04DD0">
            <w:pPr>
              <w:jc w:val="center"/>
              <w:rPr>
                <w:sz w:val="10"/>
                <w:szCs w:val="18"/>
              </w:rPr>
            </w:pPr>
          </w:p>
        </w:tc>
      </w:tr>
      <w:tr w:rsidR="00A04DD0" w14:paraId="44E7DDB1" w14:textId="77777777" w:rsidTr="00A04DD0">
        <w:trPr>
          <w:jc w:val="center"/>
        </w:trPr>
        <w:tc>
          <w:tcPr>
            <w:tcW w:w="978" w:type="dxa"/>
            <w:tcBorders>
              <w:left w:val="single" w:sz="4" w:space="0" w:color="auto"/>
            </w:tcBorders>
          </w:tcPr>
          <w:p w14:paraId="108A2F88" w14:textId="77777777" w:rsidR="00A04DD0" w:rsidRPr="00A37793" w:rsidRDefault="00A04DD0" w:rsidP="00A04DD0">
            <w:pPr>
              <w:jc w:val="center"/>
              <w:rPr>
                <w:szCs w:val="18"/>
              </w:rPr>
            </w:pPr>
            <w:r w:rsidRPr="00A37793">
              <w:rPr>
                <w:szCs w:val="18"/>
              </w:rPr>
              <w:t>2</w:t>
            </w:r>
          </w:p>
        </w:tc>
        <w:tc>
          <w:tcPr>
            <w:tcW w:w="582" w:type="dxa"/>
          </w:tcPr>
          <w:p w14:paraId="204E2D81" w14:textId="65FE0FA0" w:rsidR="00A04DD0" w:rsidRPr="00A37793" w:rsidRDefault="00A04DD0" w:rsidP="00A04DD0">
            <w:pPr>
              <w:jc w:val="center"/>
              <w:rPr>
                <w:szCs w:val="18"/>
              </w:rPr>
            </w:pPr>
            <w:r w:rsidRPr="00A37793">
              <w:rPr>
                <w:i/>
                <w:szCs w:val="18"/>
              </w:rPr>
              <w:t>INT</w:t>
            </w:r>
            <w:r w:rsidRPr="00A37793">
              <w:rPr>
                <w:szCs w:val="18"/>
                <w:vertAlign w:val="subscript"/>
              </w:rPr>
              <w:t>2</w:t>
            </w:r>
          </w:p>
        </w:tc>
        <w:tc>
          <w:tcPr>
            <w:tcW w:w="1468" w:type="dxa"/>
          </w:tcPr>
          <w:p w14:paraId="72347112" w14:textId="4C104F3D" w:rsidR="00A04DD0" w:rsidRPr="00A37793" w:rsidRDefault="00A04DD0" w:rsidP="00A04DD0">
            <w:pPr>
              <w:jc w:val="center"/>
              <w:rPr>
                <w:szCs w:val="18"/>
              </w:rPr>
            </w:pPr>
            <w:r w:rsidRPr="00A37793">
              <w:rPr>
                <w:i/>
                <w:szCs w:val="18"/>
              </w:rPr>
              <w:t>CAPEX</w:t>
            </w:r>
            <w:r w:rsidRPr="00A37793">
              <w:rPr>
                <w:szCs w:val="18"/>
                <w:vertAlign w:val="subscript"/>
              </w:rPr>
              <w:t>2</w:t>
            </w:r>
          </w:p>
        </w:tc>
        <w:tc>
          <w:tcPr>
            <w:tcW w:w="426" w:type="dxa"/>
          </w:tcPr>
          <w:p w14:paraId="60E2BD1E" w14:textId="77777777" w:rsidR="00A04DD0" w:rsidRPr="00A37793" w:rsidRDefault="00A04DD0" w:rsidP="00A04DD0">
            <w:pPr>
              <w:jc w:val="center"/>
              <w:rPr>
                <w:szCs w:val="18"/>
              </w:rPr>
            </w:pPr>
          </w:p>
        </w:tc>
        <w:tc>
          <w:tcPr>
            <w:tcW w:w="980" w:type="dxa"/>
            <w:tcBorders>
              <w:right w:val="single" w:sz="4" w:space="0" w:color="auto"/>
            </w:tcBorders>
          </w:tcPr>
          <w:p w14:paraId="757E1238" w14:textId="61FF4BDE" w:rsidR="00A04DD0" w:rsidRPr="00A37793" w:rsidRDefault="00A04DD0" w:rsidP="00A04DD0">
            <w:pPr>
              <w:jc w:val="center"/>
              <w:rPr>
                <w:szCs w:val="18"/>
              </w:rPr>
            </w:pPr>
            <w:r w:rsidRPr="00A37793">
              <w:rPr>
                <w:i/>
                <w:szCs w:val="18"/>
              </w:rPr>
              <w:t>RR</w:t>
            </w:r>
            <w:r w:rsidRPr="00A37793">
              <w:rPr>
                <w:szCs w:val="18"/>
                <w:vertAlign w:val="subscript"/>
              </w:rPr>
              <w:t>2</w:t>
            </w:r>
            <w:r w:rsidRPr="00A37793">
              <w:rPr>
                <w:i/>
                <w:szCs w:val="18"/>
                <w:vertAlign w:val="subscript"/>
              </w:rPr>
              <w:t>,t</w:t>
            </w:r>
          </w:p>
        </w:tc>
        <w:tc>
          <w:tcPr>
            <w:tcW w:w="1211" w:type="dxa"/>
            <w:tcBorders>
              <w:top w:val="single" w:sz="4" w:space="0" w:color="auto"/>
              <w:left w:val="single" w:sz="4" w:space="0" w:color="auto"/>
              <w:bottom w:val="single" w:sz="4" w:space="0" w:color="auto"/>
              <w:right w:val="single" w:sz="4" w:space="0" w:color="auto"/>
            </w:tcBorders>
          </w:tcPr>
          <w:p w14:paraId="008DE4E2" w14:textId="1CC5F02C" w:rsidR="00A04DD0" w:rsidRPr="00A37793" w:rsidRDefault="00A04DD0" w:rsidP="00A04DD0">
            <w:pPr>
              <w:jc w:val="center"/>
              <w:rPr>
                <w:szCs w:val="18"/>
              </w:rPr>
            </w:pPr>
            <w:r w:rsidRPr="00A37793">
              <w:rPr>
                <w:i/>
                <w:szCs w:val="18"/>
              </w:rPr>
              <w:t>CRR</w:t>
            </w:r>
            <w:r w:rsidRPr="00A37793">
              <w:rPr>
                <w:szCs w:val="18"/>
                <w:vertAlign w:val="subscript"/>
              </w:rPr>
              <w:t>2</w:t>
            </w:r>
            <w:r w:rsidRPr="00A37793">
              <w:rPr>
                <w:i/>
                <w:szCs w:val="18"/>
                <w:vertAlign w:val="subscript"/>
              </w:rPr>
              <w:t>,t</w:t>
            </w:r>
          </w:p>
        </w:tc>
        <w:tc>
          <w:tcPr>
            <w:tcW w:w="410" w:type="dxa"/>
            <w:tcBorders>
              <w:left w:val="single" w:sz="4" w:space="0" w:color="auto"/>
            </w:tcBorders>
          </w:tcPr>
          <w:p w14:paraId="5E92735D" w14:textId="77777777" w:rsidR="00A04DD0" w:rsidRPr="00A37793" w:rsidRDefault="00A04DD0" w:rsidP="00A04DD0">
            <w:pPr>
              <w:jc w:val="center"/>
              <w:rPr>
                <w:i/>
                <w:szCs w:val="18"/>
              </w:rPr>
            </w:pPr>
          </w:p>
        </w:tc>
        <w:tc>
          <w:tcPr>
            <w:tcW w:w="1112" w:type="dxa"/>
            <w:tcBorders>
              <w:right w:val="single" w:sz="4" w:space="0" w:color="auto"/>
            </w:tcBorders>
          </w:tcPr>
          <w:p w14:paraId="336098A5" w14:textId="77777777" w:rsidR="00A04DD0" w:rsidRPr="00A37793" w:rsidRDefault="00A04DD0" w:rsidP="00A04DD0">
            <w:pPr>
              <w:jc w:val="center"/>
              <w:rPr>
                <w:szCs w:val="18"/>
              </w:rPr>
            </w:pPr>
            <w:r w:rsidRPr="00A37793">
              <w:rPr>
                <w:i/>
                <w:szCs w:val="18"/>
              </w:rPr>
              <w:t>COST</w:t>
            </w:r>
            <w:r w:rsidRPr="00A37793">
              <w:rPr>
                <w:szCs w:val="18"/>
                <w:vertAlign w:val="subscript"/>
              </w:rPr>
              <w:t>2</w:t>
            </w:r>
            <w:r w:rsidRPr="00A37793">
              <w:rPr>
                <w:i/>
                <w:szCs w:val="18"/>
                <w:vertAlign w:val="subscript"/>
              </w:rPr>
              <w:t>,t</w:t>
            </w:r>
          </w:p>
        </w:tc>
        <w:tc>
          <w:tcPr>
            <w:tcW w:w="992" w:type="dxa"/>
            <w:tcBorders>
              <w:top w:val="single" w:sz="4" w:space="0" w:color="auto"/>
              <w:left w:val="single" w:sz="4" w:space="0" w:color="auto"/>
              <w:bottom w:val="single" w:sz="4" w:space="0" w:color="auto"/>
              <w:right w:val="single" w:sz="4" w:space="0" w:color="auto"/>
            </w:tcBorders>
          </w:tcPr>
          <w:p w14:paraId="1BCCB96D" w14:textId="77777777" w:rsidR="00A04DD0" w:rsidRPr="00A37793" w:rsidRDefault="00A04DD0" w:rsidP="00A04DD0">
            <w:pPr>
              <w:jc w:val="center"/>
              <w:rPr>
                <w:szCs w:val="18"/>
              </w:rPr>
            </w:pPr>
            <w:r w:rsidRPr="00A37793">
              <w:rPr>
                <w:i/>
                <w:szCs w:val="18"/>
              </w:rPr>
              <w:t>CCOST</w:t>
            </w:r>
            <w:r w:rsidRPr="00A37793">
              <w:rPr>
                <w:szCs w:val="18"/>
                <w:vertAlign w:val="subscript"/>
              </w:rPr>
              <w:t>2</w:t>
            </w:r>
            <w:r w:rsidRPr="00A37793">
              <w:rPr>
                <w:i/>
                <w:szCs w:val="18"/>
                <w:vertAlign w:val="subscript"/>
              </w:rPr>
              <w:t>,t</w:t>
            </w:r>
          </w:p>
        </w:tc>
        <w:tc>
          <w:tcPr>
            <w:tcW w:w="628" w:type="dxa"/>
            <w:tcBorders>
              <w:left w:val="single" w:sz="4" w:space="0" w:color="auto"/>
              <w:right w:val="single" w:sz="4" w:space="0" w:color="auto"/>
            </w:tcBorders>
          </w:tcPr>
          <w:p w14:paraId="17F24904" w14:textId="77777777" w:rsidR="00A04DD0" w:rsidRPr="00A37793" w:rsidRDefault="00A04DD0" w:rsidP="00A04DD0">
            <w:pPr>
              <w:jc w:val="center"/>
              <w:rPr>
                <w:i/>
                <w:szCs w:val="18"/>
              </w:rPr>
            </w:pPr>
          </w:p>
        </w:tc>
      </w:tr>
      <w:tr w:rsidR="00A04DD0" w14:paraId="3807966C" w14:textId="77777777" w:rsidTr="00A04DD0">
        <w:trPr>
          <w:jc w:val="center"/>
        </w:trPr>
        <w:tc>
          <w:tcPr>
            <w:tcW w:w="978" w:type="dxa"/>
            <w:tcBorders>
              <w:left w:val="single" w:sz="4" w:space="0" w:color="auto"/>
            </w:tcBorders>
          </w:tcPr>
          <w:p w14:paraId="64E13F52" w14:textId="77777777" w:rsidR="00A04DD0" w:rsidRPr="00435B5B" w:rsidRDefault="00A04DD0" w:rsidP="00A04DD0">
            <w:pPr>
              <w:jc w:val="center"/>
              <w:rPr>
                <w:sz w:val="10"/>
                <w:szCs w:val="18"/>
              </w:rPr>
            </w:pPr>
          </w:p>
        </w:tc>
        <w:tc>
          <w:tcPr>
            <w:tcW w:w="582" w:type="dxa"/>
          </w:tcPr>
          <w:p w14:paraId="304710E5" w14:textId="77777777" w:rsidR="00A04DD0" w:rsidRPr="00435B5B" w:rsidRDefault="00A04DD0" w:rsidP="00A04DD0">
            <w:pPr>
              <w:jc w:val="center"/>
              <w:rPr>
                <w:i/>
                <w:sz w:val="10"/>
                <w:szCs w:val="18"/>
              </w:rPr>
            </w:pPr>
          </w:p>
        </w:tc>
        <w:tc>
          <w:tcPr>
            <w:tcW w:w="1468" w:type="dxa"/>
          </w:tcPr>
          <w:p w14:paraId="315FEE72" w14:textId="77777777" w:rsidR="00A04DD0" w:rsidRPr="00435B5B" w:rsidRDefault="00A04DD0" w:rsidP="00A04DD0">
            <w:pPr>
              <w:jc w:val="center"/>
              <w:rPr>
                <w:i/>
                <w:sz w:val="10"/>
                <w:szCs w:val="18"/>
              </w:rPr>
            </w:pPr>
          </w:p>
        </w:tc>
        <w:tc>
          <w:tcPr>
            <w:tcW w:w="426" w:type="dxa"/>
          </w:tcPr>
          <w:p w14:paraId="484B494E" w14:textId="77777777" w:rsidR="00A04DD0" w:rsidRPr="00435B5B" w:rsidRDefault="00A04DD0" w:rsidP="00A04DD0">
            <w:pPr>
              <w:jc w:val="center"/>
              <w:rPr>
                <w:sz w:val="10"/>
                <w:szCs w:val="18"/>
              </w:rPr>
            </w:pPr>
          </w:p>
        </w:tc>
        <w:tc>
          <w:tcPr>
            <w:tcW w:w="980" w:type="dxa"/>
          </w:tcPr>
          <w:p w14:paraId="0B481087" w14:textId="77777777" w:rsidR="00A04DD0" w:rsidRPr="00435B5B" w:rsidRDefault="00A04DD0" w:rsidP="00A04DD0">
            <w:pPr>
              <w:jc w:val="center"/>
              <w:rPr>
                <w:i/>
                <w:sz w:val="10"/>
                <w:szCs w:val="18"/>
              </w:rPr>
            </w:pPr>
          </w:p>
        </w:tc>
        <w:tc>
          <w:tcPr>
            <w:tcW w:w="1211" w:type="dxa"/>
            <w:tcBorders>
              <w:top w:val="single" w:sz="4" w:space="0" w:color="auto"/>
            </w:tcBorders>
          </w:tcPr>
          <w:p w14:paraId="66AEC0B1" w14:textId="77777777" w:rsidR="00A04DD0" w:rsidRPr="00435B5B" w:rsidRDefault="00A04DD0" w:rsidP="00A04DD0">
            <w:pPr>
              <w:jc w:val="center"/>
              <w:rPr>
                <w:i/>
                <w:sz w:val="10"/>
                <w:szCs w:val="18"/>
              </w:rPr>
            </w:pPr>
            <w:r w:rsidRPr="00435B5B">
              <w:rPr>
                <w:sz w:val="10"/>
                <w:szCs w:val="18"/>
              </w:rPr>
              <w:sym w:font="Wingdings" w:char="F0F2"/>
            </w:r>
          </w:p>
        </w:tc>
        <w:tc>
          <w:tcPr>
            <w:tcW w:w="410" w:type="dxa"/>
            <w:tcBorders>
              <w:right w:val="nil"/>
            </w:tcBorders>
          </w:tcPr>
          <w:p w14:paraId="5923223D" w14:textId="77777777" w:rsidR="00A04DD0" w:rsidRPr="00435B5B" w:rsidRDefault="00A04DD0" w:rsidP="00A04DD0">
            <w:pPr>
              <w:jc w:val="center"/>
              <w:rPr>
                <w:i/>
                <w:sz w:val="10"/>
                <w:szCs w:val="18"/>
              </w:rPr>
            </w:pPr>
          </w:p>
        </w:tc>
        <w:tc>
          <w:tcPr>
            <w:tcW w:w="1112" w:type="dxa"/>
            <w:tcBorders>
              <w:left w:val="nil"/>
            </w:tcBorders>
          </w:tcPr>
          <w:p w14:paraId="33E55321" w14:textId="77777777" w:rsidR="00A04DD0" w:rsidRPr="00435B5B" w:rsidRDefault="00A04DD0" w:rsidP="00A04DD0">
            <w:pPr>
              <w:jc w:val="center"/>
              <w:rPr>
                <w:i/>
                <w:sz w:val="10"/>
                <w:szCs w:val="18"/>
              </w:rPr>
            </w:pPr>
          </w:p>
        </w:tc>
        <w:tc>
          <w:tcPr>
            <w:tcW w:w="992" w:type="dxa"/>
            <w:tcBorders>
              <w:top w:val="single" w:sz="4" w:space="0" w:color="auto"/>
            </w:tcBorders>
          </w:tcPr>
          <w:p w14:paraId="7FB2F213" w14:textId="77777777" w:rsidR="00A04DD0" w:rsidRPr="00435B5B" w:rsidRDefault="00A04DD0" w:rsidP="00A04DD0">
            <w:pPr>
              <w:jc w:val="center"/>
              <w:rPr>
                <w:i/>
                <w:sz w:val="10"/>
                <w:szCs w:val="18"/>
              </w:rPr>
            </w:pPr>
            <w:r w:rsidRPr="00435B5B">
              <w:rPr>
                <w:sz w:val="10"/>
                <w:szCs w:val="18"/>
              </w:rPr>
              <w:sym w:font="Wingdings" w:char="F0F2"/>
            </w:r>
          </w:p>
        </w:tc>
        <w:tc>
          <w:tcPr>
            <w:tcW w:w="628" w:type="dxa"/>
            <w:tcBorders>
              <w:right w:val="single" w:sz="4" w:space="0" w:color="auto"/>
            </w:tcBorders>
          </w:tcPr>
          <w:p w14:paraId="0EFDC1FC" w14:textId="77777777" w:rsidR="00A04DD0" w:rsidRPr="00435B5B" w:rsidRDefault="00A04DD0" w:rsidP="00A04DD0">
            <w:pPr>
              <w:jc w:val="center"/>
              <w:rPr>
                <w:sz w:val="10"/>
                <w:szCs w:val="18"/>
              </w:rPr>
            </w:pPr>
          </w:p>
        </w:tc>
      </w:tr>
      <w:tr w:rsidR="00A04DD0" w14:paraId="74342267" w14:textId="77777777" w:rsidTr="00A04DD0">
        <w:trPr>
          <w:jc w:val="center"/>
        </w:trPr>
        <w:tc>
          <w:tcPr>
            <w:tcW w:w="978" w:type="dxa"/>
            <w:tcBorders>
              <w:left w:val="single" w:sz="4" w:space="0" w:color="auto"/>
            </w:tcBorders>
          </w:tcPr>
          <w:p w14:paraId="023C76F8" w14:textId="77777777" w:rsidR="00A04DD0" w:rsidRPr="00435B5B" w:rsidRDefault="00A04DD0" w:rsidP="00A04DD0">
            <w:pPr>
              <w:jc w:val="center"/>
              <w:rPr>
                <w:sz w:val="10"/>
                <w:szCs w:val="18"/>
              </w:rPr>
            </w:pPr>
          </w:p>
        </w:tc>
        <w:tc>
          <w:tcPr>
            <w:tcW w:w="582" w:type="dxa"/>
          </w:tcPr>
          <w:p w14:paraId="64ACAB62" w14:textId="77777777" w:rsidR="00A04DD0" w:rsidRPr="00435B5B" w:rsidRDefault="00A04DD0" w:rsidP="00A04DD0">
            <w:pPr>
              <w:jc w:val="center"/>
              <w:rPr>
                <w:i/>
                <w:sz w:val="10"/>
                <w:szCs w:val="18"/>
              </w:rPr>
            </w:pPr>
          </w:p>
        </w:tc>
        <w:tc>
          <w:tcPr>
            <w:tcW w:w="1468" w:type="dxa"/>
          </w:tcPr>
          <w:p w14:paraId="4F37BDA6" w14:textId="77777777" w:rsidR="00A04DD0" w:rsidRPr="00435B5B" w:rsidRDefault="00A04DD0" w:rsidP="00A04DD0">
            <w:pPr>
              <w:jc w:val="center"/>
              <w:rPr>
                <w:i/>
                <w:sz w:val="10"/>
                <w:szCs w:val="18"/>
              </w:rPr>
            </w:pPr>
          </w:p>
        </w:tc>
        <w:tc>
          <w:tcPr>
            <w:tcW w:w="426" w:type="dxa"/>
          </w:tcPr>
          <w:p w14:paraId="28735B21" w14:textId="77777777" w:rsidR="00A04DD0" w:rsidRPr="00435B5B" w:rsidRDefault="00A04DD0" w:rsidP="00A04DD0">
            <w:pPr>
              <w:jc w:val="center"/>
              <w:rPr>
                <w:sz w:val="10"/>
                <w:szCs w:val="18"/>
              </w:rPr>
            </w:pPr>
          </w:p>
        </w:tc>
        <w:tc>
          <w:tcPr>
            <w:tcW w:w="980" w:type="dxa"/>
          </w:tcPr>
          <w:p w14:paraId="6C7BC1F3" w14:textId="77777777" w:rsidR="00A04DD0" w:rsidRPr="00435B5B" w:rsidRDefault="00A04DD0" w:rsidP="00A04DD0">
            <w:pPr>
              <w:jc w:val="center"/>
              <w:rPr>
                <w:i/>
                <w:sz w:val="10"/>
                <w:szCs w:val="18"/>
              </w:rPr>
            </w:pPr>
          </w:p>
        </w:tc>
        <w:tc>
          <w:tcPr>
            <w:tcW w:w="1211" w:type="dxa"/>
            <w:tcBorders>
              <w:bottom w:val="single" w:sz="4" w:space="0" w:color="auto"/>
            </w:tcBorders>
          </w:tcPr>
          <w:p w14:paraId="62CC739F" w14:textId="77777777" w:rsidR="00A04DD0" w:rsidRPr="00435B5B" w:rsidRDefault="00A04DD0" w:rsidP="00A04DD0">
            <w:pPr>
              <w:jc w:val="center"/>
              <w:rPr>
                <w:i/>
                <w:sz w:val="10"/>
                <w:szCs w:val="18"/>
              </w:rPr>
            </w:pPr>
            <w:r w:rsidRPr="00435B5B">
              <w:rPr>
                <w:sz w:val="10"/>
                <w:szCs w:val="18"/>
              </w:rPr>
              <w:sym w:font="Wingdings" w:char="F0F2"/>
            </w:r>
          </w:p>
        </w:tc>
        <w:tc>
          <w:tcPr>
            <w:tcW w:w="410" w:type="dxa"/>
            <w:tcBorders>
              <w:right w:val="nil"/>
            </w:tcBorders>
          </w:tcPr>
          <w:p w14:paraId="587C8DC7" w14:textId="77777777" w:rsidR="00A04DD0" w:rsidRPr="00435B5B" w:rsidRDefault="00A04DD0" w:rsidP="00A04DD0">
            <w:pPr>
              <w:jc w:val="center"/>
              <w:rPr>
                <w:i/>
                <w:sz w:val="10"/>
                <w:szCs w:val="18"/>
              </w:rPr>
            </w:pPr>
          </w:p>
        </w:tc>
        <w:tc>
          <w:tcPr>
            <w:tcW w:w="1112" w:type="dxa"/>
            <w:tcBorders>
              <w:left w:val="nil"/>
            </w:tcBorders>
          </w:tcPr>
          <w:p w14:paraId="3D57DE2A" w14:textId="77777777" w:rsidR="00A04DD0" w:rsidRPr="00435B5B" w:rsidRDefault="00A04DD0" w:rsidP="00A04DD0">
            <w:pPr>
              <w:jc w:val="center"/>
              <w:rPr>
                <w:i/>
                <w:sz w:val="10"/>
                <w:szCs w:val="18"/>
              </w:rPr>
            </w:pPr>
          </w:p>
        </w:tc>
        <w:tc>
          <w:tcPr>
            <w:tcW w:w="992" w:type="dxa"/>
            <w:tcBorders>
              <w:bottom w:val="single" w:sz="4" w:space="0" w:color="auto"/>
            </w:tcBorders>
          </w:tcPr>
          <w:p w14:paraId="6EF2C70C" w14:textId="77777777" w:rsidR="00A04DD0" w:rsidRPr="00435B5B" w:rsidRDefault="00A04DD0" w:rsidP="00A04DD0">
            <w:pPr>
              <w:jc w:val="center"/>
              <w:rPr>
                <w:i/>
                <w:sz w:val="10"/>
                <w:szCs w:val="18"/>
              </w:rPr>
            </w:pPr>
            <w:r w:rsidRPr="00435B5B">
              <w:rPr>
                <w:sz w:val="10"/>
                <w:szCs w:val="18"/>
              </w:rPr>
              <w:sym w:font="Wingdings" w:char="F0F2"/>
            </w:r>
          </w:p>
        </w:tc>
        <w:tc>
          <w:tcPr>
            <w:tcW w:w="628" w:type="dxa"/>
            <w:tcBorders>
              <w:right w:val="single" w:sz="4" w:space="0" w:color="auto"/>
            </w:tcBorders>
          </w:tcPr>
          <w:p w14:paraId="72CB16BC" w14:textId="77777777" w:rsidR="00A04DD0" w:rsidRPr="00435B5B" w:rsidRDefault="00A04DD0" w:rsidP="00A04DD0">
            <w:pPr>
              <w:jc w:val="center"/>
              <w:rPr>
                <w:sz w:val="10"/>
                <w:szCs w:val="18"/>
              </w:rPr>
            </w:pPr>
          </w:p>
        </w:tc>
      </w:tr>
      <w:tr w:rsidR="00A04DD0" w14:paraId="0D2F0F3A" w14:textId="77777777" w:rsidTr="00A04DD0">
        <w:trPr>
          <w:jc w:val="center"/>
        </w:trPr>
        <w:tc>
          <w:tcPr>
            <w:tcW w:w="978" w:type="dxa"/>
            <w:tcBorders>
              <w:left w:val="single" w:sz="4" w:space="0" w:color="auto"/>
            </w:tcBorders>
          </w:tcPr>
          <w:p w14:paraId="0F18D038" w14:textId="77777777" w:rsidR="00A04DD0" w:rsidRPr="003025F9" w:rsidRDefault="00A04DD0" w:rsidP="00A04DD0">
            <w:pPr>
              <w:jc w:val="center"/>
            </w:pPr>
            <w:r w:rsidRPr="003025F9">
              <w:rPr>
                <w:i/>
              </w:rPr>
              <w:t>k</w:t>
            </w:r>
          </w:p>
        </w:tc>
        <w:tc>
          <w:tcPr>
            <w:tcW w:w="582" w:type="dxa"/>
          </w:tcPr>
          <w:p w14:paraId="45F89F21" w14:textId="0C3D9AC3" w:rsidR="00A04DD0" w:rsidRPr="003025F9" w:rsidRDefault="00A04DD0" w:rsidP="00A04DD0">
            <w:pPr>
              <w:jc w:val="center"/>
              <w:rPr>
                <w:i/>
              </w:rPr>
            </w:pPr>
            <w:r>
              <w:rPr>
                <w:i/>
              </w:rPr>
              <w:t>INT</w:t>
            </w:r>
            <w:r w:rsidRPr="003025F9">
              <w:rPr>
                <w:i/>
                <w:vertAlign w:val="subscript"/>
              </w:rPr>
              <w:t>k</w:t>
            </w:r>
          </w:p>
        </w:tc>
        <w:tc>
          <w:tcPr>
            <w:tcW w:w="1468" w:type="dxa"/>
          </w:tcPr>
          <w:p w14:paraId="6DFD83F6" w14:textId="35A7B4AD" w:rsidR="00A04DD0" w:rsidRPr="003025F9" w:rsidRDefault="00A04DD0" w:rsidP="00A04DD0">
            <w:pPr>
              <w:jc w:val="center"/>
              <w:rPr>
                <w:i/>
              </w:rPr>
            </w:pPr>
            <w:r w:rsidRPr="003025F9">
              <w:rPr>
                <w:i/>
              </w:rPr>
              <w:t>CAPEX</w:t>
            </w:r>
            <w:r w:rsidRPr="003025F9">
              <w:rPr>
                <w:i/>
                <w:vertAlign w:val="subscript"/>
              </w:rPr>
              <w:t>k</w:t>
            </w:r>
          </w:p>
        </w:tc>
        <w:tc>
          <w:tcPr>
            <w:tcW w:w="426" w:type="dxa"/>
          </w:tcPr>
          <w:p w14:paraId="31BC5F71" w14:textId="77777777" w:rsidR="00A04DD0" w:rsidRPr="003025F9" w:rsidRDefault="00A04DD0" w:rsidP="00A04DD0">
            <w:pPr>
              <w:jc w:val="center"/>
            </w:pPr>
          </w:p>
        </w:tc>
        <w:tc>
          <w:tcPr>
            <w:tcW w:w="980" w:type="dxa"/>
            <w:tcBorders>
              <w:right w:val="single" w:sz="4" w:space="0" w:color="auto"/>
            </w:tcBorders>
          </w:tcPr>
          <w:p w14:paraId="22A63B42" w14:textId="1FA1F09C" w:rsidR="00A04DD0" w:rsidRPr="003025F9" w:rsidRDefault="00A04DD0" w:rsidP="00A04DD0">
            <w:pPr>
              <w:jc w:val="center"/>
              <w:rPr>
                <w:i/>
              </w:rPr>
            </w:pPr>
            <w:r>
              <w:rPr>
                <w:i/>
              </w:rPr>
              <w:t>R</w:t>
            </w:r>
            <w:r w:rsidRPr="003025F9">
              <w:rPr>
                <w:i/>
              </w:rPr>
              <w:t>R</w:t>
            </w:r>
            <w:r w:rsidRPr="003025F9">
              <w:rPr>
                <w:i/>
                <w:vertAlign w:val="subscript"/>
              </w:rPr>
              <w:t>k,t</w:t>
            </w:r>
          </w:p>
        </w:tc>
        <w:tc>
          <w:tcPr>
            <w:tcW w:w="1211" w:type="dxa"/>
            <w:tcBorders>
              <w:top w:val="single" w:sz="4" w:space="0" w:color="auto"/>
              <w:left w:val="single" w:sz="4" w:space="0" w:color="auto"/>
              <w:bottom w:val="single" w:sz="4" w:space="0" w:color="auto"/>
              <w:right w:val="single" w:sz="4" w:space="0" w:color="auto"/>
            </w:tcBorders>
          </w:tcPr>
          <w:p w14:paraId="5E3C1835" w14:textId="641B1D58" w:rsidR="00A04DD0" w:rsidRPr="003025F9" w:rsidRDefault="00A04DD0" w:rsidP="00A04DD0">
            <w:pPr>
              <w:jc w:val="center"/>
              <w:rPr>
                <w:i/>
              </w:rPr>
            </w:pPr>
            <w:r w:rsidRPr="003025F9">
              <w:rPr>
                <w:i/>
              </w:rPr>
              <w:t>C</w:t>
            </w:r>
            <w:r>
              <w:rPr>
                <w:i/>
              </w:rPr>
              <w:t>R</w:t>
            </w:r>
            <w:r w:rsidRPr="003025F9">
              <w:rPr>
                <w:i/>
              </w:rPr>
              <w:t>R</w:t>
            </w:r>
            <w:r w:rsidRPr="003025F9">
              <w:rPr>
                <w:i/>
                <w:vertAlign w:val="subscript"/>
              </w:rPr>
              <w:t>k,t</w:t>
            </w:r>
          </w:p>
        </w:tc>
        <w:tc>
          <w:tcPr>
            <w:tcW w:w="410" w:type="dxa"/>
            <w:tcBorders>
              <w:left w:val="single" w:sz="4" w:space="0" w:color="auto"/>
            </w:tcBorders>
          </w:tcPr>
          <w:p w14:paraId="4279A32A" w14:textId="77777777" w:rsidR="00A04DD0" w:rsidRPr="003025F9" w:rsidRDefault="00A04DD0" w:rsidP="00A04DD0">
            <w:pPr>
              <w:jc w:val="center"/>
              <w:rPr>
                <w:i/>
              </w:rPr>
            </w:pPr>
          </w:p>
        </w:tc>
        <w:tc>
          <w:tcPr>
            <w:tcW w:w="1112" w:type="dxa"/>
            <w:tcBorders>
              <w:right w:val="single" w:sz="4" w:space="0" w:color="auto"/>
            </w:tcBorders>
          </w:tcPr>
          <w:p w14:paraId="4F754A0A" w14:textId="77777777" w:rsidR="00A04DD0" w:rsidRPr="003025F9" w:rsidRDefault="00A04DD0" w:rsidP="00A04DD0">
            <w:pPr>
              <w:jc w:val="center"/>
              <w:rPr>
                <w:i/>
              </w:rPr>
            </w:pPr>
            <w:r w:rsidRPr="003025F9">
              <w:rPr>
                <w:i/>
              </w:rPr>
              <w:t>COST</w:t>
            </w:r>
            <w:r w:rsidRPr="003025F9">
              <w:rPr>
                <w:i/>
                <w:vertAlign w:val="subscript"/>
              </w:rPr>
              <w:t>k,t</w:t>
            </w:r>
          </w:p>
        </w:tc>
        <w:tc>
          <w:tcPr>
            <w:tcW w:w="992" w:type="dxa"/>
            <w:tcBorders>
              <w:top w:val="single" w:sz="4" w:space="0" w:color="auto"/>
              <w:left w:val="single" w:sz="4" w:space="0" w:color="auto"/>
              <w:bottom w:val="single" w:sz="4" w:space="0" w:color="auto"/>
              <w:right w:val="single" w:sz="4" w:space="0" w:color="auto"/>
            </w:tcBorders>
          </w:tcPr>
          <w:p w14:paraId="61A63BEB" w14:textId="77777777" w:rsidR="00A04DD0" w:rsidRPr="003025F9" w:rsidRDefault="00A04DD0" w:rsidP="00A04DD0">
            <w:pPr>
              <w:jc w:val="center"/>
              <w:rPr>
                <w:i/>
              </w:rPr>
            </w:pPr>
            <w:r w:rsidRPr="003025F9">
              <w:rPr>
                <w:i/>
              </w:rPr>
              <w:t>CCOST</w:t>
            </w:r>
            <w:r w:rsidRPr="003025F9">
              <w:rPr>
                <w:i/>
                <w:vertAlign w:val="subscript"/>
              </w:rPr>
              <w:t>k,t</w:t>
            </w:r>
          </w:p>
        </w:tc>
        <w:tc>
          <w:tcPr>
            <w:tcW w:w="628" w:type="dxa"/>
            <w:tcBorders>
              <w:left w:val="single" w:sz="4" w:space="0" w:color="auto"/>
              <w:right w:val="single" w:sz="4" w:space="0" w:color="auto"/>
            </w:tcBorders>
          </w:tcPr>
          <w:p w14:paraId="4155A1DA" w14:textId="77777777" w:rsidR="00A04DD0" w:rsidRPr="003025F9" w:rsidRDefault="00A04DD0" w:rsidP="00A04DD0">
            <w:pPr>
              <w:jc w:val="center"/>
              <w:rPr>
                <w:i/>
              </w:rPr>
            </w:pPr>
          </w:p>
        </w:tc>
      </w:tr>
      <w:tr w:rsidR="00502EEF" w14:paraId="66F11577" w14:textId="77777777" w:rsidTr="00A04DD0">
        <w:trPr>
          <w:jc w:val="center"/>
        </w:trPr>
        <w:tc>
          <w:tcPr>
            <w:tcW w:w="978" w:type="dxa"/>
            <w:tcBorders>
              <w:left w:val="single" w:sz="4" w:space="0" w:color="auto"/>
              <w:bottom w:val="single" w:sz="4" w:space="0" w:color="auto"/>
            </w:tcBorders>
          </w:tcPr>
          <w:p w14:paraId="6167CE2E" w14:textId="77777777" w:rsidR="00502EEF" w:rsidRPr="001B4471" w:rsidRDefault="00502EEF" w:rsidP="0002783E">
            <w:pPr>
              <w:jc w:val="center"/>
              <w:rPr>
                <w:i/>
                <w:sz w:val="4"/>
                <w:szCs w:val="4"/>
              </w:rPr>
            </w:pPr>
          </w:p>
        </w:tc>
        <w:tc>
          <w:tcPr>
            <w:tcW w:w="582" w:type="dxa"/>
            <w:tcBorders>
              <w:bottom w:val="single" w:sz="4" w:space="0" w:color="auto"/>
            </w:tcBorders>
          </w:tcPr>
          <w:p w14:paraId="665D97B2" w14:textId="77777777" w:rsidR="00502EEF" w:rsidRPr="001B4471" w:rsidRDefault="00502EEF" w:rsidP="0002783E">
            <w:pPr>
              <w:jc w:val="center"/>
              <w:rPr>
                <w:i/>
                <w:sz w:val="4"/>
                <w:szCs w:val="4"/>
              </w:rPr>
            </w:pPr>
          </w:p>
        </w:tc>
        <w:tc>
          <w:tcPr>
            <w:tcW w:w="1468" w:type="dxa"/>
            <w:tcBorders>
              <w:bottom w:val="single" w:sz="4" w:space="0" w:color="auto"/>
            </w:tcBorders>
          </w:tcPr>
          <w:p w14:paraId="2F917177" w14:textId="77777777" w:rsidR="00502EEF" w:rsidRPr="001B4471" w:rsidRDefault="00502EEF" w:rsidP="0002783E">
            <w:pPr>
              <w:jc w:val="center"/>
              <w:rPr>
                <w:i/>
                <w:sz w:val="4"/>
                <w:szCs w:val="4"/>
              </w:rPr>
            </w:pPr>
          </w:p>
        </w:tc>
        <w:tc>
          <w:tcPr>
            <w:tcW w:w="426" w:type="dxa"/>
            <w:tcBorders>
              <w:bottom w:val="single" w:sz="4" w:space="0" w:color="auto"/>
            </w:tcBorders>
          </w:tcPr>
          <w:p w14:paraId="79BAA7FC" w14:textId="77777777" w:rsidR="00502EEF" w:rsidRPr="001B4471" w:rsidRDefault="00502EEF" w:rsidP="0002783E">
            <w:pPr>
              <w:jc w:val="center"/>
              <w:rPr>
                <w:sz w:val="4"/>
                <w:szCs w:val="4"/>
              </w:rPr>
            </w:pPr>
          </w:p>
        </w:tc>
        <w:tc>
          <w:tcPr>
            <w:tcW w:w="980" w:type="dxa"/>
            <w:tcBorders>
              <w:bottom w:val="single" w:sz="4" w:space="0" w:color="auto"/>
            </w:tcBorders>
          </w:tcPr>
          <w:p w14:paraId="08CB72E0" w14:textId="77777777" w:rsidR="00502EEF" w:rsidRPr="001B4471" w:rsidRDefault="00502EEF" w:rsidP="0002783E">
            <w:pPr>
              <w:jc w:val="center"/>
              <w:rPr>
                <w:i/>
                <w:sz w:val="4"/>
                <w:szCs w:val="4"/>
              </w:rPr>
            </w:pPr>
          </w:p>
        </w:tc>
        <w:tc>
          <w:tcPr>
            <w:tcW w:w="1211" w:type="dxa"/>
            <w:tcBorders>
              <w:top w:val="single" w:sz="4" w:space="0" w:color="auto"/>
              <w:bottom w:val="single" w:sz="4" w:space="0" w:color="auto"/>
            </w:tcBorders>
          </w:tcPr>
          <w:p w14:paraId="0002A677" w14:textId="77777777" w:rsidR="00502EEF" w:rsidRPr="001B4471" w:rsidRDefault="00502EEF" w:rsidP="0002783E">
            <w:pPr>
              <w:jc w:val="center"/>
              <w:rPr>
                <w:i/>
                <w:sz w:val="4"/>
                <w:szCs w:val="4"/>
              </w:rPr>
            </w:pPr>
          </w:p>
        </w:tc>
        <w:tc>
          <w:tcPr>
            <w:tcW w:w="410" w:type="dxa"/>
            <w:tcBorders>
              <w:bottom w:val="single" w:sz="4" w:space="0" w:color="auto"/>
            </w:tcBorders>
          </w:tcPr>
          <w:p w14:paraId="00B8C15B" w14:textId="77777777" w:rsidR="00502EEF" w:rsidRPr="001B4471" w:rsidRDefault="00502EEF" w:rsidP="0002783E">
            <w:pPr>
              <w:jc w:val="center"/>
              <w:rPr>
                <w:i/>
                <w:sz w:val="4"/>
                <w:szCs w:val="4"/>
              </w:rPr>
            </w:pPr>
          </w:p>
        </w:tc>
        <w:tc>
          <w:tcPr>
            <w:tcW w:w="1112" w:type="dxa"/>
            <w:tcBorders>
              <w:bottom w:val="single" w:sz="4" w:space="0" w:color="auto"/>
            </w:tcBorders>
          </w:tcPr>
          <w:p w14:paraId="4ADE7449" w14:textId="77777777" w:rsidR="00502EEF" w:rsidRPr="001B4471" w:rsidRDefault="00502EEF" w:rsidP="0002783E">
            <w:pPr>
              <w:jc w:val="center"/>
              <w:rPr>
                <w:i/>
                <w:sz w:val="4"/>
                <w:szCs w:val="4"/>
              </w:rPr>
            </w:pPr>
          </w:p>
        </w:tc>
        <w:tc>
          <w:tcPr>
            <w:tcW w:w="992" w:type="dxa"/>
            <w:tcBorders>
              <w:top w:val="single" w:sz="4" w:space="0" w:color="auto"/>
              <w:bottom w:val="single" w:sz="4" w:space="0" w:color="auto"/>
            </w:tcBorders>
          </w:tcPr>
          <w:p w14:paraId="531FECFB" w14:textId="77777777" w:rsidR="00502EEF" w:rsidRPr="001B4471" w:rsidRDefault="00502EEF" w:rsidP="0002783E">
            <w:pPr>
              <w:jc w:val="center"/>
              <w:rPr>
                <w:i/>
                <w:sz w:val="4"/>
                <w:szCs w:val="4"/>
              </w:rPr>
            </w:pPr>
          </w:p>
        </w:tc>
        <w:tc>
          <w:tcPr>
            <w:tcW w:w="628" w:type="dxa"/>
            <w:tcBorders>
              <w:bottom w:val="single" w:sz="4" w:space="0" w:color="auto"/>
              <w:right w:val="single" w:sz="4" w:space="0" w:color="auto"/>
            </w:tcBorders>
          </w:tcPr>
          <w:p w14:paraId="0AD34B01" w14:textId="77777777" w:rsidR="00502EEF" w:rsidRPr="001B4471" w:rsidRDefault="00502EEF" w:rsidP="0002783E">
            <w:pPr>
              <w:jc w:val="center"/>
              <w:rPr>
                <w:i/>
                <w:sz w:val="4"/>
                <w:szCs w:val="4"/>
              </w:rPr>
            </w:pPr>
          </w:p>
        </w:tc>
      </w:tr>
    </w:tbl>
    <w:p w14:paraId="38539A71" w14:textId="7ED193C0" w:rsidR="00502EEF" w:rsidRPr="00BD077D" w:rsidRDefault="00502EEF" w:rsidP="00502EEF">
      <w:pPr>
        <w:pStyle w:val="CETCaption"/>
      </w:pPr>
      <w:r w:rsidRPr="00BD077D">
        <w:rPr>
          <w:rStyle w:val="CETCaptionCarattere"/>
          <w:i/>
        </w:rPr>
        <w:t>Figure 1:</w:t>
      </w:r>
      <w:r>
        <w:rPr>
          <w:rStyle w:val="CETCaptionCarattere"/>
          <w:i/>
        </w:rPr>
        <w:t xml:space="preserve"> Basic framework of MILP-based </w:t>
      </w:r>
      <w:r w:rsidRPr="00502EEF">
        <w:rPr>
          <w:rStyle w:val="CETCaptionCarattere"/>
          <w:i/>
        </w:rPr>
        <w:t xml:space="preserve">automated targeting model </w:t>
      </w:r>
      <w:r>
        <w:rPr>
          <w:rStyle w:val="CETCaptionCarattere"/>
          <w:i/>
        </w:rPr>
        <w:t xml:space="preserve">(adopted from </w:t>
      </w:r>
      <w:r w:rsidRPr="003A7DCC">
        <w:rPr>
          <w:rStyle w:val="CETCaptionCarattere"/>
          <w:i/>
        </w:rPr>
        <w:t>Foo and Chew</w:t>
      </w:r>
      <w:r>
        <w:rPr>
          <w:rStyle w:val="CETCaptionCarattere"/>
          <w:i/>
        </w:rPr>
        <w:t>, 2025)</w:t>
      </w:r>
    </w:p>
    <w:p w14:paraId="12BE45E8" w14:textId="69390A6E" w:rsidR="00502EEF" w:rsidRPr="00502EEF" w:rsidRDefault="00502EEF" w:rsidP="00F841E1">
      <w:pPr>
        <w:pStyle w:val="CETBodytext"/>
      </w:pPr>
      <w:r w:rsidRPr="00435B5B">
        <w:t>Risk reduction cascade</w:t>
      </w:r>
      <w:r w:rsidRPr="008F0434">
        <w:t>:</w:t>
      </w:r>
      <w:r>
        <w:t xml:space="preserve"> Within each time </w:t>
      </w:r>
      <w:r w:rsidRPr="00D44938">
        <w:t xml:space="preserve">period </w:t>
      </w:r>
      <w:r w:rsidRPr="00502EEF">
        <w:rPr>
          <w:i/>
        </w:rPr>
        <w:t>t</w:t>
      </w:r>
      <w:r>
        <w:t>, risk reduction (</w:t>
      </w:r>
      <w:r>
        <w:rPr>
          <w:i/>
        </w:rPr>
        <w:t>R</w:t>
      </w:r>
      <w:r w:rsidRPr="00502EEF">
        <w:rPr>
          <w:i/>
        </w:rPr>
        <w:t>R</w:t>
      </w:r>
      <w:r w:rsidRPr="00502EEF">
        <w:rPr>
          <w:i/>
          <w:vertAlign w:val="subscript"/>
        </w:rPr>
        <w:t>k,t</w:t>
      </w:r>
      <w:r>
        <w:t xml:space="preserve">) at each intensity level </w:t>
      </w:r>
      <w:r w:rsidRPr="00502EEF">
        <w:rPr>
          <w:i/>
        </w:rPr>
        <w:t>k</w:t>
      </w:r>
      <w:r>
        <w:t xml:space="preserve"> </w:t>
      </w:r>
      <w:r w:rsidR="00FE48CA">
        <w:t xml:space="preserve">is calculated (column 4 of Figure 5) using Equation 1. </w:t>
      </w:r>
      <w:r w:rsidR="00DB31A8">
        <w:t>In</w:t>
      </w:r>
      <w:r w:rsidR="00FE48CA">
        <w:t xml:space="preserve"> the latter, </w:t>
      </w:r>
      <w:r w:rsidR="00FE48CA">
        <w:rPr>
          <w:i/>
        </w:rPr>
        <w:t>R</w:t>
      </w:r>
      <w:r w:rsidR="00FE48CA" w:rsidRPr="00502EEF">
        <w:rPr>
          <w:i/>
        </w:rPr>
        <w:t>R</w:t>
      </w:r>
      <w:r w:rsidR="00FE48CA" w:rsidRPr="00502EEF">
        <w:rPr>
          <w:i/>
          <w:vertAlign w:val="subscript"/>
        </w:rPr>
        <w:t>k,t</w:t>
      </w:r>
      <w:r w:rsidR="00FE48CA">
        <w:t xml:space="preserve"> </w:t>
      </w:r>
      <w:r>
        <w:t xml:space="preserve">is the product of </w:t>
      </w:r>
      <w:r w:rsidRPr="00E05B31">
        <w:rPr>
          <w:i/>
          <w:color w:val="FF0000"/>
        </w:rPr>
        <w:t>CAPEX</w:t>
      </w:r>
      <w:r w:rsidRPr="00E05B31">
        <w:rPr>
          <w:i/>
          <w:color w:val="FF0000"/>
          <w:vertAlign w:val="subscript"/>
        </w:rPr>
        <w:t>k</w:t>
      </w:r>
      <w:r w:rsidR="000230FB">
        <w:t>,</w:t>
      </w:r>
      <w:r>
        <w:t xml:space="preserve"> </w:t>
      </w:r>
      <w:r w:rsidRPr="00E05B31">
        <w:rPr>
          <w:i/>
          <w:color w:val="FF0000"/>
        </w:rPr>
        <w:t>INT</w:t>
      </w:r>
      <w:r w:rsidRPr="00E05B31">
        <w:rPr>
          <w:i/>
          <w:color w:val="FF0000"/>
          <w:vertAlign w:val="subscript"/>
        </w:rPr>
        <w:t>k</w:t>
      </w:r>
      <w:r>
        <w:t xml:space="preserve">, </w:t>
      </w:r>
      <w:r w:rsidR="00FE48CA">
        <w:t xml:space="preserve">and the </w:t>
      </w:r>
      <w:r>
        <w:t xml:space="preserve">binary variable </w:t>
      </w:r>
      <w:r w:rsidRPr="00502EEF">
        <w:rPr>
          <w:i/>
        </w:rPr>
        <w:t>B</w:t>
      </w:r>
      <w:r w:rsidRPr="00502EEF">
        <w:rPr>
          <w:i/>
          <w:vertAlign w:val="subscript"/>
        </w:rPr>
        <w:t>k</w:t>
      </w:r>
      <w:r w:rsidRPr="00502EEF">
        <w:rPr>
          <w:vertAlign w:val="subscript"/>
        </w:rPr>
        <w:t>,</w:t>
      </w:r>
      <w:r w:rsidRPr="00502EEF">
        <w:rPr>
          <w:i/>
          <w:vertAlign w:val="subscript"/>
        </w:rPr>
        <w:t>t</w:t>
      </w:r>
      <w:r>
        <w:t xml:space="preserve"> [0,1]. </w:t>
      </w:r>
      <w:r w:rsidR="00FE48CA">
        <w:t>The latter</w:t>
      </w:r>
      <w:r>
        <w:t xml:space="preserve"> takes a value of 1</w:t>
      </w:r>
      <w:r w:rsidR="00FE48CA">
        <w:t xml:space="preserve"> when </w:t>
      </w:r>
      <w:r>
        <w:t xml:space="preserve">the </w:t>
      </w:r>
      <w:r w:rsidR="00FE48CA">
        <w:t>risk reduction system</w:t>
      </w:r>
      <w:r w:rsidR="000C39EC">
        <w:t xml:space="preserve"> </w:t>
      </w:r>
      <w:r w:rsidR="000C39EC">
        <w:rPr>
          <w:i/>
        </w:rPr>
        <w:t>k</w:t>
      </w:r>
      <w:r w:rsidR="00FE48CA">
        <w:t xml:space="preserve"> will be deployed</w:t>
      </w:r>
      <w:r w:rsidR="000C39EC">
        <w:t xml:space="preserve"> in period </w:t>
      </w:r>
      <w:r w:rsidR="000C39EC">
        <w:rPr>
          <w:i/>
        </w:rPr>
        <w:t>t</w:t>
      </w:r>
      <w:r w:rsidR="00FE48CA">
        <w:t>, and vice versa</w:t>
      </w:r>
      <w:r>
        <w:t>.</w:t>
      </w:r>
      <w:r w:rsidR="00FE48CA">
        <w:t xml:space="preserve"> </w:t>
      </w:r>
      <w:r w:rsidR="001B4471">
        <w:rPr>
          <w:color w:val="FF0000"/>
        </w:rPr>
        <w:t>In other words,</w:t>
      </w:r>
      <w:r w:rsidR="001B4471" w:rsidRPr="001B4471">
        <w:rPr>
          <w:color w:val="FF0000"/>
        </w:rPr>
        <w:t xml:space="preserve"> Equation 1</w:t>
      </w:r>
      <w:r w:rsidR="001B4471">
        <w:rPr>
          <w:color w:val="FF0000"/>
        </w:rPr>
        <w:t xml:space="preserve"> allows</w:t>
      </w:r>
      <w:r w:rsidR="001B4471" w:rsidRPr="001B4471">
        <w:rPr>
          <w:color w:val="FF0000"/>
        </w:rPr>
        <w:t xml:space="preserve"> risk reduction benefit </w:t>
      </w:r>
      <w:r w:rsidR="001B4471">
        <w:rPr>
          <w:color w:val="FF0000"/>
        </w:rPr>
        <w:t>to be</w:t>
      </w:r>
      <w:r w:rsidR="001B4471" w:rsidRPr="001B4471">
        <w:rPr>
          <w:color w:val="FF0000"/>
        </w:rPr>
        <w:t xml:space="preserve"> materialized </w:t>
      </w:r>
      <w:r w:rsidR="001B4471">
        <w:rPr>
          <w:color w:val="FF0000"/>
        </w:rPr>
        <w:t>in</w:t>
      </w:r>
      <w:r w:rsidR="001B4471" w:rsidRPr="001B4471">
        <w:rPr>
          <w:color w:val="FF0000"/>
        </w:rPr>
        <w:t xml:space="preserve"> period </w:t>
      </w:r>
      <w:r w:rsidR="001B4471" w:rsidRPr="001B4471">
        <w:rPr>
          <w:i/>
          <w:color w:val="FF0000"/>
        </w:rPr>
        <w:t>t</w:t>
      </w:r>
      <w:r w:rsidR="001B4471" w:rsidRPr="001B4471">
        <w:rPr>
          <w:color w:val="FF0000"/>
        </w:rPr>
        <w:t xml:space="preserve"> (</w:t>
      </w:r>
      <w:r w:rsidR="001B4471" w:rsidRPr="001B4471">
        <w:rPr>
          <w:i/>
          <w:color w:val="FF0000"/>
        </w:rPr>
        <w:t>RR</w:t>
      </w:r>
      <w:r w:rsidR="001B4471" w:rsidRPr="001B4471">
        <w:rPr>
          <w:i/>
          <w:color w:val="FF0000"/>
          <w:vertAlign w:val="subscript"/>
        </w:rPr>
        <w:t>k,t</w:t>
      </w:r>
      <w:r w:rsidR="001B4471" w:rsidRPr="001B4471">
        <w:rPr>
          <w:color w:val="FF0000"/>
        </w:rPr>
        <w:t xml:space="preserve">) if risk reduction system </w:t>
      </w:r>
      <w:r w:rsidR="001B4471" w:rsidRPr="001B4471">
        <w:rPr>
          <w:i/>
          <w:color w:val="FF0000"/>
        </w:rPr>
        <w:t>k</w:t>
      </w:r>
      <w:r w:rsidR="001B4471" w:rsidRPr="001B4471">
        <w:rPr>
          <w:color w:val="FF0000"/>
        </w:rPr>
        <w:t xml:space="preserve"> will be deployed.</w:t>
      </w:r>
      <w:r w:rsidR="001B4471">
        <w:t xml:space="preserve"> </w:t>
      </w:r>
      <w:r w:rsidR="00FE48CA">
        <w:t>T</w:t>
      </w:r>
      <w:r w:rsidR="00FE48CA" w:rsidRPr="00FE48CA">
        <w:rPr>
          <w:lang w:val="en-MY"/>
        </w:rPr>
        <w:t xml:space="preserve">he </w:t>
      </w:r>
      <w:r w:rsidR="00FE48CA">
        <w:rPr>
          <w:lang w:val="en-MY"/>
        </w:rPr>
        <w:t>risk reduction</w:t>
      </w:r>
      <w:r w:rsidR="00FE48CA" w:rsidRPr="00FE48CA">
        <w:rPr>
          <w:lang w:val="en-MY"/>
        </w:rPr>
        <w:t xml:space="preserve"> cascade </w:t>
      </w:r>
      <w:r w:rsidR="00FE48CA">
        <w:rPr>
          <w:lang w:val="en-MY"/>
        </w:rPr>
        <w:t xml:space="preserve">is then formed by adding the </w:t>
      </w:r>
      <w:r w:rsidR="00FE48CA" w:rsidRPr="00FE48CA">
        <w:rPr>
          <w:lang w:val="en-MY"/>
        </w:rPr>
        <w:t xml:space="preserve">cumulative </w:t>
      </w:r>
      <w:r w:rsidR="00FE48CA">
        <w:t xml:space="preserve">risk reduction </w:t>
      </w:r>
      <w:r w:rsidR="00946AFE">
        <w:t>(</w:t>
      </w:r>
      <w:r w:rsidR="00946AFE" w:rsidRPr="00946AFE">
        <w:rPr>
          <w:i/>
        </w:rPr>
        <w:t>C</w:t>
      </w:r>
      <w:r w:rsidR="00946AFE">
        <w:rPr>
          <w:i/>
        </w:rPr>
        <w:t>R</w:t>
      </w:r>
      <w:r w:rsidR="00946AFE" w:rsidRPr="00502EEF">
        <w:rPr>
          <w:i/>
        </w:rPr>
        <w:t>R</w:t>
      </w:r>
      <w:r w:rsidR="00946AFE" w:rsidRPr="00502EEF">
        <w:rPr>
          <w:i/>
          <w:vertAlign w:val="subscript"/>
        </w:rPr>
        <w:t>k,t</w:t>
      </w:r>
      <w:r w:rsidR="00946AFE">
        <w:t xml:space="preserve">) </w:t>
      </w:r>
      <w:r w:rsidR="00FE48CA">
        <w:t xml:space="preserve">values downward </w:t>
      </w:r>
      <w:r w:rsidR="00FE48CA" w:rsidRPr="00FE48CA">
        <w:rPr>
          <w:lang w:val="en-MY"/>
        </w:rPr>
        <w:t>across</w:t>
      </w:r>
      <w:r w:rsidR="00FE48CA">
        <w:rPr>
          <w:lang w:val="en-MY"/>
        </w:rPr>
        <w:t xml:space="preserve"> </w:t>
      </w:r>
      <w:r w:rsidR="00FE48CA" w:rsidRPr="00FE48CA">
        <w:rPr>
          <w:lang w:val="en-MY"/>
        </w:rPr>
        <w:t xml:space="preserve">level </w:t>
      </w:r>
      <w:r w:rsidR="00FE48CA" w:rsidRPr="00FE48CA">
        <w:rPr>
          <w:i/>
          <w:lang w:val="en-MY"/>
        </w:rPr>
        <w:t>k</w:t>
      </w:r>
      <w:r w:rsidR="00FE48CA" w:rsidRPr="00FE48CA">
        <w:rPr>
          <w:lang w:val="en-MY"/>
        </w:rPr>
        <w:t xml:space="preserve"> (column 5), </w:t>
      </w:r>
      <w:r w:rsidR="00FE48CA">
        <w:rPr>
          <w:lang w:val="en-MY"/>
        </w:rPr>
        <w:t>following</w:t>
      </w:r>
      <w:r w:rsidR="00FE48CA" w:rsidRPr="00FE48CA">
        <w:rPr>
          <w:lang w:val="en-MY"/>
        </w:rPr>
        <w:t xml:space="preserve"> Equation </w:t>
      </w:r>
      <w:r w:rsidR="00FE48CA">
        <w:rPr>
          <w:lang w:val="en-MY"/>
        </w:rPr>
        <w:t>2</w:t>
      </w:r>
      <w:r w:rsidR="00FE48CA" w:rsidRPr="00FE48CA">
        <w:rPr>
          <w:lang w:val="en-MY"/>
        </w:rPr>
        <w:t>.</w:t>
      </w:r>
    </w:p>
    <w:tbl>
      <w:tblPr>
        <w:tblW w:w="5000" w:type="pct"/>
        <w:tblLook w:val="04A0" w:firstRow="1" w:lastRow="0" w:firstColumn="1" w:lastColumn="0" w:noHBand="0" w:noVBand="1"/>
      </w:tblPr>
      <w:tblGrid>
        <w:gridCol w:w="8183"/>
        <w:gridCol w:w="820"/>
      </w:tblGrid>
      <w:tr w:rsidR="004577FE" w:rsidRPr="00B57B36" w14:paraId="18DE34A8" w14:textId="77777777" w:rsidTr="00F841E1">
        <w:tc>
          <w:tcPr>
            <w:tcW w:w="7987" w:type="dxa"/>
            <w:vAlign w:val="center"/>
          </w:tcPr>
          <w:p w14:paraId="3AE2D949" w14:textId="48B9C036" w:rsidR="004577FE" w:rsidRPr="00F841E1" w:rsidRDefault="00A527C7" w:rsidP="00946AFE">
            <w:pPr>
              <w:pStyle w:val="CETEquation"/>
              <w:jc w:val="center"/>
            </w:pPr>
            <m:oMathPara>
              <m:oMathParaPr>
                <m:jc m:val="left"/>
              </m:oMathParaPr>
              <m:oMath>
                <m:m>
                  <m:mPr>
                    <m:mcs>
                      <m:mc>
                        <m:mcPr>
                          <m:count m:val="2"/>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RR</m:t>
                          </m:r>
                        </m:e>
                        <m:sub>
                          <m:r>
                            <w:rPr>
                              <w:rFonts w:ascii="Cambria Math" w:hAnsi="Cambria Math"/>
                              <w:lang w:val="en-MY"/>
                            </w:rPr>
                            <m:t>k,t</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k,t</m:t>
                          </m:r>
                        </m:sub>
                      </m:sSub>
                      <m:sSub>
                        <m:sSubPr>
                          <m:ctrlPr>
                            <w:rPr>
                              <w:rFonts w:ascii="Cambria Math" w:hAnsi="Cambria Math"/>
                              <w:i/>
                              <w:lang w:val="en-MY"/>
                            </w:rPr>
                          </m:ctrlPr>
                        </m:sSubPr>
                        <m:e>
                          <m:sSub>
                            <m:sSubPr>
                              <m:ctrlPr>
                                <w:rPr>
                                  <w:rFonts w:ascii="Cambria Math" w:hAnsi="Cambria Math"/>
                                  <w:i/>
                                  <w:lang w:val="en-MY"/>
                                </w:rPr>
                              </m:ctrlPr>
                            </m:sSubPr>
                            <m:e>
                              <m:r>
                                <w:rPr>
                                  <w:rFonts w:ascii="Cambria Math" w:hAnsi="Cambria Math"/>
                                  <w:lang w:val="en-MY"/>
                                </w:rPr>
                                <m:t>CAPEX</m:t>
                              </m:r>
                            </m:e>
                            <m:sub>
                              <m:r>
                                <w:rPr>
                                  <w:rFonts w:ascii="Cambria Math" w:hAnsi="Cambria Math"/>
                                  <w:lang w:val="en-MY"/>
                                </w:rPr>
                                <m:t>k</m:t>
                              </m:r>
                            </m:sub>
                          </m:sSub>
                          <m:r>
                            <w:rPr>
                              <w:rFonts w:ascii="Cambria Math" w:hAnsi="Cambria Math"/>
                              <w:lang w:val="en-MY"/>
                            </w:rPr>
                            <m:t>INT</m:t>
                          </m:r>
                        </m:e>
                        <m:sub>
                          <m:r>
                            <w:rPr>
                              <w:rFonts w:ascii="Cambria Math" w:hAnsi="Cambria Math"/>
                              <w:lang w:val="en-MY"/>
                            </w:rPr>
                            <m:t>k</m:t>
                          </m:r>
                        </m:sub>
                      </m:sSub>
                    </m:e>
                    <m:e>
                      <m:m>
                        <m:mPr>
                          <m:mcs>
                            <m:mc>
                              <m:mcPr>
                                <m:count m:val="2"/>
                                <m:mcJc m:val="center"/>
                              </m:mcPr>
                            </m:mc>
                          </m:mcs>
                          <m:ctrlPr>
                            <w:rPr>
                              <w:rFonts w:ascii="Cambria Math" w:hAnsi="Cambria Math"/>
                              <w:i/>
                              <w:lang w:val="en-MY"/>
                            </w:rPr>
                          </m:ctrlPr>
                        </m:mPr>
                        <m:mr>
                          <m:e>
                            <m:r>
                              <w:rPr>
                                <w:rFonts w:ascii="Cambria Math" w:hAnsi="Cambria Math"/>
                                <w:lang w:val="en-MY"/>
                              </w:rPr>
                              <m:t>∀k</m:t>
                            </m:r>
                          </m:e>
                          <m:e>
                            <m:r>
                              <w:rPr>
                                <w:rFonts w:ascii="Cambria Math" w:hAnsi="Cambria Math"/>
                                <w:lang w:val="en-MY"/>
                              </w:rPr>
                              <m:t>∀t</m:t>
                            </m:r>
                          </m:e>
                        </m:mr>
                      </m:m>
                    </m:e>
                  </m:mr>
                </m:m>
              </m:oMath>
            </m:oMathPara>
          </w:p>
        </w:tc>
        <w:tc>
          <w:tcPr>
            <w:tcW w:w="800" w:type="dxa"/>
            <w:vAlign w:val="center"/>
          </w:tcPr>
          <w:p w14:paraId="2BB6A4D4" w14:textId="77777777" w:rsidR="004577FE" w:rsidRPr="00B57B36" w:rsidRDefault="004577FE" w:rsidP="009E7884">
            <w:pPr>
              <w:pStyle w:val="CETEquation"/>
              <w:jc w:val="right"/>
            </w:pPr>
            <w:r w:rsidRPr="00B57B36">
              <w:t>(1)</w:t>
            </w:r>
          </w:p>
        </w:tc>
      </w:tr>
      <w:tr w:rsidR="00FE48CA" w:rsidRPr="00B57B36" w14:paraId="7E013B71" w14:textId="77777777" w:rsidTr="00F841E1">
        <w:tc>
          <w:tcPr>
            <w:tcW w:w="7987" w:type="dxa"/>
            <w:vAlign w:val="center"/>
          </w:tcPr>
          <w:p w14:paraId="2499B4CF" w14:textId="08D7A0F8" w:rsidR="00FE48CA" w:rsidRPr="00FE48CA" w:rsidRDefault="00A527C7" w:rsidP="00946AFE">
            <w:pPr>
              <w:pStyle w:val="CETEquation"/>
              <w:jc w:val="center"/>
              <w:rPr>
                <w:lang w:val="en-MY"/>
              </w:rPr>
            </w:pPr>
            <m:oMathPara>
              <m:oMathParaPr>
                <m:jc m:val="left"/>
              </m:oMathParaPr>
              <m:oMath>
                <m:m>
                  <m:mPr>
                    <m:mcs>
                      <m:mc>
                        <m:mcPr>
                          <m:count m:val="3"/>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CRR</m:t>
                          </m:r>
                        </m:e>
                        <m:sub>
                          <m:r>
                            <w:rPr>
                              <w:rFonts w:ascii="Cambria Math" w:hAnsi="Cambria Math"/>
                              <w:lang w:val="en-MY"/>
                            </w:rPr>
                            <m:t>k,t</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RR</m:t>
                          </m:r>
                        </m:e>
                        <m:sub>
                          <m:r>
                            <w:rPr>
                              <w:rFonts w:ascii="Cambria Math" w:hAnsi="Cambria Math"/>
                              <w:lang w:val="en-MY"/>
                            </w:rPr>
                            <m:t>k,t</m:t>
                          </m:r>
                        </m:sub>
                      </m:sSub>
                    </m:e>
                    <m:e>
                      <m:r>
                        <w:rPr>
                          <w:rFonts w:ascii="Cambria Math" w:hAnsi="Cambria Math"/>
                          <w:lang w:val="en-MY"/>
                        </w:rPr>
                        <m:t>k=1</m:t>
                      </m:r>
                    </m:e>
                    <m:e>
                      <m:r>
                        <w:rPr>
                          <w:rFonts w:ascii="Cambria Math" w:hAnsi="Cambria Math"/>
                          <w:lang w:val="en-MY"/>
                        </w:rPr>
                        <m:t>∀t</m:t>
                      </m:r>
                    </m:e>
                  </m:mr>
                </m:m>
              </m:oMath>
            </m:oMathPara>
          </w:p>
        </w:tc>
        <w:tc>
          <w:tcPr>
            <w:tcW w:w="800" w:type="dxa"/>
            <w:vAlign w:val="center"/>
          </w:tcPr>
          <w:p w14:paraId="37BA37F3" w14:textId="1760019D" w:rsidR="00FE48CA" w:rsidRPr="00B57B36" w:rsidRDefault="00FE48CA" w:rsidP="009E7884">
            <w:pPr>
              <w:pStyle w:val="CETEquation"/>
              <w:jc w:val="right"/>
            </w:pPr>
            <w:r>
              <w:t>(2</w:t>
            </w:r>
            <w:r w:rsidR="00FE7FDD">
              <w:t>a</w:t>
            </w:r>
            <w:r>
              <w:t>)</w:t>
            </w:r>
          </w:p>
        </w:tc>
      </w:tr>
      <w:tr w:rsidR="00FE7FDD" w:rsidRPr="00B57B36" w14:paraId="474E112F" w14:textId="77777777" w:rsidTr="00F841E1">
        <w:tc>
          <w:tcPr>
            <w:tcW w:w="7987" w:type="dxa"/>
            <w:vAlign w:val="center"/>
          </w:tcPr>
          <w:p w14:paraId="28ED44C4" w14:textId="3A1D4D60" w:rsidR="00FE7FDD" w:rsidRPr="00FE7FDD" w:rsidRDefault="00A527C7" w:rsidP="00946AFE">
            <w:pPr>
              <w:pStyle w:val="CETEquation"/>
              <w:jc w:val="center"/>
              <w:rPr>
                <w:lang w:val="en-MY"/>
              </w:rPr>
            </w:pPr>
            <m:oMathPara>
              <m:oMathParaPr>
                <m:jc m:val="left"/>
              </m:oMathParaPr>
              <m:oMath>
                <m:m>
                  <m:mPr>
                    <m:mcs>
                      <m:mc>
                        <m:mcPr>
                          <m:count m:val="3"/>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CRR</m:t>
                          </m:r>
                        </m:e>
                        <m:sub>
                          <m:r>
                            <w:rPr>
                              <w:rFonts w:ascii="Cambria Math" w:hAnsi="Cambria Math"/>
                              <w:lang w:val="en-MY"/>
                            </w:rPr>
                            <m:t>k,t</m:t>
                          </m:r>
                        </m:sub>
                      </m:sSub>
                      <m:r>
                        <w:rPr>
                          <w:rFonts w:ascii="Cambria Math" w:hAnsi="Cambria Math"/>
                          <w:lang w:val="en-MY"/>
                        </w:rPr>
                        <m:t>=</m:t>
                      </m:r>
                      <m:sSub>
                        <m:sSubPr>
                          <m:ctrlPr>
                            <w:rPr>
                              <w:rFonts w:ascii="Cambria Math" w:hAnsi="Cambria Math"/>
                              <w:i/>
                              <w:lang w:val="en-MY"/>
                            </w:rPr>
                          </m:ctrlPr>
                        </m:sSubPr>
                        <m:e>
                          <m:r>
                            <w:rPr>
                              <w:rFonts w:ascii="Cambria Math" w:hAnsi="Cambria Math"/>
                              <w:color w:val="FF0000"/>
                              <w:lang w:val="en-MY"/>
                            </w:rPr>
                            <m:t>CRR</m:t>
                          </m:r>
                        </m:e>
                        <m:sub>
                          <m:r>
                            <w:rPr>
                              <w:rFonts w:ascii="Cambria Math" w:hAnsi="Cambria Math"/>
                              <w:lang w:val="en-MY"/>
                            </w:rPr>
                            <m:t>k-1,t</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RR</m:t>
                          </m:r>
                        </m:e>
                        <m:sub>
                          <m:r>
                            <w:rPr>
                              <w:rFonts w:ascii="Cambria Math" w:hAnsi="Cambria Math"/>
                              <w:lang w:val="en-MY"/>
                            </w:rPr>
                            <m:t>k,t</m:t>
                          </m:r>
                        </m:sub>
                      </m:sSub>
                    </m:e>
                    <m:e>
                      <m:r>
                        <w:rPr>
                          <w:rFonts w:ascii="Cambria Math" w:hAnsi="Cambria Math"/>
                          <w:lang w:val="en-MY"/>
                        </w:rPr>
                        <m:t>k≥2</m:t>
                      </m:r>
                    </m:e>
                    <m:e>
                      <m:r>
                        <w:rPr>
                          <w:rFonts w:ascii="Cambria Math" w:hAnsi="Cambria Math"/>
                          <w:lang w:val="en-MY"/>
                        </w:rPr>
                        <m:t>∀t</m:t>
                      </m:r>
                    </m:e>
                  </m:mr>
                </m:m>
              </m:oMath>
            </m:oMathPara>
          </w:p>
        </w:tc>
        <w:tc>
          <w:tcPr>
            <w:tcW w:w="800" w:type="dxa"/>
            <w:vAlign w:val="center"/>
          </w:tcPr>
          <w:p w14:paraId="3173ECBE" w14:textId="0EA37091" w:rsidR="00FE7FDD" w:rsidRDefault="00FE7FDD" w:rsidP="009E7884">
            <w:pPr>
              <w:pStyle w:val="CETEquation"/>
              <w:jc w:val="right"/>
            </w:pPr>
            <w:r>
              <w:t>(2b)</w:t>
            </w:r>
          </w:p>
        </w:tc>
      </w:tr>
    </w:tbl>
    <w:p w14:paraId="2D8C120A" w14:textId="6B192451" w:rsidR="00FE48CA" w:rsidRPr="00FE48CA" w:rsidRDefault="00FE48CA" w:rsidP="000C39EC">
      <w:r w:rsidRPr="00435B5B">
        <w:rPr>
          <w:lang w:val="en-MY"/>
        </w:rPr>
        <w:t>Cost cascade</w:t>
      </w:r>
      <w:r w:rsidRPr="008F0434">
        <w:t>:</w:t>
      </w:r>
      <w:r w:rsidRPr="00B57B36">
        <w:t xml:space="preserve"> </w:t>
      </w:r>
      <w:r w:rsidR="000C39EC">
        <w:t xml:space="preserve">When risk reduction system </w:t>
      </w:r>
      <w:r w:rsidR="000C39EC">
        <w:rPr>
          <w:i/>
        </w:rPr>
        <w:t xml:space="preserve">k </w:t>
      </w:r>
      <w:r w:rsidR="000C39EC">
        <w:t xml:space="preserve">is selected for deployment in interval </w:t>
      </w:r>
      <w:r w:rsidR="000C39EC">
        <w:rPr>
          <w:i/>
        </w:rPr>
        <w:t>t</w:t>
      </w:r>
      <w:r w:rsidR="000C39EC">
        <w:t xml:space="preserve">, its </w:t>
      </w:r>
      <w:r>
        <w:t xml:space="preserve">binary variable will </w:t>
      </w:r>
      <w:r w:rsidR="000C39EC">
        <w:t xml:space="preserve">be </w:t>
      </w:r>
      <w:r>
        <w:t>activate</w:t>
      </w:r>
      <w:r w:rsidR="000C39EC">
        <w:t>d (with value of 1), which allows the calculation of</w:t>
      </w:r>
      <w:r>
        <w:t xml:space="preserve"> the capital cost</w:t>
      </w:r>
      <w:r w:rsidR="000C39EC">
        <w:t xml:space="preserve"> following Equation 3 (column 6 of Figure 5)</w:t>
      </w:r>
      <w:r>
        <w:t>.</w:t>
      </w:r>
      <w:r w:rsidRPr="00500C53">
        <w:t xml:space="preserve"> </w:t>
      </w:r>
      <w:r w:rsidR="000C39EC">
        <w:rPr>
          <w:lang w:val="en-MY"/>
        </w:rPr>
        <w:t>T</w:t>
      </w:r>
      <w:r w:rsidR="000C39EC" w:rsidRPr="00FE48CA">
        <w:rPr>
          <w:lang w:val="en-MY"/>
        </w:rPr>
        <w:t xml:space="preserve">he </w:t>
      </w:r>
      <w:r w:rsidR="000C39EC">
        <w:rPr>
          <w:lang w:val="en-MY"/>
        </w:rPr>
        <w:t xml:space="preserve">cumulative </w:t>
      </w:r>
      <w:r w:rsidR="000C39EC" w:rsidRPr="00FE48CA">
        <w:rPr>
          <w:lang w:val="en-MY"/>
        </w:rPr>
        <w:t xml:space="preserve">cost </w:t>
      </w:r>
      <w:r w:rsidR="000C39EC">
        <w:rPr>
          <w:lang w:val="en-MY"/>
        </w:rPr>
        <w:t xml:space="preserve">then determines the cost </w:t>
      </w:r>
      <w:r w:rsidR="000C39EC" w:rsidRPr="00FE48CA">
        <w:rPr>
          <w:lang w:val="en-MY"/>
        </w:rPr>
        <w:t xml:space="preserve">cascade within time period </w:t>
      </w:r>
      <w:r w:rsidR="000C39EC" w:rsidRPr="00FE48CA">
        <w:rPr>
          <w:i/>
          <w:lang w:val="en-MY"/>
        </w:rPr>
        <w:t>t</w:t>
      </w:r>
      <w:r w:rsidR="000C39EC" w:rsidRPr="00FE48CA">
        <w:rPr>
          <w:lang w:val="en-MY"/>
        </w:rPr>
        <w:t xml:space="preserve"> (column 7) </w:t>
      </w:r>
      <w:r w:rsidR="000C39EC">
        <w:rPr>
          <w:lang w:val="en-MY"/>
        </w:rPr>
        <w:t>following</w:t>
      </w:r>
      <w:r w:rsidR="000C39EC" w:rsidRPr="00FE48CA">
        <w:rPr>
          <w:lang w:val="en-MY"/>
        </w:rPr>
        <w:t xml:space="preserve"> Equation 4.</w:t>
      </w:r>
      <w:r w:rsidR="000C39EC">
        <w:rPr>
          <w:lang w:val="en-MY"/>
        </w:rPr>
        <w:t xml:space="preserve"> Note that the</w:t>
      </w:r>
      <w:r>
        <w:t xml:space="preserve"> </w:t>
      </w:r>
      <w:r w:rsidR="000C39EC">
        <w:t xml:space="preserve">model has an </w:t>
      </w:r>
      <w:r>
        <w:t xml:space="preserve">inherent assumption, </w:t>
      </w:r>
      <w:r w:rsidR="000C39EC">
        <w:t xml:space="preserve">i.e. </w:t>
      </w:r>
      <w:r>
        <w:t xml:space="preserve">capital investment is restricted to the time period </w:t>
      </w:r>
      <w:r>
        <w:rPr>
          <w:i/>
        </w:rPr>
        <w:t xml:space="preserve">t </w:t>
      </w:r>
      <w:r>
        <w:t>where it is activated</w:t>
      </w:r>
      <w:r w:rsidR="000C39EC">
        <w:t xml:space="preserve"> (Foo and Chew, 2025)</w:t>
      </w:r>
      <w:r>
        <w:t xml:space="preserve">. This is </w:t>
      </w:r>
      <w:r w:rsidR="000C39EC">
        <w:t xml:space="preserve">logical as </w:t>
      </w:r>
      <w:r>
        <w:t xml:space="preserve">most corporations </w:t>
      </w:r>
      <w:r w:rsidR="000C39EC">
        <w:t xml:space="preserve">will allocate capital expenditure for each </w:t>
      </w:r>
      <w:r>
        <w:t xml:space="preserve">financial year. </w:t>
      </w:r>
    </w:p>
    <w:tbl>
      <w:tblPr>
        <w:tblW w:w="5000" w:type="pct"/>
        <w:tblLook w:val="04A0" w:firstRow="1" w:lastRow="0" w:firstColumn="1" w:lastColumn="0" w:noHBand="0" w:noVBand="1"/>
      </w:tblPr>
      <w:tblGrid>
        <w:gridCol w:w="8183"/>
        <w:gridCol w:w="820"/>
      </w:tblGrid>
      <w:tr w:rsidR="00FE48CA" w:rsidRPr="00B57B36" w14:paraId="3514D1F9" w14:textId="77777777" w:rsidTr="0002783E">
        <w:tc>
          <w:tcPr>
            <w:tcW w:w="7987" w:type="dxa"/>
            <w:vAlign w:val="center"/>
          </w:tcPr>
          <w:p w14:paraId="719CE784" w14:textId="77777777" w:rsidR="00FE48CA" w:rsidRPr="00F841E1" w:rsidRDefault="00A527C7" w:rsidP="0002783E">
            <w:pPr>
              <w:pStyle w:val="CETEquation"/>
              <w:jc w:val="center"/>
            </w:pPr>
            <m:oMathPara>
              <m:oMathParaPr>
                <m:jc m:val="left"/>
              </m:oMathParaPr>
              <m:oMath>
                <m:m>
                  <m:mPr>
                    <m:mcs>
                      <m:mc>
                        <m:mcPr>
                          <m:count m:val="2"/>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COST</m:t>
                          </m:r>
                        </m:e>
                        <m:sub>
                          <m:r>
                            <w:rPr>
                              <w:rFonts w:ascii="Cambria Math" w:hAnsi="Cambria Math"/>
                              <w:lang w:val="en-MY"/>
                            </w:rPr>
                            <m:t>k,t</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k,t</m:t>
                          </m:r>
                        </m:sub>
                      </m:sSub>
                      <m:sSub>
                        <m:sSubPr>
                          <m:ctrlPr>
                            <w:rPr>
                              <w:rFonts w:ascii="Cambria Math" w:hAnsi="Cambria Math"/>
                              <w:i/>
                              <w:lang w:val="en-MY"/>
                            </w:rPr>
                          </m:ctrlPr>
                        </m:sSubPr>
                        <m:e>
                          <m:r>
                            <w:rPr>
                              <w:rFonts w:ascii="Cambria Math" w:hAnsi="Cambria Math"/>
                              <w:lang w:val="en-MY"/>
                            </w:rPr>
                            <m:t>CAPEX</m:t>
                          </m:r>
                        </m:e>
                        <m:sub>
                          <m:r>
                            <w:rPr>
                              <w:rFonts w:ascii="Cambria Math" w:hAnsi="Cambria Math"/>
                              <w:lang w:val="en-MY"/>
                            </w:rPr>
                            <m:t>k</m:t>
                          </m:r>
                        </m:sub>
                      </m:sSub>
                    </m:e>
                    <m:e>
                      <m:m>
                        <m:mPr>
                          <m:mcs>
                            <m:mc>
                              <m:mcPr>
                                <m:count m:val="2"/>
                                <m:mcJc m:val="center"/>
                              </m:mcPr>
                            </m:mc>
                          </m:mcs>
                          <m:ctrlPr>
                            <w:rPr>
                              <w:rFonts w:ascii="Cambria Math" w:hAnsi="Cambria Math"/>
                              <w:i/>
                              <w:lang w:val="en-MY"/>
                            </w:rPr>
                          </m:ctrlPr>
                        </m:mPr>
                        <m:mr>
                          <m:e>
                            <m:r>
                              <w:rPr>
                                <w:rFonts w:ascii="Cambria Math" w:hAnsi="Cambria Math"/>
                                <w:lang w:val="en-MY"/>
                              </w:rPr>
                              <m:t>∀k</m:t>
                            </m:r>
                          </m:e>
                          <m:e>
                            <m:r>
                              <w:rPr>
                                <w:rFonts w:ascii="Cambria Math" w:hAnsi="Cambria Math"/>
                                <w:lang w:val="en-MY"/>
                              </w:rPr>
                              <m:t>∀t</m:t>
                            </m:r>
                          </m:e>
                        </m:mr>
                      </m:m>
                    </m:e>
                  </m:mr>
                </m:m>
              </m:oMath>
            </m:oMathPara>
          </w:p>
        </w:tc>
        <w:tc>
          <w:tcPr>
            <w:tcW w:w="800" w:type="dxa"/>
            <w:vAlign w:val="center"/>
          </w:tcPr>
          <w:p w14:paraId="2B6AA3A6" w14:textId="0B84088B" w:rsidR="00FE48CA" w:rsidRPr="00B57B36" w:rsidRDefault="00FE48CA" w:rsidP="00FE48CA">
            <w:pPr>
              <w:pStyle w:val="CETEquation"/>
              <w:jc w:val="right"/>
            </w:pPr>
            <w:r w:rsidRPr="00B57B36">
              <w:t>(</w:t>
            </w:r>
            <w:r>
              <w:t>3</w:t>
            </w:r>
            <w:r w:rsidRPr="00B57B36">
              <w:t>)</w:t>
            </w:r>
          </w:p>
        </w:tc>
      </w:tr>
      <w:tr w:rsidR="00F841E1" w:rsidRPr="00B57B36" w14:paraId="00E66636" w14:textId="77777777" w:rsidTr="0002783E">
        <w:tc>
          <w:tcPr>
            <w:tcW w:w="7987" w:type="dxa"/>
            <w:vAlign w:val="center"/>
          </w:tcPr>
          <w:p w14:paraId="44FA2FA6" w14:textId="3F8E41E6" w:rsidR="00F841E1" w:rsidRPr="00F841E1" w:rsidRDefault="00A527C7" w:rsidP="0002783E">
            <w:pPr>
              <w:pStyle w:val="CETEquation"/>
              <w:jc w:val="center"/>
            </w:pPr>
            <m:oMathPara>
              <m:oMathParaPr>
                <m:jc m:val="left"/>
              </m:oMathParaPr>
              <m:oMath>
                <m:m>
                  <m:mPr>
                    <m:mcs>
                      <m:mc>
                        <m:mcPr>
                          <m:count m:val="3"/>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CCOST</m:t>
                          </m:r>
                        </m:e>
                        <m:sub>
                          <m:r>
                            <w:rPr>
                              <w:rFonts w:ascii="Cambria Math" w:hAnsi="Cambria Math"/>
                              <w:lang w:val="en-MY"/>
                            </w:rPr>
                            <m:t>k,t</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COST</m:t>
                          </m:r>
                        </m:e>
                        <m:sub>
                          <m:r>
                            <w:rPr>
                              <w:rFonts w:ascii="Cambria Math" w:hAnsi="Cambria Math"/>
                              <w:lang w:val="en-MY"/>
                            </w:rPr>
                            <m:t>k,t</m:t>
                          </m:r>
                        </m:sub>
                      </m:sSub>
                    </m:e>
                    <m:e>
                      <m:r>
                        <w:rPr>
                          <w:rFonts w:ascii="Cambria Math" w:hAnsi="Cambria Math"/>
                          <w:lang w:val="en-MY"/>
                        </w:rPr>
                        <m:t>k=1</m:t>
                      </m:r>
                    </m:e>
                    <m:e>
                      <m:r>
                        <w:rPr>
                          <w:rFonts w:ascii="Cambria Math" w:hAnsi="Cambria Math"/>
                          <w:lang w:val="en-MY"/>
                        </w:rPr>
                        <m:t>∀t</m:t>
                      </m:r>
                    </m:e>
                  </m:mr>
                </m:m>
              </m:oMath>
            </m:oMathPara>
          </w:p>
        </w:tc>
        <w:tc>
          <w:tcPr>
            <w:tcW w:w="800" w:type="dxa"/>
            <w:vAlign w:val="center"/>
          </w:tcPr>
          <w:p w14:paraId="4D02D65C" w14:textId="25829AD8" w:rsidR="00F841E1" w:rsidRPr="00B57B36" w:rsidRDefault="00F841E1" w:rsidP="00F841E1">
            <w:pPr>
              <w:pStyle w:val="CETEquation"/>
              <w:jc w:val="right"/>
            </w:pPr>
            <w:r w:rsidRPr="00B57B36">
              <w:t>(</w:t>
            </w:r>
            <w:r>
              <w:t>4</w:t>
            </w:r>
            <w:r w:rsidR="00FE7FDD">
              <w:t>a</w:t>
            </w:r>
            <w:r w:rsidRPr="00B57B36">
              <w:t>)</w:t>
            </w:r>
          </w:p>
        </w:tc>
      </w:tr>
      <w:tr w:rsidR="00FE7FDD" w:rsidRPr="00B57B36" w14:paraId="6BA34C8F" w14:textId="77777777" w:rsidTr="0002783E">
        <w:tc>
          <w:tcPr>
            <w:tcW w:w="7987" w:type="dxa"/>
            <w:vAlign w:val="center"/>
          </w:tcPr>
          <w:p w14:paraId="3C405910" w14:textId="3109AA9B" w:rsidR="00FE7FDD" w:rsidRPr="00FE7FDD" w:rsidRDefault="00A527C7" w:rsidP="0002783E">
            <w:pPr>
              <w:pStyle w:val="CETEquation"/>
              <w:jc w:val="center"/>
              <w:rPr>
                <w:lang w:val="en-MY"/>
              </w:rPr>
            </w:pPr>
            <m:oMathPara>
              <m:oMathParaPr>
                <m:jc m:val="left"/>
              </m:oMathParaPr>
              <m:oMath>
                <m:m>
                  <m:mPr>
                    <m:mcs>
                      <m:mc>
                        <m:mcPr>
                          <m:count m:val="3"/>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CCOST</m:t>
                          </m:r>
                        </m:e>
                        <m:sub>
                          <m:r>
                            <w:rPr>
                              <w:rFonts w:ascii="Cambria Math" w:hAnsi="Cambria Math"/>
                              <w:lang w:val="en-MY"/>
                            </w:rPr>
                            <m:t>k,t</m:t>
                          </m:r>
                        </m:sub>
                      </m:sSub>
                      <m:r>
                        <w:rPr>
                          <w:rFonts w:ascii="Cambria Math" w:hAnsi="Cambria Math"/>
                          <w:lang w:val="en-MY"/>
                        </w:rPr>
                        <m:t>=</m:t>
                      </m:r>
                      <m:sSub>
                        <m:sSubPr>
                          <m:ctrlPr>
                            <w:rPr>
                              <w:rFonts w:ascii="Cambria Math" w:hAnsi="Cambria Math"/>
                              <w:i/>
                              <w:lang w:val="en-MY"/>
                            </w:rPr>
                          </m:ctrlPr>
                        </m:sSubPr>
                        <m:e>
                          <m:r>
                            <w:rPr>
                              <w:rFonts w:ascii="Cambria Math" w:hAnsi="Cambria Math"/>
                              <w:color w:val="FF0000"/>
                              <w:lang w:val="en-MY"/>
                            </w:rPr>
                            <m:t>CCOST</m:t>
                          </m:r>
                        </m:e>
                        <m:sub>
                          <m:r>
                            <w:rPr>
                              <w:rFonts w:ascii="Cambria Math" w:hAnsi="Cambria Math"/>
                              <w:lang w:val="en-MY"/>
                            </w:rPr>
                            <m:t>k-1,t</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COST</m:t>
                          </m:r>
                        </m:e>
                        <m:sub>
                          <m:r>
                            <w:rPr>
                              <w:rFonts w:ascii="Cambria Math" w:hAnsi="Cambria Math"/>
                              <w:lang w:val="en-MY"/>
                            </w:rPr>
                            <m:t>k,t</m:t>
                          </m:r>
                        </m:sub>
                      </m:sSub>
                    </m:e>
                    <m:e>
                      <m:r>
                        <w:rPr>
                          <w:rFonts w:ascii="Cambria Math" w:hAnsi="Cambria Math"/>
                          <w:lang w:val="en-MY"/>
                        </w:rPr>
                        <m:t>k≥2</m:t>
                      </m:r>
                    </m:e>
                    <m:e>
                      <m:r>
                        <w:rPr>
                          <w:rFonts w:ascii="Cambria Math" w:hAnsi="Cambria Math"/>
                          <w:lang w:val="en-MY"/>
                        </w:rPr>
                        <m:t>∀t</m:t>
                      </m:r>
                    </m:e>
                  </m:mr>
                </m:m>
              </m:oMath>
            </m:oMathPara>
          </w:p>
        </w:tc>
        <w:tc>
          <w:tcPr>
            <w:tcW w:w="800" w:type="dxa"/>
            <w:vAlign w:val="center"/>
          </w:tcPr>
          <w:p w14:paraId="0BA59DCC" w14:textId="49503809" w:rsidR="00FE7FDD" w:rsidRPr="00B57B36" w:rsidRDefault="00FE7FDD" w:rsidP="00F841E1">
            <w:pPr>
              <w:pStyle w:val="CETEquation"/>
              <w:jc w:val="right"/>
            </w:pPr>
            <w:r>
              <w:t>(4b)</w:t>
            </w:r>
          </w:p>
        </w:tc>
      </w:tr>
    </w:tbl>
    <w:p w14:paraId="21EBD07A" w14:textId="3AA8EFEC" w:rsidR="00F841E1" w:rsidRDefault="00DB31A8" w:rsidP="00F841E1">
      <w:pPr>
        <w:pStyle w:val="CETBodytext"/>
        <w:rPr>
          <w:lang w:val="en-GB"/>
        </w:rPr>
      </w:pPr>
      <w:r>
        <w:rPr>
          <w:lang w:val="en-MY"/>
        </w:rPr>
        <w:t xml:space="preserve">Since there is </w:t>
      </w:r>
      <w:r w:rsidR="000C39EC" w:rsidRPr="000C39EC">
        <w:rPr>
          <w:lang w:val="en-MY"/>
        </w:rPr>
        <w:t xml:space="preserve">a </w:t>
      </w:r>
      <w:r>
        <w:rPr>
          <w:lang w:val="en-MY"/>
        </w:rPr>
        <w:t>budget</w:t>
      </w:r>
      <w:r w:rsidR="000C39EC" w:rsidRPr="000C39EC">
        <w:rPr>
          <w:lang w:val="en-MY"/>
        </w:rPr>
        <w:t xml:space="preserve"> limit </w:t>
      </w:r>
      <w:r w:rsidR="0002783E">
        <w:rPr>
          <w:lang w:val="en-MY"/>
        </w:rPr>
        <w:t xml:space="preserve">for </w:t>
      </w:r>
      <w:r w:rsidR="0002783E" w:rsidRPr="000C39EC">
        <w:rPr>
          <w:lang w:val="en-MY"/>
        </w:rPr>
        <w:t>project implementation</w:t>
      </w:r>
      <w:r w:rsidR="0002783E">
        <w:rPr>
          <w:lang w:val="en-MY"/>
        </w:rPr>
        <w:t xml:space="preserve"> in</w:t>
      </w:r>
      <w:r w:rsidR="0002783E" w:rsidRPr="000C39EC">
        <w:rPr>
          <w:lang w:val="en-MY"/>
        </w:rPr>
        <w:t xml:space="preserve"> each time period </w:t>
      </w:r>
      <w:r w:rsidR="0002783E" w:rsidRPr="000C39EC">
        <w:rPr>
          <w:i/>
          <w:lang w:val="en-MY"/>
        </w:rPr>
        <w:t>t</w:t>
      </w:r>
      <w:r w:rsidR="0002783E" w:rsidRPr="000C39EC">
        <w:rPr>
          <w:lang w:val="en-MY"/>
        </w:rPr>
        <w:t xml:space="preserve"> </w:t>
      </w:r>
      <w:r w:rsidR="000C39EC" w:rsidRPr="000C39EC">
        <w:rPr>
          <w:lang w:val="en-MY"/>
        </w:rPr>
        <w:t>(</w:t>
      </w:r>
      <m:oMath>
        <m:sSub>
          <m:sSubPr>
            <m:ctrlPr>
              <w:rPr>
                <w:rFonts w:ascii="Cambria Math" w:hAnsi="Cambria Math"/>
                <w:i/>
                <w:lang w:val="en-MY"/>
              </w:rPr>
            </m:ctrlPr>
          </m:sSubPr>
          <m:e>
            <m:r>
              <w:rPr>
                <w:rFonts w:ascii="Cambria Math" w:hAnsi="Cambria Math"/>
                <w:lang w:val="en-MY"/>
              </w:rPr>
              <m:t>TCOST</m:t>
            </m:r>
          </m:e>
          <m:sub>
            <m:r>
              <w:rPr>
                <w:rFonts w:ascii="Cambria Math" w:hAnsi="Cambria Math"/>
                <w:lang w:val="en-MY"/>
              </w:rPr>
              <m:t>t,</m:t>
            </m:r>
            <m:r>
              <m:rPr>
                <m:sty m:val="p"/>
              </m:rPr>
              <w:rPr>
                <w:rFonts w:ascii="Cambria Math" w:hAnsi="Cambria Math"/>
                <w:lang w:val="en-MY"/>
              </w:rPr>
              <m:t>max</m:t>
            </m:r>
          </m:sub>
        </m:sSub>
      </m:oMath>
      <w:r w:rsidR="000C39EC" w:rsidRPr="000C39EC">
        <w:rPr>
          <w:lang w:val="en-MY"/>
        </w:rPr>
        <w:t>)</w:t>
      </w:r>
      <w:r w:rsidR="0002783E">
        <w:rPr>
          <w:lang w:val="en-MY"/>
        </w:rPr>
        <w:t xml:space="preserve">. Hence, </w:t>
      </w:r>
      <w:r w:rsidR="0002783E" w:rsidRPr="000C39EC">
        <w:rPr>
          <w:lang w:val="en-MY"/>
        </w:rPr>
        <w:t xml:space="preserve">Equation 5 </w:t>
      </w:r>
      <w:r w:rsidR="0002783E">
        <w:rPr>
          <w:lang w:val="en-MY"/>
        </w:rPr>
        <w:t xml:space="preserve">is used to determine the total expenditure in period </w:t>
      </w:r>
      <w:r w:rsidR="0002783E" w:rsidRPr="0002783E">
        <w:rPr>
          <w:i/>
          <w:lang w:val="en-MY"/>
        </w:rPr>
        <w:t>t</w:t>
      </w:r>
      <w:r w:rsidR="0002783E">
        <w:rPr>
          <w:i/>
          <w:lang w:val="en-MY"/>
        </w:rPr>
        <w:t xml:space="preserve"> </w:t>
      </w:r>
      <w:r w:rsidR="0002783E" w:rsidRPr="000C39EC">
        <w:rPr>
          <w:lang w:val="en-MY"/>
        </w:rPr>
        <w:t>(</w:t>
      </w:r>
      <m:oMath>
        <m:sSub>
          <m:sSubPr>
            <m:ctrlPr>
              <w:rPr>
                <w:rFonts w:ascii="Cambria Math" w:hAnsi="Cambria Math"/>
                <w:i/>
                <w:lang w:val="en-MY"/>
              </w:rPr>
            </m:ctrlPr>
          </m:sSubPr>
          <m:e>
            <m:r>
              <w:rPr>
                <w:rFonts w:ascii="Cambria Math" w:hAnsi="Cambria Math"/>
                <w:lang w:val="en-MY"/>
              </w:rPr>
              <m:t>TCOST</m:t>
            </m:r>
          </m:e>
          <m:sub>
            <m:r>
              <w:rPr>
                <w:rFonts w:ascii="Cambria Math" w:hAnsi="Cambria Math"/>
                <w:lang w:val="en-MY"/>
              </w:rPr>
              <m:t>t</m:t>
            </m:r>
          </m:sub>
        </m:sSub>
      </m:oMath>
      <w:r w:rsidR="0002783E" w:rsidRPr="000C39EC">
        <w:rPr>
          <w:lang w:val="en-MY"/>
        </w:rPr>
        <w:t>)</w:t>
      </w:r>
      <w:r w:rsidR="0002783E">
        <w:rPr>
          <w:lang w:val="en-MY"/>
        </w:rPr>
        <w:t xml:space="preserve">, which is given by the summation of </w:t>
      </w:r>
      <w:r w:rsidR="0002783E">
        <w:t xml:space="preserve">capital cost of </w:t>
      </w:r>
      <w:r w:rsidR="0002783E">
        <w:rPr>
          <w:lang w:val="en-MY"/>
        </w:rPr>
        <w:t xml:space="preserve">individual risk reduction system that is selected. Equation 6 then restricts that this capital </w:t>
      </w:r>
      <w:r w:rsidR="000C39EC" w:rsidRPr="000C39EC">
        <w:rPr>
          <w:lang w:val="en-MY"/>
        </w:rPr>
        <w:t xml:space="preserve">cost in each period </w:t>
      </w:r>
      <w:r w:rsidR="000C39EC" w:rsidRPr="000C39EC">
        <w:rPr>
          <w:i/>
          <w:lang w:val="en-MY"/>
        </w:rPr>
        <w:t>t</w:t>
      </w:r>
      <w:r w:rsidR="000C39EC" w:rsidRPr="000C39EC">
        <w:rPr>
          <w:lang w:val="en-MY"/>
        </w:rPr>
        <w:t xml:space="preserve"> </w:t>
      </w:r>
      <w:r w:rsidR="0002783E">
        <w:rPr>
          <w:lang w:val="en-MY"/>
        </w:rPr>
        <w:t>for</w:t>
      </w:r>
      <w:r w:rsidR="000C39EC" w:rsidRPr="000C39EC">
        <w:rPr>
          <w:lang w:val="en-MY"/>
        </w:rPr>
        <w:t xml:space="preserve"> not exceed</w:t>
      </w:r>
      <w:r w:rsidR="0002783E">
        <w:rPr>
          <w:lang w:val="en-MY"/>
        </w:rPr>
        <w:t>ing</w:t>
      </w:r>
      <w:r w:rsidR="000C39EC" w:rsidRPr="000C39EC">
        <w:rPr>
          <w:lang w:val="en-MY"/>
        </w:rPr>
        <w:t xml:space="preserve"> its limit.</w:t>
      </w:r>
    </w:p>
    <w:tbl>
      <w:tblPr>
        <w:tblW w:w="5000" w:type="pct"/>
        <w:tblLook w:val="04A0" w:firstRow="1" w:lastRow="0" w:firstColumn="1" w:lastColumn="0" w:noHBand="0" w:noVBand="1"/>
      </w:tblPr>
      <w:tblGrid>
        <w:gridCol w:w="8183"/>
        <w:gridCol w:w="820"/>
      </w:tblGrid>
      <w:tr w:rsidR="00F841E1" w:rsidRPr="00B57B36" w14:paraId="6C302BD4" w14:textId="77777777" w:rsidTr="0002783E">
        <w:tc>
          <w:tcPr>
            <w:tcW w:w="7987" w:type="dxa"/>
            <w:vAlign w:val="center"/>
          </w:tcPr>
          <w:p w14:paraId="37C855DD" w14:textId="3D254106" w:rsidR="00F841E1" w:rsidRPr="00F841E1" w:rsidRDefault="00A527C7" w:rsidP="0002783E">
            <w:pPr>
              <w:pStyle w:val="CETEquation"/>
              <w:jc w:val="center"/>
            </w:pPr>
            <m:oMathPara>
              <m:oMathParaPr>
                <m:jc m:val="left"/>
              </m:oMathParaPr>
              <m:oMath>
                <m:m>
                  <m:mPr>
                    <m:mcs>
                      <m:mc>
                        <m:mcPr>
                          <m:count m:val="2"/>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TCOST</m:t>
                          </m:r>
                        </m:e>
                        <m:sub>
                          <m:r>
                            <w:rPr>
                              <w:rFonts w:ascii="Cambria Math" w:hAnsi="Cambria Math"/>
                              <w:lang w:val="en-MY"/>
                            </w:rPr>
                            <m:t>t</m:t>
                          </m:r>
                        </m:sub>
                      </m:sSub>
                      <m:r>
                        <w:rPr>
                          <w:rFonts w:ascii="Cambria Math" w:hAnsi="Cambria Math"/>
                          <w:lang w:val="en-MY"/>
                        </w:rPr>
                        <m:t>=</m:t>
                      </m:r>
                      <m:nary>
                        <m:naryPr>
                          <m:chr m:val="∑"/>
                          <m:limLoc m:val="subSup"/>
                          <m:supHide m:val="1"/>
                          <m:ctrlPr>
                            <w:rPr>
                              <w:rFonts w:ascii="Cambria Math" w:hAnsi="Cambria Math"/>
                              <w:i/>
                              <w:lang w:val="en-MY"/>
                            </w:rPr>
                          </m:ctrlPr>
                        </m:naryPr>
                        <m:sub>
                          <m:r>
                            <w:rPr>
                              <w:rFonts w:ascii="Cambria Math" w:hAnsi="Cambria Math"/>
                              <w:lang w:val="en-MY"/>
                            </w:rPr>
                            <m:t>k</m:t>
                          </m:r>
                        </m:sub>
                        <m:sup/>
                        <m:e>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k,t</m:t>
                              </m:r>
                            </m:sub>
                          </m:sSub>
                          <m:sSub>
                            <m:sSubPr>
                              <m:ctrlPr>
                                <w:rPr>
                                  <w:rFonts w:ascii="Cambria Math" w:hAnsi="Cambria Math"/>
                                  <w:i/>
                                  <w:lang w:val="en-MY"/>
                                </w:rPr>
                              </m:ctrlPr>
                            </m:sSubPr>
                            <m:e>
                              <m:r>
                                <w:rPr>
                                  <w:rFonts w:ascii="Cambria Math" w:hAnsi="Cambria Math"/>
                                  <w:lang w:val="en-MY"/>
                                </w:rPr>
                                <m:t>CAPEX</m:t>
                              </m:r>
                            </m:e>
                            <m:sub>
                              <m:r>
                                <w:rPr>
                                  <w:rFonts w:ascii="Cambria Math" w:hAnsi="Cambria Math"/>
                                  <w:lang w:val="en-MY"/>
                                </w:rPr>
                                <m:t>i</m:t>
                              </m:r>
                            </m:sub>
                          </m:sSub>
                        </m:e>
                      </m:nary>
                    </m:e>
                    <m:e>
                      <m:r>
                        <w:rPr>
                          <w:rFonts w:ascii="Cambria Math" w:hAnsi="Cambria Math"/>
                          <w:lang w:val="en-MY"/>
                        </w:rPr>
                        <m:t>∀t</m:t>
                      </m:r>
                    </m:e>
                  </m:mr>
                </m:m>
              </m:oMath>
            </m:oMathPara>
          </w:p>
        </w:tc>
        <w:tc>
          <w:tcPr>
            <w:tcW w:w="800" w:type="dxa"/>
            <w:vAlign w:val="center"/>
          </w:tcPr>
          <w:p w14:paraId="1B92DCE0" w14:textId="1F2D7777" w:rsidR="00F841E1" w:rsidRPr="00B57B36" w:rsidRDefault="00F841E1" w:rsidP="00284E14">
            <w:pPr>
              <w:pStyle w:val="CETEquation"/>
              <w:jc w:val="right"/>
            </w:pPr>
            <w:r w:rsidRPr="00B57B36">
              <w:t>(</w:t>
            </w:r>
            <w:r w:rsidR="00284E14">
              <w:t>5</w:t>
            </w:r>
            <w:r w:rsidRPr="00B57B36">
              <w:t>)</w:t>
            </w:r>
          </w:p>
        </w:tc>
      </w:tr>
      <w:tr w:rsidR="00284E14" w:rsidRPr="00B57B36" w14:paraId="579B0A99" w14:textId="77777777" w:rsidTr="0002783E">
        <w:tc>
          <w:tcPr>
            <w:tcW w:w="7987" w:type="dxa"/>
            <w:vAlign w:val="center"/>
          </w:tcPr>
          <w:p w14:paraId="2DC77F9D" w14:textId="07BC39F4" w:rsidR="00284E14" w:rsidRPr="00284E14" w:rsidRDefault="00A527C7" w:rsidP="0002783E">
            <w:pPr>
              <w:pStyle w:val="CETEquation"/>
              <w:jc w:val="center"/>
              <w:rPr>
                <w:lang w:val="en-MY"/>
              </w:rPr>
            </w:pPr>
            <m:oMathPara>
              <m:oMathParaPr>
                <m:jc m:val="left"/>
              </m:oMathParaPr>
              <m:oMath>
                <m:m>
                  <m:mPr>
                    <m:mcs>
                      <m:mc>
                        <m:mcPr>
                          <m:count m:val="2"/>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TCOST</m:t>
                          </m:r>
                        </m:e>
                        <m:sub>
                          <m:r>
                            <w:rPr>
                              <w:rFonts w:ascii="Cambria Math" w:hAnsi="Cambria Math"/>
                              <w:lang w:val="en-MY"/>
                            </w:rPr>
                            <m:t>t</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TCOST</m:t>
                          </m:r>
                        </m:e>
                        <m:sub>
                          <m:r>
                            <w:rPr>
                              <w:rFonts w:ascii="Cambria Math" w:hAnsi="Cambria Math"/>
                              <w:lang w:val="en-MY"/>
                            </w:rPr>
                            <m:t>t,</m:t>
                          </m:r>
                          <m:r>
                            <m:rPr>
                              <m:sty m:val="p"/>
                            </m:rPr>
                            <w:rPr>
                              <w:rFonts w:ascii="Cambria Math" w:hAnsi="Cambria Math"/>
                              <w:lang w:val="en-MY"/>
                            </w:rPr>
                            <m:t>max</m:t>
                          </m:r>
                        </m:sub>
                      </m:sSub>
                    </m:e>
                    <m:e>
                      <m:r>
                        <w:rPr>
                          <w:rFonts w:ascii="Cambria Math" w:hAnsi="Cambria Math"/>
                          <w:lang w:val="en-MY"/>
                        </w:rPr>
                        <m:t>∀t</m:t>
                      </m:r>
                    </m:e>
                  </m:mr>
                </m:m>
              </m:oMath>
            </m:oMathPara>
          </w:p>
        </w:tc>
        <w:tc>
          <w:tcPr>
            <w:tcW w:w="800" w:type="dxa"/>
            <w:vAlign w:val="center"/>
          </w:tcPr>
          <w:p w14:paraId="59777A48" w14:textId="3D10C7F2" w:rsidR="00284E14" w:rsidRPr="00B57B36" w:rsidRDefault="00284E14" w:rsidP="00284E14">
            <w:pPr>
              <w:pStyle w:val="CETEquation"/>
              <w:jc w:val="right"/>
            </w:pPr>
            <w:r>
              <w:t>(6)</w:t>
            </w:r>
          </w:p>
        </w:tc>
      </w:tr>
    </w:tbl>
    <w:p w14:paraId="33F42370" w14:textId="690F2390" w:rsidR="00F841E1" w:rsidRPr="00B57B36" w:rsidRDefault="000C39EC" w:rsidP="00F841E1">
      <w:pPr>
        <w:pStyle w:val="CETBodytext"/>
      </w:pPr>
      <w:r w:rsidRPr="000C39EC">
        <w:rPr>
          <w:lang w:val="en-MY"/>
        </w:rPr>
        <w:t>Besides, Equation</w:t>
      </w:r>
      <w:r>
        <w:rPr>
          <w:lang w:val="en-MY"/>
        </w:rPr>
        <w:t>s</w:t>
      </w:r>
      <w:r w:rsidRPr="000C39EC">
        <w:rPr>
          <w:lang w:val="en-MY"/>
        </w:rPr>
        <w:t xml:space="preserve"> 7 </w:t>
      </w:r>
      <w:r>
        <w:rPr>
          <w:lang w:val="en-MY"/>
        </w:rPr>
        <w:t xml:space="preserve">and 8 are </w:t>
      </w:r>
      <w:r w:rsidRPr="000C39EC">
        <w:rPr>
          <w:lang w:val="en-MY"/>
        </w:rPr>
        <w:t xml:space="preserve">used to ensure the </w:t>
      </w:r>
      <w:r w:rsidR="00D660A7" w:rsidRPr="00D660A7">
        <w:rPr>
          <w:color w:val="FF0000"/>
        </w:rPr>
        <w:t xml:space="preserve">risk reduction system </w:t>
      </w:r>
      <w:r w:rsidR="00D660A7" w:rsidRPr="00D660A7">
        <w:rPr>
          <w:i/>
          <w:color w:val="FF0000"/>
        </w:rPr>
        <w:t>k</w:t>
      </w:r>
      <w:r w:rsidR="00D660A7" w:rsidRPr="00D660A7">
        <w:rPr>
          <w:color w:val="FF0000"/>
        </w:rPr>
        <w:t xml:space="preserve"> </w:t>
      </w:r>
      <w:r w:rsidRPr="000C39EC">
        <w:rPr>
          <w:lang w:val="en-MY"/>
        </w:rPr>
        <w:t>is only costed once.</w:t>
      </w:r>
    </w:p>
    <w:tbl>
      <w:tblPr>
        <w:tblW w:w="5000" w:type="pct"/>
        <w:tblLook w:val="04A0" w:firstRow="1" w:lastRow="0" w:firstColumn="1" w:lastColumn="0" w:noHBand="0" w:noVBand="1"/>
      </w:tblPr>
      <w:tblGrid>
        <w:gridCol w:w="8183"/>
        <w:gridCol w:w="820"/>
      </w:tblGrid>
      <w:tr w:rsidR="00F841E1" w:rsidRPr="00B57B36" w14:paraId="1C625537" w14:textId="77777777" w:rsidTr="0002783E">
        <w:tc>
          <w:tcPr>
            <w:tcW w:w="7987" w:type="dxa"/>
            <w:vAlign w:val="center"/>
          </w:tcPr>
          <w:p w14:paraId="2A0AAB94" w14:textId="6C9D8608" w:rsidR="00F841E1" w:rsidRPr="00F841E1" w:rsidRDefault="00A527C7" w:rsidP="0002783E">
            <w:pPr>
              <w:pStyle w:val="CETEquation"/>
              <w:jc w:val="center"/>
            </w:pPr>
            <m:oMathPara>
              <m:oMathParaPr>
                <m:jc m:val="left"/>
              </m:oMathParaPr>
              <m:oMath>
                <m:m>
                  <m:mPr>
                    <m:mcs>
                      <m:mc>
                        <m:mcPr>
                          <m:count m:val="2"/>
                          <m:mcJc m:val="center"/>
                        </m:mcPr>
                      </m:mc>
                    </m:mcs>
                    <m:ctrlPr>
                      <w:rPr>
                        <w:rFonts w:ascii="Cambria Math" w:hAnsi="Cambria Math"/>
                        <w:i/>
                        <w:lang w:val="en-MY"/>
                      </w:rPr>
                    </m:ctrlPr>
                  </m:mPr>
                  <m:mr>
                    <m:e>
                      <m:nary>
                        <m:naryPr>
                          <m:chr m:val="∑"/>
                          <m:limLoc m:val="subSup"/>
                          <m:supHide m:val="1"/>
                          <m:ctrlPr>
                            <w:rPr>
                              <w:rFonts w:ascii="Cambria Math" w:hAnsi="Cambria Math"/>
                              <w:i/>
                              <w:lang w:val="en-MY"/>
                            </w:rPr>
                          </m:ctrlPr>
                        </m:naryPr>
                        <m:sub>
                          <m:r>
                            <w:rPr>
                              <w:rFonts w:ascii="Cambria Math" w:hAnsi="Cambria Math"/>
                              <w:lang w:val="en-MY"/>
                            </w:rPr>
                            <m:t>t</m:t>
                          </m:r>
                        </m:sub>
                        <m:sup/>
                        <m:e>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k,t</m:t>
                              </m:r>
                            </m:sub>
                          </m:sSub>
                          <m:r>
                            <w:rPr>
                              <w:rFonts w:ascii="Cambria Math" w:hAnsi="Cambria Math"/>
                              <w:lang w:val="en-MY"/>
                            </w:rPr>
                            <m:t>≤</m:t>
                          </m:r>
                        </m:e>
                      </m:nary>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k,max</m:t>
                          </m:r>
                        </m:sub>
                      </m:sSub>
                    </m:e>
                    <m:e>
                      <m:r>
                        <w:rPr>
                          <w:rFonts w:ascii="Cambria Math" w:hAnsi="Cambria Math"/>
                          <w:lang w:val="en-MY"/>
                        </w:rPr>
                        <m:t>∀k</m:t>
                      </m:r>
                    </m:e>
                  </m:mr>
                </m:m>
              </m:oMath>
            </m:oMathPara>
          </w:p>
        </w:tc>
        <w:tc>
          <w:tcPr>
            <w:tcW w:w="800" w:type="dxa"/>
            <w:vAlign w:val="center"/>
          </w:tcPr>
          <w:p w14:paraId="76650449" w14:textId="18060552" w:rsidR="00F841E1" w:rsidRPr="00B57B36" w:rsidRDefault="00F841E1" w:rsidP="00284E14">
            <w:pPr>
              <w:pStyle w:val="CETEquation"/>
              <w:jc w:val="right"/>
            </w:pPr>
            <w:r w:rsidRPr="00B57B36">
              <w:t>(</w:t>
            </w:r>
            <w:r w:rsidR="00284E14">
              <w:t>7</w:t>
            </w:r>
            <w:r w:rsidRPr="00B57B36">
              <w:t>)</w:t>
            </w:r>
          </w:p>
        </w:tc>
      </w:tr>
      <w:tr w:rsidR="00284E14" w:rsidRPr="00B57B36" w14:paraId="062FD205" w14:textId="77777777" w:rsidTr="0002783E">
        <w:tc>
          <w:tcPr>
            <w:tcW w:w="7987" w:type="dxa"/>
            <w:vAlign w:val="center"/>
          </w:tcPr>
          <w:p w14:paraId="1214D684" w14:textId="7847F8EC" w:rsidR="00284E14" w:rsidRPr="00284E14" w:rsidRDefault="00A527C7" w:rsidP="0002783E">
            <w:pPr>
              <w:pStyle w:val="CETEquation"/>
              <w:jc w:val="center"/>
              <w:rPr>
                <w:lang w:val="en-MY"/>
              </w:rPr>
            </w:pPr>
            <m:oMathPara>
              <m:oMathParaPr>
                <m:jc m:val="left"/>
              </m:oMathParaPr>
              <m:oMath>
                <m:m>
                  <m:mPr>
                    <m:mcs>
                      <m:mc>
                        <m:mcPr>
                          <m:count m:val="2"/>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k,max</m:t>
                          </m:r>
                        </m:sub>
                      </m:sSub>
                      <m:r>
                        <w:rPr>
                          <w:rFonts w:ascii="Cambria Math" w:hAnsi="Cambria Math"/>
                          <w:lang w:val="en-MY"/>
                        </w:rPr>
                        <m:t>=1</m:t>
                      </m:r>
                    </m:e>
                    <m:e>
                      <m:r>
                        <w:rPr>
                          <w:rFonts w:ascii="Cambria Math" w:hAnsi="Cambria Math"/>
                          <w:lang w:val="en-MY"/>
                        </w:rPr>
                        <m:t>∀k</m:t>
                      </m:r>
                    </m:e>
                  </m:mr>
                </m:m>
              </m:oMath>
            </m:oMathPara>
          </w:p>
        </w:tc>
        <w:tc>
          <w:tcPr>
            <w:tcW w:w="800" w:type="dxa"/>
            <w:vAlign w:val="center"/>
          </w:tcPr>
          <w:p w14:paraId="4476372F" w14:textId="7889D2F4" w:rsidR="00284E14" w:rsidRPr="00B57B36" w:rsidRDefault="00284E14" w:rsidP="00284E14">
            <w:pPr>
              <w:pStyle w:val="CETEquation"/>
              <w:jc w:val="right"/>
            </w:pPr>
            <w:r>
              <w:t>(8)</w:t>
            </w:r>
          </w:p>
        </w:tc>
      </w:tr>
    </w:tbl>
    <w:p w14:paraId="5D89409E" w14:textId="6C901625" w:rsidR="001033AC" w:rsidRDefault="0002783E" w:rsidP="000C39EC">
      <w:pPr>
        <w:pStyle w:val="CETBodytext"/>
        <w:rPr>
          <w:lang w:val="en-MY"/>
        </w:rPr>
      </w:pPr>
      <w:r w:rsidRPr="00B31C0C">
        <w:rPr>
          <w:lang w:val="en-MY"/>
        </w:rPr>
        <w:t>The</w:t>
      </w:r>
      <w:r w:rsidR="000C39EC" w:rsidRPr="00B31C0C">
        <w:rPr>
          <w:lang w:val="en-MY"/>
        </w:rPr>
        <w:t xml:space="preserve"> objective</w:t>
      </w:r>
      <w:r w:rsidRPr="00B31C0C">
        <w:rPr>
          <w:lang w:val="en-MY"/>
        </w:rPr>
        <w:t xml:space="preserve"> of the model may be set to maximum reduction of risk, with </w:t>
      </w:r>
      <w:r w:rsidR="000C39EC" w:rsidRPr="00B31C0C">
        <w:rPr>
          <w:lang w:val="en-MY"/>
        </w:rPr>
        <w:t>additional constraints</w:t>
      </w:r>
      <w:r w:rsidR="000C39EC" w:rsidRPr="000C39EC">
        <w:rPr>
          <w:lang w:val="en-MY"/>
        </w:rPr>
        <w:t xml:space="preserve"> </w:t>
      </w:r>
      <w:r>
        <w:rPr>
          <w:lang w:val="en-MY"/>
        </w:rPr>
        <w:t>for different scenarios</w:t>
      </w:r>
      <w:r w:rsidR="000C39EC" w:rsidRPr="000C39EC">
        <w:rPr>
          <w:lang w:val="en-MY"/>
        </w:rPr>
        <w:t xml:space="preserve">. </w:t>
      </w:r>
      <w:r>
        <w:rPr>
          <w:lang w:val="en-MY"/>
        </w:rPr>
        <w:t xml:space="preserve">For a </w:t>
      </w:r>
      <w:r w:rsidR="000C39EC" w:rsidRPr="000C39EC">
        <w:rPr>
          <w:lang w:val="en-MY"/>
        </w:rPr>
        <w:t>MILP</w:t>
      </w:r>
      <w:r>
        <w:rPr>
          <w:lang w:val="en-MY"/>
        </w:rPr>
        <w:t xml:space="preserve"> model</w:t>
      </w:r>
      <w:r w:rsidR="000C39EC" w:rsidRPr="000C39EC">
        <w:rPr>
          <w:lang w:val="en-MY"/>
        </w:rPr>
        <w:t xml:space="preserve">, </w:t>
      </w:r>
      <w:r w:rsidR="008F0434" w:rsidRPr="00435B5B">
        <w:rPr>
          <w:color w:val="FF0000"/>
          <w:lang w:val="en-MY"/>
        </w:rPr>
        <w:t xml:space="preserve">finding </w:t>
      </w:r>
      <w:r w:rsidR="000C39EC" w:rsidRPr="000C39EC">
        <w:rPr>
          <w:lang w:val="en-MY"/>
        </w:rPr>
        <w:t>a global solution</w:t>
      </w:r>
      <w:r>
        <w:rPr>
          <w:lang w:val="en-MY"/>
        </w:rPr>
        <w:t xml:space="preserve"> </w:t>
      </w:r>
      <w:r w:rsidR="008F0434">
        <w:rPr>
          <w:lang w:val="en-MY"/>
        </w:rPr>
        <w:t xml:space="preserve">with a </w:t>
      </w:r>
      <w:r w:rsidR="008F0434" w:rsidRPr="00435B5B">
        <w:rPr>
          <w:color w:val="FF0000"/>
          <w:lang w:val="en-MY"/>
        </w:rPr>
        <w:t xml:space="preserve">branch-and-bound search </w:t>
      </w:r>
      <w:r>
        <w:rPr>
          <w:lang w:val="en-MY"/>
        </w:rPr>
        <w:t xml:space="preserve">is guaranteed </w:t>
      </w:r>
      <w:r w:rsidR="000C39EC" w:rsidRPr="000C39EC">
        <w:rPr>
          <w:lang w:val="en-MY"/>
        </w:rPr>
        <w:t>if one exists.</w:t>
      </w:r>
      <w:r>
        <w:rPr>
          <w:lang w:val="en-MY"/>
        </w:rPr>
        <w:t xml:space="preserve"> </w:t>
      </w:r>
      <w:r w:rsidR="000C39EC" w:rsidRPr="000C39EC">
        <w:rPr>
          <w:lang w:val="en-MY"/>
        </w:rPr>
        <w:t xml:space="preserve">Note that </w:t>
      </w:r>
      <w:r>
        <w:rPr>
          <w:lang w:val="en-MY"/>
        </w:rPr>
        <w:t xml:space="preserve">an added benefit is that, </w:t>
      </w:r>
      <w:r w:rsidR="000C39EC" w:rsidRPr="000C39EC">
        <w:rPr>
          <w:lang w:val="en-MY"/>
        </w:rPr>
        <w:t xml:space="preserve">the </w:t>
      </w:r>
      <w:r w:rsidR="00D660A7" w:rsidRPr="00D660A7">
        <w:rPr>
          <w:color w:val="FF0000"/>
          <w:lang w:val="en-MY"/>
        </w:rPr>
        <w:t>risk reduction</w:t>
      </w:r>
      <w:r w:rsidR="000C39EC" w:rsidRPr="00D660A7">
        <w:rPr>
          <w:color w:val="FF0000"/>
          <w:lang w:val="en-MY"/>
        </w:rPr>
        <w:t xml:space="preserve"> </w:t>
      </w:r>
      <w:r w:rsidR="000C39EC" w:rsidRPr="000C39EC">
        <w:rPr>
          <w:lang w:val="en-MY"/>
        </w:rPr>
        <w:t xml:space="preserve">cascade may be plotted against the cost cascade </w:t>
      </w:r>
      <w:r>
        <w:rPr>
          <w:lang w:val="en-MY"/>
        </w:rPr>
        <w:t xml:space="preserve">(columns 5 vs. column 7 in Figure 1) </w:t>
      </w:r>
      <w:r w:rsidR="000C39EC" w:rsidRPr="000C39EC">
        <w:rPr>
          <w:lang w:val="en-MY"/>
        </w:rPr>
        <w:t xml:space="preserve">to form </w:t>
      </w:r>
      <w:r>
        <w:rPr>
          <w:lang w:val="en-MY"/>
        </w:rPr>
        <w:t>a</w:t>
      </w:r>
      <w:r w:rsidR="000C39EC" w:rsidRPr="000C39EC">
        <w:rPr>
          <w:lang w:val="en-MY"/>
        </w:rPr>
        <w:t xml:space="preserve"> </w:t>
      </w:r>
      <w:r w:rsidRPr="001033AC">
        <w:rPr>
          <w:lang w:val="en-MY"/>
        </w:rPr>
        <w:t>risk</w:t>
      </w:r>
      <w:r w:rsidR="000C39EC" w:rsidRPr="001033AC">
        <w:rPr>
          <w:lang w:val="en-MY"/>
        </w:rPr>
        <w:t xml:space="preserve"> reduction composite curve</w:t>
      </w:r>
      <w:r w:rsidR="000C39EC" w:rsidRPr="000C39EC">
        <w:rPr>
          <w:lang w:val="en-MY"/>
        </w:rPr>
        <w:t xml:space="preserve">, </w:t>
      </w:r>
      <w:r>
        <w:rPr>
          <w:lang w:val="en-MY"/>
        </w:rPr>
        <w:t xml:space="preserve">a graphical tool that can </w:t>
      </w:r>
      <w:r w:rsidRPr="0002783E">
        <w:rPr>
          <w:lang w:val="en-MY"/>
        </w:rPr>
        <w:t>facilitate discussion among the project team members</w:t>
      </w:r>
      <w:r w:rsidR="000C39EC" w:rsidRPr="000C39EC">
        <w:rPr>
          <w:lang w:val="en-MY"/>
        </w:rPr>
        <w:t>.</w:t>
      </w:r>
      <w:r>
        <w:rPr>
          <w:lang w:val="en-MY"/>
        </w:rPr>
        <w:t xml:space="preserve"> </w:t>
      </w:r>
      <w:r w:rsidR="001033AC">
        <w:rPr>
          <w:lang w:val="en-MY"/>
        </w:rPr>
        <w:t xml:space="preserve">A generic form of the </w:t>
      </w:r>
      <w:r w:rsidR="001033AC" w:rsidRPr="001033AC">
        <w:rPr>
          <w:lang w:val="en-MY"/>
        </w:rPr>
        <w:t>risk reduction composite curve</w:t>
      </w:r>
      <w:r w:rsidR="001033AC">
        <w:rPr>
          <w:lang w:val="en-MY"/>
        </w:rPr>
        <w:t xml:space="preserve"> is shown in Figure 2. Note that in the latter, the </w:t>
      </w:r>
      <w:r w:rsidR="001033AC" w:rsidRPr="001033AC">
        <w:rPr>
          <w:lang w:val="en-MY"/>
        </w:rPr>
        <w:t>risk reduction composite curve</w:t>
      </w:r>
      <w:r w:rsidR="001033AC">
        <w:rPr>
          <w:lang w:val="en-MY"/>
        </w:rPr>
        <w:t xml:space="preserve"> is plotted with </w:t>
      </w:r>
      <w:r w:rsidR="00E05B31" w:rsidRPr="00E05B31">
        <w:rPr>
          <w:color w:val="FF0000"/>
          <w:lang w:val="en-MY"/>
        </w:rPr>
        <w:t>safety benefit</w:t>
      </w:r>
      <w:r w:rsidR="001033AC" w:rsidRPr="00E05B31">
        <w:rPr>
          <w:color w:val="FF0000"/>
          <w:lang w:val="en-MY"/>
        </w:rPr>
        <w:t xml:space="preserve"> versus CAPEX</w:t>
      </w:r>
      <w:r w:rsidR="001033AC">
        <w:rPr>
          <w:lang w:val="en-MY"/>
        </w:rPr>
        <w:t xml:space="preserve">, which takes a different form as that presented by Tan et al., (2016). The main idea is that, each segment in the </w:t>
      </w:r>
      <w:r w:rsidR="001033AC" w:rsidRPr="001033AC">
        <w:rPr>
          <w:lang w:val="en-MY"/>
        </w:rPr>
        <w:t>composite curve</w:t>
      </w:r>
      <w:r w:rsidR="001033AC">
        <w:rPr>
          <w:lang w:val="en-MY"/>
        </w:rPr>
        <w:t xml:space="preserve"> represents a safety initiative, where its CAPEX is given by the horizontal distance, whi</w:t>
      </w:r>
      <w:r w:rsidR="007C0D1A">
        <w:rPr>
          <w:lang w:val="en-MY"/>
        </w:rPr>
        <w:t>le</w:t>
      </w:r>
      <w:r w:rsidR="001033AC">
        <w:rPr>
          <w:lang w:val="en-MY"/>
        </w:rPr>
        <w:t xml:space="preserve"> the vertical distance </w:t>
      </w:r>
      <w:r w:rsidR="007C0D1A">
        <w:rPr>
          <w:lang w:val="en-MY"/>
        </w:rPr>
        <w:t xml:space="preserve">of the segment </w:t>
      </w:r>
      <w:r w:rsidR="001033AC">
        <w:rPr>
          <w:lang w:val="en-MY"/>
        </w:rPr>
        <w:t>represents its benefit</w:t>
      </w:r>
      <w:r w:rsidR="00D660A7" w:rsidRPr="00D660A7">
        <w:rPr>
          <w:color w:val="FF0000"/>
          <w:lang w:val="en-MY"/>
        </w:rPr>
        <w:t xml:space="preserve">. Note that safety benefit in </w:t>
      </w:r>
      <w:r w:rsidR="00D660A7">
        <w:rPr>
          <w:color w:val="FF0000"/>
          <w:lang w:val="en-MY"/>
        </w:rPr>
        <w:t xml:space="preserve">the </w:t>
      </w:r>
      <w:r w:rsidR="00D660A7" w:rsidRPr="00D660A7">
        <w:rPr>
          <w:color w:val="FF0000"/>
          <w:lang w:val="en-MY"/>
        </w:rPr>
        <w:t>risk reduction composite curve (Figure 2)</w:t>
      </w:r>
      <w:r w:rsidR="00D660A7">
        <w:rPr>
          <w:color w:val="FF0000"/>
          <w:lang w:val="en-MY"/>
        </w:rPr>
        <w:t xml:space="preserve"> may take different forms, such as </w:t>
      </w:r>
      <w:r w:rsidR="007C0D1A">
        <w:rPr>
          <w:lang w:val="en-MY"/>
        </w:rPr>
        <w:t>risk reduction, financial benefit</w:t>
      </w:r>
      <w:r w:rsidR="001033AC">
        <w:rPr>
          <w:lang w:val="en-MY"/>
        </w:rPr>
        <w:t xml:space="preserve"> </w:t>
      </w:r>
      <w:r w:rsidR="007C0D1A">
        <w:rPr>
          <w:lang w:val="en-MY"/>
        </w:rPr>
        <w:t>due to fatality reduction</w:t>
      </w:r>
      <w:r w:rsidR="00D660A7">
        <w:rPr>
          <w:lang w:val="en-MY"/>
        </w:rPr>
        <w:t xml:space="preserve"> </w:t>
      </w:r>
      <w:r w:rsidR="00D660A7" w:rsidRPr="00D660A7">
        <w:rPr>
          <w:color w:val="FF0000"/>
          <w:lang w:val="en-MY"/>
        </w:rPr>
        <w:t>(see Example that follows)</w:t>
      </w:r>
      <w:r w:rsidR="007C0D1A">
        <w:rPr>
          <w:lang w:val="en-MY"/>
        </w:rPr>
        <w:t xml:space="preserve">, etc. Hence, the </w:t>
      </w:r>
      <w:r w:rsidR="007C0D1A" w:rsidRPr="001033AC">
        <w:rPr>
          <w:lang w:val="en-MY"/>
        </w:rPr>
        <w:t>composite curve</w:t>
      </w:r>
      <w:r w:rsidR="007C0D1A">
        <w:rPr>
          <w:lang w:val="en-MY"/>
        </w:rPr>
        <w:t xml:space="preserve"> in Figure 2 is useful </w:t>
      </w:r>
      <w:r w:rsidR="001033AC">
        <w:rPr>
          <w:lang w:val="en-MY"/>
        </w:rPr>
        <w:t xml:space="preserve">to showcase </w:t>
      </w:r>
      <w:r w:rsidR="007C0D1A">
        <w:rPr>
          <w:lang w:val="en-MY"/>
        </w:rPr>
        <w:t>total</w:t>
      </w:r>
      <w:r w:rsidR="001033AC">
        <w:rPr>
          <w:lang w:val="en-MY"/>
        </w:rPr>
        <w:t xml:space="preserve"> risk reduction benefit </w:t>
      </w:r>
      <w:r w:rsidR="007C0D1A">
        <w:rPr>
          <w:lang w:val="en-MY"/>
        </w:rPr>
        <w:t xml:space="preserve">as </w:t>
      </w:r>
      <w:r w:rsidR="001033AC">
        <w:rPr>
          <w:lang w:val="en-MY"/>
        </w:rPr>
        <w:t>per capital investment</w:t>
      </w:r>
      <w:r w:rsidR="007C0D1A">
        <w:rPr>
          <w:lang w:val="en-MY"/>
        </w:rPr>
        <w:t>, with steeper slope representing safety initiative that is more cost effective (i.e. higher benefit as per CAPEX invested).</w:t>
      </w:r>
      <w:r w:rsidR="00A03937">
        <w:rPr>
          <w:lang w:val="en-MY"/>
        </w:rPr>
        <w:t xml:space="preserve"> For instance, project S1 in Figure 2 has higher safety benefit as compared to project S3, for the amount of CAPEX invested. </w:t>
      </w:r>
    </w:p>
    <w:p w14:paraId="6A50EAD8" w14:textId="77777777" w:rsidR="001033AC" w:rsidRDefault="001033AC" w:rsidP="000C39EC">
      <w:pPr>
        <w:pStyle w:val="CETBodytext"/>
        <w:rPr>
          <w:lang w:val="en-MY"/>
        </w:rPr>
      </w:pPr>
    </w:p>
    <w:p w14:paraId="014D0A44" w14:textId="30C957AA" w:rsidR="001033AC" w:rsidRDefault="00A03937" w:rsidP="000C39EC">
      <w:pPr>
        <w:pStyle w:val="CETBodytext"/>
        <w:rPr>
          <w:lang w:val="en-MY"/>
        </w:rPr>
      </w:pPr>
      <w:r>
        <w:rPr>
          <w:noProof/>
          <w:lang w:val="en-MY" w:eastAsia="zh-CN"/>
        </w:rPr>
        <w:drawing>
          <wp:inline distT="0" distB="0" distL="0" distR="0" wp14:anchorId="30ACEF5E" wp14:editId="6353EC44">
            <wp:extent cx="2286000" cy="17969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4653"/>
                    <a:stretch/>
                  </pic:blipFill>
                  <pic:spPr bwMode="auto">
                    <a:xfrm>
                      <a:off x="0" y="0"/>
                      <a:ext cx="2295273" cy="1804213"/>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0CE169EC" w14:textId="72187317" w:rsidR="001033AC" w:rsidRPr="00BD077D" w:rsidRDefault="001033AC" w:rsidP="001033AC">
      <w:pPr>
        <w:pStyle w:val="CETCaption"/>
      </w:pPr>
      <w:r w:rsidRPr="00BD077D">
        <w:rPr>
          <w:rStyle w:val="CETCaptionCarattere"/>
          <w:i/>
        </w:rPr>
        <w:t xml:space="preserve">Figure </w:t>
      </w:r>
      <w:r>
        <w:rPr>
          <w:rStyle w:val="CETCaptionCarattere"/>
          <w:i/>
        </w:rPr>
        <w:t>2</w:t>
      </w:r>
      <w:r w:rsidRPr="00BD077D">
        <w:rPr>
          <w:rStyle w:val="CETCaptionCarattere"/>
          <w:i/>
        </w:rPr>
        <w:t xml:space="preserve">: </w:t>
      </w:r>
      <w:r>
        <w:rPr>
          <w:rStyle w:val="CETCaptionCarattere"/>
          <w:i/>
        </w:rPr>
        <w:t xml:space="preserve">A generic </w:t>
      </w:r>
      <w:r w:rsidRPr="001033AC">
        <w:rPr>
          <w:lang w:val="en-MY"/>
        </w:rPr>
        <w:t>risk reduction composite curve</w:t>
      </w:r>
      <w:r>
        <w:rPr>
          <w:rStyle w:val="CETCaptionCarattere"/>
          <w:i/>
        </w:rPr>
        <w:t xml:space="preserve">. </w:t>
      </w:r>
      <w:r w:rsidRPr="00BD077D">
        <w:t xml:space="preserve"> </w:t>
      </w:r>
    </w:p>
    <w:p w14:paraId="20800306" w14:textId="2E05A2BD" w:rsidR="00A37793" w:rsidRDefault="00A37793" w:rsidP="000C39EC">
      <w:pPr>
        <w:pStyle w:val="CETBodytext"/>
        <w:rPr>
          <w:lang w:val="en-MY"/>
        </w:rPr>
      </w:pPr>
      <w:r>
        <w:rPr>
          <w:color w:val="FF0000"/>
          <w:lang w:val="en-GB"/>
        </w:rPr>
        <w:lastRenderedPageBreak/>
        <w:t xml:space="preserve">Note that this method has an important assumption, i.e. all </w:t>
      </w:r>
      <w:r w:rsidRPr="002B64B8">
        <w:rPr>
          <w:color w:val="FF0000"/>
          <w:lang w:val="en-GB"/>
        </w:rPr>
        <w:t>initiatives</w:t>
      </w:r>
      <w:r>
        <w:rPr>
          <w:color w:val="FF0000"/>
          <w:lang w:val="en-GB"/>
        </w:rPr>
        <w:t xml:space="preserve"> will lead to </w:t>
      </w:r>
      <w:r w:rsidRPr="002B64B8">
        <w:rPr>
          <w:color w:val="FF0000"/>
          <w:lang w:val="en-GB"/>
        </w:rPr>
        <w:t>risk reduction</w:t>
      </w:r>
      <w:r>
        <w:rPr>
          <w:color w:val="FF0000"/>
          <w:lang w:val="en-GB"/>
        </w:rPr>
        <w:t xml:space="preserve"> benefits that are </w:t>
      </w:r>
      <w:r w:rsidRPr="002B64B8">
        <w:rPr>
          <w:color w:val="FF0000"/>
          <w:lang w:val="en-GB"/>
        </w:rPr>
        <w:t>quantitative</w:t>
      </w:r>
      <w:r>
        <w:rPr>
          <w:color w:val="FF0000"/>
          <w:lang w:val="en-GB"/>
        </w:rPr>
        <w:t xml:space="preserve"> in nature. In most cases, risk reduction will avoid hazard incidents where losses may be quantified from financial benefits. </w:t>
      </w:r>
    </w:p>
    <w:p w14:paraId="5EDB1E61" w14:textId="0BA6FE8C" w:rsidR="000C39EC" w:rsidRPr="00B57B36" w:rsidRDefault="001033AC" w:rsidP="000C39EC">
      <w:pPr>
        <w:pStyle w:val="CETBodytext"/>
      </w:pPr>
      <w:r>
        <w:rPr>
          <w:lang w:val="en-MY"/>
        </w:rPr>
        <w:t>In the following section, a</w:t>
      </w:r>
      <w:r w:rsidR="000C39EC" w:rsidRPr="000C39EC">
        <w:rPr>
          <w:lang w:val="en-MY"/>
        </w:rPr>
        <w:t xml:space="preserve"> </w:t>
      </w:r>
      <w:r w:rsidR="000C39EC">
        <w:rPr>
          <w:lang w:val="en-MY"/>
        </w:rPr>
        <w:t>literature</w:t>
      </w:r>
      <w:r w:rsidR="000C39EC" w:rsidRPr="000C39EC">
        <w:rPr>
          <w:lang w:val="en-MY"/>
        </w:rPr>
        <w:t xml:space="preserve"> example </w:t>
      </w:r>
      <w:r w:rsidR="000C39EC">
        <w:rPr>
          <w:lang w:val="en-MY"/>
        </w:rPr>
        <w:t>is</w:t>
      </w:r>
      <w:r w:rsidR="000C39EC" w:rsidRPr="000C39EC">
        <w:rPr>
          <w:lang w:val="en-MY"/>
        </w:rPr>
        <w:t xml:space="preserve"> </w:t>
      </w:r>
      <w:r w:rsidR="0002783E">
        <w:rPr>
          <w:lang w:val="en-MY"/>
        </w:rPr>
        <w:t xml:space="preserve">next </w:t>
      </w:r>
      <w:r w:rsidR="000C39EC" w:rsidRPr="000C39EC">
        <w:rPr>
          <w:lang w:val="en-MY"/>
        </w:rPr>
        <w:t xml:space="preserve">used to </w:t>
      </w:r>
      <w:r w:rsidR="000C39EC">
        <w:rPr>
          <w:lang w:val="en-MY"/>
        </w:rPr>
        <w:t>elucidate</w:t>
      </w:r>
      <w:r w:rsidR="000C39EC" w:rsidRPr="000C39EC">
        <w:rPr>
          <w:lang w:val="en-MY"/>
        </w:rPr>
        <w:t xml:space="preserve"> </w:t>
      </w:r>
      <w:r w:rsidR="000C39EC">
        <w:rPr>
          <w:lang w:val="en-MY"/>
        </w:rPr>
        <w:t xml:space="preserve">how </w:t>
      </w:r>
      <w:r w:rsidR="000C39EC" w:rsidRPr="000C39EC">
        <w:rPr>
          <w:lang w:val="en-MY"/>
        </w:rPr>
        <w:t>the model</w:t>
      </w:r>
      <w:r w:rsidR="000C39EC">
        <w:rPr>
          <w:lang w:val="en-MY"/>
        </w:rPr>
        <w:t xml:space="preserve"> is used for optimal deployment of risk reduction systems</w:t>
      </w:r>
      <w:r w:rsidR="000C39EC" w:rsidRPr="000C39EC">
        <w:rPr>
          <w:lang w:val="en-MY"/>
        </w:rPr>
        <w:t xml:space="preserve">. </w:t>
      </w:r>
      <w:r w:rsidR="000C39EC">
        <w:rPr>
          <w:lang w:val="en-MY"/>
        </w:rPr>
        <w:t xml:space="preserve">A laptop with </w:t>
      </w:r>
      <w:r w:rsidR="000C39EC" w:rsidRPr="000C39EC">
        <w:rPr>
          <w:lang w:val="en-MY"/>
        </w:rPr>
        <w:t xml:space="preserve">Core i7 </w:t>
      </w:r>
      <w:r w:rsidR="000C39EC">
        <w:rPr>
          <w:lang w:val="en-MY"/>
        </w:rPr>
        <w:t>and</w:t>
      </w:r>
      <w:r w:rsidR="000C39EC" w:rsidRPr="000C39EC">
        <w:rPr>
          <w:lang w:val="en-MY"/>
        </w:rPr>
        <w:t xml:space="preserve"> 1.80 GHz processor</w:t>
      </w:r>
      <w:r w:rsidR="000C39EC">
        <w:rPr>
          <w:lang w:val="en-MY"/>
        </w:rPr>
        <w:t xml:space="preserve"> is used to solve</w:t>
      </w:r>
      <w:r w:rsidR="000C39EC" w:rsidRPr="000C39EC">
        <w:rPr>
          <w:lang w:val="en-MY"/>
        </w:rPr>
        <w:t xml:space="preserve"> the model using LINGO v16 (www.lindo.com)</w:t>
      </w:r>
      <w:r w:rsidR="00EB69A3">
        <w:rPr>
          <w:lang w:val="en-MY"/>
        </w:rPr>
        <w:t xml:space="preserve"> with negligible computing time.</w:t>
      </w:r>
    </w:p>
    <w:p w14:paraId="68D26B83" w14:textId="5307F5BB" w:rsidR="00600535" w:rsidRPr="002E7912" w:rsidRDefault="00F841E1" w:rsidP="00600535">
      <w:pPr>
        <w:pStyle w:val="CETHeading1"/>
        <w:rPr>
          <w:lang w:val="en-GB"/>
        </w:rPr>
      </w:pPr>
      <w:r w:rsidRPr="002E7912">
        <w:rPr>
          <w:lang w:val="en-GB"/>
        </w:rPr>
        <w:t>Example</w:t>
      </w:r>
    </w:p>
    <w:p w14:paraId="12F1E06C" w14:textId="7C1CF1A2" w:rsidR="00E114ED" w:rsidRPr="00DB31A8" w:rsidRDefault="00F841E1" w:rsidP="00E114ED">
      <w:pPr>
        <w:pStyle w:val="CETBodytext"/>
        <w:rPr>
          <w:lang w:val="en-GB"/>
        </w:rPr>
      </w:pPr>
      <w:r w:rsidRPr="002E7912">
        <w:rPr>
          <w:lang w:val="en-GB"/>
        </w:rPr>
        <w:t>A literature example</w:t>
      </w:r>
      <w:r w:rsidR="00E114ED" w:rsidRPr="002E7912">
        <w:t xml:space="preserve"> adapted from Antes et al. (2001)</w:t>
      </w:r>
      <w:r w:rsidRPr="002E7912">
        <w:rPr>
          <w:lang w:val="en-GB"/>
        </w:rPr>
        <w:t xml:space="preserve"> is used for </w:t>
      </w:r>
      <w:r w:rsidR="00E114ED" w:rsidRPr="002E7912">
        <w:rPr>
          <w:lang w:val="en-GB"/>
        </w:rPr>
        <w:t>elucidating the newly extended method. In this case, a company wishes to reduce personnel safety hazards and expected financial losses in their fired heaters through the implementation of safeguards. Apart from safety upgrades for their existing heaters, the company also looks into options to improving the design of new fired heaters. Since most safe</w:t>
      </w:r>
      <w:r w:rsidR="00E521F9">
        <w:rPr>
          <w:lang w:val="en-GB"/>
        </w:rPr>
        <w:t>ty</w:t>
      </w:r>
      <w:r w:rsidR="00E114ED" w:rsidRPr="002E7912">
        <w:rPr>
          <w:lang w:val="en-GB"/>
        </w:rPr>
        <w:t xml:space="preserve"> options are expensive, it is desired to identify the most cost-effective solutions for implementation. Besides, it is assumed that </w:t>
      </w:r>
      <w:r w:rsidR="003F383A" w:rsidRPr="00E05B31">
        <w:rPr>
          <w:color w:val="FF0000"/>
          <w:lang w:val="en-GB"/>
        </w:rPr>
        <w:t xml:space="preserve">CAPEX </w:t>
      </w:r>
      <w:r w:rsidR="00E114ED" w:rsidRPr="002E7912">
        <w:rPr>
          <w:lang w:val="en-GB"/>
        </w:rPr>
        <w:t>are made available across three years for the assessment of eleven projects; the latter are summarised in Table 1. As shown, every project has different</w:t>
      </w:r>
      <w:r w:rsidR="002E7912" w:rsidRPr="002E7912">
        <w:rPr>
          <w:lang w:val="en-GB"/>
        </w:rPr>
        <w:t xml:space="preserve"> annual</w:t>
      </w:r>
      <w:r w:rsidR="007E23D9">
        <w:rPr>
          <w:lang w:val="en-GB"/>
        </w:rPr>
        <w:t>ised</w:t>
      </w:r>
      <w:r w:rsidR="002E7912" w:rsidRPr="002E7912">
        <w:rPr>
          <w:lang w:val="en-GB"/>
        </w:rPr>
        <w:t xml:space="preserve"> cost and annual benefit; dividing the former with the latter yield the </w:t>
      </w:r>
      <w:r w:rsidR="007E23D9">
        <w:rPr>
          <w:lang w:val="en-GB"/>
        </w:rPr>
        <w:t>benefit-cost ratio</w:t>
      </w:r>
      <w:r w:rsidR="002E7912" w:rsidRPr="002E7912">
        <w:rPr>
          <w:lang w:val="en-GB"/>
        </w:rPr>
        <w:t xml:space="preserve"> given in the last column. </w:t>
      </w:r>
      <w:r w:rsidR="007E23D9">
        <w:rPr>
          <w:lang w:val="en-GB"/>
        </w:rPr>
        <w:t xml:space="preserve">Note that the benefit-cost ratio is treated as the </w:t>
      </w:r>
      <w:r w:rsidR="007E23D9" w:rsidRPr="00AD01B1">
        <w:rPr>
          <w:color w:val="FF0000"/>
          <w:lang w:val="en-GB"/>
        </w:rPr>
        <w:t>safety</w:t>
      </w:r>
      <w:r w:rsidR="00A04DD0" w:rsidRPr="00AD01B1">
        <w:rPr>
          <w:color w:val="FF0000"/>
          <w:lang w:val="en-GB"/>
        </w:rPr>
        <w:t>-</w:t>
      </w:r>
      <w:r w:rsidR="007E23D9" w:rsidRPr="00AD01B1">
        <w:rPr>
          <w:color w:val="FF0000"/>
          <w:lang w:val="en-GB"/>
        </w:rPr>
        <w:t xml:space="preserve"> intensity </w:t>
      </w:r>
      <w:r w:rsidR="007E23D9">
        <w:rPr>
          <w:lang w:val="en-GB"/>
        </w:rPr>
        <w:t>as described in the methodology section.</w:t>
      </w:r>
    </w:p>
    <w:p w14:paraId="3D4A206F" w14:textId="6BF02461" w:rsidR="00E114ED" w:rsidRPr="00B57B36" w:rsidRDefault="00E114ED" w:rsidP="00E114ED">
      <w:pPr>
        <w:pStyle w:val="CETTabletitle"/>
      </w:pPr>
      <w:r w:rsidRPr="00B57B36">
        <w:t xml:space="preserve">Table 1: </w:t>
      </w:r>
      <w:r w:rsidR="00F819CD">
        <w:t>Details of projects for example</w:t>
      </w:r>
      <w:r w:rsidR="0078338A">
        <w:t xml:space="preserve"> (</w:t>
      </w:r>
      <w:r w:rsidR="0078338A" w:rsidRPr="002E7912">
        <w:t>Antes et al., 2001)</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662"/>
        <w:gridCol w:w="1780"/>
        <w:gridCol w:w="1945"/>
      </w:tblGrid>
      <w:tr w:rsidR="00E114ED" w:rsidRPr="00B57B36" w14:paraId="4DF2084D" w14:textId="77777777" w:rsidTr="007E23D9">
        <w:tc>
          <w:tcPr>
            <w:tcW w:w="1134" w:type="dxa"/>
            <w:tcBorders>
              <w:top w:val="single" w:sz="12" w:space="0" w:color="008000"/>
              <w:bottom w:val="single" w:sz="6" w:space="0" w:color="008000"/>
            </w:tcBorders>
            <w:shd w:val="clear" w:color="auto" w:fill="FFFFFF"/>
          </w:tcPr>
          <w:p w14:paraId="5FCB271A" w14:textId="1C4E2E82" w:rsidR="00E114ED" w:rsidRPr="00B57B36" w:rsidRDefault="00E114ED" w:rsidP="007E23D9">
            <w:pPr>
              <w:pStyle w:val="CETBodytext"/>
              <w:jc w:val="left"/>
              <w:rPr>
                <w:lang w:val="en-GB"/>
              </w:rPr>
            </w:pPr>
            <w:r>
              <w:rPr>
                <w:lang w:val="en-GB"/>
              </w:rPr>
              <w:t xml:space="preserve">Project </w:t>
            </w:r>
            <w:r w:rsidRPr="00B57B36">
              <w:rPr>
                <w:lang w:val="en-GB"/>
              </w:rPr>
              <w:t xml:space="preserve"> </w:t>
            </w:r>
          </w:p>
        </w:tc>
        <w:tc>
          <w:tcPr>
            <w:tcW w:w="1662" w:type="dxa"/>
            <w:tcBorders>
              <w:top w:val="single" w:sz="12" w:space="0" w:color="008000"/>
              <w:bottom w:val="single" w:sz="6" w:space="0" w:color="008000"/>
            </w:tcBorders>
            <w:shd w:val="clear" w:color="auto" w:fill="FFFFFF"/>
          </w:tcPr>
          <w:p w14:paraId="1CC9F1F3" w14:textId="54B8197A" w:rsidR="00E114ED" w:rsidRPr="00B57B36" w:rsidRDefault="00E114ED" w:rsidP="007E23D9">
            <w:pPr>
              <w:pStyle w:val="CETBodytext"/>
              <w:jc w:val="left"/>
              <w:rPr>
                <w:lang w:val="en-GB"/>
              </w:rPr>
            </w:pPr>
            <w:r>
              <w:rPr>
                <w:lang w:val="en-GB"/>
              </w:rPr>
              <w:t>Annual benefit ($/y)</w:t>
            </w:r>
          </w:p>
        </w:tc>
        <w:tc>
          <w:tcPr>
            <w:tcW w:w="1780" w:type="dxa"/>
            <w:tcBorders>
              <w:top w:val="single" w:sz="12" w:space="0" w:color="008000"/>
              <w:bottom w:val="single" w:sz="6" w:space="0" w:color="008000"/>
            </w:tcBorders>
            <w:shd w:val="clear" w:color="auto" w:fill="FFFFFF"/>
          </w:tcPr>
          <w:p w14:paraId="73495606" w14:textId="1E567BCB" w:rsidR="00E114ED" w:rsidRPr="00B57B36" w:rsidRDefault="00E114ED" w:rsidP="007E23D9">
            <w:pPr>
              <w:pStyle w:val="CETBodytext"/>
              <w:ind w:right="-1"/>
              <w:jc w:val="left"/>
              <w:rPr>
                <w:rFonts w:cs="Arial"/>
                <w:szCs w:val="18"/>
                <w:lang w:val="en-GB"/>
              </w:rPr>
            </w:pPr>
            <w:r>
              <w:rPr>
                <w:lang w:val="en-GB"/>
              </w:rPr>
              <w:t>Annual</w:t>
            </w:r>
            <w:r w:rsidR="003F383A">
              <w:rPr>
                <w:lang w:val="en-GB"/>
              </w:rPr>
              <w:t>ised</w:t>
            </w:r>
            <w:r>
              <w:rPr>
                <w:lang w:val="en-GB"/>
              </w:rPr>
              <w:t xml:space="preserve"> cost ($/y)</w:t>
            </w:r>
          </w:p>
        </w:tc>
        <w:tc>
          <w:tcPr>
            <w:tcW w:w="1945" w:type="dxa"/>
            <w:tcBorders>
              <w:top w:val="single" w:sz="12" w:space="0" w:color="008000"/>
              <w:bottom w:val="single" w:sz="6" w:space="0" w:color="008000"/>
            </w:tcBorders>
            <w:shd w:val="clear" w:color="auto" w:fill="FFFFFF"/>
          </w:tcPr>
          <w:p w14:paraId="5F7606DC" w14:textId="5C01B7DF" w:rsidR="00E114ED" w:rsidRPr="00B57B36" w:rsidRDefault="007E23D9" w:rsidP="007E23D9">
            <w:pPr>
              <w:pStyle w:val="CETBodytext"/>
              <w:ind w:right="-1"/>
              <w:jc w:val="left"/>
              <w:rPr>
                <w:rFonts w:cs="Arial"/>
                <w:szCs w:val="18"/>
                <w:lang w:val="en-GB"/>
              </w:rPr>
            </w:pPr>
            <w:r>
              <w:rPr>
                <w:rFonts w:cs="Arial"/>
                <w:szCs w:val="18"/>
                <w:lang w:val="en-GB"/>
              </w:rPr>
              <w:t>Benefit-cost ratio</w:t>
            </w:r>
            <w:r w:rsidR="00E114ED">
              <w:rPr>
                <w:rFonts w:cs="Arial"/>
                <w:szCs w:val="18"/>
                <w:lang w:val="en-GB"/>
              </w:rPr>
              <w:t xml:space="preserve"> ($/$)</w:t>
            </w:r>
          </w:p>
        </w:tc>
      </w:tr>
      <w:tr w:rsidR="00E114ED" w:rsidRPr="00B57B36" w14:paraId="585CD7AD" w14:textId="77777777" w:rsidTr="007E23D9">
        <w:tc>
          <w:tcPr>
            <w:tcW w:w="1134" w:type="dxa"/>
            <w:shd w:val="clear" w:color="auto" w:fill="FFFFFF"/>
          </w:tcPr>
          <w:p w14:paraId="59355EC4" w14:textId="59077A6A" w:rsidR="00E114ED" w:rsidRPr="00B57B36" w:rsidRDefault="00E114ED" w:rsidP="007E23D9">
            <w:pPr>
              <w:pStyle w:val="CETBodytext"/>
              <w:jc w:val="left"/>
              <w:rPr>
                <w:lang w:val="en-GB"/>
              </w:rPr>
            </w:pPr>
            <w:r>
              <w:rPr>
                <w:lang w:val="en-GB"/>
              </w:rPr>
              <w:t>P1</w:t>
            </w:r>
          </w:p>
        </w:tc>
        <w:tc>
          <w:tcPr>
            <w:tcW w:w="1662" w:type="dxa"/>
            <w:shd w:val="clear" w:color="auto" w:fill="FFFFFF"/>
          </w:tcPr>
          <w:p w14:paraId="46DBBF02" w14:textId="741A5F26" w:rsidR="00E114ED" w:rsidRPr="00B57B36" w:rsidRDefault="00E114ED" w:rsidP="007E23D9">
            <w:pPr>
              <w:pStyle w:val="CETBodytext"/>
              <w:jc w:val="left"/>
              <w:rPr>
                <w:lang w:val="en-GB"/>
              </w:rPr>
            </w:pPr>
            <w:r w:rsidRPr="00853BD7">
              <w:t>24</w:t>
            </w:r>
            <w:r w:rsidR="00E521F9">
              <w:t>,</w:t>
            </w:r>
            <w:r w:rsidRPr="00853BD7">
              <w:t>000</w:t>
            </w:r>
          </w:p>
        </w:tc>
        <w:tc>
          <w:tcPr>
            <w:tcW w:w="1780" w:type="dxa"/>
            <w:shd w:val="clear" w:color="auto" w:fill="FFFFFF"/>
          </w:tcPr>
          <w:p w14:paraId="364D7A1D" w14:textId="0E6CDBE1" w:rsidR="00E114ED" w:rsidRPr="003C0FF7" w:rsidRDefault="00E114ED" w:rsidP="007E23D9">
            <w:pPr>
              <w:pStyle w:val="CETBodytext"/>
              <w:ind w:right="-1"/>
              <w:jc w:val="left"/>
              <w:rPr>
                <w:rFonts w:cs="Arial"/>
                <w:szCs w:val="18"/>
                <w:lang w:val="en-GB"/>
              </w:rPr>
            </w:pPr>
            <w:r w:rsidRPr="003C0FF7">
              <w:t>1</w:t>
            </w:r>
            <w:r w:rsidR="00E521F9" w:rsidRPr="003C0FF7">
              <w:t>,</w:t>
            </w:r>
            <w:r w:rsidRPr="003C0FF7">
              <w:t>000</w:t>
            </w:r>
          </w:p>
        </w:tc>
        <w:tc>
          <w:tcPr>
            <w:tcW w:w="1945" w:type="dxa"/>
            <w:shd w:val="clear" w:color="auto" w:fill="FFFFFF"/>
          </w:tcPr>
          <w:p w14:paraId="55527B9B" w14:textId="7C8426D7" w:rsidR="00E114ED" w:rsidRPr="00B57B36" w:rsidRDefault="00E114ED" w:rsidP="007E23D9">
            <w:pPr>
              <w:pStyle w:val="CETBodytext"/>
              <w:ind w:right="-1"/>
              <w:jc w:val="left"/>
              <w:rPr>
                <w:rFonts w:cs="Arial"/>
                <w:szCs w:val="18"/>
                <w:lang w:val="en-GB"/>
              </w:rPr>
            </w:pPr>
            <w:r w:rsidRPr="00080FD5">
              <w:t>24.000</w:t>
            </w:r>
          </w:p>
        </w:tc>
      </w:tr>
      <w:tr w:rsidR="00E114ED" w:rsidRPr="00B57B36" w14:paraId="6996AE39" w14:textId="77777777" w:rsidTr="007E23D9">
        <w:tc>
          <w:tcPr>
            <w:tcW w:w="1134" w:type="dxa"/>
            <w:shd w:val="clear" w:color="auto" w:fill="FFFFFF"/>
          </w:tcPr>
          <w:p w14:paraId="4AEF8043" w14:textId="7B8A9658" w:rsidR="00E114ED" w:rsidRPr="00B57B36" w:rsidRDefault="00E114ED" w:rsidP="007E23D9">
            <w:pPr>
              <w:pStyle w:val="CETBodytext"/>
              <w:ind w:right="-1"/>
              <w:jc w:val="left"/>
              <w:rPr>
                <w:rFonts w:cs="Arial"/>
                <w:szCs w:val="18"/>
                <w:lang w:val="en-GB"/>
              </w:rPr>
            </w:pPr>
            <w:r>
              <w:rPr>
                <w:lang w:val="en-GB"/>
              </w:rPr>
              <w:t>P2</w:t>
            </w:r>
          </w:p>
        </w:tc>
        <w:tc>
          <w:tcPr>
            <w:tcW w:w="1662" w:type="dxa"/>
            <w:shd w:val="clear" w:color="auto" w:fill="FFFFFF"/>
          </w:tcPr>
          <w:p w14:paraId="44133A96" w14:textId="32C117A3" w:rsidR="00E114ED" w:rsidRPr="00B57B36" w:rsidRDefault="00E114ED" w:rsidP="007E23D9">
            <w:pPr>
              <w:pStyle w:val="CETBodytext"/>
              <w:ind w:right="-1"/>
              <w:jc w:val="left"/>
              <w:rPr>
                <w:rFonts w:cs="Arial"/>
                <w:szCs w:val="18"/>
                <w:lang w:val="en-GB"/>
              </w:rPr>
            </w:pPr>
            <w:r w:rsidRPr="00853BD7">
              <w:t>5</w:t>
            </w:r>
            <w:r w:rsidR="00E521F9">
              <w:t>,</w:t>
            </w:r>
            <w:r w:rsidRPr="00853BD7">
              <w:t>300</w:t>
            </w:r>
          </w:p>
        </w:tc>
        <w:tc>
          <w:tcPr>
            <w:tcW w:w="1780" w:type="dxa"/>
            <w:shd w:val="clear" w:color="auto" w:fill="FFFFFF"/>
          </w:tcPr>
          <w:p w14:paraId="2077915F" w14:textId="003E2762" w:rsidR="00E114ED" w:rsidRPr="003C0FF7" w:rsidRDefault="00E114ED" w:rsidP="007E23D9">
            <w:pPr>
              <w:pStyle w:val="CETBodytext"/>
              <w:ind w:right="-1"/>
              <w:jc w:val="left"/>
              <w:rPr>
                <w:rFonts w:cs="Arial"/>
                <w:szCs w:val="18"/>
                <w:lang w:val="en-GB"/>
              </w:rPr>
            </w:pPr>
            <w:r w:rsidRPr="003C0FF7">
              <w:t>700</w:t>
            </w:r>
          </w:p>
        </w:tc>
        <w:tc>
          <w:tcPr>
            <w:tcW w:w="1945" w:type="dxa"/>
            <w:shd w:val="clear" w:color="auto" w:fill="FFFFFF"/>
          </w:tcPr>
          <w:p w14:paraId="2610B258" w14:textId="74D302B5" w:rsidR="00E114ED" w:rsidRPr="00B57B36" w:rsidRDefault="00E114ED" w:rsidP="007E23D9">
            <w:pPr>
              <w:pStyle w:val="CETBodytext"/>
              <w:ind w:right="-1"/>
              <w:jc w:val="left"/>
              <w:rPr>
                <w:rFonts w:cs="Arial"/>
                <w:szCs w:val="18"/>
                <w:lang w:val="en-GB"/>
              </w:rPr>
            </w:pPr>
            <w:r w:rsidRPr="00080FD5">
              <w:t>7.571</w:t>
            </w:r>
          </w:p>
        </w:tc>
      </w:tr>
      <w:tr w:rsidR="00E114ED" w:rsidRPr="00B57B36" w14:paraId="77537044" w14:textId="77777777" w:rsidTr="007E23D9">
        <w:tc>
          <w:tcPr>
            <w:tcW w:w="1134" w:type="dxa"/>
            <w:shd w:val="clear" w:color="auto" w:fill="FFFFFF"/>
          </w:tcPr>
          <w:p w14:paraId="54A6B781" w14:textId="31FEB73C" w:rsidR="00E114ED" w:rsidRPr="00B57B36" w:rsidRDefault="00E114ED" w:rsidP="007E23D9">
            <w:pPr>
              <w:pStyle w:val="CETBodytext"/>
              <w:ind w:right="-1"/>
              <w:jc w:val="left"/>
              <w:rPr>
                <w:rFonts w:cs="Arial"/>
                <w:szCs w:val="18"/>
                <w:lang w:val="en-GB"/>
              </w:rPr>
            </w:pPr>
            <w:r>
              <w:rPr>
                <w:lang w:val="en-GB"/>
              </w:rPr>
              <w:t>P3</w:t>
            </w:r>
          </w:p>
        </w:tc>
        <w:tc>
          <w:tcPr>
            <w:tcW w:w="1662" w:type="dxa"/>
            <w:shd w:val="clear" w:color="auto" w:fill="FFFFFF"/>
          </w:tcPr>
          <w:p w14:paraId="20D016DD" w14:textId="34B4922C" w:rsidR="00E114ED" w:rsidRPr="00B57B36" w:rsidRDefault="00E114ED" w:rsidP="007E23D9">
            <w:pPr>
              <w:pStyle w:val="CETBodytext"/>
              <w:ind w:right="-1"/>
              <w:jc w:val="left"/>
              <w:rPr>
                <w:rFonts w:cs="Arial"/>
                <w:szCs w:val="18"/>
                <w:lang w:val="en-GB"/>
              </w:rPr>
            </w:pPr>
            <w:r w:rsidRPr="00853BD7">
              <w:t>49</w:t>
            </w:r>
            <w:r w:rsidR="00E521F9">
              <w:t>,</w:t>
            </w:r>
            <w:r w:rsidRPr="00853BD7">
              <w:t>000</w:t>
            </w:r>
          </w:p>
        </w:tc>
        <w:tc>
          <w:tcPr>
            <w:tcW w:w="1780" w:type="dxa"/>
            <w:shd w:val="clear" w:color="auto" w:fill="FFFFFF"/>
          </w:tcPr>
          <w:p w14:paraId="1B2381C3" w14:textId="013BFAD1" w:rsidR="00E114ED" w:rsidRPr="003C0FF7" w:rsidRDefault="00E114ED" w:rsidP="007E23D9">
            <w:pPr>
              <w:pStyle w:val="CETBodytext"/>
              <w:ind w:right="-1"/>
              <w:jc w:val="left"/>
              <w:rPr>
                <w:rFonts w:cs="Arial"/>
                <w:szCs w:val="18"/>
                <w:lang w:val="en-GB"/>
              </w:rPr>
            </w:pPr>
            <w:r w:rsidRPr="003C0FF7">
              <w:t>19</w:t>
            </w:r>
            <w:r w:rsidR="00E521F9" w:rsidRPr="003C0FF7">
              <w:t>,</w:t>
            </w:r>
            <w:r w:rsidRPr="003C0FF7">
              <w:t>300</w:t>
            </w:r>
          </w:p>
        </w:tc>
        <w:tc>
          <w:tcPr>
            <w:tcW w:w="1945" w:type="dxa"/>
            <w:shd w:val="clear" w:color="auto" w:fill="FFFFFF"/>
          </w:tcPr>
          <w:p w14:paraId="3C35CF03" w14:textId="5E1BDCA7" w:rsidR="00E114ED" w:rsidRPr="00B57B36" w:rsidRDefault="00E114ED" w:rsidP="007E23D9">
            <w:pPr>
              <w:pStyle w:val="CETBodytext"/>
              <w:ind w:right="-1"/>
              <w:jc w:val="left"/>
              <w:rPr>
                <w:rFonts w:cs="Arial"/>
                <w:szCs w:val="18"/>
                <w:lang w:val="en-GB"/>
              </w:rPr>
            </w:pPr>
            <w:r w:rsidRPr="00080FD5">
              <w:t>2.539</w:t>
            </w:r>
          </w:p>
        </w:tc>
      </w:tr>
      <w:tr w:rsidR="00E114ED" w:rsidRPr="00B57B36" w14:paraId="6894A69D" w14:textId="77777777" w:rsidTr="007E23D9">
        <w:tc>
          <w:tcPr>
            <w:tcW w:w="1134" w:type="dxa"/>
            <w:shd w:val="clear" w:color="auto" w:fill="FFFFFF"/>
          </w:tcPr>
          <w:p w14:paraId="00359B2C" w14:textId="3DAC6680" w:rsidR="00E114ED" w:rsidRPr="00B57B36" w:rsidRDefault="00E114ED" w:rsidP="007E23D9">
            <w:pPr>
              <w:pStyle w:val="CETBodytext"/>
              <w:ind w:right="-1"/>
              <w:jc w:val="left"/>
              <w:rPr>
                <w:rFonts w:cs="Arial"/>
                <w:szCs w:val="18"/>
                <w:lang w:val="en-GB"/>
              </w:rPr>
            </w:pPr>
            <w:r>
              <w:rPr>
                <w:lang w:val="en-GB"/>
              </w:rPr>
              <w:t>P4</w:t>
            </w:r>
          </w:p>
        </w:tc>
        <w:tc>
          <w:tcPr>
            <w:tcW w:w="1662" w:type="dxa"/>
            <w:shd w:val="clear" w:color="auto" w:fill="FFFFFF"/>
          </w:tcPr>
          <w:p w14:paraId="16F56C2F" w14:textId="0E58602E" w:rsidR="00E114ED" w:rsidRPr="00B57B36" w:rsidRDefault="00E114ED" w:rsidP="007E23D9">
            <w:pPr>
              <w:pStyle w:val="CETBodytext"/>
              <w:ind w:right="-1"/>
              <w:jc w:val="left"/>
              <w:rPr>
                <w:rFonts w:cs="Arial"/>
                <w:szCs w:val="18"/>
                <w:lang w:val="en-GB"/>
              </w:rPr>
            </w:pPr>
            <w:r w:rsidRPr="00853BD7">
              <w:t>1</w:t>
            </w:r>
            <w:r w:rsidR="00E521F9">
              <w:t>,</w:t>
            </w:r>
            <w:r w:rsidRPr="00853BD7">
              <w:t>500</w:t>
            </w:r>
          </w:p>
        </w:tc>
        <w:tc>
          <w:tcPr>
            <w:tcW w:w="1780" w:type="dxa"/>
            <w:shd w:val="clear" w:color="auto" w:fill="FFFFFF"/>
          </w:tcPr>
          <w:p w14:paraId="6FE246F2" w14:textId="2E3BAA3F" w:rsidR="00E114ED" w:rsidRPr="003C0FF7" w:rsidRDefault="00E114ED" w:rsidP="007E23D9">
            <w:pPr>
              <w:pStyle w:val="CETBodytext"/>
              <w:ind w:right="-1"/>
              <w:jc w:val="left"/>
              <w:rPr>
                <w:rFonts w:cs="Arial"/>
                <w:szCs w:val="18"/>
                <w:lang w:val="en-GB"/>
              </w:rPr>
            </w:pPr>
            <w:r w:rsidRPr="003C0FF7">
              <w:t>700</w:t>
            </w:r>
          </w:p>
        </w:tc>
        <w:tc>
          <w:tcPr>
            <w:tcW w:w="1945" w:type="dxa"/>
            <w:shd w:val="clear" w:color="auto" w:fill="FFFFFF"/>
          </w:tcPr>
          <w:p w14:paraId="56C898A4" w14:textId="6DECD918" w:rsidR="00E114ED" w:rsidRPr="00B57B36" w:rsidRDefault="00E114ED" w:rsidP="007E23D9">
            <w:pPr>
              <w:pStyle w:val="CETBodytext"/>
              <w:ind w:right="-1"/>
              <w:jc w:val="left"/>
              <w:rPr>
                <w:rFonts w:cs="Arial"/>
                <w:szCs w:val="18"/>
                <w:lang w:val="en-GB"/>
              </w:rPr>
            </w:pPr>
            <w:r w:rsidRPr="00080FD5">
              <w:t>2.143</w:t>
            </w:r>
          </w:p>
        </w:tc>
      </w:tr>
      <w:tr w:rsidR="00E114ED" w:rsidRPr="00B57B36" w14:paraId="0EA1222B" w14:textId="77777777" w:rsidTr="007E23D9">
        <w:tc>
          <w:tcPr>
            <w:tcW w:w="1134" w:type="dxa"/>
            <w:shd w:val="clear" w:color="auto" w:fill="FFFFFF"/>
          </w:tcPr>
          <w:p w14:paraId="29C8C97A" w14:textId="3FA1B06B" w:rsidR="00E114ED" w:rsidRPr="00B57B36" w:rsidRDefault="00E114ED" w:rsidP="007E23D9">
            <w:pPr>
              <w:pStyle w:val="CETBodytext"/>
              <w:ind w:right="-1"/>
              <w:jc w:val="left"/>
              <w:rPr>
                <w:rFonts w:cs="Arial"/>
                <w:szCs w:val="18"/>
                <w:lang w:val="en-GB"/>
              </w:rPr>
            </w:pPr>
            <w:r>
              <w:rPr>
                <w:lang w:val="en-GB"/>
              </w:rPr>
              <w:t>P5</w:t>
            </w:r>
          </w:p>
        </w:tc>
        <w:tc>
          <w:tcPr>
            <w:tcW w:w="1662" w:type="dxa"/>
            <w:shd w:val="clear" w:color="auto" w:fill="FFFFFF"/>
          </w:tcPr>
          <w:p w14:paraId="2E599D95" w14:textId="6F6E6F0B" w:rsidR="00E114ED" w:rsidRPr="00B57B36" w:rsidRDefault="00E114ED" w:rsidP="007E23D9">
            <w:pPr>
              <w:pStyle w:val="CETBodytext"/>
              <w:ind w:right="-1"/>
              <w:jc w:val="left"/>
              <w:rPr>
                <w:rFonts w:cs="Arial"/>
                <w:szCs w:val="18"/>
                <w:lang w:val="en-GB"/>
              </w:rPr>
            </w:pPr>
            <w:r w:rsidRPr="00853BD7">
              <w:t>3</w:t>
            </w:r>
            <w:r w:rsidR="00E521F9">
              <w:t>,</w:t>
            </w:r>
            <w:r w:rsidRPr="00853BD7">
              <w:t>700</w:t>
            </w:r>
          </w:p>
        </w:tc>
        <w:tc>
          <w:tcPr>
            <w:tcW w:w="1780" w:type="dxa"/>
            <w:shd w:val="clear" w:color="auto" w:fill="FFFFFF"/>
          </w:tcPr>
          <w:p w14:paraId="252ADDF6" w14:textId="7511E09D" w:rsidR="00E114ED" w:rsidRPr="003C0FF7" w:rsidRDefault="00E114ED" w:rsidP="007E23D9">
            <w:pPr>
              <w:pStyle w:val="CETBodytext"/>
              <w:ind w:right="-1"/>
              <w:jc w:val="left"/>
              <w:rPr>
                <w:rFonts w:cs="Arial"/>
                <w:szCs w:val="18"/>
                <w:lang w:val="en-GB"/>
              </w:rPr>
            </w:pPr>
            <w:r w:rsidRPr="003C0FF7">
              <w:t>1</w:t>
            </w:r>
            <w:r w:rsidR="00E521F9" w:rsidRPr="003C0FF7">
              <w:t>,</w:t>
            </w:r>
            <w:r w:rsidRPr="003C0FF7">
              <w:t>900</w:t>
            </w:r>
          </w:p>
        </w:tc>
        <w:tc>
          <w:tcPr>
            <w:tcW w:w="1945" w:type="dxa"/>
            <w:shd w:val="clear" w:color="auto" w:fill="FFFFFF"/>
          </w:tcPr>
          <w:p w14:paraId="7891DB90" w14:textId="3251532C" w:rsidR="00E114ED" w:rsidRPr="00B57B36" w:rsidRDefault="00E114ED" w:rsidP="007E23D9">
            <w:pPr>
              <w:pStyle w:val="CETBodytext"/>
              <w:ind w:right="-1"/>
              <w:jc w:val="left"/>
              <w:rPr>
                <w:rFonts w:cs="Arial"/>
                <w:szCs w:val="18"/>
                <w:lang w:val="en-GB"/>
              </w:rPr>
            </w:pPr>
            <w:r w:rsidRPr="00080FD5">
              <w:t>1.947</w:t>
            </w:r>
          </w:p>
        </w:tc>
      </w:tr>
      <w:tr w:rsidR="00E114ED" w:rsidRPr="00B57B36" w14:paraId="61B5D613" w14:textId="77777777" w:rsidTr="007E23D9">
        <w:tc>
          <w:tcPr>
            <w:tcW w:w="1134" w:type="dxa"/>
            <w:shd w:val="clear" w:color="auto" w:fill="FFFFFF"/>
          </w:tcPr>
          <w:p w14:paraId="3385E9C6" w14:textId="6D5815E7" w:rsidR="00E114ED" w:rsidRPr="00B57B36" w:rsidRDefault="00E114ED" w:rsidP="007E23D9">
            <w:pPr>
              <w:pStyle w:val="CETBodytext"/>
              <w:ind w:right="-1"/>
              <w:jc w:val="left"/>
              <w:rPr>
                <w:rFonts w:cs="Arial"/>
                <w:szCs w:val="18"/>
                <w:lang w:val="en-GB"/>
              </w:rPr>
            </w:pPr>
            <w:r>
              <w:rPr>
                <w:lang w:val="en-GB"/>
              </w:rPr>
              <w:t>P6</w:t>
            </w:r>
          </w:p>
        </w:tc>
        <w:tc>
          <w:tcPr>
            <w:tcW w:w="1662" w:type="dxa"/>
            <w:shd w:val="clear" w:color="auto" w:fill="FFFFFF"/>
          </w:tcPr>
          <w:p w14:paraId="5C1585FE" w14:textId="7AA6EAE2" w:rsidR="00E114ED" w:rsidRPr="00B57B36" w:rsidRDefault="00E114ED" w:rsidP="007E23D9">
            <w:pPr>
              <w:pStyle w:val="CETBodytext"/>
              <w:ind w:right="-1"/>
              <w:jc w:val="left"/>
              <w:rPr>
                <w:rFonts w:cs="Arial"/>
                <w:szCs w:val="18"/>
                <w:lang w:val="en-GB"/>
              </w:rPr>
            </w:pPr>
            <w:r w:rsidRPr="00853BD7">
              <w:t>53</w:t>
            </w:r>
            <w:r w:rsidR="00E521F9">
              <w:t>,</w:t>
            </w:r>
            <w:r w:rsidRPr="00853BD7">
              <w:t>000</w:t>
            </w:r>
          </w:p>
        </w:tc>
        <w:tc>
          <w:tcPr>
            <w:tcW w:w="1780" w:type="dxa"/>
            <w:shd w:val="clear" w:color="auto" w:fill="FFFFFF"/>
          </w:tcPr>
          <w:p w14:paraId="1BF87580" w14:textId="49E2EC2F" w:rsidR="00E114ED" w:rsidRPr="003C0FF7" w:rsidRDefault="00E114ED" w:rsidP="007E23D9">
            <w:pPr>
              <w:pStyle w:val="CETBodytext"/>
              <w:ind w:right="-1"/>
              <w:jc w:val="left"/>
              <w:rPr>
                <w:rFonts w:cs="Arial"/>
                <w:szCs w:val="18"/>
                <w:lang w:val="en-GB"/>
              </w:rPr>
            </w:pPr>
            <w:r w:rsidRPr="003C0FF7">
              <w:t>32</w:t>
            </w:r>
            <w:r w:rsidR="00E521F9" w:rsidRPr="003C0FF7">
              <w:t>,</w:t>
            </w:r>
            <w:r w:rsidRPr="003C0FF7">
              <w:t>900</w:t>
            </w:r>
          </w:p>
        </w:tc>
        <w:tc>
          <w:tcPr>
            <w:tcW w:w="1945" w:type="dxa"/>
            <w:shd w:val="clear" w:color="auto" w:fill="FFFFFF"/>
          </w:tcPr>
          <w:p w14:paraId="25C06A2C" w14:textId="74F096B9" w:rsidR="00E114ED" w:rsidRPr="00B57B36" w:rsidRDefault="00E114ED" w:rsidP="007E23D9">
            <w:pPr>
              <w:pStyle w:val="CETBodytext"/>
              <w:ind w:right="-1"/>
              <w:jc w:val="left"/>
              <w:rPr>
                <w:rFonts w:cs="Arial"/>
                <w:szCs w:val="18"/>
                <w:lang w:val="en-GB"/>
              </w:rPr>
            </w:pPr>
            <w:r w:rsidRPr="00080FD5">
              <w:t>1.611</w:t>
            </w:r>
          </w:p>
        </w:tc>
      </w:tr>
      <w:tr w:rsidR="00E114ED" w:rsidRPr="00B57B36" w14:paraId="7E244A9A" w14:textId="77777777" w:rsidTr="007E23D9">
        <w:tc>
          <w:tcPr>
            <w:tcW w:w="1134" w:type="dxa"/>
            <w:shd w:val="clear" w:color="auto" w:fill="FFFFFF"/>
          </w:tcPr>
          <w:p w14:paraId="17E28AAB" w14:textId="13E8EF38" w:rsidR="00E114ED" w:rsidRPr="00B57B36" w:rsidRDefault="00E114ED" w:rsidP="007E23D9">
            <w:pPr>
              <w:pStyle w:val="CETBodytext"/>
              <w:ind w:right="-1"/>
              <w:jc w:val="left"/>
              <w:rPr>
                <w:rFonts w:cs="Arial"/>
                <w:szCs w:val="18"/>
                <w:lang w:val="en-GB"/>
              </w:rPr>
            </w:pPr>
            <w:r>
              <w:rPr>
                <w:lang w:val="en-GB"/>
              </w:rPr>
              <w:t>P7</w:t>
            </w:r>
          </w:p>
        </w:tc>
        <w:tc>
          <w:tcPr>
            <w:tcW w:w="1662" w:type="dxa"/>
            <w:shd w:val="clear" w:color="auto" w:fill="FFFFFF"/>
          </w:tcPr>
          <w:p w14:paraId="7A8FE918" w14:textId="787009EB" w:rsidR="00E114ED" w:rsidRPr="00B57B36" w:rsidRDefault="00E114ED" w:rsidP="007E23D9">
            <w:pPr>
              <w:pStyle w:val="CETBodytext"/>
              <w:ind w:right="-1"/>
              <w:jc w:val="left"/>
              <w:rPr>
                <w:rFonts w:cs="Arial"/>
                <w:szCs w:val="18"/>
                <w:lang w:val="en-GB"/>
              </w:rPr>
            </w:pPr>
            <w:r w:rsidRPr="00853BD7">
              <w:t>420</w:t>
            </w:r>
          </w:p>
        </w:tc>
        <w:tc>
          <w:tcPr>
            <w:tcW w:w="1780" w:type="dxa"/>
            <w:shd w:val="clear" w:color="auto" w:fill="FFFFFF"/>
          </w:tcPr>
          <w:p w14:paraId="7F6C4577" w14:textId="04CB8231" w:rsidR="00E114ED" w:rsidRPr="003C0FF7" w:rsidRDefault="00E114ED" w:rsidP="007E23D9">
            <w:pPr>
              <w:pStyle w:val="CETBodytext"/>
              <w:ind w:right="-1"/>
              <w:jc w:val="left"/>
              <w:rPr>
                <w:rFonts w:cs="Arial"/>
                <w:szCs w:val="18"/>
                <w:lang w:val="en-GB"/>
              </w:rPr>
            </w:pPr>
            <w:r w:rsidRPr="003C0FF7">
              <w:t>700</w:t>
            </w:r>
          </w:p>
        </w:tc>
        <w:tc>
          <w:tcPr>
            <w:tcW w:w="1945" w:type="dxa"/>
            <w:shd w:val="clear" w:color="auto" w:fill="FFFFFF"/>
          </w:tcPr>
          <w:p w14:paraId="77B1E17C" w14:textId="4CD32BF2" w:rsidR="00E114ED" w:rsidRPr="00B57B36" w:rsidRDefault="00E114ED" w:rsidP="007E23D9">
            <w:pPr>
              <w:pStyle w:val="CETBodytext"/>
              <w:ind w:right="-1"/>
              <w:jc w:val="left"/>
              <w:rPr>
                <w:rFonts w:cs="Arial"/>
                <w:szCs w:val="18"/>
                <w:lang w:val="en-GB"/>
              </w:rPr>
            </w:pPr>
            <w:r w:rsidRPr="00080FD5">
              <w:t>0.600</w:t>
            </w:r>
          </w:p>
        </w:tc>
      </w:tr>
      <w:tr w:rsidR="00E114ED" w:rsidRPr="00B57B36" w14:paraId="7EC96496" w14:textId="77777777" w:rsidTr="007E23D9">
        <w:tc>
          <w:tcPr>
            <w:tcW w:w="1134" w:type="dxa"/>
            <w:shd w:val="clear" w:color="auto" w:fill="FFFFFF"/>
          </w:tcPr>
          <w:p w14:paraId="0BDB9C03" w14:textId="54B6EB38" w:rsidR="00E114ED" w:rsidRPr="00B57B36" w:rsidRDefault="00E114ED" w:rsidP="007E23D9">
            <w:pPr>
              <w:pStyle w:val="CETBodytext"/>
              <w:ind w:right="-1"/>
              <w:jc w:val="left"/>
              <w:rPr>
                <w:rFonts w:cs="Arial"/>
                <w:szCs w:val="18"/>
                <w:lang w:val="en-GB"/>
              </w:rPr>
            </w:pPr>
            <w:r>
              <w:rPr>
                <w:lang w:val="en-GB"/>
              </w:rPr>
              <w:t>P8</w:t>
            </w:r>
          </w:p>
        </w:tc>
        <w:tc>
          <w:tcPr>
            <w:tcW w:w="1662" w:type="dxa"/>
            <w:shd w:val="clear" w:color="auto" w:fill="FFFFFF"/>
          </w:tcPr>
          <w:p w14:paraId="37F296AC" w14:textId="708DE3E6" w:rsidR="00E114ED" w:rsidRPr="00B57B36" w:rsidRDefault="00E114ED" w:rsidP="007E23D9">
            <w:pPr>
              <w:pStyle w:val="CETBodytext"/>
              <w:ind w:right="-1"/>
              <w:jc w:val="left"/>
              <w:rPr>
                <w:rFonts w:cs="Arial"/>
                <w:szCs w:val="18"/>
                <w:lang w:val="en-GB"/>
              </w:rPr>
            </w:pPr>
            <w:r w:rsidRPr="00853BD7">
              <w:t>14</w:t>
            </w:r>
            <w:r w:rsidR="00E521F9">
              <w:t>,</w:t>
            </w:r>
            <w:r w:rsidRPr="00853BD7">
              <w:t>000</w:t>
            </w:r>
          </w:p>
        </w:tc>
        <w:tc>
          <w:tcPr>
            <w:tcW w:w="1780" w:type="dxa"/>
            <w:shd w:val="clear" w:color="auto" w:fill="FFFFFF"/>
          </w:tcPr>
          <w:p w14:paraId="680FC29F" w14:textId="218BA3EA" w:rsidR="00E114ED" w:rsidRPr="003C0FF7" w:rsidRDefault="00E114ED" w:rsidP="007E23D9">
            <w:pPr>
              <w:pStyle w:val="CETBodytext"/>
              <w:ind w:right="-1"/>
              <w:jc w:val="left"/>
              <w:rPr>
                <w:rFonts w:cs="Arial"/>
                <w:szCs w:val="18"/>
                <w:lang w:val="en-GB"/>
              </w:rPr>
            </w:pPr>
            <w:r w:rsidRPr="003C0FF7">
              <w:t>49</w:t>
            </w:r>
            <w:r w:rsidR="00E521F9" w:rsidRPr="003C0FF7">
              <w:t>,</w:t>
            </w:r>
            <w:r w:rsidRPr="003C0FF7">
              <w:t>900</w:t>
            </w:r>
          </w:p>
        </w:tc>
        <w:tc>
          <w:tcPr>
            <w:tcW w:w="1945" w:type="dxa"/>
            <w:shd w:val="clear" w:color="auto" w:fill="FFFFFF"/>
          </w:tcPr>
          <w:p w14:paraId="3FAA2E92" w14:textId="5C49BCC0" w:rsidR="00E114ED" w:rsidRPr="00B57B36" w:rsidRDefault="00E114ED" w:rsidP="007E23D9">
            <w:pPr>
              <w:pStyle w:val="CETBodytext"/>
              <w:ind w:right="-1"/>
              <w:jc w:val="left"/>
              <w:rPr>
                <w:rFonts w:cs="Arial"/>
                <w:szCs w:val="18"/>
                <w:lang w:val="en-GB"/>
              </w:rPr>
            </w:pPr>
            <w:r w:rsidRPr="00080FD5">
              <w:t>0.281</w:t>
            </w:r>
          </w:p>
        </w:tc>
      </w:tr>
      <w:tr w:rsidR="00E114ED" w:rsidRPr="00B57B36" w14:paraId="53648430" w14:textId="77777777" w:rsidTr="007E23D9">
        <w:tc>
          <w:tcPr>
            <w:tcW w:w="1134" w:type="dxa"/>
            <w:shd w:val="clear" w:color="auto" w:fill="FFFFFF"/>
          </w:tcPr>
          <w:p w14:paraId="3039632B" w14:textId="4F37B8B7" w:rsidR="00E114ED" w:rsidRDefault="00E114ED" w:rsidP="007E23D9">
            <w:pPr>
              <w:pStyle w:val="CETBodytext"/>
              <w:ind w:right="-1"/>
              <w:jc w:val="left"/>
              <w:rPr>
                <w:lang w:val="en-GB"/>
              </w:rPr>
            </w:pPr>
            <w:r>
              <w:rPr>
                <w:lang w:val="en-GB"/>
              </w:rPr>
              <w:t>P9</w:t>
            </w:r>
          </w:p>
        </w:tc>
        <w:tc>
          <w:tcPr>
            <w:tcW w:w="1662" w:type="dxa"/>
            <w:shd w:val="clear" w:color="auto" w:fill="FFFFFF"/>
          </w:tcPr>
          <w:p w14:paraId="222E7DD0" w14:textId="22E85415" w:rsidR="00E114ED" w:rsidRPr="00B57B36" w:rsidRDefault="00E114ED" w:rsidP="007E23D9">
            <w:pPr>
              <w:pStyle w:val="CETBodytext"/>
              <w:ind w:right="-1"/>
              <w:jc w:val="left"/>
              <w:rPr>
                <w:rFonts w:cs="Arial"/>
                <w:szCs w:val="18"/>
                <w:lang w:val="en-GB"/>
              </w:rPr>
            </w:pPr>
            <w:r w:rsidRPr="00853BD7">
              <w:t>14</w:t>
            </w:r>
          </w:p>
        </w:tc>
        <w:tc>
          <w:tcPr>
            <w:tcW w:w="1780" w:type="dxa"/>
            <w:shd w:val="clear" w:color="auto" w:fill="FFFFFF"/>
          </w:tcPr>
          <w:p w14:paraId="1C626E84" w14:textId="6CAA7C1E" w:rsidR="00E114ED" w:rsidRPr="003C0FF7" w:rsidRDefault="00E114ED" w:rsidP="007E23D9">
            <w:pPr>
              <w:pStyle w:val="CETBodytext"/>
              <w:ind w:right="-1"/>
              <w:jc w:val="left"/>
              <w:rPr>
                <w:rFonts w:cs="Arial"/>
                <w:szCs w:val="18"/>
                <w:lang w:val="en-GB"/>
              </w:rPr>
            </w:pPr>
            <w:r w:rsidRPr="003C0FF7">
              <w:t>700</w:t>
            </w:r>
          </w:p>
        </w:tc>
        <w:tc>
          <w:tcPr>
            <w:tcW w:w="1945" w:type="dxa"/>
            <w:shd w:val="clear" w:color="auto" w:fill="FFFFFF"/>
          </w:tcPr>
          <w:p w14:paraId="073690FA" w14:textId="13DB09CA" w:rsidR="00E114ED" w:rsidRPr="00B57B36" w:rsidRDefault="00E114ED" w:rsidP="007E23D9">
            <w:pPr>
              <w:pStyle w:val="CETBodytext"/>
              <w:ind w:right="-1"/>
              <w:jc w:val="left"/>
              <w:rPr>
                <w:rFonts w:cs="Arial"/>
                <w:szCs w:val="18"/>
                <w:lang w:val="en-GB"/>
              </w:rPr>
            </w:pPr>
            <w:r w:rsidRPr="00080FD5">
              <w:t>0.020</w:t>
            </w:r>
          </w:p>
        </w:tc>
      </w:tr>
      <w:tr w:rsidR="00E114ED" w:rsidRPr="00B57B36" w14:paraId="042FCE0F" w14:textId="77777777" w:rsidTr="007E23D9">
        <w:tc>
          <w:tcPr>
            <w:tcW w:w="1134" w:type="dxa"/>
            <w:shd w:val="clear" w:color="auto" w:fill="FFFFFF"/>
          </w:tcPr>
          <w:p w14:paraId="522FF636" w14:textId="12E3A860" w:rsidR="00E114ED" w:rsidRDefault="00E114ED" w:rsidP="007E23D9">
            <w:pPr>
              <w:pStyle w:val="CETBodytext"/>
              <w:ind w:right="-1"/>
              <w:jc w:val="left"/>
              <w:rPr>
                <w:lang w:val="en-GB"/>
              </w:rPr>
            </w:pPr>
            <w:r>
              <w:rPr>
                <w:lang w:val="en-GB"/>
              </w:rPr>
              <w:t>P10</w:t>
            </w:r>
          </w:p>
        </w:tc>
        <w:tc>
          <w:tcPr>
            <w:tcW w:w="1662" w:type="dxa"/>
            <w:shd w:val="clear" w:color="auto" w:fill="FFFFFF"/>
          </w:tcPr>
          <w:p w14:paraId="6A5168C0" w14:textId="45EE5CCE" w:rsidR="00E114ED" w:rsidRPr="00B57B36" w:rsidRDefault="00E114ED" w:rsidP="007E23D9">
            <w:pPr>
              <w:pStyle w:val="CETBodytext"/>
              <w:ind w:right="-1"/>
              <w:jc w:val="left"/>
              <w:rPr>
                <w:rFonts w:cs="Arial"/>
                <w:szCs w:val="18"/>
                <w:lang w:val="en-GB"/>
              </w:rPr>
            </w:pPr>
            <w:r w:rsidRPr="00853BD7">
              <w:t>13</w:t>
            </w:r>
          </w:p>
        </w:tc>
        <w:tc>
          <w:tcPr>
            <w:tcW w:w="1780" w:type="dxa"/>
            <w:shd w:val="clear" w:color="auto" w:fill="FFFFFF"/>
          </w:tcPr>
          <w:p w14:paraId="1CFFC774" w14:textId="636873DF" w:rsidR="00E114ED" w:rsidRPr="003C0FF7" w:rsidRDefault="00E114ED" w:rsidP="007E23D9">
            <w:pPr>
              <w:pStyle w:val="CETBodytext"/>
              <w:ind w:right="-1"/>
              <w:jc w:val="left"/>
              <w:rPr>
                <w:rFonts w:cs="Arial"/>
                <w:szCs w:val="18"/>
                <w:lang w:val="en-GB"/>
              </w:rPr>
            </w:pPr>
            <w:r w:rsidRPr="003C0FF7">
              <w:t>700</w:t>
            </w:r>
          </w:p>
        </w:tc>
        <w:tc>
          <w:tcPr>
            <w:tcW w:w="1945" w:type="dxa"/>
            <w:shd w:val="clear" w:color="auto" w:fill="FFFFFF"/>
          </w:tcPr>
          <w:p w14:paraId="1B937D04" w14:textId="55133D68" w:rsidR="00E114ED" w:rsidRPr="00B57B36" w:rsidRDefault="00E114ED" w:rsidP="007E23D9">
            <w:pPr>
              <w:pStyle w:val="CETBodytext"/>
              <w:ind w:right="-1"/>
              <w:jc w:val="left"/>
              <w:rPr>
                <w:rFonts w:cs="Arial"/>
                <w:szCs w:val="18"/>
                <w:lang w:val="en-GB"/>
              </w:rPr>
            </w:pPr>
            <w:r w:rsidRPr="00080FD5">
              <w:t>0.019</w:t>
            </w:r>
          </w:p>
        </w:tc>
      </w:tr>
      <w:tr w:rsidR="00E114ED" w:rsidRPr="00B57B36" w14:paraId="5E1173A0" w14:textId="77777777" w:rsidTr="007E23D9">
        <w:tc>
          <w:tcPr>
            <w:tcW w:w="1134" w:type="dxa"/>
            <w:shd w:val="clear" w:color="auto" w:fill="FFFFFF"/>
          </w:tcPr>
          <w:p w14:paraId="0F24CE9F" w14:textId="7B59433A" w:rsidR="00E114ED" w:rsidRPr="00B57B36" w:rsidRDefault="00E114ED" w:rsidP="007E23D9">
            <w:pPr>
              <w:pStyle w:val="CETBodytext"/>
              <w:ind w:right="-1"/>
              <w:jc w:val="left"/>
              <w:rPr>
                <w:rFonts w:cs="Arial"/>
                <w:szCs w:val="18"/>
                <w:lang w:val="en-GB"/>
              </w:rPr>
            </w:pPr>
            <w:r>
              <w:rPr>
                <w:rFonts w:cs="Arial"/>
                <w:szCs w:val="18"/>
                <w:lang w:val="en-GB"/>
              </w:rPr>
              <w:t>P11</w:t>
            </w:r>
          </w:p>
        </w:tc>
        <w:tc>
          <w:tcPr>
            <w:tcW w:w="1662" w:type="dxa"/>
            <w:shd w:val="clear" w:color="auto" w:fill="FFFFFF"/>
          </w:tcPr>
          <w:p w14:paraId="53F34D7D" w14:textId="646B26FF" w:rsidR="00E114ED" w:rsidRPr="00B57B36" w:rsidRDefault="00E114ED" w:rsidP="007E23D9">
            <w:pPr>
              <w:pStyle w:val="CETBodytext"/>
              <w:ind w:right="-1"/>
              <w:jc w:val="left"/>
              <w:rPr>
                <w:rFonts w:cs="Arial"/>
                <w:szCs w:val="18"/>
                <w:lang w:val="en-GB"/>
              </w:rPr>
            </w:pPr>
            <w:r w:rsidRPr="00853BD7">
              <w:t>1</w:t>
            </w:r>
          </w:p>
        </w:tc>
        <w:tc>
          <w:tcPr>
            <w:tcW w:w="1780" w:type="dxa"/>
            <w:shd w:val="clear" w:color="auto" w:fill="FFFFFF"/>
          </w:tcPr>
          <w:p w14:paraId="7156D8A7" w14:textId="39321E49" w:rsidR="00E114ED" w:rsidRPr="003C0FF7" w:rsidRDefault="00E114ED" w:rsidP="007E23D9">
            <w:pPr>
              <w:pStyle w:val="CETBodytext"/>
              <w:ind w:right="-1"/>
              <w:jc w:val="left"/>
              <w:rPr>
                <w:rFonts w:cs="Arial"/>
                <w:szCs w:val="18"/>
                <w:lang w:val="en-GB"/>
              </w:rPr>
            </w:pPr>
            <w:r w:rsidRPr="003C0FF7">
              <w:t>700</w:t>
            </w:r>
          </w:p>
        </w:tc>
        <w:tc>
          <w:tcPr>
            <w:tcW w:w="1945" w:type="dxa"/>
            <w:shd w:val="clear" w:color="auto" w:fill="FFFFFF"/>
          </w:tcPr>
          <w:p w14:paraId="2BC2750E" w14:textId="5E27B35E" w:rsidR="00E114ED" w:rsidRPr="00B57B36" w:rsidRDefault="00E114ED" w:rsidP="007E23D9">
            <w:pPr>
              <w:pStyle w:val="CETBodytext"/>
              <w:ind w:right="-1"/>
              <w:jc w:val="left"/>
              <w:rPr>
                <w:rFonts w:cs="Arial"/>
                <w:szCs w:val="18"/>
                <w:lang w:val="en-GB"/>
              </w:rPr>
            </w:pPr>
            <w:r w:rsidRPr="00080FD5">
              <w:t>0.001</w:t>
            </w:r>
          </w:p>
        </w:tc>
      </w:tr>
      <w:tr w:rsidR="00E114ED" w:rsidRPr="00B57B36" w14:paraId="1E1911B8" w14:textId="77777777" w:rsidTr="007E23D9">
        <w:tc>
          <w:tcPr>
            <w:tcW w:w="1134" w:type="dxa"/>
            <w:shd w:val="clear" w:color="auto" w:fill="FFFFFF"/>
          </w:tcPr>
          <w:p w14:paraId="78E60511" w14:textId="578087F1" w:rsidR="00E114ED" w:rsidRPr="00B57B36" w:rsidRDefault="00E114ED" w:rsidP="007E23D9">
            <w:pPr>
              <w:pStyle w:val="CETBodytext"/>
              <w:ind w:right="-1"/>
              <w:jc w:val="left"/>
              <w:rPr>
                <w:rFonts w:cs="Arial"/>
                <w:szCs w:val="18"/>
                <w:lang w:val="en-GB"/>
              </w:rPr>
            </w:pPr>
            <w:r>
              <w:rPr>
                <w:lang w:val="en-GB"/>
              </w:rPr>
              <w:t>P12</w:t>
            </w:r>
          </w:p>
        </w:tc>
        <w:tc>
          <w:tcPr>
            <w:tcW w:w="1662" w:type="dxa"/>
            <w:shd w:val="clear" w:color="auto" w:fill="FFFFFF"/>
          </w:tcPr>
          <w:p w14:paraId="266512B2" w14:textId="7DC3EE82" w:rsidR="00E114ED" w:rsidRPr="00B57B36" w:rsidRDefault="00E114ED" w:rsidP="007E23D9">
            <w:pPr>
              <w:pStyle w:val="CETBodytext"/>
              <w:ind w:right="-1"/>
              <w:jc w:val="left"/>
              <w:rPr>
                <w:rFonts w:cs="Arial"/>
                <w:szCs w:val="18"/>
                <w:lang w:val="en-GB"/>
              </w:rPr>
            </w:pPr>
            <w:r>
              <w:t>8</w:t>
            </w:r>
          </w:p>
        </w:tc>
        <w:tc>
          <w:tcPr>
            <w:tcW w:w="1780" w:type="dxa"/>
            <w:shd w:val="clear" w:color="auto" w:fill="FFFFFF"/>
          </w:tcPr>
          <w:p w14:paraId="704AECD1" w14:textId="051BFD83" w:rsidR="00E114ED" w:rsidRPr="003C0FF7" w:rsidRDefault="00E114ED" w:rsidP="007E23D9">
            <w:pPr>
              <w:pStyle w:val="CETBodytext"/>
              <w:ind w:right="-1"/>
              <w:jc w:val="left"/>
              <w:rPr>
                <w:rFonts w:cs="Arial"/>
                <w:szCs w:val="18"/>
                <w:lang w:val="en-GB"/>
              </w:rPr>
            </w:pPr>
            <w:r w:rsidRPr="003C0FF7">
              <w:t>27</w:t>
            </w:r>
            <w:r w:rsidR="00E521F9" w:rsidRPr="003C0FF7">
              <w:t>,</w:t>
            </w:r>
            <w:r w:rsidRPr="003C0FF7">
              <w:t>200</w:t>
            </w:r>
          </w:p>
        </w:tc>
        <w:tc>
          <w:tcPr>
            <w:tcW w:w="1945" w:type="dxa"/>
            <w:shd w:val="clear" w:color="auto" w:fill="FFFFFF"/>
          </w:tcPr>
          <w:p w14:paraId="056C12C7" w14:textId="34190F44" w:rsidR="00E114ED" w:rsidRPr="00B57B36" w:rsidRDefault="00E114ED" w:rsidP="007E23D9">
            <w:pPr>
              <w:pStyle w:val="CETBodytext"/>
              <w:ind w:right="-1"/>
              <w:jc w:val="left"/>
              <w:rPr>
                <w:rFonts w:cs="Arial"/>
                <w:szCs w:val="18"/>
                <w:lang w:val="en-GB"/>
              </w:rPr>
            </w:pPr>
            <w:r w:rsidRPr="00080FD5">
              <w:t>0.0003</w:t>
            </w:r>
          </w:p>
        </w:tc>
      </w:tr>
      <w:tr w:rsidR="00E114ED" w:rsidRPr="00B57B36" w14:paraId="2E2CC563" w14:textId="77777777" w:rsidTr="007E23D9">
        <w:tc>
          <w:tcPr>
            <w:tcW w:w="1134" w:type="dxa"/>
            <w:shd w:val="clear" w:color="auto" w:fill="FFFFFF"/>
          </w:tcPr>
          <w:p w14:paraId="4D20746C" w14:textId="4D872B62" w:rsidR="00E114ED" w:rsidRPr="00B57B36" w:rsidRDefault="00E114ED" w:rsidP="007E23D9">
            <w:pPr>
              <w:pStyle w:val="CETBodytext"/>
              <w:ind w:right="-1"/>
              <w:jc w:val="left"/>
              <w:rPr>
                <w:rFonts w:cs="Arial"/>
                <w:szCs w:val="18"/>
                <w:lang w:val="en-GB"/>
              </w:rPr>
            </w:pPr>
            <w:r>
              <w:rPr>
                <w:rFonts w:cs="Arial"/>
                <w:szCs w:val="18"/>
                <w:lang w:val="en-GB"/>
              </w:rPr>
              <w:t>P13</w:t>
            </w:r>
          </w:p>
        </w:tc>
        <w:tc>
          <w:tcPr>
            <w:tcW w:w="1662" w:type="dxa"/>
            <w:shd w:val="clear" w:color="auto" w:fill="FFFFFF"/>
          </w:tcPr>
          <w:p w14:paraId="03B52833" w14:textId="60A1E451" w:rsidR="00E114ED" w:rsidRPr="00B57B36" w:rsidRDefault="00E114ED" w:rsidP="007E23D9">
            <w:pPr>
              <w:pStyle w:val="CETBodytext"/>
              <w:ind w:right="-1"/>
              <w:jc w:val="left"/>
              <w:rPr>
                <w:rFonts w:cs="Arial"/>
                <w:szCs w:val="18"/>
                <w:lang w:val="en-GB"/>
              </w:rPr>
            </w:pPr>
            <w:r>
              <w:t>0.</w:t>
            </w:r>
            <w:r w:rsidRPr="00853BD7">
              <w:t>1</w:t>
            </w:r>
          </w:p>
        </w:tc>
        <w:tc>
          <w:tcPr>
            <w:tcW w:w="1780" w:type="dxa"/>
            <w:shd w:val="clear" w:color="auto" w:fill="FFFFFF"/>
          </w:tcPr>
          <w:p w14:paraId="3B19357C" w14:textId="1DD9323B" w:rsidR="00E114ED" w:rsidRPr="003C0FF7" w:rsidRDefault="00E114ED" w:rsidP="007E23D9">
            <w:pPr>
              <w:pStyle w:val="CETBodytext"/>
              <w:ind w:right="-1"/>
              <w:jc w:val="left"/>
              <w:rPr>
                <w:rFonts w:cs="Arial"/>
                <w:szCs w:val="18"/>
                <w:lang w:val="en-GB"/>
              </w:rPr>
            </w:pPr>
            <w:r w:rsidRPr="003C0FF7">
              <w:t>1</w:t>
            </w:r>
            <w:r w:rsidR="00E521F9" w:rsidRPr="003C0FF7">
              <w:t>,</w:t>
            </w:r>
            <w:r w:rsidRPr="003C0FF7">
              <w:t>600</w:t>
            </w:r>
          </w:p>
        </w:tc>
        <w:tc>
          <w:tcPr>
            <w:tcW w:w="1945" w:type="dxa"/>
            <w:shd w:val="clear" w:color="auto" w:fill="FFFFFF"/>
          </w:tcPr>
          <w:p w14:paraId="5125B20F" w14:textId="406B6FAE" w:rsidR="00E114ED" w:rsidRPr="00B57B36" w:rsidRDefault="00E114ED" w:rsidP="007E23D9">
            <w:pPr>
              <w:pStyle w:val="CETBodytext"/>
              <w:ind w:right="-1"/>
              <w:jc w:val="left"/>
              <w:rPr>
                <w:rFonts w:cs="Arial"/>
                <w:szCs w:val="18"/>
                <w:lang w:val="en-GB"/>
              </w:rPr>
            </w:pPr>
            <w:r w:rsidRPr="00080FD5">
              <w:t>0.0001</w:t>
            </w:r>
          </w:p>
        </w:tc>
      </w:tr>
    </w:tbl>
    <w:p w14:paraId="04F4C585" w14:textId="74EA2A00" w:rsidR="00E114ED" w:rsidRDefault="00E114ED" w:rsidP="00E114ED">
      <w:pPr>
        <w:pStyle w:val="CETBodytext"/>
        <w:rPr>
          <w:rFonts w:eastAsiaTheme="minorEastAsia"/>
          <w:color w:val="FF0000"/>
          <w:lang w:val="en-GB" w:eastAsia="zh-CN"/>
        </w:rPr>
      </w:pPr>
    </w:p>
    <w:p w14:paraId="143AA6E2" w14:textId="655665C8" w:rsidR="00E114ED" w:rsidRDefault="003F383A" w:rsidP="00E114ED">
      <w:pPr>
        <w:pStyle w:val="CETBodytext"/>
        <w:rPr>
          <w:rFonts w:eastAsiaTheme="minorEastAsia"/>
          <w:lang w:val="en-GB" w:eastAsia="zh-CN"/>
        </w:rPr>
      </w:pPr>
      <w:r w:rsidRPr="003F383A">
        <w:rPr>
          <w:rFonts w:eastAsiaTheme="minorEastAsia"/>
          <w:lang w:val="en-GB" w:eastAsia="zh-CN"/>
        </w:rPr>
        <w:t>In s</w:t>
      </w:r>
      <w:r w:rsidR="00E114ED" w:rsidRPr="003F383A">
        <w:rPr>
          <w:rFonts w:eastAsiaTheme="minorEastAsia"/>
          <w:lang w:val="en-GB" w:eastAsia="zh-CN"/>
        </w:rPr>
        <w:t>cenario 1</w:t>
      </w:r>
      <w:r w:rsidRPr="003F383A">
        <w:rPr>
          <w:rFonts w:eastAsiaTheme="minorEastAsia"/>
          <w:lang w:val="en-GB" w:eastAsia="zh-CN"/>
        </w:rPr>
        <w:t xml:space="preserve">, it is assumed that annualised </w:t>
      </w:r>
      <w:r w:rsidR="00165312">
        <w:rPr>
          <w:rFonts w:eastAsiaTheme="minorEastAsia"/>
          <w:lang w:val="en-GB" w:eastAsia="zh-CN"/>
        </w:rPr>
        <w:t>costs</w:t>
      </w:r>
      <w:r w:rsidR="00165312" w:rsidRPr="003F383A">
        <w:rPr>
          <w:rFonts w:eastAsiaTheme="minorEastAsia"/>
          <w:lang w:val="en-GB" w:eastAsia="zh-CN"/>
        </w:rPr>
        <w:t xml:space="preserve"> </w:t>
      </w:r>
      <w:r w:rsidRPr="003F383A">
        <w:rPr>
          <w:rFonts w:eastAsiaTheme="minorEastAsia"/>
          <w:lang w:val="en-GB" w:eastAsia="zh-CN"/>
        </w:rPr>
        <w:t xml:space="preserve">of </w:t>
      </w:r>
      <w:r w:rsidR="00165312">
        <w:rPr>
          <w:rFonts w:eastAsiaTheme="minorEastAsia"/>
          <w:lang w:val="en-GB" w:eastAsia="zh-CN"/>
        </w:rPr>
        <w:t>2</w:t>
      </w:r>
      <w:r w:rsidR="00EB69A3">
        <w:rPr>
          <w:rFonts w:eastAsiaTheme="minorEastAsia"/>
          <w:lang w:val="en-GB" w:eastAsia="zh-CN"/>
        </w:rPr>
        <w:t>,</w:t>
      </w:r>
      <w:r w:rsidR="00165312">
        <w:rPr>
          <w:rFonts w:eastAsiaTheme="minorEastAsia"/>
          <w:lang w:val="en-GB" w:eastAsia="zh-CN"/>
        </w:rPr>
        <w:t>000, 3</w:t>
      </w:r>
      <w:r w:rsidR="00EB69A3">
        <w:rPr>
          <w:rFonts w:eastAsiaTheme="minorEastAsia"/>
          <w:lang w:val="en-GB" w:eastAsia="zh-CN"/>
        </w:rPr>
        <w:t>,</w:t>
      </w:r>
      <w:r w:rsidR="00165312">
        <w:rPr>
          <w:rFonts w:eastAsiaTheme="minorEastAsia"/>
          <w:lang w:val="en-GB" w:eastAsia="zh-CN"/>
        </w:rPr>
        <w:t xml:space="preserve">000 and </w:t>
      </w:r>
      <w:r w:rsidRPr="003F383A">
        <w:rPr>
          <w:rFonts w:eastAsiaTheme="minorEastAsia"/>
          <w:lang w:val="en-GB" w:eastAsia="zh-CN"/>
        </w:rPr>
        <w:t>5</w:t>
      </w:r>
      <w:r w:rsidR="00EB69A3">
        <w:rPr>
          <w:rFonts w:eastAsiaTheme="minorEastAsia"/>
          <w:lang w:val="en-GB" w:eastAsia="zh-CN"/>
        </w:rPr>
        <w:t>,</w:t>
      </w:r>
      <w:r w:rsidRPr="003F383A">
        <w:rPr>
          <w:rFonts w:eastAsiaTheme="minorEastAsia"/>
          <w:lang w:val="en-GB" w:eastAsia="zh-CN"/>
        </w:rPr>
        <w:t xml:space="preserve">000 $/y is made available for a consecutive of three years. Solving the model yielded the composite curves in Figure </w:t>
      </w:r>
      <w:r w:rsidR="001033AC">
        <w:rPr>
          <w:rFonts w:eastAsiaTheme="minorEastAsia"/>
          <w:lang w:val="en-GB" w:eastAsia="zh-CN"/>
        </w:rPr>
        <w:t>3</w:t>
      </w:r>
      <w:r w:rsidR="00E62362">
        <w:rPr>
          <w:rFonts w:eastAsiaTheme="minorEastAsia"/>
          <w:lang w:val="en-GB" w:eastAsia="zh-CN"/>
        </w:rPr>
        <w:t>(a)-(c)</w:t>
      </w:r>
      <w:r w:rsidRPr="003F383A">
        <w:rPr>
          <w:rFonts w:eastAsiaTheme="minorEastAsia"/>
          <w:lang w:val="en-GB" w:eastAsia="zh-CN"/>
        </w:rPr>
        <w:t xml:space="preserve">. As shown, two projects are selected for deployment in year 1, while </w:t>
      </w:r>
      <w:r w:rsidR="00E62362">
        <w:rPr>
          <w:rFonts w:eastAsiaTheme="minorEastAsia"/>
          <w:lang w:val="en-GB" w:eastAsia="zh-CN"/>
        </w:rPr>
        <w:t>three</w:t>
      </w:r>
      <w:r w:rsidRPr="003F383A">
        <w:rPr>
          <w:rFonts w:eastAsiaTheme="minorEastAsia"/>
          <w:lang w:val="en-GB" w:eastAsia="zh-CN"/>
        </w:rPr>
        <w:t xml:space="preserve"> others for year 2</w:t>
      </w:r>
      <w:r w:rsidR="00E62362">
        <w:rPr>
          <w:rFonts w:eastAsiaTheme="minorEastAsia"/>
          <w:lang w:val="en-GB" w:eastAsia="zh-CN"/>
        </w:rPr>
        <w:t>, and four others for year 3</w:t>
      </w:r>
      <w:r w:rsidRPr="003F383A">
        <w:rPr>
          <w:rFonts w:eastAsiaTheme="minorEastAsia"/>
          <w:lang w:val="en-GB" w:eastAsia="zh-CN"/>
        </w:rPr>
        <w:t xml:space="preserve">. </w:t>
      </w:r>
      <w:r w:rsidR="00E62362">
        <w:rPr>
          <w:rFonts w:eastAsiaTheme="minorEastAsia"/>
          <w:lang w:val="en-GB" w:eastAsia="zh-CN"/>
        </w:rPr>
        <w:t>The total project cost across all years are added as 8</w:t>
      </w:r>
      <w:r w:rsidR="00EB69A3">
        <w:rPr>
          <w:rFonts w:eastAsiaTheme="minorEastAsia"/>
          <w:lang w:val="en-GB" w:eastAsia="zh-CN"/>
        </w:rPr>
        <w:t>,</w:t>
      </w:r>
      <w:r w:rsidR="00E62362">
        <w:rPr>
          <w:rFonts w:eastAsiaTheme="minorEastAsia"/>
          <w:lang w:val="en-GB" w:eastAsia="zh-CN"/>
        </w:rPr>
        <w:t>700 $/y, with the total benefits of 34,948 $/y.</w:t>
      </w:r>
    </w:p>
    <w:p w14:paraId="6A9D0651" w14:textId="02D14A69" w:rsidR="00DB31A8" w:rsidRDefault="00DB31A8" w:rsidP="00DB31A8">
      <w:pPr>
        <w:pStyle w:val="CETBodytext"/>
        <w:rPr>
          <w:rFonts w:eastAsiaTheme="minorEastAsia"/>
          <w:lang w:val="en-GB" w:eastAsia="zh-CN"/>
        </w:rPr>
      </w:pPr>
      <w:r w:rsidRPr="003F383A">
        <w:rPr>
          <w:rFonts w:eastAsiaTheme="minorEastAsia"/>
          <w:lang w:val="en-GB" w:eastAsia="zh-CN"/>
        </w:rPr>
        <w:t xml:space="preserve">In scenario </w:t>
      </w:r>
      <w:r>
        <w:rPr>
          <w:rFonts w:eastAsiaTheme="minorEastAsia"/>
          <w:lang w:val="en-GB" w:eastAsia="zh-CN"/>
        </w:rPr>
        <w:t>2</w:t>
      </w:r>
      <w:r w:rsidRPr="003F383A">
        <w:rPr>
          <w:rFonts w:eastAsiaTheme="minorEastAsia"/>
          <w:lang w:val="en-GB" w:eastAsia="zh-CN"/>
        </w:rPr>
        <w:t xml:space="preserve">, it is assumed that </w:t>
      </w:r>
      <w:r>
        <w:rPr>
          <w:rFonts w:eastAsiaTheme="minorEastAsia"/>
          <w:lang w:val="en-GB" w:eastAsia="zh-CN"/>
        </w:rPr>
        <w:t>more fund will be made available earlier, i.e. 4</w:t>
      </w:r>
      <w:r w:rsidR="00EB69A3">
        <w:rPr>
          <w:rFonts w:eastAsiaTheme="minorEastAsia"/>
          <w:lang w:val="en-GB" w:eastAsia="zh-CN"/>
        </w:rPr>
        <w:t>,</w:t>
      </w:r>
      <w:r w:rsidRPr="003F383A">
        <w:rPr>
          <w:rFonts w:eastAsiaTheme="minorEastAsia"/>
          <w:lang w:val="en-GB" w:eastAsia="zh-CN"/>
        </w:rPr>
        <w:t>000</w:t>
      </w:r>
      <w:r>
        <w:rPr>
          <w:rFonts w:eastAsiaTheme="minorEastAsia"/>
          <w:lang w:val="en-GB" w:eastAsia="zh-CN"/>
        </w:rPr>
        <w:t>, 3</w:t>
      </w:r>
      <w:r w:rsidR="00EB69A3">
        <w:rPr>
          <w:rFonts w:eastAsiaTheme="minorEastAsia"/>
          <w:lang w:val="en-GB" w:eastAsia="zh-CN"/>
        </w:rPr>
        <w:t>,</w:t>
      </w:r>
      <w:r>
        <w:rPr>
          <w:rFonts w:eastAsiaTheme="minorEastAsia"/>
          <w:lang w:val="en-GB" w:eastAsia="zh-CN"/>
        </w:rPr>
        <w:t xml:space="preserve">000 and </w:t>
      </w:r>
      <w:r w:rsidR="00F819CD">
        <w:rPr>
          <w:rFonts w:eastAsiaTheme="minorEastAsia"/>
          <w:lang w:val="en-GB" w:eastAsia="zh-CN"/>
        </w:rPr>
        <w:t>3</w:t>
      </w:r>
      <w:r w:rsidR="00EB69A3">
        <w:rPr>
          <w:rFonts w:eastAsiaTheme="minorEastAsia"/>
          <w:lang w:val="en-GB" w:eastAsia="zh-CN"/>
        </w:rPr>
        <w:t>,</w:t>
      </w:r>
      <w:r>
        <w:rPr>
          <w:rFonts w:eastAsiaTheme="minorEastAsia"/>
          <w:lang w:val="en-GB" w:eastAsia="zh-CN"/>
        </w:rPr>
        <w:t>000</w:t>
      </w:r>
      <w:r w:rsidRPr="003F383A">
        <w:rPr>
          <w:rFonts w:eastAsiaTheme="minorEastAsia"/>
          <w:lang w:val="en-GB" w:eastAsia="zh-CN"/>
        </w:rPr>
        <w:t xml:space="preserve"> $/y </w:t>
      </w:r>
      <w:r>
        <w:rPr>
          <w:rFonts w:eastAsiaTheme="minorEastAsia"/>
          <w:lang w:val="en-GB" w:eastAsia="zh-CN"/>
        </w:rPr>
        <w:t>for years 1, 2 and 3, respectively</w:t>
      </w:r>
      <w:r w:rsidRPr="003F383A">
        <w:rPr>
          <w:rFonts w:eastAsiaTheme="minorEastAsia"/>
          <w:lang w:val="en-GB" w:eastAsia="zh-CN"/>
        </w:rPr>
        <w:t xml:space="preserve">. </w:t>
      </w:r>
      <w:r>
        <w:rPr>
          <w:rFonts w:eastAsiaTheme="minorEastAsia"/>
          <w:lang w:val="en-GB" w:eastAsia="zh-CN"/>
        </w:rPr>
        <w:t xml:space="preserve">Besides, it is desired to have higher benefits for earlier years (so to benefit for later years); hence, a new constraint is added in </w:t>
      </w:r>
      <w:r>
        <w:t xml:space="preserve">Equation 9. </w:t>
      </w:r>
      <w:r w:rsidRPr="003F383A">
        <w:rPr>
          <w:rFonts w:eastAsiaTheme="minorEastAsia"/>
          <w:lang w:val="en-GB" w:eastAsia="zh-CN"/>
        </w:rPr>
        <w:t xml:space="preserve">Solving the model yielded the composite curves in Figure </w:t>
      </w:r>
      <w:r>
        <w:rPr>
          <w:rFonts w:eastAsiaTheme="minorEastAsia"/>
          <w:lang w:val="en-GB" w:eastAsia="zh-CN"/>
        </w:rPr>
        <w:t>3(d)-(f)</w:t>
      </w:r>
      <w:r w:rsidRPr="003F383A">
        <w:rPr>
          <w:rFonts w:eastAsiaTheme="minorEastAsia"/>
          <w:lang w:val="en-GB" w:eastAsia="zh-CN"/>
        </w:rPr>
        <w:t xml:space="preserve">. </w:t>
      </w:r>
      <w:r w:rsidR="00A04DD0">
        <w:rPr>
          <w:rFonts w:eastAsiaTheme="minorEastAsia"/>
          <w:lang w:val="en-GB" w:eastAsia="zh-CN"/>
        </w:rPr>
        <w:t>Naturally</w:t>
      </w:r>
      <w:r w:rsidRPr="003F383A">
        <w:rPr>
          <w:rFonts w:eastAsiaTheme="minorEastAsia"/>
          <w:lang w:val="en-GB" w:eastAsia="zh-CN"/>
        </w:rPr>
        <w:t xml:space="preserve">, </w:t>
      </w:r>
      <w:r w:rsidR="00A04DD0">
        <w:rPr>
          <w:rFonts w:eastAsiaTheme="minorEastAsia"/>
          <w:lang w:val="en-GB" w:eastAsia="zh-CN"/>
        </w:rPr>
        <w:t xml:space="preserve">when higher fund is allocated to year 1, most projects are implemented here, i.e. a total of </w:t>
      </w:r>
      <w:r>
        <w:rPr>
          <w:rFonts w:eastAsiaTheme="minorEastAsia"/>
          <w:lang w:val="en-GB" w:eastAsia="zh-CN"/>
        </w:rPr>
        <w:t xml:space="preserve">five, </w:t>
      </w:r>
      <w:r w:rsidR="00A04DD0">
        <w:rPr>
          <w:rFonts w:eastAsiaTheme="minorEastAsia"/>
          <w:lang w:val="en-GB" w:eastAsia="zh-CN"/>
        </w:rPr>
        <w:t xml:space="preserve">which is then followed by </w:t>
      </w:r>
      <w:r>
        <w:rPr>
          <w:rFonts w:eastAsiaTheme="minorEastAsia"/>
          <w:lang w:val="en-GB" w:eastAsia="zh-CN"/>
        </w:rPr>
        <w:t>three and one</w:t>
      </w:r>
      <w:r w:rsidRPr="003F383A">
        <w:rPr>
          <w:rFonts w:eastAsiaTheme="minorEastAsia"/>
          <w:lang w:val="en-GB" w:eastAsia="zh-CN"/>
        </w:rPr>
        <w:t xml:space="preserve"> projects in years </w:t>
      </w:r>
      <w:r>
        <w:rPr>
          <w:rFonts w:eastAsiaTheme="minorEastAsia"/>
          <w:lang w:val="en-GB" w:eastAsia="zh-CN"/>
        </w:rPr>
        <w:t>2</w:t>
      </w:r>
      <w:r w:rsidRPr="003F383A">
        <w:rPr>
          <w:rFonts w:eastAsiaTheme="minorEastAsia"/>
          <w:lang w:val="en-GB" w:eastAsia="zh-CN"/>
        </w:rPr>
        <w:t xml:space="preserve"> and 3, </w:t>
      </w:r>
      <w:r>
        <w:rPr>
          <w:rFonts w:eastAsiaTheme="minorEastAsia"/>
          <w:lang w:val="en-GB" w:eastAsia="zh-CN"/>
        </w:rPr>
        <w:t>respectively</w:t>
      </w:r>
      <w:r w:rsidRPr="003F383A">
        <w:rPr>
          <w:rFonts w:eastAsiaTheme="minorEastAsia"/>
          <w:lang w:val="en-GB" w:eastAsia="zh-CN"/>
        </w:rPr>
        <w:t>.</w:t>
      </w:r>
      <w:r>
        <w:rPr>
          <w:rFonts w:eastAsiaTheme="minorEastAsia"/>
          <w:lang w:val="en-GB" w:eastAsia="zh-CN"/>
        </w:rPr>
        <w:t xml:space="preserve"> While the total project cost and total benefit remain identical as those in scenario 1, the total benefit of year 1 is the highest, followed by year 2.</w:t>
      </w:r>
    </w:p>
    <w:tbl>
      <w:tblPr>
        <w:tblW w:w="5000" w:type="pct"/>
        <w:tblLook w:val="04A0" w:firstRow="1" w:lastRow="0" w:firstColumn="1" w:lastColumn="0" w:noHBand="0" w:noVBand="1"/>
      </w:tblPr>
      <w:tblGrid>
        <w:gridCol w:w="8183"/>
        <w:gridCol w:w="820"/>
      </w:tblGrid>
      <w:tr w:rsidR="00DB31A8" w:rsidRPr="00B57B36" w14:paraId="2BB7519C" w14:textId="77777777" w:rsidTr="00E05B31">
        <w:tc>
          <w:tcPr>
            <w:tcW w:w="7987" w:type="dxa"/>
            <w:vAlign w:val="center"/>
          </w:tcPr>
          <w:p w14:paraId="250847D0" w14:textId="77777777" w:rsidR="00DB31A8" w:rsidRPr="00FE48CA" w:rsidRDefault="00A527C7" w:rsidP="00E05B31">
            <w:pPr>
              <w:pStyle w:val="CETEquation"/>
              <w:jc w:val="both"/>
              <w:rPr>
                <w:lang w:val="en-MY"/>
              </w:rPr>
            </w:pPr>
            <m:oMathPara>
              <m:oMathParaPr>
                <m:jc m:val="left"/>
              </m:oMathParaPr>
              <m:oMath>
                <m:m>
                  <m:mPr>
                    <m:mcs>
                      <m:mc>
                        <m:mcPr>
                          <m:count m:val="2"/>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CRR</m:t>
                          </m:r>
                        </m:e>
                        <m:sub>
                          <m:r>
                            <w:rPr>
                              <w:rFonts w:ascii="Cambria Math" w:hAnsi="Cambria Math"/>
                              <w:lang w:val="en-MY"/>
                            </w:rPr>
                            <m:t>k,t</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CRR</m:t>
                          </m:r>
                        </m:e>
                        <m:sub>
                          <m:r>
                            <w:rPr>
                              <w:rFonts w:ascii="Cambria Math" w:hAnsi="Cambria Math"/>
                              <w:lang w:val="en-MY"/>
                            </w:rPr>
                            <m:t>k,t-1</m:t>
                          </m:r>
                        </m:sub>
                      </m:sSub>
                    </m:e>
                    <m:e>
                      <m:r>
                        <w:rPr>
                          <w:rFonts w:ascii="Cambria Math" w:hAnsi="Cambria Math"/>
                          <w:lang w:val="en-MY"/>
                        </w:rPr>
                        <m:t>t≥2</m:t>
                      </m:r>
                    </m:e>
                  </m:mr>
                </m:m>
              </m:oMath>
            </m:oMathPara>
          </w:p>
        </w:tc>
        <w:tc>
          <w:tcPr>
            <w:tcW w:w="800" w:type="dxa"/>
            <w:vAlign w:val="center"/>
          </w:tcPr>
          <w:p w14:paraId="49B7D01A" w14:textId="77777777" w:rsidR="00DB31A8" w:rsidRPr="00B57B36" w:rsidRDefault="00DB31A8" w:rsidP="00E05B31">
            <w:pPr>
              <w:pStyle w:val="CETEquation"/>
              <w:jc w:val="right"/>
            </w:pPr>
            <w:r>
              <w:t>(9)</w:t>
            </w:r>
          </w:p>
        </w:tc>
      </w:tr>
    </w:tbl>
    <w:p w14:paraId="5F9FC1F7" w14:textId="7DE49BBE" w:rsidR="00DB31A8" w:rsidRPr="003F383A" w:rsidRDefault="0078338A" w:rsidP="00E114ED">
      <w:pPr>
        <w:pStyle w:val="CETBodytext"/>
        <w:rPr>
          <w:rFonts w:eastAsiaTheme="minorEastAsia"/>
          <w:lang w:val="en-GB" w:eastAsia="zh-CN"/>
        </w:rPr>
      </w:pPr>
      <w:r>
        <w:rPr>
          <w:rFonts w:eastAsiaTheme="minorEastAsia"/>
          <w:lang w:val="en-GB" w:eastAsia="zh-CN"/>
        </w:rPr>
        <w:t xml:space="preserve">A further analysis reveals that both scenarios have selected </w:t>
      </w:r>
      <w:r w:rsidR="00A04DD0">
        <w:rPr>
          <w:rFonts w:eastAsiaTheme="minorEastAsia"/>
          <w:lang w:val="en-GB" w:eastAsia="zh-CN"/>
        </w:rPr>
        <w:t xml:space="preserve">the same </w:t>
      </w:r>
      <w:r>
        <w:rPr>
          <w:rFonts w:eastAsiaTheme="minorEastAsia"/>
          <w:lang w:val="en-GB" w:eastAsia="zh-CN"/>
        </w:rPr>
        <w:t>projects</w:t>
      </w:r>
      <w:r w:rsidR="00A04DD0">
        <w:rPr>
          <w:rFonts w:eastAsiaTheme="minorEastAsia"/>
          <w:lang w:val="en-GB" w:eastAsia="zh-CN"/>
        </w:rPr>
        <w:t xml:space="preserve">, i.e. </w:t>
      </w:r>
      <w:r>
        <w:rPr>
          <w:rFonts w:eastAsiaTheme="minorEastAsia"/>
          <w:lang w:val="en-GB" w:eastAsia="zh-CN"/>
        </w:rPr>
        <w:t>1, 2, 4, 5, 7, 9-11 and 13 for implementation, and let go the other.  The main rationale is that, these projects have relatively lower annualised cost. Hence, when cost limit is set for</w:t>
      </w:r>
      <w:r w:rsidRPr="000C39EC">
        <w:rPr>
          <w:lang w:val="en-MY"/>
        </w:rPr>
        <w:t xml:space="preserve"> each period </w:t>
      </w:r>
      <w:r w:rsidRPr="000C39EC">
        <w:rPr>
          <w:i/>
          <w:lang w:val="en-MY"/>
        </w:rPr>
        <w:t>t</w:t>
      </w:r>
      <w:r w:rsidRPr="000C39EC">
        <w:rPr>
          <w:lang w:val="en-MY"/>
        </w:rPr>
        <w:t xml:space="preserve"> </w:t>
      </w:r>
      <w:r>
        <w:rPr>
          <w:lang w:val="en-MY"/>
        </w:rPr>
        <w:t>(Equation 6), the model will tend to select projects of lower capital cost. Sensitivity analysis was conducted to increase the cost limits between 5,000-10,000 $/y for each time period</w:t>
      </w:r>
      <w:r w:rsidR="00A04DD0">
        <w:rPr>
          <w:lang w:val="en-MY"/>
        </w:rPr>
        <w:t>; however</w:t>
      </w:r>
      <w:r>
        <w:rPr>
          <w:lang w:val="en-MY"/>
        </w:rPr>
        <w:t xml:space="preserve">, </w:t>
      </w:r>
      <w:r w:rsidR="00A04DD0">
        <w:rPr>
          <w:lang w:val="en-MY"/>
        </w:rPr>
        <w:t xml:space="preserve">the </w:t>
      </w:r>
      <w:r>
        <w:rPr>
          <w:lang w:val="en-MY"/>
        </w:rPr>
        <w:t>results remain identical</w:t>
      </w:r>
      <w:r w:rsidRPr="000C39EC">
        <w:rPr>
          <w:lang w:val="en-MY"/>
        </w:rPr>
        <w:t>.</w:t>
      </w:r>
      <w:r w:rsidR="00A04DD0">
        <w:rPr>
          <w:lang w:val="en-MY"/>
        </w:rPr>
        <w:t xml:space="preserve"> The reason is that, all four unselected projects (3, 6, 8 and 12) have </w:t>
      </w:r>
      <w:r w:rsidR="00A04DD0" w:rsidRPr="002E7912">
        <w:rPr>
          <w:lang w:val="en-GB"/>
        </w:rPr>
        <w:t>annual</w:t>
      </w:r>
      <w:r w:rsidR="00A04DD0">
        <w:rPr>
          <w:lang w:val="en-GB"/>
        </w:rPr>
        <w:t>ised</w:t>
      </w:r>
      <w:r w:rsidR="00A04DD0" w:rsidRPr="002E7912">
        <w:rPr>
          <w:lang w:val="en-GB"/>
        </w:rPr>
        <w:t xml:space="preserve"> cost</w:t>
      </w:r>
      <w:r w:rsidR="00A04DD0">
        <w:rPr>
          <w:lang w:val="en-GB"/>
        </w:rPr>
        <w:t>s</w:t>
      </w:r>
      <w:r w:rsidR="00A04DD0" w:rsidRPr="002E7912">
        <w:rPr>
          <w:lang w:val="en-GB"/>
        </w:rPr>
        <w:t xml:space="preserve"> </w:t>
      </w:r>
      <w:r w:rsidR="00A04DD0">
        <w:rPr>
          <w:lang w:val="en-GB"/>
        </w:rPr>
        <w:t xml:space="preserve">that are higher than </w:t>
      </w:r>
      <w:r w:rsidR="00A04DD0">
        <w:rPr>
          <w:lang w:val="en-MY"/>
        </w:rPr>
        <w:t>10,000 $/y (see Table 1).</w:t>
      </w:r>
    </w:p>
    <w:p w14:paraId="348780E4" w14:textId="5EAEAB55" w:rsidR="002A7793" w:rsidRDefault="002A7793" w:rsidP="00600535">
      <w:pPr>
        <w:pStyle w:val="CETBodytext"/>
        <w:rPr>
          <w:color w:val="FF0000"/>
          <w:lang w:val="en-GB"/>
        </w:rPr>
      </w:pPr>
    </w:p>
    <w:p w14:paraId="6DEFB351" w14:textId="77777777" w:rsidR="00165312" w:rsidRDefault="00165312" w:rsidP="00600535">
      <w:pPr>
        <w:pStyle w:val="CETBodytext"/>
        <w:rPr>
          <w:color w:val="FF0000"/>
          <w:lang w:val="en-GB"/>
        </w:rPr>
      </w:pPr>
    </w:p>
    <w:p w14:paraId="4173C1E3" w14:textId="719423CF" w:rsidR="00165312" w:rsidRDefault="00165312" w:rsidP="00165312">
      <w:pPr>
        <w:pStyle w:val="CETCaption"/>
        <w:spacing w:before="0" w:after="0"/>
        <w:rPr>
          <w:i w:val="0"/>
        </w:rPr>
      </w:pPr>
    </w:p>
    <w:p w14:paraId="13C36F64" w14:textId="20F7D5DA" w:rsidR="00165312" w:rsidRDefault="00CC5384" w:rsidP="00165312">
      <w:pPr>
        <w:pStyle w:val="CETCaption"/>
        <w:spacing w:before="0" w:after="0"/>
        <w:rPr>
          <w:i w:val="0"/>
        </w:rPr>
      </w:pPr>
      <w:r w:rsidRPr="00CC5384">
        <w:rPr>
          <w:i w:val="0"/>
          <w:noProof/>
          <w:lang w:val="en-MY" w:eastAsia="zh-CN"/>
        </w:rPr>
        <w:lastRenderedPageBreak/>
        <w:drawing>
          <wp:inline distT="0" distB="0" distL="0" distR="0" wp14:anchorId="5ED3C7D6" wp14:editId="2AFC6418">
            <wp:extent cx="5718419" cy="5643641"/>
            <wp:effectExtent l="0" t="0" r="0" b="0"/>
            <wp:docPr id="4" name="Picture 4" descr="C:\Users\user\Downloads\Safety C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Safety CCs.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801" t="457" r="1328"/>
                    <a:stretch/>
                  </pic:blipFill>
                  <pic:spPr bwMode="auto">
                    <a:xfrm>
                      <a:off x="0" y="0"/>
                      <a:ext cx="5724099" cy="5649246"/>
                    </a:xfrm>
                    <a:prstGeom prst="rect">
                      <a:avLst/>
                    </a:prstGeom>
                    <a:noFill/>
                    <a:ln>
                      <a:noFill/>
                    </a:ln>
                    <a:extLst>
                      <a:ext uri="{53640926-AAD7-44D8-BBD7-CCE9431645EC}">
                        <a14:shadowObscured xmlns:a14="http://schemas.microsoft.com/office/drawing/2010/main"/>
                      </a:ext>
                    </a:extLst>
                  </pic:spPr>
                </pic:pic>
              </a:graphicData>
            </a:graphic>
          </wp:inline>
        </w:drawing>
      </w:r>
    </w:p>
    <w:p w14:paraId="5BB82D1D" w14:textId="21E3C514" w:rsidR="00165312" w:rsidRDefault="002A7793" w:rsidP="00FE7FDD">
      <w:pPr>
        <w:pStyle w:val="CETCaption"/>
      </w:pPr>
      <w:r w:rsidRPr="00BD077D">
        <w:rPr>
          <w:rStyle w:val="CETCaptionCarattere"/>
          <w:i/>
        </w:rPr>
        <w:t xml:space="preserve">Figure </w:t>
      </w:r>
      <w:r w:rsidR="001033AC">
        <w:rPr>
          <w:rStyle w:val="CETCaptionCarattere"/>
          <w:i/>
        </w:rPr>
        <w:t>3</w:t>
      </w:r>
      <w:r w:rsidRPr="00BD077D">
        <w:rPr>
          <w:rStyle w:val="CETCaptionCarattere"/>
          <w:i/>
        </w:rPr>
        <w:t xml:space="preserve">: </w:t>
      </w:r>
      <w:r>
        <w:rPr>
          <w:rStyle w:val="CETCaptionCarattere"/>
          <w:i/>
        </w:rPr>
        <w:t>Risk-financial pinch diagram for scenario 1</w:t>
      </w:r>
      <w:r w:rsidR="003F383A">
        <w:rPr>
          <w:rStyle w:val="CETCaptionCarattere"/>
          <w:i/>
        </w:rPr>
        <w:t>: (a) year 1; (b) year 2; (c) year 3</w:t>
      </w:r>
      <w:r w:rsidR="00165312">
        <w:rPr>
          <w:rStyle w:val="CETCaptionCarattere"/>
          <w:i/>
        </w:rPr>
        <w:t>; scenario 2: (d) year 1; (e) year 2; (f) year 3</w:t>
      </w:r>
      <w:r>
        <w:rPr>
          <w:rStyle w:val="CETCaptionCarattere"/>
          <w:i/>
        </w:rPr>
        <w:t xml:space="preserve">. </w:t>
      </w:r>
      <w:r w:rsidRPr="00BD077D">
        <w:t xml:space="preserve"> </w:t>
      </w:r>
    </w:p>
    <w:p w14:paraId="0874E950" w14:textId="6EAE8213" w:rsidR="002B64B8" w:rsidRPr="002B64B8" w:rsidRDefault="002B64B8" w:rsidP="002B64B8">
      <w:pPr>
        <w:pStyle w:val="CETHeading1"/>
        <w:rPr>
          <w:color w:val="FF0000"/>
          <w:lang w:val="en-GB"/>
        </w:rPr>
      </w:pPr>
      <w:r w:rsidRPr="002B64B8">
        <w:rPr>
          <w:color w:val="FF0000"/>
          <w:lang w:val="en-GB"/>
        </w:rPr>
        <w:t>Limitation</w:t>
      </w:r>
      <w:r w:rsidR="008F0434">
        <w:rPr>
          <w:color w:val="FF0000"/>
          <w:lang w:val="en-GB"/>
        </w:rPr>
        <w:t>s</w:t>
      </w:r>
      <w:r w:rsidRPr="002B64B8">
        <w:rPr>
          <w:color w:val="FF0000"/>
          <w:lang w:val="en-GB"/>
        </w:rPr>
        <w:t xml:space="preserve"> of current approach</w:t>
      </w:r>
    </w:p>
    <w:p w14:paraId="3D256605" w14:textId="41202923" w:rsidR="002B64B8" w:rsidRPr="002B64B8" w:rsidRDefault="008F0434" w:rsidP="002B64B8">
      <w:pPr>
        <w:pStyle w:val="CETBodytext"/>
        <w:rPr>
          <w:color w:val="FF0000"/>
          <w:lang w:val="en-GB"/>
        </w:rPr>
      </w:pPr>
      <w:r>
        <w:rPr>
          <w:color w:val="FF0000"/>
          <w:lang w:val="en-GB"/>
        </w:rPr>
        <w:t xml:space="preserve">The approach developed in this work has </w:t>
      </w:r>
      <w:r w:rsidR="002B64B8">
        <w:rPr>
          <w:color w:val="FF0000"/>
          <w:lang w:val="en-GB"/>
        </w:rPr>
        <w:t xml:space="preserve">some limitations. First, the model assumes all </w:t>
      </w:r>
      <w:r w:rsidR="002B64B8" w:rsidRPr="002B64B8">
        <w:rPr>
          <w:color w:val="FF0000"/>
          <w:lang w:val="en-GB"/>
        </w:rPr>
        <w:t>initiatives</w:t>
      </w:r>
      <w:r w:rsidR="002B64B8">
        <w:rPr>
          <w:color w:val="FF0000"/>
          <w:lang w:val="en-GB"/>
        </w:rPr>
        <w:t xml:space="preserve"> will lead to </w:t>
      </w:r>
      <w:r w:rsidR="002B64B8" w:rsidRPr="002B64B8">
        <w:rPr>
          <w:color w:val="FF0000"/>
          <w:lang w:val="en-GB"/>
        </w:rPr>
        <w:t>risk reduction</w:t>
      </w:r>
      <w:r w:rsidR="002B64B8">
        <w:rPr>
          <w:color w:val="FF0000"/>
          <w:lang w:val="en-GB"/>
        </w:rPr>
        <w:t xml:space="preserve"> benefits </w:t>
      </w:r>
      <w:r w:rsidR="00E7566B">
        <w:rPr>
          <w:color w:val="FF0000"/>
          <w:lang w:val="en-GB"/>
        </w:rPr>
        <w:t>can be</w:t>
      </w:r>
      <w:r w:rsidR="002B64B8" w:rsidRPr="002B64B8">
        <w:rPr>
          <w:color w:val="FF0000"/>
          <w:lang w:val="en-GB"/>
        </w:rPr>
        <w:t xml:space="preserve"> quanti</w:t>
      </w:r>
      <w:r w:rsidR="00E7566B">
        <w:rPr>
          <w:color w:val="FF0000"/>
          <w:lang w:val="en-GB"/>
        </w:rPr>
        <w:t>fied</w:t>
      </w:r>
      <w:r w:rsidR="002B64B8">
        <w:rPr>
          <w:color w:val="FF0000"/>
          <w:lang w:val="en-GB"/>
        </w:rPr>
        <w:t>. There are however benefits that are quali</w:t>
      </w:r>
      <w:r w:rsidR="002B64B8" w:rsidRPr="002B64B8">
        <w:rPr>
          <w:color w:val="FF0000"/>
          <w:lang w:val="en-GB"/>
        </w:rPr>
        <w:t>tative</w:t>
      </w:r>
      <w:r w:rsidR="002B64B8">
        <w:rPr>
          <w:color w:val="FF0000"/>
          <w:lang w:val="en-GB"/>
        </w:rPr>
        <w:t xml:space="preserve"> in nature</w:t>
      </w:r>
      <w:r w:rsidR="00E7566B">
        <w:rPr>
          <w:color w:val="FF0000"/>
          <w:lang w:val="en-GB"/>
        </w:rPr>
        <w:t>,</w:t>
      </w:r>
      <w:r w:rsidR="002B64B8">
        <w:rPr>
          <w:color w:val="FF0000"/>
          <w:lang w:val="en-GB"/>
        </w:rPr>
        <w:t xml:space="preserve"> such as </w:t>
      </w:r>
      <w:r w:rsidR="002B64B8" w:rsidRPr="002B64B8">
        <w:rPr>
          <w:color w:val="FF0000"/>
          <w:lang w:val="en-GB"/>
        </w:rPr>
        <w:t xml:space="preserve">public image </w:t>
      </w:r>
      <w:r w:rsidR="002B64B8">
        <w:rPr>
          <w:color w:val="FF0000"/>
          <w:lang w:val="en-GB"/>
        </w:rPr>
        <w:t xml:space="preserve">or </w:t>
      </w:r>
      <w:r w:rsidR="002B64B8" w:rsidRPr="002B64B8">
        <w:rPr>
          <w:color w:val="FF0000"/>
          <w:lang w:val="en-GB"/>
        </w:rPr>
        <w:t>employee</w:t>
      </w:r>
      <w:r w:rsidR="002B64B8">
        <w:rPr>
          <w:color w:val="FF0000"/>
          <w:lang w:val="en-GB"/>
        </w:rPr>
        <w:t xml:space="preserve"> acceptability, as pointed out by </w:t>
      </w:r>
      <w:r w:rsidR="002B64B8" w:rsidRPr="002B64B8">
        <w:rPr>
          <w:color w:val="FF0000"/>
          <w:lang w:val="en-GB"/>
        </w:rPr>
        <w:t>Antes et al. (2001)</w:t>
      </w:r>
      <w:r w:rsidR="002B64B8">
        <w:rPr>
          <w:color w:val="FF0000"/>
          <w:lang w:val="en-GB"/>
        </w:rPr>
        <w:t xml:space="preserve">. These factors may be used for final decision making </w:t>
      </w:r>
      <w:r w:rsidR="002B64B8" w:rsidRPr="002B64B8">
        <w:rPr>
          <w:color w:val="FF0000"/>
          <w:lang w:val="en-GB"/>
        </w:rPr>
        <w:t xml:space="preserve">important when the </w:t>
      </w:r>
      <w:r w:rsidR="002B64B8">
        <w:rPr>
          <w:color w:val="FF0000"/>
          <w:lang w:val="en-GB"/>
        </w:rPr>
        <w:t xml:space="preserve">benefit </w:t>
      </w:r>
      <w:r w:rsidR="002B64B8" w:rsidRPr="002B64B8">
        <w:rPr>
          <w:color w:val="FF0000"/>
          <w:lang w:val="en-GB"/>
        </w:rPr>
        <w:t>and</w:t>
      </w:r>
      <w:r w:rsidR="002B64B8">
        <w:rPr>
          <w:color w:val="FF0000"/>
          <w:lang w:val="en-GB"/>
        </w:rPr>
        <w:t xml:space="preserve">/or cost of implementation of competing </w:t>
      </w:r>
      <w:r w:rsidR="002B64B8" w:rsidRPr="002B64B8">
        <w:rPr>
          <w:color w:val="FF0000"/>
          <w:lang w:val="en-GB"/>
        </w:rPr>
        <w:t>initiatives</w:t>
      </w:r>
      <w:r w:rsidR="002B64B8">
        <w:rPr>
          <w:color w:val="FF0000"/>
          <w:lang w:val="en-GB"/>
        </w:rPr>
        <w:t xml:space="preserve"> are close. </w:t>
      </w:r>
      <w:r w:rsidR="00E7566B">
        <w:rPr>
          <w:color w:val="FF0000"/>
          <w:lang w:val="en-GB"/>
        </w:rPr>
        <w:t>It is assumed that the candidate techniques are mutually independent, and techno-economic uncertainties in the</w:t>
      </w:r>
      <w:r w:rsidR="002B64B8">
        <w:rPr>
          <w:color w:val="FF0000"/>
          <w:lang w:val="en-GB"/>
        </w:rPr>
        <w:t xml:space="preserve"> </w:t>
      </w:r>
      <w:r w:rsidR="002B64B8" w:rsidRPr="002B64B8">
        <w:rPr>
          <w:color w:val="FF0000"/>
          <w:lang w:val="en-GB"/>
        </w:rPr>
        <w:t xml:space="preserve">risk reduction </w:t>
      </w:r>
      <w:r w:rsidR="00E7566B">
        <w:rPr>
          <w:color w:val="FF0000"/>
          <w:lang w:val="en-GB"/>
        </w:rPr>
        <w:t>techniques can result in the over</w:t>
      </w:r>
      <w:r w:rsidR="002B64B8">
        <w:rPr>
          <w:color w:val="FF0000"/>
          <w:lang w:val="en-GB"/>
        </w:rPr>
        <w:t xml:space="preserve"> under- or overestimat</w:t>
      </w:r>
      <w:r w:rsidR="00E7566B">
        <w:rPr>
          <w:color w:val="FF0000"/>
          <w:lang w:val="en-GB"/>
        </w:rPr>
        <w:t>ion</w:t>
      </w:r>
      <w:r w:rsidR="002B64B8">
        <w:rPr>
          <w:color w:val="FF0000"/>
          <w:lang w:val="en-GB"/>
        </w:rPr>
        <w:t xml:space="preserve">, </w:t>
      </w:r>
      <w:r w:rsidR="00E7566B">
        <w:rPr>
          <w:color w:val="FF0000"/>
          <w:lang w:val="en-GB"/>
        </w:rPr>
        <w:t xml:space="preserve"> of their benefits</w:t>
      </w:r>
      <w:r w:rsidR="00D660A7">
        <w:rPr>
          <w:color w:val="FF0000"/>
          <w:lang w:val="en-GB"/>
        </w:rPr>
        <w:t xml:space="preserve">. Hence, </w:t>
      </w:r>
      <w:r w:rsidR="00E7566B">
        <w:rPr>
          <w:color w:val="FF0000"/>
          <w:lang w:val="en-GB"/>
        </w:rPr>
        <w:t>the basic</w:t>
      </w:r>
      <w:r w:rsidR="00D660A7">
        <w:rPr>
          <w:color w:val="FF0000"/>
          <w:lang w:val="en-GB"/>
        </w:rPr>
        <w:t xml:space="preserve"> MILP model</w:t>
      </w:r>
      <w:r w:rsidR="00E7566B">
        <w:rPr>
          <w:color w:val="FF0000"/>
          <w:lang w:val="en-GB"/>
        </w:rPr>
        <w:t xml:space="preserve"> will need to be extended to account for interactions and parametric uncertainties, possibly resulting in a non-linear formulation</w:t>
      </w:r>
      <w:r w:rsidR="00D660A7">
        <w:rPr>
          <w:color w:val="FF0000"/>
          <w:lang w:val="en-GB"/>
        </w:rPr>
        <w:t>.</w:t>
      </w:r>
    </w:p>
    <w:p w14:paraId="7617031B" w14:textId="77777777" w:rsidR="00F841E1" w:rsidRPr="00B57B36" w:rsidRDefault="00F841E1" w:rsidP="00F841E1">
      <w:pPr>
        <w:pStyle w:val="CETHeading1"/>
        <w:rPr>
          <w:lang w:val="en-GB"/>
        </w:rPr>
      </w:pPr>
      <w:r w:rsidRPr="00B57B36">
        <w:rPr>
          <w:lang w:val="en-GB"/>
        </w:rPr>
        <w:t>Conclusions</w:t>
      </w:r>
    </w:p>
    <w:p w14:paraId="6BC1CB14" w14:textId="09D6EB80" w:rsidR="00F841E1" w:rsidRDefault="00EB69A3" w:rsidP="00F841E1">
      <w:pPr>
        <w:pStyle w:val="CETBodytext"/>
        <w:rPr>
          <w:lang w:val="en-GB"/>
        </w:rPr>
      </w:pPr>
      <w:r>
        <w:rPr>
          <w:lang w:val="en-GB"/>
        </w:rPr>
        <w:t>A multi-period optimization model has been developed for planning risk reduction systems in process plants under budget constraints. The model is based on the ATM approach developed for PI and PI-like problems and is formulated as a MILP.</w:t>
      </w:r>
      <w:r w:rsidR="00AB5550">
        <w:rPr>
          <w:lang w:val="en-GB"/>
        </w:rPr>
        <w:t xml:space="preserve"> A literature case study was solved to demonstrate the applicability of this </w:t>
      </w:r>
      <w:r w:rsidR="00AB5550">
        <w:rPr>
          <w:lang w:val="en-GB"/>
        </w:rPr>
        <w:lastRenderedPageBreak/>
        <w:t xml:space="preserve">technique to industrial problems. </w:t>
      </w:r>
      <w:r w:rsidR="00AC6562">
        <w:rPr>
          <w:lang w:val="en-GB"/>
        </w:rPr>
        <w:t xml:space="preserve">For both scenarios analysed, the model selected projects of lower cost for implementation, due to the restriction on budget constraints. </w:t>
      </w:r>
      <w:r w:rsidR="001F2D33">
        <w:rPr>
          <w:lang w:val="en-GB"/>
        </w:rPr>
        <w:t>The model can be generalized to other applications given the requisite cost and performance datasets. It is also simple enough to be implemented using spreadsheets if dedicated optimization software is not available.</w:t>
      </w:r>
      <w:r w:rsidR="00AC6562">
        <w:rPr>
          <w:lang w:val="en-GB"/>
        </w:rPr>
        <w:t xml:space="preserve"> The ability of generating graphical display helps to facilitate discussion among stakeholders. </w:t>
      </w:r>
      <w:r w:rsidR="003E758E">
        <w:rPr>
          <w:lang w:val="en-GB"/>
        </w:rPr>
        <w:t>Future work can</w:t>
      </w:r>
      <w:r w:rsidR="00AB5550">
        <w:rPr>
          <w:lang w:val="en-GB"/>
        </w:rPr>
        <w:t xml:space="preserve"> refine this formulation to account for uncertainties in model parameters using stochastic programming or alternative techniques.</w:t>
      </w:r>
      <w:r w:rsidR="003E758E">
        <w:rPr>
          <w:lang w:val="en-GB"/>
        </w:rPr>
        <w:t xml:space="preserve"> </w:t>
      </w:r>
      <w:r w:rsidR="00EA3789">
        <w:rPr>
          <w:lang w:val="en-GB"/>
        </w:rPr>
        <w:t xml:space="preserve">Potential interactions among different safety measures should also be modelled. </w:t>
      </w:r>
      <w:r w:rsidR="00AB5550">
        <w:rPr>
          <w:lang w:val="en-GB"/>
        </w:rPr>
        <w:t xml:space="preserve">Extensions can also </w:t>
      </w:r>
      <w:r w:rsidR="003E758E">
        <w:rPr>
          <w:lang w:val="en-GB"/>
        </w:rPr>
        <w:t>focus on extending this model to other PSE/CAPE problems</w:t>
      </w:r>
      <w:r w:rsidR="00AB5550">
        <w:rPr>
          <w:lang w:val="en-GB"/>
        </w:rPr>
        <w:t xml:space="preserve"> other than reducing safety risk. For example, portfolios of measures for improving process resilience to disruptions </w:t>
      </w:r>
      <w:r w:rsidR="00296540">
        <w:rPr>
          <w:lang w:val="en-GB"/>
        </w:rPr>
        <w:t xml:space="preserve">and malicious attacks </w:t>
      </w:r>
      <w:r w:rsidR="00AB5550">
        <w:rPr>
          <w:lang w:val="en-GB"/>
        </w:rPr>
        <w:t>can be optimized in the same manner as the safety case study solved here.</w:t>
      </w:r>
    </w:p>
    <w:p w14:paraId="2CCAE041" w14:textId="77777777" w:rsidR="00F841E1" w:rsidRDefault="00F841E1" w:rsidP="00600535">
      <w:pPr>
        <w:pStyle w:val="CETBodytext"/>
        <w:rPr>
          <w:lang w:val="en-GB"/>
        </w:rPr>
      </w:pPr>
    </w:p>
    <w:p w14:paraId="07A6D20F" w14:textId="0ECF229E" w:rsidR="00280FAF" w:rsidRPr="000230FB" w:rsidRDefault="00280FAF" w:rsidP="00280FAF">
      <w:pPr>
        <w:pStyle w:val="CETHeadingxx"/>
        <w:rPr>
          <w:i/>
          <w:lang w:val="en-GB"/>
        </w:rPr>
        <w:sectPr w:rsidR="00280FAF" w:rsidRPr="000230FB" w:rsidSect="00A714EF">
          <w:type w:val="continuous"/>
          <w:pgSz w:w="11906" w:h="16838" w:code="9"/>
          <w:pgMar w:top="1701" w:right="1418" w:bottom="1701" w:left="1701" w:header="1701" w:footer="0" w:gutter="0"/>
          <w:cols w:space="708"/>
          <w:formProt w:val="0"/>
          <w:titlePg/>
          <w:docGrid w:linePitch="360"/>
        </w:sectPr>
      </w:pPr>
      <w:r w:rsidRPr="000230FB">
        <w:t>Nomenclature</w:t>
      </w:r>
    </w:p>
    <w:p w14:paraId="61E25590" w14:textId="2D11339B" w:rsidR="000230FB" w:rsidRDefault="000230FB" w:rsidP="000230FB">
      <w:pPr>
        <w:pStyle w:val="CETBodytext"/>
        <w:jc w:val="left"/>
        <w:rPr>
          <w:rFonts w:eastAsia="SimSun"/>
        </w:rPr>
      </w:pPr>
      <w:r>
        <w:rPr>
          <w:rFonts w:eastAsia="SimSun"/>
          <w:i/>
        </w:rPr>
        <w:t>B</w:t>
      </w:r>
      <w:r w:rsidRPr="000230FB">
        <w:rPr>
          <w:rFonts w:eastAsia="SimSun"/>
          <w:i/>
          <w:vertAlign w:val="subscript"/>
        </w:rPr>
        <w:t>k</w:t>
      </w:r>
      <w:r>
        <w:rPr>
          <w:rFonts w:eastAsia="SimSun"/>
          <w:vertAlign w:val="subscript"/>
        </w:rPr>
        <w:t>,</w:t>
      </w:r>
      <w:r w:rsidRPr="000230FB">
        <w:rPr>
          <w:rFonts w:eastAsia="SimSun"/>
          <w:i/>
          <w:vertAlign w:val="subscript"/>
        </w:rPr>
        <w:t>t</w:t>
      </w:r>
      <w:r w:rsidRPr="00280FAF">
        <w:rPr>
          <w:rFonts w:eastAsia="SimSun"/>
        </w:rPr>
        <w:t xml:space="preserve"> – </w:t>
      </w:r>
      <w:r>
        <w:rPr>
          <w:rFonts w:eastAsia="SimSun"/>
        </w:rPr>
        <w:t xml:space="preserve">binary variables at level </w:t>
      </w:r>
      <w:r>
        <w:rPr>
          <w:rFonts w:eastAsia="SimSun"/>
          <w:i/>
        </w:rPr>
        <w:t>k</w:t>
      </w:r>
      <w:r>
        <w:rPr>
          <w:rFonts w:eastAsia="SimSun"/>
        </w:rPr>
        <w:t xml:space="preserve"> in period </w:t>
      </w:r>
      <w:r>
        <w:rPr>
          <w:rFonts w:eastAsia="SimSun"/>
          <w:i/>
        </w:rPr>
        <w:t>t</w:t>
      </w:r>
      <w:r>
        <w:rPr>
          <w:rFonts w:eastAsia="SimSun"/>
        </w:rPr>
        <w:t>, [1,0]</w:t>
      </w:r>
    </w:p>
    <w:p w14:paraId="07F590F6" w14:textId="188507D6" w:rsidR="000230FB" w:rsidRPr="000230FB" w:rsidRDefault="000230FB" w:rsidP="000230FB">
      <w:pPr>
        <w:pStyle w:val="CETBodytext"/>
        <w:jc w:val="left"/>
        <w:rPr>
          <w:rFonts w:eastAsia="SimSun"/>
        </w:rPr>
      </w:pPr>
      <w:r>
        <w:rPr>
          <w:rFonts w:eastAsia="SimSun"/>
          <w:i/>
        </w:rPr>
        <w:t>B</w:t>
      </w:r>
      <w:r w:rsidRPr="000230FB">
        <w:rPr>
          <w:rFonts w:eastAsia="SimSun"/>
          <w:i/>
          <w:vertAlign w:val="subscript"/>
        </w:rPr>
        <w:t>k</w:t>
      </w:r>
      <w:r>
        <w:rPr>
          <w:rFonts w:eastAsia="SimSun"/>
          <w:vertAlign w:val="subscript"/>
        </w:rPr>
        <w:t>,</w:t>
      </w:r>
      <w:r>
        <w:rPr>
          <w:rFonts w:eastAsia="SimSun"/>
          <w:i/>
          <w:vertAlign w:val="subscript"/>
        </w:rPr>
        <w:t>max</w:t>
      </w:r>
      <w:r w:rsidRPr="00280FAF">
        <w:rPr>
          <w:rFonts w:eastAsia="SimSun"/>
        </w:rPr>
        <w:t xml:space="preserve"> – </w:t>
      </w:r>
      <w:r>
        <w:rPr>
          <w:rFonts w:eastAsia="SimSun"/>
        </w:rPr>
        <w:t xml:space="preserve">maximum binary variables at level </w:t>
      </w:r>
      <w:r>
        <w:rPr>
          <w:rFonts w:eastAsia="SimSun"/>
          <w:i/>
        </w:rPr>
        <w:t>k</w:t>
      </w:r>
      <w:r>
        <w:rPr>
          <w:rFonts w:eastAsia="SimSun"/>
        </w:rPr>
        <w:t xml:space="preserve"> [1,0]</w:t>
      </w:r>
    </w:p>
    <w:p w14:paraId="57590CE2" w14:textId="253BAC35" w:rsidR="00280FAF" w:rsidRDefault="000230FB" w:rsidP="00280FAF">
      <w:pPr>
        <w:pStyle w:val="CETBodytext"/>
        <w:jc w:val="left"/>
        <w:rPr>
          <w:rFonts w:eastAsia="SimSun"/>
        </w:rPr>
      </w:pPr>
      <w:r>
        <w:rPr>
          <w:rFonts w:eastAsia="SimSun"/>
          <w:i/>
        </w:rPr>
        <w:t>CAPEX</w:t>
      </w:r>
      <w:r w:rsidRPr="000230FB">
        <w:rPr>
          <w:rFonts w:eastAsia="SimSun"/>
          <w:i/>
          <w:vertAlign w:val="subscript"/>
        </w:rPr>
        <w:t>k</w:t>
      </w:r>
      <w:r w:rsidR="00280FAF" w:rsidRPr="00280FAF">
        <w:rPr>
          <w:rFonts w:eastAsia="SimSun"/>
        </w:rPr>
        <w:t xml:space="preserve"> – </w:t>
      </w:r>
      <w:r>
        <w:t>capital investment</w:t>
      </w:r>
      <w:r w:rsidRPr="00D44938">
        <w:t xml:space="preserve"> </w:t>
      </w:r>
      <w:r>
        <w:rPr>
          <w:rFonts w:eastAsia="SimSun"/>
        </w:rPr>
        <w:t xml:space="preserve">at level </w:t>
      </w:r>
      <w:r>
        <w:rPr>
          <w:rFonts w:eastAsia="SimSun"/>
          <w:i/>
        </w:rPr>
        <w:t>k</w:t>
      </w:r>
      <w:r>
        <w:rPr>
          <w:rFonts w:eastAsia="SimSun"/>
        </w:rPr>
        <w:t>, $</w:t>
      </w:r>
    </w:p>
    <w:p w14:paraId="5622E3DC" w14:textId="140DD4CF" w:rsidR="000230FB" w:rsidRPr="00280FAF" w:rsidRDefault="000230FB" w:rsidP="000230FB">
      <w:pPr>
        <w:pStyle w:val="CETBodytext"/>
        <w:jc w:val="left"/>
        <w:rPr>
          <w:rFonts w:eastAsia="SimSun"/>
        </w:rPr>
      </w:pPr>
      <w:r>
        <w:rPr>
          <w:rFonts w:eastAsia="SimSun"/>
          <w:i/>
        </w:rPr>
        <w:t>COST</w:t>
      </w:r>
      <w:r w:rsidRPr="000230FB">
        <w:rPr>
          <w:rFonts w:eastAsia="SimSun"/>
          <w:i/>
          <w:vertAlign w:val="subscript"/>
        </w:rPr>
        <w:t>k</w:t>
      </w:r>
      <w:r>
        <w:rPr>
          <w:rFonts w:eastAsia="SimSun"/>
          <w:vertAlign w:val="subscript"/>
        </w:rPr>
        <w:t>,</w:t>
      </w:r>
      <w:r w:rsidRPr="000230FB">
        <w:rPr>
          <w:rFonts w:eastAsia="SimSun"/>
          <w:i/>
          <w:vertAlign w:val="subscript"/>
        </w:rPr>
        <w:t>t</w:t>
      </w:r>
      <w:r w:rsidRPr="00280FAF">
        <w:rPr>
          <w:rFonts w:eastAsia="SimSun"/>
        </w:rPr>
        <w:t xml:space="preserve"> – </w:t>
      </w:r>
      <w:r>
        <w:rPr>
          <w:rFonts w:eastAsia="SimSun"/>
        </w:rPr>
        <w:t xml:space="preserve">cost at level </w:t>
      </w:r>
      <w:r>
        <w:rPr>
          <w:rFonts w:eastAsia="SimSun"/>
          <w:i/>
        </w:rPr>
        <w:t>k</w:t>
      </w:r>
      <w:r>
        <w:rPr>
          <w:rFonts w:eastAsia="SimSun"/>
        </w:rPr>
        <w:t xml:space="preserve"> in period </w:t>
      </w:r>
      <w:r>
        <w:rPr>
          <w:rFonts w:eastAsia="SimSun"/>
          <w:i/>
        </w:rPr>
        <w:t>ti</w:t>
      </w:r>
      <w:r w:rsidRPr="000230FB">
        <w:rPr>
          <w:rFonts w:eastAsia="SimSun"/>
        </w:rPr>
        <w:t xml:space="preserve">, </w:t>
      </w:r>
      <w:r>
        <w:rPr>
          <w:rFonts w:eastAsia="SimSun"/>
        </w:rPr>
        <w:t>$</w:t>
      </w:r>
    </w:p>
    <w:p w14:paraId="00ADAA44" w14:textId="178CEC76" w:rsidR="000230FB" w:rsidRPr="00280FAF" w:rsidRDefault="000230FB" w:rsidP="000230FB">
      <w:pPr>
        <w:pStyle w:val="CETBodytext"/>
        <w:jc w:val="left"/>
        <w:rPr>
          <w:rFonts w:eastAsia="SimSun"/>
        </w:rPr>
      </w:pPr>
      <w:r>
        <w:rPr>
          <w:rFonts w:eastAsia="SimSun"/>
          <w:i/>
        </w:rPr>
        <w:t>CCOST</w:t>
      </w:r>
      <w:r w:rsidRPr="000230FB">
        <w:rPr>
          <w:rFonts w:eastAsia="SimSun"/>
          <w:i/>
          <w:vertAlign w:val="subscript"/>
        </w:rPr>
        <w:t>k</w:t>
      </w:r>
      <w:r>
        <w:rPr>
          <w:rFonts w:eastAsia="SimSun"/>
          <w:vertAlign w:val="subscript"/>
        </w:rPr>
        <w:t>,</w:t>
      </w:r>
      <w:r w:rsidRPr="000230FB">
        <w:rPr>
          <w:rFonts w:eastAsia="SimSun"/>
          <w:i/>
          <w:vertAlign w:val="subscript"/>
        </w:rPr>
        <w:t>t</w:t>
      </w:r>
      <w:r w:rsidRPr="00280FAF">
        <w:rPr>
          <w:rFonts w:eastAsia="SimSun"/>
        </w:rPr>
        <w:t xml:space="preserve"> – </w:t>
      </w:r>
      <w:r>
        <w:rPr>
          <w:rFonts w:eastAsia="SimSun"/>
        </w:rPr>
        <w:t xml:space="preserve">cumulative cost at level </w:t>
      </w:r>
      <w:r>
        <w:rPr>
          <w:rFonts w:eastAsia="SimSun"/>
          <w:i/>
        </w:rPr>
        <w:t>k</w:t>
      </w:r>
      <w:r>
        <w:rPr>
          <w:rFonts w:eastAsia="SimSun"/>
        </w:rPr>
        <w:t xml:space="preserve"> in period </w:t>
      </w:r>
      <w:r>
        <w:rPr>
          <w:rFonts w:eastAsia="SimSun"/>
          <w:i/>
        </w:rPr>
        <w:t>ti</w:t>
      </w:r>
      <w:r w:rsidRPr="000230FB">
        <w:rPr>
          <w:rFonts w:eastAsia="SimSun"/>
        </w:rPr>
        <w:t xml:space="preserve">, </w:t>
      </w:r>
      <w:r>
        <w:rPr>
          <w:rFonts w:eastAsia="SimSun"/>
        </w:rPr>
        <w:t>$</w:t>
      </w:r>
    </w:p>
    <w:p w14:paraId="53D07F13" w14:textId="212117D8" w:rsidR="000230FB" w:rsidRPr="00280FAF" w:rsidRDefault="000230FB" w:rsidP="000230FB">
      <w:pPr>
        <w:pStyle w:val="CETBodytext"/>
        <w:jc w:val="left"/>
        <w:rPr>
          <w:rFonts w:eastAsia="SimSun"/>
        </w:rPr>
      </w:pPr>
      <w:r>
        <w:rPr>
          <w:rFonts w:eastAsia="SimSun"/>
          <w:i/>
        </w:rPr>
        <w:t>C</w:t>
      </w:r>
      <w:r w:rsidRPr="000230FB">
        <w:rPr>
          <w:rFonts w:eastAsia="SimSun"/>
          <w:i/>
        </w:rPr>
        <w:t>RR</w:t>
      </w:r>
      <w:r w:rsidRPr="000230FB">
        <w:rPr>
          <w:rFonts w:eastAsia="SimSun"/>
          <w:i/>
          <w:vertAlign w:val="subscript"/>
        </w:rPr>
        <w:t>k</w:t>
      </w:r>
      <w:r>
        <w:rPr>
          <w:rFonts w:eastAsia="SimSun"/>
          <w:vertAlign w:val="subscript"/>
        </w:rPr>
        <w:t>,</w:t>
      </w:r>
      <w:r w:rsidRPr="000230FB">
        <w:rPr>
          <w:rFonts w:eastAsia="SimSun"/>
          <w:i/>
          <w:vertAlign w:val="subscript"/>
        </w:rPr>
        <w:t>t</w:t>
      </w:r>
      <w:r w:rsidRPr="00280FAF">
        <w:rPr>
          <w:rFonts w:eastAsia="SimSun"/>
        </w:rPr>
        <w:t xml:space="preserve"> – </w:t>
      </w:r>
      <w:r>
        <w:rPr>
          <w:rFonts w:eastAsia="SimSun"/>
        </w:rPr>
        <w:t xml:space="preserve">cumulative risk reduction at level </w:t>
      </w:r>
      <w:r>
        <w:rPr>
          <w:rFonts w:eastAsia="SimSun"/>
          <w:i/>
        </w:rPr>
        <w:t>k</w:t>
      </w:r>
      <w:r>
        <w:rPr>
          <w:rFonts w:eastAsia="SimSun"/>
        </w:rPr>
        <w:t xml:space="preserve"> in period </w:t>
      </w:r>
      <w:r>
        <w:rPr>
          <w:rFonts w:eastAsia="SimSun"/>
          <w:i/>
        </w:rPr>
        <w:t>ti</w:t>
      </w:r>
      <w:r w:rsidRPr="000230FB">
        <w:rPr>
          <w:rFonts w:eastAsia="SimSun"/>
        </w:rPr>
        <w:t>, -</w:t>
      </w:r>
    </w:p>
    <w:p w14:paraId="08F62C33" w14:textId="7312FB01" w:rsidR="000230FB" w:rsidRDefault="000230FB" w:rsidP="000230FB">
      <w:pPr>
        <w:pStyle w:val="CETBodytext"/>
        <w:jc w:val="left"/>
        <w:rPr>
          <w:rFonts w:eastAsia="SimSun"/>
          <w:i/>
        </w:rPr>
      </w:pPr>
      <w:r>
        <w:rPr>
          <w:rFonts w:eastAsia="SimSun"/>
          <w:i/>
        </w:rPr>
        <w:t>INT</w:t>
      </w:r>
      <w:r w:rsidRPr="000230FB">
        <w:rPr>
          <w:rFonts w:eastAsia="SimSun"/>
          <w:i/>
          <w:vertAlign w:val="subscript"/>
        </w:rPr>
        <w:t>k</w:t>
      </w:r>
      <w:r w:rsidRPr="00280FAF">
        <w:rPr>
          <w:rFonts w:eastAsia="SimSun"/>
        </w:rPr>
        <w:t xml:space="preserve"> – </w:t>
      </w:r>
      <w:r>
        <w:t>intensity value</w:t>
      </w:r>
      <w:r w:rsidRPr="00D44938">
        <w:t xml:space="preserve"> </w:t>
      </w:r>
      <w:r>
        <w:rPr>
          <w:rFonts w:eastAsia="SimSun"/>
        </w:rPr>
        <w:t xml:space="preserve">at level </w:t>
      </w:r>
      <w:r>
        <w:rPr>
          <w:rFonts w:eastAsia="SimSun"/>
          <w:i/>
        </w:rPr>
        <w:t>k</w:t>
      </w:r>
      <w:r w:rsidRPr="000230FB">
        <w:rPr>
          <w:rFonts w:eastAsia="SimSun"/>
        </w:rPr>
        <w:t>, -</w:t>
      </w:r>
      <w:r>
        <w:rPr>
          <w:rFonts w:eastAsia="SimSun"/>
        </w:rPr>
        <w:t xml:space="preserve"> </w:t>
      </w:r>
    </w:p>
    <w:p w14:paraId="5CE2DB8C" w14:textId="50915912" w:rsidR="000230FB" w:rsidRPr="00280FAF" w:rsidRDefault="000230FB" w:rsidP="000230FB">
      <w:pPr>
        <w:pStyle w:val="CETBodytext"/>
        <w:jc w:val="left"/>
        <w:rPr>
          <w:rFonts w:eastAsia="SimSun"/>
        </w:rPr>
      </w:pPr>
      <w:r w:rsidRPr="000230FB">
        <w:rPr>
          <w:rFonts w:eastAsia="SimSun"/>
          <w:i/>
        </w:rPr>
        <w:t>RR</w:t>
      </w:r>
      <w:r w:rsidRPr="000230FB">
        <w:rPr>
          <w:rFonts w:eastAsia="SimSun"/>
          <w:i/>
          <w:vertAlign w:val="subscript"/>
        </w:rPr>
        <w:t>k</w:t>
      </w:r>
      <w:r>
        <w:rPr>
          <w:rFonts w:eastAsia="SimSun"/>
          <w:vertAlign w:val="subscript"/>
        </w:rPr>
        <w:t>,</w:t>
      </w:r>
      <w:r w:rsidRPr="000230FB">
        <w:rPr>
          <w:rFonts w:eastAsia="SimSun"/>
          <w:i/>
          <w:vertAlign w:val="subscript"/>
        </w:rPr>
        <w:t>t</w:t>
      </w:r>
      <w:r w:rsidRPr="00280FAF">
        <w:rPr>
          <w:rFonts w:eastAsia="SimSun"/>
        </w:rPr>
        <w:t xml:space="preserve"> – </w:t>
      </w:r>
      <w:r>
        <w:rPr>
          <w:rFonts w:eastAsia="SimSun"/>
        </w:rPr>
        <w:t xml:space="preserve">risk reduction at level </w:t>
      </w:r>
      <w:r>
        <w:rPr>
          <w:rFonts w:eastAsia="SimSun"/>
          <w:i/>
        </w:rPr>
        <w:t>k</w:t>
      </w:r>
      <w:r>
        <w:rPr>
          <w:rFonts w:eastAsia="SimSun"/>
        </w:rPr>
        <w:t xml:space="preserve"> in period </w:t>
      </w:r>
      <w:r>
        <w:rPr>
          <w:rFonts w:eastAsia="SimSun"/>
          <w:i/>
        </w:rPr>
        <w:t>t</w:t>
      </w:r>
      <w:r w:rsidRPr="000230FB">
        <w:rPr>
          <w:rFonts w:eastAsia="SimSun"/>
        </w:rPr>
        <w:t>, -</w:t>
      </w:r>
    </w:p>
    <w:p w14:paraId="4963DF04" w14:textId="7D317F8A" w:rsidR="000230FB" w:rsidRPr="00280FAF" w:rsidRDefault="000230FB" w:rsidP="000230FB">
      <w:pPr>
        <w:pStyle w:val="CETBodytext"/>
        <w:jc w:val="left"/>
        <w:rPr>
          <w:rFonts w:eastAsia="SimSun"/>
        </w:rPr>
      </w:pPr>
      <w:r>
        <w:rPr>
          <w:rFonts w:eastAsia="SimSun"/>
          <w:i/>
        </w:rPr>
        <w:t>TCOST</w:t>
      </w:r>
      <w:r w:rsidRPr="000230FB">
        <w:rPr>
          <w:rFonts w:eastAsia="SimSun"/>
          <w:i/>
          <w:vertAlign w:val="subscript"/>
        </w:rPr>
        <w:t>t</w:t>
      </w:r>
      <w:r w:rsidRPr="00280FAF">
        <w:rPr>
          <w:rFonts w:eastAsia="SimSun"/>
        </w:rPr>
        <w:t xml:space="preserve"> – </w:t>
      </w:r>
      <w:r>
        <w:rPr>
          <w:rFonts w:eastAsia="SimSun"/>
        </w:rPr>
        <w:t xml:space="preserve">total cost in period </w:t>
      </w:r>
      <w:r>
        <w:rPr>
          <w:rFonts w:eastAsia="SimSun"/>
          <w:i/>
        </w:rPr>
        <w:t>t</w:t>
      </w:r>
      <w:r w:rsidRPr="000230FB">
        <w:rPr>
          <w:rFonts w:eastAsia="SimSun"/>
        </w:rPr>
        <w:t xml:space="preserve">, </w:t>
      </w:r>
      <w:r>
        <w:rPr>
          <w:rFonts w:eastAsia="SimSun"/>
        </w:rPr>
        <w:t>$</w:t>
      </w:r>
    </w:p>
    <w:p w14:paraId="756B48CE" w14:textId="6A892BEC" w:rsidR="000230FB" w:rsidRPr="00280FAF" w:rsidRDefault="000230FB" w:rsidP="000230FB">
      <w:pPr>
        <w:pStyle w:val="CETBodytext"/>
        <w:jc w:val="left"/>
        <w:rPr>
          <w:rFonts w:eastAsia="SimSun"/>
        </w:rPr>
      </w:pPr>
      <w:r>
        <w:rPr>
          <w:rFonts w:eastAsia="SimSun"/>
          <w:i/>
        </w:rPr>
        <w:t>TCOST</w:t>
      </w:r>
      <w:r w:rsidRPr="000230FB">
        <w:rPr>
          <w:rFonts w:eastAsia="SimSun"/>
          <w:i/>
          <w:vertAlign w:val="subscript"/>
        </w:rPr>
        <w:t>t</w:t>
      </w:r>
      <w:r>
        <w:rPr>
          <w:rFonts w:eastAsia="SimSun"/>
          <w:vertAlign w:val="subscript"/>
        </w:rPr>
        <w:t>,</w:t>
      </w:r>
      <w:r w:rsidRPr="000230FB">
        <w:rPr>
          <w:rFonts w:eastAsia="SimSun"/>
          <w:vertAlign w:val="subscript"/>
        </w:rPr>
        <w:t>max</w:t>
      </w:r>
      <w:r w:rsidRPr="00280FAF">
        <w:rPr>
          <w:rFonts w:eastAsia="SimSun"/>
        </w:rPr>
        <w:t xml:space="preserve"> – </w:t>
      </w:r>
      <w:r>
        <w:rPr>
          <w:rFonts w:eastAsia="SimSun"/>
        </w:rPr>
        <w:t xml:space="preserve">total cost limit in period </w:t>
      </w:r>
      <w:r>
        <w:rPr>
          <w:rFonts w:eastAsia="SimSun"/>
          <w:i/>
        </w:rPr>
        <w:t>t</w:t>
      </w:r>
      <w:r w:rsidRPr="000230FB">
        <w:rPr>
          <w:rFonts w:eastAsia="SimSun"/>
        </w:rPr>
        <w:t xml:space="preserve">, </w:t>
      </w:r>
      <w:r>
        <w:rPr>
          <w:rFonts w:eastAsia="SimSun"/>
        </w:rPr>
        <w:t>$</w:t>
      </w:r>
    </w:p>
    <w:p w14:paraId="39BBD1C5" w14:textId="77777777" w:rsidR="000230FB" w:rsidRPr="00E377D0" w:rsidRDefault="000230FB" w:rsidP="00280FAF">
      <w:pPr>
        <w:pStyle w:val="CETBodytext"/>
        <w:jc w:val="left"/>
        <w:rPr>
          <w:rFonts w:eastAsia="SimSun"/>
        </w:rPr>
        <w:sectPr w:rsidR="000230FB" w:rsidRPr="00E377D0" w:rsidSect="00A714EF">
          <w:type w:val="continuous"/>
          <w:pgSz w:w="11906" w:h="16838" w:code="9"/>
          <w:pgMar w:top="1701" w:right="1418" w:bottom="1701" w:left="1701" w:header="1701" w:footer="0" w:gutter="0"/>
          <w:cols w:num="2" w:space="708"/>
          <w:formProt w:val="0"/>
          <w:titlePg/>
          <w:docGrid w:linePitch="360"/>
        </w:sectPr>
      </w:pPr>
    </w:p>
    <w:p w14:paraId="4F1327F8" w14:textId="77777777" w:rsidR="00600535" w:rsidRDefault="00600535" w:rsidP="00600535">
      <w:pPr>
        <w:pStyle w:val="CETReference"/>
      </w:pPr>
      <w:r w:rsidRPr="007629F7">
        <w:t>References</w:t>
      </w:r>
    </w:p>
    <w:p w14:paraId="33069773" w14:textId="56A8E05C" w:rsidR="00296540" w:rsidRDefault="00296540" w:rsidP="00296540">
      <w:pPr>
        <w:pStyle w:val="CETReferencetext"/>
        <w:rPr>
          <w:lang w:val="en-PH"/>
        </w:rPr>
      </w:pPr>
      <w:r>
        <w:rPr>
          <w:lang w:val="en-PH"/>
        </w:rPr>
        <w:t xml:space="preserve">Amin, M.T., Khan, F., Halim, S.Z., Pistikopoulos, E., </w:t>
      </w:r>
      <w:r w:rsidRPr="00296540">
        <w:rPr>
          <w:lang w:val="en-PH"/>
        </w:rPr>
        <w:t>2022</w:t>
      </w:r>
      <w:r>
        <w:rPr>
          <w:lang w:val="en-PH"/>
        </w:rPr>
        <w:t xml:space="preserve">, </w:t>
      </w:r>
      <w:r w:rsidRPr="00296540">
        <w:rPr>
          <w:lang w:val="en-PH"/>
        </w:rPr>
        <w:t>A holistic framework for process safety and security analysis</w:t>
      </w:r>
      <w:r>
        <w:rPr>
          <w:lang w:val="en-PH"/>
        </w:rPr>
        <w:t>. Computers &amp; Chemical Engineering, 165, 107963.</w:t>
      </w:r>
    </w:p>
    <w:p w14:paraId="284D8C85" w14:textId="60D3A8FB" w:rsidR="007629F7" w:rsidRPr="007629F7" w:rsidRDefault="007629F7" w:rsidP="007629F7">
      <w:pPr>
        <w:pStyle w:val="CETReferencetext"/>
        <w:rPr>
          <w:lang w:val="en-PH"/>
        </w:rPr>
      </w:pPr>
      <w:r w:rsidRPr="007629F7">
        <w:rPr>
          <w:lang w:val="en-PH"/>
        </w:rPr>
        <w:t>Antes, M.K., Miri, M.F., Flamberg, S.A., 2001, Selection and design of cost-effective risk reduction systems, Process Safety Progress, 20, 197–203.</w:t>
      </w:r>
    </w:p>
    <w:p w14:paraId="42148FDA" w14:textId="77777777" w:rsidR="007629F7" w:rsidRPr="007629F7" w:rsidRDefault="007629F7" w:rsidP="007629F7">
      <w:pPr>
        <w:pStyle w:val="CETReferencetext"/>
        <w:rPr>
          <w:lang w:val="en-PH"/>
        </w:rPr>
      </w:pPr>
      <w:r w:rsidRPr="007629F7">
        <w:rPr>
          <w:lang w:val="en-PH"/>
        </w:rPr>
        <w:t>Caputo, A.C., Pelagagge, P.M., Salini, P., 2013, A multicriteria knapsack approach to economic optimization of industrial safety measures, Safety Science, 51, 354–360.</w:t>
      </w:r>
    </w:p>
    <w:p w14:paraId="29DF6741" w14:textId="77777777" w:rsidR="007629F7" w:rsidRPr="007629F7" w:rsidRDefault="007629F7" w:rsidP="007629F7">
      <w:pPr>
        <w:pStyle w:val="CETReferencetext"/>
        <w:rPr>
          <w:lang w:val="en-PH"/>
        </w:rPr>
      </w:pPr>
      <w:r w:rsidRPr="007629F7">
        <w:rPr>
          <w:lang w:val="en-PH"/>
        </w:rPr>
        <w:t>Caputo, A.C., Pelagagge, P.M., Palumbo, M., 2011, Economic optimization of industrial safety measures using genetic algorithms, Journal of Loss Prevention in the Process Industries, 24, 541–551.</w:t>
      </w:r>
    </w:p>
    <w:p w14:paraId="7A88DFE8" w14:textId="77777777" w:rsidR="007629F7" w:rsidRPr="007629F7" w:rsidRDefault="007629F7" w:rsidP="007629F7">
      <w:pPr>
        <w:pStyle w:val="CETReferencetext"/>
        <w:rPr>
          <w:lang w:val="en-PH"/>
        </w:rPr>
      </w:pPr>
      <w:r w:rsidRPr="007629F7">
        <w:rPr>
          <w:lang w:val="en-PH"/>
        </w:rPr>
        <w:t>Eslami Baladeh, A., Cheraghi, M., Khakzad, N. 2019, A multi-objective model to optimal selection of safety measures in oil and gas facilities, Process Safety and Environmental Protection, 125, 71–82.</w:t>
      </w:r>
    </w:p>
    <w:p w14:paraId="7002C96E" w14:textId="77777777" w:rsidR="007629F7" w:rsidRPr="007629F7" w:rsidRDefault="007629F7" w:rsidP="007629F7">
      <w:pPr>
        <w:pStyle w:val="CETReferencetext"/>
        <w:rPr>
          <w:lang w:val="en-PH"/>
        </w:rPr>
      </w:pPr>
      <w:r w:rsidRPr="007629F7">
        <w:rPr>
          <w:lang w:val="en-PH"/>
        </w:rPr>
        <w:t>Foo, D.C.Y., 2025. Process Integration for Resource Conservation, 2</w:t>
      </w:r>
      <w:r w:rsidRPr="007629F7">
        <w:rPr>
          <w:vertAlign w:val="superscript"/>
          <w:lang w:val="en-PH"/>
        </w:rPr>
        <w:t>nd</w:t>
      </w:r>
      <w:r w:rsidRPr="007629F7">
        <w:rPr>
          <w:lang w:val="en-PH"/>
        </w:rPr>
        <w:t xml:space="preserve"> Ed. CRC Press, Boca Raton, USA.</w:t>
      </w:r>
    </w:p>
    <w:p w14:paraId="35F66E6F" w14:textId="77777777" w:rsidR="007629F7" w:rsidRPr="007629F7" w:rsidRDefault="007629F7" w:rsidP="007629F7">
      <w:pPr>
        <w:pStyle w:val="CETReferencetext"/>
        <w:rPr>
          <w:lang w:val="en-PH"/>
        </w:rPr>
      </w:pPr>
      <w:r w:rsidRPr="007629F7">
        <w:rPr>
          <w:lang w:val="en-PH"/>
        </w:rPr>
        <w:t>Foo, D.C.Y., Chew, C.H., 2025, Optimal deployment of decarbonisation initiatives with multi-period consideration, Process Safety and Environmental Protection, 204, 108059.</w:t>
      </w:r>
    </w:p>
    <w:p w14:paraId="49F75A56" w14:textId="77777777" w:rsidR="007629F7" w:rsidRPr="007629F7" w:rsidRDefault="007629F7" w:rsidP="007629F7">
      <w:pPr>
        <w:pStyle w:val="CETReferencetext"/>
        <w:rPr>
          <w:lang w:val="en-PH"/>
        </w:rPr>
      </w:pPr>
      <w:r w:rsidRPr="007629F7">
        <w:rPr>
          <w:lang w:val="en-PH"/>
        </w:rPr>
        <w:t>Ishizaka, A., Labib, A., 2014, A hybrid and integrated approach to evaluate and prevent disasters, Journal of the Operational Research Society 65, 1475–1489.</w:t>
      </w:r>
    </w:p>
    <w:p w14:paraId="09FADD9B" w14:textId="3E9755FA" w:rsidR="00A37793" w:rsidRPr="00A37793" w:rsidRDefault="00A37793" w:rsidP="00A37793">
      <w:pPr>
        <w:pStyle w:val="CETReferencetext"/>
        <w:rPr>
          <w:color w:val="FF0000"/>
        </w:rPr>
      </w:pPr>
      <w:r w:rsidRPr="00A37793">
        <w:rPr>
          <w:color w:val="FF0000"/>
        </w:rPr>
        <w:t>Jameel Malik, M. A., Athar, M., Mohd Shariff, A., and Umer, A. (2025). Inherent Safety Economic Index for Route Selection in Process Design at the Preliminary Design Stage, ACS Chemical Health &amp; Safety 32 (3), 276-287.</w:t>
      </w:r>
    </w:p>
    <w:p w14:paraId="3151700E" w14:textId="607ED979" w:rsidR="007629F7" w:rsidRPr="007629F7" w:rsidRDefault="007629F7" w:rsidP="007629F7">
      <w:pPr>
        <w:pStyle w:val="CETReferencetext"/>
        <w:rPr>
          <w:lang w:val="en-PH"/>
        </w:rPr>
      </w:pPr>
      <w:r w:rsidRPr="007629F7">
        <w:rPr>
          <w:lang w:val="en-PH"/>
        </w:rPr>
        <w:t>Klemeš, J.J. (ed.), 2023, Handbook of Process Integration (PI): Minimisation of Energy and Water Use, Waste and Emissions, 2</w:t>
      </w:r>
      <w:r w:rsidRPr="007629F7">
        <w:rPr>
          <w:vertAlign w:val="superscript"/>
          <w:lang w:val="en-PH"/>
        </w:rPr>
        <w:t>nd</w:t>
      </w:r>
      <w:r w:rsidRPr="007629F7">
        <w:rPr>
          <w:lang w:val="en-PH"/>
        </w:rPr>
        <w:t xml:space="preserve"> Ed. Woodhead Publishing, Kidlington, UK.</w:t>
      </w:r>
    </w:p>
    <w:p w14:paraId="1C44A89F" w14:textId="77777777" w:rsidR="007629F7" w:rsidRPr="007629F7" w:rsidRDefault="007629F7" w:rsidP="007629F7">
      <w:pPr>
        <w:pStyle w:val="CETReferencetext"/>
        <w:rPr>
          <w:lang w:val="en-PH"/>
        </w:rPr>
      </w:pPr>
      <w:r w:rsidRPr="007629F7">
        <w:rPr>
          <w:lang w:val="en-PH"/>
        </w:rPr>
        <w:t>Lumbreras, S., Ciller, P., 2025, Interpretable Optimization: why and how we should explain optimization models. Applied Sciences, 15, 5732.</w:t>
      </w:r>
    </w:p>
    <w:p w14:paraId="1105A5F2" w14:textId="77777777" w:rsidR="007629F7" w:rsidRPr="00A37793" w:rsidRDefault="007629F7" w:rsidP="007629F7">
      <w:pPr>
        <w:pStyle w:val="CETReferencetext"/>
        <w:rPr>
          <w:color w:val="FF0000"/>
          <w:lang w:val="en-PH"/>
        </w:rPr>
      </w:pPr>
      <w:r w:rsidRPr="00A37793">
        <w:rPr>
          <w:color w:val="FF0000"/>
          <w:lang w:val="en-PH"/>
        </w:rPr>
        <w:t>Özkan, G., Birgören, B., Sakallı, Ü.S., 2025, A stochastic knapsack model for sustainable safety resource allocation under interdependent safety measures, Sustainability, 17, 5242.</w:t>
      </w:r>
    </w:p>
    <w:p w14:paraId="20BBE1A6" w14:textId="77777777" w:rsidR="007629F7" w:rsidRPr="007629F7" w:rsidRDefault="007629F7" w:rsidP="007629F7">
      <w:pPr>
        <w:pStyle w:val="CETReferencetext"/>
        <w:rPr>
          <w:lang w:val="en-PH"/>
        </w:rPr>
      </w:pPr>
      <w:r w:rsidRPr="007629F7">
        <w:rPr>
          <w:lang w:val="en-PH"/>
        </w:rPr>
        <w:t>Pistikopoulos, E.N., Gani, R., 2026, Data, models, algorithms, AI and the role of PSE – the generation next. Computers and Chemical Engineering 207, 109564.</w:t>
      </w:r>
    </w:p>
    <w:p w14:paraId="62CC61A3" w14:textId="77777777" w:rsidR="007629F7" w:rsidRPr="007629F7" w:rsidRDefault="007629F7" w:rsidP="007629F7">
      <w:pPr>
        <w:pStyle w:val="CETReferencetext"/>
        <w:rPr>
          <w:lang w:val="en-PH"/>
        </w:rPr>
      </w:pPr>
      <w:r w:rsidRPr="007629F7">
        <w:rPr>
          <w:lang w:val="en-PH"/>
        </w:rPr>
        <w:t>Tan, R.R., Aziz, M.K., Ng, D.K.S., Foo, D.C.Y., Lam, H.L., 2016, Pinch analysis-based approach to industrial safety risk and environmental management. Clean Technologies and Environmental Policy 18, 2107–2117.</w:t>
      </w:r>
    </w:p>
    <w:p w14:paraId="55CA9D3B" w14:textId="77777777" w:rsidR="007629F7" w:rsidRPr="007629F7" w:rsidRDefault="007629F7" w:rsidP="007629F7">
      <w:pPr>
        <w:pStyle w:val="CETReferencetext"/>
        <w:rPr>
          <w:lang w:val="en-PH"/>
        </w:rPr>
      </w:pPr>
      <w:r w:rsidRPr="007629F7">
        <w:rPr>
          <w:lang w:val="en-PH"/>
        </w:rPr>
        <w:t>Tan, R.R., Aviso, K.B., Lao, A.R., Promentilla, M.A.B., 2022, Modelling vicious networks with P-graph causality maps, Clean Technologies and Environmental Policy, 24, 173–184.</w:t>
      </w:r>
    </w:p>
    <w:p w14:paraId="58FEB34E" w14:textId="77777777" w:rsidR="007629F7" w:rsidRPr="007629F7" w:rsidRDefault="007629F7" w:rsidP="007629F7">
      <w:pPr>
        <w:pStyle w:val="CETReferencetext"/>
        <w:rPr>
          <w:lang w:val="en-PH"/>
        </w:rPr>
      </w:pPr>
      <w:r w:rsidRPr="007629F7">
        <w:rPr>
          <w:lang w:val="en-PH"/>
        </w:rPr>
        <w:t>Yuan, Z., Khakzad, N., Khan, K., Amyotte, P., 2015, Risk-based optimal safety measure allocation for dust explosions, Safety Science, 74, 79–92.</w:t>
      </w:r>
    </w:p>
    <w:p w14:paraId="19C4FC68" w14:textId="77777777" w:rsidR="004628D2" w:rsidRDefault="004628D2" w:rsidP="00FA5F5F">
      <w:pPr>
        <w:pStyle w:val="CETHeading1"/>
        <w:numPr>
          <w:ilvl w:val="0"/>
          <w:numId w:val="0"/>
        </w:numPr>
      </w:pPr>
    </w:p>
    <w:sectPr w:rsidR="004628D2" w:rsidSect="00A714EF">
      <w:type w:val="continuous"/>
      <w:pgSz w:w="11906" w:h="16838" w:code="9"/>
      <w:pgMar w:top="1701" w:right="1418" w:bottom="1701" w:left="1701" w:header="1701" w:footer="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B9855" w16cex:dateUtc="2026-03-08T04:34:00Z"/>
  <w16cex:commentExtensible w16cex:durableId="23C08C00" w16cex:dateUtc="2026-03-08T04:35:00Z"/>
  <w16cex:commentExtensible w16cex:durableId="59E5AA54" w16cex:dateUtc="2026-03-08T0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07033C" w16cid:durableId="7A1B9855"/>
  <w16cid:commentId w16cid:paraId="3C141F22" w16cid:durableId="23C08C00"/>
  <w16cid:commentId w16cid:paraId="7CBAC394" w16cid:durableId="59E5AA54"/>
  <w16cid:commentId w16cid:paraId="7AFD604C" w16cid:durableId="7AFD60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791DC" w14:textId="77777777" w:rsidR="00A527C7" w:rsidRDefault="00A527C7" w:rsidP="004F5E36">
      <w:r>
        <w:separator/>
      </w:r>
    </w:p>
  </w:endnote>
  <w:endnote w:type="continuationSeparator" w:id="0">
    <w:p w14:paraId="07F23307" w14:textId="77777777" w:rsidR="00A527C7" w:rsidRDefault="00A527C7"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AFD86" w14:textId="77777777" w:rsidR="00A527C7" w:rsidRDefault="00A527C7" w:rsidP="004F5E36">
      <w:r>
        <w:separator/>
      </w:r>
    </w:p>
  </w:footnote>
  <w:footnote w:type="continuationSeparator" w:id="0">
    <w:p w14:paraId="2A073414" w14:textId="77777777" w:rsidR="00A527C7" w:rsidRDefault="00A527C7"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EA40EB8"/>
    <w:multiLevelType w:val="hybridMultilevel"/>
    <w:tmpl w:val="BE7C206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13"/>
  </w:num>
  <w:num w:numId="14">
    <w:abstractNumId w:val="19"/>
  </w:num>
  <w:num w:numId="15">
    <w:abstractNumId w:val="21"/>
  </w:num>
  <w:num w:numId="16">
    <w:abstractNumId w:val="20"/>
  </w:num>
  <w:num w:numId="17">
    <w:abstractNumId w:val="12"/>
  </w:num>
  <w:num w:numId="18">
    <w:abstractNumId w:val="13"/>
    <w:lvlOverride w:ilvl="0">
      <w:startOverride w:val="1"/>
    </w:lvlOverride>
  </w:num>
  <w:num w:numId="19">
    <w:abstractNumId w:val="17"/>
  </w:num>
  <w:num w:numId="20">
    <w:abstractNumId w:val="16"/>
  </w:num>
  <w:num w:numId="21">
    <w:abstractNumId w:val="15"/>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230FB"/>
    <w:rsid w:val="0002783E"/>
    <w:rsid w:val="0003148D"/>
    <w:rsid w:val="00031EEC"/>
    <w:rsid w:val="00051566"/>
    <w:rsid w:val="00054288"/>
    <w:rsid w:val="000562A9"/>
    <w:rsid w:val="00062A9A"/>
    <w:rsid w:val="00065058"/>
    <w:rsid w:val="00086C39"/>
    <w:rsid w:val="000933B5"/>
    <w:rsid w:val="000A03B2"/>
    <w:rsid w:val="000A66C6"/>
    <w:rsid w:val="000C3261"/>
    <w:rsid w:val="000C39EC"/>
    <w:rsid w:val="000D0268"/>
    <w:rsid w:val="000D34BE"/>
    <w:rsid w:val="000E102F"/>
    <w:rsid w:val="000E36F1"/>
    <w:rsid w:val="000E3A73"/>
    <w:rsid w:val="000E414A"/>
    <w:rsid w:val="000F093C"/>
    <w:rsid w:val="000F787B"/>
    <w:rsid w:val="001033AC"/>
    <w:rsid w:val="0012091F"/>
    <w:rsid w:val="00126BC2"/>
    <w:rsid w:val="001308B6"/>
    <w:rsid w:val="0013121F"/>
    <w:rsid w:val="00131FE6"/>
    <w:rsid w:val="0013263F"/>
    <w:rsid w:val="001331DF"/>
    <w:rsid w:val="00134DE4"/>
    <w:rsid w:val="0014034D"/>
    <w:rsid w:val="00144D16"/>
    <w:rsid w:val="00150E59"/>
    <w:rsid w:val="00152DE3"/>
    <w:rsid w:val="00164CF9"/>
    <w:rsid w:val="00165312"/>
    <w:rsid w:val="001667A6"/>
    <w:rsid w:val="00184AD6"/>
    <w:rsid w:val="00186594"/>
    <w:rsid w:val="001A4AF7"/>
    <w:rsid w:val="001B0349"/>
    <w:rsid w:val="001B1E93"/>
    <w:rsid w:val="001B4471"/>
    <w:rsid w:val="001B65C1"/>
    <w:rsid w:val="001C684B"/>
    <w:rsid w:val="001D0CFB"/>
    <w:rsid w:val="001D21AF"/>
    <w:rsid w:val="001D53FC"/>
    <w:rsid w:val="001F2D33"/>
    <w:rsid w:val="001F42A5"/>
    <w:rsid w:val="001F7B9D"/>
    <w:rsid w:val="001F7F35"/>
    <w:rsid w:val="00201C93"/>
    <w:rsid w:val="002224B4"/>
    <w:rsid w:val="002447EF"/>
    <w:rsid w:val="00251550"/>
    <w:rsid w:val="00263B05"/>
    <w:rsid w:val="0027221A"/>
    <w:rsid w:val="0027416A"/>
    <w:rsid w:val="00275B61"/>
    <w:rsid w:val="00280FAF"/>
    <w:rsid w:val="00282656"/>
    <w:rsid w:val="00284E14"/>
    <w:rsid w:val="00296540"/>
    <w:rsid w:val="00296B83"/>
    <w:rsid w:val="002A7793"/>
    <w:rsid w:val="002B4015"/>
    <w:rsid w:val="002B64B8"/>
    <w:rsid w:val="002B78CE"/>
    <w:rsid w:val="002C2FB6"/>
    <w:rsid w:val="002E5FA7"/>
    <w:rsid w:val="002E7912"/>
    <w:rsid w:val="002F3309"/>
    <w:rsid w:val="003008CE"/>
    <w:rsid w:val="003009B7"/>
    <w:rsid w:val="00300E56"/>
    <w:rsid w:val="0030152C"/>
    <w:rsid w:val="0030469C"/>
    <w:rsid w:val="00321CA6"/>
    <w:rsid w:val="00323763"/>
    <w:rsid w:val="00323C5F"/>
    <w:rsid w:val="00334C09"/>
    <w:rsid w:val="0035009F"/>
    <w:rsid w:val="00351BC5"/>
    <w:rsid w:val="00355386"/>
    <w:rsid w:val="003723D4"/>
    <w:rsid w:val="00374F0E"/>
    <w:rsid w:val="00381905"/>
    <w:rsid w:val="00384CC8"/>
    <w:rsid w:val="003871FD"/>
    <w:rsid w:val="00390576"/>
    <w:rsid w:val="003A1E30"/>
    <w:rsid w:val="003A2829"/>
    <w:rsid w:val="003A71FB"/>
    <w:rsid w:val="003A7D1C"/>
    <w:rsid w:val="003A7DCC"/>
    <w:rsid w:val="003B304B"/>
    <w:rsid w:val="003B3146"/>
    <w:rsid w:val="003C0FF7"/>
    <w:rsid w:val="003E758E"/>
    <w:rsid w:val="003F015E"/>
    <w:rsid w:val="003F383A"/>
    <w:rsid w:val="00400414"/>
    <w:rsid w:val="0041446B"/>
    <w:rsid w:val="004315AE"/>
    <w:rsid w:val="00431D67"/>
    <w:rsid w:val="00435B5B"/>
    <w:rsid w:val="0044071E"/>
    <w:rsid w:val="0044329C"/>
    <w:rsid w:val="00453E24"/>
    <w:rsid w:val="00455336"/>
    <w:rsid w:val="00457456"/>
    <w:rsid w:val="004577FE"/>
    <w:rsid w:val="00457B9C"/>
    <w:rsid w:val="0046164A"/>
    <w:rsid w:val="004628D2"/>
    <w:rsid w:val="00462DCD"/>
    <w:rsid w:val="004648AD"/>
    <w:rsid w:val="004703A9"/>
    <w:rsid w:val="004760DE"/>
    <w:rsid w:val="004763D7"/>
    <w:rsid w:val="004A004E"/>
    <w:rsid w:val="004A24CF"/>
    <w:rsid w:val="004B790C"/>
    <w:rsid w:val="004C3D1D"/>
    <w:rsid w:val="004C3D84"/>
    <w:rsid w:val="004C41C2"/>
    <w:rsid w:val="004C7913"/>
    <w:rsid w:val="004D482F"/>
    <w:rsid w:val="004E4DD6"/>
    <w:rsid w:val="004E7362"/>
    <w:rsid w:val="004F5E36"/>
    <w:rsid w:val="00502EEF"/>
    <w:rsid w:val="00507B47"/>
    <w:rsid w:val="00507BEF"/>
    <w:rsid w:val="00507CC9"/>
    <w:rsid w:val="005119A5"/>
    <w:rsid w:val="005278B7"/>
    <w:rsid w:val="00532016"/>
    <w:rsid w:val="005346C8"/>
    <w:rsid w:val="00543E7D"/>
    <w:rsid w:val="00547A68"/>
    <w:rsid w:val="005531C9"/>
    <w:rsid w:val="00557E00"/>
    <w:rsid w:val="00570C43"/>
    <w:rsid w:val="005B2110"/>
    <w:rsid w:val="005B61E6"/>
    <w:rsid w:val="005C77E1"/>
    <w:rsid w:val="005D668A"/>
    <w:rsid w:val="005D6A2F"/>
    <w:rsid w:val="005E1A82"/>
    <w:rsid w:val="005E794C"/>
    <w:rsid w:val="005F0A28"/>
    <w:rsid w:val="005F0E5E"/>
    <w:rsid w:val="00600535"/>
    <w:rsid w:val="00610CD6"/>
    <w:rsid w:val="00620DEE"/>
    <w:rsid w:val="00621F92"/>
    <w:rsid w:val="0062280A"/>
    <w:rsid w:val="00625639"/>
    <w:rsid w:val="00631B33"/>
    <w:rsid w:val="0064184D"/>
    <w:rsid w:val="006422CC"/>
    <w:rsid w:val="00660E3E"/>
    <w:rsid w:val="00662E74"/>
    <w:rsid w:val="00680C23"/>
    <w:rsid w:val="00681460"/>
    <w:rsid w:val="00693766"/>
    <w:rsid w:val="006A3281"/>
    <w:rsid w:val="006B4888"/>
    <w:rsid w:val="006B6CE8"/>
    <w:rsid w:val="006C2E45"/>
    <w:rsid w:val="006C359C"/>
    <w:rsid w:val="006C5579"/>
    <w:rsid w:val="006D6E8B"/>
    <w:rsid w:val="006E737D"/>
    <w:rsid w:val="00707DD1"/>
    <w:rsid w:val="00713973"/>
    <w:rsid w:val="00720A24"/>
    <w:rsid w:val="00732386"/>
    <w:rsid w:val="0073514D"/>
    <w:rsid w:val="007447F3"/>
    <w:rsid w:val="0075499F"/>
    <w:rsid w:val="00756C58"/>
    <w:rsid w:val="007629F7"/>
    <w:rsid w:val="007661C8"/>
    <w:rsid w:val="0077098D"/>
    <w:rsid w:val="0078338A"/>
    <w:rsid w:val="00786E62"/>
    <w:rsid w:val="00791D9A"/>
    <w:rsid w:val="007931FA"/>
    <w:rsid w:val="007A4861"/>
    <w:rsid w:val="007A7BBA"/>
    <w:rsid w:val="007B0C50"/>
    <w:rsid w:val="007B48F9"/>
    <w:rsid w:val="007C0D1A"/>
    <w:rsid w:val="007C1A43"/>
    <w:rsid w:val="007D0951"/>
    <w:rsid w:val="007E23D9"/>
    <w:rsid w:val="007E4CCB"/>
    <w:rsid w:val="0080013E"/>
    <w:rsid w:val="008014BD"/>
    <w:rsid w:val="008042D6"/>
    <w:rsid w:val="00813288"/>
    <w:rsid w:val="008168FC"/>
    <w:rsid w:val="00830996"/>
    <w:rsid w:val="008345F1"/>
    <w:rsid w:val="00865B07"/>
    <w:rsid w:val="008667EA"/>
    <w:rsid w:val="0087637F"/>
    <w:rsid w:val="00892AD5"/>
    <w:rsid w:val="008A1512"/>
    <w:rsid w:val="008D32B9"/>
    <w:rsid w:val="008D433B"/>
    <w:rsid w:val="008D4A16"/>
    <w:rsid w:val="008E566E"/>
    <w:rsid w:val="008E58F7"/>
    <w:rsid w:val="008F0434"/>
    <w:rsid w:val="0090161A"/>
    <w:rsid w:val="00901EB6"/>
    <w:rsid w:val="00904C62"/>
    <w:rsid w:val="00922BA8"/>
    <w:rsid w:val="00924DAC"/>
    <w:rsid w:val="00927058"/>
    <w:rsid w:val="00942750"/>
    <w:rsid w:val="009450CE"/>
    <w:rsid w:val="009459BB"/>
    <w:rsid w:val="00946AFE"/>
    <w:rsid w:val="00947179"/>
    <w:rsid w:val="0095164B"/>
    <w:rsid w:val="00954090"/>
    <w:rsid w:val="009573E7"/>
    <w:rsid w:val="00963E05"/>
    <w:rsid w:val="00964A45"/>
    <w:rsid w:val="00967843"/>
    <w:rsid w:val="00967D54"/>
    <w:rsid w:val="00971028"/>
    <w:rsid w:val="00993B84"/>
    <w:rsid w:val="00996483"/>
    <w:rsid w:val="00996F5A"/>
    <w:rsid w:val="009A4AC5"/>
    <w:rsid w:val="009B041A"/>
    <w:rsid w:val="009C37C3"/>
    <w:rsid w:val="009C7C86"/>
    <w:rsid w:val="009D2FF7"/>
    <w:rsid w:val="009E7884"/>
    <w:rsid w:val="009E788A"/>
    <w:rsid w:val="009F0E08"/>
    <w:rsid w:val="00A03937"/>
    <w:rsid w:val="00A04DD0"/>
    <w:rsid w:val="00A1763D"/>
    <w:rsid w:val="00A17CEC"/>
    <w:rsid w:val="00A24F7B"/>
    <w:rsid w:val="00A27EF0"/>
    <w:rsid w:val="00A37793"/>
    <w:rsid w:val="00A42361"/>
    <w:rsid w:val="00A50B20"/>
    <w:rsid w:val="00A51390"/>
    <w:rsid w:val="00A527C7"/>
    <w:rsid w:val="00A60D13"/>
    <w:rsid w:val="00A714EF"/>
    <w:rsid w:val="00A7223D"/>
    <w:rsid w:val="00A72745"/>
    <w:rsid w:val="00A76EFC"/>
    <w:rsid w:val="00A87D50"/>
    <w:rsid w:val="00A91010"/>
    <w:rsid w:val="00A97F29"/>
    <w:rsid w:val="00AA702E"/>
    <w:rsid w:val="00AA7D26"/>
    <w:rsid w:val="00AB0964"/>
    <w:rsid w:val="00AB5011"/>
    <w:rsid w:val="00AB5550"/>
    <w:rsid w:val="00AC6562"/>
    <w:rsid w:val="00AC7368"/>
    <w:rsid w:val="00AD01B1"/>
    <w:rsid w:val="00AD16B9"/>
    <w:rsid w:val="00AE377D"/>
    <w:rsid w:val="00AF0EBA"/>
    <w:rsid w:val="00AF46C8"/>
    <w:rsid w:val="00B02C8A"/>
    <w:rsid w:val="00B17FBD"/>
    <w:rsid w:val="00B25639"/>
    <w:rsid w:val="00B315A6"/>
    <w:rsid w:val="00B31813"/>
    <w:rsid w:val="00B31C0C"/>
    <w:rsid w:val="00B33365"/>
    <w:rsid w:val="00B57B36"/>
    <w:rsid w:val="00B57E6F"/>
    <w:rsid w:val="00B8686D"/>
    <w:rsid w:val="00B93F69"/>
    <w:rsid w:val="00BB1DDC"/>
    <w:rsid w:val="00BB2EB9"/>
    <w:rsid w:val="00BC30C9"/>
    <w:rsid w:val="00BD077D"/>
    <w:rsid w:val="00BD1DBA"/>
    <w:rsid w:val="00BE3E58"/>
    <w:rsid w:val="00C010DF"/>
    <w:rsid w:val="00C01616"/>
    <w:rsid w:val="00C0162B"/>
    <w:rsid w:val="00C068ED"/>
    <w:rsid w:val="00C22E0C"/>
    <w:rsid w:val="00C24AF1"/>
    <w:rsid w:val="00C345B1"/>
    <w:rsid w:val="00C40142"/>
    <w:rsid w:val="00C52C3C"/>
    <w:rsid w:val="00C57182"/>
    <w:rsid w:val="00C57863"/>
    <w:rsid w:val="00C640AF"/>
    <w:rsid w:val="00C655FD"/>
    <w:rsid w:val="00C66559"/>
    <w:rsid w:val="00C75407"/>
    <w:rsid w:val="00C841C6"/>
    <w:rsid w:val="00C870A8"/>
    <w:rsid w:val="00C94434"/>
    <w:rsid w:val="00CA0D75"/>
    <w:rsid w:val="00CA1C95"/>
    <w:rsid w:val="00CA2318"/>
    <w:rsid w:val="00CA5A9C"/>
    <w:rsid w:val="00CC4C20"/>
    <w:rsid w:val="00CC5384"/>
    <w:rsid w:val="00CD3517"/>
    <w:rsid w:val="00CD5FE2"/>
    <w:rsid w:val="00CE7C68"/>
    <w:rsid w:val="00D02B4C"/>
    <w:rsid w:val="00D040C4"/>
    <w:rsid w:val="00D20AD1"/>
    <w:rsid w:val="00D2582C"/>
    <w:rsid w:val="00D44C6D"/>
    <w:rsid w:val="00D46B7E"/>
    <w:rsid w:val="00D57C84"/>
    <w:rsid w:val="00D6057D"/>
    <w:rsid w:val="00D660A7"/>
    <w:rsid w:val="00D71640"/>
    <w:rsid w:val="00D836C5"/>
    <w:rsid w:val="00D84576"/>
    <w:rsid w:val="00DA1399"/>
    <w:rsid w:val="00DA24C6"/>
    <w:rsid w:val="00DA4258"/>
    <w:rsid w:val="00DA4D7B"/>
    <w:rsid w:val="00DB31A8"/>
    <w:rsid w:val="00DD271C"/>
    <w:rsid w:val="00DE264A"/>
    <w:rsid w:val="00DF5072"/>
    <w:rsid w:val="00E02D18"/>
    <w:rsid w:val="00E041E7"/>
    <w:rsid w:val="00E05B31"/>
    <w:rsid w:val="00E114ED"/>
    <w:rsid w:val="00E23CA1"/>
    <w:rsid w:val="00E31E2F"/>
    <w:rsid w:val="00E409A8"/>
    <w:rsid w:val="00E50C12"/>
    <w:rsid w:val="00E521F9"/>
    <w:rsid w:val="00E62362"/>
    <w:rsid w:val="00E65B91"/>
    <w:rsid w:val="00E7209D"/>
    <w:rsid w:val="00E72EAD"/>
    <w:rsid w:val="00E7566B"/>
    <w:rsid w:val="00E77223"/>
    <w:rsid w:val="00E8528B"/>
    <w:rsid w:val="00E853CA"/>
    <w:rsid w:val="00E85B94"/>
    <w:rsid w:val="00E978D0"/>
    <w:rsid w:val="00EA3789"/>
    <w:rsid w:val="00EA4613"/>
    <w:rsid w:val="00EA7F91"/>
    <w:rsid w:val="00EB1523"/>
    <w:rsid w:val="00EB20EC"/>
    <w:rsid w:val="00EB69A3"/>
    <w:rsid w:val="00EC0E49"/>
    <w:rsid w:val="00EC101F"/>
    <w:rsid w:val="00EC1D9F"/>
    <w:rsid w:val="00EE0131"/>
    <w:rsid w:val="00EE17B0"/>
    <w:rsid w:val="00EF06D9"/>
    <w:rsid w:val="00F13915"/>
    <w:rsid w:val="00F3049E"/>
    <w:rsid w:val="00F30C64"/>
    <w:rsid w:val="00F32BA2"/>
    <w:rsid w:val="00F32CDB"/>
    <w:rsid w:val="00F472F3"/>
    <w:rsid w:val="00F565FE"/>
    <w:rsid w:val="00F63A70"/>
    <w:rsid w:val="00F63D8C"/>
    <w:rsid w:val="00F66807"/>
    <w:rsid w:val="00F747C8"/>
    <w:rsid w:val="00F7534E"/>
    <w:rsid w:val="00F819CD"/>
    <w:rsid w:val="00F841E1"/>
    <w:rsid w:val="00F93EDF"/>
    <w:rsid w:val="00F964C7"/>
    <w:rsid w:val="00FA1802"/>
    <w:rsid w:val="00FA21D0"/>
    <w:rsid w:val="00FA5F5F"/>
    <w:rsid w:val="00FB730C"/>
    <w:rsid w:val="00FC2695"/>
    <w:rsid w:val="00FC3E03"/>
    <w:rsid w:val="00FC3FC1"/>
    <w:rsid w:val="00FE48CA"/>
    <w:rsid w:val="00FE7FD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09C15B6-9009-4216-8C59-5F12FD1B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165312"/>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paragraph" w:styleId="Revision">
    <w:name w:val="Revision"/>
    <w:hidden/>
    <w:uiPriority w:val="99"/>
    <w:semiHidden/>
    <w:rsid w:val="00756C58"/>
    <w:pPr>
      <w:spacing w:after="0" w:line="240" w:lineRule="auto"/>
    </w:pPr>
    <w:rPr>
      <w:rFonts w:ascii="Arial" w:eastAsia="Times New Roman" w:hAnsi="Arial" w:cs="Times New Roman"/>
      <w:sz w:val="18"/>
      <w:szCs w:val="20"/>
      <w:lang w:val="en-GB"/>
    </w:rPr>
  </w:style>
  <w:style w:type="character" w:customStyle="1" w:styleId="UnresolvedMention">
    <w:name w:val="Unresolved Mention"/>
    <w:basedOn w:val="DefaultParagraphFont"/>
    <w:uiPriority w:val="99"/>
    <w:semiHidden/>
    <w:unhideWhenUsed/>
    <w:rsid w:val="00EB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87950">
      <w:bodyDiv w:val="1"/>
      <w:marLeft w:val="0"/>
      <w:marRight w:val="0"/>
      <w:marTop w:val="0"/>
      <w:marBottom w:val="0"/>
      <w:divBdr>
        <w:top w:val="none" w:sz="0" w:space="0" w:color="auto"/>
        <w:left w:val="none" w:sz="0" w:space="0" w:color="auto"/>
        <w:bottom w:val="none" w:sz="0" w:space="0" w:color="auto"/>
        <w:right w:val="none" w:sz="0" w:space="0" w:color="auto"/>
      </w:divBdr>
      <w:divsChild>
        <w:div w:id="1495535384">
          <w:marLeft w:val="0"/>
          <w:marRight w:val="0"/>
          <w:marTop w:val="0"/>
          <w:marBottom w:val="0"/>
          <w:divBdr>
            <w:top w:val="none" w:sz="0" w:space="0" w:color="auto"/>
            <w:left w:val="none" w:sz="0" w:space="0" w:color="auto"/>
            <w:bottom w:val="none" w:sz="0" w:space="0" w:color="auto"/>
            <w:right w:val="none" w:sz="0" w:space="0" w:color="auto"/>
          </w:divBdr>
        </w:div>
        <w:div w:id="289481684">
          <w:marLeft w:val="0"/>
          <w:marRight w:val="0"/>
          <w:marTop w:val="0"/>
          <w:marBottom w:val="0"/>
          <w:divBdr>
            <w:top w:val="none" w:sz="0" w:space="0" w:color="auto"/>
            <w:left w:val="none" w:sz="0" w:space="0" w:color="auto"/>
            <w:bottom w:val="none" w:sz="0" w:space="0" w:color="auto"/>
            <w:right w:val="none" w:sz="0" w:space="0" w:color="auto"/>
          </w:divBdr>
        </w:div>
      </w:divsChild>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12C3-0CDB-4530-9F8C-8DC8C32D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3130</Words>
  <Characters>17842</Characters>
  <Application>Microsoft Office Word</Application>
  <DocSecurity>0</DocSecurity>
  <Lines>148</Lines>
  <Paragraphs>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DOMINIC FOO</cp:lastModifiedBy>
  <cp:revision>7</cp:revision>
  <cp:lastPrinted>2015-05-12T18:31:00Z</cp:lastPrinted>
  <dcterms:created xsi:type="dcterms:W3CDTF">2026-04-16T10:32:00Z</dcterms:created>
  <dcterms:modified xsi:type="dcterms:W3CDTF">2026-04-18T02:36:00Z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