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C123A9"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C123A9" w:rsidRDefault="000A03B2" w:rsidP="00DE264A">
            <w:pPr>
              <w:tabs>
                <w:tab w:val="left" w:pos="-108"/>
              </w:tabs>
              <w:ind w:left="-108"/>
              <w:jc w:val="left"/>
              <w:rPr>
                <w:rFonts w:cs="Arial"/>
                <w:b/>
                <w:bCs/>
                <w:i/>
                <w:iCs/>
                <w:color w:val="000066"/>
                <w:sz w:val="12"/>
                <w:szCs w:val="12"/>
                <w:lang w:eastAsia="it-IT"/>
              </w:rPr>
            </w:pPr>
            <w:r w:rsidRPr="00C123A9">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123A9">
              <w:rPr>
                <w:rFonts w:ascii="AdvP6960" w:hAnsi="AdvP6960" w:cs="AdvP6960"/>
                <w:color w:val="241F20"/>
                <w:szCs w:val="18"/>
                <w:lang w:eastAsia="it-IT"/>
              </w:rPr>
              <w:t xml:space="preserve"> </w:t>
            </w:r>
            <w:r w:rsidRPr="00C123A9">
              <w:rPr>
                <w:rFonts w:cs="Arial"/>
                <w:b/>
                <w:bCs/>
                <w:i/>
                <w:iCs/>
                <w:color w:val="000066"/>
                <w:sz w:val="24"/>
                <w:szCs w:val="24"/>
                <w:lang w:eastAsia="it-IT"/>
              </w:rPr>
              <w:t>CHEMICAL ENGINEERING</w:t>
            </w:r>
            <w:r w:rsidRPr="00C123A9">
              <w:rPr>
                <w:rFonts w:cs="Arial"/>
                <w:b/>
                <w:bCs/>
                <w:i/>
                <w:iCs/>
                <w:color w:val="0033FF"/>
                <w:sz w:val="24"/>
                <w:szCs w:val="24"/>
                <w:lang w:eastAsia="it-IT"/>
              </w:rPr>
              <w:t xml:space="preserve"> </w:t>
            </w:r>
            <w:r w:rsidRPr="00C123A9">
              <w:rPr>
                <w:rFonts w:cs="Arial"/>
                <w:b/>
                <w:bCs/>
                <w:i/>
                <w:iCs/>
                <w:color w:val="666666"/>
                <w:sz w:val="24"/>
                <w:szCs w:val="24"/>
                <w:lang w:eastAsia="it-IT"/>
              </w:rPr>
              <w:t>TRANSACTIONS</w:t>
            </w:r>
            <w:r w:rsidRPr="00C123A9">
              <w:rPr>
                <w:color w:val="333333"/>
                <w:sz w:val="24"/>
                <w:szCs w:val="24"/>
                <w:lang w:eastAsia="it-IT"/>
              </w:rPr>
              <w:t xml:space="preserve"> </w:t>
            </w:r>
            <w:r w:rsidRPr="00C123A9">
              <w:rPr>
                <w:rFonts w:cs="Arial"/>
                <w:b/>
                <w:bCs/>
                <w:i/>
                <w:iCs/>
                <w:color w:val="000066"/>
                <w:sz w:val="27"/>
                <w:szCs w:val="27"/>
                <w:lang w:eastAsia="it-IT"/>
              </w:rPr>
              <w:br/>
            </w:r>
          </w:p>
          <w:p w14:paraId="4B780582" w14:textId="2980568B" w:rsidR="000A03B2" w:rsidRPr="00C123A9" w:rsidRDefault="00A76EFC" w:rsidP="00B57E6F">
            <w:pPr>
              <w:tabs>
                <w:tab w:val="left" w:pos="-108"/>
              </w:tabs>
              <w:ind w:left="-108"/>
              <w:rPr>
                <w:rFonts w:cs="Arial"/>
                <w:b/>
                <w:bCs/>
                <w:i/>
                <w:iCs/>
                <w:color w:val="000066"/>
                <w:sz w:val="22"/>
                <w:szCs w:val="22"/>
                <w:lang w:eastAsia="it-IT"/>
              </w:rPr>
            </w:pPr>
            <w:r w:rsidRPr="00C123A9">
              <w:rPr>
                <w:rFonts w:cs="Arial"/>
                <w:b/>
                <w:bCs/>
                <w:i/>
                <w:iCs/>
                <w:color w:val="000066"/>
                <w:sz w:val="22"/>
                <w:szCs w:val="22"/>
                <w:lang w:eastAsia="it-IT"/>
              </w:rPr>
              <w:t xml:space="preserve">VOL. </w:t>
            </w:r>
            <w:r w:rsidR="00825DD9" w:rsidRPr="00C123A9">
              <w:rPr>
                <w:rFonts w:cs="Arial"/>
                <w:b/>
                <w:bCs/>
                <w:i/>
                <w:iCs/>
                <w:color w:val="000066"/>
                <w:sz w:val="22"/>
                <w:szCs w:val="22"/>
                <w:lang w:eastAsia="it-IT"/>
              </w:rPr>
              <w:t>xxx</w:t>
            </w:r>
            <w:r w:rsidR="007B48F9" w:rsidRPr="00C123A9">
              <w:rPr>
                <w:rFonts w:cs="Arial"/>
                <w:b/>
                <w:bCs/>
                <w:i/>
                <w:iCs/>
                <w:color w:val="000066"/>
                <w:sz w:val="22"/>
                <w:szCs w:val="22"/>
                <w:lang w:eastAsia="it-IT"/>
              </w:rPr>
              <w:t>,</w:t>
            </w:r>
            <w:r w:rsidR="00FA5F5F" w:rsidRPr="00C123A9">
              <w:rPr>
                <w:rFonts w:cs="Arial"/>
                <w:b/>
                <w:bCs/>
                <w:i/>
                <w:iCs/>
                <w:color w:val="000066"/>
                <w:sz w:val="22"/>
                <w:szCs w:val="22"/>
                <w:lang w:eastAsia="it-IT"/>
              </w:rPr>
              <w:t xml:space="preserve"> 20</w:t>
            </w:r>
            <w:r w:rsidR="00DF5072" w:rsidRPr="00C123A9">
              <w:rPr>
                <w:rFonts w:cs="Arial"/>
                <w:b/>
                <w:bCs/>
                <w:i/>
                <w:iCs/>
                <w:color w:val="000066"/>
                <w:sz w:val="22"/>
                <w:szCs w:val="22"/>
                <w:lang w:eastAsia="it-IT"/>
              </w:rPr>
              <w:t>2</w:t>
            </w:r>
            <w:r w:rsidR="00770A96">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C123A9" w:rsidRDefault="000A03B2" w:rsidP="00CD5FE2">
            <w:pPr>
              <w:spacing w:line="140" w:lineRule="atLeast"/>
              <w:jc w:val="right"/>
              <w:rPr>
                <w:rFonts w:cs="Arial"/>
                <w:sz w:val="14"/>
                <w:szCs w:val="14"/>
              </w:rPr>
            </w:pPr>
            <w:r w:rsidRPr="00C123A9">
              <w:rPr>
                <w:rFonts w:cs="Arial"/>
                <w:sz w:val="14"/>
                <w:szCs w:val="14"/>
              </w:rPr>
              <w:t>A publication of</w:t>
            </w:r>
          </w:p>
          <w:p w14:paraId="599E5441" w14:textId="77777777" w:rsidR="000A03B2" w:rsidRPr="00C123A9" w:rsidRDefault="000A03B2" w:rsidP="00CD5FE2">
            <w:pPr>
              <w:jc w:val="right"/>
            </w:pPr>
            <w:r w:rsidRPr="00C123A9">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C123A9" w14:paraId="380FA3CD" w14:textId="77777777" w:rsidTr="00DE264A">
        <w:trPr>
          <w:trHeight w:val="567"/>
          <w:jc w:val="center"/>
        </w:trPr>
        <w:tc>
          <w:tcPr>
            <w:tcW w:w="6946" w:type="dxa"/>
            <w:vMerge/>
            <w:tcBorders>
              <w:right w:val="single" w:sz="4" w:space="0" w:color="auto"/>
            </w:tcBorders>
          </w:tcPr>
          <w:p w14:paraId="39E5E4C1" w14:textId="77777777" w:rsidR="000A03B2" w:rsidRPr="00C123A9"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C123A9" w:rsidRDefault="000A03B2" w:rsidP="00CD5FE2">
            <w:pPr>
              <w:spacing w:line="140" w:lineRule="atLeast"/>
              <w:jc w:val="right"/>
              <w:rPr>
                <w:rFonts w:cs="Arial"/>
                <w:sz w:val="14"/>
                <w:szCs w:val="14"/>
              </w:rPr>
            </w:pPr>
            <w:r w:rsidRPr="00C123A9">
              <w:rPr>
                <w:rFonts w:cs="Arial"/>
                <w:sz w:val="14"/>
                <w:szCs w:val="14"/>
              </w:rPr>
              <w:t>The Italian Association</w:t>
            </w:r>
          </w:p>
          <w:p w14:paraId="7522B1D2" w14:textId="77777777" w:rsidR="000A03B2" w:rsidRPr="00C123A9" w:rsidRDefault="000A03B2" w:rsidP="00CD5FE2">
            <w:pPr>
              <w:spacing w:line="140" w:lineRule="atLeast"/>
              <w:jc w:val="right"/>
              <w:rPr>
                <w:rFonts w:cs="Arial"/>
                <w:sz w:val="14"/>
                <w:szCs w:val="14"/>
              </w:rPr>
            </w:pPr>
            <w:r w:rsidRPr="00C123A9">
              <w:rPr>
                <w:rFonts w:cs="Arial"/>
                <w:sz w:val="14"/>
                <w:szCs w:val="14"/>
              </w:rPr>
              <w:t>of Chemical Engineering</w:t>
            </w:r>
          </w:p>
          <w:p w14:paraId="4F0CC5DE" w14:textId="47FDB2FC" w:rsidR="000A03B2" w:rsidRPr="00C123A9" w:rsidRDefault="000D0268" w:rsidP="00CD5FE2">
            <w:pPr>
              <w:spacing w:line="140" w:lineRule="atLeast"/>
              <w:jc w:val="right"/>
              <w:rPr>
                <w:rFonts w:cs="Arial"/>
                <w:sz w:val="13"/>
                <w:szCs w:val="13"/>
              </w:rPr>
            </w:pPr>
            <w:r w:rsidRPr="00C123A9">
              <w:rPr>
                <w:rFonts w:cs="Arial"/>
                <w:sz w:val="13"/>
                <w:szCs w:val="13"/>
              </w:rPr>
              <w:t>Online at www.cetjournal.it</w:t>
            </w:r>
          </w:p>
        </w:tc>
      </w:tr>
      <w:tr w:rsidR="000A03B2" w:rsidRPr="00C123A9" w14:paraId="2D1B7169" w14:textId="77777777" w:rsidTr="00DE264A">
        <w:trPr>
          <w:trHeight w:val="68"/>
          <w:jc w:val="center"/>
        </w:trPr>
        <w:tc>
          <w:tcPr>
            <w:tcW w:w="8789" w:type="dxa"/>
            <w:gridSpan w:val="2"/>
          </w:tcPr>
          <w:p w14:paraId="4B0BB442" w14:textId="4EADF2C2" w:rsidR="00300E56" w:rsidRPr="00F94FB0" w:rsidRDefault="00300E56" w:rsidP="00B57E6F">
            <w:pPr>
              <w:ind w:left="-107"/>
              <w:outlineLvl w:val="2"/>
              <w:rPr>
                <w:rFonts w:ascii="Tahoma" w:hAnsi="Tahoma" w:cs="Tahoma"/>
                <w:bCs/>
                <w:color w:val="000000"/>
                <w:sz w:val="14"/>
                <w:szCs w:val="14"/>
                <w:lang w:val="pt-BR" w:eastAsia="it-IT"/>
              </w:rPr>
            </w:pPr>
            <w:proofErr w:type="spellStart"/>
            <w:r w:rsidRPr="00F94FB0">
              <w:rPr>
                <w:rFonts w:ascii="Tahoma" w:hAnsi="Tahoma" w:cs="Tahoma"/>
                <w:iCs/>
                <w:color w:val="333333"/>
                <w:sz w:val="14"/>
                <w:szCs w:val="14"/>
                <w:lang w:val="pt-BR" w:eastAsia="it-IT"/>
              </w:rPr>
              <w:t>Guest</w:t>
            </w:r>
            <w:proofErr w:type="spellEnd"/>
            <w:r w:rsidRPr="00F94FB0">
              <w:rPr>
                <w:rFonts w:ascii="Tahoma" w:hAnsi="Tahoma" w:cs="Tahoma"/>
                <w:iCs/>
                <w:color w:val="333333"/>
                <w:sz w:val="14"/>
                <w:szCs w:val="14"/>
                <w:lang w:val="pt-BR" w:eastAsia="it-IT"/>
              </w:rPr>
              <w:t xml:space="preserve"> </w:t>
            </w:r>
            <w:proofErr w:type="spellStart"/>
            <w:r w:rsidRPr="00F94FB0">
              <w:rPr>
                <w:rFonts w:ascii="Tahoma" w:hAnsi="Tahoma" w:cs="Tahoma"/>
                <w:iCs/>
                <w:color w:val="333333"/>
                <w:sz w:val="14"/>
                <w:szCs w:val="14"/>
                <w:lang w:val="pt-BR" w:eastAsia="it-IT"/>
              </w:rPr>
              <w:t>Editors</w:t>
            </w:r>
            <w:proofErr w:type="spellEnd"/>
            <w:r w:rsidRPr="00F94FB0">
              <w:rPr>
                <w:rFonts w:ascii="Tahoma" w:hAnsi="Tahoma" w:cs="Tahoma"/>
                <w:iCs/>
                <w:color w:val="333333"/>
                <w:sz w:val="14"/>
                <w:szCs w:val="14"/>
                <w:lang w:val="pt-BR" w:eastAsia="it-IT"/>
              </w:rPr>
              <w:t>:</w:t>
            </w:r>
            <w:r w:rsidR="00904C62" w:rsidRPr="00F94FB0">
              <w:rPr>
                <w:rFonts w:ascii="Tahoma" w:hAnsi="Tahoma" w:cs="Tahoma"/>
                <w:iCs/>
                <w:color w:val="333333"/>
                <w:sz w:val="14"/>
                <w:szCs w:val="14"/>
                <w:lang w:val="pt-BR" w:eastAsia="it-IT"/>
              </w:rPr>
              <w:t xml:space="preserve"> </w:t>
            </w:r>
            <w:r w:rsidR="00B57E6F" w:rsidRPr="00F94FB0">
              <w:rPr>
                <w:rFonts w:ascii="Tahoma" w:hAnsi="Tahoma" w:cs="Tahoma"/>
                <w:color w:val="000000"/>
                <w:sz w:val="14"/>
                <w:szCs w:val="14"/>
                <w:shd w:val="clear" w:color="auto" w:fill="FFFFFF"/>
                <w:lang w:val="pt-BR"/>
              </w:rPr>
              <w:t xml:space="preserve">Valerio </w:t>
            </w:r>
            <w:proofErr w:type="spellStart"/>
            <w:r w:rsidR="00B57E6F" w:rsidRPr="00F94FB0">
              <w:rPr>
                <w:rFonts w:ascii="Tahoma" w:hAnsi="Tahoma" w:cs="Tahoma"/>
                <w:color w:val="000000"/>
                <w:sz w:val="14"/>
                <w:szCs w:val="14"/>
                <w:shd w:val="clear" w:color="auto" w:fill="FFFFFF"/>
                <w:lang w:val="pt-BR"/>
              </w:rPr>
              <w:t>Cozzani</w:t>
            </w:r>
            <w:proofErr w:type="spellEnd"/>
            <w:r w:rsidR="00B57E6F" w:rsidRPr="00F94FB0">
              <w:rPr>
                <w:rFonts w:ascii="Tahoma" w:hAnsi="Tahoma" w:cs="Tahoma"/>
                <w:color w:val="000000"/>
                <w:sz w:val="14"/>
                <w:szCs w:val="14"/>
                <w:shd w:val="clear" w:color="auto" w:fill="FFFFFF"/>
                <w:lang w:val="pt-BR"/>
              </w:rPr>
              <w:t xml:space="preserve">, </w:t>
            </w:r>
            <w:r w:rsidR="001331DF" w:rsidRPr="00F94FB0">
              <w:rPr>
                <w:rFonts w:ascii="Tahoma" w:hAnsi="Tahoma" w:cs="Tahoma"/>
                <w:color w:val="000000"/>
                <w:sz w:val="14"/>
                <w:szCs w:val="14"/>
                <w:shd w:val="clear" w:color="auto" w:fill="FFFFFF"/>
                <w:lang w:val="pt-BR"/>
              </w:rPr>
              <w:t>Bruno Fabiano</w:t>
            </w:r>
            <w:r w:rsidR="00B57E6F" w:rsidRPr="00F94FB0">
              <w:rPr>
                <w:rFonts w:ascii="Tahoma" w:hAnsi="Tahoma" w:cs="Tahoma"/>
                <w:color w:val="000000"/>
                <w:sz w:val="14"/>
                <w:szCs w:val="14"/>
                <w:shd w:val="clear" w:color="auto" w:fill="FFFFFF"/>
                <w:lang w:val="pt-BR"/>
              </w:rPr>
              <w:t xml:space="preserve">, </w:t>
            </w:r>
            <w:proofErr w:type="spellStart"/>
            <w:r w:rsidR="00B57E6F" w:rsidRPr="00F94FB0">
              <w:rPr>
                <w:rFonts w:ascii="Tahoma" w:hAnsi="Tahoma" w:cs="Tahoma"/>
                <w:bCs/>
                <w:color w:val="000000"/>
                <w:sz w:val="14"/>
                <w:szCs w:val="14"/>
                <w:lang w:val="pt-BR" w:eastAsia="it-IT"/>
              </w:rPr>
              <w:t>Genserik</w:t>
            </w:r>
            <w:proofErr w:type="spellEnd"/>
            <w:r w:rsidR="00B57E6F" w:rsidRPr="00F94FB0">
              <w:rPr>
                <w:rFonts w:ascii="Tahoma" w:hAnsi="Tahoma" w:cs="Tahoma"/>
                <w:bCs/>
                <w:color w:val="000000"/>
                <w:sz w:val="14"/>
                <w:szCs w:val="14"/>
                <w:lang w:val="pt-BR" w:eastAsia="it-IT"/>
              </w:rPr>
              <w:t xml:space="preserve"> </w:t>
            </w:r>
            <w:proofErr w:type="spellStart"/>
            <w:r w:rsidR="00B57E6F" w:rsidRPr="00F94FB0">
              <w:rPr>
                <w:rFonts w:ascii="Tahoma" w:hAnsi="Tahoma" w:cs="Tahoma"/>
                <w:bCs/>
                <w:color w:val="000000"/>
                <w:sz w:val="14"/>
                <w:szCs w:val="14"/>
                <w:lang w:val="pt-BR" w:eastAsia="it-IT"/>
              </w:rPr>
              <w:t>Reniers</w:t>
            </w:r>
            <w:proofErr w:type="spellEnd"/>
          </w:p>
          <w:p w14:paraId="1B0F1814" w14:textId="14092120" w:rsidR="000A03B2" w:rsidRPr="00C123A9" w:rsidRDefault="00FA5F5F" w:rsidP="00B57E6F">
            <w:pPr>
              <w:tabs>
                <w:tab w:val="left" w:pos="-108"/>
              </w:tabs>
              <w:spacing w:line="140" w:lineRule="atLeast"/>
              <w:ind w:left="-107"/>
              <w:jc w:val="left"/>
            </w:pPr>
            <w:r w:rsidRPr="00C123A9">
              <w:rPr>
                <w:rFonts w:ascii="Tahoma" w:hAnsi="Tahoma" w:cs="Tahoma"/>
                <w:iCs/>
                <w:color w:val="333333"/>
                <w:sz w:val="14"/>
                <w:szCs w:val="14"/>
                <w:lang w:eastAsia="it-IT"/>
              </w:rPr>
              <w:t>Copyright © 20</w:t>
            </w:r>
            <w:r w:rsidR="00DF5072" w:rsidRPr="00C123A9">
              <w:rPr>
                <w:rFonts w:ascii="Tahoma" w:hAnsi="Tahoma" w:cs="Tahoma"/>
                <w:iCs/>
                <w:color w:val="333333"/>
                <w:sz w:val="14"/>
                <w:szCs w:val="14"/>
                <w:lang w:eastAsia="it-IT"/>
              </w:rPr>
              <w:t>2</w:t>
            </w:r>
            <w:r w:rsidR="00770A96">
              <w:rPr>
                <w:rFonts w:ascii="Tahoma" w:hAnsi="Tahoma" w:cs="Tahoma"/>
                <w:iCs/>
                <w:color w:val="333333"/>
                <w:sz w:val="14"/>
                <w:szCs w:val="14"/>
                <w:lang w:eastAsia="it-IT"/>
              </w:rPr>
              <w:t>6</w:t>
            </w:r>
            <w:r w:rsidR="00904C62" w:rsidRPr="00C123A9">
              <w:rPr>
                <w:rFonts w:ascii="Tahoma" w:hAnsi="Tahoma" w:cs="Tahoma"/>
                <w:iCs/>
                <w:color w:val="333333"/>
                <w:sz w:val="14"/>
                <w:szCs w:val="14"/>
                <w:lang w:eastAsia="it-IT"/>
              </w:rPr>
              <w:t xml:space="preserve">, AIDIC </w:t>
            </w:r>
            <w:proofErr w:type="spellStart"/>
            <w:r w:rsidR="00904C62" w:rsidRPr="00C123A9">
              <w:rPr>
                <w:rFonts w:ascii="Tahoma" w:hAnsi="Tahoma" w:cs="Tahoma"/>
                <w:iCs/>
                <w:color w:val="333333"/>
                <w:sz w:val="14"/>
                <w:szCs w:val="14"/>
                <w:lang w:eastAsia="it-IT"/>
              </w:rPr>
              <w:t>Servizi</w:t>
            </w:r>
            <w:proofErr w:type="spellEnd"/>
            <w:r w:rsidR="00904C62" w:rsidRPr="00C123A9">
              <w:rPr>
                <w:rFonts w:ascii="Tahoma" w:hAnsi="Tahoma" w:cs="Tahoma"/>
                <w:iCs/>
                <w:color w:val="333333"/>
                <w:sz w:val="14"/>
                <w:szCs w:val="14"/>
                <w:lang w:eastAsia="it-IT"/>
              </w:rPr>
              <w:t xml:space="preserve"> </w:t>
            </w:r>
            <w:proofErr w:type="spellStart"/>
            <w:r w:rsidR="00904C62" w:rsidRPr="00C123A9">
              <w:rPr>
                <w:rFonts w:ascii="Tahoma" w:hAnsi="Tahoma" w:cs="Tahoma"/>
                <w:iCs/>
                <w:color w:val="333333"/>
                <w:sz w:val="14"/>
                <w:szCs w:val="14"/>
                <w:lang w:eastAsia="it-IT"/>
              </w:rPr>
              <w:t>S.r.l</w:t>
            </w:r>
            <w:proofErr w:type="spellEnd"/>
            <w:r w:rsidR="00904C62" w:rsidRPr="00C123A9">
              <w:rPr>
                <w:rFonts w:ascii="Tahoma" w:hAnsi="Tahoma" w:cs="Tahoma"/>
                <w:iCs/>
                <w:color w:val="333333"/>
                <w:sz w:val="14"/>
                <w:szCs w:val="14"/>
                <w:lang w:eastAsia="it-IT"/>
              </w:rPr>
              <w:t>.</w:t>
            </w:r>
            <w:r w:rsidR="00300E56" w:rsidRPr="00C123A9">
              <w:rPr>
                <w:rFonts w:ascii="Tahoma" w:hAnsi="Tahoma" w:cs="Tahoma"/>
                <w:iCs/>
                <w:color w:val="333333"/>
                <w:sz w:val="14"/>
                <w:szCs w:val="14"/>
                <w:lang w:eastAsia="it-IT"/>
              </w:rPr>
              <w:br/>
            </w:r>
            <w:r w:rsidR="00300E56" w:rsidRPr="00C123A9">
              <w:rPr>
                <w:rFonts w:ascii="Tahoma" w:hAnsi="Tahoma" w:cs="Tahoma"/>
                <w:b/>
                <w:iCs/>
                <w:color w:val="000000"/>
                <w:sz w:val="14"/>
                <w:szCs w:val="14"/>
                <w:lang w:eastAsia="it-IT"/>
              </w:rPr>
              <w:t>ISBN</w:t>
            </w:r>
            <w:r w:rsidR="00300E56" w:rsidRPr="00C123A9">
              <w:rPr>
                <w:rFonts w:ascii="Tahoma" w:hAnsi="Tahoma" w:cs="Tahoma"/>
                <w:iCs/>
                <w:color w:val="000000"/>
                <w:sz w:val="14"/>
                <w:szCs w:val="14"/>
                <w:lang w:eastAsia="it-IT"/>
              </w:rPr>
              <w:t xml:space="preserve"> </w:t>
            </w:r>
            <w:r w:rsidR="00825DD9" w:rsidRPr="00C123A9">
              <w:rPr>
                <w:rFonts w:ascii="Tahoma" w:hAnsi="Tahoma" w:cs="Tahoma"/>
                <w:sz w:val="14"/>
                <w:szCs w:val="14"/>
                <w:lang w:eastAsia="it-IT"/>
              </w:rPr>
              <w:t>979-12-81206-11-3</w:t>
            </w:r>
            <w:r w:rsidR="007B48F9" w:rsidRPr="00C123A9">
              <w:rPr>
                <w:rFonts w:ascii="Tahoma" w:hAnsi="Tahoma" w:cs="Tahoma"/>
                <w:iCs/>
                <w:color w:val="333333"/>
                <w:sz w:val="14"/>
                <w:szCs w:val="14"/>
                <w:lang w:eastAsia="it-IT"/>
              </w:rPr>
              <w:t>;</w:t>
            </w:r>
            <w:r w:rsidR="00300E56" w:rsidRPr="00C123A9">
              <w:rPr>
                <w:rFonts w:ascii="Tahoma" w:hAnsi="Tahoma" w:cs="Tahoma"/>
                <w:iCs/>
                <w:color w:val="333333"/>
                <w:sz w:val="14"/>
                <w:szCs w:val="14"/>
                <w:lang w:eastAsia="it-IT"/>
              </w:rPr>
              <w:t xml:space="preserve"> </w:t>
            </w:r>
            <w:r w:rsidR="00300E56" w:rsidRPr="00C123A9">
              <w:rPr>
                <w:rFonts w:ascii="Tahoma" w:hAnsi="Tahoma" w:cs="Tahoma"/>
                <w:b/>
                <w:iCs/>
                <w:color w:val="333333"/>
                <w:sz w:val="14"/>
                <w:szCs w:val="14"/>
                <w:lang w:eastAsia="it-IT"/>
              </w:rPr>
              <w:t>ISSN</w:t>
            </w:r>
            <w:r w:rsidR="00300E56" w:rsidRPr="00C123A9">
              <w:rPr>
                <w:rFonts w:ascii="Tahoma" w:hAnsi="Tahoma" w:cs="Tahoma"/>
                <w:iCs/>
                <w:color w:val="333333"/>
                <w:sz w:val="14"/>
                <w:szCs w:val="14"/>
                <w:lang w:eastAsia="it-IT"/>
              </w:rPr>
              <w:t xml:space="preserve"> 2283-9216</w:t>
            </w:r>
          </w:p>
        </w:tc>
      </w:tr>
    </w:tbl>
    <w:p w14:paraId="10DAA130" w14:textId="77777777" w:rsidR="000A03B2" w:rsidRPr="00C123A9" w:rsidRDefault="000A03B2" w:rsidP="000A03B2">
      <w:pPr>
        <w:pStyle w:val="CETAuthors"/>
        <w:rPr>
          <w:noProof w:val="0"/>
          <w:lang w:val="en-US"/>
        </w:rPr>
        <w:sectPr w:rsidR="000A03B2" w:rsidRPr="00C123A9" w:rsidSect="00EF3C20">
          <w:type w:val="continuous"/>
          <w:pgSz w:w="11906" w:h="16838" w:code="9"/>
          <w:pgMar w:top="1701" w:right="1418" w:bottom="1701" w:left="1701" w:header="1701" w:footer="0" w:gutter="0"/>
          <w:cols w:space="708"/>
          <w:titlePg/>
          <w:docGrid w:linePitch="360"/>
        </w:sectPr>
      </w:pPr>
    </w:p>
    <w:p w14:paraId="2E667253" w14:textId="1BD75DA1" w:rsidR="00E978D0" w:rsidRPr="00C123A9" w:rsidRDefault="00770A96" w:rsidP="00DD177B">
      <w:pPr>
        <w:pStyle w:val="CETTitle"/>
        <w:rPr>
          <w:lang w:val="en-US"/>
        </w:rPr>
      </w:pPr>
      <w:r w:rsidRPr="00770A96">
        <w:rPr>
          <w:rFonts w:cs="Arial"/>
          <w:color w:val="000000"/>
          <w:szCs w:val="32"/>
          <w:bdr w:val="none" w:sz="0" w:space="0" w:color="auto" w:frame="1"/>
          <w:lang w:val="en-US"/>
        </w:rPr>
        <w:t>Development and Validation of an Inherent Safety Self-Assessment Framework (ISSAF) for the Food Industry: A Multi-Case Study in Wheat Flour Tortilla Manufacturing</w:t>
      </w:r>
    </w:p>
    <w:p w14:paraId="0488FED2" w14:textId="339D0932" w:rsidR="00B57E6F" w:rsidRPr="00770A96" w:rsidRDefault="00770A96" w:rsidP="00B57E6F">
      <w:pPr>
        <w:pStyle w:val="CETAuthors"/>
        <w:rPr>
          <w:noProof w:val="0"/>
          <w:lang w:val="es-MX"/>
        </w:rPr>
      </w:pPr>
      <w:bookmarkStart w:id="0" w:name="_Hlk219321618"/>
      <w:r w:rsidRPr="00770A96">
        <w:rPr>
          <w:rFonts w:cs="Arial"/>
          <w:noProof w:val="0"/>
          <w:color w:val="000000"/>
          <w:shd w:val="clear" w:color="auto" w:fill="FFFFFF"/>
          <w:lang w:val="es-MX"/>
        </w:rPr>
        <w:t>Gustavo A. Espinoza-</w:t>
      </w:r>
      <w:proofErr w:type="spellStart"/>
      <w:proofErr w:type="gramStart"/>
      <w:r w:rsidRPr="00770A96">
        <w:rPr>
          <w:rFonts w:cs="Arial"/>
          <w:noProof w:val="0"/>
          <w:color w:val="000000"/>
          <w:shd w:val="clear" w:color="auto" w:fill="FFFFFF"/>
          <w:lang w:val="es-MX"/>
        </w:rPr>
        <w:t>Calderón</w:t>
      </w:r>
      <w:r w:rsidRPr="00770A96">
        <w:rPr>
          <w:rFonts w:cs="Arial"/>
          <w:noProof w:val="0"/>
          <w:color w:val="000000"/>
          <w:shd w:val="clear" w:color="auto" w:fill="FFFFFF"/>
          <w:vertAlign w:val="superscript"/>
          <w:lang w:val="es-MX"/>
        </w:rPr>
        <w:t>a</w:t>
      </w:r>
      <w:proofErr w:type="spellEnd"/>
      <w:r w:rsidRPr="00770A96">
        <w:rPr>
          <w:rFonts w:cs="Arial"/>
          <w:noProof w:val="0"/>
          <w:color w:val="000000"/>
          <w:shd w:val="clear" w:color="auto" w:fill="FFFFFF"/>
          <w:vertAlign w:val="superscript"/>
          <w:lang w:val="es-MX"/>
        </w:rPr>
        <w:t>,*</w:t>
      </w:r>
      <w:proofErr w:type="gramEnd"/>
      <w:r w:rsidRPr="00770A96">
        <w:rPr>
          <w:rFonts w:cs="Arial"/>
          <w:noProof w:val="0"/>
          <w:color w:val="000000"/>
          <w:shd w:val="clear" w:color="auto" w:fill="FFFFFF"/>
          <w:lang w:val="es-MX"/>
        </w:rPr>
        <w:t>, Gloria O. Bustamante-</w:t>
      </w:r>
      <w:proofErr w:type="spellStart"/>
      <w:r w:rsidRPr="00770A96">
        <w:rPr>
          <w:rFonts w:cs="Arial"/>
          <w:noProof w:val="0"/>
          <w:color w:val="000000"/>
          <w:shd w:val="clear" w:color="auto" w:fill="FFFFFF"/>
          <w:lang w:val="es-MX"/>
        </w:rPr>
        <w:t>Cárdenas</w:t>
      </w:r>
      <w:r w:rsidRPr="00770A96">
        <w:rPr>
          <w:rFonts w:cs="Arial"/>
          <w:noProof w:val="0"/>
          <w:color w:val="000000"/>
          <w:shd w:val="clear" w:color="auto" w:fill="FFFFFF"/>
          <w:vertAlign w:val="superscript"/>
          <w:lang w:val="es-MX"/>
        </w:rPr>
        <w:t>a</w:t>
      </w:r>
      <w:proofErr w:type="spellEnd"/>
      <w:r w:rsidRPr="00770A96">
        <w:rPr>
          <w:rFonts w:cs="Arial"/>
          <w:noProof w:val="0"/>
          <w:color w:val="000000"/>
          <w:shd w:val="clear" w:color="auto" w:fill="FFFFFF"/>
          <w:lang w:val="es-MX"/>
        </w:rPr>
        <w:t xml:space="preserve">, </w:t>
      </w:r>
      <w:proofErr w:type="spellStart"/>
      <w:r w:rsidRPr="00770A96">
        <w:rPr>
          <w:rFonts w:cs="Arial"/>
          <w:noProof w:val="0"/>
          <w:color w:val="000000"/>
          <w:shd w:val="clear" w:color="auto" w:fill="FFFFFF"/>
          <w:lang w:val="es-MX"/>
        </w:rPr>
        <w:t>Milthon</w:t>
      </w:r>
      <w:proofErr w:type="spellEnd"/>
      <w:r w:rsidRPr="00770A96">
        <w:rPr>
          <w:rFonts w:cs="Arial"/>
          <w:noProof w:val="0"/>
          <w:color w:val="000000"/>
          <w:shd w:val="clear" w:color="auto" w:fill="FFFFFF"/>
          <w:lang w:val="es-MX"/>
        </w:rPr>
        <w:t xml:space="preserve"> Morales-</w:t>
      </w:r>
      <w:proofErr w:type="spellStart"/>
      <w:r w:rsidRPr="00770A96">
        <w:rPr>
          <w:rFonts w:cs="Arial"/>
          <w:noProof w:val="0"/>
          <w:color w:val="000000"/>
          <w:shd w:val="clear" w:color="auto" w:fill="FFFFFF"/>
          <w:lang w:val="es-MX"/>
        </w:rPr>
        <w:t>Miranda</w:t>
      </w:r>
      <w:r w:rsidRPr="00770A96">
        <w:rPr>
          <w:rFonts w:cs="Arial"/>
          <w:noProof w:val="0"/>
          <w:color w:val="000000"/>
          <w:shd w:val="clear" w:color="auto" w:fill="FFFFFF"/>
          <w:vertAlign w:val="superscript"/>
          <w:lang w:val="es-MX"/>
        </w:rPr>
        <w:t>a</w:t>
      </w:r>
      <w:bookmarkEnd w:id="0"/>
      <w:proofErr w:type="spellEnd"/>
    </w:p>
    <w:p w14:paraId="777F07EF" w14:textId="77777777" w:rsidR="00770A96" w:rsidRPr="00770A96" w:rsidRDefault="00770A96" w:rsidP="00770A96">
      <w:pPr>
        <w:pStyle w:val="CETAddress"/>
        <w:spacing w:after="240"/>
        <w:rPr>
          <w:rFonts w:cs="Arial"/>
          <w:color w:val="000000"/>
          <w:szCs w:val="16"/>
          <w:lang w:val="es-MX" w:eastAsia="es-PE"/>
        </w:rPr>
      </w:pPr>
      <w:bookmarkStart w:id="1" w:name="_Hlk160095173"/>
      <w:r w:rsidRPr="00770A96">
        <w:rPr>
          <w:rFonts w:cs="Arial"/>
          <w:color w:val="000000"/>
          <w:szCs w:val="16"/>
          <w:lang w:val="es-MX" w:eastAsia="es-PE"/>
        </w:rPr>
        <w:t>a Facultad de Ciencias Agrarias, Universidad Nacional de Huancavelica, Huancavelica, Perú.  </w:t>
      </w:r>
    </w:p>
    <w:p w14:paraId="5F60652B" w14:textId="77777777" w:rsidR="00770A96" w:rsidRPr="00026AAE" w:rsidRDefault="00000000" w:rsidP="00770A96">
      <w:pPr>
        <w:pStyle w:val="CETAddress"/>
        <w:rPr>
          <w:rFonts w:cs="Arial"/>
          <w:szCs w:val="16"/>
          <w:lang w:val="en-US" w:eastAsia="es-PE"/>
        </w:rPr>
      </w:pPr>
      <w:hyperlink r:id="rId10" w:tgtFrame="_blank" w:history="1">
        <w:r w:rsidR="00770A96" w:rsidRPr="00026AAE">
          <w:rPr>
            <w:rStyle w:val="Hipervnculo"/>
            <w:rFonts w:cs="Arial"/>
            <w:color w:val="auto"/>
            <w:szCs w:val="16"/>
            <w:u w:val="none"/>
            <w:lang w:val="en-US" w:eastAsia="es-PE"/>
          </w:rPr>
          <w:t>*gustavo.espinoza</w:t>
        </w:r>
        <w:bookmarkStart w:id="2" w:name="_Hlk219321708"/>
        <w:r w:rsidR="00770A96" w:rsidRPr="00026AAE">
          <w:rPr>
            <w:rStyle w:val="Hipervnculo"/>
            <w:rFonts w:cs="Arial"/>
            <w:color w:val="auto"/>
            <w:szCs w:val="16"/>
            <w:u w:val="none"/>
            <w:lang w:val="en-US" w:eastAsia="es-PE"/>
          </w:rPr>
          <w:t>@unh.edu.pe</w:t>
        </w:r>
        <w:bookmarkEnd w:id="2"/>
      </w:hyperlink>
    </w:p>
    <w:p w14:paraId="6893AF25" w14:textId="64E31A91" w:rsidR="005334F5" w:rsidRPr="00026AAE" w:rsidRDefault="005334F5" w:rsidP="008E3917">
      <w:pPr>
        <w:pStyle w:val="CETAddress"/>
        <w:spacing w:after="240"/>
        <w:rPr>
          <w:noProof w:val="0"/>
          <w:lang w:val="en-US"/>
        </w:rPr>
      </w:pPr>
    </w:p>
    <w:p w14:paraId="07835AC5" w14:textId="239CF9E8" w:rsidR="008E3917" w:rsidRPr="00667327" w:rsidRDefault="00674116" w:rsidP="000614CC">
      <w:pPr>
        <w:pStyle w:val="CETBodytext"/>
      </w:pPr>
      <w:r w:rsidRPr="00674116">
        <w:t xml:space="preserve">The manufacturing sector consistently reports a high incidence of occupational accidents, highlighting the need for proactive safety frameworks in strategic food industries such as wheat flour tortilla production. This study aims to develop and validate an Inherent Safety Self-Assessment Framework (ISSAF) that integrates occupational safety and food safety requirements. A mixed-methods multi-case study was conducted across three manufacturing plants with different automation levels in the San Fernando Valley, California. The framework integrates an expanded Ishikawa (5M) analysis, a Risk Analysis Questionnaire (RAQ), and a modified Inherent Safety Index (ISI) incorporating a Food Safety Risk Factor (FR-I). The RAQ demonstrated high internal consistency (Cronbach’s </w:t>
      </w:r>
      <w:r>
        <w:rPr>
          <w:rFonts w:cs="Arial"/>
        </w:rPr>
        <w:t>α</w:t>
      </w:r>
      <w:r w:rsidRPr="00674116">
        <w:t xml:space="preserve"> = 0.89). Results show that the implementation of inherent safety principles, particularly simplification and substitution, reduced the overall risk profile by up to 35</w:t>
      </w:r>
      <w:r w:rsidR="004B788C">
        <w:t xml:space="preserve"> </w:t>
      </w:r>
      <w:r w:rsidRPr="00674116">
        <w:t>% in low-automation environments and 12–22</w:t>
      </w:r>
      <w:r w:rsidR="004B788C">
        <w:t xml:space="preserve"> </w:t>
      </w:r>
      <w:r w:rsidRPr="00674116">
        <w:t>% in more automated plants. Additionally, the framework facilitated the identification and elimination of microbial accumulation zones associated with equipment design. The findings suggest that ISSAF is an effective tool for integrating occupational and food safety considerations. While statistical correlation was not formally tested, a consistent association was observed between automation level and risk reduction potential. The framework offers a scalable approach for improving safety performance and supporting more robust and adaptable food manufacturing systems.</w:t>
      </w:r>
    </w:p>
    <w:bookmarkEnd w:id="1"/>
    <w:p w14:paraId="476B2F2E" w14:textId="5D2E6293" w:rsidR="00600535" w:rsidRPr="00B22FA1" w:rsidRDefault="00600535" w:rsidP="00600535">
      <w:pPr>
        <w:pStyle w:val="CETHeading1"/>
        <w:rPr>
          <w:color w:val="000000" w:themeColor="text1"/>
        </w:rPr>
      </w:pPr>
      <w:r w:rsidRPr="00B22FA1">
        <w:rPr>
          <w:color w:val="000000" w:themeColor="text1"/>
        </w:rPr>
        <w:t>Introduction</w:t>
      </w:r>
    </w:p>
    <w:p w14:paraId="7D4DE898" w14:textId="7992E467" w:rsidR="00C0167C" w:rsidRDefault="00C0167C" w:rsidP="00C0167C">
      <w:pPr>
        <w:pStyle w:val="CETBodytext"/>
      </w:pPr>
      <w:r>
        <w:t>The U.S. Bureau of Labor Statistics reported a 5.7</w:t>
      </w:r>
      <w:r w:rsidR="00003C1B">
        <w:t xml:space="preserve"> </w:t>
      </w:r>
      <w:r>
        <w:t>% increase in fatal occupational injuries during 2022, resulting in 5,486 worker fatalities</w:t>
      </w:r>
      <w:r w:rsidR="00B944A9">
        <w:t xml:space="preserve">, </w:t>
      </w:r>
      <w:r>
        <w:t>equivalent to one victim every 96 minutes (OSHA, 2024). Within the food manufacturing sector, occupational health and safety (OHS) management is not merely a regulatory requirement but a fundamental pillar for operational continuity and human capital protection (DIR, 2022). While traditional safety management has focused on mitigating potential harms</w:t>
      </w:r>
      <w:r w:rsidR="00026AAE">
        <w:t>,</w:t>
      </w:r>
      <w:r w:rsidR="00B944A9">
        <w:t xml:space="preserve"> </w:t>
      </w:r>
      <w:r w:rsidR="00026AAE">
        <w:t>d</w:t>
      </w:r>
      <w:r>
        <w:t>efined as any source of injury or adverse health effect (OSHA, 2022a)</w:t>
      </w:r>
      <w:r w:rsidR="00B944A9">
        <w:t xml:space="preserve">, </w:t>
      </w:r>
      <w:r>
        <w:t>modern manufacturing facilities present a high degree of complexity. In these environments, accidents are rarely the result of isolated human errors; rather, they emerge from the intricate causal interactions between technical obsolescence, human factors, and rigid organizational designs (</w:t>
      </w:r>
      <w:proofErr w:type="spellStart"/>
      <w:r>
        <w:t>Ma</w:t>
      </w:r>
      <w:r w:rsidR="00026AAE">
        <w:t>rr</w:t>
      </w:r>
      <w:r>
        <w:t>a</w:t>
      </w:r>
      <w:r w:rsidR="00026AAE">
        <w:t>zz</w:t>
      </w:r>
      <w:r>
        <w:t>o</w:t>
      </w:r>
      <w:proofErr w:type="spellEnd"/>
      <w:r>
        <w:t xml:space="preserve"> </w:t>
      </w:r>
      <w:r w:rsidR="00003C1B">
        <w:t>and</w:t>
      </w:r>
      <w:r>
        <w:t xml:space="preserve"> Barone, 2024).</w:t>
      </w:r>
    </w:p>
    <w:p w14:paraId="30E10768" w14:textId="77777777" w:rsidR="00C0167C" w:rsidRDefault="00C0167C" w:rsidP="00C0167C">
      <w:pPr>
        <w:pStyle w:val="CETBodytext"/>
      </w:pPr>
    </w:p>
    <w:p w14:paraId="43E5E1BF" w14:textId="135147F8" w:rsidR="00C0167C" w:rsidRDefault="00C0167C" w:rsidP="00C0167C">
      <w:pPr>
        <w:pStyle w:val="CETBodytext"/>
      </w:pPr>
      <w:r>
        <w:t>In this landscape, the tortilla and tortilla-derivative industry represents a crucial economic sector in the United States, driven by the sustained growth of the Hispanic population and the globalization of ethnic cuisines. Despite rigorous oversight from the Food and Drug Administration (FDA) and the Occupational Safety and Health Administration (OSHA), production plants</w:t>
      </w:r>
      <w:r w:rsidR="005F2339">
        <w:t xml:space="preserve">, </w:t>
      </w:r>
      <w:r>
        <w:t>particularly small and medium-sized enterprises (SMEs)</w:t>
      </w:r>
      <w:r w:rsidR="005F2339">
        <w:t>,</w:t>
      </w:r>
      <w:r>
        <w:t xml:space="preserve"> face a dual burden: ensuring worker safety while maintaining strict food </w:t>
      </w:r>
      <w:r w:rsidR="00337800">
        <w:t xml:space="preserve">safety </w:t>
      </w:r>
      <w:r>
        <w:t xml:space="preserve">standards under the Food Safety Modernization Act (FSMA) (Espinoza </w:t>
      </w:r>
      <w:r w:rsidR="00026AAE">
        <w:t>and</w:t>
      </w:r>
      <w:r>
        <w:t xml:space="preserve"> Bustamante, 2024). Conventional risk management tools, such as </w:t>
      </w:r>
      <w:r>
        <w:lastRenderedPageBreak/>
        <w:t>the Ishikawa diagram, the hierarchy of safety controls, and Risk Analysis Questionnaires (RAQ), have been instrumental in establishing preventive controls (Al-</w:t>
      </w:r>
      <w:proofErr w:type="spellStart"/>
      <w:r>
        <w:t>Bayati</w:t>
      </w:r>
      <w:proofErr w:type="spellEnd"/>
      <w:r>
        <w:t xml:space="preserve"> et al., 202</w:t>
      </w:r>
      <w:r w:rsidR="00024195">
        <w:t>1</w:t>
      </w:r>
      <w:r>
        <w:t>; Ab-Rahim et al., 2024). However, a significant research gap persists in the implementation of Inherent Safety principles—a proactive philosophy that seeks to eliminate hazards through design rather than managing them through administrative barriers.</w:t>
      </w:r>
    </w:p>
    <w:p w14:paraId="6512225E" w14:textId="77777777" w:rsidR="00C0167C" w:rsidRDefault="00C0167C" w:rsidP="00C0167C">
      <w:pPr>
        <w:pStyle w:val="CETBodytext"/>
      </w:pPr>
    </w:p>
    <w:p w14:paraId="03BD6304" w14:textId="0DBC4010" w:rsidR="00C0167C" w:rsidRDefault="00C0167C" w:rsidP="00C0167C">
      <w:pPr>
        <w:pStyle w:val="CETBodytext"/>
      </w:pPr>
      <w:r>
        <w:t>The "safety-quality paradox" in the food industry often results in conflicting protocols; for instance, mechanical guards intended for worker protection may create "microbial dead zones" that hinder deep sanitation, thereby increasing biological risks. To address this, the present study focuses on the development and validation of the Inherent Safety Self-Assessment Framework (ISSAF). This framework integrates proven diagnostic tools</w:t>
      </w:r>
      <w:r w:rsidR="00CB548C">
        <w:t>,</w:t>
      </w:r>
      <w:r w:rsidR="00B944A9">
        <w:t xml:space="preserve"> </w:t>
      </w:r>
      <w:r w:rsidR="00CB548C">
        <w:t>i</w:t>
      </w:r>
      <w:r>
        <w:t>ncluding an expanded Ishikawa approach (</w:t>
      </w:r>
      <w:proofErr w:type="spellStart"/>
      <w:r>
        <w:t>Burgasi</w:t>
      </w:r>
      <w:proofErr w:type="spellEnd"/>
      <w:r>
        <w:t xml:space="preserve"> et al., 2021) and a modified Inherent Safety Index (ISI)</w:t>
      </w:r>
      <w:r w:rsidR="00B944A9">
        <w:t xml:space="preserve"> </w:t>
      </w:r>
      <w:r>
        <w:t>to evaluate control effectiveness.</w:t>
      </w:r>
    </w:p>
    <w:p w14:paraId="138C5564" w14:textId="77777777" w:rsidR="00C0167C" w:rsidRDefault="00C0167C" w:rsidP="00C0167C">
      <w:pPr>
        <w:pStyle w:val="CETBodytext"/>
      </w:pPr>
    </w:p>
    <w:p w14:paraId="4D09E90C" w14:textId="07FB2FB3" w:rsidR="008E3917" w:rsidRPr="00B22FA1" w:rsidRDefault="00C0167C" w:rsidP="00C0167C">
      <w:pPr>
        <w:pStyle w:val="CETBodytext"/>
        <w:rPr>
          <w:rFonts w:ascii="Segoe UI" w:hAnsi="Segoe UI" w:cs="Segoe UI"/>
        </w:rPr>
      </w:pPr>
      <w:r>
        <w:t xml:space="preserve">The novelty of this research lies in its multidimensional validation: first, through a psychometric analysis of the RAQ (achieving a Cronbach’s alpha of 0.89) to capture worker risk perception; and second, through a comparative multi-case analysis of plants with varying automation levels in the San Fernando Valley, California. By analyzing critical variables such as thermal exposure and mechanical entrapment, this study identifies regulatory gaps and proposes a synergistic model where inherent design simultaneously enhances worker protection and product integrity (FSMA compliance), </w:t>
      </w:r>
      <w:r w:rsidR="000D0A26" w:rsidRPr="000D0A26">
        <w:t>offering a potential contribution to more resilient food manufacturing systems</w:t>
      </w:r>
      <w:r>
        <w:t>.</w:t>
      </w:r>
    </w:p>
    <w:p w14:paraId="239D4592" w14:textId="6ECA0F66" w:rsidR="00B10448" w:rsidRPr="00B22FA1" w:rsidRDefault="00B10448" w:rsidP="00600535">
      <w:pPr>
        <w:pStyle w:val="CETHeading1"/>
        <w:tabs>
          <w:tab w:val="right" w:pos="7100"/>
        </w:tabs>
        <w:jc w:val="both"/>
        <w:rPr>
          <w:color w:val="000000" w:themeColor="text1"/>
        </w:rPr>
      </w:pPr>
      <w:r w:rsidRPr="00B22FA1">
        <w:rPr>
          <w:color w:val="000000" w:themeColor="text1"/>
        </w:rPr>
        <w:t>Methodology</w:t>
      </w:r>
    </w:p>
    <w:p w14:paraId="68BE2E16" w14:textId="301E5326" w:rsidR="00674116" w:rsidRDefault="00674116" w:rsidP="00674116">
      <w:pPr>
        <w:pStyle w:val="CETBodytext"/>
      </w:pPr>
      <w:r>
        <w:t>This research employs a mixed-methods approach structured in three sequential phases: (</w:t>
      </w:r>
      <w:proofErr w:type="spellStart"/>
      <w:r>
        <w:t>i</w:t>
      </w:r>
      <w:proofErr w:type="spellEnd"/>
      <w:r>
        <w:t>) an epidemiological analysis of occupational accident data from federal databases to establish a risk baseline, (ii) a comparative multi-case study conducted in food manufacturing plants to identify operational hazards, and (iii) the development and validation of the proposed ISSAF.</w:t>
      </w:r>
    </w:p>
    <w:p w14:paraId="62FAFE4C" w14:textId="77777777" w:rsidR="00674116" w:rsidRDefault="00674116" w:rsidP="00674116">
      <w:pPr>
        <w:pStyle w:val="CETBodytext"/>
      </w:pPr>
    </w:p>
    <w:p w14:paraId="1D6A8AFA" w14:textId="70ABB3AC" w:rsidR="00625CEE" w:rsidRPr="00C5274C" w:rsidRDefault="00003C1B" w:rsidP="00674116">
      <w:pPr>
        <w:pStyle w:val="CETBodytext"/>
      </w:pPr>
      <w:r w:rsidRPr="00003C1B">
        <w:t>The mixed-methods design was selected to provide qualitative depth through process understanding and inherent design analysis, as well as quantitative rigor via risk reduction metrics and psychometric instrument validation. The multi-case study strategy follows the methodology established by Yin (2018), enabling analytical generalization across facilities with diverse technological and organizational characteristics.</w:t>
      </w:r>
    </w:p>
    <w:p w14:paraId="559965F0" w14:textId="0618CD8A" w:rsidR="00B10448" w:rsidRPr="00770A96" w:rsidRDefault="00B22FA1" w:rsidP="00B22FA1">
      <w:pPr>
        <w:pStyle w:val="CETheadingx"/>
      </w:pPr>
      <w:proofErr w:type="spellStart"/>
      <w:r w:rsidRPr="00B22FA1">
        <w:t>Research</w:t>
      </w:r>
      <w:proofErr w:type="spellEnd"/>
      <w:r w:rsidRPr="00B22FA1">
        <w:t xml:space="preserve"> </w:t>
      </w:r>
      <w:proofErr w:type="spellStart"/>
      <w:r w:rsidRPr="00B22FA1">
        <w:t>Design</w:t>
      </w:r>
      <w:proofErr w:type="spellEnd"/>
      <w:r w:rsidR="00003C1B">
        <w:t xml:space="preserve"> </w:t>
      </w:r>
    </w:p>
    <w:p w14:paraId="44B88550" w14:textId="5B4D4D4B" w:rsidR="00B22FA1" w:rsidRPr="00B22FA1" w:rsidRDefault="000A2DD4" w:rsidP="00B22FA1">
      <w:pPr>
        <w:pStyle w:val="CETBodytext"/>
      </w:pPr>
      <w:r w:rsidRPr="000A2DD4">
        <w:t>This study adopts a mixed-methods framework</w:t>
      </w:r>
      <w:r w:rsidR="00B22FA1" w:rsidRPr="00B22FA1">
        <w:t xml:space="preserve"> with a multi-case study design, following the guidelines established by Yin (2018). This design ensures external validity by testing the ISSAF framework across environments with varying automation levels:</w:t>
      </w:r>
    </w:p>
    <w:p w14:paraId="75DF365C" w14:textId="77777777" w:rsidR="00B22FA1" w:rsidRPr="00B22FA1" w:rsidRDefault="00B22FA1" w:rsidP="00B22FA1">
      <w:pPr>
        <w:pStyle w:val="CETBodytext"/>
        <w:numPr>
          <w:ilvl w:val="0"/>
          <w:numId w:val="23"/>
        </w:numPr>
      </w:pPr>
      <w:r w:rsidRPr="00B22FA1">
        <w:t>Plant A (High Automation): Continuous production lines with minimal manual intervention.</w:t>
      </w:r>
    </w:p>
    <w:p w14:paraId="0F357005" w14:textId="77777777" w:rsidR="00B22FA1" w:rsidRPr="00B22FA1" w:rsidRDefault="00B22FA1" w:rsidP="00B22FA1">
      <w:pPr>
        <w:pStyle w:val="CETBodytext"/>
        <w:numPr>
          <w:ilvl w:val="0"/>
          <w:numId w:val="23"/>
        </w:numPr>
      </w:pPr>
      <w:r w:rsidRPr="00B22FA1">
        <w:t>Plant B (Medium Automation): Semi-automated processes with high product diversification.</w:t>
      </w:r>
    </w:p>
    <w:p w14:paraId="10172864" w14:textId="77777777" w:rsidR="00B22FA1" w:rsidRPr="00B22FA1" w:rsidRDefault="00B22FA1" w:rsidP="00B22FA1">
      <w:pPr>
        <w:pStyle w:val="CETBodytext"/>
        <w:numPr>
          <w:ilvl w:val="0"/>
          <w:numId w:val="23"/>
        </w:numPr>
      </w:pPr>
      <w:r w:rsidRPr="00B22FA1">
        <w:t>Plant C (Low Automation): High reliance on manual labor in critical areas.</w:t>
      </w:r>
    </w:p>
    <w:p w14:paraId="677EBFF0" w14:textId="33D6D388" w:rsidR="00600535" w:rsidRPr="008C5EB7" w:rsidRDefault="00B22FA1" w:rsidP="00B22FA1">
      <w:pPr>
        <w:pStyle w:val="CETheadingx"/>
      </w:pPr>
      <w:r w:rsidRPr="00B22FA1">
        <w:t xml:space="preserve">Framework </w:t>
      </w:r>
      <w:proofErr w:type="spellStart"/>
      <w:r w:rsidRPr="00B22FA1">
        <w:t>Development</w:t>
      </w:r>
      <w:proofErr w:type="spellEnd"/>
      <w:r w:rsidRPr="00B22FA1">
        <w:t xml:space="preserve"> (ISSAF </w:t>
      </w:r>
      <w:proofErr w:type="spellStart"/>
      <w:r w:rsidRPr="00B22FA1">
        <w:t>Structuring</w:t>
      </w:r>
      <w:proofErr w:type="spellEnd"/>
      <w:r w:rsidRPr="00B22FA1">
        <w:t>)</w:t>
      </w:r>
    </w:p>
    <w:p w14:paraId="403A116B" w14:textId="77777777" w:rsidR="00B22FA1" w:rsidRPr="00B22FA1" w:rsidRDefault="00B22FA1" w:rsidP="00B22FA1">
      <w:pPr>
        <w:pStyle w:val="CETBodytext"/>
      </w:pPr>
      <w:r w:rsidRPr="00B22FA1">
        <w:t xml:space="preserve">The ISSAF is based on the four pillars of Inherent Safety established by </w:t>
      </w:r>
      <w:proofErr w:type="spellStart"/>
      <w:r w:rsidRPr="00B22FA1">
        <w:t>Kletz</w:t>
      </w:r>
      <w:proofErr w:type="spellEnd"/>
      <w:r w:rsidRPr="00B22FA1">
        <w:t xml:space="preserve"> (1991), adapted for the food industry:</w:t>
      </w:r>
    </w:p>
    <w:p w14:paraId="0EBB0021" w14:textId="77777777" w:rsidR="00B22FA1" w:rsidRPr="00B22FA1" w:rsidRDefault="00B22FA1" w:rsidP="00B22FA1">
      <w:pPr>
        <w:pStyle w:val="CETBodytext"/>
        <w:numPr>
          <w:ilvl w:val="0"/>
          <w:numId w:val="25"/>
        </w:numPr>
      </w:pPr>
      <w:r w:rsidRPr="00B22FA1">
        <w:t>Minimization (Intensification): Reducing the quantity of hazardous substances (e.g., aggressive cleaning agents) stored or utilized within the facility.</w:t>
      </w:r>
    </w:p>
    <w:p w14:paraId="3700A5B1" w14:textId="77777777" w:rsidR="00B22FA1" w:rsidRPr="00B22FA1" w:rsidRDefault="00B22FA1" w:rsidP="00B22FA1">
      <w:pPr>
        <w:pStyle w:val="CETBodytext"/>
        <w:numPr>
          <w:ilvl w:val="0"/>
          <w:numId w:val="25"/>
        </w:numPr>
      </w:pPr>
      <w:r w:rsidRPr="00B22FA1">
        <w:t>Substitution: Replacing hazardous technologies with more benign alternatives (e.g., induction heating systems instead of high-pressure thermal oil).</w:t>
      </w:r>
    </w:p>
    <w:p w14:paraId="2EE13784" w14:textId="77777777" w:rsidR="00B22FA1" w:rsidRPr="00B22FA1" w:rsidRDefault="00B22FA1" w:rsidP="00B22FA1">
      <w:pPr>
        <w:pStyle w:val="CETBodytext"/>
        <w:numPr>
          <w:ilvl w:val="0"/>
          <w:numId w:val="25"/>
        </w:numPr>
      </w:pPr>
      <w:r w:rsidRPr="00B22FA1">
        <w:t>Moderation (Attenuation): Operating processes under less severe conditions (e.g., lower temperature or pressure).</w:t>
      </w:r>
    </w:p>
    <w:p w14:paraId="111B8FFC" w14:textId="77777777" w:rsidR="00B22FA1" w:rsidRPr="00B22FA1" w:rsidRDefault="00B22FA1" w:rsidP="00B22FA1">
      <w:pPr>
        <w:pStyle w:val="CETBodytext"/>
        <w:numPr>
          <w:ilvl w:val="0"/>
          <w:numId w:val="25"/>
        </w:numPr>
      </w:pPr>
      <w:r w:rsidRPr="00B22FA1">
        <w:t>Simplification: Designing equipment that minimizes the need for human intervention and facilitates mechanical sanitation.</w:t>
      </w:r>
    </w:p>
    <w:p w14:paraId="20E2861F" w14:textId="359688CD" w:rsidR="00A02469" w:rsidRPr="00E63F88" w:rsidRDefault="00B22FA1" w:rsidP="00B22FA1">
      <w:pPr>
        <w:pStyle w:val="CETheadingx"/>
        <w:rPr>
          <w:lang w:val="en-US"/>
        </w:rPr>
      </w:pPr>
      <w:r w:rsidRPr="00E63F88">
        <w:rPr>
          <w:lang w:val="en-US"/>
        </w:rPr>
        <w:t>Instrumentation and Psychometric Validation (RAQ)</w:t>
      </w:r>
    </w:p>
    <w:p w14:paraId="053952F3" w14:textId="77777777" w:rsidR="00B22FA1" w:rsidRPr="00B22FA1" w:rsidRDefault="00B22FA1" w:rsidP="00B22FA1">
      <w:pPr>
        <w:pStyle w:val="CETBodytext"/>
        <w:rPr>
          <w:lang w:val="es-MX"/>
        </w:rPr>
      </w:pPr>
      <w:r w:rsidRPr="00B22FA1">
        <w:t xml:space="preserve">The Risk Analysis Questionnaire (RAQ) was designed to evaluate risk perception and the framework's usability by safety committees. </w:t>
      </w:r>
      <w:proofErr w:type="spellStart"/>
      <w:r w:rsidRPr="00B22FA1">
        <w:rPr>
          <w:lang w:val="es-MX"/>
        </w:rPr>
        <w:t>The</w:t>
      </w:r>
      <w:proofErr w:type="spellEnd"/>
      <w:r w:rsidRPr="00B22FA1">
        <w:rPr>
          <w:lang w:val="es-MX"/>
        </w:rPr>
        <w:t xml:space="preserve"> </w:t>
      </w:r>
      <w:proofErr w:type="spellStart"/>
      <w:r w:rsidRPr="00B22FA1">
        <w:rPr>
          <w:lang w:val="es-MX"/>
        </w:rPr>
        <w:t>validation</w:t>
      </w:r>
      <w:proofErr w:type="spellEnd"/>
      <w:r w:rsidRPr="00B22FA1">
        <w:rPr>
          <w:lang w:val="es-MX"/>
        </w:rPr>
        <w:t xml:space="preserve"> </w:t>
      </w:r>
      <w:proofErr w:type="spellStart"/>
      <w:r w:rsidRPr="00B22FA1">
        <w:rPr>
          <w:lang w:val="es-MX"/>
        </w:rPr>
        <w:t>process</w:t>
      </w:r>
      <w:proofErr w:type="spellEnd"/>
      <w:r w:rsidRPr="00B22FA1">
        <w:rPr>
          <w:lang w:val="es-MX"/>
        </w:rPr>
        <w:t xml:space="preserve"> </w:t>
      </w:r>
      <w:proofErr w:type="spellStart"/>
      <w:r w:rsidRPr="00B22FA1">
        <w:rPr>
          <w:lang w:val="es-MX"/>
        </w:rPr>
        <w:t>included</w:t>
      </w:r>
      <w:proofErr w:type="spellEnd"/>
      <w:r w:rsidRPr="00B22FA1">
        <w:rPr>
          <w:lang w:val="es-MX"/>
        </w:rPr>
        <w:t>:</w:t>
      </w:r>
    </w:p>
    <w:p w14:paraId="032FEA74" w14:textId="77777777" w:rsidR="00B22FA1" w:rsidRPr="00B22FA1" w:rsidRDefault="00B22FA1" w:rsidP="00B22FA1">
      <w:pPr>
        <w:pStyle w:val="CETBodytext"/>
        <w:numPr>
          <w:ilvl w:val="0"/>
          <w:numId w:val="29"/>
        </w:numPr>
      </w:pPr>
      <w:r w:rsidRPr="00B22FA1">
        <w:t>Content Validation: Review by a panel of three safety engineering experts and one food safety specialist.</w:t>
      </w:r>
    </w:p>
    <w:p w14:paraId="60422421" w14:textId="77777777" w:rsidR="00B22FA1" w:rsidRPr="00B22FA1" w:rsidRDefault="00B22FA1" w:rsidP="00B22FA1">
      <w:pPr>
        <w:pStyle w:val="CETBodytext"/>
        <w:numPr>
          <w:ilvl w:val="0"/>
          <w:numId w:val="29"/>
        </w:numPr>
      </w:pPr>
      <w:r w:rsidRPr="00B22FA1">
        <w:lastRenderedPageBreak/>
        <w:t>Pilot Testing: Application in a plant not included in the final sample to refine question clarity.</w:t>
      </w:r>
    </w:p>
    <w:p w14:paraId="6470E479" w14:textId="77777777" w:rsidR="00B22FA1" w:rsidRPr="00B22FA1" w:rsidRDefault="00B22FA1" w:rsidP="00B22FA1">
      <w:pPr>
        <w:pStyle w:val="CETBodytext"/>
        <w:numPr>
          <w:ilvl w:val="0"/>
          <w:numId w:val="29"/>
        </w:numPr>
      </w:pPr>
      <w:r w:rsidRPr="00B22FA1">
        <w:t>Internal Consistency: Calculation of Cronbach’s alpha coefficient, yielding a value of 0.89, indicating high instrument reliability.</w:t>
      </w:r>
    </w:p>
    <w:p w14:paraId="7434A5CA" w14:textId="3DD91FAB" w:rsidR="00B22FA1" w:rsidRPr="00B22FA1" w:rsidRDefault="00B22FA1" w:rsidP="00B22FA1">
      <w:pPr>
        <w:pStyle w:val="CETheadingx"/>
        <w:rPr>
          <w:lang w:val="en-US"/>
        </w:rPr>
      </w:pPr>
      <w:r w:rsidRPr="00B22FA1">
        <w:rPr>
          <w:lang w:val="en-US"/>
        </w:rPr>
        <w:t>Integration of the Modified ISI</w:t>
      </w:r>
    </w:p>
    <w:p w14:paraId="4AC7CA5C" w14:textId="110B51E1" w:rsidR="006630E8" w:rsidRDefault="00B22FA1" w:rsidP="006630E8">
      <w:pPr>
        <w:pStyle w:val="CETBodytext"/>
      </w:pPr>
      <w:r w:rsidRPr="00B22FA1">
        <w:t>The traditional Inherent Safety Index (ISI) was adapted by incorporating a new variable: the Food Safety Risk Factor (FR-I). This factor penalizes designs that, while safe for the operator, allow for pathogen accumulation (dead zones) or hinder the application of Good Manufacturing Practices (GMP).</w:t>
      </w:r>
    </w:p>
    <w:p w14:paraId="13985298" w14:textId="750AA936" w:rsidR="00B739E2" w:rsidRPr="00B22FA1" w:rsidRDefault="001B105A" w:rsidP="00B739E2">
      <w:pPr>
        <w:pStyle w:val="CETheadingx"/>
        <w:rPr>
          <w:lang w:val="en-US"/>
        </w:rPr>
      </w:pPr>
      <w:r w:rsidRPr="001B105A">
        <w:rPr>
          <w:lang w:val="en-US"/>
        </w:rPr>
        <w:t>Framework Validation Strategy</w:t>
      </w:r>
    </w:p>
    <w:p w14:paraId="49253C9B" w14:textId="3322D712" w:rsidR="001B105A" w:rsidRPr="001B105A" w:rsidRDefault="001B105A" w:rsidP="00F5635A">
      <w:pPr>
        <w:pStyle w:val="CETBodytext"/>
      </w:pPr>
      <w:r w:rsidRPr="001B105A">
        <w:t>The validation of the ISSAF framework was conducted through three complementary approaches: content validity, empirical validation, and instrument reliability. Content validity was established by a panel of four experts, consisting of three specialists in industrial safety and one in food safety, who reviewed the framework structure, variables, and indicators to ensure technical relevance and completeness. Empirical validation was achieved by applying the framework across three case-study plants with varying automation levels, using the consistency of results as an indicator of external validity. Instrument reliability for the Risk Analysis Questionnaire (RAQ), a supporting diagnostic tool, was statistically confirmed using Cronbach’s alpha (</w:t>
      </w:r>
      <w:r w:rsidR="00F13516">
        <w:rPr>
          <w:rFonts w:cs="Arial"/>
        </w:rPr>
        <w:t>α</w:t>
      </w:r>
      <w:r w:rsidRPr="001B105A">
        <w:t xml:space="preserve"> = 0.89), which indicates </w:t>
      </w:r>
      <w:r w:rsidR="00E04EA5" w:rsidRPr="00F51A30">
        <w:t>strong reliability</w:t>
      </w:r>
      <w:r w:rsidRPr="001B105A">
        <w:t>. Finally, the robustness of the findings was strengthened through the triangulation of qualitative process observations, quantitative Risk Priority Number (RPN) reduction metrics, and perception data derived from the RAQ.</w:t>
      </w:r>
    </w:p>
    <w:p w14:paraId="4CBA0D11" w14:textId="4215436E" w:rsidR="005075F0" w:rsidRPr="00B22FA1" w:rsidRDefault="005075F0" w:rsidP="005075F0">
      <w:pPr>
        <w:pStyle w:val="CETHeading1"/>
        <w:rPr>
          <w:color w:val="000000" w:themeColor="text1"/>
        </w:rPr>
      </w:pPr>
      <w:r w:rsidRPr="00B22FA1">
        <w:rPr>
          <w:color w:val="000000" w:themeColor="text1"/>
        </w:rPr>
        <w:t>Results and discussion</w:t>
      </w:r>
    </w:p>
    <w:p w14:paraId="23A93183" w14:textId="77777777" w:rsidR="00E6773C" w:rsidRPr="00E63F88" w:rsidRDefault="00E6773C" w:rsidP="00E6773C">
      <w:pPr>
        <w:pStyle w:val="CETheadingx"/>
        <w:rPr>
          <w:lang w:val="en-US"/>
        </w:rPr>
      </w:pPr>
      <w:r w:rsidRPr="00D218E8">
        <w:rPr>
          <w:lang w:val="en-US"/>
        </w:rPr>
        <w:t>Process Mapping and Critical Control Points (CCP)</w:t>
      </w:r>
    </w:p>
    <w:p w14:paraId="660476F4" w14:textId="24B5596B" w:rsidR="00E6773C" w:rsidRDefault="00E6773C" w:rsidP="00E6773C">
      <w:pPr>
        <w:pStyle w:val="CETBodytext"/>
      </w:pPr>
      <w:r w:rsidRPr="00E6773C">
        <w:t xml:space="preserve">The production process mapping facilitated the identification of nodes where OSHA risks (physical hazards) and FSMA risks (biological hazards) converge. Figure </w:t>
      </w:r>
      <w:r w:rsidR="005F2339">
        <w:t>1</w:t>
      </w:r>
      <w:r w:rsidRPr="00E6773C">
        <w:t xml:space="preserve"> illustrates the workflow from silo reception to final packaging, highlighting the critical points where inherent safety interventions such as minimizing manual handling during mixing or modifying baking temperatures simultaneously reduced worker exposure and eliminated microbial "dead zones."</w:t>
      </w:r>
    </w:p>
    <w:p w14:paraId="03C61C0D" w14:textId="1CB5DFDE" w:rsidR="00573729" w:rsidRDefault="00573729" w:rsidP="00E6773C">
      <w:pPr>
        <w:pStyle w:val="CETBodytext"/>
        <w:rPr>
          <w:noProof/>
        </w:rPr>
      </w:pPr>
      <w:r w:rsidRPr="00573729">
        <w:rPr>
          <w:noProof/>
        </w:rPr>
        <w:drawing>
          <wp:inline distT="0" distB="0" distL="0" distR="0" wp14:anchorId="085A1295" wp14:editId="35D50DD8">
            <wp:extent cx="5577192" cy="1117600"/>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824"/>
                    <a:stretch/>
                  </pic:blipFill>
                  <pic:spPr bwMode="auto">
                    <a:xfrm>
                      <a:off x="0" y="0"/>
                      <a:ext cx="5579745" cy="1118112"/>
                    </a:xfrm>
                    <a:prstGeom prst="rect">
                      <a:avLst/>
                    </a:prstGeom>
                    <a:ln>
                      <a:noFill/>
                    </a:ln>
                    <a:extLst>
                      <a:ext uri="{53640926-AAD7-44D8-BBD7-CCE9431645EC}">
                        <a14:shadowObscured xmlns:a14="http://schemas.microsoft.com/office/drawing/2010/main"/>
                      </a:ext>
                    </a:extLst>
                  </pic:spPr>
                </pic:pic>
              </a:graphicData>
            </a:graphic>
          </wp:inline>
        </w:drawing>
      </w:r>
    </w:p>
    <w:p w14:paraId="4F947198" w14:textId="2797A7A9" w:rsidR="00573729" w:rsidRPr="00573729" w:rsidRDefault="00E6773C" w:rsidP="00CB548C">
      <w:pPr>
        <w:pStyle w:val="CETCaption"/>
      </w:pPr>
      <w:r w:rsidRPr="00E6773C">
        <w:t xml:space="preserve"> </w:t>
      </w:r>
      <w:r w:rsidRPr="000210D6">
        <w:t xml:space="preserve">Figure </w:t>
      </w:r>
      <w:r>
        <w:t>1</w:t>
      </w:r>
      <w:r w:rsidRPr="000210D6">
        <w:t xml:space="preserve">: </w:t>
      </w:r>
      <w:r w:rsidR="00573729" w:rsidRPr="00573729">
        <w:t>Process Mapping and Convergence of OSHA Physical Hazards and FSMA Biological Risks in Flour Tortilla Production</w:t>
      </w:r>
    </w:p>
    <w:p w14:paraId="60808178" w14:textId="09F26E0C" w:rsidR="005F2339" w:rsidRPr="005F2339" w:rsidRDefault="005F2339" w:rsidP="00E6773C">
      <w:pPr>
        <w:pStyle w:val="CETBodytext"/>
      </w:pPr>
      <w:r w:rsidRPr="005F2339">
        <w:t xml:space="preserve">The process nodes in Figure 1 represent "interference zones" where mechanical hazards and biological risks share a structural origin. According to Guo et al. (2024), industrial resilience requires an integrated approach to address points where technical obsolescence increases worker exposure and creates microbial "dead zones." The implementation of sealed pneumatic transfer and induction heating demonstrates the Substitution pillar's efficacy, mitigating dust explosion risks (OSHA) while preventing allergen cross-contamination (FSMA). This dual intervention aligns with </w:t>
      </w:r>
      <w:proofErr w:type="spellStart"/>
      <w:r w:rsidRPr="005F2339">
        <w:t>Marrazzo</w:t>
      </w:r>
      <w:proofErr w:type="spellEnd"/>
      <w:r w:rsidRPr="005F2339">
        <w:t xml:space="preserve"> &amp; Barone (2024) regarding the criticality of the operator-plant interface</w:t>
      </w:r>
      <w:r w:rsidR="00CB548C">
        <w:t>.</w:t>
      </w:r>
    </w:p>
    <w:p w14:paraId="3E9FE320" w14:textId="6E0236FD" w:rsidR="006630E8" w:rsidRPr="00AA7509" w:rsidRDefault="003C3A96" w:rsidP="00B22FA1">
      <w:pPr>
        <w:pStyle w:val="CETheadingx"/>
        <w:rPr>
          <w:rStyle w:val="eop"/>
          <w:lang w:val="en-US"/>
        </w:rPr>
      </w:pPr>
      <w:r w:rsidRPr="003C3A96">
        <w:rPr>
          <w:lang w:val="en-US"/>
        </w:rPr>
        <w:t>Technical Risk Mitigation and Application of Inherent Safety Pillars (ISSAF)</w:t>
      </w:r>
      <w:r w:rsidR="007A153D" w:rsidRPr="00AA7509">
        <w:rPr>
          <w:rStyle w:val="eop"/>
          <w:lang w:val="en-US"/>
        </w:rPr>
        <w:t> </w:t>
      </w:r>
    </w:p>
    <w:p w14:paraId="47E01BA0" w14:textId="77777777" w:rsidR="00573729" w:rsidRDefault="003C3A96" w:rsidP="00573729">
      <w:pPr>
        <w:pStyle w:val="CETBodytext"/>
        <w:rPr>
          <w:color w:val="000000" w:themeColor="text1"/>
        </w:rPr>
      </w:pPr>
      <w:r w:rsidRPr="003C3A96">
        <w:rPr>
          <w:color w:val="000000" w:themeColor="text1"/>
        </w:rPr>
        <w:t>The implementation of the ISSAF framework transformed the safety profile of the production lines from a reactive model to a proactive, design-centered one. The intervention was evaluated through two lenses: the qualitative application of inherent safety principles and the quantitative reduction of risk levels.</w:t>
      </w:r>
    </w:p>
    <w:p w14:paraId="1A24F439" w14:textId="77777777" w:rsidR="00F5635A" w:rsidRDefault="00F5635A" w:rsidP="00573729">
      <w:pPr>
        <w:pStyle w:val="CETBodytext"/>
        <w:rPr>
          <w:color w:val="000000" w:themeColor="text1"/>
        </w:rPr>
      </w:pPr>
    </w:p>
    <w:p w14:paraId="72B8ECA7" w14:textId="77777777" w:rsidR="00573729" w:rsidRPr="003B6F70" w:rsidRDefault="00AA7509" w:rsidP="003B6F70">
      <w:pPr>
        <w:pStyle w:val="CETTabletitle"/>
      </w:pPr>
      <w:r w:rsidRPr="003B6F70">
        <w:t>Table 1:</w:t>
      </w:r>
      <w:r w:rsidRPr="003B6F70">
        <w:rPr>
          <w:rStyle w:val="normaltextrun"/>
          <w:i w:val="0"/>
          <w:iCs/>
          <w:color w:val="000000" w:themeColor="text1"/>
        </w:rPr>
        <w:t xml:space="preserve"> </w:t>
      </w:r>
      <w:r w:rsidR="003C3A96" w:rsidRPr="003B6F70">
        <w:t>Qualitative Framework: Application of ISSAF Pillars and Food Safety Impact</w:t>
      </w:r>
      <w:r w:rsidR="00E63F88" w:rsidRPr="003B6F70">
        <w:t>.</w:t>
      </w:r>
    </w:p>
    <w:tbl>
      <w:tblPr>
        <w:tblpPr w:leftFromText="141" w:rightFromText="141" w:vertAnchor="text" w:horzAnchor="margin" w:tblpY="50"/>
        <w:tblW w:w="5000" w:type="pct"/>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418"/>
        <w:gridCol w:w="1701"/>
        <w:gridCol w:w="2977"/>
        <w:gridCol w:w="2691"/>
      </w:tblGrid>
      <w:tr w:rsidR="003B6F70" w:rsidRPr="00E63F88" w14:paraId="64991A51" w14:textId="77777777" w:rsidTr="003B6F70">
        <w:tc>
          <w:tcPr>
            <w:tcW w:w="807" w:type="pct"/>
            <w:tcBorders>
              <w:top w:val="single" w:sz="12" w:space="0" w:color="008000"/>
              <w:bottom w:val="single" w:sz="6" w:space="0" w:color="008000"/>
            </w:tcBorders>
            <w:shd w:val="clear" w:color="auto" w:fill="FFFFFF"/>
            <w:vAlign w:val="bottom"/>
          </w:tcPr>
          <w:p w14:paraId="467C5FA7"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Process Stage</w:t>
            </w:r>
          </w:p>
        </w:tc>
        <w:tc>
          <w:tcPr>
            <w:tcW w:w="968" w:type="pct"/>
            <w:tcBorders>
              <w:top w:val="single" w:sz="12" w:space="0" w:color="008000"/>
              <w:bottom w:val="single" w:sz="6" w:space="0" w:color="008000"/>
            </w:tcBorders>
            <w:shd w:val="clear" w:color="auto" w:fill="FFFFFF"/>
            <w:vAlign w:val="bottom"/>
          </w:tcPr>
          <w:p w14:paraId="2C6E6861"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ISSAF Pillar</w:t>
            </w:r>
          </w:p>
        </w:tc>
        <w:tc>
          <w:tcPr>
            <w:tcW w:w="1694" w:type="pct"/>
            <w:tcBorders>
              <w:top w:val="single" w:sz="12" w:space="0" w:color="008000"/>
              <w:bottom w:val="single" w:sz="6" w:space="0" w:color="008000"/>
            </w:tcBorders>
            <w:shd w:val="clear" w:color="auto" w:fill="FFFFFF"/>
            <w:vAlign w:val="bottom"/>
          </w:tcPr>
          <w:p w14:paraId="22A71B7F"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Technical Intervention</w:t>
            </w:r>
          </w:p>
        </w:tc>
        <w:tc>
          <w:tcPr>
            <w:tcW w:w="1531" w:type="pct"/>
            <w:tcBorders>
              <w:top w:val="single" w:sz="12" w:space="0" w:color="008000"/>
              <w:bottom w:val="single" w:sz="6" w:space="0" w:color="008000"/>
            </w:tcBorders>
            <w:shd w:val="clear" w:color="auto" w:fill="FFFFFF"/>
            <w:vAlign w:val="center"/>
          </w:tcPr>
          <w:p w14:paraId="7FD68AD5"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Impact on Food Safety (FR-I)</w:t>
            </w:r>
          </w:p>
        </w:tc>
      </w:tr>
      <w:tr w:rsidR="003B6F70" w:rsidRPr="00E63F88" w14:paraId="0FD6396A" w14:textId="77777777" w:rsidTr="003B6F70">
        <w:tc>
          <w:tcPr>
            <w:tcW w:w="807" w:type="pct"/>
            <w:shd w:val="clear" w:color="auto" w:fill="FFFFFF"/>
            <w:vAlign w:val="bottom"/>
          </w:tcPr>
          <w:p w14:paraId="609388E3" w14:textId="77777777" w:rsidR="003B6F70" w:rsidRPr="00E63F88" w:rsidRDefault="003B6F70" w:rsidP="003B6F70">
            <w:pPr>
              <w:pStyle w:val="CETTabletitle"/>
              <w:spacing w:before="0" w:after="0" w:line="240" w:lineRule="auto"/>
              <w:rPr>
                <w:i w:val="0"/>
                <w:iCs/>
                <w:color w:val="000000" w:themeColor="text1"/>
                <w:szCs w:val="18"/>
              </w:rPr>
            </w:pPr>
            <w:r w:rsidRPr="003C3A96">
              <w:rPr>
                <w:rFonts w:cs="Arial"/>
                <w:i w:val="0"/>
                <w:iCs/>
                <w:color w:val="000000"/>
                <w:szCs w:val="18"/>
              </w:rPr>
              <w:lastRenderedPageBreak/>
              <w:t>Mixing</w:t>
            </w:r>
          </w:p>
        </w:tc>
        <w:tc>
          <w:tcPr>
            <w:tcW w:w="968" w:type="pct"/>
            <w:shd w:val="clear" w:color="auto" w:fill="FFFFFF"/>
            <w:vAlign w:val="bottom"/>
          </w:tcPr>
          <w:p w14:paraId="16F76926"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Simplification</w:t>
            </w:r>
          </w:p>
        </w:tc>
        <w:tc>
          <w:tcPr>
            <w:tcW w:w="1694" w:type="pct"/>
            <w:shd w:val="clear" w:color="auto" w:fill="FFFFFF"/>
            <w:vAlign w:val="bottom"/>
          </w:tcPr>
          <w:p w14:paraId="2C8993DF" w14:textId="77777777" w:rsidR="003B6F70" w:rsidRPr="00E63F88" w:rsidRDefault="003B6F70" w:rsidP="003B6F70">
            <w:pPr>
              <w:pStyle w:val="CETTabletitle"/>
              <w:spacing w:before="0" w:after="0" w:line="240" w:lineRule="auto"/>
              <w:rPr>
                <w:i w:val="0"/>
                <w:iCs/>
                <w:color w:val="000000" w:themeColor="text1"/>
                <w:szCs w:val="18"/>
              </w:rPr>
            </w:pPr>
            <w:r w:rsidRPr="003C3A96">
              <w:rPr>
                <w:rFonts w:cs="Arial"/>
                <w:i w:val="0"/>
                <w:iCs/>
                <w:color w:val="000000"/>
                <w:szCs w:val="18"/>
              </w:rPr>
              <w:t>Installation of interlocked optical sensors</w:t>
            </w:r>
          </w:p>
        </w:tc>
        <w:tc>
          <w:tcPr>
            <w:tcW w:w="1531" w:type="pct"/>
            <w:shd w:val="clear" w:color="auto" w:fill="FFFFFF"/>
            <w:vAlign w:val="center"/>
          </w:tcPr>
          <w:p w14:paraId="34FAAD46"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 xml:space="preserve">Eliminates physical shields that </w:t>
            </w:r>
            <w:proofErr w:type="spellStart"/>
            <w:r w:rsidRPr="003C3A96">
              <w:rPr>
                <w:rFonts w:cs="Arial"/>
                <w:i w:val="0"/>
                <w:iCs/>
                <w:color w:val="000000"/>
                <w:szCs w:val="18"/>
              </w:rPr>
              <w:t>harbor</w:t>
            </w:r>
            <w:proofErr w:type="spellEnd"/>
            <w:r w:rsidRPr="003C3A96">
              <w:rPr>
                <w:rFonts w:cs="Arial"/>
                <w:i w:val="0"/>
                <w:iCs/>
                <w:color w:val="000000"/>
                <w:szCs w:val="18"/>
              </w:rPr>
              <w:t xml:space="preserve"> bacteria</w:t>
            </w:r>
          </w:p>
        </w:tc>
      </w:tr>
      <w:tr w:rsidR="003B6F70" w:rsidRPr="00E63F88" w14:paraId="26BB3379" w14:textId="77777777" w:rsidTr="003B6F70">
        <w:tc>
          <w:tcPr>
            <w:tcW w:w="807" w:type="pct"/>
            <w:shd w:val="clear" w:color="auto" w:fill="FFFFFF"/>
            <w:vAlign w:val="bottom"/>
          </w:tcPr>
          <w:p w14:paraId="286548F6" w14:textId="77777777" w:rsidR="003B6F70" w:rsidRPr="00E63F88" w:rsidRDefault="003B6F70" w:rsidP="003B6F70">
            <w:pPr>
              <w:pStyle w:val="CETTabletitle"/>
              <w:spacing w:before="0" w:after="0" w:line="240" w:lineRule="auto"/>
              <w:rPr>
                <w:i w:val="0"/>
                <w:iCs/>
                <w:color w:val="000000" w:themeColor="text1"/>
                <w:szCs w:val="18"/>
              </w:rPr>
            </w:pPr>
            <w:r w:rsidRPr="003C3A96">
              <w:rPr>
                <w:rFonts w:cs="Arial"/>
                <w:i w:val="0"/>
                <w:iCs/>
                <w:color w:val="000000"/>
                <w:szCs w:val="18"/>
              </w:rPr>
              <w:t>Dough Press</w:t>
            </w:r>
          </w:p>
        </w:tc>
        <w:tc>
          <w:tcPr>
            <w:tcW w:w="968" w:type="pct"/>
            <w:shd w:val="clear" w:color="auto" w:fill="FFFFFF"/>
            <w:vAlign w:val="bottom"/>
          </w:tcPr>
          <w:p w14:paraId="50ACDAB6"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Moderation</w:t>
            </w:r>
          </w:p>
        </w:tc>
        <w:tc>
          <w:tcPr>
            <w:tcW w:w="1694" w:type="pct"/>
            <w:shd w:val="clear" w:color="auto" w:fill="FFFFFF"/>
            <w:vAlign w:val="bottom"/>
          </w:tcPr>
          <w:p w14:paraId="124F4DB0"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Active cooling shielding &amp; low-pressure hydraulics</w:t>
            </w:r>
          </w:p>
        </w:tc>
        <w:tc>
          <w:tcPr>
            <w:tcW w:w="1531" w:type="pct"/>
            <w:shd w:val="clear" w:color="auto" w:fill="FFFFFF"/>
            <w:vAlign w:val="center"/>
          </w:tcPr>
          <w:p w14:paraId="07641D0D"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Prevents dough degradation and overheating</w:t>
            </w:r>
          </w:p>
        </w:tc>
      </w:tr>
      <w:tr w:rsidR="003B6F70" w:rsidRPr="00E63F88" w14:paraId="324BD4AB" w14:textId="77777777" w:rsidTr="003B6F70">
        <w:tc>
          <w:tcPr>
            <w:tcW w:w="807" w:type="pct"/>
            <w:shd w:val="clear" w:color="auto" w:fill="FFFFFF"/>
            <w:vAlign w:val="bottom"/>
          </w:tcPr>
          <w:p w14:paraId="76B261D3" w14:textId="77777777" w:rsidR="003B6F70" w:rsidRPr="00E63F88" w:rsidRDefault="003B6F70" w:rsidP="003B6F70">
            <w:pPr>
              <w:pStyle w:val="CETTabletitle"/>
              <w:spacing w:before="0" w:after="0" w:line="240" w:lineRule="auto"/>
              <w:rPr>
                <w:i w:val="0"/>
                <w:iCs/>
                <w:color w:val="000000" w:themeColor="text1"/>
                <w:szCs w:val="18"/>
              </w:rPr>
            </w:pPr>
            <w:r w:rsidRPr="003C3A96">
              <w:rPr>
                <w:rFonts w:cs="Arial"/>
                <w:i w:val="0"/>
                <w:iCs/>
                <w:color w:val="000000"/>
                <w:szCs w:val="18"/>
              </w:rPr>
              <w:t>Baking</w:t>
            </w:r>
          </w:p>
        </w:tc>
        <w:tc>
          <w:tcPr>
            <w:tcW w:w="968" w:type="pct"/>
            <w:shd w:val="clear" w:color="auto" w:fill="FFFFFF"/>
            <w:vAlign w:val="bottom"/>
          </w:tcPr>
          <w:p w14:paraId="345FD6B0"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Substitution</w:t>
            </w:r>
          </w:p>
        </w:tc>
        <w:tc>
          <w:tcPr>
            <w:tcW w:w="1694" w:type="pct"/>
            <w:shd w:val="clear" w:color="auto" w:fill="FFFFFF"/>
            <w:vAlign w:val="bottom"/>
          </w:tcPr>
          <w:p w14:paraId="5BBBDB4D"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Transition to induction heating systems</w:t>
            </w:r>
          </w:p>
        </w:tc>
        <w:tc>
          <w:tcPr>
            <w:tcW w:w="1531" w:type="pct"/>
            <w:shd w:val="clear" w:color="auto" w:fill="FFFFFF"/>
            <w:vAlign w:val="center"/>
          </w:tcPr>
          <w:p w14:paraId="50D9101C"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Eliminates risk of toxic thermal oil leaks</w:t>
            </w:r>
          </w:p>
        </w:tc>
      </w:tr>
      <w:tr w:rsidR="003B6F70" w:rsidRPr="00E63F88" w14:paraId="390D3AF4" w14:textId="77777777" w:rsidTr="003B6F70">
        <w:tc>
          <w:tcPr>
            <w:tcW w:w="807" w:type="pct"/>
            <w:tcBorders>
              <w:bottom w:val="single" w:sz="12" w:space="0" w:color="008000"/>
            </w:tcBorders>
            <w:shd w:val="clear" w:color="auto" w:fill="FFFFFF"/>
            <w:vAlign w:val="bottom"/>
          </w:tcPr>
          <w:p w14:paraId="222A7D70" w14:textId="77777777" w:rsidR="003B6F70" w:rsidRPr="00E63F88" w:rsidRDefault="003B6F70" w:rsidP="003B6F70">
            <w:pPr>
              <w:pStyle w:val="CETTabletitle"/>
              <w:spacing w:before="0" w:after="0" w:line="240" w:lineRule="auto"/>
              <w:rPr>
                <w:i w:val="0"/>
                <w:iCs/>
                <w:color w:val="000000" w:themeColor="text1"/>
                <w:szCs w:val="18"/>
              </w:rPr>
            </w:pPr>
            <w:r w:rsidRPr="003C3A96">
              <w:rPr>
                <w:rFonts w:cs="Arial"/>
                <w:i w:val="0"/>
                <w:iCs/>
                <w:color w:val="000000"/>
                <w:szCs w:val="18"/>
              </w:rPr>
              <w:t>Packaging</w:t>
            </w:r>
          </w:p>
        </w:tc>
        <w:tc>
          <w:tcPr>
            <w:tcW w:w="968" w:type="pct"/>
            <w:tcBorders>
              <w:bottom w:val="single" w:sz="12" w:space="0" w:color="008000"/>
            </w:tcBorders>
            <w:shd w:val="clear" w:color="auto" w:fill="FFFFFF"/>
            <w:vAlign w:val="bottom"/>
          </w:tcPr>
          <w:p w14:paraId="531AF8F2"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Minimization</w:t>
            </w:r>
          </w:p>
        </w:tc>
        <w:tc>
          <w:tcPr>
            <w:tcW w:w="1694" w:type="pct"/>
            <w:tcBorders>
              <w:bottom w:val="single" w:sz="12" w:space="0" w:color="008000"/>
            </w:tcBorders>
            <w:shd w:val="clear" w:color="auto" w:fill="FFFFFF"/>
            <w:vAlign w:val="bottom"/>
          </w:tcPr>
          <w:p w14:paraId="4CCD2BCA"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Automated pneumatic lifting for flour sacks</w:t>
            </w:r>
          </w:p>
        </w:tc>
        <w:tc>
          <w:tcPr>
            <w:tcW w:w="1531" w:type="pct"/>
            <w:tcBorders>
              <w:bottom w:val="single" w:sz="12" w:space="0" w:color="008000"/>
            </w:tcBorders>
            <w:shd w:val="clear" w:color="auto" w:fill="FFFFFF"/>
            <w:vAlign w:val="center"/>
          </w:tcPr>
          <w:p w14:paraId="7615AFFC" w14:textId="77777777" w:rsidR="003B6F70" w:rsidRPr="00E63F88" w:rsidRDefault="003B6F70" w:rsidP="003B6F70">
            <w:pPr>
              <w:pStyle w:val="CETTabletitle"/>
              <w:spacing w:before="0" w:after="0" w:line="240" w:lineRule="auto"/>
              <w:jc w:val="both"/>
              <w:rPr>
                <w:i w:val="0"/>
                <w:iCs/>
                <w:color w:val="000000" w:themeColor="text1"/>
                <w:szCs w:val="18"/>
              </w:rPr>
            </w:pPr>
            <w:r w:rsidRPr="003C3A96">
              <w:rPr>
                <w:rFonts w:cs="Arial"/>
                <w:i w:val="0"/>
                <w:iCs/>
                <w:color w:val="000000"/>
                <w:szCs w:val="18"/>
              </w:rPr>
              <w:t>Reduces airborne dust and allergen cross-</w:t>
            </w:r>
            <w:proofErr w:type="spellStart"/>
            <w:r w:rsidRPr="003C3A96">
              <w:rPr>
                <w:rFonts w:cs="Arial"/>
                <w:i w:val="0"/>
                <w:iCs/>
                <w:color w:val="000000"/>
                <w:szCs w:val="18"/>
              </w:rPr>
              <w:t>contam</w:t>
            </w:r>
            <w:proofErr w:type="spellEnd"/>
            <w:r w:rsidRPr="003C3A96">
              <w:rPr>
                <w:rFonts w:cs="Arial"/>
                <w:i w:val="0"/>
                <w:iCs/>
                <w:color w:val="000000"/>
                <w:szCs w:val="18"/>
              </w:rPr>
              <w:t>.</w:t>
            </w:r>
          </w:p>
        </w:tc>
      </w:tr>
    </w:tbl>
    <w:p w14:paraId="33E6A5B7" w14:textId="79C06AFC" w:rsidR="003C3A96" w:rsidRPr="00573729" w:rsidRDefault="003C3A96" w:rsidP="003B6F70">
      <w:pPr>
        <w:pStyle w:val="CETTabletitle"/>
      </w:pPr>
      <w:r w:rsidRPr="00AA7509">
        <w:rPr>
          <w:rStyle w:val="normaltextrun"/>
          <w:color w:val="000000" w:themeColor="text1"/>
        </w:rPr>
        <w:t xml:space="preserve">Table </w:t>
      </w:r>
      <w:r>
        <w:rPr>
          <w:rStyle w:val="normaltextrun"/>
          <w:color w:val="000000" w:themeColor="text1"/>
        </w:rPr>
        <w:t>2</w:t>
      </w:r>
      <w:r w:rsidRPr="00AA7509">
        <w:rPr>
          <w:rStyle w:val="normaltextrun"/>
          <w:color w:val="000000" w:themeColor="text1"/>
        </w:rPr>
        <w:t xml:space="preserve">: </w:t>
      </w:r>
      <w:r w:rsidRPr="003C3A96">
        <w:t>Quantitative Assessment: Risk Priority Number (RPN) Reduction Analysis</w:t>
      </w:r>
      <w:r w:rsidRPr="00E63F88">
        <w:t>.</w:t>
      </w:r>
    </w:p>
    <w:tbl>
      <w:tblPr>
        <w:tblpPr w:leftFromText="141" w:rightFromText="141" w:vertAnchor="text" w:horzAnchor="margin" w:tblpY="-33"/>
        <w:tblW w:w="5000" w:type="pct"/>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2551"/>
        <w:gridCol w:w="1843"/>
        <w:gridCol w:w="1633"/>
        <w:gridCol w:w="1380"/>
        <w:gridCol w:w="1380"/>
      </w:tblGrid>
      <w:tr w:rsidR="003B6F70" w:rsidRPr="003C3A96" w14:paraId="72A12C3F" w14:textId="77777777" w:rsidTr="003B6F70">
        <w:tc>
          <w:tcPr>
            <w:tcW w:w="1452" w:type="pct"/>
            <w:tcBorders>
              <w:top w:val="single" w:sz="12" w:space="0" w:color="008000"/>
              <w:bottom w:val="single" w:sz="6" w:space="0" w:color="008000"/>
            </w:tcBorders>
            <w:shd w:val="clear" w:color="auto" w:fill="FFFFFF"/>
            <w:vAlign w:val="bottom"/>
          </w:tcPr>
          <w:p w14:paraId="49238819"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Identified Hazard</w:t>
            </w:r>
          </w:p>
        </w:tc>
        <w:tc>
          <w:tcPr>
            <w:tcW w:w="1049" w:type="pct"/>
            <w:tcBorders>
              <w:top w:val="single" w:sz="12" w:space="0" w:color="008000"/>
              <w:bottom w:val="single" w:sz="6" w:space="0" w:color="008000"/>
            </w:tcBorders>
            <w:shd w:val="clear" w:color="auto" w:fill="FFFFFF"/>
            <w:vAlign w:val="bottom"/>
          </w:tcPr>
          <w:p w14:paraId="73290590"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Pre-ISSAF RPN</w:t>
            </w:r>
          </w:p>
        </w:tc>
        <w:tc>
          <w:tcPr>
            <w:tcW w:w="929" w:type="pct"/>
            <w:tcBorders>
              <w:top w:val="single" w:sz="12" w:space="0" w:color="008000"/>
              <w:bottom w:val="single" w:sz="6" w:space="0" w:color="008000"/>
            </w:tcBorders>
            <w:shd w:val="clear" w:color="auto" w:fill="FFFFFF"/>
            <w:vAlign w:val="bottom"/>
          </w:tcPr>
          <w:p w14:paraId="07C76764"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Post-ISSAF RPN</w:t>
            </w:r>
          </w:p>
        </w:tc>
        <w:tc>
          <w:tcPr>
            <w:tcW w:w="785" w:type="pct"/>
            <w:tcBorders>
              <w:top w:val="single" w:sz="12" w:space="0" w:color="008000"/>
              <w:bottom w:val="single" w:sz="6" w:space="0" w:color="008000"/>
            </w:tcBorders>
            <w:shd w:val="clear" w:color="auto" w:fill="FFFFFF"/>
            <w:vAlign w:val="bottom"/>
          </w:tcPr>
          <w:p w14:paraId="07D62765"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 Reduction</w:t>
            </w:r>
          </w:p>
        </w:tc>
        <w:tc>
          <w:tcPr>
            <w:tcW w:w="785" w:type="pct"/>
            <w:tcBorders>
              <w:top w:val="single" w:sz="12" w:space="0" w:color="008000"/>
              <w:bottom w:val="single" w:sz="6" w:space="0" w:color="008000"/>
            </w:tcBorders>
            <w:shd w:val="clear" w:color="auto" w:fill="FFFFFF"/>
            <w:vAlign w:val="bottom"/>
          </w:tcPr>
          <w:p w14:paraId="3DB20CC8"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Criticality Status</w:t>
            </w:r>
          </w:p>
        </w:tc>
      </w:tr>
      <w:tr w:rsidR="003B6F70" w:rsidRPr="003C3A96" w14:paraId="42E43E04" w14:textId="77777777" w:rsidTr="003B6F70">
        <w:tc>
          <w:tcPr>
            <w:tcW w:w="1452" w:type="pct"/>
            <w:shd w:val="clear" w:color="auto" w:fill="FFFFFF"/>
            <w:vAlign w:val="bottom"/>
          </w:tcPr>
          <w:p w14:paraId="2C2B53B1"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Mechanical Entrapment</w:t>
            </w:r>
          </w:p>
        </w:tc>
        <w:tc>
          <w:tcPr>
            <w:tcW w:w="1049" w:type="pct"/>
            <w:shd w:val="clear" w:color="auto" w:fill="FFFFFF"/>
            <w:vAlign w:val="bottom"/>
          </w:tcPr>
          <w:p w14:paraId="153668DF"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180</w:t>
            </w:r>
          </w:p>
        </w:tc>
        <w:tc>
          <w:tcPr>
            <w:tcW w:w="929" w:type="pct"/>
            <w:shd w:val="clear" w:color="auto" w:fill="FFFFFF"/>
            <w:vAlign w:val="bottom"/>
          </w:tcPr>
          <w:p w14:paraId="6361F5FF"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45</w:t>
            </w:r>
          </w:p>
        </w:tc>
        <w:tc>
          <w:tcPr>
            <w:tcW w:w="785" w:type="pct"/>
            <w:shd w:val="clear" w:color="auto" w:fill="FFFFFF"/>
            <w:vAlign w:val="bottom"/>
          </w:tcPr>
          <w:p w14:paraId="40272050" w14:textId="582C07CE" w:rsidR="003B6F70" w:rsidRPr="003C3A96" w:rsidRDefault="003B6F70" w:rsidP="003B6F70">
            <w:pPr>
              <w:pStyle w:val="CETTabletitle"/>
              <w:spacing w:before="0"/>
              <w:jc w:val="both"/>
              <w:rPr>
                <w:i w:val="0"/>
                <w:color w:val="000000" w:themeColor="text1"/>
              </w:rPr>
            </w:pPr>
            <w:r w:rsidRPr="003C3A96">
              <w:rPr>
                <w:i w:val="0"/>
                <w:color w:val="000000" w:themeColor="text1"/>
              </w:rPr>
              <w:t>75</w:t>
            </w:r>
            <w:r w:rsidR="004B788C">
              <w:rPr>
                <w:i w:val="0"/>
                <w:color w:val="000000" w:themeColor="text1"/>
              </w:rPr>
              <w:t xml:space="preserve"> </w:t>
            </w:r>
            <w:r w:rsidRPr="003C3A96">
              <w:rPr>
                <w:i w:val="0"/>
                <w:color w:val="000000" w:themeColor="text1"/>
              </w:rPr>
              <w:t>%</w:t>
            </w:r>
          </w:p>
        </w:tc>
        <w:tc>
          <w:tcPr>
            <w:tcW w:w="785" w:type="pct"/>
            <w:shd w:val="clear" w:color="auto" w:fill="FFFFFF"/>
            <w:vAlign w:val="bottom"/>
          </w:tcPr>
          <w:p w14:paraId="380F6D63"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Controlled</w:t>
            </w:r>
          </w:p>
        </w:tc>
      </w:tr>
      <w:tr w:rsidR="003B6F70" w:rsidRPr="003C3A96" w14:paraId="6E9F6E1E" w14:textId="77777777" w:rsidTr="003B6F70">
        <w:tc>
          <w:tcPr>
            <w:tcW w:w="1452" w:type="pct"/>
            <w:shd w:val="clear" w:color="auto" w:fill="FFFFFF"/>
            <w:vAlign w:val="bottom"/>
          </w:tcPr>
          <w:p w14:paraId="492BEB21"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Thermal Stress/Burns</w:t>
            </w:r>
          </w:p>
        </w:tc>
        <w:tc>
          <w:tcPr>
            <w:tcW w:w="1049" w:type="pct"/>
            <w:shd w:val="clear" w:color="auto" w:fill="FFFFFF"/>
            <w:vAlign w:val="bottom"/>
          </w:tcPr>
          <w:p w14:paraId="34E83C5D"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210</w:t>
            </w:r>
          </w:p>
        </w:tc>
        <w:tc>
          <w:tcPr>
            <w:tcW w:w="929" w:type="pct"/>
            <w:shd w:val="clear" w:color="auto" w:fill="FFFFFF"/>
            <w:vAlign w:val="bottom"/>
          </w:tcPr>
          <w:p w14:paraId="4C607A6D"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84</w:t>
            </w:r>
          </w:p>
        </w:tc>
        <w:tc>
          <w:tcPr>
            <w:tcW w:w="785" w:type="pct"/>
            <w:shd w:val="clear" w:color="auto" w:fill="FFFFFF"/>
            <w:vAlign w:val="bottom"/>
          </w:tcPr>
          <w:p w14:paraId="2C457BBE" w14:textId="2C345177" w:rsidR="003B6F70" w:rsidRPr="003C3A96" w:rsidRDefault="003B6F70" w:rsidP="003B6F70">
            <w:pPr>
              <w:pStyle w:val="CETTabletitle"/>
              <w:spacing w:before="0"/>
              <w:jc w:val="both"/>
              <w:rPr>
                <w:i w:val="0"/>
                <w:color w:val="000000" w:themeColor="text1"/>
              </w:rPr>
            </w:pPr>
            <w:r w:rsidRPr="003C3A96">
              <w:rPr>
                <w:i w:val="0"/>
                <w:color w:val="000000" w:themeColor="text1"/>
              </w:rPr>
              <w:t>60</w:t>
            </w:r>
            <w:r w:rsidR="004B788C">
              <w:rPr>
                <w:i w:val="0"/>
                <w:color w:val="000000" w:themeColor="text1"/>
              </w:rPr>
              <w:t xml:space="preserve"> </w:t>
            </w:r>
            <w:r w:rsidRPr="003C3A96">
              <w:rPr>
                <w:i w:val="0"/>
                <w:color w:val="000000" w:themeColor="text1"/>
              </w:rPr>
              <w:t>%</w:t>
            </w:r>
          </w:p>
        </w:tc>
        <w:tc>
          <w:tcPr>
            <w:tcW w:w="785" w:type="pct"/>
            <w:shd w:val="clear" w:color="auto" w:fill="FFFFFF"/>
            <w:vAlign w:val="bottom"/>
          </w:tcPr>
          <w:p w14:paraId="00A90131"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Acceptable</w:t>
            </w:r>
          </w:p>
        </w:tc>
      </w:tr>
      <w:tr w:rsidR="003B6F70" w:rsidRPr="003C3A96" w14:paraId="3F615241" w14:textId="77777777" w:rsidTr="003B6F70">
        <w:tc>
          <w:tcPr>
            <w:tcW w:w="1452" w:type="pct"/>
            <w:shd w:val="clear" w:color="auto" w:fill="FFFFFF"/>
            <w:vAlign w:val="bottom"/>
          </w:tcPr>
          <w:p w14:paraId="75507360"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Fire/Explosion Hazard</w:t>
            </w:r>
          </w:p>
        </w:tc>
        <w:tc>
          <w:tcPr>
            <w:tcW w:w="1049" w:type="pct"/>
            <w:shd w:val="clear" w:color="auto" w:fill="FFFFFF"/>
            <w:vAlign w:val="bottom"/>
          </w:tcPr>
          <w:p w14:paraId="2A6726A2"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160</w:t>
            </w:r>
          </w:p>
        </w:tc>
        <w:tc>
          <w:tcPr>
            <w:tcW w:w="929" w:type="pct"/>
            <w:shd w:val="clear" w:color="auto" w:fill="FFFFFF"/>
            <w:vAlign w:val="bottom"/>
          </w:tcPr>
          <w:p w14:paraId="5241D8F6"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32</w:t>
            </w:r>
          </w:p>
        </w:tc>
        <w:tc>
          <w:tcPr>
            <w:tcW w:w="785" w:type="pct"/>
            <w:shd w:val="clear" w:color="auto" w:fill="FFFFFF"/>
            <w:vAlign w:val="bottom"/>
          </w:tcPr>
          <w:p w14:paraId="432D337A" w14:textId="6E25FDB9" w:rsidR="003B6F70" w:rsidRPr="003C3A96" w:rsidRDefault="003B6F70" w:rsidP="003B6F70">
            <w:pPr>
              <w:pStyle w:val="CETTabletitle"/>
              <w:spacing w:before="0"/>
              <w:jc w:val="both"/>
              <w:rPr>
                <w:i w:val="0"/>
                <w:color w:val="000000" w:themeColor="text1"/>
              </w:rPr>
            </w:pPr>
            <w:r w:rsidRPr="003C3A96">
              <w:rPr>
                <w:i w:val="0"/>
                <w:color w:val="000000" w:themeColor="text1"/>
              </w:rPr>
              <w:t>80</w:t>
            </w:r>
            <w:r w:rsidR="004B788C">
              <w:rPr>
                <w:i w:val="0"/>
                <w:color w:val="000000" w:themeColor="text1"/>
              </w:rPr>
              <w:t xml:space="preserve"> </w:t>
            </w:r>
            <w:r w:rsidRPr="003C3A96">
              <w:rPr>
                <w:i w:val="0"/>
                <w:color w:val="000000" w:themeColor="text1"/>
              </w:rPr>
              <w:t>%</w:t>
            </w:r>
          </w:p>
        </w:tc>
        <w:tc>
          <w:tcPr>
            <w:tcW w:w="785" w:type="pct"/>
            <w:shd w:val="clear" w:color="auto" w:fill="FFFFFF"/>
            <w:vAlign w:val="bottom"/>
          </w:tcPr>
          <w:p w14:paraId="381CAE8E"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Negligible</w:t>
            </w:r>
          </w:p>
        </w:tc>
      </w:tr>
      <w:tr w:rsidR="003B6F70" w:rsidRPr="003C3A96" w14:paraId="0E66573C" w14:textId="77777777" w:rsidTr="003B6F70">
        <w:tc>
          <w:tcPr>
            <w:tcW w:w="1452" w:type="pct"/>
            <w:tcBorders>
              <w:bottom w:val="single" w:sz="12" w:space="0" w:color="008000"/>
            </w:tcBorders>
            <w:shd w:val="clear" w:color="auto" w:fill="FFFFFF"/>
            <w:vAlign w:val="bottom"/>
          </w:tcPr>
          <w:p w14:paraId="139D6B32" w14:textId="1A15ED94" w:rsidR="003B6F70" w:rsidRPr="003C3A96" w:rsidRDefault="003B6F70" w:rsidP="003B6F70">
            <w:pPr>
              <w:pStyle w:val="CETTabletitle"/>
              <w:spacing w:before="0"/>
              <w:jc w:val="both"/>
              <w:rPr>
                <w:i w:val="0"/>
                <w:color w:val="000000" w:themeColor="text1"/>
              </w:rPr>
            </w:pPr>
            <w:r w:rsidRPr="003C3A96">
              <w:rPr>
                <w:i w:val="0"/>
                <w:color w:val="000000" w:themeColor="text1"/>
              </w:rPr>
              <w:t xml:space="preserve">Ergonomic Strain </w:t>
            </w:r>
          </w:p>
        </w:tc>
        <w:tc>
          <w:tcPr>
            <w:tcW w:w="1049" w:type="pct"/>
            <w:tcBorders>
              <w:bottom w:val="single" w:sz="12" w:space="0" w:color="008000"/>
            </w:tcBorders>
            <w:shd w:val="clear" w:color="auto" w:fill="FFFFFF"/>
            <w:vAlign w:val="bottom"/>
          </w:tcPr>
          <w:p w14:paraId="19262001"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140</w:t>
            </w:r>
          </w:p>
        </w:tc>
        <w:tc>
          <w:tcPr>
            <w:tcW w:w="929" w:type="pct"/>
            <w:tcBorders>
              <w:bottom w:val="single" w:sz="12" w:space="0" w:color="008000"/>
            </w:tcBorders>
            <w:shd w:val="clear" w:color="auto" w:fill="FFFFFF"/>
            <w:vAlign w:val="bottom"/>
          </w:tcPr>
          <w:p w14:paraId="66A67ABC"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70</w:t>
            </w:r>
          </w:p>
        </w:tc>
        <w:tc>
          <w:tcPr>
            <w:tcW w:w="785" w:type="pct"/>
            <w:tcBorders>
              <w:bottom w:val="single" w:sz="12" w:space="0" w:color="008000"/>
            </w:tcBorders>
            <w:shd w:val="clear" w:color="auto" w:fill="FFFFFF"/>
            <w:vAlign w:val="bottom"/>
          </w:tcPr>
          <w:p w14:paraId="1BBF7D3A" w14:textId="42838497" w:rsidR="003B6F70" w:rsidRPr="003C3A96" w:rsidRDefault="003B6F70" w:rsidP="003B6F70">
            <w:pPr>
              <w:pStyle w:val="CETTabletitle"/>
              <w:spacing w:before="0"/>
              <w:jc w:val="both"/>
              <w:rPr>
                <w:i w:val="0"/>
                <w:color w:val="000000" w:themeColor="text1"/>
              </w:rPr>
            </w:pPr>
            <w:r w:rsidRPr="003C3A96">
              <w:rPr>
                <w:i w:val="0"/>
                <w:color w:val="000000" w:themeColor="text1"/>
              </w:rPr>
              <w:t>50</w:t>
            </w:r>
            <w:r w:rsidR="004B788C">
              <w:rPr>
                <w:i w:val="0"/>
                <w:color w:val="000000" w:themeColor="text1"/>
              </w:rPr>
              <w:t xml:space="preserve"> </w:t>
            </w:r>
            <w:r w:rsidRPr="003C3A96">
              <w:rPr>
                <w:i w:val="0"/>
                <w:color w:val="000000" w:themeColor="text1"/>
              </w:rPr>
              <w:t>%</w:t>
            </w:r>
          </w:p>
        </w:tc>
        <w:tc>
          <w:tcPr>
            <w:tcW w:w="785" w:type="pct"/>
            <w:tcBorders>
              <w:bottom w:val="single" w:sz="12" w:space="0" w:color="008000"/>
            </w:tcBorders>
            <w:shd w:val="clear" w:color="auto" w:fill="FFFFFF"/>
            <w:vAlign w:val="bottom"/>
          </w:tcPr>
          <w:p w14:paraId="1C33E85F" w14:textId="77777777" w:rsidR="003B6F70" w:rsidRPr="003C3A96" w:rsidRDefault="003B6F70" w:rsidP="003B6F70">
            <w:pPr>
              <w:pStyle w:val="CETTabletitle"/>
              <w:spacing w:before="0"/>
              <w:jc w:val="both"/>
              <w:rPr>
                <w:i w:val="0"/>
                <w:color w:val="000000" w:themeColor="text1"/>
              </w:rPr>
            </w:pPr>
            <w:r w:rsidRPr="003C3A96">
              <w:rPr>
                <w:i w:val="0"/>
                <w:color w:val="000000" w:themeColor="text1"/>
              </w:rPr>
              <w:t>Monitored</w:t>
            </w:r>
          </w:p>
        </w:tc>
      </w:tr>
    </w:tbl>
    <w:p w14:paraId="4D6DEF2B" w14:textId="77777777" w:rsidR="00C3587F" w:rsidRDefault="00C3587F" w:rsidP="00B944A9">
      <w:pPr>
        <w:pStyle w:val="CETBodytext"/>
      </w:pPr>
    </w:p>
    <w:p w14:paraId="6907BD18" w14:textId="4A825B5D" w:rsidR="003C3A96" w:rsidRPr="003C3A96" w:rsidRDefault="003C3A96" w:rsidP="00B944A9">
      <w:pPr>
        <w:pStyle w:val="CETBodytext"/>
      </w:pPr>
      <w:r w:rsidRPr="003C3A96">
        <w:t>The dual-table analysis reveals that the Substitution and Simplification pillars yielded the highest risk reduction (75–80</w:t>
      </w:r>
      <w:r w:rsidR="004B788C">
        <w:t xml:space="preserve"> </w:t>
      </w:r>
      <w:r w:rsidRPr="003C3A96">
        <w:t>%). Specifically, the transition from physical guards to optical sensors (Simplification) addressed a critical friction point: workers often bypassed mechanical guards to facilitate rapid cleaning between shifts. This new design maintains an invisible safety curtain, aligning worker behavior with safety protocols without sacrificing productivity.</w:t>
      </w:r>
    </w:p>
    <w:p w14:paraId="68EE3555" w14:textId="77777777" w:rsidR="003C3A96" w:rsidRPr="003C3A96" w:rsidRDefault="003C3A96" w:rsidP="00B944A9">
      <w:pPr>
        <w:pStyle w:val="CETBodytext"/>
      </w:pPr>
      <w:r w:rsidRPr="003C3A96">
        <w:t>Furthermore, replacing high-pressure thermal oil with induction heating (Substitution) in the baking stage not only eliminated fire hazards (OSHA) but also removed a significant source of chemical contamination (FSMA). This validates the premise of Espinoza &amp; Bustamante (2024) regarding the necessity of adapting OSHA standards to the specific sanitation requirements of the food industry to achieve true operational resilience.</w:t>
      </w:r>
    </w:p>
    <w:p w14:paraId="56286689" w14:textId="7527F96F" w:rsidR="007E5E5D" w:rsidRPr="005159EE" w:rsidRDefault="00E63F88" w:rsidP="00B22FA1">
      <w:pPr>
        <w:pStyle w:val="CETheadingx"/>
        <w:rPr>
          <w:rStyle w:val="normaltextrun"/>
          <w:lang w:val="en-US"/>
        </w:rPr>
      </w:pPr>
      <w:r w:rsidRPr="00E63F88">
        <w:rPr>
          <w:lang w:val="en-US"/>
        </w:rPr>
        <w:t>Psychometric Validation of the RAQ</w:t>
      </w:r>
    </w:p>
    <w:p w14:paraId="06083715" w14:textId="1B3DA4CE" w:rsidR="005159EE" w:rsidRDefault="00E63F88" w:rsidP="005159EE">
      <w:pPr>
        <w:pStyle w:val="CETBodytext"/>
        <w:rPr>
          <w:iCs/>
          <w:color w:val="000000" w:themeColor="text1"/>
        </w:rPr>
      </w:pPr>
      <w:r w:rsidRPr="00E63F88">
        <w:rPr>
          <w:iCs/>
          <w:color w:val="000000" w:themeColor="text1"/>
        </w:rPr>
        <w:t xml:space="preserve">The Risk Analysis Questionnaire (RAQ) yielded a Cronbach’s alpha of 0.89, indicating </w:t>
      </w:r>
      <w:r w:rsidR="00E04EA5" w:rsidRPr="00F51A30">
        <w:t>excellent internal consistency</w:t>
      </w:r>
      <w:r w:rsidRPr="00E63F88">
        <w:rPr>
          <w:iCs/>
          <w:color w:val="000000" w:themeColor="text1"/>
        </w:rPr>
        <w:t>. This level of reliability is comparable to that obtained by Lima-</w:t>
      </w:r>
      <w:proofErr w:type="spellStart"/>
      <w:r w:rsidRPr="00E63F88">
        <w:rPr>
          <w:iCs/>
          <w:color w:val="000000" w:themeColor="text1"/>
        </w:rPr>
        <w:t>Campêlo</w:t>
      </w:r>
      <w:proofErr w:type="spellEnd"/>
      <w:r w:rsidRPr="00E63F88">
        <w:rPr>
          <w:iCs/>
          <w:color w:val="000000" w:themeColor="text1"/>
        </w:rPr>
        <w:t xml:space="preserve"> et al. (2024) in biosafety environments, validating the use of structured questionnaires to capture operational risk perception.</w:t>
      </w:r>
    </w:p>
    <w:p w14:paraId="5012336D" w14:textId="3B765968" w:rsidR="00E63F88" w:rsidRPr="00AA7509" w:rsidRDefault="00E63F88" w:rsidP="00E63F88">
      <w:pPr>
        <w:pStyle w:val="CETTabletitle"/>
        <w:rPr>
          <w:rStyle w:val="normaltextrun"/>
          <w:color w:val="000000" w:themeColor="text1"/>
          <w:lang w:val="en-US"/>
        </w:rPr>
      </w:pPr>
      <w:r w:rsidRPr="00E63F88">
        <w:rPr>
          <w:color w:val="000000" w:themeColor="text1"/>
          <w:lang w:val="en-US"/>
        </w:rPr>
        <w:t xml:space="preserve">Table </w:t>
      </w:r>
      <w:r w:rsidR="003C3A96">
        <w:rPr>
          <w:color w:val="000000" w:themeColor="text1"/>
          <w:lang w:val="en-US"/>
        </w:rPr>
        <w:t>3</w:t>
      </w:r>
      <w:r w:rsidR="00CB548C">
        <w:rPr>
          <w:color w:val="000000" w:themeColor="text1"/>
          <w:lang w:val="en-US"/>
        </w:rPr>
        <w:t>:</w:t>
      </w:r>
      <w:r w:rsidRPr="00E63F88">
        <w:rPr>
          <w:color w:val="000000" w:themeColor="text1"/>
          <w:lang w:val="en-US"/>
        </w:rPr>
        <w:t xml:space="preserve"> Reliability and internal consistency analysis of the Risk Analysis Questionnaire (RAQ).</w:t>
      </w:r>
    </w:p>
    <w:tbl>
      <w:tblPr>
        <w:tblW w:w="8789" w:type="dxa"/>
        <w:jc w:val="center"/>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843"/>
        <w:gridCol w:w="2268"/>
        <w:gridCol w:w="2268"/>
        <w:gridCol w:w="2410"/>
      </w:tblGrid>
      <w:tr w:rsidR="00E63F88" w:rsidRPr="00E63F88" w14:paraId="5AD07AF6" w14:textId="77777777" w:rsidTr="00E63F88">
        <w:trPr>
          <w:jc w:val="center"/>
        </w:trPr>
        <w:tc>
          <w:tcPr>
            <w:tcW w:w="1843" w:type="dxa"/>
            <w:tcBorders>
              <w:top w:val="single" w:sz="12" w:space="0" w:color="008000"/>
              <w:bottom w:val="single" w:sz="6" w:space="0" w:color="008000"/>
            </w:tcBorders>
            <w:shd w:val="clear" w:color="auto" w:fill="FFFFFF"/>
            <w:vAlign w:val="bottom"/>
          </w:tcPr>
          <w:p w14:paraId="17D0A710" w14:textId="77777777" w:rsidR="00E63F88" w:rsidRPr="00E63F88" w:rsidRDefault="00E63F88" w:rsidP="00E63F88">
            <w:pPr>
              <w:pStyle w:val="CETBodytext"/>
              <w:rPr>
                <w:iCs/>
                <w:color w:val="000000" w:themeColor="text1"/>
              </w:rPr>
            </w:pPr>
            <w:bookmarkStart w:id="3" w:name="_Hlk222048819"/>
            <w:r w:rsidRPr="00E63F88">
              <w:rPr>
                <w:iCs/>
                <w:color w:val="000000" w:themeColor="text1"/>
              </w:rPr>
              <w:t>Evaluated Dimension</w:t>
            </w:r>
          </w:p>
        </w:tc>
        <w:tc>
          <w:tcPr>
            <w:tcW w:w="2268" w:type="dxa"/>
            <w:tcBorders>
              <w:top w:val="single" w:sz="12" w:space="0" w:color="008000"/>
              <w:bottom w:val="single" w:sz="6" w:space="0" w:color="008000"/>
            </w:tcBorders>
            <w:shd w:val="clear" w:color="auto" w:fill="FFFFFF"/>
            <w:vAlign w:val="bottom"/>
          </w:tcPr>
          <w:p w14:paraId="3AA5C20B" w14:textId="77777777" w:rsidR="00E63F88" w:rsidRPr="00E63F88" w:rsidRDefault="00E63F88" w:rsidP="00E63F88">
            <w:pPr>
              <w:pStyle w:val="CETBodytext"/>
              <w:rPr>
                <w:iCs/>
                <w:color w:val="000000" w:themeColor="text1"/>
              </w:rPr>
            </w:pPr>
            <w:r w:rsidRPr="00E63F88">
              <w:rPr>
                <w:iCs/>
                <w:color w:val="000000" w:themeColor="text1"/>
              </w:rPr>
              <w:t>Number of Items</w:t>
            </w:r>
          </w:p>
        </w:tc>
        <w:tc>
          <w:tcPr>
            <w:tcW w:w="2268" w:type="dxa"/>
            <w:tcBorders>
              <w:top w:val="single" w:sz="12" w:space="0" w:color="008000"/>
              <w:bottom w:val="single" w:sz="6" w:space="0" w:color="008000"/>
            </w:tcBorders>
            <w:shd w:val="clear" w:color="auto" w:fill="FFFFFF"/>
            <w:vAlign w:val="bottom"/>
          </w:tcPr>
          <w:p w14:paraId="0411E070" w14:textId="77777777" w:rsidR="00E63F88" w:rsidRPr="00E63F88" w:rsidRDefault="00E63F88" w:rsidP="00E63F88">
            <w:pPr>
              <w:pStyle w:val="CETBodytext"/>
              <w:rPr>
                <w:iCs/>
                <w:color w:val="000000" w:themeColor="text1"/>
              </w:rPr>
            </w:pPr>
            <w:r w:rsidRPr="00E63F88">
              <w:rPr>
                <w:iCs/>
                <w:color w:val="000000" w:themeColor="text1"/>
              </w:rPr>
              <w:t>Cronbach’s Alpha (α)</w:t>
            </w:r>
          </w:p>
        </w:tc>
        <w:tc>
          <w:tcPr>
            <w:tcW w:w="2410" w:type="dxa"/>
            <w:tcBorders>
              <w:top w:val="single" w:sz="12" w:space="0" w:color="008000"/>
              <w:bottom w:val="single" w:sz="6" w:space="0" w:color="008000"/>
            </w:tcBorders>
            <w:shd w:val="clear" w:color="auto" w:fill="FFFFFF"/>
            <w:vAlign w:val="bottom"/>
          </w:tcPr>
          <w:p w14:paraId="3CDBE442" w14:textId="77777777" w:rsidR="00E63F88" w:rsidRPr="00E63F88" w:rsidRDefault="00E63F88" w:rsidP="00E63F88">
            <w:pPr>
              <w:pStyle w:val="CETBodytext"/>
              <w:rPr>
                <w:iCs/>
                <w:color w:val="000000" w:themeColor="text1"/>
              </w:rPr>
            </w:pPr>
            <w:r w:rsidRPr="00E63F88">
              <w:rPr>
                <w:iCs/>
                <w:color w:val="000000" w:themeColor="text1"/>
              </w:rPr>
              <w:t>Interpretation</w:t>
            </w:r>
          </w:p>
        </w:tc>
      </w:tr>
      <w:tr w:rsidR="00E63F88" w:rsidRPr="00E63F88" w14:paraId="06C0B908" w14:textId="77777777" w:rsidTr="00E63F88">
        <w:trPr>
          <w:jc w:val="center"/>
        </w:trPr>
        <w:tc>
          <w:tcPr>
            <w:tcW w:w="1843" w:type="dxa"/>
            <w:shd w:val="clear" w:color="auto" w:fill="FFFFFF"/>
            <w:vAlign w:val="bottom"/>
          </w:tcPr>
          <w:p w14:paraId="0B0A180C" w14:textId="77777777" w:rsidR="00E63F88" w:rsidRPr="00E63F88" w:rsidRDefault="00E63F88" w:rsidP="00E63F88">
            <w:pPr>
              <w:pStyle w:val="CETBodytext"/>
              <w:rPr>
                <w:iCs/>
                <w:color w:val="000000" w:themeColor="text1"/>
              </w:rPr>
            </w:pPr>
            <w:r w:rsidRPr="00E63F88">
              <w:rPr>
                <w:iCs/>
                <w:color w:val="000000" w:themeColor="text1"/>
              </w:rPr>
              <w:t>Mechanical Hazards</w:t>
            </w:r>
          </w:p>
        </w:tc>
        <w:tc>
          <w:tcPr>
            <w:tcW w:w="2268" w:type="dxa"/>
            <w:shd w:val="clear" w:color="auto" w:fill="FFFFFF"/>
            <w:vAlign w:val="bottom"/>
          </w:tcPr>
          <w:p w14:paraId="1D492E52" w14:textId="77777777" w:rsidR="00E63F88" w:rsidRPr="00E63F88" w:rsidRDefault="00E63F88" w:rsidP="00E63F88">
            <w:pPr>
              <w:pStyle w:val="CETBodytext"/>
              <w:rPr>
                <w:iCs/>
                <w:color w:val="000000" w:themeColor="text1"/>
              </w:rPr>
            </w:pPr>
            <w:r w:rsidRPr="00E63F88">
              <w:rPr>
                <w:iCs/>
                <w:color w:val="000000" w:themeColor="text1"/>
              </w:rPr>
              <w:t>5</w:t>
            </w:r>
          </w:p>
        </w:tc>
        <w:tc>
          <w:tcPr>
            <w:tcW w:w="2268" w:type="dxa"/>
            <w:shd w:val="clear" w:color="auto" w:fill="FFFFFF"/>
            <w:vAlign w:val="bottom"/>
          </w:tcPr>
          <w:p w14:paraId="1B82CED7" w14:textId="77777777" w:rsidR="00E63F88" w:rsidRPr="00E63F88" w:rsidRDefault="00E63F88" w:rsidP="00E63F88">
            <w:pPr>
              <w:pStyle w:val="CETBodytext"/>
              <w:rPr>
                <w:iCs/>
                <w:color w:val="000000" w:themeColor="text1"/>
              </w:rPr>
            </w:pPr>
            <w:r w:rsidRPr="00E63F88">
              <w:rPr>
                <w:iCs/>
                <w:color w:val="000000" w:themeColor="text1"/>
              </w:rPr>
              <w:t>0.85</w:t>
            </w:r>
          </w:p>
        </w:tc>
        <w:tc>
          <w:tcPr>
            <w:tcW w:w="2410" w:type="dxa"/>
            <w:shd w:val="clear" w:color="auto" w:fill="FFFFFF"/>
            <w:vAlign w:val="bottom"/>
          </w:tcPr>
          <w:p w14:paraId="0445D9C9" w14:textId="77777777" w:rsidR="00E63F88" w:rsidRPr="00E63F88" w:rsidRDefault="00E63F88" w:rsidP="00E63F88">
            <w:pPr>
              <w:pStyle w:val="CETBodytext"/>
              <w:rPr>
                <w:iCs/>
                <w:color w:val="000000" w:themeColor="text1"/>
              </w:rPr>
            </w:pPr>
            <w:r w:rsidRPr="00E63F88">
              <w:rPr>
                <w:iCs/>
                <w:color w:val="000000" w:themeColor="text1"/>
              </w:rPr>
              <w:t>High Reliability</w:t>
            </w:r>
          </w:p>
        </w:tc>
      </w:tr>
      <w:tr w:rsidR="00E63F88" w:rsidRPr="00E63F88" w14:paraId="5D8371B0" w14:textId="77777777" w:rsidTr="00E63F88">
        <w:trPr>
          <w:jc w:val="center"/>
        </w:trPr>
        <w:tc>
          <w:tcPr>
            <w:tcW w:w="1843" w:type="dxa"/>
            <w:shd w:val="clear" w:color="auto" w:fill="FFFFFF"/>
            <w:vAlign w:val="bottom"/>
          </w:tcPr>
          <w:p w14:paraId="2A87268C" w14:textId="77777777" w:rsidR="00E63F88" w:rsidRPr="00E63F88" w:rsidRDefault="00E63F88" w:rsidP="00E63F88">
            <w:pPr>
              <w:pStyle w:val="CETBodytext"/>
              <w:rPr>
                <w:iCs/>
                <w:color w:val="000000" w:themeColor="text1"/>
              </w:rPr>
            </w:pPr>
            <w:r w:rsidRPr="00E63F88">
              <w:rPr>
                <w:iCs/>
                <w:color w:val="000000" w:themeColor="text1"/>
              </w:rPr>
              <w:t>Ergonomic Risks</w:t>
            </w:r>
          </w:p>
        </w:tc>
        <w:tc>
          <w:tcPr>
            <w:tcW w:w="2268" w:type="dxa"/>
            <w:shd w:val="clear" w:color="auto" w:fill="FFFFFF"/>
            <w:vAlign w:val="bottom"/>
          </w:tcPr>
          <w:p w14:paraId="1DDE9D02" w14:textId="77777777" w:rsidR="00E63F88" w:rsidRPr="00E63F88" w:rsidRDefault="00E63F88" w:rsidP="00E63F88">
            <w:pPr>
              <w:pStyle w:val="CETBodytext"/>
              <w:rPr>
                <w:iCs/>
                <w:color w:val="000000" w:themeColor="text1"/>
              </w:rPr>
            </w:pPr>
            <w:r w:rsidRPr="00E63F88">
              <w:rPr>
                <w:iCs/>
                <w:color w:val="000000" w:themeColor="text1"/>
              </w:rPr>
              <w:t>4</w:t>
            </w:r>
          </w:p>
        </w:tc>
        <w:tc>
          <w:tcPr>
            <w:tcW w:w="2268" w:type="dxa"/>
            <w:shd w:val="clear" w:color="auto" w:fill="FFFFFF"/>
            <w:vAlign w:val="bottom"/>
          </w:tcPr>
          <w:p w14:paraId="003A0888" w14:textId="77777777" w:rsidR="00E63F88" w:rsidRPr="00E63F88" w:rsidRDefault="00E63F88" w:rsidP="00E63F88">
            <w:pPr>
              <w:pStyle w:val="CETBodytext"/>
              <w:rPr>
                <w:iCs/>
                <w:color w:val="000000" w:themeColor="text1"/>
              </w:rPr>
            </w:pPr>
            <w:r w:rsidRPr="00E63F88">
              <w:rPr>
                <w:iCs/>
                <w:color w:val="000000" w:themeColor="text1"/>
              </w:rPr>
              <w:t>0.88</w:t>
            </w:r>
          </w:p>
        </w:tc>
        <w:tc>
          <w:tcPr>
            <w:tcW w:w="2410" w:type="dxa"/>
            <w:shd w:val="clear" w:color="auto" w:fill="FFFFFF"/>
            <w:vAlign w:val="bottom"/>
          </w:tcPr>
          <w:p w14:paraId="4D6602BA" w14:textId="77777777" w:rsidR="00E63F88" w:rsidRPr="00E63F88" w:rsidRDefault="00E63F88" w:rsidP="00E63F88">
            <w:pPr>
              <w:pStyle w:val="CETBodytext"/>
              <w:rPr>
                <w:iCs/>
                <w:color w:val="000000" w:themeColor="text1"/>
              </w:rPr>
            </w:pPr>
            <w:r w:rsidRPr="00E63F88">
              <w:rPr>
                <w:iCs/>
                <w:color w:val="000000" w:themeColor="text1"/>
              </w:rPr>
              <w:t>High Reliability</w:t>
            </w:r>
          </w:p>
        </w:tc>
      </w:tr>
      <w:tr w:rsidR="00E63F88" w:rsidRPr="00E63F88" w14:paraId="0A9E6D37" w14:textId="77777777" w:rsidTr="00E63F88">
        <w:trPr>
          <w:jc w:val="center"/>
        </w:trPr>
        <w:tc>
          <w:tcPr>
            <w:tcW w:w="1843" w:type="dxa"/>
            <w:shd w:val="clear" w:color="auto" w:fill="FFFFFF"/>
            <w:vAlign w:val="bottom"/>
          </w:tcPr>
          <w:p w14:paraId="16AD462E" w14:textId="77777777" w:rsidR="00E63F88" w:rsidRPr="00E63F88" w:rsidRDefault="00E63F88" w:rsidP="00E63F88">
            <w:pPr>
              <w:pStyle w:val="CETBodytext"/>
              <w:rPr>
                <w:iCs/>
                <w:color w:val="000000" w:themeColor="text1"/>
              </w:rPr>
            </w:pPr>
            <w:r w:rsidRPr="00E63F88">
              <w:rPr>
                <w:iCs/>
                <w:color w:val="000000" w:themeColor="text1"/>
              </w:rPr>
              <w:t>Food Safety (FSMA)</w:t>
            </w:r>
          </w:p>
        </w:tc>
        <w:tc>
          <w:tcPr>
            <w:tcW w:w="2268" w:type="dxa"/>
            <w:shd w:val="clear" w:color="auto" w:fill="FFFFFF"/>
            <w:vAlign w:val="bottom"/>
          </w:tcPr>
          <w:p w14:paraId="106A1301" w14:textId="77777777" w:rsidR="00E63F88" w:rsidRPr="00E63F88" w:rsidRDefault="00E63F88" w:rsidP="00E63F88">
            <w:pPr>
              <w:pStyle w:val="CETBodytext"/>
              <w:rPr>
                <w:iCs/>
                <w:color w:val="000000" w:themeColor="text1"/>
              </w:rPr>
            </w:pPr>
            <w:r w:rsidRPr="00E63F88">
              <w:rPr>
                <w:iCs/>
                <w:color w:val="000000" w:themeColor="text1"/>
              </w:rPr>
              <w:t>5</w:t>
            </w:r>
          </w:p>
        </w:tc>
        <w:tc>
          <w:tcPr>
            <w:tcW w:w="2268" w:type="dxa"/>
            <w:shd w:val="clear" w:color="auto" w:fill="FFFFFF"/>
            <w:vAlign w:val="bottom"/>
          </w:tcPr>
          <w:p w14:paraId="5067BAFE" w14:textId="77777777" w:rsidR="00E63F88" w:rsidRPr="00E63F88" w:rsidRDefault="00E63F88" w:rsidP="00E63F88">
            <w:pPr>
              <w:pStyle w:val="CETBodytext"/>
              <w:rPr>
                <w:iCs/>
                <w:color w:val="000000" w:themeColor="text1"/>
              </w:rPr>
            </w:pPr>
            <w:r w:rsidRPr="00E63F88">
              <w:rPr>
                <w:iCs/>
                <w:color w:val="000000" w:themeColor="text1"/>
              </w:rPr>
              <w:t>0.91</w:t>
            </w:r>
          </w:p>
        </w:tc>
        <w:tc>
          <w:tcPr>
            <w:tcW w:w="2410" w:type="dxa"/>
            <w:shd w:val="clear" w:color="auto" w:fill="FFFFFF"/>
            <w:vAlign w:val="center"/>
          </w:tcPr>
          <w:p w14:paraId="367D93DE" w14:textId="77777777" w:rsidR="00E63F88" w:rsidRPr="00E63F88" w:rsidRDefault="00E63F88" w:rsidP="00E63F88">
            <w:pPr>
              <w:pStyle w:val="CETBodytext"/>
              <w:rPr>
                <w:iCs/>
                <w:color w:val="000000" w:themeColor="text1"/>
              </w:rPr>
            </w:pPr>
            <w:r w:rsidRPr="00E63F88">
              <w:rPr>
                <w:iCs/>
                <w:color w:val="000000" w:themeColor="text1"/>
              </w:rPr>
              <w:t>Excellent Reliability</w:t>
            </w:r>
          </w:p>
        </w:tc>
      </w:tr>
      <w:tr w:rsidR="00E63F88" w:rsidRPr="00E63F88" w14:paraId="60F511EE" w14:textId="77777777" w:rsidTr="00E63F88">
        <w:trPr>
          <w:jc w:val="center"/>
        </w:trPr>
        <w:tc>
          <w:tcPr>
            <w:tcW w:w="1843" w:type="dxa"/>
            <w:tcBorders>
              <w:bottom w:val="single" w:sz="12" w:space="0" w:color="008000"/>
            </w:tcBorders>
            <w:shd w:val="clear" w:color="auto" w:fill="FFFFFF"/>
            <w:vAlign w:val="bottom"/>
          </w:tcPr>
          <w:p w14:paraId="7AD087FB" w14:textId="77777777" w:rsidR="00E63F88" w:rsidRPr="00E63F88" w:rsidRDefault="00E63F88" w:rsidP="00E63F88">
            <w:pPr>
              <w:pStyle w:val="CETBodytext"/>
              <w:rPr>
                <w:iCs/>
                <w:color w:val="000000" w:themeColor="text1"/>
              </w:rPr>
            </w:pPr>
            <w:r w:rsidRPr="00E63F88">
              <w:rPr>
                <w:iCs/>
                <w:color w:val="000000" w:themeColor="text1"/>
              </w:rPr>
              <w:t>Total Instrument</w:t>
            </w:r>
          </w:p>
        </w:tc>
        <w:tc>
          <w:tcPr>
            <w:tcW w:w="2268" w:type="dxa"/>
            <w:tcBorders>
              <w:bottom w:val="single" w:sz="12" w:space="0" w:color="008000"/>
            </w:tcBorders>
            <w:shd w:val="clear" w:color="auto" w:fill="FFFFFF"/>
            <w:vAlign w:val="bottom"/>
          </w:tcPr>
          <w:p w14:paraId="2CFDA072" w14:textId="77777777" w:rsidR="00E63F88" w:rsidRPr="00E63F88" w:rsidRDefault="00E63F88" w:rsidP="00E63F88">
            <w:pPr>
              <w:pStyle w:val="CETBodytext"/>
              <w:rPr>
                <w:iCs/>
                <w:color w:val="000000" w:themeColor="text1"/>
              </w:rPr>
            </w:pPr>
            <w:r w:rsidRPr="00E63F88">
              <w:rPr>
                <w:iCs/>
                <w:color w:val="000000" w:themeColor="text1"/>
              </w:rPr>
              <w:t>14</w:t>
            </w:r>
          </w:p>
        </w:tc>
        <w:tc>
          <w:tcPr>
            <w:tcW w:w="2268" w:type="dxa"/>
            <w:tcBorders>
              <w:bottom w:val="single" w:sz="12" w:space="0" w:color="008000"/>
            </w:tcBorders>
            <w:shd w:val="clear" w:color="auto" w:fill="FFFFFF"/>
            <w:vAlign w:val="bottom"/>
          </w:tcPr>
          <w:p w14:paraId="1900FD6C" w14:textId="77777777" w:rsidR="00E63F88" w:rsidRPr="00E63F88" w:rsidRDefault="00E63F88" w:rsidP="00E63F88">
            <w:pPr>
              <w:pStyle w:val="CETBodytext"/>
              <w:rPr>
                <w:iCs/>
                <w:color w:val="000000" w:themeColor="text1"/>
              </w:rPr>
            </w:pPr>
            <w:r w:rsidRPr="00E63F88">
              <w:rPr>
                <w:iCs/>
                <w:color w:val="000000" w:themeColor="text1"/>
              </w:rPr>
              <w:t>0.89</w:t>
            </w:r>
          </w:p>
        </w:tc>
        <w:tc>
          <w:tcPr>
            <w:tcW w:w="2410" w:type="dxa"/>
            <w:tcBorders>
              <w:bottom w:val="single" w:sz="12" w:space="0" w:color="008000"/>
            </w:tcBorders>
            <w:shd w:val="clear" w:color="auto" w:fill="FFFFFF"/>
            <w:vAlign w:val="center"/>
          </w:tcPr>
          <w:p w14:paraId="5606E110" w14:textId="77777777" w:rsidR="00E63F88" w:rsidRPr="00E63F88" w:rsidRDefault="00E63F88" w:rsidP="00E63F88">
            <w:pPr>
              <w:pStyle w:val="CETBodytext"/>
              <w:rPr>
                <w:iCs/>
                <w:color w:val="000000" w:themeColor="text1"/>
              </w:rPr>
            </w:pPr>
            <w:r w:rsidRPr="00E63F88">
              <w:rPr>
                <w:iCs/>
                <w:color w:val="000000" w:themeColor="text1"/>
              </w:rPr>
              <w:t>High Internal Consistency</w:t>
            </w:r>
          </w:p>
        </w:tc>
      </w:tr>
      <w:bookmarkEnd w:id="3"/>
    </w:tbl>
    <w:p w14:paraId="5B0A3F7B" w14:textId="21962C24" w:rsidR="005159EE" w:rsidRDefault="005159EE" w:rsidP="005159EE">
      <w:pPr>
        <w:pStyle w:val="CETBodytext"/>
        <w:rPr>
          <w:iCs/>
          <w:color w:val="000000" w:themeColor="text1"/>
        </w:rPr>
      </w:pPr>
    </w:p>
    <w:p w14:paraId="0DD69C2F" w14:textId="606B8269" w:rsidR="00E63F88" w:rsidRPr="00E63F88" w:rsidRDefault="00E63F88" w:rsidP="00E63F88">
      <w:pPr>
        <w:pStyle w:val="CETBodytext"/>
        <w:rPr>
          <w:iCs/>
          <w:color w:val="000000" w:themeColor="text1"/>
        </w:rPr>
      </w:pPr>
      <w:r w:rsidRPr="00E63F88">
        <w:rPr>
          <w:iCs/>
          <w:color w:val="000000" w:themeColor="text1"/>
        </w:rPr>
        <w:t xml:space="preserve">The high correlation in responses suggests that personnel, regardless of the plant's automation level, identify the same critical nodes. However, </w:t>
      </w:r>
      <w:proofErr w:type="spellStart"/>
      <w:r w:rsidRPr="00E63F88">
        <w:rPr>
          <w:iCs/>
          <w:color w:val="000000" w:themeColor="text1"/>
        </w:rPr>
        <w:t>Marrazzo</w:t>
      </w:r>
      <w:proofErr w:type="spellEnd"/>
      <w:r w:rsidRPr="00E63F88">
        <w:rPr>
          <w:iCs/>
          <w:color w:val="000000" w:themeColor="text1"/>
        </w:rPr>
        <w:t xml:space="preserve"> &amp; Barone (2024) emphasize that the interface between the operator and the plant is where failures occur. As shown in Table 2, the Food Safety (FSMA) dimension obtained the highest reliability score (</w:t>
      </w:r>
      <w:r>
        <w:rPr>
          <w:rFonts w:cs="Arial"/>
          <w:iCs/>
          <w:color w:val="000000" w:themeColor="text1"/>
        </w:rPr>
        <w:t>α</w:t>
      </w:r>
      <w:r w:rsidRPr="00E63F88">
        <w:rPr>
          <w:iCs/>
          <w:color w:val="000000" w:themeColor="text1"/>
        </w:rPr>
        <w:t>=0.91), indicating that the human factor is highly sensitized to the impact of their work on final product quality</w:t>
      </w:r>
    </w:p>
    <w:p w14:paraId="647A3CC6" w14:textId="110B6B1B" w:rsidR="007E5E5D" w:rsidRPr="00E63F88" w:rsidRDefault="00E63F88" w:rsidP="00B22FA1">
      <w:pPr>
        <w:pStyle w:val="CETheadingx"/>
        <w:rPr>
          <w:lang w:val="en-US"/>
        </w:rPr>
      </w:pPr>
      <w:r w:rsidRPr="00E63F88">
        <w:rPr>
          <w:lang w:val="en-US"/>
        </w:rPr>
        <w:t>Comparative Impact of the ISSAF (Multi-Case Study)</w:t>
      </w:r>
    </w:p>
    <w:p w14:paraId="5EDA8D60" w14:textId="05F7D5B5" w:rsidR="00E63F88" w:rsidRPr="00E63F88" w:rsidRDefault="00E63F88" w:rsidP="00E63F88">
      <w:pPr>
        <w:pStyle w:val="CETBodytext"/>
        <w:rPr>
          <w:color w:val="000000" w:themeColor="text1"/>
        </w:rPr>
      </w:pPr>
      <w:r w:rsidRPr="00E63F88">
        <w:rPr>
          <w:color w:val="000000" w:themeColor="text1"/>
        </w:rPr>
        <w:t>The implementation of the ISSAF generated a 22</w:t>
      </w:r>
      <w:r w:rsidR="004B788C">
        <w:rPr>
          <w:color w:val="000000" w:themeColor="text1"/>
        </w:rPr>
        <w:t xml:space="preserve"> </w:t>
      </w:r>
      <w:r w:rsidRPr="00E63F88">
        <w:rPr>
          <w:color w:val="000000" w:themeColor="text1"/>
        </w:rPr>
        <w:t>% quantitative reduction in the global risk profile. Nevertheless, the impact varied significantly based on plant design and automation level:</w:t>
      </w:r>
    </w:p>
    <w:p w14:paraId="016E8335" w14:textId="1960B877" w:rsidR="00E63F88" w:rsidRPr="00E63F88" w:rsidRDefault="00E63F88" w:rsidP="00E63F88">
      <w:pPr>
        <w:pStyle w:val="CETBodytext"/>
        <w:numPr>
          <w:ilvl w:val="0"/>
          <w:numId w:val="32"/>
        </w:numPr>
        <w:rPr>
          <w:color w:val="000000" w:themeColor="text1"/>
        </w:rPr>
      </w:pPr>
      <w:r w:rsidRPr="00E63F88">
        <w:rPr>
          <w:b/>
          <w:bCs/>
          <w:color w:val="000000" w:themeColor="text1"/>
        </w:rPr>
        <w:t>Plant C (Low automation):</w:t>
      </w:r>
      <w:r w:rsidRPr="00E63F88">
        <w:rPr>
          <w:color w:val="000000" w:themeColor="text1"/>
        </w:rPr>
        <w:t xml:space="preserve"> 35</w:t>
      </w:r>
      <w:r w:rsidR="00003C1B">
        <w:rPr>
          <w:color w:val="000000" w:themeColor="text1"/>
        </w:rPr>
        <w:t xml:space="preserve"> </w:t>
      </w:r>
      <w:r w:rsidRPr="00E63F88">
        <w:rPr>
          <w:color w:val="000000" w:themeColor="text1"/>
        </w:rPr>
        <w:t>% reduction.</w:t>
      </w:r>
    </w:p>
    <w:p w14:paraId="07AC27E1" w14:textId="2E917E74" w:rsidR="00E63F88" w:rsidRPr="00E63F88" w:rsidRDefault="00E63F88" w:rsidP="00E63F88">
      <w:pPr>
        <w:pStyle w:val="CETBodytext"/>
        <w:numPr>
          <w:ilvl w:val="0"/>
          <w:numId w:val="32"/>
        </w:numPr>
        <w:rPr>
          <w:color w:val="000000" w:themeColor="text1"/>
        </w:rPr>
      </w:pPr>
      <w:r w:rsidRPr="00E63F88">
        <w:rPr>
          <w:b/>
          <w:bCs/>
          <w:color w:val="000000" w:themeColor="text1"/>
        </w:rPr>
        <w:t>Plant B (Medium automation):</w:t>
      </w:r>
      <w:r w:rsidRPr="00E63F88">
        <w:rPr>
          <w:color w:val="000000" w:themeColor="text1"/>
        </w:rPr>
        <w:t xml:space="preserve"> 22</w:t>
      </w:r>
      <w:r w:rsidR="00003C1B">
        <w:rPr>
          <w:color w:val="000000" w:themeColor="text1"/>
        </w:rPr>
        <w:t xml:space="preserve"> </w:t>
      </w:r>
      <w:r w:rsidRPr="00E63F88">
        <w:rPr>
          <w:color w:val="000000" w:themeColor="text1"/>
        </w:rPr>
        <w:t>% reduction.</w:t>
      </w:r>
    </w:p>
    <w:p w14:paraId="728288E0" w14:textId="1EACFE16" w:rsidR="00E63F88" w:rsidRDefault="00E63F88" w:rsidP="00E63F88">
      <w:pPr>
        <w:pStyle w:val="CETBodytext"/>
        <w:numPr>
          <w:ilvl w:val="0"/>
          <w:numId w:val="32"/>
        </w:numPr>
        <w:rPr>
          <w:color w:val="000000" w:themeColor="text1"/>
        </w:rPr>
      </w:pPr>
      <w:r w:rsidRPr="00E63F88">
        <w:rPr>
          <w:b/>
          <w:bCs/>
          <w:color w:val="000000" w:themeColor="text1"/>
        </w:rPr>
        <w:t>Plant A (High automation):</w:t>
      </w:r>
      <w:r w:rsidRPr="00E63F88">
        <w:rPr>
          <w:color w:val="000000" w:themeColor="text1"/>
        </w:rPr>
        <w:t xml:space="preserve"> 12</w:t>
      </w:r>
      <w:r w:rsidR="00003C1B">
        <w:rPr>
          <w:color w:val="000000" w:themeColor="text1"/>
        </w:rPr>
        <w:t xml:space="preserve"> </w:t>
      </w:r>
      <w:r w:rsidRPr="00E63F88">
        <w:rPr>
          <w:color w:val="000000" w:themeColor="text1"/>
        </w:rPr>
        <w:t>% reduction.</w:t>
      </w:r>
    </w:p>
    <w:p w14:paraId="4061F1AD" w14:textId="77777777" w:rsidR="003C3A96" w:rsidRDefault="003C3A96" w:rsidP="003C3A96">
      <w:pPr>
        <w:pStyle w:val="CETBodytext"/>
        <w:rPr>
          <w:color w:val="000000" w:themeColor="text1"/>
        </w:rPr>
      </w:pPr>
    </w:p>
    <w:p w14:paraId="73DDB027" w14:textId="6FE55C2F" w:rsidR="003C3A96" w:rsidRPr="003C3A96" w:rsidRDefault="003C3A96" w:rsidP="003C3A96">
      <w:pPr>
        <w:pStyle w:val="CETTabletitle"/>
        <w:rPr>
          <w:color w:val="000000" w:themeColor="text1"/>
          <w:lang w:val="en-US"/>
        </w:rPr>
      </w:pPr>
      <w:r w:rsidRPr="00E63F88">
        <w:rPr>
          <w:color w:val="000000" w:themeColor="text1"/>
          <w:lang w:val="en-US"/>
        </w:rPr>
        <w:lastRenderedPageBreak/>
        <w:t xml:space="preserve">Table </w:t>
      </w:r>
      <w:r>
        <w:rPr>
          <w:color w:val="000000" w:themeColor="text1"/>
          <w:lang w:val="en-US"/>
        </w:rPr>
        <w:t>4</w:t>
      </w:r>
      <w:r w:rsidR="00CB548C">
        <w:rPr>
          <w:color w:val="000000" w:themeColor="text1"/>
          <w:lang w:val="en-US"/>
        </w:rPr>
        <w:t>:</w:t>
      </w:r>
      <w:r w:rsidRPr="00E63F88">
        <w:rPr>
          <w:color w:val="000000" w:themeColor="text1"/>
          <w:lang w:val="en-US"/>
        </w:rPr>
        <w:t xml:space="preserve"> </w:t>
      </w:r>
      <w:r w:rsidRPr="003C3A96">
        <w:rPr>
          <w:color w:val="000000" w:themeColor="text1"/>
          <w:lang w:val="en-US"/>
        </w:rPr>
        <w:t>Comparative Performance Metrics by Plant Automation Level</w:t>
      </w:r>
      <w:r w:rsidRPr="00E63F88">
        <w:rPr>
          <w:color w:val="000000" w:themeColor="text1"/>
          <w:lang w:val="en-US"/>
        </w:rPr>
        <w:t>.</w:t>
      </w:r>
    </w:p>
    <w:tbl>
      <w:tblPr>
        <w:tblW w:w="8789" w:type="dxa"/>
        <w:jc w:val="center"/>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2694"/>
        <w:gridCol w:w="2409"/>
        <w:gridCol w:w="1985"/>
        <w:gridCol w:w="1701"/>
      </w:tblGrid>
      <w:tr w:rsidR="003C3A96" w:rsidRPr="003C3A96" w14:paraId="3454C6FF" w14:textId="77777777" w:rsidTr="003C3A96">
        <w:trPr>
          <w:jc w:val="center"/>
        </w:trPr>
        <w:tc>
          <w:tcPr>
            <w:tcW w:w="2694" w:type="dxa"/>
            <w:tcBorders>
              <w:top w:val="single" w:sz="12" w:space="0" w:color="008000"/>
              <w:bottom w:val="single" w:sz="6" w:space="0" w:color="008000"/>
            </w:tcBorders>
            <w:shd w:val="clear" w:color="auto" w:fill="FFFFFF"/>
            <w:vAlign w:val="bottom"/>
          </w:tcPr>
          <w:p w14:paraId="04108AA1" w14:textId="77777777" w:rsidR="003C3A96" w:rsidRPr="003C3A96" w:rsidRDefault="003C3A96" w:rsidP="003C3A96">
            <w:pPr>
              <w:pStyle w:val="CETBodytext"/>
              <w:rPr>
                <w:color w:val="000000" w:themeColor="text1"/>
              </w:rPr>
            </w:pPr>
            <w:r w:rsidRPr="003C3A96">
              <w:rPr>
                <w:color w:val="000000" w:themeColor="text1"/>
              </w:rPr>
              <w:t>Metric</w:t>
            </w:r>
          </w:p>
        </w:tc>
        <w:tc>
          <w:tcPr>
            <w:tcW w:w="2409" w:type="dxa"/>
            <w:tcBorders>
              <w:top w:val="single" w:sz="12" w:space="0" w:color="008000"/>
              <w:bottom w:val="single" w:sz="6" w:space="0" w:color="008000"/>
            </w:tcBorders>
            <w:shd w:val="clear" w:color="auto" w:fill="FFFFFF"/>
            <w:vAlign w:val="bottom"/>
          </w:tcPr>
          <w:p w14:paraId="09A2EA21" w14:textId="77777777" w:rsidR="003C3A96" w:rsidRPr="003C3A96" w:rsidRDefault="003C3A96" w:rsidP="003C3A96">
            <w:pPr>
              <w:pStyle w:val="CETBodytext"/>
              <w:rPr>
                <w:color w:val="000000" w:themeColor="text1"/>
              </w:rPr>
            </w:pPr>
            <w:r w:rsidRPr="003C3A96">
              <w:rPr>
                <w:color w:val="000000" w:themeColor="text1"/>
              </w:rPr>
              <w:t>Plant A (High Auto)</w:t>
            </w:r>
          </w:p>
        </w:tc>
        <w:tc>
          <w:tcPr>
            <w:tcW w:w="1985" w:type="dxa"/>
            <w:tcBorders>
              <w:top w:val="single" w:sz="12" w:space="0" w:color="008000"/>
              <w:bottom w:val="single" w:sz="6" w:space="0" w:color="008000"/>
            </w:tcBorders>
            <w:shd w:val="clear" w:color="auto" w:fill="FFFFFF"/>
            <w:vAlign w:val="bottom"/>
          </w:tcPr>
          <w:p w14:paraId="49FCB655" w14:textId="77777777" w:rsidR="003C3A96" w:rsidRPr="003C3A96" w:rsidRDefault="003C3A96" w:rsidP="003C3A96">
            <w:pPr>
              <w:pStyle w:val="CETBodytext"/>
              <w:rPr>
                <w:color w:val="000000" w:themeColor="text1"/>
              </w:rPr>
            </w:pPr>
            <w:r w:rsidRPr="003C3A96">
              <w:rPr>
                <w:color w:val="000000" w:themeColor="text1"/>
              </w:rPr>
              <w:t>Plant B (Med Auto)</w:t>
            </w:r>
          </w:p>
        </w:tc>
        <w:tc>
          <w:tcPr>
            <w:tcW w:w="1701" w:type="dxa"/>
            <w:tcBorders>
              <w:top w:val="single" w:sz="12" w:space="0" w:color="008000"/>
              <w:bottom w:val="single" w:sz="6" w:space="0" w:color="008000"/>
            </w:tcBorders>
            <w:shd w:val="clear" w:color="auto" w:fill="FFFFFF"/>
            <w:vAlign w:val="center"/>
          </w:tcPr>
          <w:p w14:paraId="7EEBBA3E" w14:textId="77777777" w:rsidR="003C3A96" w:rsidRPr="003C3A96" w:rsidRDefault="003C3A96" w:rsidP="003C3A96">
            <w:pPr>
              <w:pStyle w:val="CETBodytext"/>
              <w:rPr>
                <w:color w:val="000000" w:themeColor="text1"/>
              </w:rPr>
            </w:pPr>
            <w:r w:rsidRPr="003C3A96">
              <w:rPr>
                <w:color w:val="000000" w:themeColor="text1"/>
              </w:rPr>
              <w:t>Plant C (Low Auto)</w:t>
            </w:r>
          </w:p>
        </w:tc>
      </w:tr>
      <w:tr w:rsidR="003C3A96" w:rsidRPr="003C3A96" w14:paraId="653CD1A5" w14:textId="77777777" w:rsidTr="003C3A96">
        <w:trPr>
          <w:jc w:val="center"/>
        </w:trPr>
        <w:tc>
          <w:tcPr>
            <w:tcW w:w="2694" w:type="dxa"/>
            <w:shd w:val="clear" w:color="auto" w:fill="FFFFFF"/>
            <w:vAlign w:val="bottom"/>
          </w:tcPr>
          <w:p w14:paraId="336302D3" w14:textId="77777777" w:rsidR="003C3A96" w:rsidRPr="003C3A96" w:rsidRDefault="003C3A96" w:rsidP="003C3A96">
            <w:pPr>
              <w:pStyle w:val="CETBodytext"/>
              <w:rPr>
                <w:color w:val="000000" w:themeColor="text1"/>
              </w:rPr>
            </w:pPr>
            <w:r w:rsidRPr="003C3A96">
              <w:rPr>
                <w:color w:val="000000" w:themeColor="text1"/>
              </w:rPr>
              <w:t>Initial Risk Baseline (RPN)</w:t>
            </w:r>
          </w:p>
        </w:tc>
        <w:tc>
          <w:tcPr>
            <w:tcW w:w="2409" w:type="dxa"/>
            <w:shd w:val="clear" w:color="auto" w:fill="FFFFFF"/>
            <w:vAlign w:val="bottom"/>
          </w:tcPr>
          <w:p w14:paraId="7870187D" w14:textId="77777777" w:rsidR="003C3A96" w:rsidRPr="003C3A96" w:rsidRDefault="003C3A96" w:rsidP="003C3A96">
            <w:pPr>
              <w:pStyle w:val="CETBodytext"/>
              <w:rPr>
                <w:color w:val="000000" w:themeColor="text1"/>
              </w:rPr>
            </w:pPr>
            <w:r w:rsidRPr="003C3A96">
              <w:rPr>
                <w:color w:val="000000" w:themeColor="text1"/>
              </w:rPr>
              <w:t>110</w:t>
            </w:r>
          </w:p>
        </w:tc>
        <w:tc>
          <w:tcPr>
            <w:tcW w:w="1985" w:type="dxa"/>
            <w:shd w:val="clear" w:color="auto" w:fill="FFFFFF"/>
            <w:vAlign w:val="bottom"/>
          </w:tcPr>
          <w:p w14:paraId="7F686A51" w14:textId="77777777" w:rsidR="003C3A96" w:rsidRPr="003C3A96" w:rsidRDefault="003C3A96" w:rsidP="003C3A96">
            <w:pPr>
              <w:pStyle w:val="CETBodytext"/>
              <w:rPr>
                <w:color w:val="000000" w:themeColor="text1"/>
              </w:rPr>
            </w:pPr>
            <w:r w:rsidRPr="003C3A96">
              <w:rPr>
                <w:color w:val="000000" w:themeColor="text1"/>
              </w:rPr>
              <w:t>165</w:t>
            </w:r>
          </w:p>
        </w:tc>
        <w:tc>
          <w:tcPr>
            <w:tcW w:w="1701" w:type="dxa"/>
            <w:shd w:val="clear" w:color="auto" w:fill="FFFFFF"/>
            <w:vAlign w:val="bottom"/>
          </w:tcPr>
          <w:p w14:paraId="63C3AFD1" w14:textId="77777777" w:rsidR="003C3A96" w:rsidRPr="003C3A96" w:rsidRDefault="003C3A96" w:rsidP="003C3A96">
            <w:pPr>
              <w:pStyle w:val="CETBodytext"/>
              <w:rPr>
                <w:color w:val="000000" w:themeColor="text1"/>
              </w:rPr>
            </w:pPr>
            <w:r w:rsidRPr="003C3A96">
              <w:rPr>
                <w:color w:val="000000" w:themeColor="text1"/>
              </w:rPr>
              <w:t>240</w:t>
            </w:r>
          </w:p>
        </w:tc>
      </w:tr>
      <w:tr w:rsidR="003C3A96" w:rsidRPr="003C3A96" w14:paraId="64925CF4" w14:textId="77777777" w:rsidTr="003C3A96">
        <w:trPr>
          <w:jc w:val="center"/>
        </w:trPr>
        <w:tc>
          <w:tcPr>
            <w:tcW w:w="2694" w:type="dxa"/>
            <w:shd w:val="clear" w:color="auto" w:fill="FFFFFF"/>
            <w:vAlign w:val="bottom"/>
          </w:tcPr>
          <w:p w14:paraId="69439648" w14:textId="77777777" w:rsidR="003C3A96" w:rsidRPr="003C3A96" w:rsidRDefault="003C3A96" w:rsidP="003C3A96">
            <w:pPr>
              <w:pStyle w:val="CETBodytext"/>
              <w:rPr>
                <w:color w:val="000000" w:themeColor="text1"/>
              </w:rPr>
            </w:pPr>
            <w:r w:rsidRPr="003C3A96">
              <w:rPr>
                <w:color w:val="000000" w:themeColor="text1"/>
              </w:rPr>
              <w:t>Final Risk After ISSAF (RPN)</w:t>
            </w:r>
          </w:p>
        </w:tc>
        <w:tc>
          <w:tcPr>
            <w:tcW w:w="2409" w:type="dxa"/>
            <w:shd w:val="clear" w:color="auto" w:fill="FFFFFF"/>
            <w:vAlign w:val="bottom"/>
          </w:tcPr>
          <w:p w14:paraId="60E94536" w14:textId="77777777" w:rsidR="003C3A96" w:rsidRPr="003C3A96" w:rsidRDefault="003C3A96" w:rsidP="003C3A96">
            <w:pPr>
              <w:pStyle w:val="CETBodytext"/>
              <w:rPr>
                <w:color w:val="000000" w:themeColor="text1"/>
              </w:rPr>
            </w:pPr>
            <w:r w:rsidRPr="003C3A96">
              <w:rPr>
                <w:color w:val="000000" w:themeColor="text1"/>
              </w:rPr>
              <w:t>97</w:t>
            </w:r>
          </w:p>
        </w:tc>
        <w:tc>
          <w:tcPr>
            <w:tcW w:w="1985" w:type="dxa"/>
            <w:shd w:val="clear" w:color="auto" w:fill="FFFFFF"/>
            <w:vAlign w:val="bottom"/>
          </w:tcPr>
          <w:p w14:paraId="70110886" w14:textId="77777777" w:rsidR="003C3A96" w:rsidRPr="003C3A96" w:rsidRDefault="003C3A96" w:rsidP="003C3A96">
            <w:pPr>
              <w:pStyle w:val="CETBodytext"/>
              <w:rPr>
                <w:color w:val="000000" w:themeColor="text1"/>
              </w:rPr>
            </w:pPr>
            <w:r w:rsidRPr="003C3A96">
              <w:rPr>
                <w:color w:val="000000" w:themeColor="text1"/>
              </w:rPr>
              <w:t>128</w:t>
            </w:r>
          </w:p>
        </w:tc>
        <w:tc>
          <w:tcPr>
            <w:tcW w:w="1701" w:type="dxa"/>
            <w:shd w:val="clear" w:color="auto" w:fill="FFFFFF"/>
            <w:vAlign w:val="bottom"/>
          </w:tcPr>
          <w:p w14:paraId="5880E9B3" w14:textId="77777777" w:rsidR="003C3A96" w:rsidRPr="003C3A96" w:rsidRDefault="003C3A96" w:rsidP="003C3A96">
            <w:pPr>
              <w:pStyle w:val="CETBodytext"/>
              <w:rPr>
                <w:color w:val="000000" w:themeColor="text1"/>
              </w:rPr>
            </w:pPr>
            <w:r w:rsidRPr="003C3A96">
              <w:rPr>
                <w:color w:val="000000" w:themeColor="text1"/>
              </w:rPr>
              <w:t>156</w:t>
            </w:r>
          </w:p>
        </w:tc>
      </w:tr>
      <w:tr w:rsidR="003C3A96" w:rsidRPr="003C3A96" w14:paraId="4AF375AE" w14:textId="77777777" w:rsidTr="003C3A96">
        <w:trPr>
          <w:jc w:val="center"/>
        </w:trPr>
        <w:tc>
          <w:tcPr>
            <w:tcW w:w="2694" w:type="dxa"/>
            <w:shd w:val="clear" w:color="auto" w:fill="FFFFFF"/>
            <w:vAlign w:val="bottom"/>
          </w:tcPr>
          <w:p w14:paraId="5E04F02E" w14:textId="77777777" w:rsidR="003C3A96" w:rsidRPr="003C3A96" w:rsidRDefault="003C3A96" w:rsidP="003C3A96">
            <w:pPr>
              <w:pStyle w:val="CETBodytext"/>
              <w:rPr>
                <w:color w:val="000000" w:themeColor="text1"/>
              </w:rPr>
            </w:pPr>
            <w:r w:rsidRPr="003C3A96">
              <w:rPr>
                <w:color w:val="000000" w:themeColor="text1"/>
              </w:rPr>
              <w:t>Primary Pillar Benefit</w:t>
            </w:r>
          </w:p>
        </w:tc>
        <w:tc>
          <w:tcPr>
            <w:tcW w:w="2409" w:type="dxa"/>
            <w:shd w:val="clear" w:color="auto" w:fill="FFFFFF"/>
            <w:vAlign w:val="bottom"/>
          </w:tcPr>
          <w:p w14:paraId="7E7EF1FE" w14:textId="77777777" w:rsidR="003C3A96" w:rsidRPr="003C3A96" w:rsidRDefault="003C3A96" w:rsidP="003C3A96">
            <w:pPr>
              <w:pStyle w:val="CETBodytext"/>
              <w:rPr>
                <w:color w:val="000000" w:themeColor="text1"/>
              </w:rPr>
            </w:pPr>
            <w:r w:rsidRPr="003C3A96">
              <w:rPr>
                <w:color w:val="000000" w:themeColor="text1"/>
              </w:rPr>
              <w:t>Substitution</w:t>
            </w:r>
          </w:p>
        </w:tc>
        <w:tc>
          <w:tcPr>
            <w:tcW w:w="1985" w:type="dxa"/>
            <w:shd w:val="clear" w:color="auto" w:fill="FFFFFF"/>
            <w:vAlign w:val="bottom"/>
          </w:tcPr>
          <w:p w14:paraId="6716A2F2" w14:textId="77777777" w:rsidR="003C3A96" w:rsidRPr="003C3A96" w:rsidRDefault="003C3A96" w:rsidP="003C3A96">
            <w:pPr>
              <w:pStyle w:val="CETBodytext"/>
              <w:rPr>
                <w:color w:val="000000" w:themeColor="text1"/>
              </w:rPr>
            </w:pPr>
            <w:r w:rsidRPr="003C3A96">
              <w:rPr>
                <w:color w:val="000000" w:themeColor="text1"/>
              </w:rPr>
              <w:t>Moderation</w:t>
            </w:r>
          </w:p>
        </w:tc>
        <w:tc>
          <w:tcPr>
            <w:tcW w:w="1701" w:type="dxa"/>
            <w:shd w:val="clear" w:color="auto" w:fill="FFFFFF"/>
            <w:vAlign w:val="bottom"/>
          </w:tcPr>
          <w:p w14:paraId="6A75F98D" w14:textId="77777777" w:rsidR="003C3A96" w:rsidRPr="003C3A96" w:rsidRDefault="003C3A96" w:rsidP="003C3A96">
            <w:pPr>
              <w:pStyle w:val="CETBodytext"/>
              <w:rPr>
                <w:color w:val="000000" w:themeColor="text1"/>
              </w:rPr>
            </w:pPr>
            <w:r w:rsidRPr="003C3A96">
              <w:rPr>
                <w:color w:val="000000" w:themeColor="text1"/>
              </w:rPr>
              <w:t>Simplification</w:t>
            </w:r>
          </w:p>
        </w:tc>
      </w:tr>
      <w:tr w:rsidR="003C3A96" w:rsidRPr="003C3A96" w14:paraId="77DC0DCC" w14:textId="77777777" w:rsidTr="003C3A96">
        <w:trPr>
          <w:jc w:val="center"/>
        </w:trPr>
        <w:tc>
          <w:tcPr>
            <w:tcW w:w="2694" w:type="dxa"/>
            <w:tcBorders>
              <w:bottom w:val="single" w:sz="12" w:space="0" w:color="008000"/>
            </w:tcBorders>
            <w:shd w:val="clear" w:color="auto" w:fill="FFFFFF"/>
            <w:vAlign w:val="bottom"/>
          </w:tcPr>
          <w:p w14:paraId="78F67DC8" w14:textId="77777777" w:rsidR="003C3A96" w:rsidRPr="003C3A96" w:rsidRDefault="003C3A96" w:rsidP="003C3A96">
            <w:pPr>
              <w:pStyle w:val="CETBodytext"/>
              <w:rPr>
                <w:color w:val="000000" w:themeColor="text1"/>
              </w:rPr>
            </w:pPr>
            <w:r w:rsidRPr="003C3A96">
              <w:rPr>
                <w:color w:val="000000" w:themeColor="text1"/>
              </w:rPr>
              <w:t>Total Risk Reduction (%)</w:t>
            </w:r>
          </w:p>
        </w:tc>
        <w:tc>
          <w:tcPr>
            <w:tcW w:w="2409" w:type="dxa"/>
            <w:tcBorders>
              <w:bottom w:val="single" w:sz="12" w:space="0" w:color="008000"/>
            </w:tcBorders>
            <w:shd w:val="clear" w:color="auto" w:fill="FFFFFF"/>
            <w:vAlign w:val="bottom"/>
          </w:tcPr>
          <w:p w14:paraId="23445F3D" w14:textId="0091EAF2" w:rsidR="003C3A96" w:rsidRPr="003C3A96" w:rsidRDefault="003C3A96" w:rsidP="003C3A96">
            <w:pPr>
              <w:pStyle w:val="CETBodytext"/>
              <w:rPr>
                <w:color w:val="000000" w:themeColor="text1"/>
              </w:rPr>
            </w:pPr>
            <w:r w:rsidRPr="003C3A96">
              <w:rPr>
                <w:color w:val="000000" w:themeColor="text1"/>
              </w:rPr>
              <w:t>12</w:t>
            </w:r>
            <w:r w:rsidR="00003C1B">
              <w:rPr>
                <w:color w:val="000000" w:themeColor="text1"/>
              </w:rPr>
              <w:t xml:space="preserve"> </w:t>
            </w:r>
            <w:r w:rsidRPr="003C3A96">
              <w:rPr>
                <w:color w:val="000000" w:themeColor="text1"/>
              </w:rPr>
              <w:t>%</w:t>
            </w:r>
          </w:p>
        </w:tc>
        <w:tc>
          <w:tcPr>
            <w:tcW w:w="1985" w:type="dxa"/>
            <w:tcBorders>
              <w:bottom w:val="single" w:sz="12" w:space="0" w:color="008000"/>
            </w:tcBorders>
            <w:shd w:val="clear" w:color="auto" w:fill="FFFFFF"/>
            <w:vAlign w:val="bottom"/>
          </w:tcPr>
          <w:p w14:paraId="11066B20" w14:textId="78EF0826" w:rsidR="003C3A96" w:rsidRPr="003C3A96" w:rsidRDefault="003C3A96" w:rsidP="003C3A96">
            <w:pPr>
              <w:pStyle w:val="CETBodytext"/>
              <w:rPr>
                <w:color w:val="000000" w:themeColor="text1"/>
              </w:rPr>
            </w:pPr>
            <w:r w:rsidRPr="003C3A96">
              <w:rPr>
                <w:color w:val="000000" w:themeColor="text1"/>
              </w:rPr>
              <w:t>22</w:t>
            </w:r>
            <w:r w:rsidR="00003C1B">
              <w:rPr>
                <w:color w:val="000000" w:themeColor="text1"/>
              </w:rPr>
              <w:t xml:space="preserve"> </w:t>
            </w:r>
            <w:r w:rsidRPr="003C3A96">
              <w:rPr>
                <w:color w:val="000000" w:themeColor="text1"/>
              </w:rPr>
              <w:t>%</w:t>
            </w:r>
          </w:p>
        </w:tc>
        <w:tc>
          <w:tcPr>
            <w:tcW w:w="1701" w:type="dxa"/>
            <w:tcBorders>
              <w:bottom w:val="single" w:sz="12" w:space="0" w:color="008000"/>
            </w:tcBorders>
            <w:shd w:val="clear" w:color="auto" w:fill="FFFFFF"/>
            <w:vAlign w:val="bottom"/>
          </w:tcPr>
          <w:p w14:paraId="3E48546F" w14:textId="05188987" w:rsidR="003C3A96" w:rsidRPr="003C3A96" w:rsidRDefault="003C3A96" w:rsidP="003C3A96">
            <w:pPr>
              <w:pStyle w:val="CETBodytext"/>
              <w:rPr>
                <w:color w:val="000000" w:themeColor="text1"/>
              </w:rPr>
            </w:pPr>
            <w:r w:rsidRPr="003C3A96">
              <w:rPr>
                <w:color w:val="000000" w:themeColor="text1"/>
              </w:rPr>
              <w:t>35</w:t>
            </w:r>
            <w:r w:rsidR="00003C1B">
              <w:rPr>
                <w:color w:val="000000" w:themeColor="text1"/>
              </w:rPr>
              <w:t xml:space="preserve"> </w:t>
            </w:r>
            <w:r w:rsidRPr="003C3A96">
              <w:rPr>
                <w:color w:val="000000" w:themeColor="text1"/>
              </w:rPr>
              <w:t>%</w:t>
            </w:r>
          </w:p>
        </w:tc>
      </w:tr>
    </w:tbl>
    <w:p w14:paraId="4CBE2723" w14:textId="77777777" w:rsidR="00E63F88" w:rsidRPr="00E63F88" w:rsidRDefault="00E63F88" w:rsidP="00E63F88">
      <w:pPr>
        <w:pStyle w:val="CETBodytext"/>
        <w:ind w:left="720"/>
        <w:rPr>
          <w:color w:val="000000" w:themeColor="text1"/>
        </w:rPr>
      </w:pPr>
    </w:p>
    <w:p w14:paraId="5FF1526B" w14:textId="27421409" w:rsidR="00065D6C" w:rsidRPr="00E63F88" w:rsidRDefault="00065D6C" w:rsidP="007E5E5D">
      <w:pPr>
        <w:pStyle w:val="CETBodytext"/>
        <w:rPr>
          <w:color w:val="000000" w:themeColor="text1"/>
        </w:rPr>
      </w:pPr>
      <w:r w:rsidRPr="00065D6C">
        <w:rPr>
          <w:color w:val="000000" w:themeColor="text1"/>
        </w:rPr>
        <w:t xml:space="preserve">This disparity suggests that the ISSAF framework may support system robustness in SMEs with limited resources (Plant C). In highly automated plants (Plant A), the framework primarily serves for </w:t>
      </w:r>
      <w:r w:rsidR="00024195" w:rsidRPr="00F51A30">
        <w:t>optimizing</w:t>
      </w:r>
      <w:r w:rsidRPr="00065D6C">
        <w:rPr>
          <w:color w:val="000000" w:themeColor="text1"/>
        </w:rPr>
        <w:t xml:space="preserve"> protocols, while in </w:t>
      </w:r>
      <w:r w:rsidR="00CB548C" w:rsidRPr="00CB548C">
        <w:rPr>
          <w:color w:val="000000" w:themeColor="text1"/>
        </w:rPr>
        <w:t>labor-intensive plants</w:t>
      </w:r>
      <w:r w:rsidRPr="00065D6C">
        <w:rPr>
          <w:color w:val="000000" w:themeColor="text1"/>
        </w:rPr>
        <w:t xml:space="preserve"> it acts as a driver for structural and operational improvements. This perspective aligns with Ab-Rahim et al. (2024), who highlight that resilience in food manufacturing relies on design-oriented interventions rather than continuous administrative controls. It should be noted, however, that resilience was not directly assessed in this study and should be considered a potential outcome.</w:t>
      </w:r>
    </w:p>
    <w:p w14:paraId="5935261A" w14:textId="752148D3" w:rsidR="00EF7D28" w:rsidRPr="00040EB5" w:rsidRDefault="00E63F88" w:rsidP="00B22FA1">
      <w:pPr>
        <w:pStyle w:val="CETheadingx"/>
        <w:rPr>
          <w:rStyle w:val="eop"/>
          <w:color w:val="FF0000"/>
        </w:rPr>
      </w:pPr>
      <w:r w:rsidRPr="00E63F88">
        <w:rPr>
          <w:lang w:val="en-US"/>
        </w:rPr>
        <w:t>OSHA-FSMA Technical Convergence (Modified ISI)</w:t>
      </w:r>
    </w:p>
    <w:p w14:paraId="7769DA56" w14:textId="5C477D57" w:rsidR="00EF7D28" w:rsidRDefault="00E63F88" w:rsidP="00EF7D28">
      <w:pPr>
        <w:pStyle w:val="CETBodytext"/>
        <w:rPr>
          <w:color w:val="000000" w:themeColor="text1"/>
        </w:rPr>
      </w:pPr>
      <w:r w:rsidRPr="00E63F88">
        <w:rPr>
          <w:color w:val="000000" w:themeColor="text1"/>
        </w:rPr>
        <w:t>The use of the modified Inherent Safety Index (ISI) revealed that designs scoring low in occupational safety (OSHA) due to mechanical complexity also scored low in food safety (FSMA) due to pathogen accumulation in the Food Safety Risk Factor (FR-I)</w:t>
      </w:r>
      <w:r w:rsidR="00040EB5" w:rsidRPr="00E63F88">
        <w:rPr>
          <w:color w:val="000000" w:themeColor="text1"/>
        </w:rPr>
        <w:t>.</w:t>
      </w:r>
      <w:r w:rsidR="00EF7D28" w:rsidRPr="00E63F88">
        <w:rPr>
          <w:color w:val="000000" w:themeColor="text1"/>
        </w:rPr>
        <w:t> </w:t>
      </w:r>
    </w:p>
    <w:p w14:paraId="5BCC2C2E" w14:textId="3893C574" w:rsidR="003C3A96" w:rsidRPr="003C3A96" w:rsidRDefault="003C3A96" w:rsidP="003C3A96">
      <w:pPr>
        <w:pStyle w:val="CETTabletitle"/>
        <w:rPr>
          <w:color w:val="000000" w:themeColor="text1"/>
          <w:lang w:val="en-US"/>
        </w:rPr>
      </w:pPr>
      <w:r w:rsidRPr="00E63F88">
        <w:rPr>
          <w:color w:val="000000" w:themeColor="text1"/>
          <w:lang w:val="en-US"/>
        </w:rPr>
        <w:t xml:space="preserve">Table </w:t>
      </w:r>
      <w:r>
        <w:rPr>
          <w:color w:val="000000" w:themeColor="text1"/>
          <w:lang w:val="en-US"/>
        </w:rPr>
        <w:t>5</w:t>
      </w:r>
      <w:r w:rsidR="00CB548C">
        <w:rPr>
          <w:color w:val="000000" w:themeColor="text1"/>
          <w:lang w:val="en-US"/>
        </w:rPr>
        <w:t>:</w:t>
      </w:r>
      <w:r w:rsidRPr="00E63F88">
        <w:rPr>
          <w:color w:val="000000" w:themeColor="text1"/>
          <w:lang w:val="en-US"/>
        </w:rPr>
        <w:t xml:space="preserve"> </w:t>
      </w:r>
      <w:r w:rsidRPr="003C3A96">
        <w:rPr>
          <w:color w:val="000000" w:themeColor="text1"/>
          <w:lang w:val="en-US"/>
        </w:rPr>
        <w:t>Synergy Matrix: Correlation between OSHA Hazards and FSMA Contamination Risks</w:t>
      </w:r>
      <w:r w:rsidRPr="00E63F88">
        <w:rPr>
          <w:color w:val="000000" w:themeColor="text1"/>
          <w:lang w:val="en-US"/>
        </w:rPr>
        <w:t>.</w:t>
      </w:r>
    </w:p>
    <w:tbl>
      <w:tblPr>
        <w:tblW w:w="8789" w:type="dxa"/>
        <w:jc w:val="center"/>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276"/>
        <w:gridCol w:w="2554"/>
        <w:gridCol w:w="2266"/>
        <w:gridCol w:w="2693"/>
      </w:tblGrid>
      <w:tr w:rsidR="00DD79AA" w:rsidRPr="00DD79AA" w14:paraId="54610762" w14:textId="77777777" w:rsidTr="00DD79AA">
        <w:trPr>
          <w:jc w:val="center"/>
        </w:trPr>
        <w:tc>
          <w:tcPr>
            <w:tcW w:w="1276" w:type="dxa"/>
            <w:tcBorders>
              <w:top w:val="single" w:sz="12" w:space="0" w:color="008000"/>
              <w:bottom w:val="single" w:sz="6" w:space="0" w:color="008000"/>
            </w:tcBorders>
            <w:shd w:val="clear" w:color="auto" w:fill="FFFFFF"/>
            <w:vAlign w:val="bottom"/>
          </w:tcPr>
          <w:p w14:paraId="583E0F50" w14:textId="77777777" w:rsidR="00DD79AA" w:rsidRPr="00DD79AA" w:rsidRDefault="00DD79AA" w:rsidP="00DD79AA">
            <w:pPr>
              <w:pStyle w:val="CETBodytext"/>
              <w:rPr>
                <w:color w:val="000000" w:themeColor="text1"/>
              </w:rPr>
            </w:pPr>
            <w:r w:rsidRPr="00DD79AA">
              <w:rPr>
                <w:color w:val="000000" w:themeColor="text1"/>
              </w:rPr>
              <w:t>Equipment Node</w:t>
            </w:r>
          </w:p>
        </w:tc>
        <w:tc>
          <w:tcPr>
            <w:tcW w:w="2554" w:type="dxa"/>
            <w:tcBorders>
              <w:top w:val="single" w:sz="12" w:space="0" w:color="008000"/>
              <w:bottom w:val="single" w:sz="6" w:space="0" w:color="008000"/>
            </w:tcBorders>
            <w:shd w:val="clear" w:color="auto" w:fill="FFFFFF"/>
            <w:vAlign w:val="bottom"/>
          </w:tcPr>
          <w:p w14:paraId="5FDE683F" w14:textId="77777777" w:rsidR="00DD79AA" w:rsidRPr="00DD79AA" w:rsidRDefault="00DD79AA" w:rsidP="00DD79AA">
            <w:pPr>
              <w:pStyle w:val="CETBodytext"/>
              <w:rPr>
                <w:color w:val="000000" w:themeColor="text1"/>
              </w:rPr>
            </w:pPr>
            <w:r w:rsidRPr="00DD79AA">
              <w:rPr>
                <w:color w:val="000000" w:themeColor="text1"/>
              </w:rPr>
              <w:t>OSHA Hazard (Physical)</w:t>
            </w:r>
          </w:p>
        </w:tc>
        <w:tc>
          <w:tcPr>
            <w:tcW w:w="2266" w:type="dxa"/>
            <w:tcBorders>
              <w:top w:val="single" w:sz="12" w:space="0" w:color="008000"/>
              <w:bottom w:val="single" w:sz="6" w:space="0" w:color="008000"/>
            </w:tcBorders>
            <w:shd w:val="clear" w:color="auto" w:fill="FFFFFF"/>
            <w:vAlign w:val="bottom"/>
          </w:tcPr>
          <w:p w14:paraId="72522036" w14:textId="77777777" w:rsidR="00DD79AA" w:rsidRPr="00DD79AA" w:rsidRDefault="00DD79AA" w:rsidP="00DD79AA">
            <w:pPr>
              <w:pStyle w:val="CETBodytext"/>
              <w:rPr>
                <w:color w:val="000000" w:themeColor="text1"/>
              </w:rPr>
            </w:pPr>
            <w:r w:rsidRPr="00DD79AA">
              <w:rPr>
                <w:color w:val="000000" w:themeColor="text1"/>
              </w:rPr>
              <w:t>FSMA Risk (Biological)</w:t>
            </w:r>
          </w:p>
        </w:tc>
        <w:tc>
          <w:tcPr>
            <w:tcW w:w="2693" w:type="dxa"/>
            <w:tcBorders>
              <w:top w:val="single" w:sz="12" w:space="0" w:color="008000"/>
              <w:bottom w:val="single" w:sz="6" w:space="0" w:color="008000"/>
            </w:tcBorders>
            <w:shd w:val="clear" w:color="auto" w:fill="FFFFFF"/>
            <w:vAlign w:val="center"/>
          </w:tcPr>
          <w:p w14:paraId="53AAA3F6" w14:textId="77777777" w:rsidR="00DD79AA" w:rsidRPr="00DD79AA" w:rsidRDefault="00DD79AA" w:rsidP="00DD79AA">
            <w:pPr>
              <w:pStyle w:val="CETBodytext"/>
              <w:rPr>
                <w:color w:val="000000" w:themeColor="text1"/>
              </w:rPr>
            </w:pPr>
            <w:r w:rsidRPr="00DD79AA">
              <w:rPr>
                <w:color w:val="000000" w:themeColor="text1"/>
              </w:rPr>
              <w:t>ISSAF Integrated Solution</w:t>
            </w:r>
          </w:p>
        </w:tc>
      </w:tr>
      <w:tr w:rsidR="00DD79AA" w:rsidRPr="00DD79AA" w14:paraId="0D4538A3" w14:textId="77777777" w:rsidTr="00DD79AA">
        <w:trPr>
          <w:jc w:val="center"/>
        </w:trPr>
        <w:tc>
          <w:tcPr>
            <w:tcW w:w="1276" w:type="dxa"/>
            <w:shd w:val="clear" w:color="auto" w:fill="FFFFFF"/>
            <w:vAlign w:val="bottom"/>
          </w:tcPr>
          <w:p w14:paraId="29650D79" w14:textId="77777777" w:rsidR="00DD79AA" w:rsidRPr="00DD79AA" w:rsidRDefault="00DD79AA" w:rsidP="00DD79AA">
            <w:pPr>
              <w:pStyle w:val="CETBodytext"/>
              <w:jc w:val="left"/>
              <w:rPr>
                <w:color w:val="000000" w:themeColor="text1"/>
              </w:rPr>
            </w:pPr>
            <w:r w:rsidRPr="00DD79AA">
              <w:rPr>
                <w:color w:val="000000" w:themeColor="text1"/>
              </w:rPr>
              <w:t>Cooling Conveyor</w:t>
            </w:r>
          </w:p>
        </w:tc>
        <w:tc>
          <w:tcPr>
            <w:tcW w:w="2554" w:type="dxa"/>
            <w:shd w:val="clear" w:color="auto" w:fill="FFFFFF"/>
            <w:vAlign w:val="bottom"/>
          </w:tcPr>
          <w:p w14:paraId="24C2B0C0" w14:textId="77777777" w:rsidR="00DD79AA" w:rsidRPr="00DD79AA" w:rsidRDefault="00DD79AA" w:rsidP="00DD79AA">
            <w:pPr>
              <w:pStyle w:val="CETBodytext"/>
              <w:jc w:val="left"/>
              <w:rPr>
                <w:color w:val="000000" w:themeColor="text1"/>
              </w:rPr>
            </w:pPr>
            <w:r w:rsidRPr="00DD79AA">
              <w:rPr>
                <w:color w:val="000000" w:themeColor="text1"/>
              </w:rPr>
              <w:t>Thermal stress / Burns</w:t>
            </w:r>
          </w:p>
        </w:tc>
        <w:tc>
          <w:tcPr>
            <w:tcW w:w="2266" w:type="dxa"/>
            <w:shd w:val="clear" w:color="auto" w:fill="FFFFFF"/>
            <w:vAlign w:val="bottom"/>
          </w:tcPr>
          <w:p w14:paraId="5C038EC3" w14:textId="77777777" w:rsidR="00DD79AA" w:rsidRPr="00DD79AA" w:rsidRDefault="00DD79AA" w:rsidP="00DD79AA">
            <w:pPr>
              <w:pStyle w:val="CETBodytext"/>
              <w:jc w:val="left"/>
              <w:rPr>
                <w:color w:val="000000" w:themeColor="text1"/>
              </w:rPr>
            </w:pPr>
            <w:r w:rsidRPr="00DD79AA">
              <w:rPr>
                <w:color w:val="000000" w:themeColor="text1"/>
              </w:rPr>
              <w:t>Fungal proliferation</w:t>
            </w:r>
          </w:p>
        </w:tc>
        <w:tc>
          <w:tcPr>
            <w:tcW w:w="2693" w:type="dxa"/>
            <w:shd w:val="clear" w:color="auto" w:fill="FFFFFF"/>
            <w:vAlign w:val="center"/>
          </w:tcPr>
          <w:p w14:paraId="0F88C6F4" w14:textId="77777777" w:rsidR="00DD79AA" w:rsidRPr="00DD79AA" w:rsidRDefault="00DD79AA" w:rsidP="00DD79AA">
            <w:pPr>
              <w:pStyle w:val="CETBodytext"/>
              <w:jc w:val="left"/>
              <w:rPr>
                <w:color w:val="000000" w:themeColor="text1"/>
              </w:rPr>
            </w:pPr>
            <w:r w:rsidRPr="00DD79AA">
              <w:rPr>
                <w:color w:val="000000" w:themeColor="text1"/>
              </w:rPr>
              <w:t>Moderation: Localized HVAC &amp; Active cooling</w:t>
            </w:r>
          </w:p>
        </w:tc>
      </w:tr>
      <w:tr w:rsidR="00DD79AA" w:rsidRPr="00DD79AA" w14:paraId="405E1FCA" w14:textId="77777777" w:rsidTr="00DD79AA">
        <w:trPr>
          <w:jc w:val="center"/>
        </w:trPr>
        <w:tc>
          <w:tcPr>
            <w:tcW w:w="1276" w:type="dxa"/>
            <w:shd w:val="clear" w:color="auto" w:fill="FFFFFF"/>
            <w:vAlign w:val="bottom"/>
          </w:tcPr>
          <w:p w14:paraId="339A8F52" w14:textId="77777777" w:rsidR="00DD79AA" w:rsidRPr="00DD79AA" w:rsidRDefault="00DD79AA" w:rsidP="00DD79AA">
            <w:pPr>
              <w:pStyle w:val="CETBodytext"/>
              <w:jc w:val="left"/>
              <w:rPr>
                <w:color w:val="000000" w:themeColor="text1"/>
              </w:rPr>
            </w:pPr>
            <w:r w:rsidRPr="00DD79AA">
              <w:rPr>
                <w:color w:val="000000" w:themeColor="text1"/>
              </w:rPr>
              <w:t>Dough Divider</w:t>
            </w:r>
          </w:p>
        </w:tc>
        <w:tc>
          <w:tcPr>
            <w:tcW w:w="2554" w:type="dxa"/>
            <w:shd w:val="clear" w:color="auto" w:fill="FFFFFF"/>
            <w:vAlign w:val="bottom"/>
          </w:tcPr>
          <w:p w14:paraId="4B7908EA" w14:textId="77777777" w:rsidR="00DD79AA" w:rsidRPr="00DD79AA" w:rsidRDefault="00DD79AA" w:rsidP="00DD79AA">
            <w:pPr>
              <w:pStyle w:val="CETBodytext"/>
              <w:jc w:val="left"/>
              <w:rPr>
                <w:color w:val="000000" w:themeColor="text1"/>
              </w:rPr>
            </w:pPr>
            <w:r w:rsidRPr="00DD79AA">
              <w:rPr>
                <w:color w:val="000000" w:themeColor="text1"/>
              </w:rPr>
              <w:t>Pinch points (Entrapment)</w:t>
            </w:r>
          </w:p>
        </w:tc>
        <w:tc>
          <w:tcPr>
            <w:tcW w:w="2266" w:type="dxa"/>
            <w:shd w:val="clear" w:color="auto" w:fill="FFFFFF"/>
            <w:vAlign w:val="bottom"/>
          </w:tcPr>
          <w:p w14:paraId="7D57E7D3" w14:textId="77777777" w:rsidR="00DD79AA" w:rsidRPr="00DD79AA" w:rsidRDefault="00DD79AA" w:rsidP="00DD79AA">
            <w:pPr>
              <w:pStyle w:val="CETBodytext"/>
              <w:jc w:val="left"/>
              <w:rPr>
                <w:color w:val="000000" w:themeColor="text1"/>
              </w:rPr>
            </w:pPr>
            <w:r w:rsidRPr="00DD79AA">
              <w:rPr>
                <w:color w:val="000000" w:themeColor="text1"/>
              </w:rPr>
              <w:t>Biofilm in "Dead Zones"</w:t>
            </w:r>
          </w:p>
        </w:tc>
        <w:tc>
          <w:tcPr>
            <w:tcW w:w="2693" w:type="dxa"/>
            <w:shd w:val="clear" w:color="auto" w:fill="FFFFFF"/>
            <w:vAlign w:val="center"/>
          </w:tcPr>
          <w:p w14:paraId="30657C4B" w14:textId="77777777" w:rsidR="00DD79AA" w:rsidRPr="00DD79AA" w:rsidRDefault="00DD79AA" w:rsidP="00DD79AA">
            <w:pPr>
              <w:pStyle w:val="CETBodytext"/>
              <w:jc w:val="left"/>
              <w:rPr>
                <w:color w:val="000000" w:themeColor="text1"/>
              </w:rPr>
            </w:pPr>
            <w:r w:rsidRPr="00DD79AA">
              <w:rPr>
                <w:color w:val="000000" w:themeColor="text1"/>
              </w:rPr>
              <w:t>Simplification: Tool-less disassembly for cleaning</w:t>
            </w:r>
          </w:p>
        </w:tc>
      </w:tr>
      <w:tr w:rsidR="00DD79AA" w:rsidRPr="00DD79AA" w14:paraId="01ED8262" w14:textId="77777777" w:rsidTr="00DD79AA">
        <w:trPr>
          <w:jc w:val="center"/>
        </w:trPr>
        <w:tc>
          <w:tcPr>
            <w:tcW w:w="1276" w:type="dxa"/>
            <w:tcBorders>
              <w:bottom w:val="single" w:sz="12" w:space="0" w:color="008000"/>
            </w:tcBorders>
            <w:shd w:val="clear" w:color="auto" w:fill="FFFFFF"/>
            <w:vAlign w:val="bottom"/>
          </w:tcPr>
          <w:p w14:paraId="75F65A5A" w14:textId="77777777" w:rsidR="00DD79AA" w:rsidRPr="00DD79AA" w:rsidRDefault="00DD79AA" w:rsidP="00DD79AA">
            <w:pPr>
              <w:pStyle w:val="CETBodytext"/>
              <w:jc w:val="left"/>
              <w:rPr>
                <w:color w:val="000000" w:themeColor="text1"/>
              </w:rPr>
            </w:pPr>
            <w:r w:rsidRPr="00DD79AA">
              <w:rPr>
                <w:color w:val="000000" w:themeColor="text1"/>
              </w:rPr>
              <w:t>Packaging Line</w:t>
            </w:r>
          </w:p>
        </w:tc>
        <w:tc>
          <w:tcPr>
            <w:tcW w:w="2554" w:type="dxa"/>
            <w:tcBorders>
              <w:bottom w:val="single" w:sz="12" w:space="0" w:color="008000"/>
            </w:tcBorders>
            <w:shd w:val="clear" w:color="auto" w:fill="FFFFFF"/>
            <w:vAlign w:val="bottom"/>
          </w:tcPr>
          <w:p w14:paraId="06F523F6" w14:textId="77777777" w:rsidR="00DD79AA" w:rsidRPr="00DD79AA" w:rsidRDefault="00DD79AA" w:rsidP="00DD79AA">
            <w:pPr>
              <w:pStyle w:val="CETBodytext"/>
              <w:jc w:val="left"/>
              <w:rPr>
                <w:color w:val="000000" w:themeColor="text1"/>
              </w:rPr>
            </w:pPr>
            <w:r w:rsidRPr="00DD79AA">
              <w:rPr>
                <w:color w:val="000000" w:themeColor="text1"/>
              </w:rPr>
              <w:t>Repetitive motion (MSDs)</w:t>
            </w:r>
          </w:p>
        </w:tc>
        <w:tc>
          <w:tcPr>
            <w:tcW w:w="2266" w:type="dxa"/>
            <w:tcBorders>
              <w:bottom w:val="single" w:sz="12" w:space="0" w:color="008000"/>
            </w:tcBorders>
            <w:shd w:val="clear" w:color="auto" w:fill="FFFFFF"/>
            <w:vAlign w:val="bottom"/>
          </w:tcPr>
          <w:p w14:paraId="05715230" w14:textId="77777777" w:rsidR="00DD79AA" w:rsidRPr="00DD79AA" w:rsidRDefault="00DD79AA" w:rsidP="00DD79AA">
            <w:pPr>
              <w:pStyle w:val="CETBodytext"/>
              <w:jc w:val="left"/>
              <w:rPr>
                <w:color w:val="000000" w:themeColor="text1"/>
              </w:rPr>
            </w:pPr>
            <w:r w:rsidRPr="00DD79AA">
              <w:rPr>
                <w:color w:val="000000" w:themeColor="text1"/>
              </w:rPr>
              <w:t>Cross-contamination</w:t>
            </w:r>
          </w:p>
        </w:tc>
        <w:tc>
          <w:tcPr>
            <w:tcW w:w="2693" w:type="dxa"/>
            <w:tcBorders>
              <w:bottom w:val="single" w:sz="12" w:space="0" w:color="008000"/>
            </w:tcBorders>
            <w:shd w:val="clear" w:color="auto" w:fill="FFFFFF"/>
            <w:vAlign w:val="center"/>
          </w:tcPr>
          <w:p w14:paraId="676AA94B" w14:textId="77777777" w:rsidR="00DD79AA" w:rsidRPr="00DD79AA" w:rsidRDefault="00DD79AA" w:rsidP="00DD79AA">
            <w:pPr>
              <w:pStyle w:val="CETBodytext"/>
              <w:jc w:val="left"/>
              <w:rPr>
                <w:color w:val="000000" w:themeColor="text1"/>
              </w:rPr>
            </w:pPr>
            <w:r w:rsidRPr="00DD79AA">
              <w:rPr>
                <w:color w:val="000000" w:themeColor="text1"/>
              </w:rPr>
              <w:t>Minimization: Automated vacuum lifting</w:t>
            </w:r>
          </w:p>
        </w:tc>
      </w:tr>
    </w:tbl>
    <w:p w14:paraId="524DBB51" w14:textId="77777777" w:rsidR="003C3A96" w:rsidRPr="00E63F88" w:rsidRDefault="003C3A96" w:rsidP="00EF7D28">
      <w:pPr>
        <w:pStyle w:val="CETBodytext"/>
        <w:rPr>
          <w:color w:val="000000" w:themeColor="text1"/>
        </w:rPr>
      </w:pPr>
    </w:p>
    <w:p w14:paraId="3BC3E441" w14:textId="77777777" w:rsidR="00B06C6B" w:rsidRPr="00E63F88" w:rsidRDefault="00B06C6B" w:rsidP="00EF7D28">
      <w:pPr>
        <w:pStyle w:val="CETBodytext"/>
        <w:rPr>
          <w:color w:val="FF0000"/>
        </w:rPr>
      </w:pPr>
    </w:p>
    <w:p w14:paraId="74523926" w14:textId="24753247" w:rsidR="00B06C6B" w:rsidRPr="00E63F88" w:rsidRDefault="00E63F88" w:rsidP="00EF7D28">
      <w:pPr>
        <w:pStyle w:val="CETBodytext"/>
        <w:rPr>
          <w:color w:val="000000" w:themeColor="text1"/>
        </w:rPr>
      </w:pPr>
      <w:r w:rsidRPr="00E63F88">
        <w:rPr>
          <w:color w:val="000000" w:themeColor="text1"/>
        </w:rPr>
        <w:t>Historically, OSHA and FSMA regulations have been perceived as antagonistic. The ISSAF demonstrates they are synergistic: equipment that is safer for the operator (without hidden entrapment points) is inherently easier to clean. As proposed by Guo et al. (2024) in their multi-task learning models, safety must be addressed as an integrated system. In the tortilla industry, redesigning the cooling area under moderation principles (reducing ambient temperature) not only protected the worker from heat stroke but also halted fungal proliferation in the final product</w:t>
      </w:r>
    </w:p>
    <w:p w14:paraId="015645D9" w14:textId="77777777" w:rsidR="00B06C6B" w:rsidRPr="00E63F88" w:rsidRDefault="00B06C6B" w:rsidP="00B22FA1">
      <w:pPr>
        <w:pStyle w:val="CETheadingx"/>
        <w:rPr>
          <w:lang w:val="en-US"/>
        </w:rPr>
      </w:pPr>
      <w:r w:rsidRPr="00E63F88">
        <w:rPr>
          <w:lang w:val="en-US"/>
        </w:rPr>
        <w:t>Comparative Analysis of ISSAF Effectiveness by Automation Level</w:t>
      </w:r>
    </w:p>
    <w:p w14:paraId="33F8D5B6" w14:textId="5CD66E27" w:rsidR="00B06C6B" w:rsidRDefault="00767024" w:rsidP="00767024">
      <w:pPr>
        <w:pStyle w:val="CETBodytext"/>
      </w:pPr>
      <w:r w:rsidRPr="00767024">
        <w:t xml:space="preserve">The results suggest a consistent association between the level of plant automation and the potential for risk reduction. Specifically, lower-automation environments (Plant C) exhibited a higher capacity for improvement through the "simplification" pillar, while highly automated facilities (Plant A) benefited more from "substitution" and "inherent design". </w:t>
      </w:r>
    </w:p>
    <w:p w14:paraId="28EFDB3D" w14:textId="22733832" w:rsidR="001B105A" w:rsidRDefault="00CB548C" w:rsidP="00CB548C">
      <w:pPr>
        <w:pStyle w:val="CETBodytext"/>
        <w:jc w:val="left"/>
      </w:pPr>
      <w:r>
        <w:rPr>
          <w:noProof/>
        </w:rPr>
        <w:drawing>
          <wp:inline distT="0" distB="0" distL="0" distR="0" wp14:anchorId="06548FBB" wp14:editId="170425A0">
            <wp:extent cx="2424463" cy="167628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2568" cy="1688807"/>
                    </a:xfrm>
                    <a:prstGeom prst="rect">
                      <a:avLst/>
                    </a:prstGeom>
                    <a:noFill/>
                  </pic:spPr>
                </pic:pic>
              </a:graphicData>
            </a:graphic>
          </wp:inline>
        </w:drawing>
      </w:r>
    </w:p>
    <w:p w14:paraId="29A06AD5" w14:textId="1A078EDB" w:rsidR="00F5635A" w:rsidRPr="00683836" w:rsidRDefault="00F5635A" w:rsidP="00CB548C">
      <w:pPr>
        <w:pStyle w:val="CETCaption"/>
      </w:pPr>
      <w:r w:rsidRPr="00683836">
        <w:t xml:space="preserve">Figure </w:t>
      </w:r>
      <w:r>
        <w:t>2</w:t>
      </w:r>
      <w:r w:rsidRPr="00683836">
        <w:t xml:space="preserve">: </w:t>
      </w:r>
      <w:r w:rsidRPr="003B6F70">
        <w:t>ISSAF Framework Risk Reduction Performance by Factory Automation Level</w:t>
      </w:r>
    </w:p>
    <w:p w14:paraId="5C75108C" w14:textId="38BEA282" w:rsidR="00B06C6B" w:rsidRDefault="00EF0F50" w:rsidP="00EF0F50">
      <w:pPr>
        <w:pStyle w:val="CETBodytext"/>
        <w:rPr>
          <w:b/>
        </w:rPr>
      </w:pPr>
      <w:r w:rsidRPr="00EF0F50">
        <w:lastRenderedPageBreak/>
        <w:t>However, it is important to note that no formal statistical correlation analysis was performed due to the sample size. Therefore, this relationship should be interpreted as an observed trend rather than a quantified correlation. This distinction aligns with the qualitative depth of the multi-case study approach, providing a foundation for future large-scale validation across the food industry.</w:t>
      </w:r>
      <w:r>
        <w:t xml:space="preserve"> </w:t>
      </w:r>
      <w:r w:rsidR="00B06C6B" w:rsidRPr="00E63F88">
        <w:t>Statistical validation of the Risk Analysis Questionnaire (RAQ) yielded a Cronbach’s Alpha coefficient of 0.89, indicating excellent internal consistency in the perception of hazards among plant managers and operators, regardless of the plant's size</w:t>
      </w:r>
      <w:r w:rsidR="00D218E8">
        <w:t>.</w:t>
      </w:r>
    </w:p>
    <w:p w14:paraId="0055B359" w14:textId="2BBC4824" w:rsidR="000210D6" w:rsidRPr="00D218E8" w:rsidRDefault="000210D6" w:rsidP="00EF7D28">
      <w:pPr>
        <w:pStyle w:val="CETBodytext"/>
        <w:rPr>
          <w:color w:val="000000" w:themeColor="text1"/>
        </w:rPr>
      </w:pPr>
      <w:r w:rsidRPr="000210D6">
        <w:rPr>
          <w:i/>
          <w:lang w:val="en-GB"/>
        </w:rPr>
        <w:t xml:space="preserve"> </w:t>
      </w:r>
    </w:p>
    <w:p w14:paraId="2258E5E2" w14:textId="201A867E" w:rsidR="00EF7D28" w:rsidRPr="00D218E8" w:rsidRDefault="00EF7D28" w:rsidP="00EF7D28">
      <w:pPr>
        <w:pStyle w:val="CETHeading1"/>
        <w:rPr>
          <w:color w:val="000000" w:themeColor="text1"/>
        </w:rPr>
      </w:pPr>
      <w:r w:rsidRPr="00D218E8">
        <w:rPr>
          <w:color w:val="000000" w:themeColor="text1"/>
        </w:rPr>
        <w:t>Conclusions</w:t>
      </w:r>
    </w:p>
    <w:p w14:paraId="77C0E71D" w14:textId="7EB6B52F" w:rsidR="00D45EFE" w:rsidRPr="00D45EFE" w:rsidRDefault="00D45EFE" w:rsidP="00D45EFE">
      <w:pPr>
        <w:pStyle w:val="CETBodytext"/>
      </w:pPr>
      <w:r w:rsidRPr="00D45EFE">
        <w:t>This study presents the development and validation of the Inherent Safety Self-Assessment Framework (ISSAF) as an integrated approach to address both occupational and food safety in the food manufacturing industry. The results demonstrate that the application of inherent safety principles, particularly simplification and substitution, can significantly reduce operational risks, especially in low-automation environments. The RAQ instrument showed high internal consistency (</w:t>
      </w:r>
      <w:r>
        <w:t>Cronbach’s α</w:t>
      </w:r>
      <w:r w:rsidRPr="00D45EFE">
        <w:t xml:space="preserve"> = 0.89), supporting its use as a complementary diagnostic tool for capturing risk perception.</w:t>
      </w:r>
      <w:r>
        <w:t xml:space="preserve"> </w:t>
      </w:r>
      <w:r w:rsidRPr="00D45EFE">
        <w:t>The comparative multi-case analysis confirmed that the framework is adaptable to different technological contexts, functioning as a structural improvement tool in low-tech plants and as an optimization mechanism in highly automated systems. Although the study identified consistent patterns between automation level and risk reduction, further statistical analysis is required to establish formal correlations. Similarly, while the framework aligns with resilience-oriented design principles, future research should include direct measurement of system resilience under disturbance conditions. Overall, ISSAF provides a practical and scalable framework for integrating OSHA and FSMA requirements, supporting safer and more efficient food production systems.</w:t>
      </w:r>
    </w:p>
    <w:p w14:paraId="4F1327F8" w14:textId="1464B47C" w:rsidR="00600535" w:rsidRPr="00D218E8" w:rsidRDefault="00600535" w:rsidP="00600535">
      <w:pPr>
        <w:pStyle w:val="CETReference"/>
        <w:rPr>
          <w:color w:val="000000" w:themeColor="text1"/>
          <w:lang w:val="en-US"/>
        </w:rPr>
      </w:pPr>
      <w:r w:rsidRPr="00D218E8">
        <w:rPr>
          <w:color w:val="000000" w:themeColor="text1"/>
          <w:lang w:val="en-US"/>
        </w:rPr>
        <w:t>References</w:t>
      </w:r>
    </w:p>
    <w:p w14:paraId="37773698" w14:textId="1A0FAE2B" w:rsidR="00D218E8" w:rsidRPr="00D218E8" w:rsidRDefault="00003C1B" w:rsidP="00D218E8">
      <w:pPr>
        <w:pStyle w:val="CETReferencetext"/>
        <w:rPr>
          <w:rFonts w:cs="Arial"/>
          <w:color w:val="000000" w:themeColor="text1"/>
          <w:szCs w:val="18"/>
        </w:rPr>
      </w:pPr>
      <w:r w:rsidRPr="00003C1B">
        <w:rPr>
          <w:rFonts w:cs="Arial"/>
          <w:color w:val="000000" w:themeColor="text1"/>
          <w:szCs w:val="18"/>
          <w:lang w:val="en-US"/>
        </w:rPr>
        <w:t>Ab-Rahim M.S., Reniers G., Yang M., Bajpai S., 2024, Risk assessment methods for process safety, process security and resilience in the chemical process industry: A thorough literature review, Journal of Loss Prevention in the Process Industries, 88, 105274.</w:t>
      </w:r>
      <w:r w:rsidR="00D218E8" w:rsidRPr="00D218E8">
        <w:rPr>
          <w:rFonts w:cs="Arial"/>
          <w:color w:val="000000" w:themeColor="text1"/>
          <w:szCs w:val="18"/>
        </w:rPr>
        <w:t> </w:t>
      </w:r>
    </w:p>
    <w:p w14:paraId="737639F6" w14:textId="4F820F75" w:rsidR="00D218E8" w:rsidRPr="00D218E8" w:rsidRDefault="00003C1B" w:rsidP="00D218E8">
      <w:pPr>
        <w:pStyle w:val="CETReferencetext"/>
        <w:rPr>
          <w:rFonts w:cs="Arial"/>
          <w:color w:val="000000" w:themeColor="text1"/>
          <w:szCs w:val="18"/>
        </w:rPr>
      </w:pPr>
      <w:r w:rsidRPr="00003C1B">
        <w:rPr>
          <w:rFonts w:cs="Arial"/>
          <w:color w:val="000000" w:themeColor="text1"/>
          <w:szCs w:val="18"/>
          <w:lang w:val="en-US"/>
        </w:rPr>
        <w:t>Al-</w:t>
      </w:r>
      <w:proofErr w:type="spellStart"/>
      <w:r w:rsidRPr="00003C1B">
        <w:rPr>
          <w:rFonts w:cs="Arial"/>
          <w:color w:val="000000" w:themeColor="text1"/>
          <w:szCs w:val="18"/>
          <w:lang w:val="en-US"/>
        </w:rPr>
        <w:t>Bayati</w:t>
      </w:r>
      <w:proofErr w:type="spellEnd"/>
      <w:r w:rsidRPr="00003C1B">
        <w:rPr>
          <w:rFonts w:cs="Arial"/>
          <w:color w:val="000000" w:themeColor="text1"/>
          <w:szCs w:val="18"/>
          <w:lang w:val="en-US"/>
        </w:rPr>
        <w:t xml:space="preserve"> A.J., Bilal G.A., </w:t>
      </w:r>
      <w:proofErr w:type="spellStart"/>
      <w:r w:rsidRPr="00003C1B">
        <w:rPr>
          <w:rFonts w:cs="Arial"/>
          <w:color w:val="000000" w:themeColor="text1"/>
          <w:szCs w:val="18"/>
          <w:lang w:val="en-US"/>
        </w:rPr>
        <w:t>Esmaeili</w:t>
      </w:r>
      <w:proofErr w:type="spellEnd"/>
      <w:r w:rsidRPr="00003C1B">
        <w:rPr>
          <w:rFonts w:cs="Arial"/>
          <w:color w:val="000000" w:themeColor="text1"/>
          <w:szCs w:val="18"/>
          <w:lang w:val="en-US"/>
        </w:rPr>
        <w:t xml:space="preserve"> B., </w:t>
      </w:r>
      <w:proofErr w:type="spellStart"/>
      <w:r w:rsidRPr="00003C1B">
        <w:rPr>
          <w:rFonts w:cs="Arial"/>
          <w:color w:val="000000" w:themeColor="text1"/>
          <w:szCs w:val="18"/>
          <w:lang w:val="en-US"/>
        </w:rPr>
        <w:t>Karakhan</w:t>
      </w:r>
      <w:proofErr w:type="spellEnd"/>
      <w:r w:rsidRPr="00003C1B">
        <w:rPr>
          <w:rFonts w:cs="Arial"/>
          <w:color w:val="000000" w:themeColor="text1"/>
          <w:szCs w:val="18"/>
          <w:lang w:val="en-US"/>
        </w:rPr>
        <w:t xml:space="preserve"> A., York D., 2021, Evaluating OSHA’s fatality and catastrophe investigation summaries: Arc flash focus, Safety Science, 140, 105287.</w:t>
      </w:r>
      <w:r w:rsidR="00D218E8" w:rsidRPr="00D218E8">
        <w:rPr>
          <w:rFonts w:cs="Arial"/>
          <w:color w:val="000000" w:themeColor="text1"/>
          <w:szCs w:val="18"/>
        </w:rPr>
        <w:t> </w:t>
      </w:r>
    </w:p>
    <w:p w14:paraId="199A7CEB" w14:textId="1D60CC69" w:rsidR="00D218E8" w:rsidRPr="003B6F70" w:rsidRDefault="00003C1B" w:rsidP="00D218E8">
      <w:pPr>
        <w:pStyle w:val="CETReferencetext"/>
        <w:rPr>
          <w:rFonts w:cs="Arial"/>
          <w:color w:val="000000" w:themeColor="text1"/>
          <w:szCs w:val="18"/>
          <w:lang w:val="en-US"/>
        </w:rPr>
      </w:pPr>
      <w:proofErr w:type="spellStart"/>
      <w:r w:rsidRPr="00003C1B">
        <w:rPr>
          <w:rFonts w:cs="Arial"/>
          <w:color w:val="000000" w:themeColor="text1"/>
          <w:szCs w:val="18"/>
          <w:lang w:val="en-US"/>
        </w:rPr>
        <w:t>Burgasi</w:t>
      </w:r>
      <w:proofErr w:type="spellEnd"/>
      <w:r w:rsidRPr="00003C1B">
        <w:rPr>
          <w:rFonts w:cs="Arial"/>
          <w:color w:val="000000" w:themeColor="text1"/>
          <w:szCs w:val="18"/>
          <w:lang w:val="en-US"/>
        </w:rPr>
        <w:t xml:space="preserve"> D., </w:t>
      </w:r>
      <w:proofErr w:type="spellStart"/>
      <w:r w:rsidRPr="00003C1B">
        <w:rPr>
          <w:rFonts w:cs="Arial"/>
          <w:color w:val="000000" w:themeColor="text1"/>
          <w:szCs w:val="18"/>
          <w:lang w:val="en-US"/>
        </w:rPr>
        <w:t>Cobo</w:t>
      </w:r>
      <w:proofErr w:type="spellEnd"/>
      <w:r w:rsidRPr="00003C1B">
        <w:rPr>
          <w:rFonts w:cs="Arial"/>
          <w:color w:val="000000" w:themeColor="text1"/>
          <w:szCs w:val="18"/>
          <w:lang w:val="en-US"/>
        </w:rPr>
        <w:t xml:space="preserve"> D., Pérez K., </w:t>
      </w:r>
      <w:proofErr w:type="spellStart"/>
      <w:r w:rsidRPr="00003C1B">
        <w:rPr>
          <w:rFonts w:cs="Arial"/>
          <w:color w:val="000000" w:themeColor="text1"/>
          <w:szCs w:val="18"/>
          <w:lang w:val="en-US"/>
        </w:rPr>
        <w:t>Pilacuan</w:t>
      </w:r>
      <w:proofErr w:type="spellEnd"/>
      <w:r w:rsidRPr="00003C1B">
        <w:rPr>
          <w:rFonts w:cs="Arial"/>
          <w:color w:val="000000" w:themeColor="text1"/>
          <w:szCs w:val="18"/>
          <w:lang w:val="en-US"/>
        </w:rPr>
        <w:t xml:space="preserve"> R., Rocha M., 2021, [Ishikawa diagram as a quality tool in education: a review of the last 7 years], TAMBARA Electronic Journal, 14(84), 1212-1230 (in Spanish).</w:t>
      </w:r>
    </w:p>
    <w:p w14:paraId="56B7023C" w14:textId="77777777" w:rsidR="00D218E8" w:rsidRPr="00D218E8" w:rsidRDefault="00D218E8" w:rsidP="00D218E8">
      <w:pPr>
        <w:pStyle w:val="CETReferencetext"/>
        <w:rPr>
          <w:rFonts w:cs="Arial"/>
          <w:color w:val="000000" w:themeColor="text1"/>
          <w:szCs w:val="18"/>
        </w:rPr>
      </w:pPr>
      <w:r w:rsidRPr="00D218E8">
        <w:rPr>
          <w:rFonts w:cs="Arial"/>
          <w:color w:val="000000" w:themeColor="text1"/>
          <w:szCs w:val="18"/>
        </w:rPr>
        <w:t>DIR (Department of Industrial Relations), 2022, Safety and health guide at work, Controls for hazardous energies.</w:t>
      </w:r>
    </w:p>
    <w:p w14:paraId="45DDA0D9" w14:textId="41FD8B03" w:rsidR="00D218E8" w:rsidRPr="00D218E8" w:rsidRDefault="00003C1B" w:rsidP="00D218E8">
      <w:pPr>
        <w:pStyle w:val="CETReferencetext"/>
        <w:rPr>
          <w:rFonts w:cs="Arial"/>
          <w:color w:val="000000" w:themeColor="text1"/>
          <w:szCs w:val="18"/>
        </w:rPr>
      </w:pPr>
      <w:r w:rsidRPr="00003C1B">
        <w:rPr>
          <w:rFonts w:cs="Arial"/>
          <w:color w:val="000000" w:themeColor="text1"/>
          <w:szCs w:val="18"/>
          <w:lang w:val="en-US"/>
        </w:rPr>
        <w:t>Espinoza C.G.A., Bustamante C.G.O., 2024, Analysis of the Effectiveness of the OSHA Food Standard in the United States Tortilla Industry, Chemical Engineering Transactions, 111, 121-126.</w:t>
      </w:r>
    </w:p>
    <w:p w14:paraId="627071A2" w14:textId="77777777" w:rsidR="00D218E8" w:rsidRPr="00D218E8" w:rsidRDefault="00D218E8" w:rsidP="00D218E8">
      <w:pPr>
        <w:pStyle w:val="CETReferencetext"/>
        <w:rPr>
          <w:rFonts w:cs="Arial"/>
          <w:color w:val="000000" w:themeColor="text1"/>
          <w:szCs w:val="18"/>
        </w:rPr>
      </w:pPr>
      <w:r w:rsidRPr="00D218E8">
        <w:rPr>
          <w:rFonts w:cs="Arial"/>
          <w:color w:val="000000" w:themeColor="text1"/>
          <w:szCs w:val="18"/>
        </w:rPr>
        <w:t xml:space="preserve">​​Guo Y, Ai X, Luo W, 2024, A multi-task learning risk assessment method for the chemical process industry. Process Safety and Environmental Protection, 186, 980–994. </w:t>
      </w:r>
    </w:p>
    <w:p w14:paraId="0EC434AA" w14:textId="77777777" w:rsidR="00D218E8" w:rsidRPr="00D218E8" w:rsidRDefault="00D218E8" w:rsidP="00D218E8">
      <w:pPr>
        <w:pStyle w:val="CETReferencetext"/>
        <w:rPr>
          <w:rFonts w:cs="Arial"/>
          <w:color w:val="000000" w:themeColor="text1"/>
          <w:szCs w:val="18"/>
        </w:rPr>
      </w:pPr>
      <w:r w:rsidRPr="00D218E8">
        <w:rPr>
          <w:rFonts w:cs="Arial"/>
          <w:color w:val="000000" w:themeColor="text1"/>
          <w:szCs w:val="18"/>
        </w:rPr>
        <w:t>​​Lima-</w:t>
      </w:r>
      <w:proofErr w:type="spellStart"/>
      <w:r w:rsidRPr="00D218E8">
        <w:rPr>
          <w:rFonts w:cs="Arial"/>
          <w:color w:val="000000" w:themeColor="text1"/>
          <w:szCs w:val="18"/>
        </w:rPr>
        <w:t>Campêlo</w:t>
      </w:r>
      <w:proofErr w:type="spellEnd"/>
      <w:r w:rsidRPr="00D218E8">
        <w:rPr>
          <w:rFonts w:cs="Arial"/>
          <w:color w:val="000000" w:themeColor="text1"/>
          <w:szCs w:val="18"/>
        </w:rPr>
        <w:t xml:space="preserve"> V R, Paradis M E, Arango-</w:t>
      </w:r>
      <w:proofErr w:type="spellStart"/>
      <w:r w:rsidRPr="00D218E8">
        <w:rPr>
          <w:rFonts w:cs="Arial"/>
          <w:color w:val="000000" w:themeColor="text1"/>
          <w:szCs w:val="18"/>
        </w:rPr>
        <w:t>Sabogal</w:t>
      </w:r>
      <w:proofErr w:type="spellEnd"/>
      <w:r w:rsidRPr="00D218E8">
        <w:rPr>
          <w:rFonts w:cs="Arial"/>
          <w:color w:val="000000" w:themeColor="text1"/>
          <w:szCs w:val="18"/>
        </w:rPr>
        <w:t xml:space="preserve"> J C, Beauregard N, Roy J P, Racicot M, </w:t>
      </w:r>
      <w:proofErr w:type="spellStart"/>
      <w:r w:rsidRPr="00D218E8">
        <w:rPr>
          <w:rFonts w:cs="Arial"/>
          <w:color w:val="000000" w:themeColor="text1"/>
          <w:szCs w:val="18"/>
        </w:rPr>
        <w:t>Aenishaenslin</w:t>
      </w:r>
      <w:proofErr w:type="spellEnd"/>
      <w:r w:rsidRPr="00D218E8">
        <w:rPr>
          <w:rFonts w:cs="Arial"/>
          <w:color w:val="000000" w:themeColor="text1"/>
          <w:szCs w:val="18"/>
        </w:rPr>
        <w:t xml:space="preserve"> C, Dufour S, 2024, Biosecurity adoption in Québec dairy farms: Results from a risk assessment questionnaire </w:t>
      </w:r>
      <w:proofErr w:type="spellStart"/>
      <w:r w:rsidRPr="00D218E8">
        <w:rPr>
          <w:rFonts w:cs="Arial"/>
          <w:color w:val="000000" w:themeColor="text1"/>
          <w:szCs w:val="18"/>
        </w:rPr>
        <w:t>analyzed</w:t>
      </w:r>
      <w:proofErr w:type="spellEnd"/>
      <w:r w:rsidRPr="00D218E8">
        <w:rPr>
          <w:rFonts w:cs="Arial"/>
          <w:color w:val="000000" w:themeColor="text1"/>
          <w:szCs w:val="18"/>
        </w:rPr>
        <w:t xml:space="preserve"> using conventional and unsupervised artificial intelligence methods, </w:t>
      </w:r>
      <w:r w:rsidRPr="00D218E8">
        <w:rPr>
          <w:rFonts w:cs="Arial"/>
          <w:i/>
          <w:iCs/>
          <w:color w:val="000000" w:themeColor="text1"/>
          <w:szCs w:val="18"/>
        </w:rPr>
        <w:t>Journal of Dairy Science</w:t>
      </w:r>
      <w:r w:rsidRPr="00D218E8">
        <w:rPr>
          <w:rFonts w:cs="Arial"/>
          <w:color w:val="000000" w:themeColor="text1"/>
          <w:szCs w:val="18"/>
        </w:rPr>
        <w:t xml:space="preserve">, </w:t>
      </w:r>
      <w:r w:rsidRPr="00D218E8">
        <w:rPr>
          <w:rFonts w:cs="Arial"/>
          <w:i/>
          <w:iCs/>
          <w:color w:val="000000" w:themeColor="text1"/>
          <w:szCs w:val="18"/>
        </w:rPr>
        <w:t>107</w:t>
      </w:r>
      <w:r w:rsidRPr="00D218E8">
        <w:rPr>
          <w:rFonts w:cs="Arial"/>
          <w:color w:val="000000" w:themeColor="text1"/>
          <w:szCs w:val="18"/>
        </w:rPr>
        <w:t xml:space="preserve">(8), 6000–6014. </w:t>
      </w:r>
    </w:p>
    <w:p w14:paraId="182504F3" w14:textId="522C4CB3" w:rsidR="00D218E8" w:rsidRPr="00D218E8" w:rsidRDefault="00003C1B" w:rsidP="00D218E8">
      <w:pPr>
        <w:pStyle w:val="CETReferencetext"/>
        <w:rPr>
          <w:rFonts w:cs="Arial"/>
          <w:color w:val="000000" w:themeColor="text1"/>
          <w:szCs w:val="18"/>
        </w:rPr>
      </w:pPr>
      <w:proofErr w:type="spellStart"/>
      <w:r w:rsidRPr="00003C1B">
        <w:rPr>
          <w:rFonts w:cs="Arial"/>
          <w:color w:val="000000" w:themeColor="text1"/>
          <w:szCs w:val="18"/>
          <w:lang w:val="en-US"/>
        </w:rPr>
        <w:t>Marrazzo</w:t>
      </w:r>
      <w:proofErr w:type="spellEnd"/>
      <w:r w:rsidRPr="00003C1B">
        <w:rPr>
          <w:rFonts w:cs="Arial"/>
          <w:color w:val="000000" w:themeColor="text1"/>
          <w:szCs w:val="18"/>
          <w:lang w:val="en-US"/>
        </w:rPr>
        <w:t xml:space="preserve"> R., Barone D., 2024, Human Factors and Interfaces Between Operators, Processes, and Plants in the Italian Technical Standards, Chemical Engineering Transactions, 111, 7-12.</w:t>
      </w:r>
    </w:p>
    <w:p w14:paraId="5F3B91AD" w14:textId="77777777" w:rsidR="00D218E8" w:rsidRPr="00D218E8" w:rsidRDefault="00D218E8" w:rsidP="00D218E8">
      <w:pPr>
        <w:pStyle w:val="CETReferencetext"/>
        <w:rPr>
          <w:rFonts w:cs="Arial"/>
          <w:color w:val="000000" w:themeColor="text1"/>
          <w:szCs w:val="18"/>
        </w:rPr>
      </w:pPr>
      <w:r w:rsidRPr="00D218E8">
        <w:rPr>
          <w:rFonts w:cs="Arial"/>
          <w:color w:val="000000" w:themeColor="text1"/>
          <w:szCs w:val="18"/>
        </w:rPr>
        <w:t>OSHA, 2022a, Statement from the Undersecretary of Occupational Safety and Health on the 2022 Census of Fatal Occupational Injuries.</w:t>
      </w:r>
    </w:p>
    <w:p w14:paraId="0B508AEB" w14:textId="77777777" w:rsidR="00D218E8" w:rsidRPr="00D218E8" w:rsidRDefault="00D218E8" w:rsidP="00D218E8">
      <w:pPr>
        <w:pStyle w:val="CETReferencetext"/>
        <w:rPr>
          <w:rFonts w:cs="Arial"/>
          <w:color w:val="000000" w:themeColor="text1"/>
          <w:szCs w:val="18"/>
        </w:rPr>
      </w:pPr>
      <w:r w:rsidRPr="00D218E8">
        <w:rPr>
          <w:rFonts w:cs="Arial"/>
          <w:color w:val="000000" w:themeColor="text1"/>
          <w:szCs w:val="18"/>
        </w:rPr>
        <w:t>OSHA, 2022b, Recommended Practices for Safety and Health Programs.</w:t>
      </w:r>
    </w:p>
    <w:p w14:paraId="2BEE1085" w14:textId="77777777" w:rsidR="00D218E8" w:rsidRPr="00D218E8" w:rsidRDefault="00D218E8" w:rsidP="00D218E8">
      <w:pPr>
        <w:pStyle w:val="CETReferencetext"/>
        <w:rPr>
          <w:rFonts w:cs="Arial"/>
          <w:color w:val="000000" w:themeColor="text1"/>
          <w:szCs w:val="18"/>
        </w:rPr>
      </w:pPr>
      <w:r w:rsidRPr="00D218E8">
        <w:rPr>
          <w:rFonts w:cs="Arial"/>
          <w:color w:val="000000" w:themeColor="text1"/>
          <w:szCs w:val="18"/>
        </w:rPr>
        <w:t>Occupational Safety and Health Administration, 2023, Severe injury report a seven-year lookback A summary of employer-reported inpatient hospitalizations, amputations, and eye losses from 2015 – 2021. </w:t>
      </w:r>
    </w:p>
    <w:p w14:paraId="19C4FC68" w14:textId="66FC8C2A" w:rsidR="004628D2" w:rsidRDefault="00D218E8" w:rsidP="00D218E8">
      <w:pPr>
        <w:pStyle w:val="CETReferencetext"/>
        <w:rPr>
          <w:rStyle w:val="normaltextrun"/>
          <w:rFonts w:cs="Arial"/>
          <w:color w:val="000000" w:themeColor="text1"/>
          <w:szCs w:val="18"/>
          <w:lang w:val="en-US"/>
        </w:rPr>
      </w:pPr>
      <w:r w:rsidRPr="00D218E8">
        <w:rPr>
          <w:rFonts w:cs="Arial"/>
          <w:color w:val="000000" w:themeColor="text1"/>
          <w:szCs w:val="18"/>
          <w:lang w:val="en-US"/>
        </w:rPr>
        <w:t xml:space="preserve">​Pu W, Abdul R A </w:t>
      </w:r>
      <w:proofErr w:type="spellStart"/>
      <w:r w:rsidRPr="00D218E8">
        <w:rPr>
          <w:rFonts w:cs="Arial"/>
          <w:color w:val="000000" w:themeColor="text1"/>
          <w:szCs w:val="18"/>
          <w:lang w:val="en-US"/>
        </w:rPr>
        <w:t>A</w:t>
      </w:r>
      <w:proofErr w:type="spellEnd"/>
      <w:r w:rsidRPr="00D218E8">
        <w:rPr>
          <w:rFonts w:cs="Arial"/>
          <w:color w:val="000000" w:themeColor="text1"/>
          <w:szCs w:val="18"/>
          <w:lang w:val="en-US"/>
        </w:rPr>
        <w:t xml:space="preserve">, Hamid M D, Gao X, </w:t>
      </w:r>
      <w:proofErr w:type="spellStart"/>
      <w:r w:rsidRPr="00D218E8">
        <w:rPr>
          <w:rFonts w:cs="Arial"/>
          <w:color w:val="000000" w:themeColor="text1"/>
          <w:szCs w:val="18"/>
          <w:lang w:val="en-US"/>
        </w:rPr>
        <w:t>Buthiyappan</w:t>
      </w:r>
      <w:proofErr w:type="spellEnd"/>
      <w:r w:rsidRPr="00D218E8">
        <w:rPr>
          <w:rFonts w:cs="Arial"/>
          <w:color w:val="000000" w:themeColor="text1"/>
          <w:szCs w:val="18"/>
          <w:lang w:val="en-US"/>
        </w:rPr>
        <w:t xml:space="preserve"> A, 2023, Inherent safety concept based proactive risk reduction strategies: A review, Journal of Loss Prevention in the Process Industries, 84, 105133</w:t>
      </w:r>
      <w:r w:rsidR="00F53392" w:rsidRPr="00D218E8">
        <w:rPr>
          <w:rStyle w:val="normaltextrun"/>
          <w:rFonts w:cs="Arial"/>
          <w:color w:val="000000" w:themeColor="text1"/>
          <w:szCs w:val="18"/>
          <w:lang w:val="en-US"/>
        </w:rPr>
        <w:t>6.</w:t>
      </w:r>
    </w:p>
    <w:p w14:paraId="0267CE1E" w14:textId="72ABBC07" w:rsidR="00674116" w:rsidRPr="00D218E8" w:rsidRDefault="00003C1B" w:rsidP="00D218E8">
      <w:pPr>
        <w:pStyle w:val="CETReferencetext"/>
        <w:rPr>
          <w:color w:val="000000" w:themeColor="text1"/>
        </w:rPr>
      </w:pPr>
      <w:r w:rsidRPr="00003C1B">
        <w:rPr>
          <w:color w:val="000000" w:themeColor="text1"/>
          <w:lang w:val="en-US"/>
        </w:rPr>
        <w:t>Yin R.K., 2018, Case Study Research and Applications: Design and Methods, 6th ed. SAGE Publications, Thousand Oaks, CA, USA.</w:t>
      </w:r>
    </w:p>
    <w:sectPr w:rsidR="00674116" w:rsidRPr="00D218E8" w:rsidSect="00EF3C20">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70FB1" w14:textId="77777777" w:rsidR="00C87385" w:rsidRPr="00C123A9" w:rsidRDefault="00C87385" w:rsidP="004F5E36">
      <w:r w:rsidRPr="00C123A9">
        <w:separator/>
      </w:r>
    </w:p>
  </w:endnote>
  <w:endnote w:type="continuationSeparator" w:id="0">
    <w:p w14:paraId="35AF4EA3" w14:textId="77777777" w:rsidR="00C87385" w:rsidRPr="00C123A9" w:rsidRDefault="00C87385" w:rsidP="004F5E36">
      <w:r w:rsidRPr="00C123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F8E84" w14:textId="77777777" w:rsidR="00C87385" w:rsidRPr="00C123A9" w:rsidRDefault="00C87385" w:rsidP="004F5E36">
      <w:r w:rsidRPr="00C123A9">
        <w:separator/>
      </w:r>
    </w:p>
  </w:footnote>
  <w:footnote w:type="continuationSeparator" w:id="0">
    <w:p w14:paraId="11AA46CB" w14:textId="77777777" w:rsidR="00C87385" w:rsidRPr="00C123A9" w:rsidRDefault="00C87385" w:rsidP="004F5E36">
      <w:r w:rsidRPr="00C123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507115C"/>
    <w:multiLevelType w:val="multilevel"/>
    <w:tmpl w:val="E7D45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D96532"/>
    <w:multiLevelType w:val="multilevel"/>
    <w:tmpl w:val="FAF07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38217E"/>
    <w:multiLevelType w:val="multilevel"/>
    <w:tmpl w:val="91527AF8"/>
    <w:lvl w:ilvl="0">
      <w:start w:val="1"/>
      <w:numFmt w:val="decimal"/>
      <w:suff w:val="space"/>
      <w:lvlText w:val="Chapter %1"/>
      <w:lvlJc w:val="left"/>
      <w:pPr>
        <w:ind w:left="0" w:firstLine="0"/>
      </w:pPr>
      <w:rPr>
        <w:rFonts w:hint="default"/>
        <w:lang w:val="en-US"/>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color w:val="000000" w:themeColor="text1"/>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89E5139"/>
    <w:multiLevelType w:val="multilevel"/>
    <w:tmpl w:val="920ECDB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065CE"/>
    <w:multiLevelType w:val="hybridMultilevel"/>
    <w:tmpl w:val="C3F63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8DF63FC"/>
    <w:multiLevelType w:val="multilevel"/>
    <w:tmpl w:val="E7D45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1914DD"/>
    <w:multiLevelType w:val="multilevel"/>
    <w:tmpl w:val="1E2E4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BD670EE"/>
    <w:multiLevelType w:val="multilevel"/>
    <w:tmpl w:val="3942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5A1B5D"/>
    <w:multiLevelType w:val="multilevel"/>
    <w:tmpl w:val="D7AC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517543"/>
    <w:multiLevelType w:val="multilevel"/>
    <w:tmpl w:val="A8B4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2EE5A78"/>
    <w:multiLevelType w:val="multilevel"/>
    <w:tmpl w:val="0AA6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0305860">
    <w:abstractNumId w:val="12"/>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23"/>
  </w:num>
  <w:num w:numId="13" w16cid:durableId="1573659240">
    <w:abstractNumId w:val="14"/>
  </w:num>
  <w:num w:numId="14" w16cid:durableId="2092192635">
    <w:abstractNumId w:val="24"/>
  </w:num>
  <w:num w:numId="15" w16cid:durableId="1115637783">
    <w:abstractNumId w:val="29"/>
  </w:num>
  <w:num w:numId="16" w16cid:durableId="635987207">
    <w:abstractNumId w:val="28"/>
  </w:num>
  <w:num w:numId="17" w16cid:durableId="1476411020">
    <w:abstractNumId w:val="13"/>
  </w:num>
  <w:num w:numId="18" w16cid:durableId="2106877164">
    <w:abstractNumId w:val="14"/>
    <w:lvlOverride w:ilvl="0">
      <w:startOverride w:val="1"/>
    </w:lvlOverride>
  </w:num>
  <w:num w:numId="19" w16cid:durableId="1650403514">
    <w:abstractNumId w:val="22"/>
  </w:num>
  <w:num w:numId="20" w16cid:durableId="536504040">
    <w:abstractNumId w:val="21"/>
  </w:num>
  <w:num w:numId="21" w16cid:durableId="518815501">
    <w:abstractNumId w:val="18"/>
  </w:num>
  <w:num w:numId="22" w16cid:durableId="299530822">
    <w:abstractNumId w:val="16"/>
  </w:num>
  <w:num w:numId="23" w16cid:durableId="1365330556">
    <w:abstractNumId w:val="17"/>
  </w:num>
  <w:num w:numId="24" w16cid:durableId="1131434934">
    <w:abstractNumId w:val="26"/>
  </w:num>
  <w:num w:numId="25" w16cid:durableId="1522010014">
    <w:abstractNumId w:val="27"/>
  </w:num>
  <w:num w:numId="26" w16cid:durableId="1865244591">
    <w:abstractNumId w:val="11"/>
  </w:num>
  <w:num w:numId="27" w16cid:durableId="762724160">
    <w:abstractNumId w:val="15"/>
  </w:num>
  <w:num w:numId="28" w16cid:durableId="1247837605">
    <w:abstractNumId w:val="30"/>
  </w:num>
  <w:num w:numId="29" w16cid:durableId="773742085">
    <w:abstractNumId w:val="19"/>
  </w:num>
  <w:num w:numId="30" w16cid:durableId="1242984782">
    <w:abstractNumId w:val="10"/>
  </w:num>
  <w:num w:numId="31" w16cid:durableId="1174808670">
    <w:abstractNumId w:val="25"/>
  </w:num>
  <w:num w:numId="32" w16cid:durableId="1666774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C1B"/>
    <w:rsid w:val="000052FB"/>
    <w:rsid w:val="000117CB"/>
    <w:rsid w:val="00017701"/>
    <w:rsid w:val="000210D6"/>
    <w:rsid w:val="00024195"/>
    <w:rsid w:val="00026AAE"/>
    <w:rsid w:val="0003148D"/>
    <w:rsid w:val="00031EEC"/>
    <w:rsid w:val="00040EB5"/>
    <w:rsid w:val="00046825"/>
    <w:rsid w:val="00051566"/>
    <w:rsid w:val="000614CC"/>
    <w:rsid w:val="00062A9A"/>
    <w:rsid w:val="00065058"/>
    <w:rsid w:val="00065D6C"/>
    <w:rsid w:val="00086C39"/>
    <w:rsid w:val="000A03B2"/>
    <w:rsid w:val="000A11CD"/>
    <w:rsid w:val="000A2DD4"/>
    <w:rsid w:val="000D0268"/>
    <w:rsid w:val="000D0A26"/>
    <w:rsid w:val="000D34BE"/>
    <w:rsid w:val="000E102F"/>
    <w:rsid w:val="000E36F1"/>
    <w:rsid w:val="000E3A73"/>
    <w:rsid w:val="000E414A"/>
    <w:rsid w:val="000F093C"/>
    <w:rsid w:val="000F787B"/>
    <w:rsid w:val="00106B28"/>
    <w:rsid w:val="0012091F"/>
    <w:rsid w:val="00126BC2"/>
    <w:rsid w:val="001308B6"/>
    <w:rsid w:val="0013121F"/>
    <w:rsid w:val="00131FE6"/>
    <w:rsid w:val="0013263F"/>
    <w:rsid w:val="001331DF"/>
    <w:rsid w:val="00134DE4"/>
    <w:rsid w:val="0014034D"/>
    <w:rsid w:val="0014117B"/>
    <w:rsid w:val="00144D16"/>
    <w:rsid w:val="00150E59"/>
    <w:rsid w:val="00152DE3"/>
    <w:rsid w:val="00164CF9"/>
    <w:rsid w:val="001667A6"/>
    <w:rsid w:val="00184AD6"/>
    <w:rsid w:val="001A4AF7"/>
    <w:rsid w:val="001B0349"/>
    <w:rsid w:val="001B105A"/>
    <w:rsid w:val="001B1E93"/>
    <w:rsid w:val="001B65C1"/>
    <w:rsid w:val="001C684B"/>
    <w:rsid w:val="001D0CFB"/>
    <w:rsid w:val="001D53FC"/>
    <w:rsid w:val="001F42A5"/>
    <w:rsid w:val="001F7B9D"/>
    <w:rsid w:val="00201C93"/>
    <w:rsid w:val="002224B4"/>
    <w:rsid w:val="00224498"/>
    <w:rsid w:val="002447EF"/>
    <w:rsid w:val="00251550"/>
    <w:rsid w:val="00263B05"/>
    <w:rsid w:val="0027221A"/>
    <w:rsid w:val="00275B61"/>
    <w:rsid w:val="00276515"/>
    <w:rsid w:val="00280FAF"/>
    <w:rsid w:val="00282656"/>
    <w:rsid w:val="00296B83"/>
    <w:rsid w:val="002B4015"/>
    <w:rsid w:val="002B78CE"/>
    <w:rsid w:val="002C2FB6"/>
    <w:rsid w:val="002E5FA7"/>
    <w:rsid w:val="002F3309"/>
    <w:rsid w:val="003008CE"/>
    <w:rsid w:val="003009B7"/>
    <w:rsid w:val="00300E56"/>
    <w:rsid w:val="0030469C"/>
    <w:rsid w:val="00321CA6"/>
    <w:rsid w:val="00323763"/>
    <w:rsid w:val="00334C09"/>
    <w:rsid w:val="00337204"/>
    <w:rsid w:val="00337800"/>
    <w:rsid w:val="003723D4"/>
    <w:rsid w:val="00381905"/>
    <w:rsid w:val="00384CC8"/>
    <w:rsid w:val="003871FD"/>
    <w:rsid w:val="003A0B4E"/>
    <w:rsid w:val="003A1E30"/>
    <w:rsid w:val="003A2829"/>
    <w:rsid w:val="003A7D1C"/>
    <w:rsid w:val="003B304B"/>
    <w:rsid w:val="003B3146"/>
    <w:rsid w:val="003B6F70"/>
    <w:rsid w:val="003C3A96"/>
    <w:rsid w:val="003E586A"/>
    <w:rsid w:val="003F015E"/>
    <w:rsid w:val="00400414"/>
    <w:rsid w:val="0041446B"/>
    <w:rsid w:val="00431D6E"/>
    <w:rsid w:val="0044329C"/>
    <w:rsid w:val="00443305"/>
    <w:rsid w:val="00453E24"/>
    <w:rsid w:val="00457456"/>
    <w:rsid w:val="004577FE"/>
    <w:rsid w:val="00457B9C"/>
    <w:rsid w:val="0046164A"/>
    <w:rsid w:val="004628D2"/>
    <w:rsid w:val="00462DCD"/>
    <w:rsid w:val="004648AD"/>
    <w:rsid w:val="004703A9"/>
    <w:rsid w:val="004760DE"/>
    <w:rsid w:val="004763D7"/>
    <w:rsid w:val="004A004E"/>
    <w:rsid w:val="004A24CF"/>
    <w:rsid w:val="004B788C"/>
    <w:rsid w:val="004C3D1D"/>
    <w:rsid w:val="004C7913"/>
    <w:rsid w:val="004E4DD6"/>
    <w:rsid w:val="004F5E36"/>
    <w:rsid w:val="005075F0"/>
    <w:rsid w:val="00507B47"/>
    <w:rsid w:val="00507BEF"/>
    <w:rsid w:val="00507CC9"/>
    <w:rsid w:val="005119A5"/>
    <w:rsid w:val="005140A9"/>
    <w:rsid w:val="005159EE"/>
    <w:rsid w:val="005278B7"/>
    <w:rsid w:val="00532016"/>
    <w:rsid w:val="005334F5"/>
    <w:rsid w:val="005346C8"/>
    <w:rsid w:val="00543E7D"/>
    <w:rsid w:val="00547263"/>
    <w:rsid w:val="00547A68"/>
    <w:rsid w:val="005531C9"/>
    <w:rsid w:val="00570C43"/>
    <w:rsid w:val="00573729"/>
    <w:rsid w:val="005B2110"/>
    <w:rsid w:val="005B61E6"/>
    <w:rsid w:val="005C1A44"/>
    <w:rsid w:val="005C77E1"/>
    <w:rsid w:val="005C7D4D"/>
    <w:rsid w:val="005D668A"/>
    <w:rsid w:val="005D6A2F"/>
    <w:rsid w:val="005E1A82"/>
    <w:rsid w:val="005E794C"/>
    <w:rsid w:val="005F0A28"/>
    <w:rsid w:val="005F0E5E"/>
    <w:rsid w:val="005F2339"/>
    <w:rsid w:val="005F4661"/>
    <w:rsid w:val="00600535"/>
    <w:rsid w:val="00610CD6"/>
    <w:rsid w:val="00620DEE"/>
    <w:rsid w:val="00621F92"/>
    <w:rsid w:val="0062280A"/>
    <w:rsid w:val="00625639"/>
    <w:rsid w:val="00625CEE"/>
    <w:rsid w:val="00631B33"/>
    <w:rsid w:val="0064184D"/>
    <w:rsid w:val="006422CC"/>
    <w:rsid w:val="00660E3E"/>
    <w:rsid w:val="00662E74"/>
    <w:rsid w:val="006630E8"/>
    <w:rsid w:val="00665323"/>
    <w:rsid w:val="00667327"/>
    <w:rsid w:val="00674116"/>
    <w:rsid w:val="00680C23"/>
    <w:rsid w:val="00683836"/>
    <w:rsid w:val="00693766"/>
    <w:rsid w:val="006A3281"/>
    <w:rsid w:val="006B4888"/>
    <w:rsid w:val="006C2E45"/>
    <w:rsid w:val="006C359C"/>
    <w:rsid w:val="006C5579"/>
    <w:rsid w:val="006D6E8B"/>
    <w:rsid w:val="006E737D"/>
    <w:rsid w:val="00713973"/>
    <w:rsid w:val="00720A24"/>
    <w:rsid w:val="00732386"/>
    <w:rsid w:val="0073514D"/>
    <w:rsid w:val="007447F3"/>
    <w:rsid w:val="0075499F"/>
    <w:rsid w:val="007661C8"/>
    <w:rsid w:val="00767024"/>
    <w:rsid w:val="0077098D"/>
    <w:rsid w:val="00770A96"/>
    <w:rsid w:val="007931FA"/>
    <w:rsid w:val="007A153D"/>
    <w:rsid w:val="007A4861"/>
    <w:rsid w:val="007A7BBA"/>
    <w:rsid w:val="007B0C50"/>
    <w:rsid w:val="007B48F9"/>
    <w:rsid w:val="007C1A43"/>
    <w:rsid w:val="007D49F1"/>
    <w:rsid w:val="007E5E5D"/>
    <w:rsid w:val="0080013E"/>
    <w:rsid w:val="00813288"/>
    <w:rsid w:val="008168FC"/>
    <w:rsid w:val="00825DD9"/>
    <w:rsid w:val="00830996"/>
    <w:rsid w:val="008345F1"/>
    <w:rsid w:val="00865B07"/>
    <w:rsid w:val="008667EA"/>
    <w:rsid w:val="0087637F"/>
    <w:rsid w:val="00892AD5"/>
    <w:rsid w:val="008A1512"/>
    <w:rsid w:val="008A3CF4"/>
    <w:rsid w:val="008C1350"/>
    <w:rsid w:val="008C5EB7"/>
    <w:rsid w:val="008D32B9"/>
    <w:rsid w:val="008D433B"/>
    <w:rsid w:val="008E3917"/>
    <w:rsid w:val="008E566E"/>
    <w:rsid w:val="0090161A"/>
    <w:rsid w:val="00901EB6"/>
    <w:rsid w:val="00904C62"/>
    <w:rsid w:val="00922BA8"/>
    <w:rsid w:val="00924DAC"/>
    <w:rsid w:val="00927058"/>
    <w:rsid w:val="00942750"/>
    <w:rsid w:val="009450CE"/>
    <w:rsid w:val="00946B11"/>
    <w:rsid w:val="00947179"/>
    <w:rsid w:val="0095164B"/>
    <w:rsid w:val="00954090"/>
    <w:rsid w:val="009573E7"/>
    <w:rsid w:val="009618A9"/>
    <w:rsid w:val="00963E05"/>
    <w:rsid w:val="00967843"/>
    <w:rsid w:val="00967CD1"/>
    <w:rsid w:val="00967D54"/>
    <w:rsid w:val="00971028"/>
    <w:rsid w:val="00993B84"/>
    <w:rsid w:val="00996483"/>
    <w:rsid w:val="00996F5A"/>
    <w:rsid w:val="009B041A"/>
    <w:rsid w:val="009C37C3"/>
    <w:rsid w:val="009C7C86"/>
    <w:rsid w:val="009D2FF7"/>
    <w:rsid w:val="009E7884"/>
    <w:rsid w:val="009E788A"/>
    <w:rsid w:val="009F0E08"/>
    <w:rsid w:val="00A02469"/>
    <w:rsid w:val="00A1763D"/>
    <w:rsid w:val="00A17CEC"/>
    <w:rsid w:val="00A27EF0"/>
    <w:rsid w:val="00A42361"/>
    <w:rsid w:val="00A50B20"/>
    <w:rsid w:val="00A51390"/>
    <w:rsid w:val="00A60D13"/>
    <w:rsid w:val="00A67262"/>
    <w:rsid w:val="00A72745"/>
    <w:rsid w:val="00A76EFC"/>
    <w:rsid w:val="00A91010"/>
    <w:rsid w:val="00A97F29"/>
    <w:rsid w:val="00AA702E"/>
    <w:rsid w:val="00AA7509"/>
    <w:rsid w:val="00AB0964"/>
    <w:rsid w:val="00AB5011"/>
    <w:rsid w:val="00AC7368"/>
    <w:rsid w:val="00AD16B9"/>
    <w:rsid w:val="00AE377D"/>
    <w:rsid w:val="00AF0EBA"/>
    <w:rsid w:val="00B02C8A"/>
    <w:rsid w:val="00B06C6B"/>
    <w:rsid w:val="00B10448"/>
    <w:rsid w:val="00B17FBD"/>
    <w:rsid w:val="00B22FA1"/>
    <w:rsid w:val="00B315A6"/>
    <w:rsid w:val="00B31813"/>
    <w:rsid w:val="00B33365"/>
    <w:rsid w:val="00B37B18"/>
    <w:rsid w:val="00B57B36"/>
    <w:rsid w:val="00B57E6F"/>
    <w:rsid w:val="00B739E2"/>
    <w:rsid w:val="00B8686D"/>
    <w:rsid w:val="00B93F69"/>
    <w:rsid w:val="00B944A9"/>
    <w:rsid w:val="00BB1DDC"/>
    <w:rsid w:val="00BC30C9"/>
    <w:rsid w:val="00BD077D"/>
    <w:rsid w:val="00BD2D8F"/>
    <w:rsid w:val="00BE3E58"/>
    <w:rsid w:val="00BE7496"/>
    <w:rsid w:val="00C01616"/>
    <w:rsid w:val="00C0162B"/>
    <w:rsid w:val="00C0167C"/>
    <w:rsid w:val="00C068ED"/>
    <w:rsid w:val="00C123A9"/>
    <w:rsid w:val="00C22E0C"/>
    <w:rsid w:val="00C345B1"/>
    <w:rsid w:val="00C3587F"/>
    <w:rsid w:val="00C40142"/>
    <w:rsid w:val="00C5274C"/>
    <w:rsid w:val="00C52C3C"/>
    <w:rsid w:val="00C57182"/>
    <w:rsid w:val="00C57863"/>
    <w:rsid w:val="00C655FD"/>
    <w:rsid w:val="00C719DA"/>
    <w:rsid w:val="00C75407"/>
    <w:rsid w:val="00C77563"/>
    <w:rsid w:val="00C870A8"/>
    <w:rsid w:val="00C87385"/>
    <w:rsid w:val="00C94434"/>
    <w:rsid w:val="00CA0D75"/>
    <w:rsid w:val="00CA1C95"/>
    <w:rsid w:val="00CA5A9C"/>
    <w:rsid w:val="00CB548C"/>
    <w:rsid w:val="00CC4C20"/>
    <w:rsid w:val="00CD3517"/>
    <w:rsid w:val="00CD5FE2"/>
    <w:rsid w:val="00CE7C68"/>
    <w:rsid w:val="00D02B4C"/>
    <w:rsid w:val="00D040C4"/>
    <w:rsid w:val="00D218E8"/>
    <w:rsid w:val="00D45EFE"/>
    <w:rsid w:val="00D46B7E"/>
    <w:rsid w:val="00D50559"/>
    <w:rsid w:val="00D57C84"/>
    <w:rsid w:val="00D6057D"/>
    <w:rsid w:val="00D836C5"/>
    <w:rsid w:val="00D84576"/>
    <w:rsid w:val="00DA1399"/>
    <w:rsid w:val="00DA24C6"/>
    <w:rsid w:val="00DA4D7B"/>
    <w:rsid w:val="00DB6889"/>
    <w:rsid w:val="00DD177B"/>
    <w:rsid w:val="00DD79AA"/>
    <w:rsid w:val="00DE264A"/>
    <w:rsid w:val="00DF5072"/>
    <w:rsid w:val="00E02D18"/>
    <w:rsid w:val="00E041E7"/>
    <w:rsid w:val="00E04EA5"/>
    <w:rsid w:val="00E23CA1"/>
    <w:rsid w:val="00E409A8"/>
    <w:rsid w:val="00E42E01"/>
    <w:rsid w:val="00E50C12"/>
    <w:rsid w:val="00E63F88"/>
    <w:rsid w:val="00E65B91"/>
    <w:rsid w:val="00E6773C"/>
    <w:rsid w:val="00E7209D"/>
    <w:rsid w:val="00E72EAD"/>
    <w:rsid w:val="00E77223"/>
    <w:rsid w:val="00E8528B"/>
    <w:rsid w:val="00E85B94"/>
    <w:rsid w:val="00E978D0"/>
    <w:rsid w:val="00E97F2D"/>
    <w:rsid w:val="00EA3280"/>
    <w:rsid w:val="00EA4613"/>
    <w:rsid w:val="00EA7F91"/>
    <w:rsid w:val="00EB1523"/>
    <w:rsid w:val="00EC0E49"/>
    <w:rsid w:val="00EC101F"/>
    <w:rsid w:val="00EC1D9F"/>
    <w:rsid w:val="00EE0131"/>
    <w:rsid w:val="00EE17B0"/>
    <w:rsid w:val="00EF06D9"/>
    <w:rsid w:val="00EF0F50"/>
    <w:rsid w:val="00EF3C20"/>
    <w:rsid w:val="00EF7D28"/>
    <w:rsid w:val="00F07EFA"/>
    <w:rsid w:val="00F13516"/>
    <w:rsid w:val="00F30C64"/>
    <w:rsid w:val="00F32BA2"/>
    <w:rsid w:val="00F32CDB"/>
    <w:rsid w:val="00F4229E"/>
    <w:rsid w:val="00F53392"/>
    <w:rsid w:val="00F5635A"/>
    <w:rsid w:val="00F565FE"/>
    <w:rsid w:val="00F63A70"/>
    <w:rsid w:val="00F7534E"/>
    <w:rsid w:val="00F94FB0"/>
    <w:rsid w:val="00FA21D0"/>
    <w:rsid w:val="00FA4487"/>
    <w:rsid w:val="00FA5F5F"/>
    <w:rsid w:val="00FB3A6E"/>
    <w:rsid w:val="00FB59FB"/>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22FA1"/>
    <w:pPr>
      <w:keepNext/>
      <w:numPr>
        <w:ilvl w:val="2"/>
        <w:numId w:val="1"/>
      </w:numPr>
      <w:suppressAutoHyphens/>
      <w:spacing w:before="240" w:after="120" w:line="240" w:lineRule="auto"/>
    </w:pPr>
    <w:rPr>
      <w:rFonts w:ascii="Arial" w:eastAsia="Times New Roman" w:hAnsi="Arial" w:cs="Arial"/>
      <w:b/>
      <w:color w:val="000000" w:themeColor="text1"/>
      <w:sz w:val="18"/>
      <w:szCs w:val="18"/>
      <w:shd w:val="clear" w:color="auto" w:fill="FFFFFF"/>
      <w:lang w:val="es-MX"/>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22FA1"/>
    <w:rPr>
      <w:rFonts w:ascii="Arial" w:eastAsia="Times New Roman" w:hAnsi="Arial" w:cs="Arial"/>
      <w:b/>
      <w:color w:val="000000" w:themeColor="text1"/>
      <w:sz w:val="18"/>
      <w:szCs w:val="18"/>
      <w:lang w:val="es-MX"/>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color w:val="000000" w:themeColor="text1"/>
      <w:sz w:val="18"/>
      <w:szCs w:val="20"/>
      <w:lang w:val="en-US"/>
    </w:rPr>
  </w:style>
  <w:style w:type="paragraph" w:styleId="Prrafodelista">
    <w:name w:val="List Paragraph"/>
    <w:basedOn w:val="Normal"/>
    <w:uiPriority w:val="34"/>
    <w:rsid w:val="00280FAF"/>
    <w:pPr>
      <w:ind w:left="720"/>
      <w:contextualSpacing/>
    </w:pPr>
  </w:style>
  <w:style w:type="character" w:customStyle="1" w:styleId="normaltextrun">
    <w:name w:val="normaltextrun"/>
    <w:basedOn w:val="Fuentedeprrafopredeter"/>
    <w:rsid w:val="008E3917"/>
  </w:style>
  <w:style w:type="paragraph" w:customStyle="1" w:styleId="paragraph">
    <w:name w:val="paragraph"/>
    <w:basedOn w:val="Normal"/>
    <w:rsid w:val="008E3917"/>
    <w:pPr>
      <w:tabs>
        <w:tab w:val="clear" w:pos="7100"/>
      </w:tabs>
      <w:spacing w:before="100" w:beforeAutospacing="1" w:after="100" w:afterAutospacing="1" w:line="240" w:lineRule="auto"/>
      <w:jc w:val="left"/>
    </w:pPr>
    <w:rPr>
      <w:rFonts w:ascii="Times New Roman" w:hAnsi="Times New Roman"/>
      <w:sz w:val="24"/>
      <w:szCs w:val="24"/>
      <w:lang w:val="es-PE" w:eastAsia="es-PE"/>
    </w:rPr>
  </w:style>
  <w:style w:type="character" w:customStyle="1" w:styleId="eop">
    <w:name w:val="eop"/>
    <w:basedOn w:val="Fuentedeprrafopredeter"/>
    <w:rsid w:val="008E3917"/>
  </w:style>
  <w:style w:type="character" w:styleId="Mencinsinresolver">
    <w:name w:val="Unresolved Mention"/>
    <w:basedOn w:val="Fuentedeprrafopredeter"/>
    <w:uiPriority w:val="99"/>
    <w:semiHidden/>
    <w:unhideWhenUsed/>
    <w:rsid w:val="008E3917"/>
    <w:rPr>
      <w:color w:val="605E5C"/>
      <w:shd w:val="clear" w:color="auto" w:fill="E1DFDD"/>
    </w:rPr>
  </w:style>
  <w:style w:type="character" w:customStyle="1" w:styleId="wacimagecontainer">
    <w:name w:val="wacimagecontainer"/>
    <w:basedOn w:val="Fuentedeprrafopredeter"/>
    <w:rsid w:val="006630E8"/>
  </w:style>
  <w:style w:type="character" w:customStyle="1" w:styleId="scxw240896514">
    <w:name w:val="scxw240896514"/>
    <w:basedOn w:val="Fuentedeprrafopredeter"/>
    <w:rsid w:val="007E5E5D"/>
  </w:style>
  <w:style w:type="paragraph" w:customStyle="1" w:styleId="Default">
    <w:name w:val="Default"/>
    <w:rsid w:val="00C123A9"/>
    <w:pPr>
      <w:autoSpaceDE w:val="0"/>
      <w:autoSpaceDN w:val="0"/>
      <w:adjustRightInd w:val="0"/>
      <w:spacing w:after="0" w:line="240" w:lineRule="auto"/>
    </w:pPr>
    <w:rPr>
      <w:rFonts w:ascii="Calibri" w:hAnsi="Calibri" w:cs="Calibri"/>
      <w:color w:val="000000"/>
      <w:sz w:val="24"/>
      <w:szCs w:val="24"/>
      <w:lang w:val="es-PE"/>
    </w:rPr>
  </w:style>
  <w:style w:type="character" w:customStyle="1" w:styleId="math-inline">
    <w:name w:val="math-inline"/>
    <w:basedOn w:val="Fuentedeprrafopredeter"/>
    <w:rsid w:val="001B1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413">
      <w:bodyDiv w:val="1"/>
      <w:marLeft w:val="0"/>
      <w:marRight w:val="0"/>
      <w:marTop w:val="0"/>
      <w:marBottom w:val="0"/>
      <w:divBdr>
        <w:top w:val="none" w:sz="0" w:space="0" w:color="auto"/>
        <w:left w:val="none" w:sz="0" w:space="0" w:color="auto"/>
        <w:bottom w:val="none" w:sz="0" w:space="0" w:color="auto"/>
        <w:right w:val="none" w:sz="0" w:space="0" w:color="auto"/>
      </w:divBdr>
    </w:div>
    <w:div w:id="20937167">
      <w:bodyDiv w:val="1"/>
      <w:marLeft w:val="0"/>
      <w:marRight w:val="0"/>
      <w:marTop w:val="0"/>
      <w:marBottom w:val="0"/>
      <w:divBdr>
        <w:top w:val="none" w:sz="0" w:space="0" w:color="auto"/>
        <w:left w:val="none" w:sz="0" w:space="0" w:color="auto"/>
        <w:bottom w:val="none" w:sz="0" w:space="0" w:color="auto"/>
        <w:right w:val="none" w:sz="0" w:space="0" w:color="auto"/>
      </w:divBdr>
    </w:div>
    <w:div w:id="59670007">
      <w:bodyDiv w:val="1"/>
      <w:marLeft w:val="0"/>
      <w:marRight w:val="0"/>
      <w:marTop w:val="0"/>
      <w:marBottom w:val="0"/>
      <w:divBdr>
        <w:top w:val="none" w:sz="0" w:space="0" w:color="auto"/>
        <w:left w:val="none" w:sz="0" w:space="0" w:color="auto"/>
        <w:bottom w:val="none" w:sz="0" w:space="0" w:color="auto"/>
        <w:right w:val="none" w:sz="0" w:space="0" w:color="auto"/>
      </w:divBdr>
    </w:div>
    <w:div w:id="62796626">
      <w:bodyDiv w:val="1"/>
      <w:marLeft w:val="0"/>
      <w:marRight w:val="0"/>
      <w:marTop w:val="0"/>
      <w:marBottom w:val="0"/>
      <w:divBdr>
        <w:top w:val="none" w:sz="0" w:space="0" w:color="auto"/>
        <w:left w:val="none" w:sz="0" w:space="0" w:color="auto"/>
        <w:bottom w:val="none" w:sz="0" w:space="0" w:color="auto"/>
        <w:right w:val="none" w:sz="0" w:space="0" w:color="auto"/>
      </w:divBdr>
    </w:div>
    <w:div w:id="71591397">
      <w:bodyDiv w:val="1"/>
      <w:marLeft w:val="0"/>
      <w:marRight w:val="0"/>
      <w:marTop w:val="0"/>
      <w:marBottom w:val="0"/>
      <w:divBdr>
        <w:top w:val="none" w:sz="0" w:space="0" w:color="auto"/>
        <w:left w:val="none" w:sz="0" w:space="0" w:color="auto"/>
        <w:bottom w:val="none" w:sz="0" w:space="0" w:color="auto"/>
        <w:right w:val="none" w:sz="0" w:space="0" w:color="auto"/>
      </w:divBdr>
    </w:div>
    <w:div w:id="73010556">
      <w:bodyDiv w:val="1"/>
      <w:marLeft w:val="0"/>
      <w:marRight w:val="0"/>
      <w:marTop w:val="0"/>
      <w:marBottom w:val="0"/>
      <w:divBdr>
        <w:top w:val="none" w:sz="0" w:space="0" w:color="auto"/>
        <w:left w:val="none" w:sz="0" w:space="0" w:color="auto"/>
        <w:bottom w:val="none" w:sz="0" w:space="0" w:color="auto"/>
        <w:right w:val="none" w:sz="0" w:space="0" w:color="auto"/>
      </w:divBdr>
      <w:divsChild>
        <w:div w:id="1723212003">
          <w:marLeft w:val="0"/>
          <w:marRight w:val="0"/>
          <w:marTop w:val="0"/>
          <w:marBottom w:val="0"/>
          <w:divBdr>
            <w:top w:val="none" w:sz="0" w:space="0" w:color="auto"/>
            <w:left w:val="none" w:sz="0" w:space="0" w:color="auto"/>
            <w:bottom w:val="none" w:sz="0" w:space="0" w:color="auto"/>
            <w:right w:val="none" w:sz="0" w:space="0" w:color="auto"/>
          </w:divBdr>
        </w:div>
        <w:div w:id="872157752">
          <w:marLeft w:val="0"/>
          <w:marRight w:val="0"/>
          <w:marTop w:val="0"/>
          <w:marBottom w:val="0"/>
          <w:divBdr>
            <w:top w:val="none" w:sz="0" w:space="0" w:color="auto"/>
            <w:left w:val="none" w:sz="0" w:space="0" w:color="auto"/>
            <w:bottom w:val="none" w:sz="0" w:space="0" w:color="auto"/>
            <w:right w:val="none" w:sz="0" w:space="0" w:color="auto"/>
          </w:divBdr>
        </w:div>
      </w:divsChild>
    </w:div>
    <w:div w:id="124468018">
      <w:bodyDiv w:val="1"/>
      <w:marLeft w:val="0"/>
      <w:marRight w:val="0"/>
      <w:marTop w:val="0"/>
      <w:marBottom w:val="0"/>
      <w:divBdr>
        <w:top w:val="none" w:sz="0" w:space="0" w:color="auto"/>
        <w:left w:val="none" w:sz="0" w:space="0" w:color="auto"/>
        <w:bottom w:val="none" w:sz="0" w:space="0" w:color="auto"/>
        <w:right w:val="none" w:sz="0" w:space="0" w:color="auto"/>
      </w:divBdr>
      <w:divsChild>
        <w:div w:id="2069497873">
          <w:marLeft w:val="0"/>
          <w:marRight w:val="0"/>
          <w:marTop w:val="0"/>
          <w:marBottom w:val="0"/>
          <w:divBdr>
            <w:top w:val="none" w:sz="0" w:space="0" w:color="auto"/>
            <w:left w:val="none" w:sz="0" w:space="0" w:color="auto"/>
            <w:bottom w:val="none" w:sz="0" w:space="0" w:color="auto"/>
            <w:right w:val="none" w:sz="0" w:space="0" w:color="auto"/>
          </w:divBdr>
        </w:div>
        <w:div w:id="18236726">
          <w:marLeft w:val="0"/>
          <w:marRight w:val="0"/>
          <w:marTop w:val="0"/>
          <w:marBottom w:val="0"/>
          <w:divBdr>
            <w:top w:val="none" w:sz="0" w:space="0" w:color="auto"/>
            <w:left w:val="none" w:sz="0" w:space="0" w:color="auto"/>
            <w:bottom w:val="none" w:sz="0" w:space="0" w:color="auto"/>
            <w:right w:val="none" w:sz="0" w:space="0" w:color="auto"/>
          </w:divBdr>
        </w:div>
        <w:div w:id="918634954">
          <w:marLeft w:val="0"/>
          <w:marRight w:val="0"/>
          <w:marTop w:val="0"/>
          <w:marBottom w:val="0"/>
          <w:divBdr>
            <w:top w:val="none" w:sz="0" w:space="0" w:color="auto"/>
            <w:left w:val="none" w:sz="0" w:space="0" w:color="auto"/>
            <w:bottom w:val="none" w:sz="0" w:space="0" w:color="auto"/>
            <w:right w:val="none" w:sz="0" w:space="0" w:color="auto"/>
          </w:divBdr>
        </w:div>
      </w:divsChild>
    </w:div>
    <w:div w:id="198131166">
      <w:bodyDiv w:val="1"/>
      <w:marLeft w:val="0"/>
      <w:marRight w:val="0"/>
      <w:marTop w:val="0"/>
      <w:marBottom w:val="0"/>
      <w:divBdr>
        <w:top w:val="none" w:sz="0" w:space="0" w:color="auto"/>
        <w:left w:val="none" w:sz="0" w:space="0" w:color="auto"/>
        <w:bottom w:val="none" w:sz="0" w:space="0" w:color="auto"/>
        <w:right w:val="none" w:sz="0" w:space="0" w:color="auto"/>
      </w:divBdr>
    </w:div>
    <w:div w:id="214464254">
      <w:bodyDiv w:val="1"/>
      <w:marLeft w:val="0"/>
      <w:marRight w:val="0"/>
      <w:marTop w:val="0"/>
      <w:marBottom w:val="0"/>
      <w:divBdr>
        <w:top w:val="none" w:sz="0" w:space="0" w:color="auto"/>
        <w:left w:val="none" w:sz="0" w:space="0" w:color="auto"/>
        <w:bottom w:val="none" w:sz="0" w:space="0" w:color="auto"/>
        <w:right w:val="none" w:sz="0" w:space="0" w:color="auto"/>
      </w:divBdr>
    </w:div>
    <w:div w:id="287207484">
      <w:bodyDiv w:val="1"/>
      <w:marLeft w:val="0"/>
      <w:marRight w:val="0"/>
      <w:marTop w:val="0"/>
      <w:marBottom w:val="0"/>
      <w:divBdr>
        <w:top w:val="none" w:sz="0" w:space="0" w:color="auto"/>
        <w:left w:val="none" w:sz="0" w:space="0" w:color="auto"/>
        <w:bottom w:val="none" w:sz="0" w:space="0" w:color="auto"/>
        <w:right w:val="none" w:sz="0" w:space="0" w:color="auto"/>
      </w:divBdr>
      <w:divsChild>
        <w:div w:id="626159486">
          <w:marLeft w:val="0"/>
          <w:marRight w:val="0"/>
          <w:marTop w:val="0"/>
          <w:marBottom w:val="0"/>
          <w:divBdr>
            <w:top w:val="none" w:sz="0" w:space="0" w:color="auto"/>
            <w:left w:val="none" w:sz="0" w:space="0" w:color="auto"/>
            <w:bottom w:val="none" w:sz="0" w:space="0" w:color="auto"/>
            <w:right w:val="none" w:sz="0" w:space="0" w:color="auto"/>
          </w:divBdr>
        </w:div>
        <w:div w:id="1599365579">
          <w:marLeft w:val="0"/>
          <w:marRight w:val="0"/>
          <w:marTop w:val="0"/>
          <w:marBottom w:val="0"/>
          <w:divBdr>
            <w:top w:val="none" w:sz="0" w:space="0" w:color="auto"/>
            <w:left w:val="none" w:sz="0" w:space="0" w:color="auto"/>
            <w:bottom w:val="none" w:sz="0" w:space="0" w:color="auto"/>
            <w:right w:val="none" w:sz="0" w:space="0" w:color="auto"/>
          </w:divBdr>
        </w:div>
        <w:div w:id="1203639117">
          <w:marLeft w:val="0"/>
          <w:marRight w:val="0"/>
          <w:marTop w:val="0"/>
          <w:marBottom w:val="0"/>
          <w:divBdr>
            <w:top w:val="none" w:sz="0" w:space="0" w:color="auto"/>
            <w:left w:val="none" w:sz="0" w:space="0" w:color="auto"/>
            <w:bottom w:val="none" w:sz="0" w:space="0" w:color="auto"/>
            <w:right w:val="none" w:sz="0" w:space="0" w:color="auto"/>
          </w:divBdr>
        </w:div>
      </w:divsChild>
    </w:div>
    <w:div w:id="411707428">
      <w:bodyDiv w:val="1"/>
      <w:marLeft w:val="0"/>
      <w:marRight w:val="0"/>
      <w:marTop w:val="0"/>
      <w:marBottom w:val="0"/>
      <w:divBdr>
        <w:top w:val="none" w:sz="0" w:space="0" w:color="auto"/>
        <w:left w:val="none" w:sz="0" w:space="0" w:color="auto"/>
        <w:bottom w:val="none" w:sz="0" w:space="0" w:color="auto"/>
        <w:right w:val="none" w:sz="0" w:space="0" w:color="auto"/>
      </w:divBdr>
      <w:divsChild>
        <w:div w:id="562252705">
          <w:marLeft w:val="0"/>
          <w:marRight w:val="0"/>
          <w:marTop w:val="0"/>
          <w:marBottom w:val="0"/>
          <w:divBdr>
            <w:top w:val="none" w:sz="0" w:space="0" w:color="auto"/>
            <w:left w:val="none" w:sz="0" w:space="0" w:color="auto"/>
            <w:bottom w:val="none" w:sz="0" w:space="0" w:color="auto"/>
            <w:right w:val="none" w:sz="0" w:space="0" w:color="auto"/>
          </w:divBdr>
        </w:div>
        <w:div w:id="1903052810">
          <w:marLeft w:val="0"/>
          <w:marRight w:val="0"/>
          <w:marTop w:val="0"/>
          <w:marBottom w:val="0"/>
          <w:divBdr>
            <w:top w:val="none" w:sz="0" w:space="0" w:color="auto"/>
            <w:left w:val="none" w:sz="0" w:space="0" w:color="auto"/>
            <w:bottom w:val="none" w:sz="0" w:space="0" w:color="auto"/>
            <w:right w:val="none" w:sz="0" w:space="0" w:color="auto"/>
          </w:divBdr>
        </w:div>
        <w:div w:id="1288006106">
          <w:marLeft w:val="0"/>
          <w:marRight w:val="0"/>
          <w:marTop w:val="0"/>
          <w:marBottom w:val="0"/>
          <w:divBdr>
            <w:top w:val="none" w:sz="0" w:space="0" w:color="auto"/>
            <w:left w:val="none" w:sz="0" w:space="0" w:color="auto"/>
            <w:bottom w:val="none" w:sz="0" w:space="0" w:color="auto"/>
            <w:right w:val="none" w:sz="0" w:space="0" w:color="auto"/>
          </w:divBdr>
        </w:div>
        <w:div w:id="1836453271">
          <w:marLeft w:val="0"/>
          <w:marRight w:val="0"/>
          <w:marTop w:val="0"/>
          <w:marBottom w:val="0"/>
          <w:divBdr>
            <w:top w:val="none" w:sz="0" w:space="0" w:color="auto"/>
            <w:left w:val="none" w:sz="0" w:space="0" w:color="auto"/>
            <w:bottom w:val="none" w:sz="0" w:space="0" w:color="auto"/>
            <w:right w:val="none" w:sz="0" w:space="0" w:color="auto"/>
          </w:divBdr>
        </w:div>
        <w:div w:id="1834953772">
          <w:marLeft w:val="0"/>
          <w:marRight w:val="0"/>
          <w:marTop w:val="0"/>
          <w:marBottom w:val="0"/>
          <w:divBdr>
            <w:top w:val="none" w:sz="0" w:space="0" w:color="auto"/>
            <w:left w:val="none" w:sz="0" w:space="0" w:color="auto"/>
            <w:bottom w:val="none" w:sz="0" w:space="0" w:color="auto"/>
            <w:right w:val="none" w:sz="0" w:space="0" w:color="auto"/>
          </w:divBdr>
        </w:div>
        <w:div w:id="709233401">
          <w:marLeft w:val="0"/>
          <w:marRight w:val="0"/>
          <w:marTop w:val="0"/>
          <w:marBottom w:val="0"/>
          <w:divBdr>
            <w:top w:val="none" w:sz="0" w:space="0" w:color="auto"/>
            <w:left w:val="none" w:sz="0" w:space="0" w:color="auto"/>
            <w:bottom w:val="none" w:sz="0" w:space="0" w:color="auto"/>
            <w:right w:val="none" w:sz="0" w:space="0" w:color="auto"/>
          </w:divBdr>
        </w:div>
        <w:div w:id="2000426589">
          <w:marLeft w:val="0"/>
          <w:marRight w:val="0"/>
          <w:marTop w:val="0"/>
          <w:marBottom w:val="0"/>
          <w:divBdr>
            <w:top w:val="none" w:sz="0" w:space="0" w:color="auto"/>
            <w:left w:val="none" w:sz="0" w:space="0" w:color="auto"/>
            <w:bottom w:val="none" w:sz="0" w:space="0" w:color="auto"/>
            <w:right w:val="none" w:sz="0" w:space="0" w:color="auto"/>
          </w:divBdr>
        </w:div>
        <w:div w:id="145365370">
          <w:marLeft w:val="0"/>
          <w:marRight w:val="0"/>
          <w:marTop w:val="0"/>
          <w:marBottom w:val="0"/>
          <w:divBdr>
            <w:top w:val="none" w:sz="0" w:space="0" w:color="auto"/>
            <w:left w:val="none" w:sz="0" w:space="0" w:color="auto"/>
            <w:bottom w:val="none" w:sz="0" w:space="0" w:color="auto"/>
            <w:right w:val="none" w:sz="0" w:space="0" w:color="auto"/>
          </w:divBdr>
        </w:div>
        <w:div w:id="1869442133">
          <w:marLeft w:val="0"/>
          <w:marRight w:val="0"/>
          <w:marTop w:val="0"/>
          <w:marBottom w:val="0"/>
          <w:divBdr>
            <w:top w:val="none" w:sz="0" w:space="0" w:color="auto"/>
            <w:left w:val="none" w:sz="0" w:space="0" w:color="auto"/>
            <w:bottom w:val="none" w:sz="0" w:space="0" w:color="auto"/>
            <w:right w:val="none" w:sz="0" w:space="0" w:color="auto"/>
          </w:divBdr>
        </w:div>
        <w:div w:id="695816961">
          <w:marLeft w:val="0"/>
          <w:marRight w:val="0"/>
          <w:marTop w:val="0"/>
          <w:marBottom w:val="0"/>
          <w:divBdr>
            <w:top w:val="none" w:sz="0" w:space="0" w:color="auto"/>
            <w:left w:val="none" w:sz="0" w:space="0" w:color="auto"/>
            <w:bottom w:val="none" w:sz="0" w:space="0" w:color="auto"/>
            <w:right w:val="none" w:sz="0" w:space="0" w:color="auto"/>
          </w:divBdr>
        </w:div>
        <w:div w:id="2102211818">
          <w:marLeft w:val="0"/>
          <w:marRight w:val="0"/>
          <w:marTop w:val="0"/>
          <w:marBottom w:val="0"/>
          <w:divBdr>
            <w:top w:val="none" w:sz="0" w:space="0" w:color="auto"/>
            <w:left w:val="none" w:sz="0" w:space="0" w:color="auto"/>
            <w:bottom w:val="none" w:sz="0" w:space="0" w:color="auto"/>
            <w:right w:val="none" w:sz="0" w:space="0" w:color="auto"/>
          </w:divBdr>
        </w:div>
        <w:div w:id="328098906">
          <w:marLeft w:val="0"/>
          <w:marRight w:val="0"/>
          <w:marTop w:val="0"/>
          <w:marBottom w:val="0"/>
          <w:divBdr>
            <w:top w:val="none" w:sz="0" w:space="0" w:color="auto"/>
            <w:left w:val="none" w:sz="0" w:space="0" w:color="auto"/>
            <w:bottom w:val="none" w:sz="0" w:space="0" w:color="auto"/>
            <w:right w:val="none" w:sz="0" w:space="0" w:color="auto"/>
          </w:divBdr>
        </w:div>
        <w:div w:id="2061898640">
          <w:marLeft w:val="0"/>
          <w:marRight w:val="0"/>
          <w:marTop w:val="0"/>
          <w:marBottom w:val="0"/>
          <w:divBdr>
            <w:top w:val="none" w:sz="0" w:space="0" w:color="auto"/>
            <w:left w:val="none" w:sz="0" w:space="0" w:color="auto"/>
            <w:bottom w:val="none" w:sz="0" w:space="0" w:color="auto"/>
            <w:right w:val="none" w:sz="0" w:space="0" w:color="auto"/>
          </w:divBdr>
        </w:div>
        <w:div w:id="287902458">
          <w:marLeft w:val="0"/>
          <w:marRight w:val="0"/>
          <w:marTop w:val="0"/>
          <w:marBottom w:val="0"/>
          <w:divBdr>
            <w:top w:val="none" w:sz="0" w:space="0" w:color="auto"/>
            <w:left w:val="none" w:sz="0" w:space="0" w:color="auto"/>
            <w:bottom w:val="none" w:sz="0" w:space="0" w:color="auto"/>
            <w:right w:val="none" w:sz="0" w:space="0" w:color="auto"/>
          </w:divBdr>
        </w:div>
      </w:divsChild>
    </w:div>
    <w:div w:id="475613370">
      <w:bodyDiv w:val="1"/>
      <w:marLeft w:val="0"/>
      <w:marRight w:val="0"/>
      <w:marTop w:val="0"/>
      <w:marBottom w:val="0"/>
      <w:divBdr>
        <w:top w:val="none" w:sz="0" w:space="0" w:color="auto"/>
        <w:left w:val="none" w:sz="0" w:space="0" w:color="auto"/>
        <w:bottom w:val="none" w:sz="0" w:space="0" w:color="auto"/>
        <w:right w:val="none" w:sz="0" w:space="0" w:color="auto"/>
      </w:divBdr>
    </w:div>
    <w:div w:id="479076085">
      <w:bodyDiv w:val="1"/>
      <w:marLeft w:val="0"/>
      <w:marRight w:val="0"/>
      <w:marTop w:val="0"/>
      <w:marBottom w:val="0"/>
      <w:divBdr>
        <w:top w:val="none" w:sz="0" w:space="0" w:color="auto"/>
        <w:left w:val="none" w:sz="0" w:space="0" w:color="auto"/>
        <w:bottom w:val="none" w:sz="0" w:space="0" w:color="auto"/>
        <w:right w:val="none" w:sz="0" w:space="0" w:color="auto"/>
      </w:divBdr>
      <w:divsChild>
        <w:div w:id="1438208469">
          <w:marLeft w:val="0"/>
          <w:marRight w:val="0"/>
          <w:marTop w:val="0"/>
          <w:marBottom w:val="0"/>
          <w:divBdr>
            <w:top w:val="none" w:sz="0" w:space="0" w:color="auto"/>
            <w:left w:val="none" w:sz="0" w:space="0" w:color="auto"/>
            <w:bottom w:val="none" w:sz="0" w:space="0" w:color="auto"/>
            <w:right w:val="none" w:sz="0" w:space="0" w:color="auto"/>
          </w:divBdr>
        </w:div>
        <w:div w:id="69236161">
          <w:marLeft w:val="0"/>
          <w:marRight w:val="0"/>
          <w:marTop w:val="0"/>
          <w:marBottom w:val="0"/>
          <w:divBdr>
            <w:top w:val="none" w:sz="0" w:space="0" w:color="auto"/>
            <w:left w:val="none" w:sz="0" w:space="0" w:color="auto"/>
            <w:bottom w:val="none" w:sz="0" w:space="0" w:color="auto"/>
            <w:right w:val="none" w:sz="0" w:space="0" w:color="auto"/>
          </w:divBdr>
        </w:div>
        <w:div w:id="533084174">
          <w:marLeft w:val="0"/>
          <w:marRight w:val="0"/>
          <w:marTop w:val="0"/>
          <w:marBottom w:val="0"/>
          <w:divBdr>
            <w:top w:val="none" w:sz="0" w:space="0" w:color="auto"/>
            <w:left w:val="none" w:sz="0" w:space="0" w:color="auto"/>
            <w:bottom w:val="none" w:sz="0" w:space="0" w:color="auto"/>
            <w:right w:val="none" w:sz="0" w:space="0" w:color="auto"/>
          </w:divBdr>
        </w:div>
        <w:div w:id="2028825448">
          <w:marLeft w:val="0"/>
          <w:marRight w:val="0"/>
          <w:marTop w:val="0"/>
          <w:marBottom w:val="0"/>
          <w:divBdr>
            <w:top w:val="none" w:sz="0" w:space="0" w:color="auto"/>
            <w:left w:val="none" w:sz="0" w:space="0" w:color="auto"/>
            <w:bottom w:val="none" w:sz="0" w:space="0" w:color="auto"/>
            <w:right w:val="none" w:sz="0" w:space="0" w:color="auto"/>
          </w:divBdr>
        </w:div>
      </w:divsChild>
    </w:div>
    <w:div w:id="488592212">
      <w:bodyDiv w:val="1"/>
      <w:marLeft w:val="0"/>
      <w:marRight w:val="0"/>
      <w:marTop w:val="0"/>
      <w:marBottom w:val="0"/>
      <w:divBdr>
        <w:top w:val="none" w:sz="0" w:space="0" w:color="auto"/>
        <w:left w:val="none" w:sz="0" w:space="0" w:color="auto"/>
        <w:bottom w:val="none" w:sz="0" w:space="0" w:color="auto"/>
        <w:right w:val="none" w:sz="0" w:space="0" w:color="auto"/>
      </w:divBdr>
    </w:div>
    <w:div w:id="540635301">
      <w:bodyDiv w:val="1"/>
      <w:marLeft w:val="0"/>
      <w:marRight w:val="0"/>
      <w:marTop w:val="0"/>
      <w:marBottom w:val="0"/>
      <w:divBdr>
        <w:top w:val="none" w:sz="0" w:space="0" w:color="auto"/>
        <w:left w:val="none" w:sz="0" w:space="0" w:color="auto"/>
        <w:bottom w:val="none" w:sz="0" w:space="0" w:color="auto"/>
        <w:right w:val="none" w:sz="0" w:space="0" w:color="auto"/>
      </w:divBdr>
      <w:divsChild>
        <w:div w:id="1605721076">
          <w:marLeft w:val="0"/>
          <w:marRight w:val="0"/>
          <w:marTop w:val="0"/>
          <w:marBottom w:val="0"/>
          <w:divBdr>
            <w:top w:val="none" w:sz="0" w:space="0" w:color="auto"/>
            <w:left w:val="none" w:sz="0" w:space="0" w:color="auto"/>
            <w:bottom w:val="none" w:sz="0" w:space="0" w:color="auto"/>
            <w:right w:val="none" w:sz="0" w:space="0" w:color="auto"/>
          </w:divBdr>
        </w:div>
        <w:div w:id="1141578210">
          <w:marLeft w:val="0"/>
          <w:marRight w:val="0"/>
          <w:marTop w:val="0"/>
          <w:marBottom w:val="0"/>
          <w:divBdr>
            <w:top w:val="none" w:sz="0" w:space="0" w:color="auto"/>
            <w:left w:val="none" w:sz="0" w:space="0" w:color="auto"/>
            <w:bottom w:val="none" w:sz="0" w:space="0" w:color="auto"/>
            <w:right w:val="none" w:sz="0" w:space="0" w:color="auto"/>
          </w:divBdr>
        </w:div>
        <w:div w:id="2093886601">
          <w:marLeft w:val="0"/>
          <w:marRight w:val="0"/>
          <w:marTop w:val="0"/>
          <w:marBottom w:val="0"/>
          <w:divBdr>
            <w:top w:val="none" w:sz="0" w:space="0" w:color="auto"/>
            <w:left w:val="none" w:sz="0" w:space="0" w:color="auto"/>
            <w:bottom w:val="none" w:sz="0" w:space="0" w:color="auto"/>
            <w:right w:val="none" w:sz="0" w:space="0" w:color="auto"/>
          </w:divBdr>
        </w:div>
        <w:div w:id="127280823">
          <w:marLeft w:val="0"/>
          <w:marRight w:val="0"/>
          <w:marTop w:val="0"/>
          <w:marBottom w:val="0"/>
          <w:divBdr>
            <w:top w:val="none" w:sz="0" w:space="0" w:color="auto"/>
            <w:left w:val="none" w:sz="0" w:space="0" w:color="auto"/>
            <w:bottom w:val="none" w:sz="0" w:space="0" w:color="auto"/>
            <w:right w:val="none" w:sz="0" w:space="0" w:color="auto"/>
          </w:divBdr>
        </w:div>
        <w:div w:id="1148785866">
          <w:marLeft w:val="0"/>
          <w:marRight w:val="0"/>
          <w:marTop w:val="0"/>
          <w:marBottom w:val="0"/>
          <w:divBdr>
            <w:top w:val="none" w:sz="0" w:space="0" w:color="auto"/>
            <w:left w:val="none" w:sz="0" w:space="0" w:color="auto"/>
            <w:bottom w:val="none" w:sz="0" w:space="0" w:color="auto"/>
            <w:right w:val="none" w:sz="0" w:space="0" w:color="auto"/>
          </w:divBdr>
        </w:div>
        <w:div w:id="80102990">
          <w:marLeft w:val="0"/>
          <w:marRight w:val="0"/>
          <w:marTop w:val="0"/>
          <w:marBottom w:val="0"/>
          <w:divBdr>
            <w:top w:val="none" w:sz="0" w:space="0" w:color="auto"/>
            <w:left w:val="none" w:sz="0" w:space="0" w:color="auto"/>
            <w:bottom w:val="none" w:sz="0" w:space="0" w:color="auto"/>
            <w:right w:val="none" w:sz="0" w:space="0" w:color="auto"/>
          </w:divBdr>
        </w:div>
        <w:div w:id="831137459">
          <w:marLeft w:val="0"/>
          <w:marRight w:val="0"/>
          <w:marTop w:val="0"/>
          <w:marBottom w:val="0"/>
          <w:divBdr>
            <w:top w:val="none" w:sz="0" w:space="0" w:color="auto"/>
            <w:left w:val="none" w:sz="0" w:space="0" w:color="auto"/>
            <w:bottom w:val="none" w:sz="0" w:space="0" w:color="auto"/>
            <w:right w:val="none" w:sz="0" w:space="0" w:color="auto"/>
          </w:divBdr>
        </w:div>
        <w:div w:id="779104384">
          <w:marLeft w:val="0"/>
          <w:marRight w:val="0"/>
          <w:marTop w:val="0"/>
          <w:marBottom w:val="0"/>
          <w:divBdr>
            <w:top w:val="none" w:sz="0" w:space="0" w:color="auto"/>
            <w:left w:val="none" w:sz="0" w:space="0" w:color="auto"/>
            <w:bottom w:val="none" w:sz="0" w:space="0" w:color="auto"/>
            <w:right w:val="none" w:sz="0" w:space="0" w:color="auto"/>
          </w:divBdr>
        </w:div>
        <w:div w:id="813915481">
          <w:marLeft w:val="0"/>
          <w:marRight w:val="0"/>
          <w:marTop w:val="0"/>
          <w:marBottom w:val="0"/>
          <w:divBdr>
            <w:top w:val="none" w:sz="0" w:space="0" w:color="auto"/>
            <w:left w:val="none" w:sz="0" w:space="0" w:color="auto"/>
            <w:bottom w:val="none" w:sz="0" w:space="0" w:color="auto"/>
            <w:right w:val="none" w:sz="0" w:space="0" w:color="auto"/>
          </w:divBdr>
        </w:div>
        <w:div w:id="1059673662">
          <w:marLeft w:val="0"/>
          <w:marRight w:val="0"/>
          <w:marTop w:val="0"/>
          <w:marBottom w:val="0"/>
          <w:divBdr>
            <w:top w:val="none" w:sz="0" w:space="0" w:color="auto"/>
            <w:left w:val="none" w:sz="0" w:space="0" w:color="auto"/>
            <w:bottom w:val="none" w:sz="0" w:space="0" w:color="auto"/>
            <w:right w:val="none" w:sz="0" w:space="0" w:color="auto"/>
          </w:divBdr>
        </w:div>
      </w:divsChild>
    </w:div>
    <w:div w:id="578173861">
      <w:bodyDiv w:val="1"/>
      <w:marLeft w:val="0"/>
      <w:marRight w:val="0"/>
      <w:marTop w:val="0"/>
      <w:marBottom w:val="0"/>
      <w:divBdr>
        <w:top w:val="none" w:sz="0" w:space="0" w:color="auto"/>
        <w:left w:val="none" w:sz="0" w:space="0" w:color="auto"/>
        <w:bottom w:val="none" w:sz="0" w:space="0" w:color="auto"/>
        <w:right w:val="none" w:sz="0" w:space="0" w:color="auto"/>
      </w:divBdr>
    </w:div>
    <w:div w:id="591009281">
      <w:bodyDiv w:val="1"/>
      <w:marLeft w:val="0"/>
      <w:marRight w:val="0"/>
      <w:marTop w:val="0"/>
      <w:marBottom w:val="0"/>
      <w:divBdr>
        <w:top w:val="none" w:sz="0" w:space="0" w:color="auto"/>
        <w:left w:val="none" w:sz="0" w:space="0" w:color="auto"/>
        <w:bottom w:val="none" w:sz="0" w:space="0" w:color="auto"/>
        <w:right w:val="none" w:sz="0" w:space="0" w:color="auto"/>
      </w:divBdr>
    </w:div>
    <w:div w:id="622930440">
      <w:bodyDiv w:val="1"/>
      <w:marLeft w:val="0"/>
      <w:marRight w:val="0"/>
      <w:marTop w:val="0"/>
      <w:marBottom w:val="0"/>
      <w:divBdr>
        <w:top w:val="none" w:sz="0" w:space="0" w:color="auto"/>
        <w:left w:val="none" w:sz="0" w:space="0" w:color="auto"/>
        <w:bottom w:val="none" w:sz="0" w:space="0" w:color="auto"/>
        <w:right w:val="none" w:sz="0" w:space="0" w:color="auto"/>
      </w:divBdr>
    </w:div>
    <w:div w:id="694581500">
      <w:bodyDiv w:val="1"/>
      <w:marLeft w:val="0"/>
      <w:marRight w:val="0"/>
      <w:marTop w:val="0"/>
      <w:marBottom w:val="0"/>
      <w:divBdr>
        <w:top w:val="none" w:sz="0" w:space="0" w:color="auto"/>
        <w:left w:val="none" w:sz="0" w:space="0" w:color="auto"/>
        <w:bottom w:val="none" w:sz="0" w:space="0" w:color="auto"/>
        <w:right w:val="none" w:sz="0" w:space="0" w:color="auto"/>
      </w:divBdr>
    </w:div>
    <w:div w:id="69947947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6990">
      <w:bodyDiv w:val="1"/>
      <w:marLeft w:val="0"/>
      <w:marRight w:val="0"/>
      <w:marTop w:val="0"/>
      <w:marBottom w:val="0"/>
      <w:divBdr>
        <w:top w:val="none" w:sz="0" w:space="0" w:color="auto"/>
        <w:left w:val="none" w:sz="0" w:space="0" w:color="auto"/>
        <w:bottom w:val="none" w:sz="0" w:space="0" w:color="auto"/>
        <w:right w:val="none" w:sz="0" w:space="0" w:color="auto"/>
      </w:divBdr>
    </w:div>
    <w:div w:id="843322116">
      <w:bodyDiv w:val="1"/>
      <w:marLeft w:val="0"/>
      <w:marRight w:val="0"/>
      <w:marTop w:val="0"/>
      <w:marBottom w:val="0"/>
      <w:divBdr>
        <w:top w:val="none" w:sz="0" w:space="0" w:color="auto"/>
        <w:left w:val="none" w:sz="0" w:space="0" w:color="auto"/>
        <w:bottom w:val="none" w:sz="0" w:space="0" w:color="auto"/>
        <w:right w:val="none" w:sz="0" w:space="0" w:color="auto"/>
      </w:divBdr>
    </w:div>
    <w:div w:id="844251071">
      <w:bodyDiv w:val="1"/>
      <w:marLeft w:val="0"/>
      <w:marRight w:val="0"/>
      <w:marTop w:val="0"/>
      <w:marBottom w:val="0"/>
      <w:divBdr>
        <w:top w:val="none" w:sz="0" w:space="0" w:color="auto"/>
        <w:left w:val="none" w:sz="0" w:space="0" w:color="auto"/>
        <w:bottom w:val="none" w:sz="0" w:space="0" w:color="auto"/>
        <w:right w:val="none" w:sz="0" w:space="0" w:color="auto"/>
      </w:divBdr>
      <w:divsChild>
        <w:div w:id="1511719884">
          <w:marLeft w:val="0"/>
          <w:marRight w:val="0"/>
          <w:marTop w:val="0"/>
          <w:marBottom w:val="0"/>
          <w:divBdr>
            <w:top w:val="none" w:sz="0" w:space="0" w:color="auto"/>
            <w:left w:val="none" w:sz="0" w:space="0" w:color="auto"/>
            <w:bottom w:val="none" w:sz="0" w:space="0" w:color="auto"/>
            <w:right w:val="none" w:sz="0" w:space="0" w:color="auto"/>
          </w:divBdr>
          <w:divsChild>
            <w:div w:id="289285742">
              <w:marLeft w:val="0"/>
              <w:marRight w:val="0"/>
              <w:marTop w:val="0"/>
              <w:marBottom w:val="0"/>
              <w:divBdr>
                <w:top w:val="none" w:sz="0" w:space="0" w:color="auto"/>
                <w:left w:val="none" w:sz="0" w:space="0" w:color="auto"/>
                <w:bottom w:val="none" w:sz="0" w:space="0" w:color="auto"/>
                <w:right w:val="none" w:sz="0" w:space="0" w:color="auto"/>
              </w:divBdr>
              <w:divsChild>
                <w:div w:id="9620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6480848">
      <w:bodyDiv w:val="1"/>
      <w:marLeft w:val="0"/>
      <w:marRight w:val="0"/>
      <w:marTop w:val="0"/>
      <w:marBottom w:val="0"/>
      <w:divBdr>
        <w:top w:val="none" w:sz="0" w:space="0" w:color="auto"/>
        <w:left w:val="none" w:sz="0" w:space="0" w:color="auto"/>
        <w:bottom w:val="none" w:sz="0" w:space="0" w:color="auto"/>
        <w:right w:val="none" w:sz="0" w:space="0" w:color="auto"/>
      </w:divBdr>
    </w:div>
    <w:div w:id="924535862">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782">
      <w:bodyDiv w:val="1"/>
      <w:marLeft w:val="0"/>
      <w:marRight w:val="0"/>
      <w:marTop w:val="0"/>
      <w:marBottom w:val="0"/>
      <w:divBdr>
        <w:top w:val="none" w:sz="0" w:space="0" w:color="auto"/>
        <w:left w:val="none" w:sz="0" w:space="0" w:color="auto"/>
        <w:bottom w:val="none" w:sz="0" w:space="0" w:color="auto"/>
        <w:right w:val="none" w:sz="0" w:space="0" w:color="auto"/>
      </w:divBdr>
    </w:div>
    <w:div w:id="1012416006">
      <w:bodyDiv w:val="1"/>
      <w:marLeft w:val="0"/>
      <w:marRight w:val="0"/>
      <w:marTop w:val="0"/>
      <w:marBottom w:val="0"/>
      <w:divBdr>
        <w:top w:val="none" w:sz="0" w:space="0" w:color="auto"/>
        <w:left w:val="none" w:sz="0" w:space="0" w:color="auto"/>
        <w:bottom w:val="none" w:sz="0" w:space="0" w:color="auto"/>
        <w:right w:val="none" w:sz="0" w:space="0" w:color="auto"/>
      </w:divBdr>
      <w:divsChild>
        <w:div w:id="163328563">
          <w:marLeft w:val="0"/>
          <w:marRight w:val="0"/>
          <w:marTop w:val="0"/>
          <w:marBottom w:val="0"/>
          <w:divBdr>
            <w:top w:val="none" w:sz="0" w:space="0" w:color="auto"/>
            <w:left w:val="none" w:sz="0" w:space="0" w:color="auto"/>
            <w:bottom w:val="none" w:sz="0" w:space="0" w:color="auto"/>
            <w:right w:val="none" w:sz="0" w:space="0" w:color="auto"/>
          </w:divBdr>
        </w:div>
        <w:div w:id="1556896038">
          <w:marLeft w:val="0"/>
          <w:marRight w:val="0"/>
          <w:marTop w:val="0"/>
          <w:marBottom w:val="0"/>
          <w:divBdr>
            <w:top w:val="none" w:sz="0" w:space="0" w:color="auto"/>
            <w:left w:val="none" w:sz="0" w:space="0" w:color="auto"/>
            <w:bottom w:val="none" w:sz="0" w:space="0" w:color="auto"/>
            <w:right w:val="none" w:sz="0" w:space="0" w:color="auto"/>
          </w:divBdr>
        </w:div>
      </w:divsChild>
    </w:div>
    <w:div w:id="1019552048">
      <w:bodyDiv w:val="1"/>
      <w:marLeft w:val="0"/>
      <w:marRight w:val="0"/>
      <w:marTop w:val="0"/>
      <w:marBottom w:val="0"/>
      <w:divBdr>
        <w:top w:val="none" w:sz="0" w:space="0" w:color="auto"/>
        <w:left w:val="none" w:sz="0" w:space="0" w:color="auto"/>
        <w:bottom w:val="none" w:sz="0" w:space="0" w:color="auto"/>
        <w:right w:val="none" w:sz="0" w:space="0" w:color="auto"/>
      </w:divBdr>
      <w:divsChild>
        <w:div w:id="1901135320">
          <w:marLeft w:val="0"/>
          <w:marRight w:val="0"/>
          <w:marTop w:val="0"/>
          <w:marBottom w:val="0"/>
          <w:divBdr>
            <w:top w:val="none" w:sz="0" w:space="0" w:color="auto"/>
            <w:left w:val="none" w:sz="0" w:space="0" w:color="auto"/>
            <w:bottom w:val="none" w:sz="0" w:space="0" w:color="auto"/>
            <w:right w:val="none" w:sz="0" w:space="0" w:color="auto"/>
          </w:divBdr>
        </w:div>
        <w:div w:id="1155873260">
          <w:marLeft w:val="0"/>
          <w:marRight w:val="0"/>
          <w:marTop w:val="0"/>
          <w:marBottom w:val="0"/>
          <w:divBdr>
            <w:top w:val="none" w:sz="0" w:space="0" w:color="auto"/>
            <w:left w:val="none" w:sz="0" w:space="0" w:color="auto"/>
            <w:bottom w:val="none" w:sz="0" w:space="0" w:color="auto"/>
            <w:right w:val="none" w:sz="0" w:space="0" w:color="auto"/>
          </w:divBdr>
        </w:div>
      </w:divsChild>
    </w:div>
    <w:div w:id="1023825827">
      <w:bodyDiv w:val="1"/>
      <w:marLeft w:val="0"/>
      <w:marRight w:val="0"/>
      <w:marTop w:val="0"/>
      <w:marBottom w:val="0"/>
      <w:divBdr>
        <w:top w:val="none" w:sz="0" w:space="0" w:color="auto"/>
        <w:left w:val="none" w:sz="0" w:space="0" w:color="auto"/>
        <w:bottom w:val="none" w:sz="0" w:space="0" w:color="auto"/>
        <w:right w:val="none" w:sz="0" w:space="0" w:color="auto"/>
      </w:divBdr>
    </w:div>
    <w:div w:id="1062632335">
      <w:bodyDiv w:val="1"/>
      <w:marLeft w:val="0"/>
      <w:marRight w:val="0"/>
      <w:marTop w:val="0"/>
      <w:marBottom w:val="0"/>
      <w:divBdr>
        <w:top w:val="none" w:sz="0" w:space="0" w:color="auto"/>
        <w:left w:val="none" w:sz="0" w:space="0" w:color="auto"/>
        <w:bottom w:val="none" w:sz="0" w:space="0" w:color="auto"/>
        <w:right w:val="none" w:sz="0" w:space="0" w:color="auto"/>
      </w:divBdr>
    </w:div>
    <w:div w:id="1071198330">
      <w:bodyDiv w:val="1"/>
      <w:marLeft w:val="0"/>
      <w:marRight w:val="0"/>
      <w:marTop w:val="0"/>
      <w:marBottom w:val="0"/>
      <w:divBdr>
        <w:top w:val="none" w:sz="0" w:space="0" w:color="auto"/>
        <w:left w:val="none" w:sz="0" w:space="0" w:color="auto"/>
        <w:bottom w:val="none" w:sz="0" w:space="0" w:color="auto"/>
        <w:right w:val="none" w:sz="0" w:space="0" w:color="auto"/>
      </w:divBdr>
      <w:divsChild>
        <w:div w:id="182062187">
          <w:marLeft w:val="0"/>
          <w:marRight w:val="0"/>
          <w:marTop w:val="0"/>
          <w:marBottom w:val="0"/>
          <w:divBdr>
            <w:top w:val="none" w:sz="0" w:space="0" w:color="auto"/>
            <w:left w:val="none" w:sz="0" w:space="0" w:color="auto"/>
            <w:bottom w:val="none" w:sz="0" w:space="0" w:color="auto"/>
            <w:right w:val="none" w:sz="0" w:space="0" w:color="auto"/>
          </w:divBdr>
        </w:div>
        <w:div w:id="1691831582">
          <w:marLeft w:val="0"/>
          <w:marRight w:val="0"/>
          <w:marTop w:val="0"/>
          <w:marBottom w:val="0"/>
          <w:divBdr>
            <w:top w:val="none" w:sz="0" w:space="0" w:color="auto"/>
            <w:left w:val="none" w:sz="0" w:space="0" w:color="auto"/>
            <w:bottom w:val="none" w:sz="0" w:space="0" w:color="auto"/>
            <w:right w:val="none" w:sz="0" w:space="0" w:color="auto"/>
          </w:divBdr>
        </w:div>
        <w:div w:id="466241312">
          <w:marLeft w:val="0"/>
          <w:marRight w:val="0"/>
          <w:marTop w:val="0"/>
          <w:marBottom w:val="0"/>
          <w:divBdr>
            <w:top w:val="none" w:sz="0" w:space="0" w:color="auto"/>
            <w:left w:val="none" w:sz="0" w:space="0" w:color="auto"/>
            <w:bottom w:val="none" w:sz="0" w:space="0" w:color="auto"/>
            <w:right w:val="none" w:sz="0" w:space="0" w:color="auto"/>
          </w:divBdr>
        </w:div>
      </w:divsChild>
    </w:div>
    <w:div w:id="1092437370">
      <w:bodyDiv w:val="1"/>
      <w:marLeft w:val="0"/>
      <w:marRight w:val="0"/>
      <w:marTop w:val="0"/>
      <w:marBottom w:val="0"/>
      <w:divBdr>
        <w:top w:val="none" w:sz="0" w:space="0" w:color="auto"/>
        <w:left w:val="none" w:sz="0" w:space="0" w:color="auto"/>
        <w:bottom w:val="none" w:sz="0" w:space="0" w:color="auto"/>
        <w:right w:val="none" w:sz="0" w:space="0" w:color="auto"/>
      </w:divBdr>
      <w:divsChild>
        <w:div w:id="1891725214">
          <w:marLeft w:val="0"/>
          <w:marRight w:val="0"/>
          <w:marTop w:val="0"/>
          <w:marBottom w:val="0"/>
          <w:divBdr>
            <w:top w:val="none" w:sz="0" w:space="0" w:color="auto"/>
            <w:left w:val="none" w:sz="0" w:space="0" w:color="auto"/>
            <w:bottom w:val="none" w:sz="0" w:space="0" w:color="auto"/>
            <w:right w:val="none" w:sz="0" w:space="0" w:color="auto"/>
          </w:divBdr>
        </w:div>
        <w:div w:id="983699640">
          <w:marLeft w:val="0"/>
          <w:marRight w:val="0"/>
          <w:marTop w:val="0"/>
          <w:marBottom w:val="0"/>
          <w:divBdr>
            <w:top w:val="none" w:sz="0" w:space="0" w:color="auto"/>
            <w:left w:val="none" w:sz="0" w:space="0" w:color="auto"/>
            <w:bottom w:val="none" w:sz="0" w:space="0" w:color="auto"/>
            <w:right w:val="none" w:sz="0" w:space="0" w:color="auto"/>
          </w:divBdr>
        </w:div>
        <w:div w:id="1594780227">
          <w:marLeft w:val="0"/>
          <w:marRight w:val="0"/>
          <w:marTop w:val="0"/>
          <w:marBottom w:val="0"/>
          <w:divBdr>
            <w:top w:val="none" w:sz="0" w:space="0" w:color="auto"/>
            <w:left w:val="none" w:sz="0" w:space="0" w:color="auto"/>
            <w:bottom w:val="none" w:sz="0" w:space="0" w:color="auto"/>
            <w:right w:val="none" w:sz="0" w:space="0" w:color="auto"/>
          </w:divBdr>
        </w:div>
      </w:divsChild>
    </w:div>
    <w:div w:id="1094977795">
      <w:bodyDiv w:val="1"/>
      <w:marLeft w:val="0"/>
      <w:marRight w:val="0"/>
      <w:marTop w:val="0"/>
      <w:marBottom w:val="0"/>
      <w:divBdr>
        <w:top w:val="none" w:sz="0" w:space="0" w:color="auto"/>
        <w:left w:val="none" w:sz="0" w:space="0" w:color="auto"/>
        <w:bottom w:val="none" w:sz="0" w:space="0" w:color="auto"/>
        <w:right w:val="none" w:sz="0" w:space="0" w:color="auto"/>
      </w:divBdr>
    </w:div>
    <w:div w:id="1138183843">
      <w:bodyDiv w:val="1"/>
      <w:marLeft w:val="0"/>
      <w:marRight w:val="0"/>
      <w:marTop w:val="0"/>
      <w:marBottom w:val="0"/>
      <w:divBdr>
        <w:top w:val="none" w:sz="0" w:space="0" w:color="auto"/>
        <w:left w:val="none" w:sz="0" w:space="0" w:color="auto"/>
        <w:bottom w:val="none" w:sz="0" w:space="0" w:color="auto"/>
        <w:right w:val="none" w:sz="0" w:space="0" w:color="auto"/>
      </w:divBdr>
    </w:div>
    <w:div w:id="1161435057">
      <w:bodyDiv w:val="1"/>
      <w:marLeft w:val="0"/>
      <w:marRight w:val="0"/>
      <w:marTop w:val="0"/>
      <w:marBottom w:val="0"/>
      <w:divBdr>
        <w:top w:val="none" w:sz="0" w:space="0" w:color="auto"/>
        <w:left w:val="none" w:sz="0" w:space="0" w:color="auto"/>
        <w:bottom w:val="none" w:sz="0" w:space="0" w:color="auto"/>
        <w:right w:val="none" w:sz="0" w:space="0" w:color="auto"/>
      </w:divBdr>
    </w:div>
    <w:div w:id="1264462251">
      <w:bodyDiv w:val="1"/>
      <w:marLeft w:val="0"/>
      <w:marRight w:val="0"/>
      <w:marTop w:val="0"/>
      <w:marBottom w:val="0"/>
      <w:divBdr>
        <w:top w:val="none" w:sz="0" w:space="0" w:color="auto"/>
        <w:left w:val="none" w:sz="0" w:space="0" w:color="auto"/>
        <w:bottom w:val="none" w:sz="0" w:space="0" w:color="auto"/>
        <w:right w:val="none" w:sz="0" w:space="0" w:color="auto"/>
      </w:divBdr>
    </w:div>
    <w:div w:id="1275209128">
      <w:bodyDiv w:val="1"/>
      <w:marLeft w:val="0"/>
      <w:marRight w:val="0"/>
      <w:marTop w:val="0"/>
      <w:marBottom w:val="0"/>
      <w:divBdr>
        <w:top w:val="none" w:sz="0" w:space="0" w:color="auto"/>
        <w:left w:val="none" w:sz="0" w:space="0" w:color="auto"/>
        <w:bottom w:val="none" w:sz="0" w:space="0" w:color="auto"/>
        <w:right w:val="none" w:sz="0" w:space="0" w:color="auto"/>
      </w:divBdr>
    </w:div>
    <w:div w:id="1276475498">
      <w:bodyDiv w:val="1"/>
      <w:marLeft w:val="0"/>
      <w:marRight w:val="0"/>
      <w:marTop w:val="0"/>
      <w:marBottom w:val="0"/>
      <w:divBdr>
        <w:top w:val="none" w:sz="0" w:space="0" w:color="auto"/>
        <w:left w:val="none" w:sz="0" w:space="0" w:color="auto"/>
        <w:bottom w:val="none" w:sz="0" w:space="0" w:color="auto"/>
        <w:right w:val="none" w:sz="0" w:space="0" w:color="auto"/>
      </w:divBdr>
    </w:div>
    <w:div w:id="1295526263">
      <w:bodyDiv w:val="1"/>
      <w:marLeft w:val="0"/>
      <w:marRight w:val="0"/>
      <w:marTop w:val="0"/>
      <w:marBottom w:val="0"/>
      <w:divBdr>
        <w:top w:val="none" w:sz="0" w:space="0" w:color="auto"/>
        <w:left w:val="none" w:sz="0" w:space="0" w:color="auto"/>
        <w:bottom w:val="none" w:sz="0" w:space="0" w:color="auto"/>
        <w:right w:val="none" w:sz="0" w:space="0" w:color="auto"/>
      </w:divBdr>
    </w:div>
    <w:div w:id="1342665669">
      <w:bodyDiv w:val="1"/>
      <w:marLeft w:val="0"/>
      <w:marRight w:val="0"/>
      <w:marTop w:val="0"/>
      <w:marBottom w:val="0"/>
      <w:divBdr>
        <w:top w:val="none" w:sz="0" w:space="0" w:color="auto"/>
        <w:left w:val="none" w:sz="0" w:space="0" w:color="auto"/>
        <w:bottom w:val="none" w:sz="0" w:space="0" w:color="auto"/>
        <w:right w:val="none" w:sz="0" w:space="0" w:color="auto"/>
      </w:divBdr>
    </w:div>
    <w:div w:id="1376932988">
      <w:bodyDiv w:val="1"/>
      <w:marLeft w:val="0"/>
      <w:marRight w:val="0"/>
      <w:marTop w:val="0"/>
      <w:marBottom w:val="0"/>
      <w:divBdr>
        <w:top w:val="none" w:sz="0" w:space="0" w:color="auto"/>
        <w:left w:val="none" w:sz="0" w:space="0" w:color="auto"/>
        <w:bottom w:val="none" w:sz="0" w:space="0" w:color="auto"/>
        <w:right w:val="none" w:sz="0" w:space="0" w:color="auto"/>
      </w:divBdr>
    </w:div>
    <w:div w:id="1396127916">
      <w:bodyDiv w:val="1"/>
      <w:marLeft w:val="0"/>
      <w:marRight w:val="0"/>
      <w:marTop w:val="0"/>
      <w:marBottom w:val="0"/>
      <w:divBdr>
        <w:top w:val="none" w:sz="0" w:space="0" w:color="auto"/>
        <w:left w:val="none" w:sz="0" w:space="0" w:color="auto"/>
        <w:bottom w:val="none" w:sz="0" w:space="0" w:color="auto"/>
        <w:right w:val="none" w:sz="0" w:space="0" w:color="auto"/>
      </w:divBdr>
    </w:div>
    <w:div w:id="1412771158">
      <w:bodyDiv w:val="1"/>
      <w:marLeft w:val="0"/>
      <w:marRight w:val="0"/>
      <w:marTop w:val="0"/>
      <w:marBottom w:val="0"/>
      <w:divBdr>
        <w:top w:val="none" w:sz="0" w:space="0" w:color="auto"/>
        <w:left w:val="none" w:sz="0" w:space="0" w:color="auto"/>
        <w:bottom w:val="none" w:sz="0" w:space="0" w:color="auto"/>
        <w:right w:val="none" w:sz="0" w:space="0" w:color="auto"/>
      </w:divBdr>
    </w:div>
    <w:div w:id="141952528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3574827">
      <w:bodyDiv w:val="1"/>
      <w:marLeft w:val="0"/>
      <w:marRight w:val="0"/>
      <w:marTop w:val="0"/>
      <w:marBottom w:val="0"/>
      <w:divBdr>
        <w:top w:val="none" w:sz="0" w:space="0" w:color="auto"/>
        <w:left w:val="none" w:sz="0" w:space="0" w:color="auto"/>
        <w:bottom w:val="none" w:sz="0" w:space="0" w:color="auto"/>
        <w:right w:val="none" w:sz="0" w:space="0" w:color="auto"/>
      </w:divBdr>
      <w:divsChild>
        <w:div w:id="2098167481">
          <w:marLeft w:val="0"/>
          <w:marRight w:val="0"/>
          <w:marTop w:val="0"/>
          <w:marBottom w:val="0"/>
          <w:divBdr>
            <w:top w:val="none" w:sz="0" w:space="0" w:color="auto"/>
            <w:left w:val="none" w:sz="0" w:space="0" w:color="auto"/>
            <w:bottom w:val="none" w:sz="0" w:space="0" w:color="auto"/>
            <w:right w:val="none" w:sz="0" w:space="0" w:color="auto"/>
          </w:divBdr>
        </w:div>
        <w:div w:id="1052853018">
          <w:marLeft w:val="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1889283">
      <w:bodyDiv w:val="1"/>
      <w:marLeft w:val="0"/>
      <w:marRight w:val="0"/>
      <w:marTop w:val="0"/>
      <w:marBottom w:val="0"/>
      <w:divBdr>
        <w:top w:val="none" w:sz="0" w:space="0" w:color="auto"/>
        <w:left w:val="none" w:sz="0" w:space="0" w:color="auto"/>
        <w:bottom w:val="none" w:sz="0" w:space="0" w:color="auto"/>
        <w:right w:val="none" w:sz="0" w:space="0" w:color="auto"/>
      </w:divBdr>
      <w:divsChild>
        <w:div w:id="45446676">
          <w:marLeft w:val="0"/>
          <w:marRight w:val="0"/>
          <w:marTop w:val="0"/>
          <w:marBottom w:val="0"/>
          <w:divBdr>
            <w:top w:val="none" w:sz="0" w:space="0" w:color="auto"/>
            <w:left w:val="none" w:sz="0" w:space="0" w:color="auto"/>
            <w:bottom w:val="none" w:sz="0" w:space="0" w:color="auto"/>
            <w:right w:val="none" w:sz="0" w:space="0" w:color="auto"/>
          </w:divBdr>
          <w:divsChild>
            <w:div w:id="145703777">
              <w:marLeft w:val="0"/>
              <w:marRight w:val="0"/>
              <w:marTop w:val="0"/>
              <w:marBottom w:val="0"/>
              <w:divBdr>
                <w:top w:val="none" w:sz="0" w:space="0" w:color="auto"/>
                <w:left w:val="none" w:sz="0" w:space="0" w:color="auto"/>
                <w:bottom w:val="none" w:sz="0" w:space="0" w:color="auto"/>
                <w:right w:val="none" w:sz="0" w:space="0" w:color="auto"/>
              </w:divBdr>
            </w:div>
          </w:divsChild>
        </w:div>
        <w:div w:id="1220483360">
          <w:marLeft w:val="0"/>
          <w:marRight w:val="0"/>
          <w:marTop w:val="0"/>
          <w:marBottom w:val="0"/>
          <w:divBdr>
            <w:top w:val="none" w:sz="0" w:space="0" w:color="auto"/>
            <w:left w:val="none" w:sz="0" w:space="0" w:color="auto"/>
            <w:bottom w:val="none" w:sz="0" w:space="0" w:color="auto"/>
            <w:right w:val="none" w:sz="0" w:space="0" w:color="auto"/>
          </w:divBdr>
          <w:divsChild>
            <w:div w:id="202793392">
              <w:marLeft w:val="0"/>
              <w:marRight w:val="0"/>
              <w:marTop w:val="0"/>
              <w:marBottom w:val="0"/>
              <w:divBdr>
                <w:top w:val="none" w:sz="0" w:space="0" w:color="auto"/>
                <w:left w:val="none" w:sz="0" w:space="0" w:color="auto"/>
                <w:bottom w:val="none" w:sz="0" w:space="0" w:color="auto"/>
                <w:right w:val="none" w:sz="0" w:space="0" w:color="auto"/>
              </w:divBdr>
            </w:div>
          </w:divsChild>
        </w:div>
        <w:div w:id="82193013">
          <w:marLeft w:val="0"/>
          <w:marRight w:val="0"/>
          <w:marTop w:val="0"/>
          <w:marBottom w:val="0"/>
          <w:divBdr>
            <w:top w:val="none" w:sz="0" w:space="0" w:color="auto"/>
            <w:left w:val="none" w:sz="0" w:space="0" w:color="auto"/>
            <w:bottom w:val="none" w:sz="0" w:space="0" w:color="auto"/>
            <w:right w:val="none" w:sz="0" w:space="0" w:color="auto"/>
          </w:divBdr>
          <w:divsChild>
            <w:div w:id="1597060977">
              <w:marLeft w:val="0"/>
              <w:marRight w:val="0"/>
              <w:marTop w:val="0"/>
              <w:marBottom w:val="0"/>
              <w:divBdr>
                <w:top w:val="none" w:sz="0" w:space="0" w:color="auto"/>
                <w:left w:val="none" w:sz="0" w:space="0" w:color="auto"/>
                <w:bottom w:val="none" w:sz="0" w:space="0" w:color="auto"/>
                <w:right w:val="none" w:sz="0" w:space="0" w:color="auto"/>
              </w:divBdr>
            </w:div>
          </w:divsChild>
        </w:div>
        <w:div w:id="1478836023">
          <w:marLeft w:val="0"/>
          <w:marRight w:val="0"/>
          <w:marTop w:val="0"/>
          <w:marBottom w:val="0"/>
          <w:divBdr>
            <w:top w:val="none" w:sz="0" w:space="0" w:color="auto"/>
            <w:left w:val="none" w:sz="0" w:space="0" w:color="auto"/>
            <w:bottom w:val="none" w:sz="0" w:space="0" w:color="auto"/>
            <w:right w:val="none" w:sz="0" w:space="0" w:color="auto"/>
          </w:divBdr>
          <w:divsChild>
            <w:div w:id="1624380803">
              <w:marLeft w:val="0"/>
              <w:marRight w:val="0"/>
              <w:marTop w:val="0"/>
              <w:marBottom w:val="0"/>
              <w:divBdr>
                <w:top w:val="none" w:sz="0" w:space="0" w:color="auto"/>
                <w:left w:val="none" w:sz="0" w:space="0" w:color="auto"/>
                <w:bottom w:val="none" w:sz="0" w:space="0" w:color="auto"/>
                <w:right w:val="none" w:sz="0" w:space="0" w:color="auto"/>
              </w:divBdr>
            </w:div>
          </w:divsChild>
        </w:div>
        <w:div w:id="1218475419">
          <w:marLeft w:val="0"/>
          <w:marRight w:val="0"/>
          <w:marTop w:val="0"/>
          <w:marBottom w:val="0"/>
          <w:divBdr>
            <w:top w:val="none" w:sz="0" w:space="0" w:color="auto"/>
            <w:left w:val="none" w:sz="0" w:space="0" w:color="auto"/>
            <w:bottom w:val="none" w:sz="0" w:space="0" w:color="auto"/>
            <w:right w:val="none" w:sz="0" w:space="0" w:color="auto"/>
          </w:divBdr>
          <w:divsChild>
            <w:div w:id="1162238654">
              <w:marLeft w:val="0"/>
              <w:marRight w:val="0"/>
              <w:marTop w:val="0"/>
              <w:marBottom w:val="0"/>
              <w:divBdr>
                <w:top w:val="none" w:sz="0" w:space="0" w:color="auto"/>
                <w:left w:val="none" w:sz="0" w:space="0" w:color="auto"/>
                <w:bottom w:val="none" w:sz="0" w:space="0" w:color="auto"/>
                <w:right w:val="none" w:sz="0" w:space="0" w:color="auto"/>
              </w:divBdr>
            </w:div>
          </w:divsChild>
        </w:div>
        <w:div w:id="219831966">
          <w:marLeft w:val="0"/>
          <w:marRight w:val="0"/>
          <w:marTop w:val="0"/>
          <w:marBottom w:val="0"/>
          <w:divBdr>
            <w:top w:val="none" w:sz="0" w:space="0" w:color="auto"/>
            <w:left w:val="none" w:sz="0" w:space="0" w:color="auto"/>
            <w:bottom w:val="none" w:sz="0" w:space="0" w:color="auto"/>
            <w:right w:val="none" w:sz="0" w:space="0" w:color="auto"/>
          </w:divBdr>
          <w:divsChild>
            <w:div w:id="1528712258">
              <w:marLeft w:val="0"/>
              <w:marRight w:val="0"/>
              <w:marTop w:val="0"/>
              <w:marBottom w:val="0"/>
              <w:divBdr>
                <w:top w:val="none" w:sz="0" w:space="0" w:color="auto"/>
                <w:left w:val="none" w:sz="0" w:space="0" w:color="auto"/>
                <w:bottom w:val="none" w:sz="0" w:space="0" w:color="auto"/>
                <w:right w:val="none" w:sz="0" w:space="0" w:color="auto"/>
              </w:divBdr>
            </w:div>
          </w:divsChild>
        </w:div>
        <w:div w:id="1878858341">
          <w:marLeft w:val="0"/>
          <w:marRight w:val="0"/>
          <w:marTop w:val="0"/>
          <w:marBottom w:val="0"/>
          <w:divBdr>
            <w:top w:val="none" w:sz="0" w:space="0" w:color="auto"/>
            <w:left w:val="none" w:sz="0" w:space="0" w:color="auto"/>
            <w:bottom w:val="none" w:sz="0" w:space="0" w:color="auto"/>
            <w:right w:val="none" w:sz="0" w:space="0" w:color="auto"/>
          </w:divBdr>
          <w:divsChild>
            <w:div w:id="1686327538">
              <w:marLeft w:val="0"/>
              <w:marRight w:val="0"/>
              <w:marTop w:val="0"/>
              <w:marBottom w:val="0"/>
              <w:divBdr>
                <w:top w:val="none" w:sz="0" w:space="0" w:color="auto"/>
                <w:left w:val="none" w:sz="0" w:space="0" w:color="auto"/>
                <w:bottom w:val="none" w:sz="0" w:space="0" w:color="auto"/>
                <w:right w:val="none" w:sz="0" w:space="0" w:color="auto"/>
              </w:divBdr>
            </w:div>
          </w:divsChild>
        </w:div>
        <w:div w:id="525946883">
          <w:marLeft w:val="0"/>
          <w:marRight w:val="0"/>
          <w:marTop w:val="0"/>
          <w:marBottom w:val="0"/>
          <w:divBdr>
            <w:top w:val="none" w:sz="0" w:space="0" w:color="auto"/>
            <w:left w:val="none" w:sz="0" w:space="0" w:color="auto"/>
            <w:bottom w:val="none" w:sz="0" w:space="0" w:color="auto"/>
            <w:right w:val="none" w:sz="0" w:space="0" w:color="auto"/>
          </w:divBdr>
          <w:divsChild>
            <w:div w:id="503785172">
              <w:marLeft w:val="0"/>
              <w:marRight w:val="0"/>
              <w:marTop w:val="0"/>
              <w:marBottom w:val="0"/>
              <w:divBdr>
                <w:top w:val="none" w:sz="0" w:space="0" w:color="auto"/>
                <w:left w:val="none" w:sz="0" w:space="0" w:color="auto"/>
                <w:bottom w:val="none" w:sz="0" w:space="0" w:color="auto"/>
                <w:right w:val="none" w:sz="0" w:space="0" w:color="auto"/>
              </w:divBdr>
            </w:div>
          </w:divsChild>
        </w:div>
        <w:div w:id="1673415869">
          <w:marLeft w:val="0"/>
          <w:marRight w:val="0"/>
          <w:marTop w:val="0"/>
          <w:marBottom w:val="0"/>
          <w:divBdr>
            <w:top w:val="none" w:sz="0" w:space="0" w:color="auto"/>
            <w:left w:val="none" w:sz="0" w:space="0" w:color="auto"/>
            <w:bottom w:val="none" w:sz="0" w:space="0" w:color="auto"/>
            <w:right w:val="none" w:sz="0" w:space="0" w:color="auto"/>
          </w:divBdr>
          <w:divsChild>
            <w:div w:id="776025821">
              <w:marLeft w:val="0"/>
              <w:marRight w:val="0"/>
              <w:marTop w:val="0"/>
              <w:marBottom w:val="0"/>
              <w:divBdr>
                <w:top w:val="none" w:sz="0" w:space="0" w:color="auto"/>
                <w:left w:val="none" w:sz="0" w:space="0" w:color="auto"/>
                <w:bottom w:val="none" w:sz="0" w:space="0" w:color="auto"/>
                <w:right w:val="none" w:sz="0" w:space="0" w:color="auto"/>
              </w:divBdr>
            </w:div>
          </w:divsChild>
        </w:div>
        <w:div w:id="1544290985">
          <w:marLeft w:val="0"/>
          <w:marRight w:val="0"/>
          <w:marTop w:val="0"/>
          <w:marBottom w:val="0"/>
          <w:divBdr>
            <w:top w:val="none" w:sz="0" w:space="0" w:color="auto"/>
            <w:left w:val="none" w:sz="0" w:space="0" w:color="auto"/>
            <w:bottom w:val="none" w:sz="0" w:space="0" w:color="auto"/>
            <w:right w:val="none" w:sz="0" w:space="0" w:color="auto"/>
          </w:divBdr>
          <w:divsChild>
            <w:div w:id="969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58651">
      <w:bodyDiv w:val="1"/>
      <w:marLeft w:val="0"/>
      <w:marRight w:val="0"/>
      <w:marTop w:val="0"/>
      <w:marBottom w:val="0"/>
      <w:divBdr>
        <w:top w:val="none" w:sz="0" w:space="0" w:color="auto"/>
        <w:left w:val="none" w:sz="0" w:space="0" w:color="auto"/>
        <w:bottom w:val="none" w:sz="0" w:space="0" w:color="auto"/>
        <w:right w:val="none" w:sz="0" w:space="0" w:color="auto"/>
      </w:divBdr>
    </w:div>
    <w:div w:id="1606575249">
      <w:bodyDiv w:val="1"/>
      <w:marLeft w:val="0"/>
      <w:marRight w:val="0"/>
      <w:marTop w:val="0"/>
      <w:marBottom w:val="0"/>
      <w:divBdr>
        <w:top w:val="none" w:sz="0" w:space="0" w:color="auto"/>
        <w:left w:val="none" w:sz="0" w:space="0" w:color="auto"/>
        <w:bottom w:val="none" w:sz="0" w:space="0" w:color="auto"/>
        <w:right w:val="none" w:sz="0" w:space="0" w:color="auto"/>
      </w:divBdr>
    </w:div>
    <w:div w:id="1671175295">
      <w:bodyDiv w:val="1"/>
      <w:marLeft w:val="0"/>
      <w:marRight w:val="0"/>
      <w:marTop w:val="0"/>
      <w:marBottom w:val="0"/>
      <w:divBdr>
        <w:top w:val="none" w:sz="0" w:space="0" w:color="auto"/>
        <w:left w:val="none" w:sz="0" w:space="0" w:color="auto"/>
        <w:bottom w:val="none" w:sz="0" w:space="0" w:color="auto"/>
        <w:right w:val="none" w:sz="0" w:space="0" w:color="auto"/>
      </w:divBdr>
    </w:div>
    <w:div w:id="1674601526">
      <w:bodyDiv w:val="1"/>
      <w:marLeft w:val="0"/>
      <w:marRight w:val="0"/>
      <w:marTop w:val="0"/>
      <w:marBottom w:val="0"/>
      <w:divBdr>
        <w:top w:val="none" w:sz="0" w:space="0" w:color="auto"/>
        <w:left w:val="none" w:sz="0" w:space="0" w:color="auto"/>
        <w:bottom w:val="none" w:sz="0" w:space="0" w:color="auto"/>
        <w:right w:val="none" w:sz="0" w:space="0" w:color="auto"/>
      </w:divBdr>
    </w:div>
    <w:div w:id="167715305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0597">
      <w:bodyDiv w:val="1"/>
      <w:marLeft w:val="0"/>
      <w:marRight w:val="0"/>
      <w:marTop w:val="0"/>
      <w:marBottom w:val="0"/>
      <w:divBdr>
        <w:top w:val="none" w:sz="0" w:space="0" w:color="auto"/>
        <w:left w:val="none" w:sz="0" w:space="0" w:color="auto"/>
        <w:bottom w:val="none" w:sz="0" w:space="0" w:color="auto"/>
        <w:right w:val="none" w:sz="0" w:space="0" w:color="auto"/>
      </w:divBdr>
    </w:div>
    <w:div w:id="1703701524">
      <w:bodyDiv w:val="1"/>
      <w:marLeft w:val="0"/>
      <w:marRight w:val="0"/>
      <w:marTop w:val="0"/>
      <w:marBottom w:val="0"/>
      <w:divBdr>
        <w:top w:val="none" w:sz="0" w:space="0" w:color="auto"/>
        <w:left w:val="none" w:sz="0" w:space="0" w:color="auto"/>
        <w:bottom w:val="none" w:sz="0" w:space="0" w:color="auto"/>
        <w:right w:val="none" w:sz="0" w:space="0" w:color="auto"/>
      </w:divBdr>
    </w:div>
    <w:div w:id="1706251590">
      <w:bodyDiv w:val="1"/>
      <w:marLeft w:val="0"/>
      <w:marRight w:val="0"/>
      <w:marTop w:val="0"/>
      <w:marBottom w:val="0"/>
      <w:divBdr>
        <w:top w:val="none" w:sz="0" w:space="0" w:color="auto"/>
        <w:left w:val="none" w:sz="0" w:space="0" w:color="auto"/>
        <w:bottom w:val="none" w:sz="0" w:space="0" w:color="auto"/>
        <w:right w:val="none" w:sz="0" w:space="0" w:color="auto"/>
      </w:divBdr>
    </w:div>
    <w:div w:id="1716805297">
      <w:bodyDiv w:val="1"/>
      <w:marLeft w:val="0"/>
      <w:marRight w:val="0"/>
      <w:marTop w:val="0"/>
      <w:marBottom w:val="0"/>
      <w:divBdr>
        <w:top w:val="none" w:sz="0" w:space="0" w:color="auto"/>
        <w:left w:val="none" w:sz="0" w:space="0" w:color="auto"/>
        <w:bottom w:val="none" w:sz="0" w:space="0" w:color="auto"/>
        <w:right w:val="none" w:sz="0" w:space="0" w:color="auto"/>
      </w:divBdr>
      <w:divsChild>
        <w:div w:id="1438872378">
          <w:marLeft w:val="0"/>
          <w:marRight w:val="0"/>
          <w:marTop w:val="0"/>
          <w:marBottom w:val="0"/>
          <w:divBdr>
            <w:top w:val="none" w:sz="0" w:space="0" w:color="auto"/>
            <w:left w:val="none" w:sz="0" w:space="0" w:color="auto"/>
            <w:bottom w:val="none" w:sz="0" w:space="0" w:color="auto"/>
            <w:right w:val="none" w:sz="0" w:space="0" w:color="auto"/>
          </w:divBdr>
        </w:div>
        <w:div w:id="542910786">
          <w:marLeft w:val="0"/>
          <w:marRight w:val="0"/>
          <w:marTop w:val="0"/>
          <w:marBottom w:val="0"/>
          <w:divBdr>
            <w:top w:val="none" w:sz="0" w:space="0" w:color="auto"/>
            <w:left w:val="none" w:sz="0" w:space="0" w:color="auto"/>
            <w:bottom w:val="none" w:sz="0" w:space="0" w:color="auto"/>
            <w:right w:val="none" w:sz="0" w:space="0" w:color="auto"/>
          </w:divBdr>
        </w:div>
      </w:divsChild>
    </w:div>
    <w:div w:id="1761947291">
      <w:bodyDiv w:val="1"/>
      <w:marLeft w:val="0"/>
      <w:marRight w:val="0"/>
      <w:marTop w:val="0"/>
      <w:marBottom w:val="0"/>
      <w:divBdr>
        <w:top w:val="none" w:sz="0" w:space="0" w:color="auto"/>
        <w:left w:val="none" w:sz="0" w:space="0" w:color="auto"/>
        <w:bottom w:val="none" w:sz="0" w:space="0" w:color="auto"/>
        <w:right w:val="none" w:sz="0" w:space="0" w:color="auto"/>
      </w:divBdr>
    </w:div>
    <w:div w:id="1771316145">
      <w:bodyDiv w:val="1"/>
      <w:marLeft w:val="0"/>
      <w:marRight w:val="0"/>
      <w:marTop w:val="0"/>
      <w:marBottom w:val="0"/>
      <w:divBdr>
        <w:top w:val="none" w:sz="0" w:space="0" w:color="auto"/>
        <w:left w:val="none" w:sz="0" w:space="0" w:color="auto"/>
        <w:bottom w:val="none" w:sz="0" w:space="0" w:color="auto"/>
        <w:right w:val="none" w:sz="0" w:space="0" w:color="auto"/>
      </w:divBdr>
    </w:div>
    <w:div w:id="1781800669">
      <w:bodyDiv w:val="1"/>
      <w:marLeft w:val="0"/>
      <w:marRight w:val="0"/>
      <w:marTop w:val="0"/>
      <w:marBottom w:val="0"/>
      <w:divBdr>
        <w:top w:val="none" w:sz="0" w:space="0" w:color="auto"/>
        <w:left w:val="none" w:sz="0" w:space="0" w:color="auto"/>
        <w:bottom w:val="none" w:sz="0" w:space="0" w:color="auto"/>
        <w:right w:val="none" w:sz="0" w:space="0" w:color="auto"/>
      </w:divBdr>
    </w:div>
    <w:div w:id="1796367052">
      <w:bodyDiv w:val="1"/>
      <w:marLeft w:val="0"/>
      <w:marRight w:val="0"/>
      <w:marTop w:val="0"/>
      <w:marBottom w:val="0"/>
      <w:divBdr>
        <w:top w:val="none" w:sz="0" w:space="0" w:color="auto"/>
        <w:left w:val="none" w:sz="0" w:space="0" w:color="auto"/>
        <w:bottom w:val="none" w:sz="0" w:space="0" w:color="auto"/>
        <w:right w:val="none" w:sz="0" w:space="0" w:color="auto"/>
      </w:divBdr>
    </w:div>
    <w:div w:id="1811555083">
      <w:bodyDiv w:val="1"/>
      <w:marLeft w:val="0"/>
      <w:marRight w:val="0"/>
      <w:marTop w:val="0"/>
      <w:marBottom w:val="0"/>
      <w:divBdr>
        <w:top w:val="none" w:sz="0" w:space="0" w:color="auto"/>
        <w:left w:val="none" w:sz="0" w:space="0" w:color="auto"/>
        <w:bottom w:val="none" w:sz="0" w:space="0" w:color="auto"/>
        <w:right w:val="none" w:sz="0" w:space="0" w:color="auto"/>
      </w:divBdr>
      <w:divsChild>
        <w:div w:id="1569917417">
          <w:marLeft w:val="0"/>
          <w:marRight w:val="0"/>
          <w:marTop w:val="0"/>
          <w:marBottom w:val="0"/>
          <w:divBdr>
            <w:top w:val="none" w:sz="0" w:space="0" w:color="auto"/>
            <w:left w:val="none" w:sz="0" w:space="0" w:color="auto"/>
            <w:bottom w:val="none" w:sz="0" w:space="0" w:color="auto"/>
            <w:right w:val="none" w:sz="0" w:space="0" w:color="auto"/>
          </w:divBdr>
        </w:div>
        <w:div w:id="1028719722">
          <w:marLeft w:val="0"/>
          <w:marRight w:val="0"/>
          <w:marTop w:val="0"/>
          <w:marBottom w:val="0"/>
          <w:divBdr>
            <w:top w:val="none" w:sz="0" w:space="0" w:color="auto"/>
            <w:left w:val="none" w:sz="0" w:space="0" w:color="auto"/>
            <w:bottom w:val="none" w:sz="0" w:space="0" w:color="auto"/>
            <w:right w:val="none" w:sz="0" w:space="0" w:color="auto"/>
          </w:divBdr>
        </w:div>
        <w:div w:id="1322732232">
          <w:marLeft w:val="0"/>
          <w:marRight w:val="0"/>
          <w:marTop w:val="0"/>
          <w:marBottom w:val="0"/>
          <w:divBdr>
            <w:top w:val="none" w:sz="0" w:space="0" w:color="auto"/>
            <w:left w:val="none" w:sz="0" w:space="0" w:color="auto"/>
            <w:bottom w:val="none" w:sz="0" w:space="0" w:color="auto"/>
            <w:right w:val="none" w:sz="0" w:space="0" w:color="auto"/>
          </w:divBdr>
        </w:div>
      </w:divsChild>
    </w:div>
    <w:div w:id="1824354305">
      <w:bodyDiv w:val="1"/>
      <w:marLeft w:val="0"/>
      <w:marRight w:val="0"/>
      <w:marTop w:val="0"/>
      <w:marBottom w:val="0"/>
      <w:divBdr>
        <w:top w:val="none" w:sz="0" w:space="0" w:color="auto"/>
        <w:left w:val="none" w:sz="0" w:space="0" w:color="auto"/>
        <w:bottom w:val="none" w:sz="0" w:space="0" w:color="auto"/>
        <w:right w:val="none" w:sz="0" w:space="0" w:color="auto"/>
      </w:divBdr>
      <w:divsChild>
        <w:div w:id="1906716324">
          <w:marLeft w:val="0"/>
          <w:marRight w:val="0"/>
          <w:marTop w:val="0"/>
          <w:marBottom w:val="0"/>
          <w:divBdr>
            <w:top w:val="none" w:sz="0" w:space="0" w:color="auto"/>
            <w:left w:val="none" w:sz="0" w:space="0" w:color="auto"/>
            <w:bottom w:val="none" w:sz="0" w:space="0" w:color="auto"/>
            <w:right w:val="none" w:sz="0" w:space="0" w:color="auto"/>
          </w:divBdr>
        </w:div>
        <w:div w:id="1553075784">
          <w:marLeft w:val="0"/>
          <w:marRight w:val="0"/>
          <w:marTop w:val="0"/>
          <w:marBottom w:val="0"/>
          <w:divBdr>
            <w:top w:val="none" w:sz="0" w:space="0" w:color="auto"/>
            <w:left w:val="none" w:sz="0" w:space="0" w:color="auto"/>
            <w:bottom w:val="none" w:sz="0" w:space="0" w:color="auto"/>
            <w:right w:val="none" w:sz="0" w:space="0" w:color="auto"/>
          </w:divBdr>
        </w:div>
      </w:divsChild>
    </w:div>
    <w:div w:id="1831673650">
      <w:bodyDiv w:val="1"/>
      <w:marLeft w:val="0"/>
      <w:marRight w:val="0"/>
      <w:marTop w:val="0"/>
      <w:marBottom w:val="0"/>
      <w:divBdr>
        <w:top w:val="none" w:sz="0" w:space="0" w:color="auto"/>
        <w:left w:val="none" w:sz="0" w:space="0" w:color="auto"/>
        <w:bottom w:val="none" w:sz="0" w:space="0" w:color="auto"/>
        <w:right w:val="none" w:sz="0" w:space="0" w:color="auto"/>
      </w:divBdr>
    </w:div>
    <w:div w:id="1845364068">
      <w:bodyDiv w:val="1"/>
      <w:marLeft w:val="0"/>
      <w:marRight w:val="0"/>
      <w:marTop w:val="0"/>
      <w:marBottom w:val="0"/>
      <w:divBdr>
        <w:top w:val="none" w:sz="0" w:space="0" w:color="auto"/>
        <w:left w:val="none" w:sz="0" w:space="0" w:color="auto"/>
        <w:bottom w:val="none" w:sz="0" w:space="0" w:color="auto"/>
        <w:right w:val="none" w:sz="0" w:space="0" w:color="auto"/>
      </w:divBdr>
    </w:div>
    <w:div w:id="1876771711">
      <w:bodyDiv w:val="1"/>
      <w:marLeft w:val="0"/>
      <w:marRight w:val="0"/>
      <w:marTop w:val="0"/>
      <w:marBottom w:val="0"/>
      <w:divBdr>
        <w:top w:val="none" w:sz="0" w:space="0" w:color="auto"/>
        <w:left w:val="none" w:sz="0" w:space="0" w:color="auto"/>
        <w:bottom w:val="none" w:sz="0" w:space="0" w:color="auto"/>
        <w:right w:val="none" w:sz="0" w:space="0" w:color="auto"/>
      </w:divBdr>
    </w:div>
    <w:div w:id="1912959603">
      <w:bodyDiv w:val="1"/>
      <w:marLeft w:val="0"/>
      <w:marRight w:val="0"/>
      <w:marTop w:val="0"/>
      <w:marBottom w:val="0"/>
      <w:divBdr>
        <w:top w:val="none" w:sz="0" w:space="0" w:color="auto"/>
        <w:left w:val="none" w:sz="0" w:space="0" w:color="auto"/>
        <w:bottom w:val="none" w:sz="0" w:space="0" w:color="auto"/>
        <w:right w:val="none" w:sz="0" w:space="0" w:color="auto"/>
      </w:divBdr>
      <w:divsChild>
        <w:div w:id="34231901">
          <w:marLeft w:val="0"/>
          <w:marRight w:val="0"/>
          <w:marTop w:val="0"/>
          <w:marBottom w:val="0"/>
          <w:divBdr>
            <w:top w:val="none" w:sz="0" w:space="0" w:color="auto"/>
            <w:left w:val="none" w:sz="0" w:space="0" w:color="auto"/>
            <w:bottom w:val="none" w:sz="0" w:space="0" w:color="auto"/>
            <w:right w:val="none" w:sz="0" w:space="0" w:color="auto"/>
          </w:divBdr>
          <w:divsChild>
            <w:div w:id="1939943931">
              <w:marLeft w:val="0"/>
              <w:marRight w:val="0"/>
              <w:marTop w:val="0"/>
              <w:marBottom w:val="0"/>
              <w:divBdr>
                <w:top w:val="none" w:sz="0" w:space="0" w:color="auto"/>
                <w:left w:val="none" w:sz="0" w:space="0" w:color="auto"/>
                <w:bottom w:val="none" w:sz="0" w:space="0" w:color="auto"/>
                <w:right w:val="none" w:sz="0" w:space="0" w:color="auto"/>
              </w:divBdr>
            </w:div>
          </w:divsChild>
        </w:div>
        <w:div w:id="695036053">
          <w:marLeft w:val="0"/>
          <w:marRight w:val="0"/>
          <w:marTop w:val="0"/>
          <w:marBottom w:val="0"/>
          <w:divBdr>
            <w:top w:val="none" w:sz="0" w:space="0" w:color="auto"/>
            <w:left w:val="none" w:sz="0" w:space="0" w:color="auto"/>
            <w:bottom w:val="none" w:sz="0" w:space="0" w:color="auto"/>
            <w:right w:val="none" w:sz="0" w:space="0" w:color="auto"/>
          </w:divBdr>
          <w:divsChild>
            <w:div w:id="1480269550">
              <w:marLeft w:val="0"/>
              <w:marRight w:val="0"/>
              <w:marTop w:val="0"/>
              <w:marBottom w:val="0"/>
              <w:divBdr>
                <w:top w:val="none" w:sz="0" w:space="0" w:color="auto"/>
                <w:left w:val="none" w:sz="0" w:space="0" w:color="auto"/>
                <w:bottom w:val="none" w:sz="0" w:space="0" w:color="auto"/>
                <w:right w:val="none" w:sz="0" w:space="0" w:color="auto"/>
              </w:divBdr>
            </w:div>
          </w:divsChild>
        </w:div>
        <w:div w:id="1637174253">
          <w:marLeft w:val="0"/>
          <w:marRight w:val="0"/>
          <w:marTop w:val="0"/>
          <w:marBottom w:val="0"/>
          <w:divBdr>
            <w:top w:val="none" w:sz="0" w:space="0" w:color="auto"/>
            <w:left w:val="none" w:sz="0" w:space="0" w:color="auto"/>
            <w:bottom w:val="none" w:sz="0" w:space="0" w:color="auto"/>
            <w:right w:val="none" w:sz="0" w:space="0" w:color="auto"/>
          </w:divBdr>
          <w:divsChild>
            <w:div w:id="969171694">
              <w:marLeft w:val="0"/>
              <w:marRight w:val="0"/>
              <w:marTop w:val="0"/>
              <w:marBottom w:val="0"/>
              <w:divBdr>
                <w:top w:val="none" w:sz="0" w:space="0" w:color="auto"/>
                <w:left w:val="none" w:sz="0" w:space="0" w:color="auto"/>
                <w:bottom w:val="none" w:sz="0" w:space="0" w:color="auto"/>
                <w:right w:val="none" w:sz="0" w:space="0" w:color="auto"/>
              </w:divBdr>
            </w:div>
          </w:divsChild>
        </w:div>
        <w:div w:id="743063579">
          <w:marLeft w:val="0"/>
          <w:marRight w:val="0"/>
          <w:marTop w:val="0"/>
          <w:marBottom w:val="0"/>
          <w:divBdr>
            <w:top w:val="none" w:sz="0" w:space="0" w:color="auto"/>
            <w:left w:val="none" w:sz="0" w:space="0" w:color="auto"/>
            <w:bottom w:val="none" w:sz="0" w:space="0" w:color="auto"/>
            <w:right w:val="none" w:sz="0" w:space="0" w:color="auto"/>
          </w:divBdr>
          <w:divsChild>
            <w:div w:id="1921870486">
              <w:marLeft w:val="0"/>
              <w:marRight w:val="0"/>
              <w:marTop w:val="0"/>
              <w:marBottom w:val="0"/>
              <w:divBdr>
                <w:top w:val="none" w:sz="0" w:space="0" w:color="auto"/>
                <w:left w:val="none" w:sz="0" w:space="0" w:color="auto"/>
                <w:bottom w:val="none" w:sz="0" w:space="0" w:color="auto"/>
                <w:right w:val="none" w:sz="0" w:space="0" w:color="auto"/>
              </w:divBdr>
            </w:div>
          </w:divsChild>
        </w:div>
        <w:div w:id="1718356027">
          <w:marLeft w:val="0"/>
          <w:marRight w:val="0"/>
          <w:marTop w:val="0"/>
          <w:marBottom w:val="0"/>
          <w:divBdr>
            <w:top w:val="none" w:sz="0" w:space="0" w:color="auto"/>
            <w:left w:val="none" w:sz="0" w:space="0" w:color="auto"/>
            <w:bottom w:val="none" w:sz="0" w:space="0" w:color="auto"/>
            <w:right w:val="none" w:sz="0" w:space="0" w:color="auto"/>
          </w:divBdr>
          <w:divsChild>
            <w:div w:id="1425880944">
              <w:marLeft w:val="0"/>
              <w:marRight w:val="0"/>
              <w:marTop w:val="0"/>
              <w:marBottom w:val="0"/>
              <w:divBdr>
                <w:top w:val="none" w:sz="0" w:space="0" w:color="auto"/>
                <w:left w:val="none" w:sz="0" w:space="0" w:color="auto"/>
                <w:bottom w:val="none" w:sz="0" w:space="0" w:color="auto"/>
                <w:right w:val="none" w:sz="0" w:space="0" w:color="auto"/>
              </w:divBdr>
            </w:div>
          </w:divsChild>
        </w:div>
        <w:div w:id="1031035851">
          <w:marLeft w:val="0"/>
          <w:marRight w:val="0"/>
          <w:marTop w:val="0"/>
          <w:marBottom w:val="0"/>
          <w:divBdr>
            <w:top w:val="none" w:sz="0" w:space="0" w:color="auto"/>
            <w:left w:val="none" w:sz="0" w:space="0" w:color="auto"/>
            <w:bottom w:val="none" w:sz="0" w:space="0" w:color="auto"/>
            <w:right w:val="none" w:sz="0" w:space="0" w:color="auto"/>
          </w:divBdr>
          <w:divsChild>
            <w:div w:id="1146706388">
              <w:marLeft w:val="0"/>
              <w:marRight w:val="0"/>
              <w:marTop w:val="0"/>
              <w:marBottom w:val="0"/>
              <w:divBdr>
                <w:top w:val="none" w:sz="0" w:space="0" w:color="auto"/>
                <w:left w:val="none" w:sz="0" w:space="0" w:color="auto"/>
                <w:bottom w:val="none" w:sz="0" w:space="0" w:color="auto"/>
                <w:right w:val="none" w:sz="0" w:space="0" w:color="auto"/>
              </w:divBdr>
            </w:div>
          </w:divsChild>
        </w:div>
        <w:div w:id="758480643">
          <w:marLeft w:val="0"/>
          <w:marRight w:val="0"/>
          <w:marTop w:val="0"/>
          <w:marBottom w:val="0"/>
          <w:divBdr>
            <w:top w:val="none" w:sz="0" w:space="0" w:color="auto"/>
            <w:left w:val="none" w:sz="0" w:space="0" w:color="auto"/>
            <w:bottom w:val="none" w:sz="0" w:space="0" w:color="auto"/>
            <w:right w:val="none" w:sz="0" w:space="0" w:color="auto"/>
          </w:divBdr>
          <w:divsChild>
            <w:div w:id="358820581">
              <w:marLeft w:val="0"/>
              <w:marRight w:val="0"/>
              <w:marTop w:val="0"/>
              <w:marBottom w:val="0"/>
              <w:divBdr>
                <w:top w:val="none" w:sz="0" w:space="0" w:color="auto"/>
                <w:left w:val="none" w:sz="0" w:space="0" w:color="auto"/>
                <w:bottom w:val="none" w:sz="0" w:space="0" w:color="auto"/>
                <w:right w:val="none" w:sz="0" w:space="0" w:color="auto"/>
              </w:divBdr>
            </w:div>
          </w:divsChild>
        </w:div>
        <w:div w:id="782960344">
          <w:marLeft w:val="0"/>
          <w:marRight w:val="0"/>
          <w:marTop w:val="0"/>
          <w:marBottom w:val="0"/>
          <w:divBdr>
            <w:top w:val="none" w:sz="0" w:space="0" w:color="auto"/>
            <w:left w:val="none" w:sz="0" w:space="0" w:color="auto"/>
            <w:bottom w:val="none" w:sz="0" w:space="0" w:color="auto"/>
            <w:right w:val="none" w:sz="0" w:space="0" w:color="auto"/>
          </w:divBdr>
          <w:divsChild>
            <w:div w:id="1368215502">
              <w:marLeft w:val="0"/>
              <w:marRight w:val="0"/>
              <w:marTop w:val="0"/>
              <w:marBottom w:val="0"/>
              <w:divBdr>
                <w:top w:val="none" w:sz="0" w:space="0" w:color="auto"/>
                <w:left w:val="none" w:sz="0" w:space="0" w:color="auto"/>
                <w:bottom w:val="none" w:sz="0" w:space="0" w:color="auto"/>
                <w:right w:val="none" w:sz="0" w:space="0" w:color="auto"/>
              </w:divBdr>
            </w:div>
          </w:divsChild>
        </w:div>
        <w:div w:id="253364476">
          <w:marLeft w:val="0"/>
          <w:marRight w:val="0"/>
          <w:marTop w:val="0"/>
          <w:marBottom w:val="0"/>
          <w:divBdr>
            <w:top w:val="none" w:sz="0" w:space="0" w:color="auto"/>
            <w:left w:val="none" w:sz="0" w:space="0" w:color="auto"/>
            <w:bottom w:val="none" w:sz="0" w:space="0" w:color="auto"/>
            <w:right w:val="none" w:sz="0" w:space="0" w:color="auto"/>
          </w:divBdr>
          <w:divsChild>
            <w:div w:id="314843148">
              <w:marLeft w:val="0"/>
              <w:marRight w:val="0"/>
              <w:marTop w:val="0"/>
              <w:marBottom w:val="0"/>
              <w:divBdr>
                <w:top w:val="none" w:sz="0" w:space="0" w:color="auto"/>
                <w:left w:val="none" w:sz="0" w:space="0" w:color="auto"/>
                <w:bottom w:val="none" w:sz="0" w:space="0" w:color="auto"/>
                <w:right w:val="none" w:sz="0" w:space="0" w:color="auto"/>
              </w:divBdr>
            </w:div>
          </w:divsChild>
        </w:div>
        <w:div w:id="280459111">
          <w:marLeft w:val="0"/>
          <w:marRight w:val="0"/>
          <w:marTop w:val="0"/>
          <w:marBottom w:val="0"/>
          <w:divBdr>
            <w:top w:val="none" w:sz="0" w:space="0" w:color="auto"/>
            <w:left w:val="none" w:sz="0" w:space="0" w:color="auto"/>
            <w:bottom w:val="none" w:sz="0" w:space="0" w:color="auto"/>
            <w:right w:val="none" w:sz="0" w:space="0" w:color="auto"/>
          </w:divBdr>
          <w:divsChild>
            <w:div w:id="8859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18030">
      <w:bodyDiv w:val="1"/>
      <w:marLeft w:val="0"/>
      <w:marRight w:val="0"/>
      <w:marTop w:val="0"/>
      <w:marBottom w:val="0"/>
      <w:divBdr>
        <w:top w:val="none" w:sz="0" w:space="0" w:color="auto"/>
        <w:left w:val="none" w:sz="0" w:space="0" w:color="auto"/>
        <w:bottom w:val="none" w:sz="0" w:space="0" w:color="auto"/>
        <w:right w:val="none" w:sz="0" w:space="0" w:color="auto"/>
      </w:divBdr>
    </w:div>
    <w:div w:id="1945772067">
      <w:bodyDiv w:val="1"/>
      <w:marLeft w:val="0"/>
      <w:marRight w:val="0"/>
      <w:marTop w:val="0"/>
      <w:marBottom w:val="0"/>
      <w:divBdr>
        <w:top w:val="none" w:sz="0" w:space="0" w:color="auto"/>
        <w:left w:val="none" w:sz="0" w:space="0" w:color="auto"/>
        <w:bottom w:val="none" w:sz="0" w:space="0" w:color="auto"/>
        <w:right w:val="none" w:sz="0" w:space="0" w:color="auto"/>
      </w:divBdr>
      <w:divsChild>
        <w:div w:id="913004963">
          <w:marLeft w:val="0"/>
          <w:marRight w:val="0"/>
          <w:marTop w:val="0"/>
          <w:marBottom w:val="0"/>
          <w:divBdr>
            <w:top w:val="none" w:sz="0" w:space="0" w:color="auto"/>
            <w:left w:val="none" w:sz="0" w:space="0" w:color="auto"/>
            <w:bottom w:val="none" w:sz="0" w:space="0" w:color="auto"/>
            <w:right w:val="none" w:sz="0" w:space="0" w:color="auto"/>
          </w:divBdr>
          <w:divsChild>
            <w:div w:id="695234065">
              <w:marLeft w:val="0"/>
              <w:marRight w:val="0"/>
              <w:marTop w:val="0"/>
              <w:marBottom w:val="0"/>
              <w:divBdr>
                <w:top w:val="none" w:sz="0" w:space="0" w:color="auto"/>
                <w:left w:val="none" w:sz="0" w:space="0" w:color="auto"/>
                <w:bottom w:val="none" w:sz="0" w:space="0" w:color="auto"/>
                <w:right w:val="none" w:sz="0" w:space="0" w:color="auto"/>
              </w:divBdr>
            </w:div>
          </w:divsChild>
        </w:div>
        <w:div w:id="836503354">
          <w:marLeft w:val="0"/>
          <w:marRight w:val="0"/>
          <w:marTop w:val="0"/>
          <w:marBottom w:val="0"/>
          <w:divBdr>
            <w:top w:val="none" w:sz="0" w:space="0" w:color="auto"/>
            <w:left w:val="none" w:sz="0" w:space="0" w:color="auto"/>
            <w:bottom w:val="none" w:sz="0" w:space="0" w:color="auto"/>
            <w:right w:val="none" w:sz="0" w:space="0" w:color="auto"/>
          </w:divBdr>
          <w:divsChild>
            <w:div w:id="1549956446">
              <w:marLeft w:val="0"/>
              <w:marRight w:val="0"/>
              <w:marTop w:val="0"/>
              <w:marBottom w:val="0"/>
              <w:divBdr>
                <w:top w:val="none" w:sz="0" w:space="0" w:color="auto"/>
                <w:left w:val="none" w:sz="0" w:space="0" w:color="auto"/>
                <w:bottom w:val="none" w:sz="0" w:space="0" w:color="auto"/>
                <w:right w:val="none" w:sz="0" w:space="0" w:color="auto"/>
              </w:divBdr>
            </w:div>
          </w:divsChild>
        </w:div>
        <w:div w:id="1741900994">
          <w:marLeft w:val="0"/>
          <w:marRight w:val="0"/>
          <w:marTop w:val="0"/>
          <w:marBottom w:val="0"/>
          <w:divBdr>
            <w:top w:val="none" w:sz="0" w:space="0" w:color="auto"/>
            <w:left w:val="none" w:sz="0" w:space="0" w:color="auto"/>
            <w:bottom w:val="none" w:sz="0" w:space="0" w:color="auto"/>
            <w:right w:val="none" w:sz="0" w:space="0" w:color="auto"/>
          </w:divBdr>
          <w:divsChild>
            <w:div w:id="1386565727">
              <w:marLeft w:val="0"/>
              <w:marRight w:val="0"/>
              <w:marTop w:val="0"/>
              <w:marBottom w:val="0"/>
              <w:divBdr>
                <w:top w:val="none" w:sz="0" w:space="0" w:color="auto"/>
                <w:left w:val="none" w:sz="0" w:space="0" w:color="auto"/>
                <w:bottom w:val="none" w:sz="0" w:space="0" w:color="auto"/>
                <w:right w:val="none" w:sz="0" w:space="0" w:color="auto"/>
              </w:divBdr>
            </w:div>
          </w:divsChild>
        </w:div>
        <w:div w:id="1502887439">
          <w:marLeft w:val="0"/>
          <w:marRight w:val="0"/>
          <w:marTop w:val="0"/>
          <w:marBottom w:val="0"/>
          <w:divBdr>
            <w:top w:val="none" w:sz="0" w:space="0" w:color="auto"/>
            <w:left w:val="none" w:sz="0" w:space="0" w:color="auto"/>
            <w:bottom w:val="none" w:sz="0" w:space="0" w:color="auto"/>
            <w:right w:val="none" w:sz="0" w:space="0" w:color="auto"/>
          </w:divBdr>
          <w:divsChild>
            <w:div w:id="1583678240">
              <w:marLeft w:val="0"/>
              <w:marRight w:val="0"/>
              <w:marTop w:val="0"/>
              <w:marBottom w:val="0"/>
              <w:divBdr>
                <w:top w:val="none" w:sz="0" w:space="0" w:color="auto"/>
                <w:left w:val="none" w:sz="0" w:space="0" w:color="auto"/>
                <w:bottom w:val="none" w:sz="0" w:space="0" w:color="auto"/>
                <w:right w:val="none" w:sz="0" w:space="0" w:color="auto"/>
              </w:divBdr>
            </w:div>
          </w:divsChild>
        </w:div>
        <w:div w:id="1843468916">
          <w:marLeft w:val="0"/>
          <w:marRight w:val="0"/>
          <w:marTop w:val="0"/>
          <w:marBottom w:val="0"/>
          <w:divBdr>
            <w:top w:val="none" w:sz="0" w:space="0" w:color="auto"/>
            <w:left w:val="none" w:sz="0" w:space="0" w:color="auto"/>
            <w:bottom w:val="none" w:sz="0" w:space="0" w:color="auto"/>
            <w:right w:val="none" w:sz="0" w:space="0" w:color="auto"/>
          </w:divBdr>
          <w:divsChild>
            <w:div w:id="1593201759">
              <w:marLeft w:val="0"/>
              <w:marRight w:val="0"/>
              <w:marTop w:val="0"/>
              <w:marBottom w:val="0"/>
              <w:divBdr>
                <w:top w:val="none" w:sz="0" w:space="0" w:color="auto"/>
                <w:left w:val="none" w:sz="0" w:space="0" w:color="auto"/>
                <w:bottom w:val="none" w:sz="0" w:space="0" w:color="auto"/>
                <w:right w:val="none" w:sz="0" w:space="0" w:color="auto"/>
              </w:divBdr>
            </w:div>
          </w:divsChild>
        </w:div>
        <w:div w:id="1294484947">
          <w:marLeft w:val="0"/>
          <w:marRight w:val="0"/>
          <w:marTop w:val="0"/>
          <w:marBottom w:val="0"/>
          <w:divBdr>
            <w:top w:val="none" w:sz="0" w:space="0" w:color="auto"/>
            <w:left w:val="none" w:sz="0" w:space="0" w:color="auto"/>
            <w:bottom w:val="none" w:sz="0" w:space="0" w:color="auto"/>
            <w:right w:val="none" w:sz="0" w:space="0" w:color="auto"/>
          </w:divBdr>
          <w:divsChild>
            <w:div w:id="1428765345">
              <w:marLeft w:val="0"/>
              <w:marRight w:val="0"/>
              <w:marTop w:val="0"/>
              <w:marBottom w:val="0"/>
              <w:divBdr>
                <w:top w:val="none" w:sz="0" w:space="0" w:color="auto"/>
                <w:left w:val="none" w:sz="0" w:space="0" w:color="auto"/>
                <w:bottom w:val="none" w:sz="0" w:space="0" w:color="auto"/>
                <w:right w:val="none" w:sz="0" w:space="0" w:color="auto"/>
              </w:divBdr>
            </w:div>
          </w:divsChild>
        </w:div>
        <w:div w:id="1257909780">
          <w:marLeft w:val="0"/>
          <w:marRight w:val="0"/>
          <w:marTop w:val="0"/>
          <w:marBottom w:val="0"/>
          <w:divBdr>
            <w:top w:val="none" w:sz="0" w:space="0" w:color="auto"/>
            <w:left w:val="none" w:sz="0" w:space="0" w:color="auto"/>
            <w:bottom w:val="none" w:sz="0" w:space="0" w:color="auto"/>
            <w:right w:val="none" w:sz="0" w:space="0" w:color="auto"/>
          </w:divBdr>
          <w:divsChild>
            <w:div w:id="1063412478">
              <w:marLeft w:val="0"/>
              <w:marRight w:val="0"/>
              <w:marTop w:val="0"/>
              <w:marBottom w:val="0"/>
              <w:divBdr>
                <w:top w:val="none" w:sz="0" w:space="0" w:color="auto"/>
                <w:left w:val="none" w:sz="0" w:space="0" w:color="auto"/>
                <w:bottom w:val="none" w:sz="0" w:space="0" w:color="auto"/>
                <w:right w:val="none" w:sz="0" w:space="0" w:color="auto"/>
              </w:divBdr>
            </w:div>
          </w:divsChild>
        </w:div>
        <w:div w:id="1756200747">
          <w:marLeft w:val="0"/>
          <w:marRight w:val="0"/>
          <w:marTop w:val="0"/>
          <w:marBottom w:val="0"/>
          <w:divBdr>
            <w:top w:val="none" w:sz="0" w:space="0" w:color="auto"/>
            <w:left w:val="none" w:sz="0" w:space="0" w:color="auto"/>
            <w:bottom w:val="none" w:sz="0" w:space="0" w:color="auto"/>
            <w:right w:val="none" w:sz="0" w:space="0" w:color="auto"/>
          </w:divBdr>
          <w:divsChild>
            <w:div w:id="1494687068">
              <w:marLeft w:val="0"/>
              <w:marRight w:val="0"/>
              <w:marTop w:val="0"/>
              <w:marBottom w:val="0"/>
              <w:divBdr>
                <w:top w:val="none" w:sz="0" w:space="0" w:color="auto"/>
                <w:left w:val="none" w:sz="0" w:space="0" w:color="auto"/>
                <w:bottom w:val="none" w:sz="0" w:space="0" w:color="auto"/>
                <w:right w:val="none" w:sz="0" w:space="0" w:color="auto"/>
              </w:divBdr>
            </w:div>
          </w:divsChild>
        </w:div>
        <w:div w:id="443883252">
          <w:marLeft w:val="0"/>
          <w:marRight w:val="0"/>
          <w:marTop w:val="0"/>
          <w:marBottom w:val="0"/>
          <w:divBdr>
            <w:top w:val="none" w:sz="0" w:space="0" w:color="auto"/>
            <w:left w:val="none" w:sz="0" w:space="0" w:color="auto"/>
            <w:bottom w:val="none" w:sz="0" w:space="0" w:color="auto"/>
            <w:right w:val="none" w:sz="0" w:space="0" w:color="auto"/>
          </w:divBdr>
          <w:divsChild>
            <w:div w:id="966083025">
              <w:marLeft w:val="0"/>
              <w:marRight w:val="0"/>
              <w:marTop w:val="0"/>
              <w:marBottom w:val="0"/>
              <w:divBdr>
                <w:top w:val="none" w:sz="0" w:space="0" w:color="auto"/>
                <w:left w:val="none" w:sz="0" w:space="0" w:color="auto"/>
                <w:bottom w:val="none" w:sz="0" w:space="0" w:color="auto"/>
                <w:right w:val="none" w:sz="0" w:space="0" w:color="auto"/>
              </w:divBdr>
            </w:div>
          </w:divsChild>
        </w:div>
        <w:div w:id="142896756">
          <w:marLeft w:val="0"/>
          <w:marRight w:val="0"/>
          <w:marTop w:val="0"/>
          <w:marBottom w:val="0"/>
          <w:divBdr>
            <w:top w:val="none" w:sz="0" w:space="0" w:color="auto"/>
            <w:left w:val="none" w:sz="0" w:space="0" w:color="auto"/>
            <w:bottom w:val="none" w:sz="0" w:space="0" w:color="auto"/>
            <w:right w:val="none" w:sz="0" w:space="0" w:color="auto"/>
          </w:divBdr>
          <w:divsChild>
            <w:div w:id="20200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3455">
      <w:bodyDiv w:val="1"/>
      <w:marLeft w:val="0"/>
      <w:marRight w:val="0"/>
      <w:marTop w:val="0"/>
      <w:marBottom w:val="0"/>
      <w:divBdr>
        <w:top w:val="none" w:sz="0" w:space="0" w:color="auto"/>
        <w:left w:val="none" w:sz="0" w:space="0" w:color="auto"/>
        <w:bottom w:val="none" w:sz="0" w:space="0" w:color="auto"/>
        <w:right w:val="none" w:sz="0" w:space="0" w:color="auto"/>
      </w:divBdr>
    </w:div>
    <w:div w:id="1958291209">
      <w:bodyDiv w:val="1"/>
      <w:marLeft w:val="0"/>
      <w:marRight w:val="0"/>
      <w:marTop w:val="0"/>
      <w:marBottom w:val="0"/>
      <w:divBdr>
        <w:top w:val="none" w:sz="0" w:space="0" w:color="auto"/>
        <w:left w:val="none" w:sz="0" w:space="0" w:color="auto"/>
        <w:bottom w:val="none" w:sz="0" w:space="0" w:color="auto"/>
        <w:right w:val="none" w:sz="0" w:space="0" w:color="auto"/>
      </w:divBdr>
    </w:div>
    <w:div w:id="1976905600">
      <w:bodyDiv w:val="1"/>
      <w:marLeft w:val="0"/>
      <w:marRight w:val="0"/>
      <w:marTop w:val="0"/>
      <w:marBottom w:val="0"/>
      <w:divBdr>
        <w:top w:val="none" w:sz="0" w:space="0" w:color="auto"/>
        <w:left w:val="none" w:sz="0" w:space="0" w:color="auto"/>
        <w:bottom w:val="none" w:sz="0" w:space="0" w:color="auto"/>
        <w:right w:val="none" w:sz="0" w:space="0" w:color="auto"/>
      </w:divBdr>
    </w:div>
    <w:div w:id="1986625073">
      <w:bodyDiv w:val="1"/>
      <w:marLeft w:val="0"/>
      <w:marRight w:val="0"/>
      <w:marTop w:val="0"/>
      <w:marBottom w:val="0"/>
      <w:divBdr>
        <w:top w:val="none" w:sz="0" w:space="0" w:color="auto"/>
        <w:left w:val="none" w:sz="0" w:space="0" w:color="auto"/>
        <w:bottom w:val="none" w:sz="0" w:space="0" w:color="auto"/>
        <w:right w:val="none" w:sz="0" w:space="0" w:color="auto"/>
      </w:divBdr>
    </w:div>
    <w:div w:id="2053068677">
      <w:bodyDiv w:val="1"/>
      <w:marLeft w:val="0"/>
      <w:marRight w:val="0"/>
      <w:marTop w:val="0"/>
      <w:marBottom w:val="0"/>
      <w:divBdr>
        <w:top w:val="none" w:sz="0" w:space="0" w:color="auto"/>
        <w:left w:val="none" w:sz="0" w:space="0" w:color="auto"/>
        <w:bottom w:val="none" w:sz="0" w:space="0" w:color="auto"/>
        <w:right w:val="none" w:sz="0" w:space="0" w:color="auto"/>
      </w:divBdr>
    </w:div>
    <w:div w:id="2058627138">
      <w:bodyDiv w:val="1"/>
      <w:marLeft w:val="0"/>
      <w:marRight w:val="0"/>
      <w:marTop w:val="0"/>
      <w:marBottom w:val="0"/>
      <w:divBdr>
        <w:top w:val="none" w:sz="0" w:space="0" w:color="auto"/>
        <w:left w:val="none" w:sz="0" w:space="0" w:color="auto"/>
        <w:bottom w:val="none" w:sz="0" w:space="0" w:color="auto"/>
        <w:right w:val="none" w:sz="0" w:space="0" w:color="auto"/>
      </w:divBdr>
      <w:divsChild>
        <w:div w:id="1207790866">
          <w:marLeft w:val="0"/>
          <w:marRight w:val="0"/>
          <w:marTop w:val="0"/>
          <w:marBottom w:val="0"/>
          <w:divBdr>
            <w:top w:val="none" w:sz="0" w:space="0" w:color="auto"/>
            <w:left w:val="none" w:sz="0" w:space="0" w:color="auto"/>
            <w:bottom w:val="none" w:sz="0" w:space="0" w:color="auto"/>
            <w:right w:val="none" w:sz="0" w:space="0" w:color="auto"/>
          </w:divBdr>
          <w:divsChild>
            <w:div w:id="1827093410">
              <w:marLeft w:val="0"/>
              <w:marRight w:val="0"/>
              <w:marTop w:val="0"/>
              <w:marBottom w:val="0"/>
              <w:divBdr>
                <w:top w:val="none" w:sz="0" w:space="0" w:color="auto"/>
                <w:left w:val="none" w:sz="0" w:space="0" w:color="auto"/>
                <w:bottom w:val="none" w:sz="0" w:space="0" w:color="auto"/>
                <w:right w:val="none" w:sz="0" w:space="0" w:color="auto"/>
              </w:divBdr>
              <w:divsChild>
                <w:div w:id="12612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5479">
      <w:bodyDiv w:val="1"/>
      <w:marLeft w:val="0"/>
      <w:marRight w:val="0"/>
      <w:marTop w:val="0"/>
      <w:marBottom w:val="0"/>
      <w:divBdr>
        <w:top w:val="none" w:sz="0" w:space="0" w:color="auto"/>
        <w:left w:val="none" w:sz="0" w:space="0" w:color="auto"/>
        <w:bottom w:val="none" w:sz="0" w:space="0" w:color="auto"/>
        <w:right w:val="none" w:sz="0" w:space="0" w:color="auto"/>
      </w:divBdr>
    </w:div>
    <w:div w:id="211774880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08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gustavo.espinoza@unh.edu.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6</Pages>
  <Words>3354</Words>
  <Characters>18452</Characters>
  <Application>Microsoft Office Word</Application>
  <DocSecurity>0</DocSecurity>
  <Lines>153</Lines>
  <Paragraphs>43</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Gustavo Espinoza</cp:lastModifiedBy>
  <cp:revision>12</cp:revision>
  <cp:lastPrinted>2024-03-27T05:18:00Z</cp:lastPrinted>
  <dcterms:created xsi:type="dcterms:W3CDTF">2026-02-15T21:15:00Z</dcterms:created>
  <dcterms:modified xsi:type="dcterms:W3CDTF">2026-03-29T16:34:00Z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