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A22FCA">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A22FCA">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A22FCA">
        <w:trPr>
          <w:trHeight w:val="68"/>
          <w:jc w:val="center"/>
        </w:trPr>
        <w:tc>
          <w:tcPr>
            <w:tcW w:w="8782"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 xml:space="preserve">Valerio Cozzani, Bruno Fabiano, </w:t>
            </w:r>
            <w:proofErr w:type="spellStart"/>
            <w:r w:rsidR="007A6DF8" w:rsidRPr="007A6DF8">
              <w:rPr>
                <w:rFonts w:ascii="Tahoma" w:hAnsi="Tahoma" w:cs="Tahoma"/>
                <w:color w:val="000000"/>
                <w:sz w:val="14"/>
                <w:szCs w:val="14"/>
                <w:shd w:val="clear" w:color="auto" w:fill="FFFFFF"/>
                <w:lang w:val="it-IT"/>
              </w:rPr>
              <w:t>Genserik</w:t>
            </w:r>
            <w:proofErr w:type="spellEnd"/>
            <w:r w:rsidR="007A6DF8" w:rsidRPr="007A6DF8">
              <w:rPr>
                <w:rFonts w:ascii="Tahoma" w:hAnsi="Tahoma" w:cs="Tahoma"/>
                <w:color w:val="000000"/>
                <w:sz w:val="14"/>
                <w:szCs w:val="14"/>
                <w:shd w:val="clear" w:color="auto" w:fill="FFFFFF"/>
                <w:lang w:val="it-IT"/>
              </w:rPr>
              <w:t xml:space="preserve">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760AE35" w:rsidR="00E978D0" w:rsidRPr="00B57B36" w:rsidRDefault="00A22FCA" w:rsidP="00E978D0">
      <w:pPr>
        <w:pStyle w:val="CETTitle"/>
      </w:pPr>
      <w:r w:rsidRPr="00A22FCA">
        <w:t>Proactive Environmental Risk Management: Replicable Framework for Environmental Risk Assessment</w:t>
      </w:r>
      <w:r w:rsidR="00252376">
        <w:t xml:space="preserve"> during</w:t>
      </w:r>
      <w:r w:rsidRPr="00A22FCA">
        <w:t xml:space="preserve"> </w:t>
      </w:r>
      <w:r w:rsidR="00FE3EDF">
        <w:t>Offer</w:t>
      </w:r>
      <w:r w:rsidRPr="00A22FCA">
        <w:t xml:space="preserve"> Phase</w:t>
      </w:r>
    </w:p>
    <w:p w14:paraId="0488FED2" w14:textId="65E03DB4" w:rsidR="00B57E6F" w:rsidRPr="00ED63A7" w:rsidRDefault="00D55915" w:rsidP="00B57E6F">
      <w:pPr>
        <w:pStyle w:val="CETAuthors"/>
        <w:rPr>
          <w:lang w:val="it-IT"/>
        </w:rPr>
      </w:pPr>
      <w:r w:rsidRPr="00ED63A7">
        <w:rPr>
          <w:lang w:val="it-IT"/>
        </w:rPr>
        <w:t>Pierluigi Nunzi</w:t>
      </w:r>
      <w:r w:rsidR="00B57E6F" w:rsidRPr="00ED63A7">
        <w:rPr>
          <w:lang w:val="it-IT"/>
        </w:rPr>
        <w:t>,</w:t>
      </w:r>
      <w:r w:rsidRPr="00ED63A7">
        <w:rPr>
          <w:lang w:val="it-IT"/>
        </w:rPr>
        <w:t xml:space="preserve"> </w:t>
      </w:r>
      <w:r w:rsidR="008527C0" w:rsidRPr="008527C0">
        <w:rPr>
          <w:lang w:val="it-IT"/>
        </w:rPr>
        <w:t>Ludovica Maria Gullo</w:t>
      </w:r>
      <w:r w:rsidR="00F84192">
        <w:rPr>
          <w:vertAlign w:val="superscript"/>
          <w:lang w:val="it-IT"/>
        </w:rPr>
        <w:t>*</w:t>
      </w:r>
      <w:r w:rsidR="008527C0">
        <w:rPr>
          <w:lang w:val="it-IT"/>
        </w:rPr>
        <w:t xml:space="preserve">, </w:t>
      </w:r>
      <w:r w:rsidRPr="00ED63A7">
        <w:rPr>
          <w:lang w:val="it-IT"/>
        </w:rPr>
        <w:t>Maria Josè Scalia</w:t>
      </w:r>
    </w:p>
    <w:p w14:paraId="6C1334F5" w14:textId="2A834FD4" w:rsidR="00D55915" w:rsidRPr="00DD3BB5" w:rsidRDefault="00ED63A7" w:rsidP="00D55915">
      <w:pPr>
        <w:pStyle w:val="CETAddress"/>
        <w:rPr>
          <w:lang w:val="it-IT"/>
        </w:rPr>
      </w:pPr>
      <w:r w:rsidRPr="00DD3BB5">
        <w:rPr>
          <w:lang w:val="it-IT"/>
        </w:rPr>
        <w:t>Saipem Spa</w:t>
      </w:r>
      <w:r w:rsidR="00DD3BB5" w:rsidRPr="00DD3BB5">
        <w:rPr>
          <w:lang w:val="it-IT"/>
        </w:rPr>
        <w:t>, Via Lui</w:t>
      </w:r>
      <w:r w:rsidR="00DD3BB5">
        <w:rPr>
          <w:lang w:val="it-IT"/>
        </w:rPr>
        <w:t>gi Russolo 5, Milano,Italy</w:t>
      </w:r>
    </w:p>
    <w:p w14:paraId="73F1267A" w14:textId="79097642" w:rsidR="00B57E6F" w:rsidRPr="00A618BD" w:rsidRDefault="00B57E6F" w:rsidP="00B57E6F">
      <w:pPr>
        <w:pStyle w:val="CETemail"/>
        <w:rPr>
          <w:lang w:val="en-US"/>
        </w:rPr>
      </w:pPr>
      <w:r w:rsidRPr="00DD3BB5">
        <w:rPr>
          <w:lang w:val="it-IT"/>
        </w:rPr>
        <w:t xml:space="preserve"> </w:t>
      </w:r>
      <w:r w:rsidR="000E4448" w:rsidRPr="00A618BD">
        <w:rPr>
          <w:lang w:val="en-US"/>
        </w:rPr>
        <w:t>ludovicamaria.gullo@saipem.com</w:t>
      </w:r>
    </w:p>
    <w:p w14:paraId="43A206CA" w14:textId="5B5522BB" w:rsidR="00E8610B" w:rsidRDefault="00D04E2A" w:rsidP="00D04E2A">
      <w:pPr>
        <w:pStyle w:val="CETBodytext"/>
        <w:rPr>
          <w:lang w:val="en-GB"/>
        </w:rPr>
      </w:pPr>
      <w:r w:rsidRPr="00D04E2A">
        <w:rPr>
          <w:lang w:val="en-GB"/>
        </w:rPr>
        <w:t>In the contemporary business landscape, sustainability drivers, including climate change, stringent regulatory frameworks, and evolving stakeholder expectations, have fundamentally redefined the risk profile of the industrial sectors. Identifying risk drivers and establishing robust mitigation measures is no longer merely an operational task but a strategic necessity. This paper illustrates Saipem’s proactive approach to embedding environmental sustainability into its decision-making processes through a standardized and highly replicable methodology applied during the bid approval stage.</w:t>
      </w:r>
      <w:r w:rsidR="00E8610B">
        <w:rPr>
          <w:lang w:val="en-GB"/>
        </w:rPr>
        <w:t xml:space="preserve"> </w:t>
      </w:r>
      <w:r w:rsidRPr="00D04E2A">
        <w:rPr>
          <w:lang w:val="en-GB"/>
        </w:rPr>
        <w:t xml:space="preserve">The core of this approach is to transition environmental risk management from a reactive, project-specific monitoring activity to a high-level strategic de-risking tool. </w:t>
      </w:r>
    </w:p>
    <w:p w14:paraId="381EC31E" w14:textId="59AA0368" w:rsidR="38CB5850" w:rsidRDefault="38CB5850" w:rsidP="38CB5850">
      <w:pPr>
        <w:pStyle w:val="CETBodytext"/>
      </w:pPr>
      <w:r>
        <w:t>The methodology identifies and assesses five key environmental aspects: Scope 1 and 2 greenhouse gas emissions, water withdrawal, biodiversity conservation, and waste management. It provides a structured and consistent assessment of distinct environmental risk dimensions, enabling a clear and transparent understanding of individual environmental risks to support strategic decision‑making. To ensure objectivity and global replicability, the framework integrates project-specific technical data with internationally recognized environmental databases.</w:t>
      </w:r>
    </w:p>
    <w:p w14:paraId="2C89DFE8" w14:textId="74BFEDAA" w:rsidR="00BC2CC6" w:rsidRDefault="00BC2CC6" w:rsidP="38CB5850">
      <w:pPr>
        <w:pStyle w:val="CETHeading1"/>
      </w:pPr>
      <w:r>
        <w:t>Nome</w:t>
      </w:r>
      <w:r w:rsidR="00837D66">
        <w:t>nclature</w:t>
      </w:r>
    </w:p>
    <w:p w14:paraId="6527A3B4" w14:textId="0419160A" w:rsidR="00FB67C3" w:rsidRPr="00FB67C3" w:rsidRDefault="00FB67C3" w:rsidP="00FB67C3">
      <w:pPr>
        <w:pStyle w:val="CETBodytext"/>
      </w:pPr>
      <w:r w:rsidRPr="00FB67C3">
        <w:t xml:space="preserve">CSRD    </w:t>
      </w:r>
      <w:r>
        <w:t xml:space="preserve">  </w:t>
      </w:r>
      <w:r w:rsidRPr="00FB67C3">
        <w:t xml:space="preserve">Corporate Sustainability Reporting Directive  </w:t>
      </w:r>
    </w:p>
    <w:p w14:paraId="3CC0176B" w14:textId="62196A8A" w:rsidR="00FB67C3" w:rsidRPr="00FB67C3" w:rsidRDefault="00FB67C3" w:rsidP="00FB67C3">
      <w:pPr>
        <w:pStyle w:val="CETBodytext"/>
      </w:pPr>
      <w:r w:rsidRPr="00FB67C3">
        <w:t xml:space="preserve">DEFRA   </w:t>
      </w:r>
      <w:r>
        <w:t xml:space="preserve"> </w:t>
      </w:r>
      <w:r w:rsidRPr="00FB67C3">
        <w:t xml:space="preserve">Department for Environment, Food and Rural Affairs (UK)  </w:t>
      </w:r>
    </w:p>
    <w:p w14:paraId="304F3458" w14:textId="24801E5C" w:rsidR="00FB67C3" w:rsidRPr="00FB67C3" w:rsidRDefault="00FB67C3" w:rsidP="00FB67C3">
      <w:pPr>
        <w:pStyle w:val="CETBodytext"/>
      </w:pPr>
      <w:r w:rsidRPr="00FB67C3">
        <w:t xml:space="preserve">EACs    </w:t>
      </w:r>
      <w:r>
        <w:t xml:space="preserve">   </w:t>
      </w:r>
      <w:r w:rsidRPr="00FB67C3">
        <w:t xml:space="preserve">Energy Attribute Certificates  </w:t>
      </w:r>
    </w:p>
    <w:p w14:paraId="6997F0F4" w14:textId="0D0C1B4D" w:rsidR="00FB67C3" w:rsidRPr="00FB67C3" w:rsidRDefault="00FB67C3" w:rsidP="00FB67C3">
      <w:pPr>
        <w:pStyle w:val="CETBodytext"/>
      </w:pPr>
      <w:r w:rsidRPr="00FB67C3">
        <w:t>EMS    </w:t>
      </w:r>
      <w:r>
        <w:t xml:space="preserve">    </w:t>
      </w:r>
      <w:r w:rsidRPr="00FB67C3">
        <w:t xml:space="preserve">Environmental Management System  </w:t>
      </w:r>
    </w:p>
    <w:p w14:paraId="0503AA71" w14:textId="38A42AD6" w:rsidR="00FB67C3" w:rsidRPr="00FB67C3" w:rsidRDefault="00FB67C3" w:rsidP="00FB67C3">
      <w:pPr>
        <w:pStyle w:val="CETBodytext"/>
      </w:pPr>
      <w:r w:rsidRPr="00FB67C3">
        <w:t>EMP   </w:t>
      </w:r>
      <w:r>
        <w:t xml:space="preserve">   </w:t>
      </w:r>
      <w:r w:rsidRPr="00FB67C3">
        <w:t> </w:t>
      </w:r>
      <w:r>
        <w:t xml:space="preserve"> </w:t>
      </w:r>
      <w:r w:rsidRPr="00FB67C3">
        <w:t xml:space="preserve">Environmental Management Plan  </w:t>
      </w:r>
    </w:p>
    <w:p w14:paraId="78AE76CE" w14:textId="44BD9905" w:rsidR="00FB67C3" w:rsidRPr="00FB67C3" w:rsidRDefault="00FB67C3" w:rsidP="00FB67C3">
      <w:pPr>
        <w:pStyle w:val="CETBodytext"/>
      </w:pPr>
      <w:r w:rsidRPr="00FB67C3">
        <w:t xml:space="preserve">EPCI    </w:t>
      </w:r>
      <w:r>
        <w:t xml:space="preserve">   </w:t>
      </w:r>
      <w:r w:rsidRPr="00FB67C3">
        <w:t xml:space="preserve">Engineering, Procurement, Construction and Installation  </w:t>
      </w:r>
    </w:p>
    <w:p w14:paraId="5810C128" w14:textId="6420432A" w:rsidR="00FB67C3" w:rsidRPr="00FB67C3" w:rsidRDefault="00FB67C3" w:rsidP="00FB67C3">
      <w:pPr>
        <w:pStyle w:val="CETBodytext"/>
      </w:pPr>
      <w:r w:rsidRPr="00FB67C3">
        <w:t xml:space="preserve">EPI     </w:t>
      </w:r>
      <w:r>
        <w:t xml:space="preserve">     </w:t>
      </w:r>
      <w:r w:rsidRPr="00FB67C3">
        <w:t xml:space="preserve">Environmental Performance Index  </w:t>
      </w:r>
    </w:p>
    <w:p w14:paraId="15CF1358" w14:textId="2A8C5186" w:rsidR="00FB67C3" w:rsidRPr="00FB67C3" w:rsidRDefault="00FB67C3" w:rsidP="00FB67C3">
      <w:pPr>
        <w:pStyle w:val="CETBodytext"/>
      </w:pPr>
      <w:r w:rsidRPr="00FB67C3">
        <w:t xml:space="preserve">ESG     </w:t>
      </w:r>
      <w:r>
        <w:t xml:space="preserve">   </w:t>
      </w:r>
      <w:r w:rsidRPr="00FB67C3">
        <w:t xml:space="preserve">Environmental, Social and Governance  </w:t>
      </w:r>
    </w:p>
    <w:p w14:paraId="4425DB74" w14:textId="21BB53D8" w:rsidR="00FB67C3" w:rsidRPr="00FB67C3" w:rsidRDefault="00FB67C3" w:rsidP="00FB67C3">
      <w:pPr>
        <w:pStyle w:val="CETBodytext"/>
      </w:pPr>
      <w:r w:rsidRPr="00FB67C3">
        <w:t xml:space="preserve">ESIA    </w:t>
      </w:r>
      <w:r>
        <w:t xml:space="preserve">   </w:t>
      </w:r>
      <w:r w:rsidRPr="00FB67C3">
        <w:t xml:space="preserve">Environmental and Social Impact Assessment  </w:t>
      </w:r>
    </w:p>
    <w:p w14:paraId="7B60CBBA" w14:textId="28A289E7" w:rsidR="00FB67C3" w:rsidRPr="00FB67C3" w:rsidRDefault="00FB67C3" w:rsidP="00FB67C3">
      <w:pPr>
        <w:pStyle w:val="CETBodytext"/>
      </w:pPr>
      <w:r w:rsidRPr="00FB67C3">
        <w:t xml:space="preserve">GHG     </w:t>
      </w:r>
      <w:r>
        <w:t xml:space="preserve">  G</w:t>
      </w:r>
      <w:r w:rsidRPr="00FB67C3">
        <w:t xml:space="preserve">reenhouse Gas  </w:t>
      </w:r>
    </w:p>
    <w:p w14:paraId="4B748F90" w14:textId="133F2490" w:rsidR="00FB67C3" w:rsidRPr="00FB67C3" w:rsidRDefault="00FB67C3" w:rsidP="00FB67C3">
      <w:pPr>
        <w:pStyle w:val="CETBodytext"/>
      </w:pPr>
      <w:r w:rsidRPr="00FB67C3">
        <w:t xml:space="preserve">GO      </w:t>
      </w:r>
      <w:r>
        <w:t xml:space="preserve">    </w:t>
      </w:r>
      <w:r w:rsidRPr="00FB67C3">
        <w:t xml:space="preserve">Guarantees of Origin  </w:t>
      </w:r>
    </w:p>
    <w:p w14:paraId="51B45DDB" w14:textId="605A18B8" w:rsidR="00FB67C3" w:rsidRPr="00FB67C3" w:rsidRDefault="00FB67C3" w:rsidP="00FB67C3">
      <w:pPr>
        <w:pStyle w:val="CETBodytext"/>
      </w:pPr>
      <w:r w:rsidRPr="00FB67C3">
        <w:t xml:space="preserve">HVO     </w:t>
      </w:r>
      <w:r>
        <w:t xml:space="preserve">   </w:t>
      </w:r>
      <w:r w:rsidRPr="00FB67C3">
        <w:t xml:space="preserve">Hydrotreated Vegetable Oil  </w:t>
      </w:r>
    </w:p>
    <w:p w14:paraId="0F816C89" w14:textId="053B1097" w:rsidR="00FB67C3" w:rsidRPr="00FB67C3" w:rsidRDefault="00FB67C3" w:rsidP="00FB67C3">
      <w:pPr>
        <w:pStyle w:val="CETBodytext"/>
      </w:pPr>
      <w:r w:rsidRPr="00FB67C3">
        <w:t xml:space="preserve">IBAT    </w:t>
      </w:r>
      <w:r>
        <w:t xml:space="preserve">    </w:t>
      </w:r>
      <w:r w:rsidRPr="00FB67C3">
        <w:t xml:space="preserve">Integrated Biodiversity Assessment Tool  </w:t>
      </w:r>
    </w:p>
    <w:p w14:paraId="732D6C4E" w14:textId="54284B01" w:rsidR="00FB67C3" w:rsidRPr="00FB67C3" w:rsidRDefault="00FB67C3" w:rsidP="00FB67C3">
      <w:pPr>
        <w:pStyle w:val="CETBodytext"/>
      </w:pPr>
      <w:r w:rsidRPr="00FB67C3">
        <w:t xml:space="preserve">IEA     </w:t>
      </w:r>
      <w:r>
        <w:t xml:space="preserve">     </w:t>
      </w:r>
      <w:r w:rsidRPr="00FB67C3">
        <w:t xml:space="preserve">International Energy Agency  </w:t>
      </w:r>
    </w:p>
    <w:p w14:paraId="30A0D071" w14:textId="6090C138" w:rsidR="00FB67C3" w:rsidRPr="00FB67C3" w:rsidRDefault="00FB67C3" w:rsidP="00FB67C3">
      <w:pPr>
        <w:pStyle w:val="CETBodytext"/>
      </w:pPr>
      <w:r w:rsidRPr="00FB67C3">
        <w:t xml:space="preserve">I-RECs  </w:t>
      </w:r>
      <w:r>
        <w:t xml:space="preserve">  </w:t>
      </w:r>
      <w:r w:rsidRPr="00FB67C3">
        <w:t xml:space="preserve">International Renewable Energy Certificates  </w:t>
      </w:r>
    </w:p>
    <w:p w14:paraId="24694C4E" w14:textId="707200AC" w:rsidR="00FB67C3" w:rsidRPr="00FB67C3" w:rsidRDefault="00FB67C3" w:rsidP="00FB67C3">
      <w:pPr>
        <w:pStyle w:val="CETBodytext"/>
        <w:rPr>
          <w:lang w:val="it-IT"/>
        </w:rPr>
      </w:pPr>
      <w:r w:rsidRPr="00FB67C3">
        <w:rPr>
          <w:lang w:val="it-IT"/>
        </w:rPr>
        <w:t xml:space="preserve">KPI     </w:t>
      </w:r>
      <w:r>
        <w:rPr>
          <w:lang w:val="it-IT"/>
        </w:rPr>
        <w:t xml:space="preserve">     </w:t>
      </w:r>
      <w:r w:rsidRPr="00FB67C3">
        <w:rPr>
          <w:lang w:val="it-IT"/>
        </w:rPr>
        <w:t xml:space="preserve">Key Performance </w:t>
      </w:r>
      <w:proofErr w:type="spellStart"/>
      <w:r w:rsidRPr="00FB67C3">
        <w:rPr>
          <w:lang w:val="it-IT"/>
        </w:rPr>
        <w:t>Indicators</w:t>
      </w:r>
      <w:proofErr w:type="spellEnd"/>
    </w:p>
    <w:p w14:paraId="476B2F2E" w14:textId="77777777" w:rsidR="00600535" w:rsidRDefault="00600535" w:rsidP="00600535">
      <w:pPr>
        <w:pStyle w:val="CETHeading1"/>
        <w:rPr>
          <w:lang w:val="en-GB"/>
        </w:rPr>
      </w:pPr>
      <w:r w:rsidRPr="00B57B36">
        <w:rPr>
          <w:lang w:val="en-GB"/>
        </w:rPr>
        <w:t>Introduction</w:t>
      </w:r>
    </w:p>
    <w:p w14:paraId="7657C810" w14:textId="77777777" w:rsidR="00ED5B53" w:rsidRDefault="00ED5B53" w:rsidP="00ED5B53">
      <w:pPr>
        <w:pStyle w:val="CETBodytext"/>
        <w:rPr>
          <w:lang w:val="en-GB"/>
        </w:rPr>
      </w:pPr>
      <w:r w:rsidRPr="00ED5B53">
        <w:rPr>
          <w:lang w:val="en-GB"/>
        </w:rPr>
        <w:t>Environmental risk assessment in industrial projects requires a structured and replicable methodology to ensure consistent evaluation across diverse geographical contexts and project types. This paper presents Saipem’s standardized approach applied during the bid approval stage, integrating project-specific data with internationally recognized environmental databases (Aqueduct, IBAT, Environmental Performance Index) to provide objective, quantitative, and comparable risk assessments.</w:t>
      </w:r>
    </w:p>
    <w:p w14:paraId="71CF2E6F" w14:textId="7BE29BD0" w:rsidR="38CB5850" w:rsidRDefault="38CB5850" w:rsidP="38CB5850">
      <w:pPr>
        <w:pStyle w:val="CETBodytext"/>
      </w:pPr>
      <w:r>
        <w:t>Saipem’s approach to environmental risk management is further strengthened by its certified Environmental Management System (EMS), developed in alignment with international standards such as ISO 14001:2015 [1]. This framework ensures that risk assessment is rigorous, systematic, and oriented toward continuous improvement. Since 2024, this methodology has been applied to over 50 global projects, covering a broad spectrum of sectors from onshore to offshore EPCI projects, demonstrating its versatility and robustness throughout the bidding phase. This systematic evaluation acts as a bridge between commercial strategy and field operations, as the risk profiles generated can directly inform the subsequent development of Environmental Management Plans (EMP) for the projects. This ensures that mitigation commitments are transferred into the project execution stage.</w:t>
      </w:r>
    </w:p>
    <w:p w14:paraId="3EAD098B" w14:textId="46E4FFD5" w:rsidR="00F86A45" w:rsidRPr="00ED5B53" w:rsidRDefault="00F86A45" w:rsidP="00ED5B53">
      <w:pPr>
        <w:pStyle w:val="CETBodytext"/>
        <w:rPr>
          <w:lang w:val="en-GB"/>
        </w:rPr>
      </w:pPr>
      <w:r w:rsidRPr="00D04E2A">
        <w:rPr>
          <w:lang w:val="en-GB"/>
        </w:rPr>
        <w:t>By elevating environmental risk to the strategic level, Saipem ensures long-term business resilience and operational excellence. This paper demonstrates how a structured, data-driven assessment during the tender phase provides a comprehensive overview of corporate risk exposure, facilitating more precise management, and the development of efficient mitigation measures.</w:t>
      </w:r>
    </w:p>
    <w:p w14:paraId="486F6CF5" w14:textId="20A31642" w:rsidR="00E86B95" w:rsidRPr="00E86B95" w:rsidRDefault="00ED5B53" w:rsidP="00ED5B53">
      <w:pPr>
        <w:pStyle w:val="CETBodytext"/>
        <w:rPr>
          <w:lang w:val="en-GB"/>
        </w:rPr>
      </w:pPr>
      <w:r w:rsidRPr="00ED5B53">
        <w:rPr>
          <w:lang w:val="en-GB"/>
        </w:rPr>
        <w:t>The methodology addresses challenges of data variability and incompleteness at the preliminary stage, balancing flexibility with standardization. It enables early identification of environmental risks and supports the development of mitigation measures and Environmental Management Plans (EMP), directly linking assessment outputs to operational planning.</w:t>
      </w:r>
    </w:p>
    <w:p w14:paraId="165A702D" w14:textId="49A6059F" w:rsidR="00E86B95" w:rsidRPr="00AC7D27" w:rsidRDefault="00E86B95" w:rsidP="001F26E7">
      <w:pPr>
        <w:pStyle w:val="CETHeading1"/>
        <w:spacing w:after="0"/>
        <w:rPr>
          <w:lang w:val="en-GB"/>
        </w:rPr>
      </w:pPr>
      <w:r w:rsidRPr="00AC7D27">
        <w:rPr>
          <w:lang w:val="en-GB"/>
        </w:rPr>
        <w:t>Methodology</w:t>
      </w:r>
    </w:p>
    <w:p w14:paraId="474679E7" w14:textId="0D2E5CDF" w:rsidR="002615F0" w:rsidRDefault="002615F0" w:rsidP="002615F0">
      <w:pPr>
        <w:pStyle w:val="CETBodytext"/>
      </w:pPr>
      <w:r>
        <w:t xml:space="preserve">The methodology provides a standardized framework for assessing environmental risks relevant to a project. Each risk is evaluated using a three-level classification (low, medium, high) based on predefined criteria combining project-specific data and external datasets. Residual risk is calculated by applying </w:t>
      </w:r>
      <w:r w:rsidR="00B76491">
        <w:t xml:space="preserve">standard </w:t>
      </w:r>
      <w:r>
        <w:t>mitigation measures and comparing inherent risk against planned interventions.</w:t>
      </w:r>
    </w:p>
    <w:p w14:paraId="66DCC1C0" w14:textId="77777777" w:rsidR="00BF1623" w:rsidRDefault="00204E9D" w:rsidP="00BF1623">
      <w:pPr>
        <w:pStyle w:val="CETCaption"/>
        <w:spacing w:before="0" w:after="0"/>
        <w:jc w:val="left"/>
        <w:rPr>
          <w:lang w:val="en-US"/>
        </w:rPr>
      </w:pPr>
      <w:r w:rsidRPr="00204E9D">
        <w:rPr>
          <w:noProof/>
          <w:lang w:val="it-IT"/>
        </w:rPr>
        <w:drawing>
          <wp:inline distT="0" distB="0" distL="0" distR="0" wp14:anchorId="53AC05F5" wp14:editId="1688804A">
            <wp:extent cx="4752000" cy="1063300"/>
            <wp:effectExtent l="0" t="0" r="0" b="3810"/>
            <wp:docPr id="174880484" name="Immagine 2" descr="Immagine che contiene testo, Carattere,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0484" name="Immagine 2" descr="Immagine che contiene testo, Carattere, schermata&#10;&#10;Il contenuto generato dall'IA potrebbe non essere corretto."/>
                    <pic:cNvPicPr>
                      <a:picLocks noChangeAspect="1" noChangeArrowheads="1"/>
                    </pic:cNvPicPr>
                  </pic:nvPicPr>
                  <pic:blipFill rotWithShape="1">
                    <a:blip r:embed="rId13">
                      <a:extLst>
                        <a:ext uri="{28A0092B-C50C-407E-A947-70E740481C1C}">
                          <a14:useLocalDpi xmlns:a14="http://schemas.microsoft.com/office/drawing/2010/main" val="0"/>
                        </a:ext>
                      </a:extLst>
                    </a:blip>
                    <a:srcRect r="6112"/>
                    <a:stretch>
                      <a:fillRect/>
                    </a:stretch>
                  </pic:blipFill>
                  <pic:spPr bwMode="auto">
                    <a:xfrm>
                      <a:off x="0" y="0"/>
                      <a:ext cx="4752000" cy="1063300"/>
                    </a:xfrm>
                    <a:prstGeom prst="rect">
                      <a:avLst/>
                    </a:prstGeom>
                    <a:noFill/>
                    <a:ln>
                      <a:noFill/>
                    </a:ln>
                    <a:extLst>
                      <a:ext uri="{53640926-AAD7-44D8-BBD7-CCE9431645EC}">
                        <a14:shadowObscured xmlns:a14="http://schemas.microsoft.com/office/drawing/2010/main"/>
                      </a:ext>
                    </a:extLst>
                  </pic:spPr>
                </pic:pic>
              </a:graphicData>
            </a:graphic>
          </wp:inline>
        </w:drawing>
      </w:r>
    </w:p>
    <w:p w14:paraId="65497E0D" w14:textId="476ACA39" w:rsidR="00486AB9" w:rsidRPr="00BF1623" w:rsidRDefault="00486AB9" w:rsidP="00BF1623">
      <w:pPr>
        <w:pStyle w:val="CETCaption"/>
        <w:spacing w:before="0" w:after="0"/>
        <w:jc w:val="left"/>
        <w:rPr>
          <w:lang w:val="en-US"/>
        </w:rPr>
      </w:pPr>
      <w:r w:rsidRPr="00BD077D">
        <w:rPr>
          <w:rStyle w:val="CETCaptionCarattere"/>
          <w:i/>
        </w:rPr>
        <w:t xml:space="preserve">Figure 1: </w:t>
      </w:r>
      <w:r w:rsidR="001A4DA9" w:rsidRPr="001A4DA9">
        <w:rPr>
          <w:rStyle w:val="CETCaptionCarattere"/>
          <w:i/>
        </w:rPr>
        <w:t>Environmental Risk Assessment approach</w:t>
      </w:r>
    </w:p>
    <w:p w14:paraId="09D6FE9B" w14:textId="6B3A9ED8" w:rsidR="38CB5850" w:rsidRDefault="38CB5850" w:rsidP="38CB5850">
      <w:pPr>
        <w:pStyle w:val="CETBodytext"/>
      </w:pPr>
      <w:r>
        <w:t>For projects outside the environmental reporting scope, the environmental risks are assigned “Not Applicable” (N/A), but the assessment is still performed to maintain traceability and ensure alignment with potential regulatory updates (e.g., CSRD). This approach ensures quantitative comparability across projects and sectors, supporting early identification of critical environmental aspects and guiding mitigation planning. The model categorizes environmental risks into four key environmental aspects: GHG emissions, water withdrawal, biodiversity conservation, and waste management.</w:t>
      </w:r>
    </w:p>
    <w:p w14:paraId="0520C8F4" w14:textId="2050A9E8" w:rsidR="002615F0" w:rsidRPr="00CA34E1" w:rsidRDefault="002615F0" w:rsidP="002615F0">
      <w:pPr>
        <w:pStyle w:val="CETBodytext"/>
      </w:pPr>
    </w:p>
    <w:p w14:paraId="465A3CB1" w14:textId="050158EA" w:rsidR="00173944" w:rsidRDefault="00173944" w:rsidP="00BF1623">
      <w:pPr>
        <w:pStyle w:val="CETheadingx"/>
      </w:pPr>
      <w:r w:rsidRPr="00173944">
        <w:t>Inherent risk evaluation</w:t>
      </w:r>
    </w:p>
    <w:p w14:paraId="602AC431" w14:textId="21EEC547" w:rsidR="001E126A" w:rsidRPr="00604906" w:rsidRDefault="00A618BD" w:rsidP="00173944">
      <w:pPr>
        <w:pStyle w:val="CETBodytext"/>
        <w:rPr>
          <w:rFonts w:cs="Arial"/>
          <w:b/>
          <w:bCs/>
          <w:szCs w:val="18"/>
        </w:rPr>
      </w:pPr>
      <w:r>
        <w:rPr>
          <w:rFonts w:cs="Arial"/>
          <w:b/>
          <w:bCs/>
          <w:szCs w:val="18"/>
        </w:rPr>
        <w:t>3</w:t>
      </w:r>
      <w:r w:rsidR="003D26EB">
        <w:rPr>
          <w:rFonts w:cs="Arial"/>
          <w:b/>
          <w:bCs/>
          <w:szCs w:val="18"/>
        </w:rPr>
        <w:t xml:space="preserve">.1.1 </w:t>
      </w:r>
      <w:r w:rsidR="00604906" w:rsidRPr="00604906">
        <w:rPr>
          <w:rFonts w:cs="Arial"/>
          <w:b/>
          <w:bCs/>
          <w:szCs w:val="18"/>
        </w:rPr>
        <w:t xml:space="preserve">GHG </w:t>
      </w:r>
      <w:r w:rsidR="00604906">
        <w:rPr>
          <w:rFonts w:cs="Arial"/>
          <w:b/>
          <w:bCs/>
          <w:szCs w:val="18"/>
        </w:rPr>
        <w:t xml:space="preserve">Emissions </w:t>
      </w:r>
      <w:r w:rsidR="00604906" w:rsidRPr="00604906">
        <w:rPr>
          <w:rFonts w:cs="Arial"/>
          <w:b/>
          <w:bCs/>
          <w:szCs w:val="18"/>
        </w:rPr>
        <w:t xml:space="preserve">Risk </w:t>
      </w:r>
    </w:p>
    <w:p w14:paraId="5E91F7A8" w14:textId="1F28D467" w:rsidR="00873F06" w:rsidRPr="000F1DF5" w:rsidRDefault="00873F06" w:rsidP="00873F06">
      <w:pPr>
        <w:pStyle w:val="CETBodytext"/>
        <w:rPr>
          <w:rFonts w:cs="Arial"/>
          <w:szCs w:val="18"/>
          <w:lang w:val="en-GB"/>
        </w:rPr>
      </w:pPr>
      <w:r w:rsidRPr="000F1DF5">
        <w:rPr>
          <w:rFonts w:cs="Arial"/>
          <w:szCs w:val="18"/>
          <w:lang w:val="en-GB"/>
        </w:rPr>
        <w:tab/>
        <w:t>GHG Emissions Risk refers to the direct</w:t>
      </w:r>
      <w:r w:rsidR="00601ABF">
        <w:rPr>
          <w:rFonts w:cs="Arial"/>
          <w:szCs w:val="18"/>
          <w:lang w:val="en-GB"/>
        </w:rPr>
        <w:t xml:space="preserve"> (Scope 1)</w:t>
      </w:r>
      <w:r w:rsidRPr="000F1DF5">
        <w:rPr>
          <w:rFonts w:cs="Arial"/>
          <w:szCs w:val="18"/>
          <w:lang w:val="en-GB"/>
        </w:rPr>
        <w:t xml:space="preserve"> </w:t>
      </w:r>
      <w:r w:rsidR="00601ABF">
        <w:rPr>
          <w:rFonts w:cs="Arial"/>
          <w:szCs w:val="18"/>
          <w:lang w:val="en-GB"/>
        </w:rPr>
        <w:t xml:space="preserve">and indirect (Scope 2) </w:t>
      </w:r>
      <w:r w:rsidRPr="000F1DF5">
        <w:rPr>
          <w:rFonts w:cs="Arial"/>
          <w:szCs w:val="18"/>
          <w:lang w:val="en-GB"/>
        </w:rPr>
        <w:t>greenhouse gas (GHG) emissions generated by project activities, which vary depending on the specific business type and operational scope. To ensure a structured and comparable assessment across different projects, annual GHG emissions are estimated as:</w:t>
      </w:r>
    </w:p>
    <w:p w14:paraId="7B6B1116" w14:textId="77777777" w:rsidR="008866B8" w:rsidRDefault="008866B8" w:rsidP="00873F06">
      <w:pPr>
        <w:pStyle w:val="CETBodytext"/>
        <w:rPr>
          <w:rFonts w:cs="Arial"/>
          <w:szCs w:val="18"/>
          <w:lang w:val="en-GB"/>
        </w:rPr>
      </w:pPr>
    </w:p>
    <w:tbl>
      <w:tblPr>
        <w:tblW w:w="5000" w:type="pct"/>
        <w:tblLook w:val="04A0" w:firstRow="1" w:lastRow="0" w:firstColumn="1" w:lastColumn="0" w:noHBand="0" w:noVBand="1"/>
      </w:tblPr>
      <w:tblGrid>
        <w:gridCol w:w="7983"/>
        <w:gridCol w:w="804"/>
      </w:tblGrid>
      <w:tr w:rsidR="00C2435C" w:rsidRPr="00B57B36" w14:paraId="579B2BE3" w14:textId="77777777">
        <w:tc>
          <w:tcPr>
            <w:tcW w:w="8188" w:type="dxa"/>
            <w:vAlign w:val="center"/>
          </w:tcPr>
          <w:p w14:paraId="2445AED4" w14:textId="75B88A7E" w:rsidR="00C2435C" w:rsidRPr="00B57B36" w:rsidRDefault="00C2435C" w:rsidP="00C2435C">
            <w:pPr>
              <w:pStyle w:val="Maintext"/>
              <w:spacing w:after="0"/>
              <w:jc w:val="center"/>
            </w:pPr>
            <m:oMathPara>
              <m:oMath>
                <m:r>
                  <w:rPr>
                    <w:rFonts w:ascii="Cambria Math" w:hAnsi="Cambria Math" w:cs="Arial"/>
                    <w:sz w:val="18"/>
                    <w:szCs w:val="18"/>
                  </w:rPr>
                  <m:t>GH</m:t>
                </m:r>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estimation</m:t>
                    </m:r>
                  </m:sub>
                </m:sSub>
                <m:r>
                  <w:rPr>
                    <w:rFonts w:ascii="Cambria Math" w:hAnsi="Cambria Math" w:cs="Arial"/>
                    <w:sz w:val="18"/>
                    <w:szCs w:val="18"/>
                  </w:rPr>
                  <m:t xml:space="preserve">= </m:t>
                </m:r>
                <m:f>
                  <m:fPr>
                    <m:ctrlPr>
                      <w:rPr>
                        <w:rFonts w:ascii="Cambria Math" w:hAnsi="Cambria Math" w:cs="Arial"/>
                        <w:i/>
                        <w:sz w:val="18"/>
                        <w:szCs w:val="18"/>
                      </w:rPr>
                    </m:ctrlPr>
                  </m:fPr>
                  <m:num>
                    <m:r>
                      <w:rPr>
                        <w:rFonts w:ascii="Cambria Math" w:hAnsi="Cambria Math" w:cs="Arial"/>
                        <w:sz w:val="18"/>
                        <w:szCs w:val="18"/>
                      </w:rPr>
                      <m:t>KP</m:t>
                    </m:r>
                    <m:sSub>
                      <m:sSubPr>
                        <m:ctrlPr>
                          <w:rPr>
                            <w:rFonts w:ascii="Cambria Math" w:hAnsi="Cambria Math" w:cs="Arial"/>
                            <w:i/>
                            <w:sz w:val="18"/>
                            <w:szCs w:val="18"/>
                          </w:rPr>
                        </m:ctrlPr>
                      </m:sSubPr>
                      <m:e>
                        <m:r>
                          <w:rPr>
                            <w:rFonts w:ascii="Cambria Math" w:hAnsi="Cambria Math" w:cs="Arial"/>
                            <w:sz w:val="18"/>
                            <w:szCs w:val="18"/>
                          </w:rPr>
                          <m:t>I</m:t>
                        </m:r>
                      </m:e>
                      <m:sub>
                        <m:r>
                          <w:rPr>
                            <w:rFonts w:ascii="Cambria Math" w:hAnsi="Cambria Math" w:cs="Arial"/>
                            <w:sz w:val="18"/>
                            <w:szCs w:val="18"/>
                          </w:rPr>
                          <m:t>BL</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F</m:t>
                        </m:r>
                      </m:sub>
                    </m:sSub>
                  </m:num>
                  <m:den>
                    <m:sSub>
                      <m:sSubPr>
                        <m:ctrlPr>
                          <w:rPr>
                            <w:rFonts w:ascii="Cambria Math" w:hAnsi="Cambria Math" w:cs="Arial"/>
                            <w:i/>
                            <w:sz w:val="18"/>
                            <w:szCs w:val="18"/>
                          </w:rPr>
                        </m:ctrlPr>
                      </m:sSubPr>
                      <m:e>
                        <m:r>
                          <w:rPr>
                            <w:rFonts w:ascii="Cambria Math" w:hAnsi="Cambria Math" w:cs="Arial"/>
                            <w:sz w:val="18"/>
                            <w:szCs w:val="18"/>
                          </w:rPr>
                          <m:t>V</m:t>
                        </m:r>
                      </m:e>
                      <m:sub>
                        <m:r>
                          <w:rPr>
                            <w:rFonts w:ascii="Cambria Math" w:hAnsi="Cambria Math" w:cs="Arial"/>
                            <w:sz w:val="18"/>
                            <w:szCs w:val="18"/>
                          </w:rPr>
                          <m:t>T</m:t>
                        </m:r>
                      </m:sub>
                    </m:sSub>
                  </m:den>
                </m:f>
              </m:oMath>
            </m:oMathPara>
          </w:p>
        </w:tc>
        <w:tc>
          <w:tcPr>
            <w:tcW w:w="815" w:type="dxa"/>
            <w:vAlign w:val="center"/>
          </w:tcPr>
          <w:p w14:paraId="2050D229" w14:textId="77777777" w:rsidR="00C2435C" w:rsidRPr="00B57B36" w:rsidRDefault="00C2435C">
            <w:pPr>
              <w:pStyle w:val="CETEquation"/>
              <w:jc w:val="right"/>
            </w:pPr>
            <w:r w:rsidRPr="00B57B36">
              <w:t>(1)</w:t>
            </w:r>
          </w:p>
        </w:tc>
      </w:tr>
    </w:tbl>
    <w:p w14:paraId="6BC9A34F" w14:textId="557B7A51" w:rsidR="00873F06" w:rsidRPr="000F1DF5" w:rsidRDefault="00873F06" w:rsidP="00873F06">
      <w:pPr>
        <w:pStyle w:val="CETBodytext"/>
        <w:rPr>
          <w:rFonts w:cs="Arial"/>
          <w:szCs w:val="18"/>
          <w:lang w:val="en-GB"/>
        </w:rPr>
      </w:pPr>
      <w:r w:rsidRPr="000F1DF5">
        <w:rPr>
          <w:rFonts w:cs="Arial"/>
          <w:szCs w:val="18"/>
          <w:lang w:val="en-GB"/>
        </w:rPr>
        <w:t>Where:</w:t>
      </w:r>
    </w:p>
    <w:p w14:paraId="6A6DA201" w14:textId="54615C7B" w:rsidR="008866B8" w:rsidRPr="000F1DF5" w:rsidRDefault="00601ABF">
      <w:pPr>
        <w:pStyle w:val="CETBodytext"/>
        <w:numPr>
          <w:ilvl w:val="0"/>
          <w:numId w:val="25"/>
        </w:numPr>
        <w:rPr>
          <w:rFonts w:cs="Arial"/>
          <w:szCs w:val="18"/>
          <w:lang w:val="en-GB"/>
        </w:rPr>
      </w:pPr>
      <m:oMath>
        <m:r>
          <w:rPr>
            <w:rFonts w:ascii="Cambria Math" w:hAnsi="Cambria Math" w:cs="Arial"/>
            <w:szCs w:val="18"/>
          </w:rPr>
          <m:t>KP</m:t>
        </m:r>
        <m:sSub>
          <m:sSubPr>
            <m:ctrlPr>
              <w:rPr>
                <w:rFonts w:ascii="Cambria Math" w:hAnsi="Cambria Math" w:cs="Arial"/>
                <w:i/>
                <w:szCs w:val="18"/>
              </w:rPr>
            </m:ctrlPr>
          </m:sSubPr>
          <m:e>
            <m:r>
              <w:rPr>
                <w:rFonts w:ascii="Cambria Math" w:hAnsi="Cambria Math" w:cs="Arial"/>
                <w:szCs w:val="18"/>
              </w:rPr>
              <m:t>I</m:t>
            </m:r>
          </m:e>
          <m:sub>
            <m:r>
              <w:rPr>
                <w:rFonts w:ascii="Cambria Math" w:hAnsi="Cambria Math" w:cs="Arial"/>
                <w:szCs w:val="18"/>
              </w:rPr>
              <m:t>BL</m:t>
            </m:r>
          </m:sub>
        </m:sSub>
      </m:oMath>
      <w:r w:rsidR="00873F06" w:rsidRPr="000F1DF5">
        <w:rPr>
          <w:rFonts w:cs="Arial"/>
          <w:szCs w:val="18"/>
          <w:lang w:val="en-GB"/>
        </w:rPr>
        <w:t xml:space="preserve"> is the baseline emission intensity factor, calibrated for the specific business type, periodically updated using historical data from the last three years and, where applicable, predictive models. </w:t>
      </w:r>
    </w:p>
    <w:p w14:paraId="51B5B55A" w14:textId="0139AD39" w:rsidR="008866B8" w:rsidRPr="000F1DF5" w:rsidRDefault="00873F06">
      <w:pPr>
        <w:pStyle w:val="CETBodytext"/>
        <w:numPr>
          <w:ilvl w:val="0"/>
          <w:numId w:val="25"/>
        </w:numPr>
        <w:rPr>
          <w:rFonts w:cs="Arial"/>
          <w:szCs w:val="18"/>
          <w:lang w:val="en-GB"/>
        </w:rPr>
      </w:pPr>
      <w:r w:rsidRPr="000F1DF5">
        <w:rPr>
          <w:rFonts w:cs="Arial"/>
          <w:szCs w:val="18"/>
          <w:lang w:val="en-GB"/>
        </w:rPr>
        <w:tab/>
      </w:r>
      <m:oMath>
        <m:sSub>
          <m:sSubPr>
            <m:ctrlPr>
              <w:rPr>
                <w:rFonts w:ascii="Cambria Math" w:hAnsi="Cambria Math" w:cs="Arial"/>
                <w:i/>
                <w:szCs w:val="18"/>
              </w:rPr>
            </m:ctrlPr>
          </m:sSubPr>
          <m:e>
            <m:r>
              <w:rPr>
                <w:rFonts w:ascii="Cambria Math" w:hAnsi="Cambria Math" w:cs="Arial"/>
                <w:szCs w:val="18"/>
              </w:rPr>
              <m:t>V</m:t>
            </m:r>
          </m:e>
          <m:sub>
            <m:r>
              <w:rPr>
                <w:rFonts w:ascii="Cambria Math" w:hAnsi="Cambria Math" w:cs="Arial"/>
                <w:szCs w:val="18"/>
              </w:rPr>
              <m:t>F</m:t>
            </m:r>
          </m:sub>
        </m:sSub>
      </m:oMath>
      <w:r w:rsidRPr="000F1DF5">
        <w:rPr>
          <w:rFonts w:cs="Arial"/>
          <w:szCs w:val="18"/>
          <w:lang w:val="en-GB"/>
        </w:rPr>
        <w:t xml:space="preserve"> is a project financial variable (e.g., total project revenue, investment value, or operational expenditure, etc).</w:t>
      </w:r>
    </w:p>
    <w:p w14:paraId="396EAA27" w14:textId="3769D517" w:rsidR="008866B8" w:rsidRPr="000F1DF5" w:rsidRDefault="00873F06" w:rsidP="008866B8">
      <w:pPr>
        <w:pStyle w:val="CETBodytext"/>
        <w:numPr>
          <w:ilvl w:val="0"/>
          <w:numId w:val="25"/>
        </w:numPr>
        <w:rPr>
          <w:rFonts w:cs="Arial"/>
          <w:szCs w:val="18"/>
          <w:lang w:val="en-GB"/>
        </w:rPr>
      </w:pPr>
      <w:r w:rsidRPr="000F1DF5">
        <w:rPr>
          <w:rFonts w:cs="Arial"/>
          <w:szCs w:val="18"/>
          <w:lang w:val="en-GB"/>
        </w:rPr>
        <w:tab/>
      </w:r>
      <m:oMath>
        <m:sSub>
          <m:sSubPr>
            <m:ctrlPr>
              <w:rPr>
                <w:rFonts w:ascii="Cambria Math" w:hAnsi="Cambria Math" w:cs="Arial"/>
                <w:i/>
                <w:szCs w:val="18"/>
              </w:rPr>
            </m:ctrlPr>
          </m:sSubPr>
          <m:e>
            <m:r>
              <w:rPr>
                <w:rFonts w:ascii="Cambria Math" w:hAnsi="Cambria Math" w:cs="Arial"/>
                <w:szCs w:val="18"/>
              </w:rPr>
              <m:t>V</m:t>
            </m:r>
          </m:e>
          <m:sub>
            <m:r>
              <w:rPr>
                <w:rFonts w:ascii="Cambria Math" w:hAnsi="Cambria Math" w:cs="Arial"/>
                <w:szCs w:val="18"/>
              </w:rPr>
              <m:t>T</m:t>
            </m:r>
          </m:sub>
        </m:sSub>
      </m:oMath>
      <w:r w:rsidRPr="38CB5850">
        <w:rPr>
          <w:rFonts w:cs="Arial"/>
          <w:lang w:val="en-GB"/>
        </w:rPr>
        <w:t xml:space="preserve"> is a project temporal variable (e.g., project duration in years or estimated operational lifespan, etc).</w:t>
      </w:r>
    </w:p>
    <w:p w14:paraId="74728B74" w14:textId="06A14D11" w:rsidR="38CB5850" w:rsidRDefault="38CB5850" w:rsidP="38CB5850">
      <w:pPr>
        <w:pStyle w:val="CETBodytext"/>
      </w:pPr>
      <w:r>
        <w:t>The risk is assessed by comparing estimated annual emissions against reference thresholds, set according to company scale, industry benchmarks, environmental sustainability objectives, and ESG targets.</w:t>
      </w:r>
    </w:p>
    <w:p w14:paraId="1DEC1AF1" w14:textId="77777777" w:rsidR="00B81329" w:rsidRPr="000F1DF5" w:rsidRDefault="00B81329" w:rsidP="00873F06">
      <w:pPr>
        <w:pStyle w:val="CETBodytext"/>
        <w:rPr>
          <w:rFonts w:cs="Arial"/>
          <w:szCs w:val="18"/>
          <w:lang w:val="en-GB"/>
        </w:rPr>
      </w:pPr>
    </w:p>
    <w:p w14:paraId="62EA39F8" w14:textId="37BFDC5C" w:rsidR="38CB5850" w:rsidRDefault="38CB5850" w:rsidP="38CB5850">
      <w:pPr>
        <w:pStyle w:val="CETBodytext"/>
      </w:pPr>
      <w:r>
        <w:t>Since many companies establish specific Scope 2 reduction targets, a detailed assessment of the GHG Scope 2 risk is essential to ensure that project planning aligns with the corporate decarbonization strategy.</w:t>
      </w:r>
    </w:p>
    <w:p w14:paraId="3C17A6EE" w14:textId="4A0F3C5E" w:rsidR="002146A7" w:rsidRDefault="00C33564" w:rsidP="000F1DF5">
      <w:pPr>
        <w:pStyle w:val="CETBodytext"/>
        <w:rPr>
          <w:rFonts w:cs="Arial"/>
          <w:szCs w:val="18"/>
          <w:lang w:val="en-GB"/>
        </w:rPr>
      </w:pPr>
      <w:r>
        <w:rPr>
          <w:rFonts w:cs="Arial"/>
          <w:szCs w:val="18"/>
          <w:lang w:val="en-GB"/>
        </w:rPr>
        <w:t xml:space="preserve">GHG Emissions </w:t>
      </w:r>
      <w:r w:rsidR="00E24BC2" w:rsidRPr="00E24BC2">
        <w:rPr>
          <w:rFonts w:cs="Arial"/>
          <w:szCs w:val="18"/>
          <w:lang w:val="en-GB"/>
        </w:rPr>
        <w:t>Scope 2</w:t>
      </w:r>
      <w:r w:rsidR="00E24BC2">
        <w:rPr>
          <w:rFonts w:cs="Arial"/>
          <w:szCs w:val="18"/>
          <w:lang w:val="en-GB"/>
        </w:rPr>
        <w:t xml:space="preserve"> Risk is a</w:t>
      </w:r>
      <w:r w:rsidR="00E24BC2" w:rsidRPr="00E24BC2">
        <w:rPr>
          <w:rFonts w:cs="Arial"/>
          <w:szCs w:val="18"/>
          <w:lang w:val="en-GB"/>
        </w:rPr>
        <w:t>ssessed based on electricity consumption and country-specific grid emission factor (EF) from IEA</w:t>
      </w:r>
      <w:r w:rsidR="00657C86">
        <w:rPr>
          <w:rFonts w:cs="Arial"/>
          <w:szCs w:val="18"/>
          <w:lang w:val="en-GB"/>
        </w:rPr>
        <w:t xml:space="preserve"> and </w:t>
      </w:r>
      <w:r w:rsidR="00E24BC2" w:rsidRPr="00E24BC2">
        <w:rPr>
          <w:rFonts w:cs="Arial"/>
          <w:szCs w:val="18"/>
          <w:lang w:val="en-GB"/>
        </w:rPr>
        <w:t>DEFRA databases</w:t>
      </w:r>
      <w:r w:rsidR="00B95926">
        <w:rPr>
          <w:rFonts w:cs="Arial"/>
          <w:szCs w:val="18"/>
          <w:lang w:val="en-GB"/>
        </w:rPr>
        <w:t xml:space="preserve"> [2] [3]</w:t>
      </w:r>
      <w:r w:rsidR="00E24BC2" w:rsidRPr="00E24BC2">
        <w:rPr>
          <w:rFonts w:cs="Arial"/>
          <w:szCs w:val="18"/>
          <w:lang w:val="en-GB"/>
        </w:rPr>
        <w:t>.</w:t>
      </w:r>
    </w:p>
    <w:p w14:paraId="0FFDC29F" w14:textId="2F00A4D1" w:rsidR="00C2435C" w:rsidRPr="006B0FB2" w:rsidRDefault="00C2435C" w:rsidP="009A3200">
      <w:pPr>
        <w:pStyle w:val="CETTabletitle"/>
        <w:rPr>
          <w:rFonts w:cs="Arial"/>
        </w:rPr>
      </w:pPr>
      <w:bookmarkStart w:id="1" w:name="_Hlk221182966"/>
      <w:r w:rsidRPr="006B0FB2">
        <w:rPr>
          <w:rFonts w:cs="Arial"/>
        </w:rPr>
        <w:t xml:space="preserve">Table 1: </w:t>
      </w:r>
      <w:r w:rsidR="003E6AD1" w:rsidRPr="006B0FB2">
        <w:rPr>
          <w:rFonts w:cs="Arial"/>
        </w:rPr>
        <w:t xml:space="preserve">GHG </w:t>
      </w:r>
      <w:r w:rsidR="00C33564">
        <w:rPr>
          <w:rFonts w:cs="Arial"/>
        </w:rPr>
        <w:t xml:space="preserve">Emissions </w:t>
      </w:r>
      <w:r w:rsidR="003E6AD1" w:rsidRPr="006B0FB2">
        <w:rPr>
          <w:rFonts w:cs="Arial"/>
        </w:rPr>
        <w:t xml:space="preserve">Scope 2 Risk </w:t>
      </w:r>
      <w:r w:rsidR="00F2266A" w:rsidRPr="006B0FB2">
        <w:rPr>
          <w:rFonts w:cs="Arial"/>
        </w:rPr>
        <w:t>Classification</w:t>
      </w:r>
    </w:p>
    <w:tbl>
      <w:tblPr>
        <w:tblStyle w:val="TableGrid"/>
        <w:tblW w:w="0" w:type="auto"/>
        <w:tblBorders>
          <w:top w:val="double" w:sz="4" w:space="0" w:color="auto"/>
          <w:left w:val="double" w:sz="4" w:space="0" w:color="auto"/>
          <w:bottom w:val="double" w:sz="4" w:space="0" w:color="auto"/>
          <w:right w:val="double" w:sz="4" w:space="0" w:color="auto"/>
        </w:tblBorders>
        <w:tblLook w:val="06A0" w:firstRow="1" w:lastRow="0" w:firstColumn="1" w:lastColumn="0" w:noHBand="1" w:noVBand="1"/>
      </w:tblPr>
      <w:tblGrid>
        <w:gridCol w:w="3104"/>
        <w:gridCol w:w="2566"/>
        <w:gridCol w:w="2880"/>
      </w:tblGrid>
      <w:tr w:rsidR="38CB5850" w14:paraId="6A6941DB" w14:textId="77777777" w:rsidTr="00D07B53">
        <w:tc>
          <w:tcPr>
            <w:tcW w:w="3104" w:type="dxa"/>
            <w:tcBorders>
              <w:top w:val="single" w:sz="4" w:space="0" w:color="auto"/>
              <w:bottom w:val="single" w:sz="4" w:space="0" w:color="auto"/>
            </w:tcBorders>
          </w:tcPr>
          <w:bookmarkEnd w:id="1"/>
          <w:p w14:paraId="7AF7EE90" w14:textId="01E07D02" w:rsidR="38CB5850" w:rsidRDefault="38CB5850" w:rsidP="38CB5850">
            <w:pPr>
              <w:pStyle w:val="CETBodytext"/>
            </w:pPr>
            <w:r>
              <w:t>GHG Emissions Scope 2 Risk</w:t>
            </w:r>
          </w:p>
        </w:tc>
        <w:tc>
          <w:tcPr>
            <w:tcW w:w="2566" w:type="dxa"/>
            <w:tcBorders>
              <w:top w:val="single" w:sz="4" w:space="0" w:color="auto"/>
              <w:bottom w:val="single" w:sz="4" w:space="0" w:color="auto"/>
            </w:tcBorders>
          </w:tcPr>
          <w:p w14:paraId="103A8DEE" w14:textId="06BD440D" w:rsidR="38CB5850" w:rsidRDefault="38CB5850" w:rsidP="38CB5850">
            <w:pPr>
              <w:pStyle w:val="CETBodytext"/>
            </w:pPr>
            <w:r>
              <w:t>EF [gCO</w:t>
            </w:r>
            <w:r w:rsidRPr="38CB5850">
              <w:rPr>
                <w:rFonts w:ascii="Cambria Math" w:eastAsia="Cambria Math" w:hAnsi="Cambria Math" w:cs="Cambria Math"/>
              </w:rPr>
              <w:t>₂</w:t>
            </w:r>
            <w:r>
              <w:t>/kWh]</w:t>
            </w:r>
          </w:p>
        </w:tc>
        <w:tc>
          <w:tcPr>
            <w:tcW w:w="2880" w:type="dxa"/>
            <w:tcBorders>
              <w:top w:val="single" w:sz="4" w:space="0" w:color="auto"/>
              <w:bottom w:val="single" w:sz="4" w:space="0" w:color="auto"/>
            </w:tcBorders>
          </w:tcPr>
          <w:p w14:paraId="48D63CA3" w14:textId="502C8824" w:rsidR="38CB5850" w:rsidRDefault="38CB5850" w:rsidP="38CB5850">
            <w:pPr>
              <w:pStyle w:val="CETBodytext"/>
            </w:pPr>
            <w:r>
              <w:t>Country energy mix</w:t>
            </w:r>
          </w:p>
        </w:tc>
      </w:tr>
      <w:tr w:rsidR="38CB5850" w14:paraId="33ADD24B" w14:textId="77777777" w:rsidTr="00D07B53">
        <w:tc>
          <w:tcPr>
            <w:tcW w:w="3104" w:type="dxa"/>
            <w:tcBorders>
              <w:top w:val="single" w:sz="4" w:space="0" w:color="auto"/>
            </w:tcBorders>
          </w:tcPr>
          <w:p w14:paraId="0383A908" w14:textId="4B3EC2B0" w:rsidR="38CB5850" w:rsidRDefault="38CB5850" w:rsidP="38CB5850">
            <w:pPr>
              <w:pStyle w:val="CETBodytext"/>
            </w:pPr>
            <w:r>
              <w:t>LOW</w:t>
            </w:r>
          </w:p>
        </w:tc>
        <w:tc>
          <w:tcPr>
            <w:tcW w:w="2566" w:type="dxa"/>
            <w:tcBorders>
              <w:top w:val="single" w:sz="4" w:space="0" w:color="auto"/>
            </w:tcBorders>
          </w:tcPr>
          <w:p w14:paraId="75BF7254" w14:textId="1AD80A20" w:rsidR="38CB5850" w:rsidRDefault="38CB5850" w:rsidP="38CB5850">
            <w:pPr>
              <w:pStyle w:val="CETBodytext"/>
            </w:pPr>
            <w:r>
              <w:t>(0;100]</w:t>
            </w:r>
          </w:p>
        </w:tc>
        <w:tc>
          <w:tcPr>
            <w:tcW w:w="2880" w:type="dxa"/>
            <w:tcBorders>
              <w:top w:val="single" w:sz="4" w:space="0" w:color="auto"/>
            </w:tcBorders>
          </w:tcPr>
          <w:p w14:paraId="239861FF" w14:textId="19DD595E" w:rsidR="38CB5850" w:rsidRDefault="38CB5850" w:rsidP="38CB5850">
            <w:pPr>
              <w:pStyle w:val="CETBodytext"/>
            </w:pPr>
            <w:r>
              <w:t>Mainly low-carbon sources</w:t>
            </w:r>
          </w:p>
        </w:tc>
      </w:tr>
      <w:tr w:rsidR="38CB5850" w14:paraId="46A01FD4" w14:textId="77777777" w:rsidTr="00D07B53">
        <w:tc>
          <w:tcPr>
            <w:tcW w:w="3104" w:type="dxa"/>
          </w:tcPr>
          <w:p w14:paraId="2D75D36A" w14:textId="7761C8C6" w:rsidR="38CB5850" w:rsidRDefault="38CB5850" w:rsidP="38CB5850">
            <w:pPr>
              <w:pStyle w:val="CETBodytext"/>
            </w:pPr>
            <w:r>
              <w:t>MEDIUM</w:t>
            </w:r>
          </w:p>
        </w:tc>
        <w:tc>
          <w:tcPr>
            <w:tcW w:w="2566" w:type="dxa"/>
          </w:tcPr>
          <w:p w14:paraId="753FDC34" w14:textId="6CAC48B3" w:rsidR="38CB5850" w:rsidRDefault="38CB5850" w:rsidP="38CB5850">
            <w:pPr>
              <w:pStyle w:val="CETBodytext"/>
            </w:pPr>
            <w:r>
              <w:t>(100;400]</w:t>
            </w:r>
          </w:p>
        </w:tc>
        <w:tc>
          <w:tcPr>
            <w:tcW w:w="2880" w:type="dxa"/>
          </w:tcPr>
          <w:p w14:paraId="3B679C88" w14:textId="6A855438" w:rsidR="38CB5850" w:rsidRDefault="38CB5850" w:rsidP="38CB5850">
            <w:pPr>
              <w:pStyle w:val="CETBodytext"/>
            </w:pPr>
            <w:r>
              <w:t>Mixed energy mix</w:t>
            </w:r>
          </w:p>
        </w:tc>
      </w:tr>
      <w:tr w:rsidR="38CB5850" w14:paraId="5CA72AD0" w14:textId="77777777" w:rsidTr="00D07B53">
        <w:tc>
          <w:tcPr>
            <w:tcW w:w="3104" w:type="dxa"/>
            <w:tcBorders>
              <w:bottom w:val="single" w:sz="4" w:space="0" w:color="auto"/>
            </w:tcBorders>
          </w:tcPr>
          <w:p w14:paraId="2C837333" w14:textId="6C345055" w:rsidR="38CB5850" w:rsidRDefault="38CB5850" w:rsidP="38CB5850">
            <w:pPr>
              <w:pStyle w:val="CETBodytext"/>
            </w:pPr>
            <w:r>
              <w:t>HIGH</w:t>
            </w:r>
          </w:p>
        </w:tc>
        <w:tc>
          <w:tcPr>
            <w:tcW w:w="2566" w:type="dxa"/>
            <w:tcBorders>
              <w:bottom w:val="single" w:sz="4" w:space="0" w:color="auto"/>
            </w:tcBorders>
          </w:tcPr>
          <w:p w14:paraId="1D115E75" w14:textId="0A86FA2D" w:rsidR="38CB5850" w:rsidRDefault="38CB5850" w:rsidP="38CB5850">
            <w:pPr>
              <w:pStyle w:val="CETBodytext"/>
            </w:pPr>
            <w:r>
              <w:t>&gt;400</w:t>
            </w:r>
          </w:p>
        </w:tc>
        <w:tc>
          <w:tcPr>
            <w:tcW w:w="2880" w:type="dxa"/>
            <w:tcBorders>
              <w:bottom w:val="single" w:sz="4" w:space="0" w:color="auto"/>
            </w:tcBorders>
          </w:tcPr>
          <w:p w14:paraId="61E66A19" w14:textId="46BB66AA" w:rsidR="38CB5850" w:rsidRDefault="38CB5850" w:rsidP="38CB5850">
            <w:pPr>
              <w:pStyle w:val="CETBodytext"/>
            </w:pPr>
            <w:r>
              <w:t>Fossil-fuel dependent</w:t>
            </w:r>
          </w:p>
        </w:tc>
      </w:tr>
    </w:tbl>
    <w:p w14:paraId="52D60333" w14:textId="77777777" w:rsidR="00FB67C3" w:rsidRDefault="00FB67C3" w:rsidP="00BF1623">
      <w:pPr>
        <w:tabs>
          <w:tab w:val="clear" w:pos="7100"/>
        </w:tabs>
        <w:spacing w:line="240" w:lineRule="auto"/>
        <w:jc w:val="left"/>
        <w:rPr>
          <w:rFonts w:cs="Arial"/>
          <w:szCs w:val="18"/>
          <w:lang w:val="it-IT" w:eastAsia="it-IT"/>
        </w:rPr>
      </w:pPr>
    </w:p>
    <w:p w14:paraId="0510BAD3" w14:textId="72200E6B" w:rsidR="00BF1623" w:rsidRDefault="00DB7B53" w:rsidP="00BF1623">
      <w:pPr>
        <w:tabs>
          <w:tab w:val="clear" w:pos="7100"/>
        </w:tabs>
        <w:spacing w:line="240" w:lineRule="auto"/>
        <w:jc w:val="left"/>
        <w:rPr>
          <w:rStyle w:val="CETCaptionCarattere"/>
          <w:rFonts w:cs="Arial"/>
          <w:szCs w:val="18"/>
          <w:lang w:val="en-US"/>
        </w:rPr>
      </w:pPr>
      <w:r w:rsidRPr="000F1DF5">
        <w:rPr>
          <w:rFonts w:cs="Arial"/>
          <w:noProof/>
          <w:szCs w:val="18"/>
          <w:lang w:val="it-IT" w:eastAsia="it-IT"/>
        </w:rPr>
        <w:drawing>
          <wp:inline distT="0" distB="0" distL="0" distR="0" wp14:anchorId="0C85ED78" wp14:editId="52EDC46C">
            <wp:extent cx="2266950" cy="1529622"/>
            <wp:effectExtent l="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0404" cy="1531953"/>
                    </a:xfrm>
                    <a:prstGeom prst="rect">
                      <a:avLst/>
                    </a:prstGeom>
                    <a:noFill/>
                    <a:ln>
                      <a:noFill/>
                    </a:ln>
                  </pic:spPr>
                </pic:pic>
              </a:graphicData>
            </a:graphic>
          </wp:inline>
        </w:drawing>
      </w:r>
      <w:r w:rsidR="00E96825" w:rsidRPr="00A618BD">
        <w:rPr>
          <w:rFonts w:cs="Arial"/>
          <w:szCs w:val="18"/>
          <w:lang w:val="en-US" w:eastAsia="it-IT"/>
        </w:rPr>
        <w:t xml:space="preserve">  </w:t>
      </w:r>
      <w:r w:rsidR="00DB2E30" w:rsidRPr="000F1DF5">
        <w:rPr>
          <w:rFonts w:cs="Arial"/>
          <w:noProof/>
          <w:szCs w:val="18"/>
          <w:lang w:val="it-IT" w:eastAsia="it-IT"/>
        </w:rPr>
        <w:drawing>
          <wp:inline distT="0" distB="0" distL="0" distR="0" wp14:anchorId="2A29FAC7" wp14:editId="4FA46E15">
            <wp:extent cx="3010381" cy="1759260"/>
            <wp:effectExtent l="0" t="0" r="0" b="0"/>
            <wp:docPr id="743779180" name="Immagine 74377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79180" name="Immagine 7437791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8396" cy="1763944"/>
                    </a:xfrm>
                    <a:prstGeom prst="rect">
                      <a:avLst/>
                    </a:prstGeom>
                    <a:noFill/>
                    <a:ln>
                      <a:noFill/>
                    </a:ln>
                  </pic:spPr>
                </pic:pic>
              </a:graphicData>
            </a:graphic>
          </wp:inline>
        </w:drawing>
      </w:r>
      <w:r w:rsidR="00067CB5" w:rsidRPr="00067CB5">
        <w:rPr>
          <w:rStyle w:val="CETCaptionCarattere"/>
          <w:rFonts w:cs="Arial"/>
          <w:szCs w:val="18"/>
          <w:lang w:val="en-US"/>
        </w:rPr>
        <w:t>Figure 2. Greenhouse gas (GHG) emissions risk assessment.</w:t>
      </w:r>
    </w:p>
    <w:p w14:paraId="35EB78F5" w14:textId="4A74FCBD" w:rsidR="00067CB5" w:rsidRPr="00BF1623" w:rsidRDefault="00067CB5" w:rsidP="00BF1623">
      <w:pPr>
        <w:tabs>
          <w:tab w:val="clear" w:pos="7100"/>
        </w:tabs>
        <w:spacing w:line="240" w:lineRule="auto"/>
        <w:jc w:val="left"/>
        <w:rPr>
          <w:rStyle w:val="CETCaptionCarattere"/>
          <w:rFonts w:cs="Arial"/>
          <w:i w:val="0"/>
          <w:szCs w:val="18"/>
          <w:lang w:val="en-US" w:eastAsia="it-IT"/>
        </w:rPr>
      </w:pPr>
      <w:r w:rsidRPr="00067CB5">
        <w:rPr>
          <w:rStyle w:val="CETCaptionCarattere"/>
          <w:rFonts w:cs="Arial"/>
          <w:szCs w:val="18"/>
          <w:lang w:val="en-US"/>
        </w:rPr>
        <w:t xml:space="preserve">(a) Scope 2 GHG emission risk </w:t>
      </w:r>
      <w:proofErr w:type="gramStart"/>
      <w:r w:rsidRPr="00067CB5">
        <w:rPr>
          <w:rStyle w:val="CETCaptionCarattere"/>
          <w:rFonts w:cs="Arial"/>
          <w:szCs w:val="18"/>
          <w:lang w:val="en-US"/>
        </w:rPr>
        <w:t>map;</w:t>
      </w:r>
      <w:proofErr w:type="gramEnd"/>
    </w:p>
    <w:p w14:paraId="5E824C0C" w14:textId="77777777" w:rsidR="00067CB5" w:rsidRDefault="00067CB5" w:rsidP="00BF1623">
      <w:pPr>
        <w:pStyle w:val="CETBodytext"/>
        <w:rPr>
          <w:rStyle w:val="CETCaptionCarattere"/>
          <w:rFonts w:cs="Arial"/>
          <w:szCs w:val="18"/>
          <w:lang w:val="en-US"/>
        </w:rPr>
      </w:pPr>
      <w:r w:rsidRPr="00067CB5">
        <w:rPr>
          <w:rStyle w:val="CETCaptionCarattere"/>
          <w:rFonts w:cs="Arial"/>
          <w:szCs w:val="18"/>
          <w:lang w:val="en-US"/>
        </w:rPr>
        <w:t>(b) Project GHG (Scope 1 and 2) risk assessment flowchart.</w:t>
      </w:r>
    </w:p>
    <w:p w14:paraId="369F8E43" w14:textId="77777777" w:rsidR="00067CB5" w:rsidRDefault="00067CB5" w:rsidP="00067CB5">
      <w:pPr>
        <w:pStyle w:val="CETBodytext"/>
        <w:rPr>
          <w:rStyle w:val="CETCaptionCarattere"/>
          <w:rFonts w:cs="Arial"/>
          <w:szCs w:val="18"/>
          <w:lang w:val="en-US"/>
        </w:rPr>
      </w:pPr>
    </w:p>
    <w:p w14:paraId="0FC7A502" w14:textId="47AC4352" w:rsidR="00931164" w:rsidRDefault="00C733AC" w:rsidP="00067CB5">
      <w:pPr>
        <w:pStyle w:val="CETBodytext"/>
        <w:rPr>
          <w:rFonts w:cs="Arial"/>
          <w:szCs w:val="18"/>
        </w:rPr>
      </w:pPr>
      <w:r w:rsidRPr="002D0F3A">
        <w:rPr>
          <w:rFonts w:cs="Arial"/>
          <w:szCs w:val="18"/>
        </w:rPr>
        <w:tab/>
      </w:r>
      <w:r w:rsidR="00931164" w:rsidRPr="00931164">
        <w:rPr>
          <w:rFonts w:cs="Arial"/>
          <w:szCs w:val="18"/>
        </w:rPr>
        <w:t>Beyond the assessment of emissions in absolute terms at project level, a cumulative risk perspective is developed at Group level. This broader evaluation considers the aggregated impact of projected project emissions in relation to the corporate decarbonization trajectory, enabling a forward-looking understanding of overall exposure.</w:t>
      </w:r>
      <w:r w:rsidR="00931164">
        <w:rPr>
          <w:rFonts w:cs="Arial"/>
          <w:szCs w:val="18"/>
        </w:rPr>
        <w:t xml:space="preserve"> </w:t>
      </w:r>
      <w:r w:rsidR="00931164" w:rsidRPr="00931164">
        <w:rPr>
          <w:rFonts w:cs="Arial"/>
          <w:szCs w:val="18"/>
        </w:rPr>
        <w:t>Cumulative GHG Risk compares projected project emissions to the corporate decarbonization roadmap, supporting alignment between individual project decisions and long-term emission reduction targets.</w:t>
      </w:r>
    </w:p>
    <w:p w14:paraId="2B8111B2" w14:textId="77777777" w:rsidR="00931164" w:rsidRPr="00931164" w:rsidRDefault="00931164" w:rsidP="00931164">
      <w:pPr>
        <w:pStyle w:val="CETBodytext"/>
        <w:rPr>
          <w:rFonts w:cs="Arial"/>
          <w:szCs w:val="18"/>
        </w:rPr>
      </w:pPr>
    </w:p>
    <w:p w14:paraId="1F25DA9B" w14:textId="77777777" w:rsidR="00BF1623" w:rsidRDefault="003450FF" w:rsidP="00BF1623">
      <w:pPr>
        <w:pStyle w:val="CETBodytext"/>
        <w:jc w:val="left"/>
        <w:rPr>
          <w:rStyle w:val="CETCaptionCarattere"/>
          <w:rFonts w:cs="Arial"/>
          <w:szCs w:val="18"/>
          <w:lang w:val="en-US"/>
        </w:rPr>
      </w:pPr>
      <w:r>
        <w:rPr>
          <w:rFonts w:cs="Arial"/>
          <w:noProof/>
          <w:szCs w:val="18"/>
          <w:lang w:val="en-GB"/>
        </w:rPr>
        <w:drawing>
          <wp:inline distT="0" distB="0" distL="0" distR="0" wp14:anchorId="72638C87" wp14:editId="4A517FC4">
            <wp:extent cx="2708694" cy="1042670"/>
            <wp:effectExtent l="0" t="0" r="0" b="5080"/>
            <wp:docPr id="2159291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11228"/>
                    <a:stretch>
                      <a:fillRect/>
                    </a:stretch>
                  </pic:blipFill>
                  <pic:spPr bwMode="auto">
                    <a:xfrm>
                      <a:off x="0" y="0"/>
                      <a:ext cx="2717504" cy="1046061"/>
                    </a:xfrm>
                    <a:prstGeom prst="rect">
                      <a:avLst/>
                    </a:prstGeom>
                    <a:noFill/>
                    <a:ln>
                      <a:noFill/>
                    </a:ln>
                    <a:extLst>
                      <a:ext uri="{53640926-AAD7-44D8-BBD7-CCE9431645EC}">
                        <a14:shadowObscured xmlns:a14="http://schemas.microsoft.com/office/drawing/2010/main"/>
                      </a:ext>
                    </a:extLst>
                  </pic:spPr>
                </pic:pic>
              </a:graphicData>
            </a:graphic>
          </wp:inline>
        </w:drawing>
      </w:r>
    </w:p>
    <w:p w14:paraId="1D78729C" w14:textId="7DBEE360" w:rsidR="00F2266A" w:rsidRDefault="005E6476" w:rsidP="00BF1623">
      <w:pPr>
        <w:pStyle w:val="CETBodytext"/>
        <w:jc w:val="left"/>
        <w:rPr>
          <w:rStyle w:val="CETCaptionCarattere"/>
          <w:rFonts w:cs="Arial"/>
          <w:i w:val="0"/>
          <w:szCs w:val="18"/>
          <w:lang w:val="en-US"/>
        </w:rPr>
      </w:pPr>
      <w:r w:rsidRPr="002D0F3A">
        <w:rPr>
          <w:rStyle w:val="CETCaptionCarattere"/>
          <w:rFonts w:cs="Arial"/>
          <w:szCs w:val="18"/>
          <w:lang w:val="en-US"/>
        </w:rPr>
        <w:t xml:space="preserve">Figure </w:t>
      </w:r>
      <w:r>
        <w:rPr>
          <w:rStyle w:val="CETCaptionCarattere"/>
          <w:rFonts w:cs="Arial"/>
          <w:szCs w:val="18"/>
          <w:lang w:val="en-US"/>
        </w:rPr>
        <w:t>3</w:t>
      </w:r>
      <w:r w:rsidRPr="002D0F3A">
        <w:rPr>
          <w:rStyle w:val="CETCaptionCarattere"/>
          <w:rFonts w:cs="Arial"/>
          <w:szCs w:val="18"/>
          <w:lang w:val="en-US"/>
        </w:rPr>
        <w:t xml:space="preserve">: </w:t>
      </w:r>
      <w:r w:rsidR="00B92FD1">
        <w:rPr>
          <w:rStyle w:val="CETCaptionCarattere"/>
          <w:rFonts w:cs="Arial"/>
          <w:szCs w:val="18"/>
          <w:lang w:val="en-US"/>
        </w:rPr>
        <w:t xml:space="preserve">Saipem </w:t>
      </w:r>
      <w:r w:rsidR="00CF6A04">
        <w:rPr>
          <w:rStyle w:val="CETCaptionCarattere"/>
          <w:rFonts w:cs="Arial"/>
          <w:szCs w:val="18"/>
          <w:lang w:val="en-US"/>
        </w:rPr>
        <w:t>l</w:t>
      </w:r>
      <w:r w:rsidR="00B92FD1">
        <w:rPr>
          <w:rStyle w:val="CETCaptionCarattere"/>
          <w:rFonts w:cs="Arial"/>
          <w:szCs w:val="18"/>
          <w:lang w:val="en-US"/>
        </w:rPr>
        <w:t>ong</w:t>
      </w:r>
      <w:r w:rsidR="00CF6A04">
        <w:rPr>
          <w:rStyle w:val="CETCaptionCarattere"/>
          <w:rFonts w:cs="Arial"/>
          <w:szCs w:val="18"/>
          <w:lang w:val="en-US"/>
        </w:rPr>
        <w:t>-</w:t>
      </w:r>
      <w:r w:rsidR="00B92FD1">
        <w:rPr>
          <w:rStyle w:val="CETCaptionCarattere"/>
          <w:rFonts w:cs="Arial"/>
          <w:szCs w:val="18"/>
          <w:lang w:val="en-US"/>
        </w:rPr>
        <w:t>term</w:t>
      </w:r>
      <w:r w:rsidR="00CF6A04">
        <w:rPr>
          <w:rStyle w:val="CETCaptionCarattere"/>
          <w:rFonts w:cs="Arial"/>
          <w:szCs w:val="18"/>
          <w:lang w:val="en-US"/>
        </w:rPr>
        <w:t xml:space="preserve"> decarbonization roadmap (issued in 2024)</w:t>
      </w:r>
      <w:r w:rsidR="00B92FD1">
        <w:rPr>
          <w:rStyle w:val="CETCaptionCarattere"/>
          <w:rFonts w:cs="Arial"/>
          <w:szCs w:val="18"/>
          <w:lang w:val="en-US"/>
        </w:rPr>
        <w:t xml:space="preserve"> </w:t>
      </w:r>
      <w:r>
        <w:rPr>
          <w:rStyle w:val="CETCaptionCarattere"/>
          <w:rFonts w:cs="Arial"/>
          <w:szCs w:val="18"/>
          <w:lang w:val="en-US"/>
        </w:rPr>
        <w:t xml:space="preserve"> </w:t>
      </w:r>
    </w:p>
    <w:p w14:paraId="2ABBCBE9" w14:textId="53C0C20C" w:rsidR="00B34766" w:rsidRPr="00B34766" w:rsidRDefault="00B34766" w:rsidP="00B34766">
      <w:pPr>
        <w:pStyle w:val="CETCaption"/>
        <w:rPr>
          <w:rFonts w:cs="Arial"/>
          <w:i w:val="0"/>
          <w:iCs/>
          <w:szCs w:val="18"/>
        </w:rPr>
      </w:pPr>
      <w:r w:rsidRPr="00B34766">
        <w:rPr>
          <w:rFonts w:cs="Arial"/>
          <w:i w:val="0"/>
          <w:iCs/>
          <w:szCs w:val="18"/>
        </w:rPr>
        <w:t>The cumulative emission exposure is calculated by aggregating the existing portfolio emissions with the estimated emissions of the project under evaluation and comparing the result against the corporate decarbonization pathway. The resulting percentage represents the utilization rate of the emission capacity defined by the roadmap.</w:t>
      </w:r>
    </w:p>
    <w:tbl>
      <w:tblPr>
        <w:tblW w:w="5000" w:type="pct"/>
        <w:tblLook w:val="04A0" w:firstRow="1" w:lastRow="0" w:firstColumn="1" w:lastColumn="0" w:noHBand="0" w:noVBand="1"/>
      </w:tblPr>
      <w:tblGrid>
        <w:gridCol w:w="7986"/>
        <w:gridCol w:w="801"/>
      </w:tblGrid>
      <w:tr w:rsidR="00471385" w:rsidRPr="00B57B36" w14:paraId="25ADDC00" w14:textId="77777777" w:rsidTr="003732BA">
        <w:tc>
          <w:tcPr>
            <w:tcW w:w="7986" w:type="dxa"/>
            <w:vAlign w:val="center"/>
          </w:tcPr>
          <w:p w14:paraId="3D5A46D4" w14:textId="11909D7A" w:rsidR="00471385" w:rsidRPr="00B57B36" w:rsidRDefault="006E1AAD" w:rsidP="00A62168">
            <w:pPr>
              <w:pStyle w:val="Maintext"/>
              <w:spacing w:after="0"/>
              <w:ind w:left="360"/>
              <w:jc w:val="center"/>
            </w:pPr>
            <m:oMathPara>
              <m:oMath>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emission</m:t>
                    </m:r>
                    <m:r>
                      <w:rPr>
                        <w:rFonts w:ascii="Cambria Math" w:hAnsi="Cambria Math" w:cs="Arial"/>
                        <w:sz w:val="18"/>
                        <w:szCs w:val="18"/>
                      </w:rPr>
                      <m:t xml:space="preserve"> </m:t>
                    </m:r>
                    <m:r>
                      <w:rPr>
                        <w:rFonts w:ascii="Cambria Math" w:hAnsi="Cambria Math" w:cs="Arial"/>
                        <w:sz w:val="18"/>
                        <w:szCs w:val="18"/>
                      </w:rPr>
                      <m:t>utilization</m:t>
                    </m:r>
                  </m:sub>
                </m:sSub>
                <m:r>
                  <w:rPr>
                    <w:rFonts w:ascii="Cambria Math" w:hAnsi="Cambria Math" w:cs="Arial"/>
                    <w:sz w:val="18"/>
                    <w:szCs w:val="18"/>
                  </w:rPr>
                  <m:t xml:space="preserve">= </m:t>
                </m:r>
                <m:f>
                  <m:fPr>
                    <m:ctrlPr>
                      <w:rPr>
                        <w:rFonts w:ascii="Cambria Math" w:hAnsi="Cambria Math" w:cs="Arial"/>
                        <w:i/>
                        <w:sz w:val="18"/>
                        <w:szCs w:val="18"/>
                      </w:rPr>
                    </m:ctrlPr>
                  </m:fPr>
                  <m:num>
                    <m:r>
                      <w:rPr>
                        <w:rFonts w:ascii="Cambria Math" w:hAnsi="Cambria Math" w:cs="Arial"/>
                        <w:sz w:val="18"/>
                        <w:szCs w:val="18"/>
                      </w:rPr>
                      <m:t>GH</m:t>
                    </m:r>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portfolio</m:t>
                        </m:r>
                      </m:sub>
                    </m:sSub>
                    <m:r>
                      <w:rPr>
                        <w:rFonts w:ascii="Cambria Math" w:hAnsi="Cambria Math" w:cs="Arial"/>
                        <w:sz w:val="18"/>
                        <w:szCs w:val="18"/>
                      </w:rPr>
                      <m:t>+</m:t>
                    </m:r>
                    <m:r>
                      <w:rPr>
                        <w:rFonts w:ascii="Cambria Math" w:hAnsi="Cambria Math" w:cs="Arial"/>
                        <w:sz w:val="18"/>
                        <w:szCs w:val="18"/>
                      </w:rPr>
                      <m:t>GH</m:t>
                    </m:r>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estimation</m:t>
                        </m:r>
                      </m:sub>
                    </m:sSub>
                  </m:num>
                  <m:den>
                    <m:r>
                      <w:rPr>
                        <w:rFonts w:ascii="Cambria Math" w:hAnsi="Cambria Math" w:cs="Arial"/>
                        <w:sz w:val="18"/>
                        <w:szCs w:val="18"/>
                      </w:rPr>
                      <m:t>GH</m:t>
                    </m:r>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roadmap</m:t>
                        </m:r>
                      </m:sub>
                    </m:sSub>
                  </m:den>
                </m:f>
                <m:r>
                  <w:rPr>
                    <w:rFonts w:ascii="Cambria Math" w:eastAsiaTheme="minorEastAsia" w:hAnsi="Cambria Math" w:cs="Arial"/>
                    <w:sz w:val="18"/>
                    <w:szCs w:val="18"/>
                  </w:rPr>
                  <m:t>*</m:t>
                </m:r>
                <m:r>
                  <w:rPr>
                    <w:rFonts w:ascii="Cambria Math" w:eastAsiaTheme="minorEastAsia" w:hAnsi="Cambria Math" w:cs="Arial"/>
                    <w:sz w:val="18"/>
                    <w:szCs w:val="18"/>
                  </w:rPr>
                  <m:t>100</m:t>
                </m:r>
              </m:oMath>
            </m:oMathPara>
          </w:p>
        </w:tc>
        <w:tc>
          <w:tcPr>
            <w:tcW w:w="801" w:type="dxa"/>
            <w:vAlign w:val="center"/>
          </w:tcPr>
          <w:p w14:paraId="4B5C0EBA" w14:textId="226DD30D" w:rsidR="00471385" w:rsidRPr="00B57B36" w:rsidRDefault="00471385">
            <w:pPr>
              <w:pStyle w:val="CETEquation"/>
              <w:jc w:val="right"/>
            </w:pPr>
            <w:r w:rsidRPr="00B57B36">
              <w:t>(</w:t>
            </w:r>
            <w:r w:rsidR="00A62168">
              <w:t>2</w:t>
            </w:r>
            <w:r w:rsidRPr="00B57B36">
              <w:t>)</w:t>
            </w:r>
          </w:p>
        </w:tc>
      </w:tr>
    </w:tbl>
    <w:p w14:paraId="42CD5496" w14:textId="45671B8E" w:rsidR="003732BA" w:rsidRDefault="00B34766" w:rsidP="003732BA">
      <w:pPr>
        <w:pStyle w:val="CETTabletitle"/>
        <w:rPr>
          <w:rFonts w:cs="Arial"/>
          <w:i w:val="0"/>
          <w:szCs w:val="18"/>
        </w:rPr>
      </w:pPr>
      <w:r>
        <w:rPr>
          <w:rFonts w:cs="Arial"/>
          <w:i w:val="0"/>
          <w:szCs w:val="18"/>
        </w:rPr>
        <w:t>C</w:t>
      </w:r>
      <w:r w:rsidR="003732BA" w:rsidRPr="003732BA">
        <w:rPr>
          <w:rFonts w:cs="Arial"/>
          <w:i w:val="0"/>
          <w:szCs w:val="18"/>
        </w:rPr>
        <w:t>lassification thresholds allow early identification of projects requiring corrective measures.</w:t>
      </w:r>
    </w:p>
    <w:p w14:paraId="07336FD2" w14:textId="49777554" w:rsidR="00F44505" w:rsidRPr="00B57B36" w:rsidRDefault="00F44505" w:rsidP="009A3200">
      <w:pPr>
        <w:pStyle w:val="CETTabletitle"/>
        <w:jc w:val="both"/>
      </w:pPr>
      <w:r w:rsidRPr="000F51BC">
        <w:t xml:space="preserve">Table </w:t>
      </w:r>
      <w:r w:rsidR="000F51BC">
        <w:t>2</w:t>
      </w:r>
      <w:r w:rsidRPr="000F51BC">
        <w:t>:</w:t>
      </w:r>
      <w:r w:rsidR="00B34766">
        <w:t xml:space="preserve"> </w:t>
      </w:r>
      <w:r w:rsidR="000F51BC">
        <w:t xml:space="preserve">Cumulative GHG </w:t>
      </w:r>
      <w:r w:rsidR="00F2266A">
        <w:t>Emission</w:t>
      </w:r>
      <w:r w:rsidR="00B34766">
        <w:t>s</w:t>
      </w:r>
      <w:r w:rsidR="00F2266A">
        <w:t xml:space="preserve"> </w:t>
      </w:r>
      <w:r w:rsidR="000F51BC">
        <w:t>Risk</w:t>
      </w:r>
      <w:r w:rsidR="00F2266A">
        <w:t xml:space="preserve"> Classification</w:t>
      </w:r>
    </w:p>
    <w:tbl>
      <w:tblPr>
        <w:tblStyle w:val="TableGrid"/>
        <w:tblW w:w="88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48"/>
        <w:gridCol w:w="207"/>
        <w:gridCol w:w="2314"/>
        <w:gridCol w:w="3601"/>
      </w:tblGrid>
      <w:tr w:rsidR="00805671" w:rsidRPr="006B0FB2" w14:paraId="32BD144A" w14:textId="77777777" w:rsidTr="00FB67C3">
        <w:trPr>
          <w:trHeight w:val="15"/>
          <w:jc w:val="center"/>
        </w:trPr>
        <w:tc>
          <w:tcPr>
            <w:tcW w:w="2748" w:type="dxa"/>
            <w:tcBorders>
              <w:top w:val="single" w:sz="4" w:space="0" w:color="auto"/>
              <w:bottom w:val="single" w:sz="4" w:space="0" w:color="auto"/>
            </w:tcBorders>
          </w:tcPr>
          <w:p w14:paraId="5F6FD13F" w14:textId="77777777" w:rsidR="00805671" w:rsidRPr="009A3200" w:rsidRDefault="00805671" w:rsidP="009A3200">
            <w:pPr>
              <w:spacing w:line="276" w:lineRule="auto"/>
              <w:rPr>
                <w:rFonts w:cs="Arial"/>
                <w:szCs w:val="18"/>
                <w:lang w:val="en-US"/>
              </w:rPr>
            </w:pPr>
            <m:oMathPara>
              <m:oMathParaPr>
                <m:jc m:val="left"/>
              </m:oMathParaPr>
              <m:oMath>
                <m:r>
                  <w:rPr>
                    <w:rFonts w:ascii="Cambria Math" w:hAnsi="Cambria Math" w:cs="Arial"/>
                    <w:szCs w:val="18"/>
                  </w:rPr>
                  <m:t>GH</m:t>
                </m:r>
                <m:sSub>
                  <m:sSubPr>
                    <m:ctrlPr>
                      <w:rPr>
                        <w:rFonts w:ascii="Cambria Math" w:hAnsi="Cambria Math" w:cs="Arial"/>
                        <w:i/>
                        <w:szCs w:val="18"/>
                      </w:rPr>
                    </m:ctrlPr>
                  </m:sSubPr>
                  <m:e>
                    <m:r>
                      <w:rPr>
                        <w:rFonts w:ascii="Cambria Math" w:hAnsi="Cambria Math" w:cs="Arial"/>
                        <w:szCs w:val="18"/>
                      </w:rPr>
                      <m:t>G</m:t>
                    </m:r>
                  </m:e>
                  <m:sub>
                    <m:r>
                      <w:rPr>
                        <w:rFonts w:ascii="Cambria Math" w:hAnsi="Cambria Math" w:cs="Arial"/>
                        <w:szCs w:val="18"/>
                      </w:rPr>
                      <m:t>estimation</m:t>
                    </m:r>
                  </m:sub>
                </m:sSub>
              </m:oMath>
            </m:oMathPara>
          </w:p>
        </w:tc>
        <w:tc>
          <w:tcPr>
            <w:tcW w:w="2521" w:type="dxa"/>
            <w:gridSpan w:val="2"/>
            <w:tcBorders>
              <w:top w:val="single" w:sz="4" w:space="0" w:color="auto"/>
              <w:bottom w:val="single" w:sz="4" w:space="0" w:color="auto"/>
            </w:tcBorders>
          </w:tcPr>
          <w:p w14:paraId="5FBB34BA" w14:textId="77777777" w:rsidR="00805671" w:rsidRPr="009A3200" w:rsidRDefault="006E1AAD" w:rsidP="009A3200">
            <w:pPr>
              <w:spacing w:line="276" w:lineRule="auto"/>
              <w:rPr>
                <w:rFonts w:cs="Arial"/>
                <w:szCs w:val="18"/>
                <w:lang w:val="en-US"/>
              </w:rPr>
            </w:pPr>
            <m:oMathPara>
              <m:oMathParaPr>
                <m:jc m:val="left"/>
              </m:oMathParaPr>
              <m:oMath>
                <m:sSub>
                  <m:sSubPr>
                    <m:ctrlPr>
                      <w:rPr>
                        <w:rFonts w:ascii="Cambria Math" w:hAnsi="Cambria Math" w:cs="Arial"/>
                        <w:i/>
                        <w:szCs w:val="18"/>
                      </w:rPr>
                    </m:ctrlPr>
                  </m:sSubPr>
                  <m:e>
                    <m:r>
                      <w:rPr>
                        <w:rFonts w:ascii="Cambria Math" w:hAnsi="Cambria Math" w:cs="Arial"/>
                        <w:szCs w:val="18"/>
                      </w:rPr>
                      <m:t>%</m:t>
                    </m:r>
                  </m:e>
                  <m:sub>
                    <m:r>
                      <w:rPr>
                        <w:rFonts w:ascii="Cambria Math" w:hAnsi="Cambria Math" w:cs="Arial"/>
                        <w:szCs w:val="18"/>
                      </w:rPr>
                      <m:t>emission</m:t>
                    </m:r>
                    <m:r>
                      <w:rPr>
                        <w:rFonts w:ascii="Cambria Math" w:hAnsi="Cambria Math" w:cs="Arial"/>
                        <w:szCs w:val="18"/>
                      </w:rPr>
                      <m:t xml:space="preserve"> </m:t>
                    </m:r>
                    <m:r>
                      <w:rPr>
                        <w:rFonts w:ascii="Cambria Math" w:hAnsi="Cambria Math" w:cs="Arial"/>
                        <w:szCs w:val="18"/>
                      </w:rPr>
                      <m:t>gap</m:t>
                    </m:r>
                  </m:sub>
                </m:sSub>
              </m:oMath>
            </m:oMathPara>
          </w:p>
        </w:tc>
        <w:tc>
          <w:tcPr>
            <w:tcW w:w="3601" w:type="dxa"/>
            <w:tcBorders>
              <w:top w:val="single" w:sz="4" w:space="0" w:color="auto"/>
              <w:bottom w:val="single" w:sz="4" w:space="0" w:color="auto"/>
            </w:tcBorders>
          </w:tcPr>
          <w:p w14:paraId="2BE2B16B" w14:textId="77777777" w:rsidR="00805671" w:rsidRPr="006B0FB2" w:rsidRDefault="00805671" w:rsidP="009A3200">
            <w:pPr>
              <w:spacing w:line="276" w:lineRule="auto"/>
              <w:rPr>
                <w:rFonts w:cs="Arial"/>
                <w:szCs w:val="18"/>
                <w:lang w:val="en-US"/>
              </w:rPr>
            </w:pPr>
            <w:r w:rsidRPr="006B0FB2">
              <w:rPr>
                <w:rFonts w:cs="Arial"/>
                <w:szCs w:val="18"/>
                <w:lang w:val="en-US"/>
              </w:rPr>
              <w:t>Cumulative GHG Risk</w:t>
            </w:r>
          </w:p>
        </w:tc>
      </w:tr>
      <w:tr w:rsidR="00805671" w:rsidRPr="006B0FB2" w14:paraId="12C6933C" w14:textId="77777777" w:rsidTr="00FB67C3">
        <w:trPr>
          <w:trHeight w:val="71"/>
          <w:jc w:val="center"/>
        </w:trPr>
        <w:tc>
          <w:tcPr>
            <w:tcW w:w="2955" w:type="dxa"/>
            <w:gridSpan w:val="2"/>
            <w:vMerge w:val="restart"/>
            <w:tcBorders>
              <w:top w:val="single" w:sz="4" w:space="0" w:color="auto"/>
            </w:tcBorders>
            <w:vAlign w:val="center"/>
          </w:tcPr>
          <w:p w14:paraId="1AC01A20" w14:textId="77777777" w:rsidR="00805671" w:rsidRPr="006B0FB2" w:rsidRDefault="00805671" w:rsidP="009A3200">
            <w:pPr>
              <w:spacing w:line="276" w:lineRule="auto"/>
              <w:rPr>
                <w:rFonts w:cs="Arial"/>
                <w:szCs w:val="18"/>
                <w:lang w:val="en-US"/>
              </w:rPr>
            </w:pPr>
            <w:bookmarkStart w:id="2" w:name="_Hlk206600717"/>
            <w:r w:rsidRPr="006B0FB2">
              <w:rPr>
                <w:rFonts w:cs="Arial"/>
                <w:szCs w:val="18"/>
                <w:lang w:val="en-US"/>
              </w:rPr>
              <w:t>LOW</w:t>
            </w:r>
          </w:p>
        </w:tc>
        <w:tc>
          <w:tcPr>
            <w:tcW w:w="2314" w:type="dxa"/>
            <w:vAlign w:val="center"/>
          </w:tcPr>
          <w:p w14:paraId="56B6FCCA" w14:textId="77777777" w:rsidR="00805671" w:rsidRPr="006B0FB2" w:rsidRDefault="00805671" w:rsidP="009A3200">
            <w:pPr>
              <w:spacing w:line="276" w:lineRule="auto"/>
              <w:rPr>
                <w:rFonts w:cs="Arial"/>
                <w:szCs w:val="18"/>
                <w:lang w:val="en-US"/>
              </w:rPr>
            </w:pPr>
            <w:r w:rsidRPr="006B0FB2">
              <w:rPr>
                <w:rFonts w:cs="Arial"/>
                <w:szCs w:val="18"/>
                <w:lang w:val="en-US"/>
              </w:rPr>
              <w:t>≥90%</w:t>
            </w:r>
          </w:p>
        </w:tc>
        <w:tc>
          <w:tcPr>
            <w:tcW w:w="3601" w:type="dxa"/>
            <w:vAlign w:val="center"/>
          </w:tcPr>
          <w:p w14:paraId="450CAFF1" w14:textId="77777777" w:rsidR="00805671" w:rsidRPr="006B0FB2" w:rsidRDefault="00805671" w:rsidP="009A3200">
            <w:pPr>
              <w:spacing w:line="276" w:lineRule="auto"/>
              <w:rPr>
                <w:rFonts w:cs="Arial"/>
                <w:szCs w:val="18"/>
                <w:lang w:val="en-US"/>
              </w:rPr>
            </w:pPr>
            <w:r w:rsidRPr="006B0FB2">
              <w:rPr>
                <w:rFonts w:cs="Arial"/>
                <w:szCs w:val="18"/>
                <w:lang w:val="en-US"/>
              </w:rPr>
              <w:t>MEDIUM</w:t>
            </w:r>
          </w:p>
        </w:tc>
      </w:tr>
      <w:tr w:rsidR="00805671" w:rsidRPr="006B0FB2" w14:paraId="42BCCBE1" w14:textId="77777777" w:rsidTr="00FB67C3">
        <w:trPr>
          <w:trHeight w:val="43"/>
          <w:jc w:val="center"/>
        </w:trPr>
        <w:tc>
          <w:tcPr>
            <w:tcW w:w="2955" w:type="dxa"/>
            <w:gridSpan w:val="2"/>
            <w:vMerge/>
            <w:tcBorders>
              <w:bottom w:val="single" w:sz="4" w:space="0" w:color="auto"/>
            </w:tcBorders>
            <w:vAlign w:val="center"/>
          </w:tcPr>
          <w:p w14:paraId="670B20BD" w14:textId="77777777" w:rsidR="00805671" w:rsidRPr="006B0FB2" w:rsidRDefault="00805671" w:rsidP="009A3200">
            <w:pPr>
              <w:spacing w:line="276" w:lineRule="auto"/>
              <w:rPr>
                <w:rFonts w:cs="Arial"/>
                <w:szCs w:val="18"/>
                <w:lang w:val="en-US"/>
              </w:rPr>
            </w:pPr>
          </w:p>
        </w:tc>
        <w:tc>
          <w:tcPr>
            <w:tcW w:w="2314" w:type="dxa"/>
            <w:tcBorders>
              <w:bottom w:val="single" w:sz="4" w:space="0" w:color="auto"/>
            </w:tcBorders>
            <w:vAlign w:val="center"/>
          </w:tcPr>
          <w:p w14:paraId="30F3D87D" w14:textId="77777777" w:rsidR="00805671" w:rsidRPr="006B0FB2" w:rsidRDefault="00805671" w:rsidP="009A3200">
            <w:pPr>
              <w:spacing w:line="276" w:lineRule="auto"/>
              <w:rPr>
                <w:rFonts w:cs="Arial"/>
                <w:szCs w:val="18"/>
                <w:lang w:val="en-US"/>
              </w:rPr>
            </w:pPr>
            <w:r w:rsidRPr="006B0FB2">
              <w:rPr>
                <w:rFonts w:cs="Arial"/>
                <w:szCs w:val="18"/>
                <w:lang w:val="en-US"/>
              </w:rPr>
              <w:t>&lt;90%</w:t>
            </w:r>
          </w:p>
        </w:tc>
        <w:tc>
          <w:tcPr>
            <w:tcW w:w="3601" w:type="dxa"/>
            <w:tcBorders>
              <w:bottom w:val="single" w:sz="4" w:space="0" w:color="auto"/>
            </w:tcBorders>
            <w:vAlign w:val="center"/>
          </w:tcPr>
          <w:p w14:paraId="15C5077C" w14:textId="77777777" w:rsidR="00805671" w:rsidRPr="006B0FB2" w:rsidRDefault="00805671" w:rsidP="009A3200">
            <w:pPr>
              <w:spacing w:line="276" w:lineRule="auto"/>
              <w:rPr>
                <w:rFonts w:cs="Arial"/>
                <w:szCs w:val="18"/>
                <w:lang w:val="en-US"/>
              </w:rPr>
            </w:pPr>
            <w:r w:rsidRPr="006B0FB2">
              <w:rPr>
                <w:rFonts w:cs="Arial"/>
                <w:szCs w:val="18"/>
                <w:lang w:val="en-US"/>
              </w:rPr>
              <w:t>LOW</w:t>
            </w:r>
          </w:p>
        </w:tc>
      </w:tr>
      <w:bookmarkEnd w:id="2"/>
      <w:tr w:rsidR="00805671" w:rsidRPr="006B0FB2" w14:paraId="35421976" w14:textId="77777777" w:rsidTr="00FB67C3">
        <w:trPr>
          <w:trHeight w:val="71"/>
          <w:jc w:val="center"/>
        </w:trPr>
        <w:tc>
          <w:tcPr>
            <w:tcW w:w="2955" w:type="dxa"/>
            <w:gridSpan w:val="2"/>
            <w:vMerge w:val="restart"/>
            <w:tcBorders>
              <w:top w:val="single" w:sz="4" w:space="0" w:color="auto"/>
            </w:tcBorders>
            <w:vAlign w:val="center"/>
          </w:tcPr>
          <w:p w14:paraId="5FE65A8B" w14:textId="77777777" w:rsidR="00805671" w:rsidRPr="006B0FB2" w:rsidRDefault="00805671" w:rsidP="009A3200">
            <w:pPr>
              <w:spacing w:line="276" w:lineRule="auto"/>
              <w:rPr>
                <w:rFonts w:cs="Arial"/>
                <w:szCs w:val="18"/>
                <w:lang w:val="en-US"/>
              </w:rPr>
            </w:pPr>
            <w:r w:rsidRPr="006B0FB2">
              <w:rPr>
                <w:rFonts w:cs="Arial"/>
                <w:szCs w:val="18"/>
                <w:lang w:val="en-US"/>
              </w:rPr>
              <w:t>MEDIUM</w:t>
            </w:r>
          </w:p>
        </w:tc>
        <w:tc>
          <w:tcPr>
            <w:tcW w:w="2314" w:type="dxa"/>
            <w:tcBorders>
              <w:top w:val="single" w:sz="4" w:space="0" w:color="auto"/>
            </w:tcBorders>
            <w:vAlign w:val="center"/>
          </w:tcPr>
          <w:p w14:paraId="232C5E3D" w14:textId="77777777" w:rsidR="00805671" w:rsidRPr="006B0FB2" w:rsidRDefault="00805671" w:rsidP="009A3200">
            <w:pPr>
              <w:spacing w:line="276" w:lineRule="auto"/>
              <w:rPr>
                <w:rFonts w:cs="Arial"/>
                <w:szCs w:val="18"/>
                <w:lang w:val="en-US"/>
              </w:rPr>
            </w:pPr>
            <w:r w:rsidRPr="006B0FB2">
              <w:rPr>
                <w:rFonts w:cs="Arial"/>
                <w:szCs w:val="18"/>
                <w:lang w:val="en-US"/>
              </w:rPr>
              <w:t>≥90%</w:t>
            </w:r>
          </w:p>
        </w:tc>
        <w:tc>
          <w:tcPr>
            <w:tcW w:w="3601" w:type="dxa"/>
            <w:tcBorders>
              <w:top w:val="single" w:sz="4" w:space="0" w:color="auto"/>
            </w:tcBorders>
            <w:vAlign w:val="center"/>
          </w:tcPr>
          <w:p w14:paraId="78281888" w14:textId="77777777" w:rsidR="00805671" w:rsidRPr="006B0FB2" w:rsidRDefault="00805671" w:rsidP="009A3200">
            <w:pPr>
              <w:spacing w:line="276" w:lineRule="auto"/>
              <w:rPr>
                <w:rFonts w:cs="Arial"/>
                <w:szCs w:val="18"/>
                <w:lang w:val="en-US"/>
              </w:rPr>
            </w:pPr>
            <w:r w:rsidRPr="006B0FB2">
              <w:rPr>
                <w:rFonts w:cs="Arial"/>
                <w:szCs w:val="18"/>
                <w:lang w:val="en-US"/>
              </w:rPr>
              <w:t>HIGH</w:t>
            </w:r>
          </w:p>
        </w:tc>
      </w:tr>
      <w:tr w:rsidR="00805671" w:rsidRPr="006B0FB2" w14:paraId="4B239C86" w14:textId="77777777" w:rsidTr="00FB67C3">
        <w:trPr>
          <w:trHeight w:val="43"/>
          <w:jc w:val="center"/>
        </w:trPr>
        <w:tc>
          <w:tcPr>
            <w:tcW w:w="2955" w:type="dxa"/>
            <w:gridSpan w:val="2"/>
            <w:vMerge/>
            <w:vAlign w:val="center"/>
          </w:tcPr>
          <w:p w14:paraId="43D787AD" w14:textId="77777777" w:rsidR="00805671" w:rsidRPr="006B0FB2" w:rsidRDefault="00805671" w:rsidP="009A3200">
            <w:pPr>
              <w:spacing w:line="276" w:lineRule="auto"/>
              <w:rPr>
                <w:rFonts w:cs="Arial"/>
                <w:szCs w:val="18"/>
                <w:lang w:val="en-US"/>
              </w:rPr>
            </w:pPr>
          </w:p>
        </w:tc>
        <w:tc>
          <w:tcPr>
            <w:tcW w:w="2314" w:type="dxa"/>
            <w:vAlign w:val="center"/>
          </w:tcPr>
          <w:p w14:paraId="3E7CE073" w14:textId="77777777" w:rsidR="00805671" w:rsidRPr="006B0FB2" w:rsidRDefault="00805671" w:rsidP="009A3200">
            <w:pPr>
              <w:spacing w:line="276" w:lineRule="auto"/>
              <w:rPr>
                <w:rFonts w:cs="Arial"/>
                <w:szCs w:val="18"/>
                <w:lang w:val="en-US"/>
              </w:rPr>
            </w:pPr>
            <w:r w:rsidRPr="006B0FB2">
              <w:rPr>
                <w:rFonts w:cs="Arial"/>
                <w:szCs w:val="18"/>
                <w:lang w:val="en-US"/>
              </w:rPr>
              <w:t>50%-90%</w:t>
            </w:r>
          </w:p>
        </w:tc>
        <w:tc>
          <w:tcPr>
            <w:tcW w:w="3601" w:type="dxa"/>
            <w:vAlign w:val="center"/>
          </w:tcPr>
          <w:p w14:paraId="57BB6522" w14:textId="77777777" w:rsidR="00805671" w:rsidRPr="006B0FB2" w:rsidRDefault="00805671" w:rsidP="009A3200">
            <w:pPr>
              <w:spacing w:line="276" w:lineRule="auto"/>
              <w:rPr>
                <w:rFonts w:cs="Arial"/>
                <w:szCs w:val="18"/>
                <w:lang w:val="en-US"/>
              </w:rPr>
            </w:pPr>
            <w:r w:rsidRPr="006B0FB2">
              <w:rPr>
                <w:rFonts w:cs="Arial"/>
                <w:szCs w:val="18"/>
                <w:lang w:val="en-US"/>
              </w:rPr>
              <w:t>MEDIUM</w:t>
            </w:r>
          </w:p>
        </w:tc>
      </w:tr>
      <w:tr w:rsidR="00805671" w:rsidRPr="006B0FB2" w14:paraId="17CA60DD" w14:textId="77777777" w:rsidTr="00FB67C3">
        <w:trPr>
          <w:trHeight w:val="43"/>
          <w:jc w:val="center"/>
        </w:trPr>
        <w:tc>
          <w:tcPr>
            <w:tcW w:w="2955" w:type="dxa"/>
            <w:gridSpan w:val="2"/>
            <w:vMerge/>
            <w:tcBorders>
              <w:bottom w:val="single" w:sz="4" w:space="0" w:color="auto"/>
            </w:tcBorders>
            <w:vAlign w:val="center"/>
          </w:tcPr>
          <w:p w14:paraId="30388BFC" w14:textId="77777777" w:rsidR="00805671" w:rsidRPr="006B0FB2" w:rsidRDefault="00805671" w:rsidP="009A3200">
            <w:pPr>
              <w:spacing w:line="276" w:lineRule="auto"/>
              <w:rPr>
                <w:rFonts w:cs="Arial"/>
                <w:szCs w:val="18"/>
                <w:lang w:val="en-US"/>
              </w:rPr>
            </w:pPr>
          </w:p>
        </w:tc>
        <w:tc>
          <w:tcPr>
            <w:tcW w:w="2314" w:type="dxa"/>
            <w:tcBorders>
              <w:bottom w:val="single" w:sz="4" w:space="0" w:color="auto"/>
            </w:tcBorders>
            <w:vAlign w:val="center"/>
          </w:tcPr>
          <w:p w14:paraId="045F0B15" w14:textId="77777777" w:rsidR="00805671" w:rsidRPr="006B0FB2" w:rsidRDefault="00805671" w:rsidP="009A3200">
            <w:pPr>
              <w:spacing w:line="276" w:lineRule="auto"/>
              <w:rPr>
                <w:rFonts w:cs="Arial"/>
                <w:szCs w:val="18"/>
                <w:lang w:val="en-US"/>
              </w:rPr>
            </w:pPr>
            <w:r w:rsidRPr="006B0FB2">
              <w:rPr>
                <w:rFonts w:cs="Arial"/>
                <w:szCs w:val="18"/>
                <w:lang w:val="en-US"/>
              </w:rPr>
              <w:t>&lt;50%</w:t>
            </w:r>
          </w:p>
        </w:tc>
        <w:tc>
          <w:tcPr>
            <w:tcW w:w="3601" w:type="dxa"/>
            <w:tcBorders>
              <w:bottom w:val="single" w:sz="4" w:space="0" w:color="auto"/>
            </w:tcBorders>
            <w:vAlign w:val="center"/>
          </w:tcPr>
          <w:p w14:paraId="4D38D183" w14:textId="77777777" w:rsidR="00805671" w:rsidRPr="006B0FB2" w:rsidRDefault="00805671" w:rsidP="009A3200">
            <w:pPr>
              <w:spacing w:line="276" w:lineRule="auto"/>
              <w:rPr>
                <w:rFonts w:cs="Arial"/>
                <w:szCs w:val="18"/>
                <w:lang w:val="en-US"/>
              </w:rPr>
            </w:pPr>
            <w:r w:rsidRPr="006B0FB2">
              <w:rPr>
                <w:rFonts w:cs="Arial"/>
                <w:szCs w:val="18"/>
                <w:lang w:val="en-US"/>
              </w:rPr>
              <w:t>LOW</w:t>
            </w:r>
          </w:p>
        </w:tc>
      </w:tr>
      <w:tr w:rsidR="00805671" w:rsidRPr="006B0FB2" w14:paraId="73E2DA3B" w14:textId="77777777" w:rsidTr="00FB67C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1"/>
        </w:trPr>
        <w:tc>
          <w:tcPr>
            <w:tcW w:w="2955" w:type="dxa"/>
            <w:gridSpan w:val="2"/>
            <w:vMerge w:val="restart"/>
            <w:tcBorders>
              <w:top w:val="single" w:sz="4" w:space="0" w:color="auto"/>
              <w:left w:val="nil"/>
              <w:bottom w:val="single" w:sz="4" w:space="0" w:color="auto"/>
              <w:right w:val="nil"/>
            </w:tcBorders>
            <w:vAlign w:val="center"/>
          </w:tcPr>
          <w:p w14:paraId="49F2C2B2" w14:textId="77777777" w:rsidR="00805671" w:rsidRPr="006B0FB2" w:rsidRDefault="00805671" w:rsidP="009A3200">
            <w:pPr>
              <w:spacing w:line="276" w:lineRule="auto"/>
              <w:rPr>
                <w:rFonts w:cs="Arial"/>
                <w:szCs w:val="18"/>
                <w:lang w:val="en-US"/>
              </w:rPr>
            </w:pPr>
            <w:r w:rsidRPr="006B0FB2">
              <w:rPr>
                <w:rFonts w:cs="Arial"/>
                <w:szCs w:val="18"/>
                <w:lang w:val="en-US"/>
              </w:rPr>
              <w:t>HIGH</w:t>
            </w:r>
          </w:p>
        </w:tc>
        <w:tc>
          <w:tcPr>
            <w:tcW w:w="2314" w:type="dxa"/>
            <w:tcBorders>
              <w:top w:val="single" w:sz="4" w:space="0" w:color="auto"/>
              <w:left w:val="nil"/>
              <w:bottom w:val="nil"/>
              <w:right w:val="nil"/>
            </w:tcBorders>
            <w:vAlign w:val="center"/>
          </w:tcPr>
          <w:p w14:paraId="0123FA4A" w14:textId="77777777" w:rsidR="00805671" w:rsidRPr="006B0FB2" w:rsidRDefault="00805671" w:rsidP="009A3200">
            <w:pPr>
              <w:spacing w:line="276" w:lineRule="auto"/>
              <w:rPr>
                <w:rFonts w:cs="Arial"/>
                <w:szCs w:val="18"/>
                <w:lang w:val="en-US"/>
              </w:rPr>
            </w:pPr>
            <w:r w:rsidRPr="006B0FB2">
              <w:rPr>
                <w:rFonts w:cs="Arial"/>
                <w:szCs w:val="18"/>
                <w:lang w:val="en-US"/>
              </w:rPr>
              <w:t>≥90%</w:t>
            </w:r>
          </w:p>
        </w:tc>
        <w:tc>
          <w:tcPr>
            <w:tcW w:w="3601" w:type="dxa"/>
            <w:tcBorders>
              <w:top w:val="single" w:sz="4" w:space="0" w:color="auto"/>
              <w:left w:val="nil"/>
              <w:bottom w:val="nil"/>
              <w:right w:val="nil"/>
            </w:tcBorders>
            <w:vAlign w:val="center"/>
          </w:tcPr>
          <w:p w14:paraId="5C459145" w14:textId="77777777" w:rsidR="00805671" w:rsidRPr="006B0FB2" w:rsidRDefault="00805671" w:rsidP="009A3200">
            <w:pPr>
              <w:spacing w:line="276" w:lineRule="auto"/>
              <w:rPr>
                <w:rFonts w:cs="Arial"/>
                <w:szCs w:val="18"/>
                <w:lang w:val="en-US"/>
              </w:rPr>
            </w:pPr>
            <w:r w:rsidRPr="006B0FB2">
              <w:rPr>
                <w:rFonts w:cs="Arial"/>
                <w:szCs w:val="18"/>
                <w:lang w:val="en-US"/>
              </w:rPr>
              <w:t>HIGH</w:t>
            </w:r>
          </w:p>
        </w:tc>
      </w:tr>
      <w:tr w:rsidR="00805671" w:rsidRPr="006B0FB2" w14:paraId="05335AD5" w14:textId="77777777" w:rsidTr="00FB67C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
        </w:trPr>
        <w:tc>
          <w:tcPr>
            <w:tcW w:w="2955" w:type="dxa"/>
            <w:gridSpan w:val="2"/>
            <w:vMerge/>
            <w:tcBorders>
              <w:top w:val="nil"/>
              <w:left w:val="nil"/>
              <w:bottom w:val="single" w:sz="4" w:space="0" w:color="auto"/>
              <w:right w:val="nil"/>
            </w:tcBorders>
            <w:vAlign w:val="center"/>
          </w:tcPr>
          <w:p w14:paraId="60DB10C1" w14:textId="77777777" w:rsidR="00805671" w:rsidRPr="006B0FB2" w:rsidRDefault="00805671" w:rsidP="009A3200">
            <w:pPr>
              <w:spacing w:line="276" w:lineRule="auto"/>
              <w:rPr>
                <w:rFonts w:cs="Arial"/>
                <w:szCs w:val="18"/>
                <w:lang w:val="en-US"/>
              </w:rPr>
            </w:pPr>
          </w:p>
        </w:tc>
        <w:tc>
          <w:tcPr>
            <w:tcW w:w="2314" w:type="dxa"/>
            <w:tcBorders>
              <w:top w:val="nil"/>
              <w:left w:val="nil"/>
              <w:bottom w:val="single" w:sz="4" w:space="0" w:color="auto"/>
              <w:right w:val="nil"/>
            </w:tcBorders>
            <w:vAlign w:val="center"/>
          </w:tcPr>
          <w:p w14:paraId="4F1E97C0" w14:textId="77777777" w:rsidR="00805671" w:rsidRPr="006B0FB2" w:rsidRDefault="00805671" w:rsidP="009A3200">
            <w:pPr>
              <w:spacing w:line="276" w:lineRule="auto"/>
              <w:rPr>
                <w:rFonts w:cs="Arial"/>
                <w:szCs w:val="18"/>
                <w:lang w:val="en-US"/>
              </w:rPr>
            </w:pPr>
            <w:r w:rsidRPr="006B0FB2">
              <w:rPr>
                <w:rFonts w:cs="Arial"/>
                <w:szCs w:val="18"/>
                <w:lang w:val="en-US"/>
              </w:rPr>
              <w:t>&lt;90%</w:t>
            </w:r>
          </w:p>
        </w:tc>
        <w:tc>
          <w:tcPr>
            <w:tcW w:w="3601" w:type="dxa"/>
            <w:tcBorders>
              <w:top w:val="nil"/>
              <w:left w:val="nil"/>
              <w:bottom w:val="single" w:sz="4" w:space="0" w:color="auto"/>
              <w:right w:val="nil"/>
            </w:tcBorders>
            <w:vAlign w:val="center"/>
          </w:tcPr>
          <w:p w14:paraId="63B08035" w14:textId="77777777" w:rsidR="00805671" w:rsidRPr="006B0FB2" w:rsidRDefault="00805671" w:rsidP="009A3200">
            <w:pPr>
              <w:spacing w:line="276" w:lineRule="auto"/>
              <w:rPr>
                <w:rFonts w:cs="Arial"/>
                <w:szCs w:val="18"/>
                <w:lang w:val="en-US"/>
              </w:rPr>
            </w:pPr>
            <w:r w:rsidRPr="006B0FB2">
              <w:rPr>
                <w:rFonts w:cs="Arial"/>
                <w:szCs w:val="18"/>
                <w:lang w:val="en-US"/>
              </w:rPr>
              <w:t>MEDIUM</w:t>
            </w:r>
          </w:p>
        </w:tc>
      </w:tr>
    </w:tbl>
    <w:p w14:paraId="00B3602B" w14:textId="77777777" w:rsidR="00C733AC" w:rsidRPr="000F1DF5" w:rsidRDefault="00C733AC" w:rsidP="00C733AC">
      <w:pPr>
        <w:pStyle w:val="CETBodytext"/>
        <w:rPr>
          <w:rFonts w:cs="Arial"/>
          <w:szCs w:val="18"/>
          <w:lang w:val="en-GB"/>
        </w:rPr>
      </w:pPr>
    </w:p>
    <w:p w14:paraId="67333CC4" w14:textId="51E3BF8A" w:rsidR="00171C71" w:rsidRPr="00171C71" w:rsidRDefault="00A618BD" w:rsidP="00171C71">
      <w:pPr>
        <w:pStyle w:val="CETBodytext"/>
        <w:rPr>
          <w:rFonts w:cs="Arial"/>
          <w:b/>
          <w:bCs/>
          <w:szCs w:val="18"/>
          <w:lang w:val="en-GB"/>
        </w:rPr>
      </w:pPr>
      <w:r>
        <w:rPr>
          <w:rFonts w:cs="Arial"/>
          <w:b/>
          <w:bCs/>
          <w:szCs w:val="18"/>
          <w:lang w:val="en-GB"/>
        </w:rPr>
        <w:t>3</w:t>
      </w:r>
      <w:r w:rsidR="003D26EB">
        <w:rPr>
          <w:rFonts w:cs="Arial"/>
          <w:b/>
          <w:bCs/>
          <w:szCs w:val="18"/>
          <w:lang w:val="en-GB"/>
        </w:rPr>
        <w:t xml:space="preserve">.1.2 </w:t>
      </w:r>
      <w:r w:rsidR="00171C71" w:rsidRPr="00171C71">
        <w:rPr>
          <w:rFonts w:cs="Arial"/>
          <w:b/>
          <w:bCs/>
          <w:szCs w:val="18"/>
          <w:lang w:val="en-GB"/>
        </w:rPr>
        <w:t>Climate Change Mitigation Risk</w:t>
      </w:r>
    </w:p>
    <w:p w14:paraId="02E1E7A9" w14:textId="77777777" w:rsidR="00D95159" w:rsidRDefault="00171C71" w:rsidP="00D95159">
      <w:pPr>
        <w:pStyle w:val="CETBodytext"/>
        <w:rPr>
          <w:rFonts w:cs="Arial"/>
          <w:szCs w:val="18"/>
          <w:lang w:val="en-GB"/>
        </w:rPr>
      </w:pPr>
      <w:r w:rsidRPr="38CB5850">
        <w:rPr>
          <w:rFonts w:cs="Arial"/>
          <w:lang w:val="en-GB"/>
        </w:rPr>
        <w:t>This risk quantifies project exposure to climate-related regulatory and operational pressures using the Climate Change Environmental Performance Index (</w:t>
      </w:r>
      <w:proofErr w:type="spellStart"/>
      <w:r w:rsidRPr="38CB5850">
        <w:rPr>
          <w:rFonts w:cs="Arial"/>
          <w:lang w:val="en-GB"/>
        </w:rPr>
        <w:t>EPI_cc</w:t>
      </w:r>
      <w:proofErr w:type="spellEnd"/>
      <w:r w:rsidRPr="38CB5850">
        <w:rPr>
          <w:rFonts w:cs="Arial"/>
          <w:lang w:val="en-GB"/>
        </w:rPr>
        <w:t xml:space="preserve">) [4]. Countries are classified based on </w:t>
      </w:r>
      <w:proofErr w:type="spellStart"/>
      <w:r w:rsidRPr="38CB5850">
        <w:rPr>
          <w:rFonts w:cs="Arial"/>
          <w:lang w:val="en-GB"/>
        </w:rPr>
        <w:t>EPI_cc</w:t>
      </w:r>
      <w:proofErr w:type="spellEnd"/>
      <w:r w:rsidRPr="38CB5850">
        <w:rPr>
          <w:rFonts w:cs="Arial"/>
          <w:lang w:val="en-GB"/>
        </w:rPr>
        <w:t xml:space="preserve"> scores:</w:t>
      </w:r>
    </w:p>
    <w:p w14:paraId="43748F1A" w14:textId="44ABCBBD" w:rsidR="38CB5850" w:rsidRDefault="38CB5850" w:rsidP="38CB5850">
      <w:pPr>
        <w:pStyle w:val="CETBodytext"/>
      </w:pPr>
      <w:r>
        <w:t>Low Risk (</w:t>
      </w:r>
      <w:proofErr w:type="spellStart"/>
      <w:r>
        <w:t>EPI_cc</w:t>
      </w:r>
      <w:proofErr w:type="spellEnd"/>
      <w:r>
        <w:t xml:space="preserve"> &lt; 33)</w:t>
      </w:r>
    </w:p>
    <w:p w14:paraId="44EE15B1" w14:textId="2DD547BF" w:rsidR="38CB5850" w:rsidRDefault="38CB5850" w:rsidP="38CB5850">
      <w:pPr>
        <w:pStyle w:val="CETBodytext"/>
      </w:pPr>
      <w:r>
        <w:t>Medium Risk (33 ≤ EPI_cc &lt; 66)</w:t>
      </w:r>
    </w:p>
    <w:p w14:paraId="1AFB535B" w14:textId="049C1025" w:rsidR="38CB5850" w:rsidRDefault="38CB5850" w:rsidP="38CB5850">
      <w:pPr>
        <w:pStyle w:val="CETBodytext"/>
      </w:pPr>
      <w:r>
        <w:t>High Risk (66 ≤ EPI_cc ≤ 100).</w:t>
      </w:r>
    </w:p>
    <w:p w14:paraId="07643E62" w14:textId="77777777" w:rsidR="00990B8A" w:rsidRDefault="00990B8A" w:rsidP="00C733AC">
      <w:pPr>
        <w:pStyle w:val="CETBodytext"/>
        <w:rPr>
          <w:rFonts w:cs="Arial"/>
          <w:szCs w:val="18"/>
          <w:lang w:val="en-GB"/>
        </w:rPr>
      </w:pPr>
    </w:p>
    <w:p w14:paraId="064A6EDF" w14:textId="51C82C9C" w:rsidR="00C26D12" w:rsidRPr="000F1DF5" w:rsidRDefault="00990B8A" w:rsidP="00C733AC">
      <w:pPr>
        <w:pStyle w:val="CETBodytext"/>
        <w:rPr>
          <w:rFonts w:cs="Arial"/>
          <w:szCs w:val="18"/>
          <w:lang w:val="en-GB"/>
        </w:rPr>
      </w:pPr>
      <w:r w:rsidRPr="00990B8A">
        <w:rPr>
          <w:rFonts w:cs="Arial"/>
          <w:szCs w:val="18"/>
          <w:lang w:val="en-GB"/>
        </w:rPr>
        <w:t>Sector-specific weighting is applied for high-impact industries (e.g., Oil &amp; Gas) to reflect relative exposure. The resulting score integrates country-level climate performance with project operational characteristics, enabling consistent risk comparison across projects.</w:t>
      </w:r>
    </w:p>
    <w:p w14:paraId="665092D3" w14:textId="4E99BE79" w:rsidR="00B503FD" w:rsidRPr="000F1DF5" w:rsidRDefault="00C26D12" w:rsidP="00CE072D">
      <w:pPr>
        <w:pStyle w:val="CETBodytext"/>
        <w:jc w:val="left"/>
        <w:rPr>
          <w:rFonts w:cs="Arial"/>
          <w:szCs w:val="18"/>
        </w:rPr>
      </w:pPr>
      <w:r w:rsidRPr="000F1DF5">
        <w:rPr>
          <w:rFonts w:cs="Arial"/>
          <w:noProof/>
          <w:szCs w:val="18"/>
          <w:lang w:val="it-IT"/>
        </w:rPr>
        <w:drawing>
          <wp:inline distT="0" distB="0" distL="0" distR="0" wp14:anchorId="018E7D46" wp14:editId="470F2331">
            <wp:extent cx="2234241" cy="1491782"/>
            <wp:effectExtent l="0" t="0" r="0" b="0"/>
            <wp:docPr id="1873775257" name="Immagine 3" descr="Immagine che contiene testo, mappa,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75257" name="Immagine 3" descr="Immagine che contiene testo, mappa, atlante&#10;&#10;Il contenuto generato dall'IA potrebbe non essere corret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7872" cy="1494206"/>
                    </a:xfrm>
                    <a:prstGeom prst="rect">
                      <a:avLst/>
                    </a:prstGeom>
                    <a:noFill/>
                    <a:ln>
                      <a:noFill/>
                    </a:ln>
                  </pic:spPr>
                </pic:pic>
              </a:graphicData>
            </a:graphic>
          </wp:inline>
        </w:drawing>
      </w:r>
      <w:r w:rsidR="00E96825">
        <w:rPr>
          <w:rFonts w:cs="Arial"/>
          <w:szCs w:val="18"/>
        </w:rPr>
        <w:t xml:space="preserve">  </w:t>
      </w:r>
      <w:r w:rsidR="00B503FD" w:rsidRPr="000F1DF5">
        <w:rPr>
          <w:rFonts w:cs="Arial"/>
          <w:noProof/>
          <w:szCs w:val="18"/>
          <w:lang w:val="it-IT"/>
        </w:rPr>
        <w:drawing>
          <wp:inline distT="0" distB="0" distL="0" distR="0" wp14:anchorId="44D2CEB3" wp14:editId="4713697E">
            <wp:extent cx="2052926" cy="1548750"/>
            <wp:effectExtent l="0" t="0" r="5080" b="0"/>
            <wp:docPr id="320922133" name="Immagine 4"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2133" name="Immagine 4" descr="Immagine che contiene testo, schermata, Carattere, design&#10;&#10;Il contenuto generato dall'IA potrebbe non essere corret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9589" cy="1553777"/>
                    </a:xfrm>
                    <a:prstGeom prst="rect">
                      <a:avLst/>
                    </a:prstGeom>
                    <a:noFill/>
                    <a:ln>
                      <a:noFill/>
                    </a:ln>
                  </pic:spPr>
                </pic:pic>
              </a:graphicData>
            </a:graphic>
          </wp:inline>
        </w:drawing>
      </w:r>
    </w:p>
    <w:p w14:paraId="4254BC4E" w14:textId="77777777" w:rsidR="00F83564" w:rsidRPr="00F83564" w:rsidRDefault="00F83564" w:rsidP="00F83564">
      <w:pPr>
        <w:pStyle w:val="CETBodytext"/>
        <w:rPr>
          <w:rStyle w:val="CETCaptionCarattere"/>
          <w:rFonts w:cs="Arial"/>
          <w:szCs w:val="18"/>
        </w:rPr>
      </w:pPr>
      <w:r w:rsidRPr="00F83564">
        <w:rPr>
          <w:rStyle w:val="CETCaptionCarattere"/>
          <w:rFonts w:cs="Arial"/>
          <w:szCs w:val="18"/>
        </w:rPr>
        <w:t>Figure 4. Climate change commitment risk assessment.</w:t>
      </w:r>
    </w:p>
    <w:p w14:paraId="47C8E10A" w14:textId="77777777" w:rsidR="00F83564" w:rsidRPr="00F83564" w:rsidRDefault="00F83564" w:rsidP="00F83564">
      <w:pPr>
        <w:pStyle w:val="CETBodytext"/>
        <w:rPr>
          <w:rStyle w:val="CETCaptionCarattere"/>
          <w:rFonts w:cs="Arial"/>
          <w:lang w:val="en-US"/>
        </w:rPr>
      </w:pPr>
      <w:r w:rsidRPr="6D510E28">
        <w:rPr>
          <w:rStyle w:val="CETCaptionCarattere"/>
          <w:rFonts w:cs="Arial"/>
          <w:lang w:val="en-US"/>
        </w:rPr>
        <w:t xml:space="preserve">(a) Climate </w:t>
      </w:r>
      <w:proofErr w:type="gramStart"/>
      <w:r w:rsidRPr="6D510E28">
        <w:rPr>
          <w:rStyle w:val="CETCaptionCarattere"/>
          <w:rFonts w:cs="Arial"/>
          <w:lang w:val="en-US"/>
        </w:rPr>
        <w:t>change commitment</w:t>
      </w:r>
      <w:proofErr w:type="gramEnd"/>
      <w:r w:rsidRPr="6D510E28">
        <w:rPr>
          <w:rStyle w:val="CETCaptionCarattere"/>
          <w:rFonts w:cs="Arial"/>
          <w:lang w:val="en-US"/>
        </w:rPr>
        <w:t xml:space="preserve"> risk </w:t>
      </w:r>
      <w:proofErr w:type="gramStart"/>
      <w:r w:rsidRPr="6D510E28">
        <w:rPr>
          <w:rStyle w:val="CETCaptionCarattere"/>
          <w:rFonts w:cs="Arial"/>
          <w:lang w:val="en-US"/>
        </w:rPr>
        <w:t>map;</w:t>
      </w:r>
      <w:proofErr w:type="gramEnd"/>
    </w:p>
    <w:p w14:paraId="6DE6EF7E" w14:textId="77777777" w:rsidR="00F83564" w:rsidRDefault="00F83564" w:rsidP="00F83564">
      <w:pPr>
        <w:pStyle w:val="CETBodytext"/>
        <w:rPr>
          <w:rStyle w:val="CETCaptionCarattere"/>
          <w:rFonts w:cs="Arial"/>
          <w:szCs w:val="18"/>
        </w:rPr>
      </w:pPr>
      <w:r w:rsidRPr="00F83564">
        <w:rPr>
          <w:rStyle w:val="CETCaptionCarattere"/>
          <w:rFonts w:cs="Arial"/>
          <w:szCs w:val="18"/>
        </w:rPr>
        <w:t>(b) Climate change commitment risk assessment flowchart</w:t>
      </w:r>
    </w:p>
    <w:p w14:paraId="4B5EE7A7" w14:textId="77777777" w:rsidR="00F83564" w:rsidRDefault="00F83564" w:rsidP="00F83564">
      <w:pPr>
        <w:pStyle w:val="CETBodytext"/>
        <w:rPr>
          <w:rStyle w:val="CETCaptionCarattere"/>
          <w:rFonts w:cs="Arial"/>
          <w:szCs w:val="18"/>
        </w:rPr>
      </w:pPr>
    </w:p>
    <w:p w14:paraId="610E88DC" w14:textId="5F8657EA" w:rsidR="007A39BD" w:rsidRPr="00300B98" w:rsidRDefault="00A618BD" w:rsidP="00F83564">
      <w:pPr>
        <w:pStyle w:val="CETBodytext"/>
        <w:rPr>
          <w:rFonts w:cs="Arial"/>
          <w:b/>
          <w:bCs/>
          <w:szCs w:val="18"/>
          <w:lang w:val="en-GB"/>
        </w:rPr>
      </w:pPr>
      <w:r>
        <w:rPr>
          <w:rFonts w:cs="Arial"/>
          <w:b/>
          <w:bCs/>
          <w:szCs w:val="18"/>
          <w:lang w:val="en-GB"/>
        </w:rPr>
        <w:t>3</w:t>
      </w:r>
      <w:r w:rsidR="003D26EB">
        <w:rPr>
          <w:rFonts w:cs="Arial"/>
          <w:b/>
          <w:bCs/>
          <w:szCs w:val="18"/>
          <w:lang w:val="en-GB"/>
        </w:rPr>
        <w:t xml:space="preserve">.1.3 </w:t>
      </w:r>
      <w:r w:rsidR="007A39BD" w:rsidRPr="00300B98">
        <w:rPr>
          <w:rFonts w:cs="Arial"/>
          <w:b/>
          <w:bCs/>
          <w:szCs w:val="18"/>
          <w:lang w:val="en-GB"/>
        </w:rPr>
        <w:t>Water Withdrawal Risk</w:t>
      </w:r>
    </w:p>
    <w:p w14:paraId="6FC7BF86" w14:textId="61BD1793" w:rsidR="00CA4E83" w:rsidRDefault="00CA4E83" w:rsidP="00906B2A">
      <w:pPr>
        <w:pStyle w:val="CETBodytext"/>
        <w:rPr>
          <w:rFonts w:cs="Arial"/>
          <w:szCs w:val="18"/>
          <w:lang w:val="en-GB"/>
        </w:rPr>
      </w:pPr>
      <w:r w:rsidRPr="00CA4E83">
        <w:rPr>
          <w:rFonts w:cs="Arial"/>
          <w:szCs w:val="18"/>
          <w:lang w:val="en-GB"/>
        </w:rPr>
        <w:t xml:space="preserve">This risk assesses potential impacts of project activities on local water resources, using project type, water demand, and country water stress as key parameters. Country water </w:t>
      </w:r>
      <w:r w:rsidR="00B576F6">
        <w:rPr>
          <w:rFonts w:cs="Arial"/>
          <w:szCs w:val="18"/>
          <w:lang w:val="en-GB"/>
        </w:rPr>
        <w:t>risk</w:t>
      </w:r>
      <w:r w:rsidRPr="00CA4E83">
        <w:rPr>
          <w:rFonts w:cs="Arial"/>
          <w:szCs w:val="18"/>
          <w:lang w:val="en-GB"/>
        </w:rPr>
        <w:t xml:space="preserve"> is obtained from the Aqueduct tool [5], and projects are classified as:</w:t>
      </w:r>
    </w:p>
    <w:p w14:paraId="1320E378" w14:textId="7ED41D37" w:rsidR="00EE51E7" w:rsidRDefault="00CA4E83" w:rsidP="00CA4E83">
      <w:pPr>
        <w:pStyle w:val="CETBodytext"/>
        <w:numPr>
          <w:ilvl w:val="0"/>
          <w:numId w:val="25"/>
        </w:numPr>
        <w:rPr>
          <w:rFonts w:cs="Arial"/>
          <w:szCs w:val="18"/>
          <w:lang w:val="en-GB"/>
        </w:rPr>
      </w:pPr>
      <w:r w:rsidRPr="000F1DF5">
        <w:rPr>
          <w:rFonts w:cs="Arial"/>
          <w:szCs w:val="18"/>
          <w:lang w:val="en-GB"/>
        </w:rPr>
        <w:t>Low Risk (</w:t>
      </w:r>
      <w:r w:rsidR="00B576F6">
        <w:rPr>
          <w:rFonts w:cs="Arial"/>
          <w:szCs w:val="18"/>
          <w:lang w:val="en-GB"/>
        </w:rPr>
        <w:t xml:space="preserve">Aqueduct value in the range </w:t>
      </w:r>
      <w:r w:rsidRPr="000F1DF5">
        <w:rPr>
          <w:rFonts w:cs="Arial"/>
          <w:szCs w:val="18"/>
          <w:lang w:val="en-GB"/>
        </w:rPr>
        <w:t>0–2)</w:t>
      </w:r>
    </w:p>
    <w:p w14:paraId="0D183E6A" w14:textId="417A8900" w:rsidR="00EE51E7" w:rsidRDefault="00CA4E83" w:rsidP="00CA4E83">
      <w:pPr>
        <w:pStyle w:val="CETBodytext"/>
        <w:numPr>
          <w:ilvl w:val="0"/>
          <w:numId w:val="25"/>
        </w:numPr>
        <w:rPr>
          <w:rFonts w:cs="Arial"/>
          <w:szCs w:val="18"/>
          <w:lang w:val="en-GB"/>
        </w:rPr>
      </w:pPr>
      <w:r w:rsidRPr="000F1DF5">
        <w:rPr>
          <w:rFonts w:cs="Arial"/>
          <w:szCs w:val="18"/>
          <w:lang w:val="en-GB"/>
        </w:rPr>
        <w:t>Medium Risk (</w:t>
      </w:r>
      <w:r w:rsidR="00B576F6">
        <w:rPr>
          <w:rFonts w:cs="Arial"/>
          <w:szCs w:val="18"/>
          <w:lang w:val="en-GB"/>
        </w:rPr>
        <w:t xml:space="preserve">Aqueduct value in the range </w:t>
      </w:r>
      <w:r w:rsidRPr="000F1DF5">
        <w:rPr>
          <w:rFonts w:cs="Arial"/>
          <w:szCs w:val="18"/>
          <w:lang w:val="en-GB"/>
        </w:rPr>
        <w:t>2–3)</w:t>
      </w:r>
    </w:p>
    <w:p w14:paraId="156C1F0A" w14:textId="2B70F7A9" w:rsidR="00CA4E83" w:rsidRDefault="00CA4E83" w:rsidP="00CA4E83">
      <w:pPr>
        <w:pStyle w:val="CETBodytext"/>
        <w:numPr>
          <w:ilvl w:val="0"/>
          <w:numId w:val="25"/>
        </w:numPr>
        <w:rPr>
          <w:rFonts w:cs="Arial"/>
          <w:szCs w:val="18"/>
          <w:lang w:val="en-GB"/>
        </w:rPr>
      </w:pPr>
      <w:r w:rsidRPr="000F1DF5">
        <w:rPr>
          <w:rFonts w:cs="Arial"/>
          <w:szCs w:val="18"/>
          <w:lang w:val="en-GB"/>
        </w:rPr>
        <w:t>High Risk (</w:t>
      </w:r>
      <w:r w:rsidR="00B576F6">
        <w:rPr>
          <w:rFonts w:cs="Arial"/>
          <w:szCs w:val="18"/>
          <w:lang w:val="en-GB"/>
        </w:rPr>
        <w:t xml:space="preserve">Aqueduct value in the range </w:t>
      </w:r>
      <w:r w:rsidRPr="000F1DF5">
        <w:rPr>
          <w:rFonts w:cs="Arial"/>
          <w:szCs w:val="18"/>
          <w:lang w:val="en-GB"/>
        </w:rPr>
        <w:t>3–5).</w:t>
      </w:r>
    </w:p>
    <w:p w14:paraId="1311E0E2" w14:textId="77777777" w:rsidR="00365E31" w:rsidRDefault="00365E31" w:rsidP="007D5967">
      <w:pPr>
        <w:pStyle w:val="CETBodytext"/>
        <w:rPr>
          <w:rFonts w:cs="Arial"/>
          <w:szCs w:val="18"/>
          <w:lang w:val="en-GB"/>
        </w:rPr>
      </w:pPr>
    </w:p>
    <w:p w14:paraId="3539B08F" w14:textId="36A5D60F" w:rsidR="00620E71" w:rsidRPr="000F1DF5" w:rsidRDefault="00906B2A" w:rsidP="007D5967">
      <w:pPr>
        <w:pStyle w:val="CETBodytext"/>
        <w:rPr>
          <w:rFonts w:cs="Arial"/>
          <w:szCs w:val="18"/>
          <w:lang w:val="en-GB"/>
        </w:rPr>
      </w:pPr>
      <w:r w:rsidRPr="000F1DF5">
        <w:rPr>
          <w:rFonts w:cs="Arial"/>
          <w:szCs w:val="18"/>
          <w:lang w:val="en-GB"/>
        </w:rPr>
        <w:t xml:space="preserve">Offshore projects generally present lower risk, except when freshwater is required (e.g., hydrotesting in stressed regions), while the use of desalination reduces the risk. </w:t>
      </w:r>
    </w:p>
    <w:p w14:paraId="1BB7B92F" w14:textId="77777777" w:rsidR="009C06A3" w:rsidRPr="000F1DF5" w:rsidRDefault="009C06A3" w:rsidP="00F27180">
      <w:pPr>
        <w:pStyle w:val="CETBodytext"/>
        <w:rPr>
          <w:rFonts w:cs="Arial"/>
          <w:szCs w:val="18"/>
        </w:rPr>
      </w:pPr>
    </w:p>
    <w:p w14:paraId="6BC9962D" w14:textId="611CD647" w:rsidR="00F27180" w:rsidRPr="00E96825" w:rsidRDefault="00240714" w:rsidP="00CE072D">
      <w:pPr>
        <w:pStyle w:val="CETBodytext"/>
        <w:jc w:val="left"/>
        <w:rPr>
          <w:rFonts w:cs="Arial"/>
          <w:szCs w:val="18"/>
        </w:rPr>
      </w:pPr>
      <w:r w:rsidRPr="000F1DF5">
        <w:rPr>
          <w:rFonts w:cs="Arial"/>
          <w:noProof/>
          <w:szCs w:val="18"/>
          <w:lang w:val="it-IT"/>
        </w:rPr>
        <w:drawing>
          <wp:inline distT="0" distB="0" distL="0" distR="0" wp14:anchorId="034FC5F4" wp14:editId="2F2A318B">
            <wp:extent cx="2311879" cy="1561771"/>
            <wp:effectExtent l="0" t="0" r="0" b="635"/>
            <wp:docPr id="2090833110" name="Immagine 6" descr="Immagine che contiene testo, mappa,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33110" name="Immagine 6" descr="Immagine che contiene testo, mappa, atlante&#10;&#10;Il contenuto generato dall'IA potrebbe non essere corret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3680" cy="1562988"/>
                    </a:xfrm>
                    <a:prstGeom prst="rect">
                      <a:avLst/>
                    </a:prstGeom>
                    <a:noFill/>
                    <a:ln>
                      <a:noFill/>
                    </a:ln>
                  </pic:spPr>
                </pic:pic>
              </a:graphicData>
            </a:graphic>
          </wp:inline>
        </w:drawing>
      </w:r>
      <w:r w:rsidR="00E96825" w:rsidRPr="00E96825">
        <w:rPr>
          <w:rFonts w:cs="Arial"/>
          <w:szCs w:val="18"/>
        </w:rPr>
        <w:t xml:space="preserve">   </w:t>
      </w:r>
      <w:r w:rsidR="00F27180" w:rsidRPr="000F1DF5">
        <w:rPr>
          <w:rFonts w:cs="Arial"/>
          <w:noProof/>
          <w:szCs w:val="18"/>
          <w:lang w:val="it-IT"/>
        </w:rPr>
        <w:drawing>
          <wp:inline distT="0" distB="0" distL="0" distR="0" wp14:anchorId="02D9777D" wp14:editId="4E263509">
            <wp:extent cx="2122098" cy="1600690"/>
            <wp:effectExtent l="0" t="0" r="0" b="0"/>
            <wp:docPr id="2100277620" name="Immagine 5"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77620" name="Immagine 5" descr="Immagine che contiene testo, schermata, Carattere, design&#10;&#10;Il contenuto generato dall'IA potrebbe non essere corret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8689" cy="1605662"/>
                    </a:xfrm>
                    <a:prstGeom prst="rect">
                      <a:avLst/>
                    </a:prstGeom>
                    <a:noFill/>
                    <a:ln>
                      <a:noFill/>
                    </a:ln>
                  </pic:spPr>
                </pic:pic>
              </a:graphicData>
            </a:graphic>
          </wp:inline>
        </w:drawing>
      </w:r>
    </w:p>
    <w:p w14:paraId="4256A055" w14:textId="77777777" w:rsidR="002A1E0C" w:rsidRPr="002A1E0C" w:rsidRDefault="002A1E0C" w:rsidP="002A1E0C">
      <w:pPr>
        <w:pStyle w:val="CETBodytext"/>
        <w:rPr>
          <w:rStyle w:val="CETCaptionCarattere"/>
          <w:rFonts w:cs="Arial"/>
          <w:szCs w:val="18"/>
        </w:rPr>
      </w:pPr>
      <w:r w:rsidRPr="002A1E0C">
        <w:rPr>
          <w:rStyle w:val="CETCaptionCarattere"/>
          <w:rFonts w:cs="Arial"/>
          <w:szCs w:val="18"/>
        </w:rPr>
        <w:t>Figure 5. Water risk assessment framework.</w:t>
      </w:r>
    </w:p>
    <w:p w14:paraId="1051C675" w14:textId="77777777" w:rsidR="002A1E0C" w:rsidRPr="002A1E0C" w:rsidRDefault="002A1E0C" w:rsidP="002A1E0C">
      <w:pPr>
        <w:pStyle w:val="CETBodytext"/>
        <w:rPr>
          <w:rStyle w:val="CETCaptionCarattere"/>
          <w:rFonts w:cs="Arial"/>
          <w:lang w:val="en-US"/>
        </w:rPr>
      </w:pPr>
      <w:r w:rsidRPr="6D510E28">
        <w:rPr>
          <w:rStyle w:val="CETCaptionCarattere"/>
          <w:rFonts w:cs="Arial"/>
          <w:lang w:val="en-US"/>
        </w:rPr>
        <w:t xml:space="preserve">(a) Water risk </w:t>
      </w:r>
      <w:proofErr w:type="gramStart"/>
      <w:r w:rsidRPr="6D510E28">
        <w:rPr>
          <w:rStyle w:val="CETCaptionCarattere"/>
          <w:rFonts w:cs="Arial"/>
          <w:lang w:val="en-US"/>
        </w:rPr>
        <w:t>map;</w:t>
      </w:r>
      <w:proofErr w:type="gramEnd"/>
    </w:p>
    <w:p w14:paraId="4285EE35" w14:textId="77777777" w:rsidR="002A1E0C" w:rsidRDefault="002A1E0C" w:rsidP="002A1E0C">
      <w:pPr>
        <w:pStyle w:val="CETBodytext"/>
        <w:rPr>
          <w:rStyle w:val="CETCaptionCarattere"/>
          <w:rFonts w:cs="Arial"/>
          <w:szCs w:val="18"/>
        </w:rPr>
      </w:pPr>
      <w:r w:rsidRPr="002A1E0C">
        <w:rPr>
          <w:rStyle w:val="CETCaptionCarattere"/>
          <w:rFonts w:cs="Arial"/>
          <w:szCs w:val="18"/>
        </w:rPr>
        <w:t>(b) Water risk assessment flowchart.</w:t>
      </w:r>
    </w:p>
    <w:p w14:paraId="53ABDCA5" w14:textId="77777777" w:rsidR="002A1E0C" w:rsidRDefault="002A1E0C" w:rsidP="002A1E0C">
      <w:pPr>
        <w:pStyle w:val="CETBodytext"/>
        <w:rPr>
          <w:rFonts w:cs="Arial"/>
          <w:b/>
          <w:bCs/>
          <w:szCs w:val="18"/>
        </w:rPr>
      </w:pPr>
    </w:p>
    <w:p w14:paraId="5646E606" w14:textId="32766B71" w:rsidR="007A2BF7" w:rsidRPr="007A2BF7" w:rsidRDefault="00A618BD" w:rsidP="002A1E0C">
      <w:pPr>
        <w:pStyle w:val="CETBodytext"/>
        <w:rPr>
          <w:rFonts w:cs="Arial"/>
          <w:b/>
          <w:bCs/>
          <w:szCs w:val="18"/>
        </w:rPr>
      </w:pPr>
      <w:r>
        <w:rPr>
          <w:rFonts w:cs="Arial"/>
          <w:b/>
          <w:bCs/>
          <w:szCs w:val="18"/>
        </w:rPr>
        <w:t>3</w:t>
      </w:r>
      <w:r w:rsidR="003D26EB">
        <w:rPr>
          <w:rFonts w:cs="Arial"/>
          <w:b/>
          <w:bCs/>
          <w:szCs w:val="18"/>
        </w:rPr>
        <w:t xml:space="preserve">.1.4 </w:t>
      </w:r>
      <w:r w:rsidR="007A2BF7" w:rsidRPr="007A2BF7">
        <w:rPr>
          <w:rFonts w:cs="Arial"/>
          <w:b/>
          <w:bCs/>
          <w:szCs w:val="18"/>
        </w:rPr>
        <w:t>Biodiversity Risk</w:t>
      </w:r>
    </w:p>
    <w:p w14:paraId="56D5AF42" w14:textId="77585FB9" w:rsidR="00F4589F" w:rsidRDefault="007A2BF7" w:rsidP="00F4589F">
      <w:pPr>
        <w:pStyle w:val="CETBodytext"/>
      </w:pPr>
      <w:r w:rsidRPr="007A2BF7">
        <w:rPr>
          <w:rFonts w:cs="Arial"/>
          <w:szCs w:val="18"/>
        </w:rPr>
        <w:t>This risk evaluates potential impacts on sensitive habitats, species, or ecosystems using a two-step assessment:</w:t>
      </w:r>
      <w:r w:rsidR="00F4589F" w:rsidRPr="00F4589F">
        <w:t xml:space="preserve"> </w:t>
      </w:r>
    </w:p>
    <w:p w14:paraId="605843CB" w14:textId="3F38AE72" w:rsidR="00F4589F" w:rsidRDefault="00F4589F">
      <w:pPr>
        <w:pStyle w:val="CETBodytext"/>
        <w:numPr>
          <w:ilvl w:val="0"/>
          <w:numId w:val="23"/>
        </w:numPr>
        <w:rPr>
          <w:rFonts w:cs="Arial"/>
          <w:szCs w:val="18"/>
        </w:rPr>
      </w:pPr>
      <w:r w:rsidRPr="00F4589F">
        <w:rPr>
          <w:rFonts w:cs="Arial"/>
          <w:szCs w:val="18"/>
        </w:rPr>
        <w:t xml:space="preserve">Project Scope </w:t>
      </w:r>
      <w:proofErr w:type="gramStart"/>
      <w:r w:rsidRPr="00F4589F">
        <w:rPr>
          <w:rFonts w:cs="Arial"/>
          <w:szCs w:val="18"/>
        </w:rPr>
        <w:t xml:space="preserve">Assessment </w:t>
      </w:r>
      <w:r w:rsidR="00365E31">
        <w:rPr>
          <w:rFonts w:cs="Arial"/>
          <w:szCs w:val="18"/>
        </w:rPr>
        <w:t>:</w:t>
      </w:r>
      <w:proofErr w:type="gramEnd"/>
      <w:r w:rsidR="00365E31">
        <w:rPr>
          <w:rFonts w:cs="Arial"/>
          <w:szCs w:val="18"/>
        </w:rPr>
        <w:t xml:space="preserve"> b</w:t>
      </w:r>
      <w:r w:rsidRPr="00F4589F">
        <w:rPr>
          <w:rFonts w:cs="Arial"/>
          <w:szCs w:val="18"/>
        </w:rPr>
        <w:t xml:space="preserve">aseline risk assigned by project type and operational </w:t>
      </w:r>
      <w:r w:rsidR="00365E31" w:rsidRPr="00F4589F">
        <w:rPr>
          <w:rFonts w:cs="Arial"/>
          <w:szCs w:val="18"/>
        </w:rPr>
        <w:t>characteristics. Risk</w:t>
      </w:r>
      <w:r w:rsidR="00161A48" w:rsidRPr="00F4589F">
        <w:rPr>
          <w:rFonts w:cs="Arial"/>
          <w:szCs w:val="18"/>
        </w:rPr>
        <w:t xml:space="preserve"> baseline</w:t>
      </w:r>
      <w:r w:rsidR="00C576AE">
        <w:rPr>
          <w:rFonts w:cs="Arial"/>
          <w:szCs w:val="18"/>
        </w:rPr>
        <w:t xml:space="preserve"> is</w:t>
      </w:r>
      <w:r w:rsidR="00161A48" w:rsidRPr="00F4589F">
        <w:rPr>
          <w:rFonts w:cs="Arial"/>
          <w:szCs w:val="18"/>
        </w:rPr>
        <w:t xml:space="preserve"> assigned by project type</w:t>
      </w:r>
      <w:r w:rsidR="00C576AE">
        <w:rPr>
          <w:rFonts w:cs="Arial"/>
          <w:szCs w:val="18"/>
        </w:rPr>
        <w:t xml:space="preserve"> </w:t>
      </w:r>
      <w:r w:rsidR="00161A48" w:rsidRPr="00F4589F">
        <w:rPr>
          <w:rFonts w:cs="Arial"/>
          <w:szCs w:val="18"/>
        </w:rPr>
        <w:t>based on experience.</w:t>
      </w:r>
    </w:p>
    <w:p w14:paraId="458CD6CC" w14:textId="69E42674" w:rsidR="00F4589F" w:rsidRDefault="00F4589F" w:rsidP="00F4589F">
      <w:pPr>
        <w:pStyle w:val="CETBodytext"/>
        <w:numPr>
          <w:ilvl w:val="0"/>
          <w:numId w:val="23"/>
        </w:numPr>
        <w:rPr>
          <w:rFonts w:cs="Arial"/>
          <w:szCs w:val="18"/>
        </w:rPr>
      </w:pPr>
      <w:r w:rsidRPr="00F4589F">
        <w:rPr>
          <w:rFonts w:cs="Arial"/>
          <w:szCs w:val="18"/>
        </w:rPr>
        <w:t>Country-Level Assessment</w:t>
      </w:r>
      <w:r w:rsidR="00C576AE">
        <w:rPr>
          <w:rFonts w:cs="Arial"/>
          <w:szCs w:val="18"/>
        </w:rPr>
        <w:t>: b</w:t>
      </w:r>
      <w:r w:rsidRPr="00F4589F">
        <w:rPr>
          <w:rFonts w:cs="Arial"/>
          <w:szCs w:val="18"/>
        </w:rPr>
        <w:t>ased on IBAT biodiversity maps [6], which quantify the share of protected or sensitive areas</w:t>
      </w:r>
      <w:r w:rsidR="00C576AE">
        <w:rPr>
          <w:rFonts w:cs="Arial"/>
          <w:szCs w:val="18"/>
        </w:rPr>
        <w:t xml:space="preserve"> with the following c</w:t>
      </w:r>
      <w:r w:rsidRPr="00F4589F">
        <w:rPr>
          <w:rFonts w:cs="Arial"/>
          <w:szCs w:val="18"/>
        </w:rPr>
        <w:t>lassification</w:t>
      </w:r>
      <w:r>
        <w:rPr>
          <w:rFonts w:cs="Arial"/>
          <w:szCs w:val="18"/>
        </w:rPr>
        <w:t>:</w:t>
      </w:r>
    </w:p>
    <w:p w14:paraId="4D42098B" w14:textId="47B12DAD" w:rsidR="00F4589F" w:rsidRDefault="00161A48" w:rsidP="00F4589F">
      <w:pPr>
        <w:pStyle w:val="CETBodytext"/>
        <w:numPr>
          <w:ilvl w:val="1"/>
          <w:numId w:val="25"/>
        </w:numPr>
        <w:rPr>
          <w:rFonts w:cs="Arial"/>
          <w:szCs w:val="18"/>
        </w:rPr>
      </w:pPr>
      <w:r w:rsidRPr="00F4589F">
        <w:rPr>
          <w:rFonts w:cs="Arial"/>
          <w:szCs w:val="18"/>
        </w:rPr>
        <w:t>For onshore projects the risk is linked to % of land in biodiversity-sensitive zones: Low</w:t>
      </w:r>
      <w:r w:rsidR="00C576AE">
        <w:rPr>
          <w:rFonts w:cs="Arial"/>
          <w:szCs w:val="18"/>
        </w:rPr>
        <w:t xml:space="preserve"> Risk</w:t>
      </w:r>
      <w:r w:rsidRPr="00F4589F">
        <w:rPr>
          <w:rFonts w:cs="Arial"/>
          <w:szCs w:val="18"/>
        </w:rPr>
        <w:t xml:space="preserve"> (0–10%), Medium </w:t>
      </w:r>
      <w:r w:rsidR="00C576AE">
        <w:rPr>
          <w:rFonts w:cs="Arial"/>
          <w:szCs w:val="18"/>
        </w:rPr>
        <w:t xml:space="preserve">Risk </w:t>
      </w:r>
      <w:r w:rsidRPr="00F4589F">
        <w:rPr>
          <w:rFonts w:cs="Arial"/>
          <w:szCs w:val="18"/>
        </w:rPr>
        <w:t>(10–25%), High</w:t>
      </w:r>
      <w:r w:rsidR="00C576AE">
        <w:rPr>
          <w:rFonts w:cs="Arial"/>
          <w:szCs w:val="18"/>
        </w:rPr>
        <w:t xml:space="preserve"> Risk</w:t>
      </w:r>
      <w:r w:rsidRPr="00F4589F">
        <w:rPr>
          <w:rFonts w:cs="Arial"/>
          <w:szCs w:val="18"/>
        </w:rPr>
        <w:t xml:space="preserve"> (25–100%).</w:t>
      </w:r>
    </w:p>
    <w:p w14:paraId="02DA272E" w14:textId="0C2FED32" w:rsidR="00F4589F" w:rsidRDefault="00161A48" w:rsidP="00F4589F">
      <w:pPr>
        <w:pStyle w:val="CETBodytext"/>
        <w:numPr>
          <w:ilvl w:val="1"/>
          <w:numId w:val="25"/>
        </w:numPr>
        <w:rPr>
          <w:rFonts w:cs="Arial"/>
          <w:szCs w:val="18"/>
        </w:rPr>
      </w:pPr>
      <w:r w:rsidRPr="00F4589F">
        <w:rPr>
          <w:rFonts w:cs="Arial"/>
          <w:szCs w:val="18"/>
        </w:rPr>
        <w:tab/>
        <w:t xml:space="preserve">For offshore projects the risk is linked to % of territorial waters under protection: Low </w:t>
      </w:r>
      <w:r w:rsidR="00C576AE">
        <w:rPr>
          <w:rFonts w:cs="Arial"/>
          <w:szCs w:val="18"/>
        </w:rPr>
        <w:t xml:space="preserve">Risk </w:t>
      </w:r>
      <w:r w:rsidRPr="00F4589F">
        <w:rPr>
          <w:rFonts w:cs="Arial"/>
          <w:szCs w:val="18"/>
        </w:rPr>
        <w:t xml:space="preserve">(0–1%), Medium </w:t>
      </w:r>
      <w:r w:rsidR="00C576AE">
        <w:rPr>
          <w:rFonts w:cs="Arial"/>
          <w:szCs w:val="18"/>
        </w:rPr>
        <w:t xml:space="preserve">Risk </w:t>
      </w:r>
      <w:r w:rsidRPr="00F4589F">
        <w:rPr>
          <w:rFonts w:cs="Arial"/>
          <w:szCs w:val="18"/>
        </w:rPr>
        <w:t xml:space="preserve">(1–10%), High </w:t>
      </w:r>
      <w:r w:rsidR="00C576AE">
        <w:rPr>
          <w:rFonts w:cs="Arial"/>
          <w:szCs w:val="18"/>
        </w:rPr>
        <w:t xml:space="preserve">Risk </w:t>
      </w:r>
      <w:r w:rsidRPr="00F4589F">
        <w:rPr>
          <w:rFonts w:cs="Arial"/>
          <w:szCs w:val="18"/>
        </w:rPr>
        <w:t>(10–100%).</w:t>
      </w:r>
    </w:p>
    <w:p w14:paraId="143DE1A2" w14:textId="6EE92FC2" w:rsidR="00161A48" w:rsidRPr="00F4589F" w:rsidRDefault="00161A48" w:rsidP="00F4589F">
      <w:pPr>
        <w:pStyle w:val="CETBodytext"/>
        <w:numPr>
          <w:ilvl w:val="1"/>
          <w:numId w:val="25"/>
        </w:numPr>
        <w:rPr>
          <w:rFonts w:cs="Arial"/>
          <w:szCs w:val="18"/>
        </w:rPr>
      </w:pPr>
      <w:r w:rsidRPr="00F4589F">
        <w:rPr>
          <w:rFonts w:cs="Arial"/>
          <w:szCs w:val="18"/>
        </w:rPr>
        <w:tab/>
        <w:t>For projects that span both onshore and offshore domains, the higher risk level between the two is conservatively applied.</w:t>
      </w:r>
    </w:p>
    <w:p w14:paraId="52A0B4B2" w14:textId="77777777" w:rsidR="00F83564" w:rsidRDefault="00DE3807" w:rsidP="00F83564">
      <w:pPr>
        <w:pStyle w:val="CETBodytext"/>
        <w:ind w:left="1416"/>
        <w:jc w:val="left"/>
        <w:rPr>
          <w:rFonts w:cs="Arial"/>
          <w:szCs w:val="18"/>
          <w:lang w:val="it-IT"/>
        </w:rPr>
      </w:pPr>
      <w:r w:rsidRPr="000F1DF5">
        <w:rPr>
          <w:rFonts w:cs="Arial"/>
          <w:noProof/>
          <w:szCs w:val="18"/>
          <w:lang w:val="it-IT"/>
        </w:rPr>
        <w:drawing>
          <wp:inline distT="0" distB="0" distL="0" distR="0" wp14:anchorId="52E2CBAB" wp14:editId="0FA81F2C">
            <wp:extent cx="1598715" cy="1080000"/>
            <wp:effectExtent l="0" t="0" r="1905" b="6350"/>
            <wp:docPr id="352273380" name="Immagine 7" descr="Immagine che contiene testo,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73380" name="Immagine 7" descr="Immagine che contiene testo, mappa&#10;&#10;Il contenuto generato dall'IA potrebbe non essere corret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8715" cy="1080000"/>
                    </a:xfrm>
                    <a:prstGeom prst="rect">
                      <a:avLst/>
                    </a:prstGeom>
                    <a:noFill/>
                    <a:ln>
                      <a:noFill/>
                    </a:ln>
                  </pic:spPr>
                </pic:pic>
              </a:graphicData>
            </a:graphic>
          </wp:inline>
        </w:drawing>
      </w:r>
      <w:r w:rsidRPr="000F1DF5">
        <w:rPr>
          <w:rFonts w:cs="Arial"/>
          <w:noProof/>
          <w:szCs w:val="18"/>
          <w:lang w:val="it-IT"/>
        </w:rPr>
        <w:drawing>
          <wp:inline distT="0" distB="0" distL="0" distR="0" wp14:anchorId="140D64F8" wp14:editId="0EA13440">
            <wp:extent cx="1598715" cy="1080000"/>
            <wp:effectExtent l="0" t="0" r="1905" b="6350"/>
            <wp:docPr id="1004690234" name="Immagine 8" descr="Immagine che contiene testo, mappa,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0234" name="Immagine 8" descr="Immagine che contiene testo, mappa, atlante&#10;&#10;Il contenuto generato dall'IA potrebbe non essere corret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8715" cy="1080000"/>
                    </a:xfrm>
                    <a:prstGeom prst="rect">
                      <a:avLst/>
                    </a:prstGeom>
                    <a:noFill/>
                    <a:ln>
                      <a:noFill/>
                    </a:ln>
                  </pic:spPr>
                </pic:pic>
              </a:graphicData>
            </a:graphic>
          </wp:inline>
        </w:drawing>
      </w:r>
    </w:p>
    <w:p w14:paraId="1736AFAC" w14:textId="77777777" w:rsidR="00F83564" w:rsidRDefault="00F83564" w:rsidP="00F83564">
      <w:pPr>
        <w:pStyle w:val="CETBodytext"/>
        <w:ind w:left="1416"/>
        <w:jc w:val="left"/>
        <w:rPr>
          <w:rStyle w:val="CETCaptionCarattere"/>
          <w:rFonts w:cs="Arial"/>
          <w:szCs w:val="18"/>
        </w:rPr>
      </w:pPr>
      <w:r w:rsidRPr="00F83564">
        <w:rPr>
          <w:rStyle w:val="CETCaptionCarattere"/>
          <w:rFonts w:cs="Arial"/>
          <w:szCs w:val="18"/>
        </w:rPr>
        <w:t>Figure 6. Biodiversity risk mapping.</w:t>
      </w:r>
    </w:p>
    <w:p w14:paraId="5183FFCC" w14:textId="77777777" w:rsidR="00BF1623" w:rsidRDefault="00F83564" w:rsidP="00F83564">
      <w:pPr>
        <w:pStyle w:val="CETBodytext"/>
        <w:ind w:left="1416"/>
        <w:jc w:val="left"/>
        <w:rPr>
          <w:rStyle w:val="CETCaptionCarattere"/>
          <w:rFonts w:cs="Arial"/>
          <w:lang w:val="en-US"/>
        </w:rPr>
      </w:pPr>
      <w:r w:rsidRPr="6D510E28">
        <w:rPr>
          <w:rStyle w:val="CETCaptionCarattere"/>
          <w:rFonts w:cs="Arial"/>
          <w:lang w:val="en-US"/>
        </w:rPr>
        <w:t xml:space="preserve">(a) Offshore biodiversity risk </w:t>
      </w:r>
      <w:proofErr w:type="gramStart"/>
      <w:r w:rsidRPr="6D510E28">
        <w:rPr>
          <w:rStyle w:val="CETCaptionCarattere"/>
          <w:rFonts w:cs="Arial"/>
          <w:lang w:val="en-US"/>
        </w:rPr>
        <w:t>map;</w:t>
      </w:r>
      <w:proofErr w:type="gramEnd"/>
    </w:p>
    <w:p w14:paraId="1B5BBA1D" w14:textId="2A8F2B7C" w:rsidR="00F83564" w:rsidRDefault="00F83564" w:rsidP="00F83564">
      <w:pPr>
        <w:pStyle w:val="CETBodytext"/>
        <w:ind w:left="1416"/>
        <w:jc w:val="left"/>
        <w:rPr>
          <w:rStyle w:val="CETCaptionCarattere"/>
          <w:rFonts w:cs="Arial"/>
          <w:szCs w:val="18"/>
        </w:rPr>
      </w:pPr>
      <w:r w:rsidRPr="00F83564">
        <w:rPr>
          <w:rStyle w:val="CETCaptionCarattere"/>
          <w:rFonts w:cs="Arial"/>
          <w:szCs w:val="18"/>
        </w:rPr>
        <w:t>(b) Onshore biodiversity risk map.</w:t>
      </w:r>
    </w:p>
    <w:p w14:paraId="2C7A9E18" w14:textId="77777777" w:rsidR="00F83564" w:rsidRDefault="00F83564" w:rsidP="00F83564">
      <w:pPr>
        <w:pStyle w:val="CETBodytext"/>
        <w:rPr>
          <w:rStyle w:val="CETCaptionCarattere"/>
          <w:rFonts w:cs="Arial"/>
          <w:szCs w:val="18"/>
        </w:rPr>
      </w:pPr>
    </w:p>
    <w:p w14:paraId="24EE0414" w14:textId="46B15020" w:rsidR="00161A48" w:rsidRPr="000F1DF5" w:rsidRDefault="00161A48" w:rsidP="00F83564">
      <w:pPr>
        <w:pStyle w:val="CETBodytext"/>
        <w:rPr>
          <w:rFonts w:cs="Arial"/>
          <w:szCs w:val="18"/>
        </w:rPr>
      </w:pPr>
      <w:r w:rsidRPr="000F1DF5">
        <w:rPr>
          <w:rFonts w:cs="Arial"/>
          <w:szCs w:val="18"/>
        </w:rPr>
        <w:t>Once both assessments are completed, the final biodiversity risk level is determined conservatively by adopting the higher of the two risk levels in line with a conservative approach.</w:t>
      </w:r>
      <w:r w:rsidR="0062674E" w:rsidRPr="0062674E">
        <w:t xml:space="preserve"> </w:t>
      </w:r>
      <w:r w:rsidR="0062674E" w:rsidRPr="0062674E">
        <w:rPr>
          <w:rFonts w:cs="Arial"/>
          <w:szCs w:val="18"/>
        </w:rPr>
        <w:t xml:space="preserve">If an ESIA is available and indicates protected or sensitive areas the </w:t>
      </w:r>
      <w:r w:rsidR="00C576AE">
        <w:rPr>
          <w:rFonts w:cs="Arial"/>
          <w:szCs w:val="18"/>
        </w:rPr>
        <w:t xml:space="preserve">biodiversity conservation </w:t>
      </w:r>
      <w:r w:rsidR="0062674E" w:rsidRPr="0062674E">
        <w:rPr>
          <w:rFonts w:cs="Arial"/>
          <w:szCs w:val="18"/>
        </w:rPr>
        <w:t xml:space="preserve">risk is automatically classified as </w:t>
      </w:r>
      <w:r w:rsidR="00C576AE">
        <w:rPr>
          <w:rFonts w:cs="Arial"/>
          <w:szCs w:val="18"/>
        </w:rPr>
        <w:t>“</w:t>
      </w:r>
      <w:r w:rsidR="0062674E" w:rsidRPr="0062674E">
        <w:rPr>
          <w:rFonts w:cs="Arial"/>
          <w:szCs w:val="18"/>
        </w:rPr>
        <w:t>High</w:t>
      </w:r>
      <w:r w:rsidR="00C576AE">
        <w:rPr>
          <w:rFonts w:cs="Arial"/>
          <w:szCs w:val="18"/>
        </w:rPr>
        <w:t xml:space="preserve"> Risk”</w:t>
      </w:r>
      <w:r w:rsidR="0062674E" w:rsidRPr="0062674E">
        <w:rPr>
          <w:rFonts w:cs="Arial"/>
          <w:szCs w:val="18"/>
        </w:rPr>
        <w:t>.</w:t>
      </w:r>
    </w:p>
    <w:p w14:paraId="79F8635A" w14:textId="77777777" w:rsidR="00161A48" w:rsidRDefault="00161A48" w:rsidP="00173944">
      <w:pPr>
        <w:pStyle w:val="CETBodytext"/>
        <w:rPr>
          <w:rFonts w:cs="Arial"/>
          <w:szCs w:val="18"/>
        </w:rPr>
      </w:pPr>
    </w:p>
    <w:p w14:paraId="79A69A50" w14:textId="3FCF5CD7" w:rsidR="005A3526" w:rsidRPr="005A3526" w:rsidRDefault="00A618BD" w:rsidP="00173944">
      <w:pPr>
        <w:pStyle w:val="CETBodytext"/>
        <w:rPr>
          <w:rFonts w:cs="Arial"/>
          <w:b/>
          <w:bCs/>
          <w:szCs w:val="18"/>
        </w:rPr>
      </w:pPr>
      <w:r>
        <w:rPr>
          <w:rFonts w:cs="Arial"/>
          <w:b/>
          <w:bCs/>
          <w:szCs w:val="18"/>
        </w:rPr>
        <w:t>3</w:t>
      </w:r>
      <w:r w:rsidR="003D26EB">
        <w:rPr>
          <w:rFonts w:cs="Arial"/>
          <w:b/>
          <w:bCs/>
          <w:szCs w:val="18"/>
        </w:rPr>
        <w:t xml:space="preserve">.1.5 </w:t>
      </w:r>
      <w:r w:rsidR="005A3526" w:rsidRPr="005A3526">
        <w:rPr>
          <w:rFonts w:cs="Arial"/>
          <w:b/>
          <w:bCs/>
          <w:szCs w:val="18"/>
        </w:rPr>
        <w:t>Waste Risk</w:t>
      </w:r>
    </w:p>
    <w:p w14:paraId="2E20BF17" w14:textId="2B5C0CF2" w:rsidR="00C72447" w:rsidRDefault="00C72447" w:rsidP="00D709EF">
      <w:pPr>
        <w:pStyle w:val="CETBodytext"/>
        <w:rPr>
          <w:rFonts w:cs="Arial"/>
          <w:szCs w:val="18"/>
        </w:rPr>
      </w:pPr>
      <w:r w:rsidRPr="00C72447">
        <w:rPr>
          <w:rFonts w:cs="Arial"/>
          <w:szCs w:val="18"/>
        </w:rPr>
        <w:t>Waste risk is evaluated using project type and country-level Waste Management EPI [4]. Risk classification thresholds are:</w:t>
      </w:r>
    </w:p>
    <w:p w14:paraId="4406404E" w14:textId="77777777" w:rsidR="00DF7594" w:rsidRDefault="00DF7594" w:rsidP="00DF7594">
      <w:pPr>
        <w:pStyle w:val="CETBodytext"/>
        <w:numPr>
          <w:ilvl w:val="0"/>
          <w:numId w:val="25"/>
        </w:numPr>
        <w:rPr>
          <w:rFonts w:cs="Arial"/>
          <w:szCs w:val="18"/>
        </w:rPr>
      </w:pPr>
      <w:r w:rsidRPr="00DF7594">
        <w:rPr>
          <w:rFonts w:cs="Arial"/>
          <w:szCs w:val="18"/>
        </w:rPr>
        <w:t>Low Risk (&lt;44)</w:t>
      </w:r>
    </w:p>
    <w:p w14:paraId="130B76DA" w14:textId="77777777" w:rsidR="00DF7594" w:rsidRDefault="00DF7594" w:rsidP="00DF7594">
      <w:pPr>
        <w:pStyle w:val="CETBodytext"/>
        <w:numPr>
          <w:ilvl w:val="0"/>
          <w:numId w:val="25"/>
        </w:numPr>
        <w:rPr>
          <w:rFonts w:cs="Arial"/>
          <w:szCs w:val="18"/>
        </w:rPr>
      </w:pPr>
      <w:r w:rsidRPr="38CB5850">
        <w:rPr>
          <w:rFonts w:cs="Arial"/>
        </w:rPr>
        <w:t>Medium Risk (44–64)</w:t>
      </w:r>
    </w:p>
    <w:p w14:paraId="62F27B17" w14:textId="2261A531" w:rsidR="00DF7594" w:rsidRDefault="00DF7594" w:rsidP="38CB5850">
      <w:pPr>
        <w:pStyle w:val="CETBodytext"/>
      </w:pPr>
      <w:r>
        <w:t>High Risk (&gt;64).</w:t>
      </w:r>
    </w:p>
    <w:p w14:paraId="2EFE70F6" w14:textId="5CEEB88B" w:rsidR="38CB5850" w:rsidRDefault="38CB5850" w:rsidP="38CB5850">
      <w:pPr>
        <w:pStyle w:val="CETBodytext"/>
      </w:pPr>
      <w:r>
        <w:t>In reference to EPI values, the score is subject to an inversion: higher EPI scores indicate better performance in the EPI benchmark; therefore, values are inverted so that higher risk corresponds to a higher risk score, consistent with other environmental country risk indicators. As reported in the flowchart, for offshore projects the risk is based on the disposal country corresponding to the project location, while projects in high-risk countries are automatically classified as High; in medium/low-risk countries, project size or remoteness is considered.</w:t>
      </w:r>
    </w:p>
    <w:p w14:paraId="22836800" w14:textId="77777777" w:rsidR="00F754AD" w:rsidRPr="000F1DF5" w:rsidRDefault="00F754AD" w:rsidP="00D709EF">
      <w:pPr>
        <w:pStyle w:val="CETBodytext"/>
        <w:rPr>
          <w:rFonts w:cs="Arial"/>
          <w:szCs w:val="18"/>
        </w:rPr>
      </w:pPr>
    </w:p>
    <w:p w14:paraId="265CB5B8" w14:textId="6F8B1428" w:rsidR="00F754AD" w:rsidRPr="00A618BD" w:rsidRDefault="00F754AD" w:rsidP="00CE072D">
      <w:pPr>
        <w:pStyle w:val="CETBodytext"/>
        <w:jc w:val="left"/>
        <w:rPr>
          <w:rFonts w:cs="Arial"/>
          <w:szCs w:val="18"/>
        </w:rPr>
      </w:pPr>
      <w:r w:rsidRPr="000F1DF5">
        <w:rPr>
          <w:rFonts w:cs="Arial"/>
          <w:noProof/>
          <w:szCs w:val="18"/>
          <w:lang w:val="it-IT"/>
        </w:rPr>
        <w:drawing>
          <wp:inline distT="0" distB="0" distL="0" distR="0" wp14:anchorId="521FBB2E" wp14:editId="206EA1E3">
            <wp:extent cx="2173856" cy="1468536"/>
            <wp:effectExtent l="0" t="0" r="0" b="0"/>
            <wp:docPr id="629339758" name="Immagine 10" descr="Immagine che contiene testo, mappa,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39758" name="Immagine 10" descr="Immagine che contiene testo, mappa, atlante&#10;&#10;Il contenuto generato dall'IA potrebbe non essere corret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7768" cy="1471179"/>
                    </a:xfrm>
                    <a:prstGeom prst="rect">
                      <a:avLst/>
                    </a:prstGeom>
                    <a:noFill/>
                    <a:ln>
                      <a:noFill/>
                    </a:ln>
                  </pic:spPr>
                </pic:pic>
              </a:graphicData>
            </a:graphic>
          </wp:inline>
        </w:drawing>
      </w:r>
      <w:r w:rsidR="00E96825" w:rsidRPr="00A618BD">
        <w:rPr>
          <w:rFonts w:cs="Arial"/>
          <w:szCs w:val="18"/>
        </w:rPr>
        <w:t xml:space="preserve">   </w:t>
      </w:r>
      <w:r w:rsidR="009C06A3" w:rsidRPr="000F1DF5">
        <w:rPr>
          <w:rFonts w:cs="Arial"/>
          <w:noProof/>
          <w:szCs w:val="18"/>
          <w:lang w:val="it-IT"/>
        </w:rPr>
        <w:drawing>
          <wp:inline distT="0" distB="0" distL="0" distR="0" wp14:anchorId="52B6FDA1" wp14:editId="2C3E591B">
            <wp:extent cx="2423231" cy="1566677"/>
            <wp:effectExtent l="0" t="0" r="0" b="0"/>
            <wp:docPr id="623106628" name="Immagine 9"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06628" name="Immagine 9" descr="Immagine che contiene testo, schermata, Carattere, design&#10;&#10;Il contenuto generato dall'IA potrebbe non essere corret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128" cy="1569843"/>
                    </a:xfrm>
                    <a:prstGeom prst="rect">
                      <a:avLst/>
                    </a:prstGeom>
                    <a:noFill/>
                    <a:ln>
                      <a:noFill/>
                    </a:ln>
                  </pic:spPr>
                </pic:pic>
              </a:graphicData>
            </a:graphic>
          </wp:inline>
        </w:drawing>
      </w:r>
    </w:p>
    <w:p w14:paraId="45FAC11C" w14:textId="77777777" w:rsidR="00BF1623" w:rsidRDefault="00BF1623" w:rsidP="00BF1623">
      <w:pPr>
        <w:pStyle w:val="CETCaption"/>
        <w:spacing w:before="0" w:after="0"/>
        <w:jc w:val="left"/>
        <w:rPr>
          <w:rStyle w:val="CETCaptionCarattere"/>
          <w:rFonts w:cs="Arial"/>
          <w:i/>
          <w:szCs w:val="18"/>
        </w:rPr>
      </w:pPr>
      <w:r w:rsidRPr="00BF1623">
        <w:rPr>
          <w:rStyle w:val="CETCaptionCarattere"/>
          <w:rFonts w:cs="Arial"/>
          <w:i/>
          <w:szCs w:val="18"/>
        </w:rPr>
        <w:t>Figure 7. Waste risk assessment.</w:t>
      </w:r>
    </w:p>
    <w:p w14:paraId="085F9589" w14:textId="77777777" w:rsidR="00BF1623" w:rsidRDefault="00BF1623" w:rsidP="00BF1623">
      <w:pPr>
        <w:pStyle w:val="CETCaption"/>
        <w:spacing w:before="0" w:after="0"/>
        <w:jc w:val="left"/>
        <w:rPr>
          <w:rStyle w:val="CETCaptionCarattere"/>
          <w:rFonts w:cs="Arial"/>
          <w:i/>
          <w:szCs w:val="18"/>
        </w:rPr>
      </w:pPr>
      <w:r w:rsidRPr="00BF1623">
        <w:rPr>
          <w:rStyle w:val="CETCaptionCarattere"/>
          <w:rFonts w:cs="Arial"/>
          <w:i/>
          <w:szCs w:val="18"/>
        </w:rPr>
        <w:t xml:space="preserve">(a) Waste risk </w:t>
      </w:r>
      <w:proofErr w:type="gramStart"/>
      <w:r w:rsidRPr="00BF1623">
        <w:rPr>
          <w:rStyle w:val="CETCaptionCarattere"/>
          <w:rFonts w:cs="Arial"/>
          <w:i/>
          <w:szCs w:val="18"/>
        </w:rPr>
        <w:t>map;</w:t>
      </w:r>
      <w:proofErr w:type="gramEnd"/>
    </w:p>
    <w:p w14:paraId="5A8021E8" w14:textId="3FCF2231" w:rsidR="00BF1623" w:rsidRDefault="00BF1623" w:rsidP="00BF1623">
      <w:pPr>
        <w:pStyle w:val="CETCaption"/>
        <w:spacing w:before="0" w:after="0"/>
        <w:jc w:val="left"/>
        <w:rPr>
          <w:rStyle w:val="CETCaptionCarattere"/>
          <w:rFonts w:cs="Arial"/>
          <w:i/>
          <w:szCs w:val="18"/>
        </w:rPr>
      </w:pPr>
      <w:r w:rsidRPr="00BF1623">
        <w:rPr>
          <w:rStyle w:val="CETCaptionCarattere"/>
          <w:rFonts w:cs="Arial"/>
          <w:i/>
          <w:szCs w:val="18"/>
        </w:rPr>
        <w:t>(b) Waste risk assessment flowchart.</w:t>
      </w:r>
    </w:p>
    <w:p w14:paraId="4803F49F" w14:textId="77777777" w:rsidR="001F26E7" w:rsidRDefault="001F26E7" w:rsidP="00BF1623">
      <w:pPr>
        <w:pStyle w:val="CETCaption"/>
        <w:spacing w:before="0" w:after="0"/>
        <w:jc w:val="left"/>
        <w:rPr>
          <w:rStyle w:val="CETCaptionCarattere"/>
          <w:rFonts w:cs="Arial"/>
          <w:i/>
          <w:szCs w:val="18"/>
        </w:rPr>
      </w:pPr>
    </w:p>
    <w:p w14:paraId="57DF607A" w14:textId="116E7183" w:rsidR="00DE0182" w:rsidRDefault="005248DD" w:rsidP="00BF1623">
      <w:pPr>
        <w:pStyle w:val="CETheadingx"/>
      </w:pPr>
      <w:r>
        <w:t>Residual</w:t>
      </w:r>
      <w:r w:rsidR="00DE0182" w:rsidRPr="00173944">
        <w:t xml:space="preserve"> risk evaluation</w:t>
      </w:r>
    </w:p>
    <w:p w14:paraId="797873C6" w14:textId="79F81016" w:rsidR="00E96FE5" w:rsidRDefault="00B34CA7" w:rsidP="0060373A">
      <w:pPr>
        <w:pStyle w:val="CETBodytext"/>
      </w:pPr>
      <w:r w:rsidRPr="00B34CA7">
        <w:t>For each environmental aspect, residual risk is calculated by evaluating a set of standard mitigation measures classified as planned, not planned, or not applicable. Only applicable measures are considered in the calculation: planned measures are assigned a value of 1, not planned measures a value of 0, while not applicable measures are excluded from the denominator. If ≥65% of applicable measures are planned, the residual risk is reduced by one level from the inherent risk. Example mitigation measures by environmental aspect are provided in Table 3.</w:t>
      </w:r>
    </w:p>
    <w:p w14:paraId="4C60B94E" w14:textId="77777777" w:rsidR="00E96FE5" w:rsidRPr="006B0FB2" w:rsidRDefault="00E96FE5" w:rsidP="00E96FE5">
      <w:pPr>
        <w:pStyle w:val="Caption"/>
        <w:jc w:val="center"/>
        <w:rPr>
          <w:rFonts w:cs="Arial"/>
          <w:b w:val="0"/>
          <w:bCs w:val="0"/>
          <w:i/>
          <w:color w:val="auto"/>
        </w:rPr>
      </w:pPr>
      <w:r w:rsidRPr="006B0FB2">
        <w:rPr>
          <w:rFonts w:cs="Arial"/>
          <w:b w:val="0"/>
          <w:bCs w:val="0"/>
          <w:i/>
          <w:color w:val="auto"/>
        </w:rPr>
        <w:t xml:space="preserve">Table </w:t>
      </w:r>
      <w:r w:rsidRPr="006B0FB2">
        <w:rPr>
          <w:rFonts w:cs="Arial"/>
          <w:b w:val="0"/>
          <w:bCs w:val="0"/>
          <w:i/>
          <w:color w:val="auto"/>
        </w:rPr>
        <w:fldChar w:fldCharType="begin"/>
      </w:r>
      <w:r w:rsidRPr="006B0FB2">
        <w:rPr>
          <w:rFonts w:cs="Arial"/>
          <w:b w:val="0"/>
          <w:bCs w:val="0"/>
          <w:i/>
          <w:color w:val="auto"/>
        </w:rPr>
        <w:instrText xml:space="preserve"> SEQ Table \* ARABIC </w:instrText>
      </w:r>
      <w:r w:rsidRPr="006B0FB2">
        <w:rPr>
          <w:rFonts w:cs="Arial"/>
          <w:b w:val="0"/>
          <w:bCs w:val="0"/>
          <w:i/>
          <w:color w:val="auto"/>
        </w:rPr>
        <w:fldChar w:fldCharType="separate"/>
      </w:r>
      <w:r w:rsidRPr="006B0FB2">
        <w:rPr>
          <w:rFonts w:cs="Arial"/>
          <w:b w:val="0"/>
          <w:bCs w:val="0"/>
          <w:i/>
          <w:color w:val="auto"/>
        </w:rPr>
        <w:t>3</w:t>
      </w:r>
      <w:r w:rsidRPr="006B0FB2">
        <w:rPr>
          <w:rFonts w:cs="Arial"/>
          <w:b w:val="0"/>
          <w:bCs w:val="0"/>
          <w:i/>
          <w:color w:val="auto"/>
        </w:rPr>
        <w:fldChar w:fldCharType="end"/>
      </w:r>
      <w:r w:rsidRPr="006B0FB2">
        <w:rPr>
          <w:rFonts w:cs="Arial"/>
          <w:b w:val="0"/>
          <w:bCs w:val="0"/>
          <w:i/>
          <w:color w:val="auto"/>
        </w:rPr>
        <w:t>:  Mitigation Measures</w:t>
      </w:r>
    </w:p>
    <w:tbl>
      <w:tblPr>
        <w:tblW w:w="878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76"/>
        <w:gridCol w:w="7432"/>
        <w:gridCol w:w="81"/>
      </w:tblGrid>
      <w:tr w:rsidR="00E96FE5" w:rsidRPr="00E96FE5" w14:paraId="3CCE7424" w14:textId="77777777" w:rsidTr="008858E3">
        <w:trPr>
          <w:gridAfter w:val="1"/>
          <w:wAfter w:w="81" w:type="dxa"/>
          <w:trHeight w:val="214"/>
        </w:trPr>
        <w:tc>
          <w:tcPr>
            <w:tcW w:w="1276" w:type="dxa"/>
            <w:tcBorders>
              <w:top w:val="single" w:sz="12" w:space="0" w:color="008000"/>
              <w:left w:val="nil"/>
              <w:bottom w:val="single" w:sz="6" w:space="0" w:color="008000"/>
              <w:right w:val="nil"/>
            </w:tcBorders>
            <w:shd w:val="clear" w:color="auto" w:fill="FFFFFF"/>
            <w:hideMark/>
          </w:tcPr>
          <w:p w14:paraId="146CB06A" w14:textId="18A44B4D" w:rsidR="00E96FE5" w:rsidRPr="00E96FE5" w:rsidRDefault="00E96FE5" w:rsidP="00E96FE5">
            <w:pPr>
              <w:tabs>
                <w:tab w:val="clear" w:pos="7100"/>
              </w:tabs>
              <w:spacing w:line="240" w:lineRule="auto"/>
              <w:jc w:val="center"/>
              <w:textAlignment w:val="baseline"/>
              <w:rPr>
                <w:rFonts w:ascii="Segoe UI" w:hAnsi="Segoe UI" w:cs="Segoe UI"/>
                <w:szCs w:val="18"/>
                <w:lang w:val="it-IT" w:eastAsia="it-IT"/>
              </w:rPr>
            </w:pPr>
            <w:r>
              <w:rPr>
                <w:rFonts w:cs="Arial"/>
                <w:szCs w:val="18"/>
                <w:lang w:eastAsia="it-IT"/>
              </w:rPr>
              <w:t>Risk</w:t>
            </w:r>
          </w:p>
        </w:tc>
        <w:tc>
          <w:tcPr>
            <w:tcW w:w="7432" w:type="dxa"/>
            <w:tcBorders>
              <w:top w:val="single" w:sz="12" w:space="0" w:color="008000"/>
              <w:left w:val="nil"/>
              <w:bottom w:val="single" w:sz="6" w:space="0" w:color="008000"/>
              <w:right w:val="nil"/>
            </w:tcBorders>
            <w:shd w:val="clear" w:color="auto" w:fill="FFFFFF"/>
            <w:hideMark/>
          </w:tcPr>
          <w:p w14:paraId="28B89DE3" w14:textId="71E99001" w:rsidR="00E96FE5" w:rsidRPr="00E96FE5" w:rsidRDefault="00E96FE5" w:rsidP="00E96FE5">
            <w:pPr>
              <w:tabs>
                <w:tab w:val="clear" w:pos="7100"/>
              </w:tabs>
              <w:spacing w:line="240" w:lineRule="auto"/>
              <w:jc w:val="center"/>
              <w:textAlignment w:val="baseline"/>
              <w:rPr>
                <w:rFonts w:ascii="Segoe UI" w:hAnsi="Segoe UI" w:cs="Segoe UI"/>
                <w:szCs w:val="18"/>
                <w:lang w:val="it-IT" w:eastAsia="it-IT"/>
              </w:rPr>
            </w:pPr>
            <w:proofErr w:type="spellStart"/>
            <w:r>
              <w:rPr>
                <w:rFonts w:cs="Arial"/>
                <w:szCs w:val="18"/>
                <w:lang w:val="it-IT" w:eastAsia="it-IT"/>
              </w:rPr>
              <w:t>Mitigation</w:t>
            </w:r>
            <w:proofErr w:type="spellEnd"/>
            <w:r>
              <w:rPr>
                <w:rFonts w:cs="Arial"/>
                <w:szCs w:val="18"/>
                <w:lang w:val="it-IT" w:eastAsia="it-IT"/>
              </w:rPr>
              <w:t xml:space="preserve"> </w:t>
            </w:r>
            <w:proofErr w:type="spellStart"/>
            <w:r>
              <w:rPr>
                <w:rFonts w:cs="Arial"/>
                <w:szCs w:val="18"/>
                <w:lang w:val="it-IT" w:eastAsia="it-IT"/>
              </w:rPr>
              <w:t>Measure</w:t>
            </w:r>
            <w:proofErr w:type="spellEnd"/>
          </w:p>
        </w:tc>
      </w:tr>
      <w:tr w:rsidR="00E96FE5" w:rsidRPr="00E96FE5" w14:paraId="421C5C28" w14:textId="77777777" w:rsidTr="008858E3">
        <w:trPr>
          <w:gridAfter w:val="1"/>
          <w:wAfter w:w="81" w:type="dxa"/>
          <w:trHeight w:val="224"/>
        </w:trPr>
        <w:tc>
          <w:tcPr>
            <w:tcW w:w="1276" w:type="dxa"/>
            <w:vMerge w:val="restart"/>
            <w:tcBorders>
              <w:top w:val="nil"/>
              <w:left w:val="nil"/>
              <w:right w:val="nil"/>
            </w:tcBorders>
            <w:shd w:val="clear" w:color="auto" w:fill="FFFFFF"/>
            <w:vAlign w:val="center"/>
            <w:hideMark/>
          </w:tcPr>
          <w:p w14:paraId="27561D03" w14:textId="5BB07B2A" w:rsidR="00E96FE5" w:rsidRDefault="00E96FE5" w:rsidP="00E96FE5">
            <w:pPr>
              <w:tabs>
                <w:tab w:val="clear" w:pos="7100"/>
              </w:tabs>
              <w:spacing w:line="240" w:lineRule="auto"/>
              <w:jc w:val="left"/>
              <w:textAlignment w:val="baseline"/>
              <w:rPr>
                <w:rFonts w:cs="Arial"/>
                <w:szCs w:val="18"/>
                <w:lang w:eastAsia="it-IT"/>
              </w:rPr>
            </w:pPr>
            <w:r w:rsidRPr="00E96FE5">
              <w:rPr>
                <w:rFonts w:cs="Arial"/>
                <w:szCs w:val="18"/>
                <w:lang w:eastAsia="it-IT"/>
              </w:rPr>
              <w:t>GHG</w:t>
            </w:r>
          </w:p>
          <w:p w14:paraId="009AE56A" w14:textId="1C71EC27" w:rsidR="00E96FE5" w:rsidRDefault="00E96FE5" w:rsidP="00E96FE5">
            <w:pPr>
              <w:tabs>
                <w:tab w:val="clear" w:pos="7100"/>
              </w:tabs>
              <w:spacing w:line="240" w:lineRule="auto"/>
              <w:jc w:val="left"/>
              <w:textAlignment w:val="baseline"/>
              <w:rPr>
                <w:rFonts w:cs="Arial"/>
                <w:szCs w:val="18"/>
                <w:lang w:eastAsia="it-IT"/>
              </w:rPr>
            </w:pPr>
            <w:r w:rsidRPr="00E96FE5">
              <w:rPr>
                <w:rFonts w:cs="Arial"/>
                <w:szCs w:val="18"/>
                <w:lang w:eastAsia="it-IT"/>
              </w:rPr>
              <w:t>Emissions</w:t>
            </w:r>
          </w:p>
          <w:p w14:paraId="5A0E1154" w14:textId="597D4B3D" w:rsidR="00E96FE5" w:rsidRPr="00E96FE5" w:rsidRDefault="00E96FE5" w:rsidP="00E96FE5">
            <w:pPr>
              <w:tabs>
                <w:tab w:val="clear" w:pos="7100"/>
              </w:tabs>
              <w:spacing w:line="240" w:lineRule="auto"/>
              <w:jc w:val="left"/>
              <w:textAlignment w:val="baseline"/>
              <w:rPr>
                <w:rFonts w:cs="Arial"/>
                <w:szCs w:val="18"/>
                <w:lang w:eastAsia="it-IT"/>
              </w:rPr>
            </w:pPr>
            <w:r w:rsidRPr="00E96FE5">
              <w:rPr>
                <w:rFonts w:cs="Arial"/>
                <w:szCs w:val="18"/>
                <w:lang w:eastAsia="it-IT"/>
              </w:rPr>
              <w:t>Risk</w:t>
            </w:r>
          </w:p>
          <w:p w14:paraId="574A6E74" w14:textId="68BBA67E" w:rsidR="00E96FE5" w:rsidRPr="00E96FE5" w:rsidRDefault="00E96FE5" w:rsidP="00E96FE5">
            <w:pPr>
              <w:tabs>
                <w:tab w:val="clear" w:pos="7100"/>
              </w:tabs>
              <w:spacing w:line="240" w:lineRule="auto"/>
              <w:jc w:val="left"/>
              <w:textAlignment w:val="baseline"/>
              <w:rPr>
                <w:rFonts w:ascii="Segoe UI" w:hAnsi="Segoe UI" w:cs="Segoe UI"/>
                <w:szCs w:val="18"/>
                <w:lang w:val="it-IT" w:eastAsia="it-IT"/>
              </w:rPr>
            </w:pPr>
            <w:r w:rsidRPr="00E96FE5">
              <w:rPr>
                <w:rFonts w:cs="Arial"/>
                <w:szCs w:val="18"/>
                <w:lang w:eastAsia="it-IT"/>
              </w:rPr>
              <w:t>(Scope 1)</w:t>
            </w:r>
          </w:p>
        </w:tc>
        <w:tc>
          <w:tcPr>
            <w:tcW w:w="7432" w:type="dxa"/>
            <w:tcBorders>
              <w:top w:val="single" w:sz="6" w:space="0" w:color="008000"/>
              <w:bottom w:val="nil"/>
              <w:right w:val="nil"/>
            </w:tcBorders>
            <w:hideMark/>
          </w:tcPr>
          <w:p w14:paraId="5D7C4F20" w14:textId="7E6FCA70" w:rsidR="00E96FE5" w:rsidRPr="00E96FE5" w:rsidRDefault="00E96FE5" w:rsidP="00E96FE5">
            <w:pPr>
              <w:tabs>
                <w:tab w:val="clear" w:pos="7100"/>
              </w:tabs>
              <w:spacing w:line="240" w:lineRule="auto"/>
              <w:textAlignment w:val="baseline"/>
              <w:rPr>
                <w:rFonts w:ascii="Segoe UI" w:hAnsi="Segoe UI" w:cs="Segoe UI"/>
                <w:szCs w:val="18"/>
                <w:lang w:val="en-US" w:eastAsia="it-IT"/>
              </w:rPr>
            </w:pPr>
            <w:r w:rsidRPr="006B0FB2">
              <w:rPr>
                <w:rFonts w:cs="Arial"/>
                <w:color w:val="000000"/>
                <w:szCs w:val="18"/>
                <w:lang w:val="en-US"/>
              </w:rPr>
              <w:t xml:space="preserve">Adoption of low-carbon fuels (e.g., Hydrotreated Vegetable Oil - </w:t>
            </w:r>
            <w:r w:rsidR="005A656A">
              <w:rPr>
                <w:rFonts w:cs="Arial"/>
                <w:color w:val="000000"/>
                <w:szCs w:val="18"/>
                <w:lang w:val="en-US"/>
              </w:rPr>
              <w:t>HVO</w:t>
            </w:r>
            <w:r w:rsidRPr="006B0FB2">
              <w:rPr>
                <w:rFonts w:cs="Arial"/>
                <w:color w:val="000000"/>
                <w:szCs w:val="18"/>
                <w:lang w:val="en-US"/>
              </w:rPr>
              <w:t>).</w:t>
            </w:r>
          </w:p>
        </w:tc>
      </w:tr>
      <w:tr w:rsidR="00E96FE5" w:rsidRPr="00E96FE5" w14:paraId="7FDC7FD6" w14:textId="77777777" w:rsidTr="009A3200">
        <w:trPr>
          <w:trHeight w:val="224"/>
        </w:trPr>
        <w:tc>
          <w:tcPr>
            <w:tcW w:w="1276" w:type="dxa"/>
            <w:vMerge/>
            <w:tcBorders>
              <w:left w:val="nil"/>
              <w:right w:val="nil"/>
            </w:tcBorders>
            <w:shd w:val="clear" w:color="auto" w:fill="FFFFFF"/>
          </w:tcPr>
          <w:p w14:paraId="22206C53" w14:textId="77777777" w:rsidR="00E96FE5" w:rsidRPr="00E96FE5" w:rsidRDefault="00E96FE5" w:rsidP="00E96FE5">
            <w:pPr>
              <w:tabs>
                <w:tab w:val="clear" w:pos="7100"/>
              </w:tabs>
              <w:spacing w:line="240" w:lineRule="auto"/>
              <w:textAlignment w:val="baseline"/>
              <w:rPr>
                <w:rFonts w:cs="Arial"/>
                <w:szCs w:val="18"/>
                <w:lang w:eastAsia="it-IT"/>
              </w:rPr>
            </w:pPr>
          </w:p>
        </w:tc>
        <w:tc>
          <w:tcPr>
            <w:tcW w:w="7513" w:type="dxa"/>
            <w:gridSpan w:val="2"/>
            <w:tcBorders>
              <w:top w:val="nil"/>
              <w:bottom w:val="nil"/>
              <w:right w:val="nil"/>
            </w:tcBorders>
          </w:tcPr>
          <w:p w14:paraId="50E86E4E" w14:textId="6DD7C36B" w:rsidR="00E96FE5" w:rsidRPr="00E96FE5" w:rsidRDefault="00E96FE5" w:rsidP="00E96FE5">
            <w:pPr>
              <w:tabs>
                <w:tab w:val="clear" w:pos="7100"/>
              </w:tabs>
              <w:spacing w:line="240" w:lineRule="auto"/>
              <w:textAlignment w:val="baseline"/>
              <w:rPr>
                <w:rFonts w:cs="Arial"/>
                <w:szCs w:val="18"/>
                <w:lang w:val="en-US" w:eastAsia="it-IT"/>
              </w:rPr>
            </w:pPr>
            <w:r w:rsidRPr="006B0FB2">
              <w:rPr>
                <w:rFonts w:cs="Arial"/>
                <w:color w:val="000000"/>
                <w:szCs w:val="18"/>
                <w:lang w:val="en-US"/>
              </w:rPr>
              <w:t>Optimization of power generation systems (e.g., efficient generators, hybrid solutions).</w:t>
            </w:r>
          </w:p>
        </w:tc>
      </w:tr>
      <w:tr w:rsidR="00E96FE5" w:rsidRPr="00E96FE5" w14:paraId="73B9E944" w14:textId="77777777" w:rsidTr="009A3200">
        <w:trPr>
          <w:gridAfter w:val="1"/>
          <w:wAfter w:w="81" w:type="dxa"/>
          <w:trHeight w:val="224"/>
        </w:trPr>
        <w:tc>
          <w:tcPr>
            <w:tcW w:w="1276" w:type="dxa"/>
            <w:vMerge/>
            <w:tcBorders>
              <w:left w:val="nil"/>
              <w:right w:val="nil"/>
            </w:tcBorders>
            <w:shd w:val="clear" w:color="auto" w:fill="FFFFFF"/>
          </w:tcPr>
          <w:p w14:paraId="4301B083" w14:textId="77777777" w:rsidR="00E96FE5" w:rsidRPr="00E96FE5" w:rsidRDefault="00E96FE5" w:rsidP="00E96FE5">
            <w:pPr>
              <w:tabs>
                <w:tab w:val="clear" w:pos="7100"/>
              </w:tabs>
              <w:spacing w:line="240" w:lineRule="auto"/>
              <w:textAlignment w:val="baseline"/>
              <w:rPr>
                <w:rFonts w:cs="Arial"/>
                <w:szCs w:val="18"/>
                <w:lang w:eastAsia="it-IT"/>
              </w:rPr>
            </w:pPr>
          </w:p>
        </w:tc>
        <w:tc>
          <w:tcPr>
            <w:tcW w:w="7432" w:type="dxa"/>
            <w:tcBorders>
              <w:top w:val="nil"/>
              <w:bottom w:val="nil"/>
              <w:right w:val="nil"/>
            </w:tcBorders>
          </w:tcPr>
          <w:p w14:paraId="32DD6D61" w14:textId="0970DAAF" w:rsidR="00E96FE5" w:rsidRPr="00E96FE5" w:rsidRDefault="00E96FE5" w:rsidP="00E96FE5">
            <w:pPr>
              <w:tabs>
                <w:tab w:val="clear" w:pos="7100"/>
              </w:tabs>
              <w:spacing w:line="240" w:lineRule="auto"/>
              <w:textAlignment w:val="baseline"/>
              <w:rPr>
                <w:rFonts w:cs="Arial"/>
                <w:szCs w:val="18"/>
                <w:lang w:val="en-US" w:eastAsia="it-IT"/>
              </w:rPr>
            </w:pPr>
            <w:r w:rsidRPr="006B0FB2">
              <w:rPr>
                <w:rFonts w:cs="Arial"/>
                <w:color w:val="000000"/>
                <w:szCs w:val="18"/>
                <w:lang w:val="en-US"/>
              </w:rPr>
              <w:t>Integration of on-site renewable energy (e.g., solar panels, wind turbines).</w:t>
            </w:r>
          </w:p>
        </w:tc>
      </w:tr>
      <w:tr w:rsidR="00E96FE5" w:rsidRPr="00E96FE5" w14:paraId="0649BA36" w14:textId="77777777" w:rsidTr="009A3200">
        <w:trPr>
          <w:gridAfter w:val="1"/>
          <w:wAfter w:w="81" w:type="dxa"/>
          <w:trHeight w:val="224"/>
        </w:trPr>
        <w:tc>
          <w:tcPr>
            <w:tcW w:w="1276" w:type="dxa"/>
            <w:vMerge/>
            <w:tcBorders>
              <w:left w:val="nil"/>
              <w:right w:val="nil"/>
            </w:tcBorders>
            <w:shd w:val="clear" w:color="auto" w:fill="FFFFFF"/>
          </w:tcPr>
          <w:p w14:paraId="5E6B04F7" w14:textId="77777777" w:rsidR="00E96FE5" w:rsidRPr="00E96FE5" w:rsidRDefault="00E96FE5" w:rsidP="00E96FE5">
            <w:pPr>
              <w:tabs>
                <w:tab w:val="clear" w:pos="7100"/>
              </w:tabs>
              <w:spacing w:line="240" w:lineRule="auto"/>
              <w:textAlignment w:val="baseline"/>
              <w:rPr>
                <w:rFonts w:cs="Arial"/>
                <w:szCs w:val="18"/>
                <w:lang w:eastAsia="it-IT"/>
              </w:rPr>
            </w:pPr>
          </w:p>
        </w:tc>
        <w:tc>
          <w:tcPr>
            <w:tcW w:w="7432" w:type="dxa"/>
            <w:tcBorders>
              <w:top w:val="nil"/>
              <w:bottom w:val="nil"/>
              <w:right w:val="nil"/>
            </w:tcBorders>
          </w:tcPr>
          <w:p w14:paraId="4AAA674C" w14:textId="498213F6" w:rsidR="00E96FE5" w:rsidRPr="00E96FE5" w:rsidRDefault="00E96FE5" w:rsidP="00E96FE5">
            <w:pPr>
              <w:tabs>
                <w:tab w:val="clear" w:pos="7100"/>
              </w:tabs>
              <w:spacing w:line="240" w:lineRule="auto"/>
              <w:textAlignment w:val="baseline"/>
              <w:rPr>
                <w:rFonts w:cs="Arial"/>
                <w:szCs w:val="18"/>
                <w:lang w:val="en-US" w:eastAsia="it-IT"/>
              </w:rPr>
            </w:pPr>
            <w:r>
              <w:rPr>
                <w:rFonts w:cs="Arial"/>
                <w:color w:val="000000"/>
                <w:szCs w:val="18"/>
                <w:lang w:val="en-US"/>
              </w:rPr>
              <w:t>Energy</w:t>
            </w:r>
            <w:r w:rsidRPr="006B0FB2">
              <w:rPr>
                <w:rFonts w:cs="Arial"/>
                <w:color w:val="000000"/>
                <w:szCs w:val="18"/>
                <w:lang w:val="en-US"/>
              </w:rPr>
              <w:t xml:space="preserve"> efficiency measures (e.g., high-efficiency accommodation camps</w:t>
            </w:r>
            <w:r>
              <w:rPr>
                <w:rFonts w:cs="Arial"/>
                <w:color w:val="000000"/>
                <w:szCs w:val="18"/>
                <w:lang w:val="en-US"/>
              </w:rPr>
              <w:t>)</w:t>
            </w:r>
          </w:p>
        </w:tc>
      </w:tr>
      <w:tr w:rsidR="00E96FE5" w:rsidRPr="00E96FE5" w14:paraId="7F174C4B" w14:textId="77777777" w:rsidTr="009A3200">
        <w:trPr>
          <w:gridAfter w:val="1"/>
          <w:wAfter w:w="81" w:type="dxa"/>
          <w:trHeight w:val="224"/>
        </w:trPr>
        <w:tc>
          <w:tcPr>
            <w:tcW w:w="1276" w:type="dxa"/>
            <w:vMerge/>
            <w:tcBorders>
              <w:left w:val="nil"/>
              <w:right w:val="nil"/>
            </w:tcBorders>
            <w:shd w:val="clear" w:color="auto" w:fill="FFFFFF"/>
          </w:tcPr>
          <w:p w14:paraId="49A69DE7" w14:textId="77777777" w:rsidR="00E96FE5" w:rsidRPr="00E96FE5" w:rsidRDefault="00E96FE5" w:rsidP="00E96FE5">
            <w:pPr>
              <w:tabs>
                <w:tab w:val="clear" w:pos="7100"/>
              </w:tabs>
              <w:spacing w:line="240" w:lineRule="auto"/>
              <w:textAlignment w:val="baseline"/>
              <w:rPr>
                <w:rFonts w:cs="Arial"/>
                <w:szCs w:val="18"/>
                <w:lang w:eastAsia="it-IT"/>
              </w:rPr>
            </w:pPr>
          </w:p>
        </w:tc>
        <w:tc>
          <w:tcPr>
            <w:tcW w:w="7432" w:type="dxa"/>
            <w:tcBorders>
              <w:top w:val="nil"/>
              <w:bottom w:val="nil"/>
              <w:right w:val="nil"/>
            </w:tcBorders>
          </w:tcPr>
          <w:p w14:paraId="18047C0A" w14:textId="1E449A89" w:rsidR="00E96FE5" w:rsidRPr="00E96FE5" w:rsidRDefault="00E96FE5" w:rsidP="00E96FE5">
            <w:pPr>
              <w:tabs>
                <w:tab w:val="clear" w:pos="7100"/>
              </w:tabs>
              <w:spacing w:line="240" w:lineRule="auto"/>
              <w:textAlignment w:val="baseline"/>
              <w:rPr>
                <w:rFonts w:cs="Arial"/>
                <w:szCs w:val="18"/>
                <w:lang w:val="en-US" w:eastAsia="it-IT"/>
              </w:rPr>
            </w:pPr>
            <w:r w:rsidRPr="006B0FB2">
              <w:rPr>
                <w:rFonts w:cs="Arial"/>
                <w:color w:val="000000"/>
                <w:szCs w:val="18"/>
                <w:lang w:val="en-US"/>
              </w:rPr>
              <w:t>Adoption of low-emission vehicles and machinery.</w:t>
            </w:r>
          </w:p>
        </w:tc>
      </w:tr>
      <w:tr w:rsidR="00E96FE5" w:rsidRPr="00E96FE5" w14:paraId="662891DD" w14:textId="77777777" w:rsidTr="009A3200">
        <w:trPr>
          <w:gridAfter w:val="1"/>
          <w:wAfter w:w="81" w:type="dxa"/>
          <w:trHeight w:val="224"/>
        </w:trPr>
        <w:tc>
          <w:tcPr>
            <w:tcW w:w="1276" w:type="dxa"/>
            <w:vMerge/>
            <w:tcBorders>
              <w:left w:val="nil"/>
              <w:bottom w:val="nil"/>
              <w:right w:val="nil"/>
            </w:tcBorders>
            <w:shd w:val="clear" w:color="auto" w:fill="FFFFFF"/>
          </w:tcPr>
          <w:p w14:paraId="13803A94" w14:textId="77777777" w:rsidR="00E96FE5" w:rsidRPr="00E96FE5" w:rsidRDefault="00E96FE5" w:rsidP="00E96FE5">
            <w:pPr>
              <w:tabs>
                <w:tab w:val="clear" w:pos="7100"/>
              </w:tabs>
              <w:spacing w:line="240" w:lineRule="auto"/>
              <w:textAlignment w:val="baseline"/>
              <w:rPr>
                <w:rFonts w:cs="Arial"/>
                <w:szCs w:val="18"/>
                <w:lang w:eastAsia="it-IT"/>
              </w:rPr>
            </w:pPr>
          </w:p>
        </w:tc>
        <w:tc>
          <w:tcPr>
            <w:tcW w:w="7432" w:type="dxa"/>
            <w:tcBorders>
              <w:top w:val="nil"/>
              <w:bottom w:val="nil"/>
              <w:right w:val="nil"/>
            </w:tcBorders>
          </w:tcPr>
          <w:p w14:paraId="3953FD48" w14:textId="48E94F43" w:rsidR="00E96FE5" w:rsidRPr="00E96FE5" w:rsidRDefault="00E96FE5" w:rsidP="00E96FE5">
            <w:pPr>
              <w:tabs>
                <w:tab w:val="clear" w:pos="7100"/>
              </w:tabs>
              <w:spacing w:line="240" w:lineRule="auto"/>
              <w:textAlignment w:val="baseline"/>
              <w:rPr>
                <w:rFonts w:cs="Arial"/>
                <w:szCs w:val="18"/>
                <w:lang w:val="it-IT" w:eastAsia="it-IT"/>
              </w:rPr>
            </w:pPr>
            <w:r w:rsidRPr="006B0FB2">
              <w:rPr>
                <w:rFonts w:cs="Arial"/>
                <w:color w:val="000000"/>
                <w:szCs w:val="18"/>
                <w:lang w:val="en-US"/>
              </w:rPr>
              <w:t xml:space="preserve">Other initiatives </w:t>
            </w:r>
            <w:r>
              <w:rPr>
                <w:rFonts w:cs="Arial"/>
                <w:color w:val="000000"/>
                <w:szCs w:val="18"/>
                <w:lang w:val="en-US"/>
              </w:rPr>
              <w:t>planned.</w:t>
            </w:r>
          </w:p>
        </w:tc>
      </w:tr>
      <w:tr w:rsidR="00E96FE5" w:rsidRPr="00E96FE5" w14:paraId="2EBABE00" w14:textId="77777777" w:rsidTr="009A3200">
        <w:trPr>
          <w:gridAfter w:val="1"/>
          <w:wAfter w:w="81" w:type="dxa"/>
          <w:trHeight w:val="224"/>
        </w:trPr>
        <w:tc>
          <w:tcPr>
            <w:tcW w:w="1276" w:type="dxa"/>
            <w:tcBorders>
              <w:top w:val="nil"/>
              <w:left w:val="nil"/>
              <w:bottom w:val="nil"/>
              <w:right w:val="nil"/>
            </w:tcBorders>
            <w:shd w:val="clear" w:color="auto" w:fill="FFFFFF"/>
          </w:tcPr>
          <w:p w14:paraId="03AC91C4" w14:textId="77777777" w:rsidR="00E96FE5" w:rsidRPr="00E96FE5" w:rsidRDefault="00E96FE5" w:rsidP="00E96FE5">
            <w:pPr>
              <w:tabs>
                <w:tab w:val="clear" w:pos="7100"/>
              </w:tabs>
              <w:spacing w:line="240" w:lineRule="auto"/>
              <w:textAlignment w:val="baseline"/>
              <w:rPr>
                <w:rFonts w:cs="Arial"/>
                <w:szCs w:val="18"/>
                <w:lang w:eastAsia="it-IT"/>
              </w:rPr>
            </w:pPr>
          </w:p>
        </w:tc>
        <w:tc>
          <w:tcPr>
            <w:tcW w:w="7432" w:type="dxa"/>
            <w:tcBorders>
              <w:top w:val="nil"/>
              <w:left w:val="nil"/>
              <w:bottom w:val="nil"/>
              <w:right w:val="nil"/>
            </w:tcBorders>
            <w:shd w:val="clear" w:color="auto" w:fill="FFFFFF"/>
          </w:tcPr>
          <w:p w14:paraId="0E60B2DF" w14:textId="77777777" w:rsidR="00E96FE5" w:rsidRPr="00E96FE5" w:rsidRDefault="00E96FE5" w:rsidP="00E96FE5">
            <w:pPr>
              <w:tabs>
                <w:tab w:val="clear" w:pos="7100"/>
              </w:tabs>
              <w:spacing w:line="240" w:lineRule="auto"/>
              <w:textAlignment w:val="baseline"/>
              <w:rPr>
                <w:rFonts w:cs="Arial"/>
                <w:szCs w:val="18"/>
                <w:lang w:val="it-IT" w:eastAsia="it-IT"/>
              </w:rPr>
            </w:pPr>
          </w:p>
        </w:tc>
      </w:tr>
      <w:tr w:rsidR="00E96FE5" w:rsidRPr="00E96FE5" w14:paraId="358CC5E7" w14:textId="77777777" w:rsidTr="009A3200">
        <w:trPr>
          <w:gridAfter w:val="1"/>
          <w:wAfter w:w="81" w:type="dxa"/>
          <w:trHeight w:val="224"/>
        </w:trPr>
        <w:tc>
          <w:tcPr>
            <w:tcW w:w="1276" w:type="dxa"/>
            <w:tcBorders>
              <w:top w:val="nil"/>
              <w:left w:val="nil"/>
              <w:bottom w:val="nil"/>
              <w:right w:val="nil"/>
            </w:tcBorders>
            <w:shd w:val="clear" w:color="auto" w:fill="FFFFFF"/>
            <w:vAlign w:val="center"/>
          </w:tcPr>
          <w:p w14:paraId="11A85146" w14:textId="77777777" w:rsidR="00E96FE5" w:rsidRDefault="00E96FE5" w:rsidP="00E96FE5">
            <w:pPr>
              <w:tabs>
                <w:tab w:val="clear" w:pos="7100"/>
              </w:tabs>
              <w:spacing w:line="240" w:lineRule="auto"/>
              <w:jc w:val="left"/>
              <w:textAlignment w:val="baseline"/>
              <w:rPr>
                <w:rFonts w:cs="Arial"/>
                <w:szCs w:val="18"/>
                <w:lang w:eastAsia="it-IT"/>
              </w:rPr>
            </w:pPr>
            <w:r w:rsidRPr="00E96FE5">
              <w:rPr>
                <w:rFonts w:cs="Arial"/>
                <w:szCs w:val="18"/>
                <w:lang w:eastAsia="it-IT"/>
              </w:rPr>
              <w:t xml:space="preserve">GHG </w:t>
            </w:r>
          </w:p>
          <w:p w14:paraId="7728D6FD" w14:textId="77777777" w:rsidR="00E96FE5" w:rsidRDefault="00E96FE5" w:rsidP="00E96FE5">
            <w:pPr>
              <w:tabs>
                <w:tab w:val="clear" w:pos="7100"/>
              </w:tabs>
              <w:spacing w:line="240" w:lineRule="auto"/>
              <w:jc w:val="left"/>
              <w:textAlignment w:val="baseline"/>
              <w:rPr>
                <w:rFonts w:cs="Arial"/>
                <w:szCs w:val="18"/>
                <w:lang w:eastAsia="it-IT"/>
              </w:rPr>
            </w:pPr>
            <w:r w:rsidRPr="00E96FE5">
              <w:rPr>
                <w:rFonts w:cs="Arial"/>
                <w:szCs w:val="18"/>
                <w:lang w:eastAsia="it-IT"/>
              </w:rPr>
              <w:t xml:space="preserve">Emissions </w:t>
            </w:r>
          </w:p>
          <w:p w14:paraId="56EC3AB4" w14:textId="0142B510" w:rsidR="00E96FE5" w:rsidRPr="00E96FE5" w:rsidRDefault="00E96FE5" w:rsidP="00E96FE5">
            <w:pPr>
              <w:tabs>
                <w:tab w:val="clear" w:pos="7100"/>
              </w:tabs>
              <w:spacing w:line="240" w:lineRule="auto"/>
              <w:jc w:val="left"/>
              <w:textAlignment w:val="baseline"/>
              <w:rPr>
                <w:rFonts w:cs="Arial"/>
                <w:szCs w:val="18"/>
                <w:lang w:eastAsia="it-IT"/>
              </w:rPr>
            </w:pPr>
            <w:r w:rsidRPr="00E96FE5">
              <w:rPr>
                <w:rFonts w:cs="Arial"/>
                <w:szCs w:val="18"/>
                <w:lang w:eastAsia="it-IT"/>
              </w:rPr>
              <w:t xml:space="preserve">Risk </w:t>
            </w:r>
          </w:p>
          <w:p w14:paraId="79BFF1A7" w14:textId="3F94E348" w:rsidR="00E96FE5" w:rsidRPr="00E96FE5" w:rsidRDefault="00E96FE5" w:rsidP="00E96FE5">
            <w:pPr>
              <w:tabs>
                <w:tab w:val="clear" w:pos="7100"/>
              </w:tabs>
              <w:spacing w:line="240" w:lineRule="auto"/>
              <w:jc w:val="left"/>
              <w:textAlignment w:val="baseline"/>
              <w:rPr>
                <w:rFonts w:cs="Arial"/>
                <w:szCs w:val="18"/>
                <w:lang w:eastAsia="it-IT"/>
              </w:rPr>
            </w:pPr>
            <w:r w:rsidRPr="00E96FE5">
              <w:rPr>
                <w:rFonts w:cs="Arial"/>
                <w:szCs w:val="18"/>
                <w:lang w:eastAsia="it-IT"/>
              </w:rPr>
              <w:t>(Scope 2)</w:t>
            </w:r>
          </w:p>
        </w:tc>
        <w:tc>
          <w:tcPr>
            <w:tcW w:w="7432" w:type="dxa"/>
            <w:tcBorders>
              <w:top w:val="nil"/>
              <w:left w:val="nil"/>
              <w:bottom w:val="nil"/>
              <w:right w:val="nil"/>
            </w:tcBorders>
            <w:shd w:val="clear" w:color="auto" w:fill="FFFFFF"/>
          </w:tcPr>
          <w:p w14:paraId="7A56D4D8"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Connection of accommodation camps and facilities to the electrical grid where feasible.</w:t>
            </w:r>
          </w:p>
          <w:p w14:paraId="70305AE1"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Implementation of on-site renewable energy sources.</w:t>
            </w:r>
          </w:p>
          <w:p w14:paraId="0A1B569D"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Procurement of certified renewable energy through Energy Attribute Certificates (EACs) such as I-RECs or Guarantees of Origin.</w:t>
            </w:r>
          </w:p>
          <w:p w14:paraId="55D675AA"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Long-term agreements to ensure continuous supply of certified renewable energy.</w:t>
            </w:r>
          </w:p>
          <w:p w14:paraId="1F6CD02E"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Energy efficiency measures (e.g. LED lighting)</w:t>
            </w:r>
          </w:p>
          <w:p w14:paraId="53A68017" w14:textId="2C7B2AE3" w:rsidR="00E96FE5" w:rsidRPr="00E96FE5" w:rsidRDefault="00E96FE5" w:rsidP="00E96FE5">
            <w:pPr>
              <w:tabs>
                <w:tab w:val="clear" w:pos="7100"/>
              </w:tabs>
              <w:spacing w:line="240" w:lineRule="auto"/>
              <w:textAlignment w:val="baseline"/>
              <w:rPr>
                <w:rFonts w:cs="Arial"/>
                <w:szCs w:val="18"/>
                <w:lang w:val="it-IT" w:eastAsia="it-IT"/>
              </w:rPr>
            </w:pPr>
            <w:r w:rsidRPr="00E96FE5">
              <w:rPr>
                <w:rFonts w:cs="Arial"/>
                <w:szCs w:val="18"/>
                <w:lang w:val="it-IT" w:eastAsia="it-IT"/>
              </w:rPr>
              <w:t xml:space="preserve">Other </w:t>
            </w:r>
            <w:proofErr w:type="spellStart"/>
            <w:r w:rsidRPr="00E96FE5">
              <w:rPr>
                <w:rFonts w:cs="Arial"/>
                <w:szCs w:val="18"/>
                <w:lang w:val="it-IT" w:eastAsia="it-IT"/>
              </w:rPr>
              <w:t>initiatives</w:t>
            </w:r>
            <w:proofErr w:type="spellEnd"/>
            <w:r w:rsidRPr="00E96FE5">
              <w:rPr>
                <w:rFonts w:cs="Arial"/>
                <w:szCs w:val="18"/>
                <w:lang w:val="it-IT" w:eastAsia="it-IT"/>
              </w:rPr>
              <w:t xml:space="preserve"> </w:t>
            </w:r>
            <w:proofErr w:type="spellStart"/>
            <w:r w:rsidRPr="00E96FE5">
              <w:rPr>
                <w:rFonts w:cs="Arial"/>
                <w:szCs w:val="18"/>
                <w:lang w:val="it-IT" w:eastAsia="it-IT"/>
              </w:rPr>
              <w:t>planned</w:t>
            </w:r>
            <w:proofErr w:type="spellEnd"/>
            <w:r w:rsidRPr="00E96FE5">
              <w:rPr>
                <w:rFonts w:cs="Arial"/>
                <w:szCs w:val="18"/>
                <w:lang w:val="it-IT" w:eastAsia="it-IT"/>
              </w:rPr>
              <w:t>.</w:t>
            </w:r>
          </w:p>
        </w:tc>
      </w:tr>
      <w:tr w:rsidR="00E96FE5" w:rsidRPr="00E96FE5" w14:paraId="7F610CFC" w14:textId="77777777" w:rsidTr="009A3200">
        <w:trPr>
          <w:gridAfter w:val="1"/>
          <w:wAfter w:w="81" w:type="dxa"/>
          <w:trHeight w:val="224"/>
        </w:trPr>
        <w:tc>
          <w:tcPr>
            <w:tcW w:w="1276" w:type="dxa"/>
            <w:tcBorders>
              <w:top w:val="nil"/>
              <w:left w:val="nil"/>
              <w:bottom w:val="nil"/>
              <w:right w:val="nil"/>
            </w:tcBorders>
            <w:shd w:val="clear" w:color="auto" w:fill="FFFFFF"/>
          </w:tcPr>
          <w:p w14:paraId="719FF79E" w14:textId="77777777" w:rsidR="00E96FE5" w:rsidRPr="00E96FE5" w:rsidRDefault="00E96FE5" w:rsidP="00E96FE5">
            <w:pPr>
              <w:tabs>
                <w:tab w:val="clear" w:pos="7100"/>
              </w:tabs>
              <w:spacing w:line="240" w:lineRule="auto"/>
              <w:textAlignment w:val="baseline"/>
              <w:rPr>
                <w:rFonts w:cs="Arial"/>
                <w:szCs w:val="18"/>
                <w:lang w:eastAsia="it-IT"/>
              </w:rPr>
            </w:pPr>
          </w:p>
        </w:tc>
        <w:tc>
          <w:tcPr>
            <w:tcW w:w="7432" w:type="dxa"/>
            <w:tcBorders>
              <w:top w:val="nil"/>
              <w:left w:val="nil"/>
              <w:bottom w:val="nil"/>
              <w:right w:val="nil"/>
            </w:tcBorders>
            <w:shd w:val="clear" w:color="auto" w:fill="FFFFFF"/>
          </w:tcPr>
          <w:p w14:paraId="20EB5678" w14:textId="77777777" w:rsidR="00E96FE5" w:rsidRPr="00E96FE5" w:rsidRDefault="00E96FE5" w:rsidP="00E96FE5">
            <w:pPr>
              <w:tabs>
                <w:tab w:val="clear" w:pos="7100"/>
              </w:tabs>
              <w:spacing w:line="240" w:lineRule="auto"/>
              <w:textAlignment w:val="baseline"/>
              <w:rPr>
                <w:rFonts w:cs="Arial"/>
                <w:szCs w:val="18"/>
                <w:lang w:val="it-IT" w:eastAsia="it-IT"/>
              </w:rPr>
            </w:pPr>
          </w:p>
        </w:tc>
      </w:tr>
      <w:tr w:rsidR="00E96FE5" w:rsidRPr="00E96FE5" w14:paraId="2697FCD0" w14:textId="77777777" w:rsidTr="009A3200">
        <w:trPr>
          <w:gridAfter w:val="1"/>
          <w:wAfter w:w="81" w:type="dxa"/>
          <w:trHeight w:val="224"/>
        </w:trPr>
        <w:tc>
          <w:tcPr>
            <w:tcW w:w="1276" w:type="dxa"/>
            <w:tcBorders>
              <w:top w:val="nil"/>
              <w:left w:val="nil"/>
              <w:bottom w:val="nil"/>
              <w:right w:val="nil"/>
            </w:tcBorders>
            <w:shd w:val="clear" w:color="auto" w:fill="FFFFFF"/>
            <w:vAlign w:val="center"/>
          </w:tcPr>
          <w:p w14:paraId="471B6355" w14:textId="51D377A2" w:rsidR="00E96FE5" w:rsidRPr="00E96FE5" w:rsidRDefault="00E96FE5" w:rsidP="00E96FE5">
            <w:pPr>
              <w:tabs>
                <w:tab w:val="clear" w:pos="7100"/>
              </w:tabs>
              <w:spacing w:line="240" w:lineRule="auto"/>
              <w:jc w:val="left"/>
              <w:textAlignment w:val="baseline"/>
              <w:rPr>
                <w:rFonts w:cs="Arial"/>
                <w:szCs w:val="18"/>
                <w:lang w:eastAsia="it-IT"/>
              </w:rPr>
            </w:pPr>
            <w:r>
              <w:rPr>
                <w:rFonts w:cs="Arial"/>
                <w:szCs w:val="18"/>
                <w:lang w:eastAsia="it-IT"/>
              </w:rPr>
              <w:t>Water</w:t>
            </w:r>
          </w:p>
        </w:tc>
        <w:tc>
          <w:tcPr>
            <w:tcW w:w="7432" w:type="dxa"/>
            <w:tcBorders>
              <w:top w:val="nil"/>
              <w:left w:val="nil"/>
              <w:bottom w:val="nil"/>
              <w:right w:val="nil"/>
            </w:tcBorders>
            <w:shd w:val="clear" w:color="auto" w:fill="FFFFFF"/>
          </w:tcPr>
          <w:p w14:paraId="3F4FFB7C"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Installation of on-site wastewater treatment systems to reduce discharge impacts.</w:t>
            </w:r>
          </w:p>
          <w:p w14:paraId="7A6FA60D"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Implementation of water reuse systems for dust suppression, irrigation, and hydro-tests.</w:t>
            </w:r>
          </w:p>
          <w:p w14:paraId="2842310B"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Utilization of desalination plants for freshwater production instead of relying on groundwater or public water supplies.</w:t>
            </w:r>
          </w:p>
          <w:p w14:paraId="0E603144"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Deployment of water-makers for drinking water to reduce plastic bottle consumption.</w:t>
            </w:r>
          </w:p>
          <w:p w14:paraId="1B4EAF02"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Use of water-saving devices (e.g., tap aerators, dual-flush toilets,).</w:t>
            </w:r>
          </w:p>
          <w:p w14:paraId="00BE7B97" w14:textId="349CA722"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Other project-specific water conservation measures.</w:t>
            </w:r>
          </w:p>
        </w:tc>
      </w:tr>
      <w:tr w:rsidR="00E96FE5" w:rsidRPr="00E96FE5" w14:paraId="32D0D100" w14:textId="77777777" w:rsidTr="009A3200">
        <w:trPr>
          <w:gridAfter w:val="1"/>
          <w:wAfter w:w="81" w:type="dxa"/>
          <w:trHeight w:val="224"/>
        </w:trPr>
        <w:tc>
          <w:tcPr>
            <w:tcW w:w="1276" w:type="dxa"/>
            <w:tcBorders>
              <w:top w:val="nil"/>
              <w:left w:val="nil"/>
              <w:bottom w:val="nil"/>
              <w:right w:val="nil"/>
            </w:tcBorders>
            <w:shd w:val="clear" w:color="auto" w:fill="FFFFFF"/>
          </w:tcPr>
          <w:p w14:paraId="7798AEC4" w14:textId="77777777" w:rsidR="00E96FE5" w:rsidRPr="00E96FE5" w:rsidRDefault="00E96FE5" w:rsidP="00E96FE5">
            <w:pPr>
              <w:tabs>
                <w:tab w:val="clear" w:pos="7100"/>
              </w:tabs>
              <w:spacing w:line="240" w:lineRule="auto"/>
              <w:textAlignment w:val="baseline"/>
              <w:rPr>
                <w:rFonts w:cs="Arial"/>
                <w:szCs w:val="18"/>
                <w:lang w:eastAsia="it-IT"/>
              </w:rPr>
            </w:pPr>
          </w:p>
        </w:tc>
        <w:tc>
          <w:tcPr>
            <w:tcW w:w="7432" w:type="dxa"/>
            <w:tcBorders>
              <w:top w:val="nil"/>
              <w:left w:val="nil"/>
              <w:bottom w:val="nil"/>
              <w:right w:val="nil"/>
            </w:tcBorders>
            <w:shd w:val="clear" w:color="auto" w:fill="FFFFFF"/>
          </w:tcPr>
          <w:p w14:paraId="37758735" w14:textId="77777777" w:rsidR="00E96FE5" w:rsidRPr="00E96FE5" w:rsidRDefault="00E96FE5" w:rsidP="00E96FE5">
            <w:pPr>
              <w:tabs>
                <w:tab w:val="clear" w:pos="7100"/>
              </w:tabs>
              <w:spacing w:line="240" w:lineRule="auto"/>
              <w:textAlignment w:val="baseline"/>
              <w:rPr>
                <w:rFonts w:cs="Arial"/>
                <w:szCs w:val="18"/>
                <w:lang w:val="en-US" w:eastAsia="it-IT"/>
              </w:rPr>
            </w:pPr>
          </w:p>
        </w:tc>
      </w:tr>
      <w:tr w:rsidR="00E96FE5" w:rsidRPr="00E96FE5" w14:paraId="27120396" w14:textId="77777777" w:rsidTr="009A3200">
        <w:trPr>
          <w:gridAfter w:val="1"/>
          <w:wAfter w:w="81" w:type="dxa"/>
          <w:trHeight w:val="224"/>
        </w:trPr>
        <w:tc>
          <w:tcPr>
            <w:tcW w:w="1276" w:type="dxa"/>
            <w:tcBorders>
              <w:top w:val="nil"/>
              <w:left w:val="nil"/>
              <w:bottom w:val="nil"/>
              <w:right w:val="nil"/>
            </w:tcBorders>
            <w:shd w:val="clear" w:color="auto" w:fill="FFFFFF"/>
            <w:vAlign w:val="center"/>
          </w:tcPr>
          <w:p w14:paraId="3106DC48" w14:textId="4B35EEDE" w:rsidR="00E96FE5" w:rsidRPr="00E96FE5" w:rsidRDefault="00E96FE5" w:rsidP="00E96FE5">
            <w:pPr>
              <w:tabs>
                <w:tab w:val="clear" w:pos="7100"/>
              </w:tabs>
              <w:spacing w:line="240" w:lineRule="auto"/>
              <w:jc w:val="left"/>
              <w:textAlignment w:val="baseline"/>
              <w:rPr>
                <w:rFonts w:cs="Arial"/>
                <w:szCs w:val="18"/>
                <w:lang w:eastAsia="it-IT"/>
              </w:rPr>
            </w:pPr>
            <w:r>
              <w:rPr>
                <w:rFonts w:cs="Arial"/>
                <w:szCs w:val="18"/>
                <w:lang w:eastAsia="it-IT"/>
              </w:rPr>
              <w:t>Biodiversity</w:t>
            </w:r>
          </w:p>
        </w:tc>
        <w:tc>
          <w:tcPr>
            <w:tcW w:w="7432" w:type="dxa"/>
            <w:tcBorders>
              <w:top w:val="nil"/>
              <w:left w:val="nil"/>
              <w:bottom w:val="nil"/>
              <w:right w:val="nil"/>
            </w:tcBorders>
            <w:shd w:val="clear" w:color="auto" w:fill="FFFFFF"/>
          </w:tcPr>
          <w:p w14:paraId="7AF36D58"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Implementation of habitat restoration initiatives.</w:t>
            </w:r>
          </w:p>
          <w:p w14:paraId="67B6D382"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Conservation programs for local flora and fauna.</w:t>
            </w:r>
          </w:p>
          <w:p w14:paraId="6BDD1CE2"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Establishment of biodiversity monitoring programs.</w:t>
            </w:r>
          </w:p>
          <w:p w14:paraId="1CA9F135"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Use of micro-tunneling techniques to minimize surface and ecosystem disturbances.</w:t>
            </w:r>
          </w:p>
          <w:p w14:paraId="3E972F55"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Avoidance of construction activities in sensitive ecological areas.</w:t>
            </w:r>
          </w:p>
          <w:p w14:paraId="6F3D8B33" w14:textId="48FFA8BE"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Other biodiversity protection initiatives.</w:t>
            </w:r>
          </w:p>
        </w:tc>
      </w:tr>
      <w:tr w:rsidR="00E96FE5" w:rsidRPr="00E96FE5" w14:paraId="35F1A0A7" w14:textId="77777777" w:rsidTr="009A3200">
        <w:trPr>
          <w:gridAfter w:val="1"/>
          <w:wAfter w:w="81" w:type="dxa"/>
          <w:trHeight w:val="224"/>
        </w:trPr>
        <w:tc>
          <w:tcPr>
            <w:tcW w:w="1276" w:type="dxa"/>
            <w:tcBorders>
              <w:top w:val="nil"/>
              <w:left w:val="nil"/>
              <w:bottom w:val="nil"/>
              <w:right w:val="nil"/>
            </w:tcBorders>
            <w:shd w:val="clear" w:color="auto" w:fill="FFFFFF"/>
          </w:tcPr>
          <w:p w14:paraId="523D7332" w14:textId="77777777" w:rsidR="00E96FE5" w:rsidRPr="00E96FE5" w:rsidRDefault="00E96FE5" w:rsidP="00E96FE5">
            <w:pPr>
              <w:tabs>
                <w:tab w:val="clear" w:pos="7100"/>
              </w:tabs>
              <w:spacing w:line="240" w:lineRule="auto"/>
              <w:textAlignment w:val="baseline"/>
              <w:rPr>
                <w:rFonts w:cs="Arial"/>
                <w:szCs w:val="18"/>
                <w:lang w:eastAsia="it-IT"/>
              </w:rPr>
            </w:pPr>
          </w:p>
        </w:tc>
        <w:tc>
          <w:tcPr>
            <w:tcW w:w="7432" w:type="dxa"/>
            <w:tcBorders>
              <w:top w:val="nil"/>
              <w:left w:val="nil"/>
              <w:bottom w:val="nil"/>
              <w:right w:val="nil"/>
            </w:tcBorders>
            <w:shd w:val="clear" w:color="auto" w:fill="FFFFFF"/>
          </w:tcPr>
          <w:p w14:paraId="1A792E4B" w14:textId="77777777" w:rsidR="00E96FE5" w:rsidRPr="00E96FE5" w:rsidRDefault="00E96FE5" w:rsidP="00E96FE5">
            <w:pPr>
              <w:tabs>
                <w:tab w:val="clear" w:pos="7100"/>
              </w:tabs>
              <w:spacing w:line="240" w:lineRule="auto"/>
              <w:textAlignment w:val="baseline"/>
              <w:rPr>
                <w:rFonts w:cs="Arial"/>
                <w:szCs w:val="18"/>
                <w:lang w:val="en-US" w:eastAsia="it-IT"/>
              </w:rPr>
            </w:pPr>
          </w:p>
        </w:tc>
      </w:tr>
      <w:tr w:rsidR="00E96FE5" w:rsidRPr="00E96FE5" w14:paraId="26E5FEDB" w14:textId="77777777" w:rsidTr="009A3200">
        <w:trPr>
          <w:gridAfter w:val="1"/>
          <w:wAfter w:w="81" w:type="dxa"/>
          <w:trHeight w:val="224"/>
        </w:trPr>
        <w:tc>
          <w:tcPr>
            <w:tcW w:w="1276" w:type="dxa"/>
            <w:tcBorders>
              <w:top w:val="nil"/>
              <w:left w:val="nil"/>
              <w:bottom w:val="nil"/>
              <w:right w:val="nil"/>
            </w:tcBorders>
            <w:shd w:val="clear" w:color="auto" w:fill="FFFFFF"/>
            <w:vAlign w:val="center"/>
          </w:tcPr>
          <w:p w14:paraId="397BA4CA" w14:textId="6D6F6FC5" w:rsidR="00E96FE5" w:rsidRPr="00E96FE5" w:rsidRDefault="00E96FE5" w:rsidP="00E96FE5">
            <w:pPr>
              <w:tabs>
                <w:tab w:val="clear" w:pos="7100"/>
              </w:tabs>
              <w:spacing w:line="240" w:lineRule="auto"/>
              <w:jc w:val="left"/>
              <w:textAlignment w:val="baseline"/>
              <w:rPr>
                <w:rFonts w:cs="Arial"/>
                <w:szCs w:val="18"/>
                <w:lang w:eastAsia="it-IT"/>
              </w:rPr>
            </w:pPr>
            <w:r>
              <w:rPr>
                <w:rFonts w:cs="Arial"/>
                <w:szCs w:val="18"/>
                <w:lang w:eastAsia="it-IT"/>
              </w:rPr>
              <w:t>Waste</w:t>
            </w:r>
          </w:p>
        </w:tc>
        <w:tc>
          <w:tcPr>
            <w:tcW w:w="7432" w:type="dxa"/>
            <w:tcBorders>
              <w:top w:val="nil"/>
              <w:left w:val="nil"/>
              <w:bottom w:val="nil"/>
              <w:right w:val="nil"/>
            </w:tcBorders>
            <w:shd w:val="clear" w:color="auto" w:fill="FFFFFF"/>
          </w:tcPr>
          <w:p w14:paraId="795FD4F3"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Establishment of on-site waste treatment facilities.</w:t>
            </w:r>
          </w:p>
          <w:p w14:paraId="6C796496"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Implementation of waste segregation and recycling programs.</w:t>
            </w:r>
          </w:p>
          <w:p w14:paraId="0814C781"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Development of agreements with third parties for waste recycling to minimize landfill disposal.</w:t>
            </w:r>
          </w:p>
          <w:p w14:paraId="203660D4"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Promotion of waste-to-energy initiatives.</w:t>
            </w:r>
          </w:p>
          <w:p w14:paraId="612D6AFF" w14:textId="77777777"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Reusable materials and sustainable procurement policies.</w:t>
            </w:r>
          </w:p>
          <w:p w14:paraId="576DB5D8" w14:textId="266EAB81" w:rsidR="00E96FE5" w:rsidRPr="00E96FE5" w:rsidRDefault="00E96FE5" w:rsidP="00E96FE5">
            <w:pPr>
              <w:tabs>
                <w:tab w:val="clear" w:pos="7100"/>
              </w:tabs>
              <w:spacing w:line="240" w:lineRule="auto"/>
              <w:textAlignment w:val="baseline"/>
              <w:rPr>
                <w:rFonts w:cs="Arial"/>
                <w:szCs w:val="18"/>
                <w:lang w:val="en-US" w:eastAsia="it-IT"/>
              </w:rPr>
            </w:pPr>
            <w:r w:rsidRPr="00E96FE5">
              <w:rPr>
                <w:rFonts w:cs="Arial"/>
                <w:szCs w:val="18"/>
                <w:lang w:val="en-US" w:eastAsia="it-IT"/>
              </w:rPr>
              <w:t>Other initiatives.</w:t>
            </w:r>
          </w:p>
        </w:tc>
      </w:tr>
      <w:tr w:rsidR="00E96FE5" w:rsidRPr="00E96FE5" w14:paraId="43134B2D" w14:textId="77777777" w:rsidTr="009A3200">
        <w:trPr>
          <w:gridAfter w:val="1"/>
          <w:wAfter w:w="81" w:type="dxa"/>
          <w:trHeight w:val="224"/>
        </w:trPr>
        <w:tc>
          <w:tcPr>
            <w:tcW w:w="1276" w:type="dxa"/>
            <w:tcBorders>
              <w:top w:val="nil"/>
              <w:left w:val="nil"/>
              <w:bottom w:val="single" w:sz="12" w:space="0" w:color="008000"/>
              <w:right w:val="nil"/>
            </w:tcBorders>
            <w:shd w:val="clear" w:color="auto" w:fill="FFFFFF"/>
            <w:hideMark/>
          </w:tcPr>
          <w:p w14:paraId="550838FB" w14:textId="77777777" w:rsidR="00E96FE5" w:rsidRPr="00E96FE5" w:rsidRDefault="00E96FE5" w:rsidP="00E96FE5">
            <w:pPr>
              <w:tabs>
                <w:tab w:val="clear" w:pos="7100"/>
              </w:tabs>
              <w:spacing w:line="240" w:lineRule="auto"/>
              <w:ind w:right="-15"/>
              <w:textAlignment w:val="baseline"/>
              <w:rPr>
                <w:rFonts w:ascii="Segoe UI" w:hAnsi="Segoe UI" w:cs="Segoe UI"/>
                <w:szCs w:val="18"/>
                <w:lang w:val="en-US" w:eastAsia="it-IT"/>
              </w:rPr>
            </w:pPr>
            <w:r w:rsidRPr="00E96FE5">
              <w:rPr>
                <w:rFonts w:cs="Arial"/>
                <w:szCs w:val="18"/>
                <w:lang w:val="en-US" w:eastAsia="it-IT"/>
              </w:rPr>
              <w:t> </w:t>
            </w:r>
          </w:p>
        </w:tc>
        <w:tc>
          <w:tcPr>
            <w:tcW w:w="7432" w:type="dxa"/>
            <w:tcBorders>
              <w:top w:val="nil"/>
              <w:left w:val="nil"/>
              <w:bottom w:val="single" w:sz="12" w:space="0" w:color="008000"/>
              <w:right w:val="nil"/>
            </w:tcBorders>
            <w:shd w:val="clear" w:color="auto" w:fill="FFFFFF"/>
            <w:hideMark/>
          </w:tcPr>
          <w:p w14:paraId="377ED5D8" w14:textId="77777777" w:rsidR="00E96FE5" w:rsidRPr="00E96FE5" w:rsidRDefault="00E96FE5" w:rsidP="00E96FE5">
            <w:pPr>
              <w:tabs>
                <w:tab w:val="clear" w:pos="7100"/>
              </w:tabs>
              <w:spacing w:line="240" w:lineRule="auto"/>
              <w:ind w:right="-15"/>
              <w:textAlignment w:val="baseline"/>
              <w:rPr>
                <w:rFonts w:ascii="Segoe UI" w:hAnsi="Segoe UI" w:cs="Segoe UI"/>
                <w:szCs w:val="18"/>
                <w:lang w:val="en-US" w:eastAsia="it-IT"/>
              </w:rPr>
            </w:pPr>
            <w:r w:rsidRPr="00E96FE5">
              <w:rPr>
                <w:rFonts w:cs="Arial"/>
                <w:szCs w:val="18"/>
                <w:lang w:val="en-US" w:eastAsia="it-IT"/>
              </w:rPr>
              <w:t> </w:t>
            </w:r>
          </w:p>
        </w:tc>
      </w:tr>
    </w:tbl>
    <w:p w14:paraId="166F9009" w14:textId="05A9ADAB" w:rsidR="003579B6" w:rsidRPr="00460786" w:rsidRDefault="003579B6" w:rsidP="001F26E7">
      <w:pPr>
        <w:pStyle w:val="CETHeading1"/>
        <w:numPr>
          <w:ilvl w:val="0"/>
          <w:numId w:val="0"/>
        </w:numPr>
        <w:spacing w:after="0"/>
        <w:rPr>
          <w:lang w:val="en-GB"/>
        </w:rPr>
      </w:pPr>
      <w:r w:rsidRPr="00460786">
        <w:rPr>
          <w:lang w:val="en-GB"/>
        </w:rPr>
        <w:t>Conclusion</w:t>
      </w:r>
    </w:p>
    <w:p w14:paraId="4AEAEC17" w14:textId="274E0ACA" w:rsidR="00E96825" w:rsidRDefault="00E96825" w:rsidP="00203E0C">
      <w:pPr>
        <w:pStyle w:val="CETAcknowledgementstitle"/>
        <w:spacing w:before="0" w:after="0"/>
        <w:jc w:val="both"/>
        <w:rPr>
          <w:b w:val="0"/>
          <w:lang w:val="en-US"/>
        </w:rPr>
      </w:pPr>
      <w:r w:rsidRPr="00E96825">
        <w:rPr>
          <w:b w:val="0"/>
          <w:lang w:val="en-US"/>
        </w:rPr>
        <w:t>By integrating quantitative and qualitative indicators, project-specific data, and international environmental benchmarks, the methodology enables early identification of key environmental risks before project initiation.</w:t>
      </w:r>
      <w:r>
        <w:rPr>
          <w:b w:val="0"/>
          <w:lang w:val="en-US"/>
        </w:rPr>
        <w:t xml:space="preserve"> </w:t>
      </w:r>
      <w:r w:rsidRPr="00E96825">
        <w:rPr>
          <w:b w:val="0"/>
          <w:lang w:val="en-US"/>
        </w:rPr>
        <w:t>This early-stage assessment allows for timely planning of mitigation measures, ensures consistency and comparability across diverse project types and geographical contexts, and supports the structured development of Environmental Management Plans (EMP).</w:t>
      </w:r>
    </w:p>
    <w:p w14:paraId="34361DF9" w14:textId="77777777" w:rsidR="00E96825" w:rsidRDefault="00E96825" w:rsidP="00203E0C">
      <w:pPr>
        <w:pStyle w:val="CETAcknowledgementstitle"/>
        <w:spacing w:before="0" w:after="0"/>
        <w:jc w:val="both"/>
        <w:rPr>
          <w:b w:val="0"/>
          <w:lang w:val="en-US"/>
        </w:rPr>
      </w:pPr>
      <w:r w:rsidRPr="00E96825">
        <w:rPr>
          <w:b w:val="0"/>
          <w:lang w:val="en-US"/>
        </w:rPr>
        <w:t>Overall, the methodology provides a systematic, replicable, and proactive tool for managing environmental risks, enhancing project planning accuracy and operational readiness while ensuring alignment with global environmental standards.</w:t>
      </w:r>
    </w:p>
    <w:p w14:paraId="1074AF6D" w14:textId="77777777" w:rsidR="002146A7" w:rsidRPr="00B57B36" w:rsidRDefault="002146A7" w:rsidP="001F26E7">
      <w:pPr>
        <w:pStyle w:val="CETReference"/>
        <w:spacing w:after="0"/>
      </w:pPr>
      <w:r w:rsidRPr="00B57B36">
        <w:t>References</w:t>
      </w:r>
    </w:p>
    <w:p w14:paraId="190F47CF" w14:textId="77777777" w:rsidR="00E12DE6" w:rsidRPr="00E12DE6" w:rsidRDefault="00E12DE6" w:rsidP="00E12DE6">
      <w:pPr>
        <w:pStyle w:val="CETBodytext"/>
        <w:rPr>
          <w:lang w:val="en-GB"/>
        </w:rPr>
      </w:pPr>
      <w:r w:rsidRPr="00E12DE6">
        <w:rPr>
          <w:lang w:val="en-GB"/>
        </w:rPr>
        <w:t>[1] ISO 14001:2015 – Environmental Management Systems.</w:t>
      </w:r>
    </w:p>
    <w:p w14:paraId="7A42931B" w14:textId="77777777" w:rsidR="00E12DE6" w:rsidRPr="00E12DE6" w:rsidRDefault="00E12DE6" w:rsidP="00E12DE6">
      <w:pPr>
        <w:pStyle w:val="CETBodytext"/>
        <w:rPr>
          <w:lang w:val="en-GB"/>
        </w:rPr>
      </w:pPr>
      <w:r w:rsidRPr="00E12DE6">
        <w:rPr>
          <w:lang w:val="en-GB"/>
        </w:rPr>
        <w:t>[2] International Energy Agency (IEA) – Emission Factor Database.</w:t>
      </w:r>
    </w:p>
    <w:p w14:paraId="67127AE0" w14:textId="77777777" w:rsidR="00E12DE6" w:rsidRPr="00E12DE6" w:rsidRDefault="00E12DE6" w:rsidP="00E12DE6">
      <w:pPr>
        <w:pStyle w:val="CETBodytext"/>
        <w:rPr>
          <w:lang w:val="en-GB"/>
        </w:rPr>
      </w:pPr>
      <w:r w:rsidRPr="00E12DE6">
        <w:rPr>
          <w:lang w:val="en-GB"/>
        </w:rPr>
        <w:t>[3] UK Department for Environment, Food &amp; Rural Affairs (DEFRA) – Emission Factors Database.</w:t>
      </w:r>
    </w:p>
    <w:p w14:paraId="4B00DE2F" w14:textId="77777777" w:rsidR="00E12DE6" w:rsidRPr="00E12DE6" w:rsidRDefault="00E12DE6" w:rsidP="00E12DE6">
      <w:pPr>
        <w:pStyle w:val="CETBodytext"/>
        <w:rPr>
          <w:lang w:val="en-GB"/>
        </w:rPr>
      </w:pPr>
      <w:r w:rsidRPr="00E12DE6">
        <w:rPr>
          <w:lang w:val="en-GB"/>
        </w:rPr>
        <w:t xml:space="preserve">[4] Yale </w:t>
      </w:r>
      <w:proofErr w:type="spellStart"/>
      <w:r w:rsidRPr="00E12DE6">
        <w:rPr>
          <w:lang w:val="en-GB"/>
        </w:rPr>
        <w:t>Center</w:t>
      </w:r>
      <w:proofErr w:type="spellEnd"/>
      <w:r w:rsidRPr="00E12DE6">
        <w:rPr>
          <w:lang w:val="en-GB"/>
        </w:rPr>
        <w:t xml:space="preserve"> for Environmental Law &amp; Policy (2024) – Environmental Performance Index.</w:t>
      </w:r>
    </w:p>
    <w:p w14:paraId="7B587FBF" w14:textId="77777777" w:rsidR="00E12DE6" w:rsidRPr="00E12DE6" w:rsidRDefault="00E12DE6" w:rsidP="00E12DE6">
      <w:pPr>
        <w:pStyle w:val="CETBodytext"/>
        <w:rPr>
          <w:lang w:val="en-GB"/>
        </w:rPr>
      </w:pPr>
      <w:r w:rsidRPr="00E12DE6">
        <w:rPr>
          <w:lang w:val="en-GB"/>
        </w:rPr>
        <w:t>[5] World Resources Institute (2023) – Aqueduct 4.0 Water Risk Indicators.</w:t>
      </w:r>
    </w:p>
    <w:p w14:paraId="61A9B77A" w14:textId="0D29B7F4" w:rsidR="00600535" w:rsidRPr="00E12DE6" w:rsidRDefault="00E12DE6" w:rsidP="00E12DE6">
      <w:pPr>
        <w:pStyle w:val="CETBodytext"/>
      </w:pPr>
      <w:r w:rsidRPr="00E12DE6">
        <w:rPr>
          <w:lang w:val="en-GB"/>
        </w:rPr>
        <w:t>[6] Integrated Biodiversity Assessment Tool (IBAT) Database.</w:t>
      </w:r>
    </w:p>
    <w:sectPr w:rsidR="00600535" w:rsidRPr="00E12DE6"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4E9F8" w14:textId="77777777" w:rsidR="006E1AAD" w:rsidRDefault="006E1AAD" w:rsidP="004F5E36">
      <w:r>
        <w:separator/>
      </w:r>
    </w:p>
  </w:endnote>
  <w:endnote w:type="continuationSeparator" w:id="0">
    <w:p w14:paraId="6261E48C" w14:textId="77777777" w:rsidR="006E1AAD" w:rsidRDefault="006E1AA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28C57" w14:textId="77777777" w:rsidR="006E1AAD" w:rsidRDefault="006E1AAD" w:rsidP="004F5E36">
      <w:r>
        <w:separator/>
      </w:r>
    </w:p>
  </w:footnote>
  <w:footnote w:type="continuationSeparator" w:id="0">
    <w:p w14:paraId="2078322E" w14:textId="77777777" w:rsidR="006E1AAD" w:rsidRDefault="006E1AA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E0E8A6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63522A8"/>
    <w:multiLevelType w:val="hybridMultilevel"/>
    <w:tmpl w:val="95847412"/>
    <w:lvl w:ilvl="0" w:tplc="8042F7F2">
      <w:start w:val="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21001B"/>
    <w:multiLevelType w:val="hybridMultilevel"/>
    <w:tmpl w:val="B6741A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38A4ACC"/>
    <w:multiLevelType w:val="hybridMultilevel"/>
    <w:tmpl w:val="7180DF78"/>
    <w:lvl w:ilvl="0" w:tplc="8042F7F2">
      <w:start w:val="2"/>
      <w:numFmt w:val="bullet"/>
      <w:lvlText w:val="-"/>
      <w:lvlJc w:val="left"/>
      <w:pPr>
        <w:ind w:left="1440" w:hanging="360"/>
      </w:pPr>
      <w:rPr>
        <w:rFonts w:ascii="Arial" w:eastAsia="Times New Roman"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4"/>
  </w:num>
  <w:num w:numId="22" w16cid:durableId="2099861471">
    <w:abstractNumId w:val="13"/>
  </w:num>
  <w:num w:numId="23" w16cid:durableId="897057823">
    <w:abstractNumId w:val="22"/>
  </w:num>
  <w:num w:numId="24" w16cid:durableId="639456329">
    <w:abstractNumId w:val="10"/>
  </w:num>
  <w:num w:numId="25" w16cid:durableId="1072116033">
    <w:abstractNumId w:val="15"/>
  </w:num>
  <w:num w:numId="26" w16cid:durableId="9118117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24827"/>
    <w:rsid w:val="0003148D"/>
    <w:rsid w:val="00031EEC"/>
    <w:rsid w:val="00036DA0"/>
    <w:rsid w:val="00051566"/>
    <w:rsid w:val="000562A9"/>
    <w:rsid w:val="00062A9A"/>
    <w:rsid w:val="00065058"/>
    <w:rsid w:val="00067CB5"/>
    <w:rsid w:val="000727ED"/>
    <w:rsid w:val="00077C4C"/>
    <w:rsid w:val="00086C39"/>
    <w:rsid w:val="00095BEA"/>
    <w:rsid w:val="00096E85"/>
    <w:rsid w:val="000A03B2"/>
    <w:rsid w:val="000A11DD"/>
    <w:rsid w:val="000A36E9"/>
    <w:rsid w:val="000D0268"/>
    <w:rsid w:val="000D1F27"/>
    <w:rsid w:val="000D34BE"/>
    <w:rsid w:val="000E102F"/>
    <w:rsid w:val="000E36F1"/>
    <w:rsid w:val="000E3A73"/>
    <w:rsid w:val="000E414A"/>
    <w:rsid w:val="000E4448"/>
    <w:rsid w:val="000E75FD"/>
    <w:rsid w:val="000F093C"/>
    <w:rsid w:val="000F0B1C"/>
    <w:rsid w:val="000F1DF5"/>
    <w:rsid w:val="000F51BC"/>
    <w:rsid w:val="000F787B"/>
    <w:rsid w:val="00102E73"/>
    <w:rsid w:val="00105E4A"/>
    <w:rsid w:val="00111E8F"/>
    <w:rsid w:val="00116795"/>
    <w:rsid w:val="0012091F"/>
    <w:rsid w:val="00124AAD"/>
    <w:rsid w:val="00126BC2"/>
    <w:rsid w:val="001308B6"/>
    <w:rsid w:val="0013121F"/>
    <w:rsid w:val="00131FE6"/>
    <w:rsid w:val="0013263F"/>
    <w:rsid w:val="001331DF"/>
    <w:rsid w:val="00134DE4"/>
    <w:rsid w:val="00137F85"/>
    <w:rsid w:val="0014034D"/>
    <w:rsid w:val="00140FE3"/>
    <w:rsid w:val="00141559"/>
    <w:rsid w:val="00144D16"/>
    <w:rsid w:val="00150AF1"/>
    <w:rsid w:val="00150E59"/>
    <w:rsid w:val="00152DE3"/>
    <w:rsid w:val="001604D7"/>
    <w:rsid w:val="00161A48"/>
    <w:rsid w:val="00164CF9"/>
    <w:rsid w:val="001667A6"/>
    <w:rsid w:val="00171C71"/>
    <w:rsid w:val="00173944"/>
    <w:rsid w:val="00180CF4"/>
    <w:rsid w:val="00184AD6"/>
    <w:rsid w:val="00184E28"/>
    <w:rsid w:val="00186B71"/>
    <w:rsid w:val="001A4AF7"/>
    <w:rsid w:val="001A4DA9"/>
    <w:rsid w:val="001A59B6"/>
    <w:rsid w:val="001B0349"/>
    <w:rsid w:val="001B1E93"/>
    <w:rsid w:val="001B61A7"/>
    <w:rsid w:val="001B641A"/>
    <w:rsid w:val="001B65C1"/>
    <w:rsid w:val="001C260F"/>
    <w:rsid w:val="001C33F1"/>
    <w:rsid w:val="001C684B"/>
    <w:rsid w:val="001C6E16"/>
    <w:rsid w:val="001D0CFB"/>
    <w:rsid w:val="001D21AF"/>
    <w:rsid w:val="001D53FC"/>
    <w:rsid w:val="001E126A"/>
    <w:rsid w:val="001E131D"/>
    <w:rsid w:val="001F26E7"/>
    <w:rsid w:val="001F42A5"/>
    <w:rsid w:val="001F7B9D"/>
    <w:rsid w:val="00201C93"/>
    <w:rsid w:val="00203E0C"/>
    <w:rsid w:val="00204E9D"/>
    <w:rsid w:val="002146A7"/>
    <w:rsid w:val="002165FA"/>
    <w:rsid w:val="00217CED"/>
    <w:rsid w:val="002224B4"/>
    <w:rsid w:val="00223A3E"/>
    <w:rsid w:val="00240714"/>
    <w:rsid w:val="002447EF"/>
    <w:rsid w:val="00251550"/>
    <w:rsid w:val="00252376"/>
    <w:rsid w:val="0025348A"/>
    <w:rsid w:val="002615F0"/>
    <w:rsid w:val="00263B05"/>
    <w:rsid w:val="0027221A"/>
    <w:rsid w:val="00273FAA"/>
    <w:rsid w:val="00275B61"/>
    <w:rsid w:val="00280FAF"/>
    <w:rsid w:val="00282656"/>
    <w:rsid w:val="00296B83"/>
    <w:rsid w:val="002A1E0C"/>
    <w:rsid w:val="002B4015"/>
    <w:rsid w:val="002B78CE"/>
    <w:rsid w:val="002C2FB6"/>
    <w:rsid w:val="002C484F"/>
    <w:rsid w:val="002C4E2D"/>
    <w:rsid w:val="002D0F3A"/>
    <w:rsid w:val="002E5FA7"/>
    <w:rsid w:val="002F3309"/>
    <w:rsid w:val="003008CE"/>
    <w:rsid w:val="003009B7"/>
    <w:rsid w:val="00300B98"/>
    <w:rsid w:val="00300E56"/>
    <w:rsid w:val="0030152C"/>
    <w:rsid w:val="0030469C"/>
    <w:rsid w:val="00321CA6"/>
    <w:rsid w:val="003226FA"/>
    <w:rsid w:val="00323763"/>
    <w:rsid w:val="00323C5F"/>
    <w:rsid w:val="00326667"/>
    <w:rsid w:val="0033322B"/>
    <w:rsid w:val="00334C09"/>
    <w:rsid w:val="00343F96"/>
    <w:rsid w:val="003450FF"/>
    <w:rsid w:val="00347A60"/>
    <w:rsid w:val="0035229B"/>
    <w:rsid w:val="00355499"/>
    <w:rsid w:val="003579B6"/>
    <w:rsid w:val="00365E31"/>
    <w:rsid w:val="003723D4"/>
    <w:rsid w:val="003732BA"/>
    <w:rsid w:val="00381905"/>
    <w:rsid w:val="00382A60"/>
    <w:rsid w:val="00384CC8"/>
    <w:rsid w:val="003871FD"/>
    <w:rsid w:val="003A1E30"/>
    <w:rsid w:val="003A2829"/>
    <w:rsid w:val="003A71F9"/>
    <w:rsid w:val="003A7D1C"/>
    <w:rsid w:val="003B304B"/>
    <w:rsid w:val="003B3146"/>
    <w:rsid w:val="003B4B2B"/>
    <w:rsid w:val="003B5834"/>
    <w:rsid w:val="003D1E02"/>
    <w:rsid w:val="003D2632"/>
    <w:rsid w:val="003D26EB"/>
    <w:rsid w:val="003E6452"/>
    <w:rsid w:val="003E6AD1"/>
    <w:rsid w:val="003F015E"/>
    <w:rsid w:val="003F640D"/>
    <w:rsid w:val="00400414"/>
    <w:rsid w:val="0041446B"/>
    <w:rsid w:val="00415E5C"/>
    <w:rsid w:val="0044071E"/>
    <w:rsid w:val="0044329C"/>
    <w:rsid w:val="00445E07"/>
    <w:rsid w:val="0044681D"/>
    <w:rsid w:val="00453E24"/>
    <w:rsid w:val="00457456"/>
    <w:rsid w:val="004577FE"/>
    <w:rsid w:val="00457B9C"/>
    <w:rsid w:val="00460786"/>
    <w:rsid w:val="0046164A"/>
    <w:rsid w:val="004628D2"/>
    <w:rsid w:val="00462DCD"/>
    <w:rsid w:val="004648AD"/>
    <w:rsid w:val="004653F0"/>
    <w:rsid w:val="004703A9"/>
    <w:rsid w:val="00470C69"/>
    <w:rsid w:val="00471385"/>
    <w:rsid w:val="004760DE"/>
    <w:rsid w:val="004763D7"/>
    <w:rsid w:val="00486AB9"/>
    <w:rsid w:val="00494A0D"/>
    <w:rsid w:val="004A004E"/>
    <w:rsid w:val="004A24CF"/>
    <w:rsid w:val="004A5E57"/>
    <w:rsid w:val="004C194F"/>
    <w:rsid w:val="004C3D1D"/>
    <w:rsid w:val="004C3D84"/>
    <w:rsid w:val="004C7913"/>
    <w:rsid w:val="004D5C83"/>
    <w:rsid w:val="004E4DD6"/>
    <w:rsid w:val="004E62A2"/>
    <w:rsid w:val="004F5E36"/>
    <w:rsid w:val="00507B47"/>
    <w:rsid w:val="00507BEF"/>
    <w:rsid w:val="00507CC9"/>
    <w:rsid w:val="005119A5"/>
    <w:rsid w:val="005248DD"/>
    <w:rsid w:val="005278B7"/>
    <w:rsid w:val="00532016"/>
    <w:rsid w:val="005346C8"/>
    <w:rsid w:val="00536B61"/>
    <w:rsid w:val="00543E7D"/>
    <w:rsid w:val="00547A68"/>
    <w:rsid w:val="005531C9"/>
    <w:rsid w:val="00570C43"/>
    <w:rsid w:val="00573F91"/>
    <w:rsid w:val="00575EEE"/>
    <w:rsid w:val="00590E7D"/>
    <w:rsid w:val="00592274"/>
    <w:rsid w:val="00597E9E"/>
    <w:rsid w:val="005A3526"/>
    <w:rsid w:val="005A656A"/>
    <w:rsid w:val="005B2110"/>
    <w:rsid w:val="005B61E6"/>
    <w:rsid w:val="005C77E1"/>
    <w:rsid w:val="005C7885"/>
    <w:rsid w:val="005D668A"/>
    <w:rsid w:val="005D6A2F"/>
    <w:rsid w:val="005E0592"/>
    <w:rsid w:val="005E1A82"/>
    <w:rsid w:val="005E6476"/>
    <w:rsid w:val="005E794C"/>
    <w:rsid w:val="005F0942"/>
    <w:rsid w:val="005F0A28"/>
    <w:rsid w:val="005F0E5E"/>
    <w:rsid w:val="005F5A02"/>
    <w:rsid w:val="00600535"/>
    <w:rsid w:val="00601ABF"/>
    <w:rsid w:val="0060373A"/>
    <w:rsid w:val="00604906"/>
    <w:rsid w:val="00610CD6"/>
    <w:rsid w:val="00617491"/>
    <w:rsid w:val="00620DEE"/>
    <w:rsid w:val="00620E71"/>
    <w:rsid w:val="00621F92"/>
    <w:rsid w:val="0062280A"/>
    <w:rsid w:val="006231E1"/>
    <w:rsid w:val="00625639"/>
    <w:rsid w:val="0062674E"/>
    <w:rsid w:val="00626D09"/>
    <w:rsid w:val="006318BD"/>
    <w:rsid w:val="00631B33"/>
    <w:rsid w:val="00637172"/>
    <w:rsid w:val="0064184D"/>
    <w:rsid w:val="006422CC"/>
    <w:rsid w:val="00651D18"/>
    <w:rsid w:val="00657C86"/>
    <w:rsid w:val="00660E3E"/>
    <w:rsid w:val="00660FD9"/>
    <w:rsid w:val="00662248"/>
    <w:rsid w:val="00662E74"/>
    <w:rsid w:val="00665388"/>
    <w:rsid w:val="00670061"/>
    <w:rsid w:val="00680C23"/>
    <w:rsid w:val="00683E23"/>
    <w:rsid w:val="00693766"/>
    <w:rsid w:val="006A3281"/>
    <w:rsid w:val="006A6525"/>
    <w:rsid w:val="006A7617"/>
    <w:rsid w:val="006B0FB2"/>
    <w:rsid w:val="006B1E98"/>
    <w:rsid w:val="006B4888"/>
    <w:rsid w:val="006C2E45"/>
    <w:rsid w:val="006C359C"/>
    <w:rsid w:val="006C5579"/>
    <w:rsid w:val="006D6E8B"/>
    <w:rsid w:val="006D7209"/>
    <w:rsid w:val="006E1AAD"/>
    <w:rsid w:val="006E737D"/>
    <w:rsid w:val="006F1E39"/>
    <w:rsid w:val="006F7D82"/>
    <w:rsid w:val="00701B8D"/>
    <w:rsid w:val="00707DD1"/>
    <w:rsid w:val="00713973"/>
    <w:rsid w:val="00713BE8"/>
    <w:rsid w:val="00720A24"/>
    <w:rsid w:val="00732386"/>
    <w:rsid w:val="0073514D"/>
    <w:rsid w:val="00740E09"/>
    <w:rsid w:val="007447F3"/>
    <w:rsid w:val="0075499F"/>
    <w:rsid w:val="007617CC"/>
    <w:rsid w:val="007661C8"/>
    <w:rsid w:val="0077098D"/>
    <w:rsid w:val="00785BF9"/>
    <w:rsid w:val="007931FA"/>
    <w:rsid w:val="007A2BF7"/>
    <w:rsid w:val="007A39BD"/>
    <w:rsid w:val="007A4861"/>
    <w:rsid w:val="007A6DF8"/>
    <w:rsid w:val="007A7BBA"/>
    <w:rsid w:val="007B0C50"/>
    <w:rsid w:val="007B48F9"/>
    <w:rsid w:val="007C0E38"/>
    <w:rsid w:val="007C1A43"/>
    <w:rsid w:val="007D0951"/>
    <w:rsid w:val="007D2FCE"/>
    <w:rsid w:val="007D5967"/>
    <w:rsid w:val="007F27C8"/>
    <w:rsid w:val="0080013E"/>
    <w:rsid w:val="00802F1C"/>
    <w:rsid w:val="00803B09"/>
    <w:rsid w:val="00805671"/>
    <w:rsid w:val="00813288"/>
    <w:rsid w:val="008136C3"/>
    <w:rsid w:val="008168FC"/>
    <w:rsid w:val="00817E8F"/>
    <w:rsid w:val="00830996"/>
    <w:rsid w:val="008314D7"/>
    <w:rsid w:val="008345F1"/>
    <w:rsid w:val="00834FA8"/>
    <w:rsid w:val="00837D66"/>
    <w:rsid w:val="00837F87"/>
    <w:rsid w:val="00843F9E"/>
    <w:rsid w:val="00844563"/>
    <w:rsid w:val="008527C0"/>
    <w:rsid w:val="00865B07"/>
    <w:rsid w:val="008667EA"/>
    <w:rsid w:val="008713F8"/>
    <w:rsid w:val="00871F95"/>
    <w:rsid w:val="00873F06"/>
    <w:rsid w:val="0087637F"/>
    <w:rsid w:val="008858E3"/>
    <w:rsid w:val="008866B8"/>
    <w:rsid w:val="00892AD5"/>
    <w:rsid w:val="00897F5E"/>
    <w:rsid w:val="008A1512"/>
    <w:rsid w:val="008C218D"/>
    <w:rsid w:val="008D32B9"/>
    <w:rsid w:val="008D39C5"/>
    <w:rsid w:val="008D433B"/>
    <w:rsid w:val="008D4A16"/>
    <w:rsid w:val="008E209A"/>
    <w:rsid w:val="008E45BC"/>
    <w:rsid w:val="008E566E"/>
    <w:rsid w:val="008E7297"/>
    <w:rsid w:val="0090161A"/>
    <w:rsid w:val="00901EB6"/>
    <w:rsid w:val="009041F8"/>
    <w:rsid w:val="0090453E"/>
    <w:rsid w:val="00904C62"/>
    <w:rsid w:val="00906B2A"/>
    <w:rsid w:val="00922BA8"/>
    <w:rsid w:val="00924DAC"/>
    <w:rsid w:val="00926700"/>
    <w:rsid w:val="00927058"/>
    <w:rsid w:val="00930CBA"/>
    <w:rsid w:val="00931164"/>
    <w:rsid w:val="0093791E"/>
    <w:rsid w:val="00942750"/>
    <w:rsid w:val="009450CE"/>
    <w:rsid w:val="009459BB"/>
    <w:rsid w:val="00947179"/>
    <w:rsid w:val="0095164B"/>
    <w:rsid w:val="00954090"/>
    <w:rsid w:val="009573E7"/>
    <w:rsid w:val="00963E05"/>
    <w:rsid w:val="009649D7"/>
    <w:rsid w:val="00964A45"/>
    <w:rsid w:val="00967843"/>
    <w:rsid w:val="00967D54"/>
    <w:rsid w:val="00971028"/>
    <w:rsid w:val="00990B8A"/>
    <w:rsid w:val="00992F22"/>
    <w:rsid w:val="00993B84"/>
    <w:rsid w:val="009955EB"/>
    <w:rsid w:val="00996483"/>
    <w:rsid w:val="00996F5A"/>
    <w:rsid w:val="009A3200"/>
    <w:rsid w:val="009B041A"/>
    <w:rsid w:val="009C06A3"/>
    <w:rsid w:val="009C37C3"/>
    <w:rsid w:val="009C7C86"/>
    <w:rsid w:val="009D117E"/>
    <w:rsid w:val="009D2FF7"/>
    <w:rsid w:val="009E7884"/>
    <w:rsid w:val="009E788A"/>
    <w:rsid w:val="009F0E08"/>
    <w:rsid w:val="00A064AA"/>
    <w:rsid w:val="00A079AE"/>
    <w:rsid w:val="00A1763D"/>
    <w:rsid w:val="00A17CEC"/>
    <w:rsid w:val="00A22FCA"/>
    <w:rsid w:val="00A2529A"/>
    <w:rsid w:val="00A26CBB"/>
    <w:rsid w:val="00A27289"/>
    <w:rsid w:val="00A27EF0"/>
    <w:rsid w:val="00A42361"/>
    <w:rsid w:val="00A50B20"/>
    <w:rsid w:val="00A51390"/>
    <w:rsid w:val="00A60D13"/>
    <w:rsid w:val="00A618BD"/>
    <w:rsid w:val="00A62168"/>
    <w:rsid w:val="00A64B32"/>
    <w:rsid w:val="00A7223D"/>
    <w:rsid w:val="00A72745"/>
    <w:rsid w:val="00A76EFC"/>
    <w:rsid w:val="00A82BE8"/>
    <w:rsid w:val="00A87D50"/>
    <w:rsid w:val="00A91010"/>
    <w:rsid w:val="00A97F29"/>
    <w:rsid w:val="00AA29DD"/>
    <w:rsid w:val="00AA702E"/>
    <w:rsid w:val="00AA7D26"/>
    <w:rsid w:val="00AB0964"/>
    <w:rsid w:val="00AB5011"/>
    <w:rsid w:val="00AC7368"/>
    <w:rsid w:val="00AC7D27"/>
    <w:rsid w:val="00AD0278"/>
    <w:rsid w:val="00AD16B9"/>
    <w:rsid w:val="00AD1887"/>
    <w:rsid w:val="00AD2811"/>
    <w:rsid w:val="00AE1F2E"/>
    <w:rsid w:val="00AE377D"/>
    <w:rsid w:val="00AF0EBA"/>
    <w:rsid w:val="00B02C8A"/>
    <w:rsid w:val="00B04AAC"/>
    <w:rsid w:val="00B14789"/>
    <w:rsid w:val="00B17FBD"/>
    <w:rsid w:val="00B315A6"/>
    <w:rsid w:val="00B31813"/>
    <w:rsid w:val="00B33365"/>
    <w:rsid w:val="00B34766"/>
    <w:rsid w:val="00B34CA7"/>
    <w:rsid w:val="00B37949"/>
    <w:rsid w:val="00B4114F"/>
    <w:rsid w:val="00B44FEB"/>
    <w:rsid w:val="00B503FD"/>
    <w:rsid w:val="00B513C4"/>
    <w:rsid w:val="00B576F6"/>
    <w:rsid w:val="00B57B36"/>
    <w:rsid w:val="00B57E6F"/>
    <w:rsid w:val="00B76491"/>
    <w:rsid w:val="00B81329"/>
    <w:rsid w:val="00B8686D"/>
    <w:rsid w:val="00B92FD1"/>
    <w:rsid w:val="00B93F69"/>
    <w:rsid w:val="00B95926"/>
    <w:rsid w:val="00BB1DDC"/>
    <w:rsid w:val="00BC14D5"/>
    <w:rsid w:val="00BC2CC6"/>
    <w:rsid w:val="00BC30C9"/>
    <w:rsid w:val="00BD077D"/>
    <w:rsid w:val="00BD40B9"/>
    <w:rsid w:val="00BE0A13"/>
    <w:rsid w:val="00BE3E58"/>
    <w:rsid w:val="00BF1623"/>
    <w:rsid w:val="00C01616"/>
    <w:rsid w:val="00C0162B"/>
    <w:rsid w:val="00C04CB4"/>
    <w:rsid w:val="00C068ED"/>
    <w:rsid w:val="00C16183"/>
    <w:rsid w:val="00C208E9"/>
    <w:rsid w:val="00C2237D"/>
    <w:rsid w:val="00C22E0C"/>
    <w:rsid w:val="00C2435C"/>
    <w:rsid w:val="00C26D12"/>
    <w:rsid w:val="00C303CE"/>
    <w:rsid w:val="00C33564"/>
    <w:rsid w:val="00C345B1"/>
    <w:rsid w:val="00C40142"/>
    <w:rsid w:val="00C40218"/>
    <w:rsid w:val="00C52C3C"/>
    <w:rsid w:val="00C54D41"/>
    <w:rsid w:val="00C57182"/>
    <w:rsid w:val="00C576AE"/>
    <w:rsid w:val="00C57863"/>
    <w:rsid w:val="00C640AF"/>
    <w:rsid w:val="00C655FD"/>
    <w:rsid w:val="00C72447"/>
    <w:rsid w:val="00C733AC"/>
    <w:rsid w:val="00C75407"/>
    <w:rsid w:val="00C77214"/>
    <w:rsid w:val="00C841C6"/>
    <w:rsid w:val="00C870A8"/>
    <w:rsid w:val="00C94434"/>
    <w:rsid w:val="00CA0AAF"/>
    <w:rsid w:val="00CA0D75"/>
    <w:rsid w:val="00CA1C95"/>
    <w:rsid w:val="00CA34E1"/>
    <w:rsid w:val="00CA4E83"/>
    <w:rsid w:val="00CA5A9C"/>
    <w:rsid w:val="00CB1F78"/>
    <w:rsid w:val="00CC4C20"/>
    <w:rsid w:val="00CD3517"/>
    <w:rsid w:val="00CD5FE2"/>
    <w:rsid w:val="00CE072D"/>
    <w:rsid w:val="00CE270D"/>
    <w:rsid w:val="00CE7C68"/>
    <w:rsid w:val="00CF6A04"/>
    <w:rsid w:val="00D02B4C"/>
    <w:rsid w:val="00D040C4"/>
    <w:rsid w:val="00D04E2A"/>
    <w:rsid w:val="00D0687A"/>
    <w:rsid w:val="00D07B53"/>
    <w:rsid w:val="00D20AD1"/>
    <w:rsid w:val="00D2582C"/>
    <w:rsid w:val="00D46B7E"/>
    <w:rsid w:val="00D517EF"/>
    <w:rsid w:val="00D55915"/>
    <w:rsid w:val="00D57C84"/>
    <w:rsid w:val="00D6057D"/>
    <w:rsid w:val="00D709EF"/>
    <w:rsid w:val="00D71640"/>
    <w:rsid w:val="00D77874"/>
    <w:rsid w:val="00D836C5"/>
    <w:rsid w:val="00D837F6"/>
    <w:rsid w:val="00D83C87"/>
    <w:rsid w:val="00D84576"/>
    <w:rsid w:val="00D95159"/>
    <w:rsid w:val="00D95C80"/>
    <w:rsid w:val="00DA1399"/>
    <w:rsid w:val="00DA24C6"/>
    <w:rsid w:val="00DA4D7B"/>
    <w:rsid w:val="00DB2E30"/>
    <w:rsid w:val="00DB7B53"/>
    <w:rsid w:val="00DD271C"/>
    <w:rsid w:val="00DD3BB5"/>
    <w:rsid w:val="00DE0182"/>
    <w:rsid w:val="00DE264A"/>
    <w:rsid w:val="00DE3807"/>
    <w:rsid w:val="00DF0870"/>
    <w:rsid w:val="00DF5072"/>
    <w:rsid w:val="00DF7594"/>
    <w:rsid w:val="00DF7E46"/>
    <w:rsid w:val="00E0079D"/>
    <w:rsid w:val="00E02D18"/>
    <w:rsid w:val="00E041E7"/>
    <w:rsid w:val="00E12DE6"/>
    <w:rsid w:val="00E13520"/>
    <w:rsid w:val="00E23CA1"/>
    <w:rsid w:val="00E24BC2"/>
    <w:rsid w:val="00E30D54"/>
    <w:rsid w:val="00E409A8"/>
    <w:rsid w:val="00E47D61"/>
    <w:rsid w:val="00E50C12"/>
    <w:rsid w:val="00E65B91"/>
    <w:rsid w:val="00E7209D"/>
    <w:rsid w:val="00E72EAD"/>
    <w:rsid w:val="00E77223"/>
    <w:rsid w:val="00E8528B"/>
    <w:rsid w:val="00E85B94"/>
    <w:rsid w:val="00E8610B"/>
    <w:rsid w:val="00E864B5"/>
    <w:rsid w:val="00E86B95"/>
    <w:rsid w:val="00E96825"/>
    <w:rsid w:val="00E96FE5"/>
    <w:rsid w:val="00E978D0"/>
    <w:rsid w:val="00EA4613"/>
    <w:rsid w:val="00EA6212"/>
    <w:rsid w:val="00EA7F91"/>
    <w:rsid w:val="00EB1523"/>
    <w:rsid w:val="00EC0E49"/>
    <w:rsid w:val="00EC101F"/>
    <w:rsid w:val="00EC1D9F"/>
    <w:rsid w:val="00EC6E91"/>
    <w:rsid w:val="00ED5B53"/>
    <w:rsid w:val="00ED63A7"/>
    <w:rsid w:val="00EE0131"/>
    <w:rsid w:val="00EE17B0"/>
    <w:rsid w:val="00EE51E7"/>
    <w:rsid w:val="00EF06D9"/>
    <w:rsid w:val="00EF0982"/>
    <w:rsid w:val="00F02CCC"/>
    <w:rsid w:val="00F04DA7"/>
    <w:rsid w:val="00F2266A"/>
    <w:rsid w:val="00F27180"/>
    <w:rsid w:val="00F3049E"/>
    <w:rsid w:val="00F30C64"/>
    <w:rsid w:val="00F32BA2"/>
    <w:rsid w:val="00F32CDB"/>
    <w:rsid w:val="00F3348F"/>
    <w:rsid w:val="00F37280"/>
    <w:rsid w:val="00F41EE4"/>
    <w:rsid w:val="00F42224"/>
    <w:rsid w:val="00F44505"/>
    <w:rsid w:val="00F4589F"/>
    <w:rsid w:val="00F55EC2"/>
    <w:rsid w:val="00F565FE"/>
    <w:rsid w:val="00F63A70"/>
    <w:rsid w:val="00F63D8C"/>
    <w:rsid w:val="00F64277"/>
    <w:rsid w:val="00F7534E"/>
    <w:rsid w:val="00F754AD"/>
    <w:rsid w:val="00F83564"/>
    <w:rsid w:val="00F84192"/>
    <w:rsid w:val="00F86A45"/>
    <w:rsid w:val="00F875CB"/>
    <w:rsid w:val="00F93EDF"/>
    <w:rsid w:val="00FA0428"/>
    <w:rsid w:val="00FA1802"/>
    <w:rsid w:val="00FA21D0"/>
    <w:rsid w:val="00FA5F5F"/>
    <w:rsid w:val="00FB0B04"/>
    <w:rsid w:val="00FB1FC2"/>
    <w:rsid w:val="00FB67C3"/>
    <w:rsid w:val="00FB730C"/>
    <w:rsid w:val="00FC0FB7"/>
    <w:rsid w:val="00FC2695"/>
    <w:rsid w:val="00FC3A24"/>
    <w:rsid w:val="00FC3E03"/>
    <w:rsid w:val="00FC3FC1"/>
    <w:rsid w:val="00FC6889"/>
    <w:rsid w:val="00FC72F4"/>
    <w:rsid w:val="00FE3EDF"/>
    <w:rsid w:val="00FF0CBE"/>
    <w:rsid w:val="00FF533F"/>
    <w:rsid w:val="02020509"/>
    <w:rsid w:val="0272133F"/>
    <w:rsid w:val="38CB5850"/>
    <w:rsid w:val="6D510E2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46436AF-3F28-4762-8681-3CBC42AD4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BF1623"/>
    <w:pPr>
      <w:keepNext/>
      <w:numPr>
        <w:ilvl w:val="2"/>
        <w:numId w:val="1"/>
      </w:numPr>
      <w:suppressAutoHyphens/>
      <w:spacing w:after="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BF1623"/>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Maintext">
    <w:name w:val="Main_text"/>
    <w:basedOn w:val="Normal"/>
    <w:link w:val="MaintextCarattere"/>
    <w:qFormat/>
    <w:rsid w:val="00102E73"/>
    <w:pPr>
      <w:tabs>
        <w:tab w:val="clear" w:pos="7100"/>
      </w:tabs>
      <w:spacing w:after="160" w:line="259" w:lineRule="auto"/>
    </w:pPr>
    <w:rPr>
      <w:rFonts w:ascii="Tahoma" w:eastAsiaTheme="minorHAnsi" w:hAnsi="Tahoma" w:cs="Tahoma"/>
      <w:sz w:val="20"/>
      <w:szCs w:val="22"/>
    </w:rPr>
  </w:style>
  <w:style w:type="character" w:customStyle="1" w:styleId="MaintextCarattere">
    <w:name w:val="Main_text Carattere"/>
    <w:basedOn w:val="DefaultParagraphFont"/>
    <w:link w:val="Maintext"/>
    <w:rsid w:val="00102E73"/>
    <w:rPr>
      <w:rFonts w:ascii="Tahoma" w:hAnsi="Tahoma" w:cs="Tahoma"/>
      <w:sz w:val="20"/>
      <w:lang w:val="en-GB"/>
    </w:rPr>
  </w:style>
  <w:style w:type="character" w:styleId="Strong">
    <w:name w:val="Strong"/>
    <w:basedOn w:val="DefaultParagraphFont"/>
    <w:uiPriority w:val="22"/>
    <w:qFormat/>
    <w:rsid w:val="002615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aabb00b-91ae-448b-a4d6-81376defd124">
      <Terms xmlns="http://schemas.microsoft.com/office/infopath/2007/PartnerControls"/>
    </lcf76f155ced4ddcb4097134ff3c332f>
    <TaxCatchAll xmlns="fb9beaf1-1a4c-4bc0-aad6-965b4280e660" xsi:nil="true"/>
    <Status xmlns="0aabb00b-91ae-448b-a4d6-81376defd124" xsi:nil="true"/>
    <_Flow_SignoffStatus xmlns="0aabb00b-91ae-448b-a4d6-81376defd1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E74C237656754190E5FDC95B6E0CB6" ma:contentTypeVersion="21" ma:contentTypeDescription="Create a new document." ma:contentTypeScope="" ma:versionID="52bc1d80802976d0ebfacba7fb5e09f9">
  <xsd:schema xmlns:xsd="http://www.w3.org/2001/XMLSchema" xmlns:xs="http://www.w3.org/2001/XMLSchema" xmlns:p="http://schemas.microsoft.com/office/2006/metadata/properties" xmlns:ns2="0aabb00b-91ae-448b-a4d6-81376defd124" xmlns:ns3="fb9beaf1-1a4c-4bc0-aad6-965b4280e660" targetNamespace="http://schemas.microsoft.com/office/2006/metadata/properties" ma:root="true" ma:fieldsID="84b7ffc136b796f22a93b34ead5e2f39" ns2:_="" ns3:_="">
    <xsd:import namespace="0aabb00b-91ae-448b-a4d6-81376defd124"/>
    <xsd:import namespace="fb9beaf1-1a4c-4bc0-aad6-965b4280e6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bb00b-91ae-448b-a4d6-81376defd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75e1cc0-8f73-4e4b-8bca-685fd52b35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tatus" ma:index="27" nillable="true" ma:displayName="Status" ma:format="Dropdown" ma:internalName="Status">
      <xsd:simpleType>
        <xsd:restriction base="dms:Choice">
          <xsd:enumeration value="Scelta 1"/>
          <xsd:enumeration value="Scelta 2"/>
          <xsd:enumeration value="Scelta 3"/>
        </xsd:restriction>
      </xsd:simpleType>
    </xsd:element>
    <xsd:element name="_Flow_SignoffStatus" ma:index="28"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9beaf1-1a4c-4bc0-aad6-965b4280e6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5a7d0f0-f6a9-4a16-b3e7-014e73189655}" ma:internalName="TaxCatchAll" ma:showField="CatchAllData" ma:web="fb9beaf1-1a4c-4bc0-aad6-965b4280e6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03311-B13D-48BB-A295-E13CDD51BBA2}">
  <ds:schemaRefs>
    <ds:schemaRef ds:uri="http://schemas.microsoft.com/sharepoint/v3/contenttype/forms"/>
  </ds:schemaRefs>
</ds:datastoreItem>
</file>

<file path=customXml/itemProps2.xml><?xml version="1.0" encoding="utf-8"?>
<ds:datastoreItem xmlns:ds="http://schemas.openxmlformats.org/officeDocument/2006/customXml" ds:itemID="{B7071E5B-92F1-4104-B729-D2CBCB238DD6}">
  <ds:schemaRefs>
    <ds:schemaRef ds:uri="http://schemas.microsoft.com/office/2006/metadata/properties"/>
    <ds:schemaRef ds:uri="http://schemas.microsoft.com/office/infopath/2007/PartnerControls"/>
    <ds:schemaRef ds:uri="0aabb00b-91ae-448b-a4d6-81376defd124"/>
    <ds:schemaRef ds:uri="fb9beaf1-1a4c-4bc0-aad6-965b4280e660"/>
  </ds:schemaRefs>
</ds:datastoreItem>
</file>

<file path=customXml/itemProps3.xml><?xml version="1.0" encoding="utf-8"?>
<ds:datastoreItem xmlns:ds="http://schemas.openxmlformats.org/officeDocument/2006/customXml" ds:itemID="{830EC362-C8C6-49C7-B0E1-F860F8D84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bb00b-91ae-448b-a4d6-81376defd124"/>
    <ds:schemaRef ds:uri="fb9beaf1-1a4c-4bc0-aad6-965b4280e6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Metadata/LabelInfo.xml><?xml version="1.0" encoding="utf-8"?>
<clbl:labelList xmlns:clbl="http://schemas.microsoft.com/office/2020/mipLabelMetadata">
  <clbl:label id="{797eb324-6c8f-4366-ba47-706b295f9115}" enabled="1" method="Standard" siteId="{7a823e81-3527-485c-a629-67235afb2fa8}" removed="0"/>
</clbl:labelList>
</file>

<file path=docProps/app.xml><?xml version="1.0" encoding="utf-8"?>
<Properties xmlns="http://schemas.openxmlformats.org/officeDocument/2006/extended-properties" xmlns:vt="http://schemas.openxmlformats.org/officeDocument/2006/docPropsVTypes">
  <Template>Normal.dotm</Template>
  <TotalTime>1505</TotalTime>
  <Pages>1</Pages>
  <Words>2481</Words>
  <Characters>14142</Characters>
  <Application>Microsoft Office Word</Application>
  <DocSecurity>4</DocSecurity>
  <Lines>117</Lines>
  <Paragraphs>33</Paragraphs>
  <ScaleCrop>false</ScaleCrop>
  <Company>Dipartimento CMIC - Politecnico di Milano</Company>
  <LinksUpToDate>false</LinksUpToDate>
  <CharactersWithSpaces>16590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Gullo Ludovica Maria</cp:lastModifiedBy>
  <cp:revision>204</cp:revision>
  <cp:lastPrinted>2015-05-13T03:31:00Z</cp:lastPrinted>
  <dcterms:created xsi:type="dcterms:W3CDTF">2026-02-03T06:12:00Z</dcterms:created>
  <dcterms:modified xsi:type="dcterms:W3CDTF">2026-04-15T09:26:00Z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lassificationContentMarkingFooterShapeIds">
    <vt:lpwstr>51eaaec,5d28b7ee,5649672f</vt:lpwstr>
  </property>
  <property fmtid="{D5CDD505-2E9C-101B-9397-08002B2CF9AE}" pid="5" name="ClassificationContentMarkingFooterFontProps">
    <vt:lpwstr>#22505f,8,Trebuchet MS</vt:lpwstr>
  </property>
  <property fmtid="{D5CDD505-2E9C-101B-9397-08002B2CF9AE}" pid="6" name="ClassificationContentMarkingFooterText">
    <vt:lpwstr>Saipem Classification - General Use</vt:lpwstr>
  </property>
  <property fmtid="{D5CDD505-2E9C-101B-9397-08002B2CF9AE}" pid="7" name="ContentTypeId">
    <vt:lpwstr>0x0101000DE74C237656754190E5FDC95B6E0CB6</vt:lpwstr>
  </property>
  <property fmtid="{D5CDD505-2E9C-101B-9397-08002B2CF9AE}" pid="8" name="MediaServiceImageTags">
    <vt:lpwstr/>
  </property>
  <property fmtid="{D5CDD505-2E9C-101B-9397-08002B2CF9AE}" pid="9" name="docLang">
    <vt:lpwstr>en</vt:lpwstr>
  </property>
</Properties>
</file>