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5323797" w:rsidR="00E978D0" w:rsidRPr="00B57B36" w:rsidRDefault="00E665EC" w:rsidP="00E978D0">
      <w:pPr>
        <w:pStyle w:val="CETTitle"/>
      </w:pPr>
      <w:r>
        <w:t xml:space="preserve">The Interference of Natural Hazards on Security Systems </w:t>
      </w:r>
      <w:r w:rsidR="00CD4D5C">
        <w:br/>
        <w:t>in</w:t>
      </w:r>
      <w:r>
        <w:t xml:space="preserve"> </w:t>
      </w:r>
      <w:r w:rsidR="00CD4D5C">
        <w:t>Chemical and Process Facilities</w:t>
      </w:r>
    </w:p>
    <w:p w14:paraId="0488FED2" w14:textId="297F73B9" w:rsidR="00B57E6F" w:rsidRPr="00A9378F" w:rsidRDefault="00CD4D5C" w:rsidP="00B57E6F">
      <w:pPr>
        <w:pStyle w:val="CETAuthors"/>
        <w:rPr>
          <w:lang w:val="it-IT"/>
        </w:rPr>
      </w:pPr>
      <w:r w:rsidRPr="00CD4D5C">
        <w:rPr>
          <w:lang w:val="it-IT"/>
        </w:rPr>
        <w:t>Federica Ricci, Matteo Iaiani, Alessandro Tugnoli, Valerio Cozzani</w:t>
      </w:r>
      <w:r w:rsidR="00CD0561">
        <w:rPr>
          <w:lang w:val="it-IT"/>
        </w:rPr>
        <w:t xml:space="preserve"> *</w:t>
      </w:r>
    </w:p>
    <w:p w14:paraId="6B2D21B3" w14:textId="05076275" w:rsidR="00B57E6F" w:rsidRPr="00B57B36" w:rsidRDefault="00651342" w:rsidP="00B57E6F">
      <w:pPr>
        <w:pStyle w:val="CETAddress"/>
      </w:pPr>
      <w:r w:rsidRPr="00651342">
        <w:t>LISES – Laboratory of Industrial Safety and Environmental Sustainability. DICAM - Department of Civil, Chemical, Environmental, and Material Engineering. University of Bologna, via Terracini 28, 40131 Bologna (Italy)</w:t>
      </w:r>
    </w:p>
    <w:p w14:paraId="73F1267A" w14:textId="26BB931C" w:rsidR="00B57E6F" w:rsidRPr="00B57B36" w:rsidRDefault="00B57E6F" w:rsidP="00B57E6F">
      <w:pPr>
        <w:pStyle w:val="CETemail"/>
      </w:pPr>
      <w:r>
        <w:t xml:space="preserve"> </w:t>
      </w:r>
      <w:r w:rsidR="00CA2FAF" w:rsidRPr="00CA2FAF">
        <w:t>valerio.cozzani@unibo.it</w:t>
      </w:r>
    </w:p>
    <w:p w14:paraId="21B82966" w14:textId="0ED09246" w:rsidR="00745526" w:rsidRDefault="00745526" w:rsidP="0059305F">
      <w:pPr>
        <w:pStyle w:val="CETBodytext"/>
        <w:rPr>
          <w:lang w:val="en-GB"/>
        </w:rPr>
      </w:pPr>
      <w:r w:rsidRPr="00745526">
        <w:rPr>
          <w:lang w:val="en-GB"/>
        </w:rPr>
        <w:t>Physical Protection Systems (PPS) are essential to protect chemical sites against intentional attacks, yet current security assessment methods rarely consider the effects of natural hazards on security performance. This study examines the impact of natural hazards on 1</w:t>
      </w:r>
      <w:r>
        <w:rPr>
          <w:lang w:val="en-GB"/>
        </w:rPr>
        <w:t>7</w:t>
      </w:r>
      <w:r w:rsidRPr="00745526">
        <w:rPr>
          <w:lang w:val="en-GB"/>
        </w:rPr>
        <w:t xml:space="preserve"> PPS security elements representative of detection, delay, and response functions in chemical and process facilities. Expert elicitation was used to estimate the probability of damage, failure, or impairment under seven hazard categories relevant to Natech scenarios. The results indicate that natural hazards can significantly reduce the availability and operability of security elements, with the most severe effects associated with floods and earthquakes. These findings support the inclusion of natural-hazard effects in security risk assessment and the development of more integrated safety–security management strategies for chemical sites.</w:t>
      </w:r>
    </w:p>
    <w:p w14:paraId="5CF5C168" w14:textId="2607B87A" w:rsidR="00D73DE1" w:rsidRDefault="00D73DE1" w:rsidP="00D73DE1">
      <w:pPr>
        <w:pStyle w:val="CETHeading1"/>
      </w:pPr>
      <w:r>
        <w:t>Introduction</w:t>
      </w:r>
    </w:p>
    <w:p w14:paraId="6BADA2CC" w14:textId="6794B38C" w:rsidR="000A5AB7" w:rsidRPr="000A5AB7" w:rsidRDefault="000A5AB7" w:rsidP="000A5AB7">
      <w:pPr>
        <w:pStyle w:val="CETBodytext"/>
        <w:rPr>
          <w:lang w:val="en-GB"/>
        </w:rPr>
      </w:pPr>
      <w:r w:rsidRPr="000A5AB7">
        <w:rPr>
          <w:lang w:val="en-GB"/>
        </w:rPr>
        <w:t xml:space="preserve">The security of chemical process and storage sites is a critical issue because intentional attacks may cause severe consequences when hazardous substances are handled or stored </w:t>
      </w:r>
      <w:sdt>
        <w:sdtPr>
          <w:rPr>
            <w:rFonts w:cs="Arial"/>
            <w:color w:val="000000"/>
            <w:lang w:val="en-GB"/>
          </w:rPr>
          <w:tag w:val="MENDELEY_CITATION_v3_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"/>
          <w:id w:val="-1331063570"/>
          <w:placeholder>
            <w:docPart w:val="DefaultPlaceholder_-1854013440"/>
          </w:placeholder>
        </w:sdtPr>
        <w:sdtContent>
          <w:r w:rsidR="00326A9E" w:rsidRPr="00326A9E">
            <w:rPr>
              <w:rFonts w:cs="Arial"/>
              <w:color w:val="000000"/>
              <w:lang w:val="en-GB"/>
            </w:rPr>
            <w:t>(Landucci and Reniers, 2019)</w:t>
          </w:r>
        </w:sdtContent>
      </w:sdt>
      <w:r w:rsidRPr="000A5AB7">
        <w:rPr>
          <w:lang w:val="en-GB"/>
        </w:rPr>
        <w:t xml:space="preserve">. These facilities may represent attractive targets due to the presence of flammable and toxic materials, and are often located near populated or environmentally sensitive areas. As a result, successful attacks may lead to toxic releases, fires, explosions, prolonged operational disruption, and significant environmental and societal impacts </w:t>
      </w:r>
      <w:sdt>
        <w:sdtPr>
          <w:rPr>
            <w:rFonts w:cs="Arial"/>
            <w:color w:val="000000"/>
            <w:lang w:val="en-GB"/>
          </w:rPr>
          <w:tag w:val="MENDELEY_CITATION_v3_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"/>
          <w:id w:val="-1706549955"/>
          <w:placeholder>
            <w:docPart w:val="DefaultPlaceholder_-1854013440"/>
          </w:placeholder>
        </w:sdtPr>
        <w:sdtContent>
          <w:r w:rsidR="00326A9E" w:rsidRPr="00326A9E">
            <w:rPr>
              <w:rFonts w:cs="Arial"/>
              <w:color w:val="000000"/>
              <w:lang w:val="en-GB"/>
            </w:rPr>
            <w:t>(Iaiani et al., 2021)</w:t>
          </w:r>
        </w:sdtContent>
      </w:sdt>
      <w:r w:rsidRPr="000A5AB7">
        <w:rPr>
          <w:lang w:val="en-GB"/>
        </w:rPr>
        <w:t>.</w:t>
      </w:r>
      <w:r w:rsidR="008E2B49">
        <w:rPr>
          <w:lang w:val="en-GB"/>
        </w:rPr>
        <w:t xml:space="preserve"> </w:t>
      </w:r>
      <w:r w:rsidRPr="000A5AB7">
        <w:rPr>
          <w:lang w:val="en-GB"/>
        </w:rPr>
        <w:t>To prevent and mitigate such threats, chemical facilities rely on Physical Protection Systems (PPS), including barriers, intrusion detection and surveillance devices, access control systems, communication infrastructure, and security personnel</w:t>
      </w:r>
      <w:r w:rsidR="00B967C7">
        <w:rPr>
          <w:lang w:val="en-GB"/>
        </w:rPr>
        <w:t xml:space="preserve"> </w:t>
      </w:r>
      <w:sdt>
        <w:sdtPr>
          <w:rPr>
            <w:rFonts w:cs="Arial"/>
            <w:color w:val="000000"/>
            <w:lang w:val="en-GB"/>
          </w:rPr>
          <w:tag w:val="MENDELEY_CITATION_v3_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"/>
          <w:id w:val="1488365465"/>
          <w:placeholder>
            <w:docPart w:val="DefaultPlaceholder_-1854013440"/>
          </w:placeholder>
        </w:sdtPr>
        <w:sdtContent>
          <w:r w:rsidR="00326A9E" w:rsidRPr="00326A9E">
            <w:rPr>
              <w:rFonts w:cs="Arial"/>
              <w:color w:val="000000"/>
              <w:lang w:val="en-GB"/>
            </w:rPr>
            <w:t>(Garcia, 2007)</w:t>
          </w:r>
        </w:sdtContent>
      </w:sdt>
      <w:r w:rsidRPr="000A5AB7">
        <w:rPr>
          <w:lang w:val="en-GB"/>
        </w:rPr>
        <w:t xml:space="preserve">. The effectiveness of PPS is commonly assessed through Security Vulnerability Assessment (SVA) and Security Risk Assessment (SRA) methodologies, such as those proposed by </w:t>
      </w:r>
      <w:r w:rsidR="00921465">
        <w:rPr>
          <w:lang w:val="en-GB"/>
        </w:rPr>
        <w:t xml:space="preserve">the </w:t>
      </w:r>
      <w:sdt>
        <w:sdtPr>
          <w:rPr>
            <w:rFonts w:cs="Arial"/>
            <w:color w:val="000000"/>
            <w:lang w:val="en-GB"/>
          </w:rPr>
          <w:tag w:val="MENDELEY_CITATION_v3_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"/>
          <w:id w:val="228650011"/>
          <w:placeholder>
            <w:docPart w:val="DefaultPlaceholder_-1854013440"/>
          </w:placeholder>
        </w:sdtPr>
        <w:sdtContent>
          <w:r w:rsidR="00326A9E" w:rsidRPr="00326A9E">
            <w:rPr>
              <w:rFonts w:cs="Arial"/>
              <w:color w:val="000000"/>
              <w:lang w:val="en-GB"/>
            </w:rPr>
            <w:t>Center for Chemical Process Safety (2003)</w:t>
          </w:r>
        </w:sdtContent>
      </w:sdt>
      <w:r w:rsidR="00921465">
        <w:rPr>
          <w:lang w:val="en-GB"/>
        </w:rPr>
        <w:t xml:space="preserve"> </w:t>
      </w:r>
      <w:r w:rsidRPr="000A5AB7">
        <w:rPr>
          <w:lang w:val="en-GB"/>
        </w:rPr>
        <w:t xml:space="preserve">and </w:t>
      </w:r>
      <w:r w:rsidR="00EE1934">
        <w:rPr>
          <w:lang w:val="en-GB"/>
        </w:rPr>
        <w:t xml:space="preserve">the </w:t>
      </w:r>
      <w:sdt>
        <w:sdtPr>
          <w:rPr>
            <w:rFonts w:cs="Arial"/>
            <w:color w:val="000000"/>
            <w:lang w:val="en-GB"/>
          </w:rPr>
          <w:tag w:val="MENDELEY_CITATION_v3_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"/>
          <w:id w:val="212168963"/>
          <w:placeholder>
            <w:docPart w:val="DefaultPlaceholder_-1854013440"/>
          </w:placeholder>
        </w:sdtPr>
        <w:sdtContent>
          <w:r w:rsidR="00326A9E" w:rsidRPr="00326A9E">
            <w:rPr>
              <w:rFonts w:cs="Arial"/>
              <w:color w:val="000000"/>
              <w:lang w:val="en-GB"/>
            </w:rPr>
            <w:t>American Petroleum Institute (2013)</w:t>
          </w:r>
        </w:sdtContent>
      </w:sdt>
      <w:r w:rsidRPr="000A5AB7">
        <w:rPr>
          <w:lang w:val="en-GB"/>
        </w:rPr>
        <w:t>. Existing approaches, however, generally evaluate security performance under nominal operating conditions, implicitly assuming the continuous availability and correct functioning of all protection elements.</w:t>
      </w:r>
    </w:p>
    <w:p w14:paraId="7DA8533E" w14:textId="0A5B5A5F" w:rsidR="000A5AB7" w:rsidRPr="000A5AB7" w:rsidRDefault="000A5AB7" w:rsidP="000A5AB7">
      <w:pPr>
        <w:pStyle w:val="CETBodytext"/>
        <w:rPr>
          <w:lang w:val="en-GB"/>
        </w:rPr>
      </w:pPr>
      <w:r w:rsidRPr="000A5AB7">
        <w:rPr>
          <w:lang w:val="en-GB"/>
        </w:rPr>
        <w:t>This assumption may become inadequate when external stressors affect the site. In particular, natural hazards such as floods, earthquakes, wildfires, and extreme weather may simultaneously impair multiple systems and services, as widely documented in Natech studies</w:t>
      </w:r>
      <w:r w:rsidR="001B0005">
        <w:rPr>
          <w:lang w:val="en-GB"/>
        </w:rPr>
        <w:t xml:space="preserve"> </w:t>
      </w:r>
      <w:sdt>
        <w:sdtPr>
          <w:rPr>
            <w:rFonts w:cs="Arial"/>
            <w:color w:val="000000"/>
            <w:lang w:val="en-GB"/>
          </w:rPr>
          <w:tag w:val="MENDELEY_CITATION_v3_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ET0kiOiIxMC4xMDE2L2oucHNlcC4yMDIwLjEyLjAzMSIsIklTU04iOiIwOTU3NTgyMCIsIlVSTCI6Imh0dHBzOi8vbGlua2luZ2h1Yi5lbHNldmllci5jb20vcmV0cmlldmUvcGlpL1MwOTU3NTgyMDIwMzE5NTgzIiwiaXNzdWVkIjp7ImRhdGUtcGFydHMiOltbMjAyMSwzXV19LCJwYWdlIjoiNzAzLTcxMyIsInZvbHVtZSI6IjE0NyIsImNvbnRhaW5lci10aXRsZS1zaG9ydCI6IiJ9LCJpc1RlbXBvcmFyeSI6ZmFsc2UsInN1cHByZXNzLWF1dGhvciI6ZmFsc2UsImNvbXBvc2l0ZSI6ZmFsc2UsImF1dGhvci1vbmx5IjpmYWxzZX1dfQ=="/>
          <w:id w:val="660511814"/>
          <w:placeholder>
            <w:docPart w:val="DefaultPlaceholder_-1854013440"/>
          </w:placeholder>
        </w:sdtPr>
        <w:sdtContent>
          <w:r w:rsidR="00326A9E" w:rsidRPr="00326A9E">
            <w:rPr>
              <w:rFonts w:cs="Arial"/>
              <w:color w:val="000000"/>
              <w:lang w:val="en-GB"/>
            </w:rPr>
            <w:t>(Ricci et al., 2021)</w:t>
          </w:r>
        </w:sdtContent>
      </w:sdt>
      <w:r w:rsidRPr="000A5AB7">
        <w:rPr>
          <w:lang w:val="en-GB"/>
        </w:rPr>
        <w:t>. Previous research has shown that natural events can damage safety barriers, utilities, and critical services</w:t>
      </w:r>
      <w:r w:rsidR="00656D5E">
        <w:rPr>
          <w:lang w:val="en-GB"/>
        </w:rPr>
        <w:t xml:space="preserve"> </w:t>
      </w:r>
      <w:sdt>
        <w:sdtPr>
          <w:rPr>
            <w:rFonts w:cs="Arial"/>
            <w:color w:val="000000"/>
            <w:lang w:val="en-GB"/>
          </w:rPr>
          <w:tag w:val="MENDELEY_CITATION_v3_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uIEVuZy4gU3lzdC4gU2FmLiIsIkRPSSI6IjEwLjEwMTYvai5yZXNzLjIwMjAuMTA3Mjc4IiwiSVNTTiI6IjA5NTE4MzIwIiwiVVJMIjoiaHR0cHM6Ly9saW5raW5naHViLmVsc2V2aWVyLmNvbS9yZXRyaWV2ZS9waWkvUzA5NTE4MzIwMjAzMDc3NjYiLCJpc3N1ZWQiOnsiZGF0ZS1wYXJ0cyI6W1syMDIxLDFdXX0sInBhZ2UiOiIxMDcyNzgiLCJ2b2x1bWUiOiIyMDUifSwiaXNUZW1wb3JhcnkiOmZhbHNlLCJzdXBwcmVzcy1hdXRob3IiOmZhbHNlLCJjb21wb3NpdGUiOmZhbHNlLCJhdXRob3Itb25seSI6ZmFsc2V9XX0="/>
          <w:id w:val="-1240485836"/>
          <w:placeholder>
            <w:docPart w:val="DefaultPlaceholder_-1854013440"/>
          </w:placeholder>
        </w:sdtPr>
        <w:sdtContent>
          <w:r w:rsidR="00326A9E" w:rsidRPr="00326A9E">
            <w:rPr>
              <w:rFonts w:cs="Arial"/>
              <w:color w:val="000000"/>
              <w:lang w:val="en-GB"/>
            </w:rPr>
            <w:t>(Misuri et al., 2021)</w:t>
          </w:r>
        </w:sdtContent>
      </w:sdt>
      <w:r w:rsidRPr="000A5AB7">
        <w:rPr>
          <w:lang w:val="en-GB"/>
        </w:rPr>
        <w:t xml:space="preserve">, and may also hinder emergency response </w:t>
      </w:r>
      <w:sdt>
        <w:sdtPr>
          <w:rPr>
            <w:rFonts w:cs="Arial"/>
            <w:color w:val="000000"/>
            <w:lang w:val="en-GB"/>
          </w:rPr>
          <w:tag w:val="MENDELEY_CITATION_v3_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RE9JIjoiMTAuMTAxNi9qLnJlc3MuMjAyMy4xMDk4MjAiLCJJU1NOIjoiMDk1MTgzMjAiLCJpc3N1ZWQiOnsiZGF0ZS1wYXJ0cyI6W1syMDI0LDNdXX0sInBhZ2UiOiIxMDk4MjAiLCJ2b2x1bWUiOiIyNDMifSwiaXNUZW1wb3JhcnkiOmZhbHNlLCJzdXBwcmVzcy1hdXRob3IiOmZhbHNlLCJjb21wb3NpdGUiOmZhbHNlLCJhdXRob3Itb25seSI6ZmFsc2V9XX0="/>
          <w:id w:val="-1572807297"/>
          <w:placeholder>
            <w:docPart w:val="DefaultPlaceholder_-1854013440"/>
          </w:placeholder>
        </w:sdtPr>
        <w:sdtContent>
          <w:r w:rsidR="00326A9E" w:rsidRPr="00326A9E">
            <w:rPr>
              <w:rFonts w:cs="Arial"/>
              <w:color w:val="000000"/>
              <w:lang w:val="en-GB"/>
            </w:rPr>
            <w:t>(Ricci et al., 2024)</w:t>
          </w:r>
        </w:sdtContent>
      </w:sdt>
      <w:r w:rsidRPr="000A5AB7">
        <w:rPr>
          <w:lang w:val="en-GB"/>
        </w:rPr>
        <w:t>. Because safety and security often depend on shared infrastructure</w:t>
      </w:r>
      <w:r w:rsidR="008E2B49">
        <w:rPr>
          <w:lang w:val="en-GB"/>
        </w:rPr>
        <w:t xml:space="preserve"> </w:t>
      </w:r>
      <w:r w:rsidR="00EE342D">
        <w:rPr>
          <w:lang w:val="en-GB"/>
        </w:rPr>
        <w:t>–</w:t>
      </w:r>
      <w:r w:rsidR="008E2B49">
        <w:rPr>
          <w:lang w:val="en-GB"/>
        </w:rPr>
        <w:t xml:space="preserve"> </w:t>
      </w:r>
      <w:r w:rsidRPr="000A5AB7">
        <w:rPr>
          <w:lang w:val="en-GB"/>
        </w:rPr>
        <w:t>including power supply, communications, access routes, and personnel</w:t>
      </w:r>
      <w:r w:rsidR="008E2B49">
        <w:rPr>
          <w:lang w:val="en-GB"/>
        </w:rPr>
        <w:t xml:space="preserve"> </w:t>
      </w:r>
      <w:r w:rsidR="00EE342D">
        <w:rPr>
          <w:lang w:val="en-GB"/>
        </w:rPr>
        <w:t>–</w:t>
      </w:r>
      <w:r w:rsidR="008E2B49">
        <w:rPr>
          <w:lang w:val="en-GB"/>
        </w:rPr>
        <w:t xml:space="preserve"> </w:t>
      </w:r>
      <w:r w:rsidRPr="000A5AB7">
        <w:rPr>
          <w:lang w:val="en-GB"/>
        </w:rPr>
        <w:t>disruptions caused by natural hazards may also degrade the performance of PPS</w:t>
      </w:r>
      <w:r w:rsidR="00906584">
        <w:rPr>
          <w:lang w:val="en-GB"/>
        </w:rPr>
        <w:t xml:space="preserve"> </w:t>
      </w:r>
      <w:sdt>
        <w:sdtPr>
          <w:rPr>
            <w:rFonts w:cs="Arial"/>
            <w:color w:val="000000"/>
            <w:lang w:val="en-GB"/>
          </w:rPr>
          <w:tag w:val="MENDELEY_CITATION_v3_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"/>
          <w:id w:val="-443999737"/>
          <w:placeholder>
            <w:docPart w:val="DefaultPlaceholder_-1854013440"/>
          </w:placeholder>
        </w:sdtPr>
        <w:sdtContent>
          <w:r w:rsidR="00326A9E" w:rsidRPr="00326A9E">
            <w:rPr>
              <w:rFonts w:cs="Arial"/>
              <w:color w:val="000000"/>
              <w:lang w:val="en-GB"/>
            </w:rPr>
            <w:t xml:space="preserve">(George and </w:t>
          </w:r>
          <w:proofErr w:type="spellStart"/>
          <w:r w:rsidR="00326A9E" w:rsidRPr="00326A9E">
            <w:rPr>
              <w:rFonts w:cs="Arial"/>
              <w:color w:val="000000"/>
              <w:lang w:val="en-GB"/>
            </w:rPr>
            <w:t>Renjith</w:t>
          </w:r>
          <w:proofErr w:type="spellEnd"/>
          <w:r w:rsidR="00326A9E" w:rsidRPr="00326A9E">
            <w:rPr>
              <w:rFonts w:cs="Arial"/>
              <w:color w:val="000000"/>
              <w:lang w:val="en-GB"/>
            </w:rPr>
            <w:t>, 2021)</w:t>
          </w:r>
        </w:sdtContent>
      </w:sdt>
      <w:r w:rsidRPr="000A5AB7">
        <w:rPr>
          <w:lang w:val="en-GB"/>
        </w:rPr>
        <w:t>.</w:t>
      </w:r>
      <w:r w:rsidR="00EE342D">
        <w:rPr>
          <w:lang w:val="en-GB"/>
        </w:rPr>
        <w:t xml:space="preserve"> </w:t>
      </w:r>
      <w:r w:rsidRPr="000A5AB7">
        <w:rPr>
          <w:lang w:val="en-GB"/>
        </w:rPr>
        <w:t>Evidence from past events in critical infrastructure confirms that natural hazards can compromise physical security functions by damaging surveillance systems, access-control infrastructure, and site accessibility</w:t>
      </w:r>
      <w:r w:rsidR="00B83366">
        <w:rPr>
          <w:lang w:val="en-GB"/>
        </w:rPr>
        <w:t xml:space="preserve"> </w:t>
      </w:r>
      <w:sdt>
        <w:sdtPr>
          <w:rPr>
            <w:rFonts w:cs="Arial"/>
            <w:color w:val="000000"/>
            <w:lang w:val="en-GB"/>
          </w:rPr>
          <w:tag w:val="MENDELEY_CITATION_v3_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"/>
          <w:id w:val="716472686"/>
          <w:placeholder>
            <w:docPart w:val="DefaultPlaceholder_-1854013440"/>
          </w:placeholder>
        </w:sdtPr>
        <w:sdtContent>
          <w:r w:rsidR="00326A9E" w:rsidRPr="00326A9E">
            <w:rPr>
              <w:rFonts w:cs="Arial"/>
              <w:color w:val="000000"/>
              <w:lang w:val="en-GB"/>
            </w:rPr>
            <w:t>(Evans et al., 2021)</w:t>
          </w:r>
        </w:sdtContent>
      </w:sdt>
      <w:r w:rsidRPr="000A5AB7">
        <w:rPr>
          <w:lang w:val="en-GB"/>
        </w:rPr>
        <w:t>. Despite this, the effects of natural hazards on physical security have received limited attention, and available studies remain scarce and largely restricted to case-specific analyses. Generalized evidence applicable to chemical and process facilities is therefore still lacking.</w:t>
      </w:r>
    </w:p>
    <w:p w14:paraId="36AEC561" w14:textId="13048BCE" w:rsidR="00745526" w:rsidRDefault="000A5AB7" w:rsidP="000A5AB7">
      <w:pPr>
        <w:pStyle w:val="CETBodytext"/>
        <w:rPr>
          <w:lang w:val="en-GB"/>
        </w:rPr>
      </w:pPr>
      <w:r w:rsidRPr="000A5AB7">
        <w:rPr>
          <w:lang w:val="en-GB"/>
        </w:rPr>
        <w:t xml:space="preserve">To address this gap, the present study applies an expert elicitation approach to estimate the probability of damage, failure, or impairment of a reference set of security elements when exposed to selected natural hazards. This approach was adopted because of the limited availability of empirical data and its suitability for </w:t>
      </w:r>
      <w:r w:rsidRPr="000A5AB7">
        <w:rPr>
          <w:lang w:val="en-GB"/>
        </w:rPr>
        <w:lastRenderedPageBreak/>
        <w:t>the analysis of low-data, emerging problems</w:t>
      </w:r>
      <w:r w:rsidR="00522FA6">
        <w:rPr>
          <w:lang w:val="en-GB"/>
        </w:rPr>
        <w:t xml:space="preserve"> </w:t>
      </w:r>
      <w:sdt>
        <w:sdtPr>
          <w:rPr>
            <w:rFonts w:cs="Arial"/>
            <w:color w:val="000000"/>
            <w:lang w:val="en-GB"/>
          </w:rPr>
          <w:tag w:val="MENDELEY_CITATION_v3_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"/>
          <w:id w:val="1580633732"/>
          <w:placeholder>
            <w:docPart w:val="DefaultPlaceholder_-1854013440"/>
          </w:placeholder>
        </w:sdtPr>
        <w:sdtContent>
          <w:r w:rsidR="00326A9E" w:rsidRPr="00326A9E">
            <w:rPr>
              <w:rFonts w:cs="Arial"/>
              <w:color w:val="000000"/>
              <w:lang w:val="en-GB"/>
            </w:rPr>
            <w:t>(</w:t>
          </w:r>
          <w:proofErr w:type="spellStart"/>
          <w:r w:rsidR="00326A9E" w:rsidRPr="00326A9E">
            <w:rPr>
              <w:rFonts w:cs="Arial"/>
              <w:color w:val="000000"/>
              <w:lang w:val="en-GB"/>
            </w:rPr>
            <w:t>Hokstada</w:t>
          </w:r>
          <w:proofErr w:type="spellEnd"/>
          <w:r w:rsidR="00326A9E" w:rsidRPr="00326A9E">
            <w:rPr>
              <w:rFonts w:cs="Arial"/>
              <w:color w:val="000000"/>
              <w:lang w:val="en-GB"/>
            </w:rPr>
            <w:t xml:space="preserve"> et al., 1998)</w:t>
          </w:r>
        </w:sdtContent>
      </w:sdt>
      <w:r w:rsidRPr="000A5AB7">
        <w:rPr>
          <w:lang w:val="en-GB"/>
        </w:rPr>
        <w:t>. The results provide a first quantitative basis for integrating natural-hazard effects into the assessment of PPS performance and, more broadly, into security risk analysis for chemical sites.</w:t>
      </w:r>
    </w:p>
    <w:p w14:paraId="6A2C2C56" w14:textId="76907C9B" w:rsidR="00536337" w:rsidRDefault="00536337" w:rsidP="00536337">
      <w:pPr>
        <w:pStyle w:val="CETHeading1"/>
      </w:pPr>
      <w:r>
        <w:t>Methodology</w:t>
      </w:r>
    </w:p>
    <w:p w14:paraId="5924C195" w14:textId="366EF252" w:rsidR="008C5BEB" w:rsidRDefault="00EA1721" w:rsidP="00536337">
      <w:pPr>
        <w:pStyle w:val="CETBodytext"/>
      </w:pPr>
      <w:r w:rsidRPr="00EA1721">
        <w:t>Figure 1 outlines the methodological framework adopted to evaluate the potential effects of natural hazards on security elements. The individual steps are described in the following sections.</w:t>
      </w:r>
    </w:p>
    <w:p w14:paraId="5B5BD8EA" w14:textId="583D8A39" w:rsidR="00536337" w:rsidRPr="00536337" w:rsidRDefault="00335514" w:rsidP="00335514">
      <w:pPr>
        <w:pStyle w:val="CETBodytext"/>
        <w:spacing w:before="120"/>
      </w:pPr>
      <w:r>
        <w:rPr>
          <w:noProof/>
        </w:rPr>
        <w:drawing>
          <wp:inline distT="0" distB="0" distL="0" distR="0" wp14:anchorId="13F7CCBD" wp14:editId="0826EC22">
            <wp:extent cx="5578475" cy="902335"/>
            <wp:effectExtent l="0" t="0" r="317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8475" cy="902335"/>
                    </a:xfrm>
                    <a:prstGeom prst="rect">
                      <a:avLst/>
                    </a:prstGeom>
                    <a:noFill/>
                  </pic:spPr>
                </pic:pic>
              </a:graphicData>
            </a:graphic>
          </wp:inline>
        </w:drawing>
      </w:r>
    </w:p>
    <w:p w14:paraId="6F6B9D08" w14:textId="7689CA17" w:rsidR="001D35FB" w:rsidRDefault="00B432A4" w:rsidP="008C5BEB">
      <w:pPr>
        <w:pStyle w:val="CETCaption"/>
        <w:spacing w:before="60"/>
      </w:pPr>
      <w:r>
        <w:t>Figure 1: Methodology developed in the present study.</w:t>
      </w:r>
    </w:p>
    <w:p w14:paraId="03A4DA21" w14:textId="303AF135" w:rsidR="003701C5" w:rsidRDefault="003701C5" w:rsidP="003701C5">
      <w:pPr>
        <w:pStyle w:val="CETheadingx"/>
      </w:pPr>
      <w:r>
        <w:t>Scope and Boundaries</w:t>
      </w:r>
    </w:p>
    <w:p w14:paraId="5233D3D2" w14:textId="77777777" w:rsidR="008C5BEB" w:rsidRDefault="008C5BEB" w:rsidP="008C5BEB">
      <w:pPr>
        <w:pStyle w:val="CETBodytext"/>
      </w:pPr>
      <w:r>
        <w:t>Step 1 (Figure 1) established the scope and boundaries of the analysis. The assessment addressed the effects of natural hazards on security-related components, including potential consequences and damage probabilities. To maintain feasibility, the analysis was limited to selected hazard classes and security elements.</w:t>
      </w:r>
    </w:p>
    <w:p w14:paraId="4739EAE5" w14:textId="5D9D25BC" w:rsidR="008C5BEB" w:rsidRDefault="008C5BEB" w:rsidP="008C5BEB">
      <w:pPr>
        <w:pStyle w:val="CETBodytext"/>
      </w:pPr>
      <w:r>
        <w:t xml:space="preserve">Seven natural-hazard categories were retained based on their recognized potential to trigger Natech events through impacts on technological systems </w:t>
      </w:r>
      <w:sdt>
        <w:sdtPr>
          <w:rPr>
            <w:rFonts w:cs="Arial"/>
            <w:color w:val="000000"/>
          </w:rPr>
          <w:tag w:val="MENDELEY_CITATION_v3_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ET0kiOiIxMC4xMDE2L2oucHNlcC4yMDIwLjEyLjAzMSIsIklTU04iOiIwOTU3NTgyMCIsIlVSTCI6Imh0dHBzOi8vbGlua2luZ2h1Yi5lbHNldmllci5jb20vcmV0cmlldmUvcGlpL1MwOTU3NTgyMDIwMzE5NTgzIiwiaXNzdWVkIjp7ImRhdGUtcGFydHMiOltbMjAyMSwzXV19LCJwYWdlIjoiNzAzLTcxMyIsInZvbHVtZSI6IjE0NyIsImNvbnRhaW5lci10aXRsZS1zaG9ydCI6IiJ9LCJpc1RlbXBvcmFyeSI6ZmFsc2UsInN1cHByZXNzLWF1dGhvciI6ZmFsc2UsImNvbXBvc2l0ZSI6ZmFsc2UsImF1dGhvci1vbmx5IjpmYWxzZX1dfQ=="/>
          <w:id w:val="369877850"/>
          <w:placeholder>
            <w:docPart w:val="DefaultPlaceholder_-1854013440"/>
          </w:placeholder>
        </w:sdtPr>
        <w:sdtContent>
          <w:r w:rsidR="00326A9E" w:rsidRPr="00326A9E">
            <w:rPr>
              <w:rFonts w:cs="Arial"/>
              <w:color w:val="000000"/>
            </w:rPr>
            <w:t>(Ricci et al., 2021)</w:t>
          </w:r>
        </w:sdtContent>
      </w:sdt>
      <w:r>
        <w:t>. Table 1 summarizes the selected hazards</w:t>
      </w:r>
      <w:r w:rsidR="002711A9">
        <w:t xml:space="preserve"> </w:t>
      </w:r>
      <w:r>
        <w:t>and their corresponding impact modes.</w:t>
      </w:r>
    </w:p>
    <w:p w14:paraId="58D66DE6" w14:textId="3BF0284D" w:rsidR="00C84E4C" w:rsidRPr="00C84E4C" w:rsidRDefault="00C84E4C" w:rsidP="00C84E4C">
      <w:pPr>
        <w:pStyle w:val="CETTabletitle"/>
      </w:pPr>
      <w:r w:rsidRPr="00B57B36">
        <w:t xml:space="preserve">Table 1: </w:t>
      </w:r>
      <w:r w:rsidRPr="001531A8">
        <w:t xml:space="preserve">List of </w:t>
      </w:r>
      <w:r>
        <w:t xml:space="preserve">natural hazards </w:t>
      </w:r>
      <w:r w:rsidRPr="001531A8">
        <w:t>considered in the present study</w:t>
      </w:r>
      <w:r>
        <w:t xml:space="preserve"> and </w:t>
      </w:r>
      <w:r w:rsidR="0060254C">
        <w:t>the corresponding impact modes</w:t>
      </w:r>
      <w:r w:rsidRPr="001531A8">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680"/>
        <w:gridCol w:w="2269"/>
        <w:gridCol w:w="5838"/>
      </w:tblGrid>
      <w:tr w:rsidR="00FC1B2E" w:rsidRPr="00F85CC0" w14:paraId="4CC5F135" w14:textId="77777777" w:rsidTr="00FC1B2E">
        <w:tc>
          <w:tcPr>
            <w:tcW w:w="387" w:type="pct"/>
            <w:tcBorders>
              <w:top w:val="single" w:sz="12" w:space="0" w:color="008000"/>
              <w:bottom w:val="single" w:sz="6" w:space="0" w:color="008000"/>
            </w:tcBorders>
            <w:shd w:val="clear" w:color="auto" w:fill="FFFFFF"/>
          </w:tcPr>
          <w:p w14:paraId="7FF62F42" w14:textId="77777777" w:rsidR="00C84E4C" w:rsidRPr="00F85CC0" w:rsidRDefault="00C84E4C" w:rsidP="00CD14BF">
            <w:pPr>
              <w:pStyle w:val="CETBodytext"/>
              <w:rPr>
                <w:lang w:val="en-GB"/>
              </w:rPr>
            </w:pPr>
            <w:r w:rsidRPr="00F85CC0">
              <w:t>ID</w:t>
            </w:r>
          </w:p>
        </w:tc>
        <w:tc>
          <w:tcPr>
            <w:tcW w:w="1291" w:type="pct"/>
            <w:tcBorders>
              <w:top w:val="single" w:sz="12" w:space="0" w:color="008000"/>
              <w:bottom w:val="single" w:sz="6" w:space="0" w:color="008000"/>
            </w:tcBorders>
            <w:shd w:val="clear" w:color="auto" w:fill="FFFFFF"/>
          </w:tcPr>
          <w:p w14:paraId="227FF7A1" w14:textId="5EFFCE45" w:rsidR="00C84E4C" w:rsidRPr="00F85CC0" w:rsidRDefault="000E074D" w:rsidP="00CD14BF">
            <w:pPr>
              <w:pStyle w:val="CETBodytext"/>
              <w:rPr>
                <w:lang w:val="en-GB"/>
              </w:rPr>
            </w:pPr>
            <w:r w:rsidRPr="00F85CC0">
              <w:t>Natural hazards</w:t>
            </w:r>
          </w:p>
        </w:tc>
        <w:tc>
          <w:tcPr>
            <w:tcW w:w="3322" w:type="pct"/>
            <w:tcBorders>
              <w:top w:val="single" w:sz="12" w:space="0" w:color="008000"/>
              <w:bottom w:val="single" w:sz="6" w:space="0" w:color="008000"/>
            </w:tcBorders>
            <w:shd w:val="clear" w:color="auto" w:fill="FFFFFF"/>
          </w:tcPr>
          <w:p w14:paraId="224BB0AF" w14:textId="54C041EA" w:rsidR="00C84E4C" w:rsidRPr="00F85CC0" w:rsidRDefault="0023725D" w:rsidP="00CD14BF">
            <w:pPr>
              <w:pStyle w:val="CETBodytext"/>
              <w:rPr>
                <w:lang w:val="en-GB"/>
              </w:rPr>
            </w:pPr>
            <w:r w:rsidRPr="00F85CC0">
              <w:t>Impact mode</w:t>
            </w:r>
          </w:p>
        </w:tc>
      </w:tr>
      <w:tr w:rsidR="00FC1B2E" w:rsidRPr="00B57B36" w14:paraId="40F04F92" w14:textId="77777777" w:rsidTr="00FC1B2E">
        <w:tc>
          <w:tcPr>
            <w:tcW w:w="387" w:type="pct"/>
            <w:shd w:val="clear" w:color="auto" w:fill="FFFFFF"/>
          </w:tcPr>
          <w:p w14:paraId="60C34A9B" w14:textId="70860408" w:rsidR="000E074D" w:rsidRPr="00B57B36" w:rsidRDefault="000E074D" w:rsidP="000E074D">
            <w:pPr>
              <w:pStyle w:val="CETBodytext"/>
              <w:rPr>
                <w:lang w:val="en-GB"/>
              </w:rPr>
            </w:pPr>
            <w:r w:rsidRPr="00531F00">
              <w:t>NH1</w:t>
            </w:r>
          </w:p>
        </w:tc>
        <w:tc>
          <w:tcPr>
            <w:tcW w:w="1291" w:type="pct"/>
            <w:shd w:val="clear" w:color="auto" w:fill="FFFFFF"/>
          </w:tcPr>
          <w:p w14:paraId="3F11F9AB" w14:textId="51E74442" w:rsidR="000E074D" w:rsidRPr="00B57B36" w:rsidRDefault="000E074D" w:rsidP="000E074D">
            <w:pPr>
              <w:pStyle w:val="CETBodytext"/>
              <w:rPr>
                <w:lang w:val="en-GB"/>
              </w:rPr>
            </w:pPr>
            <w:r w:rsidRPr="00531F00">
              <w:t>Earthquake</w:t>
            </w:r>
          </w:p>
        </w:tc>
        <w:tc>
          <w:tcPr>
            <w:tcW w:w="3322" w:type="pct"/>
            <w:shd w:val="clear" w:color="auto" w:fill="FFFFFF"/>
          </w:tcPr>
          <w:p w14:paraId="2FA3FB66" w14:textId="257E9D93" w:rsidR="000E074D" w:rsidRPr="00B57B36" w:rsidRDefault="006D4A3D" w:rsidP="00FC1B2E">
            <w:pPr>
              <w:pStyle w:val="CETBodytext"/>
              <w:rPr>
                <w:lang w:val="en-GB"/>
              </w:rPr>
            </w:pPr>
            <w:r>
              <w:t>Peak ground acceleration [g]</w:t>
            </w:r>
            <w:r w:rsidR="00FC1B2E">
              <w:t xml:space="preserve">; </w:t>
            </w:r>
            <w:r>
              <w:t>Peak ground velocity [m∙s</w:t>
            </w:r>
            <w:r w:rsidRPr="00A21810">
              <w:rPr>
                <w:vertAlign w:val="superscript"/>
              </w:rPr>
              <w:t>-1</w:t>
            </w:r>
            <w:r>
              <w:t>]</w:t>
            </w:r>
          </w:p>
        </w:tc>
      </w:tr>
      <w:tr w:rsidR="00FC1B2E" w:rsidRPr="00B57B36" w14:paraId="2F20394B" w14:textId="77777777" w:rsidTr="00FC1B2E">
        <w:tc>
          <w:tcPr>
            <w:tcW w:w="387" w:type="pct"/>
            <w:shd w:val="clear" w:color="auto" w:fill="FFFFFF"/>
          </w:tcPr>
          <w:p w14:paraId="5E2973DF" w14:textId="1CC633C3" w:rsidR="000E074D" w:rsidRPr="00B57B36" w:rsidRDefault="000E074D" w:rsidP="000E074D">
            <w:pPr>
              <w:pStyle w:val="CETBodytext"/>
              <w:rPr>
                <w:lang w:val="en-GB"/>
              </w:rPr>
            </w:pPr>
            <w:r w:rsidRPr="00531F00">
              <w:t>NH2</w:t>
            </w:r>
          </w:p>
        </w:tc>
        <w:tc>
          <w:tcPr>
            <w:tcW w:w="1291" w:type="pct"/>
            <w:shd w:val="clear" w:color="auto" w:fill="FFFFFF"/>
          </w:tcPr>
          <w:p w14:paraId="774F1810" w14:textId="2AD199E7" w:rsidR="000E074D" w:rsidRPr="00B57B36" w:rsidRDefault="000E074D" w:rsidP="000E074D">
            <w:pPr>
              <w:pStyle w:val="CETBodytext"/>
              <w:rPr>
                <w:lang w:val="en-GB"/>
              </w:rPr>
            </w:pPr>
            <w:r w:rsidRPr="00531F00">
              <w:t>Flood / Storm surge</w:t>
            </w:r>
          </w:p>
        </w:tc>
        <w:tc>
          <w:tcPr>
            <w:tcW w:w="3322" w:type="pct"/>
            <w:shd w:val="clear" w:color="auto" w:fill="FFFFFF"/>
          </w:tcPr>
          <w:p w14:paraId="305B06CA" w14:textId="528911FB" w:rsidR="000E074D" w:rsidRPr="00B57B36" w:rsidRDefault="00917B8F" w:rsidP="00FC1B2E">
            <w:pPr>
              <w:pStyle w:val="CETBodytext"/>
              <w:rPr>
                <w:lang w:val="en-GB"/>
              </w:rPr>
            </w:pPr>
            <w:r>
              <w:t>Water depth [m]</w:t>
            </w:r>
            <w:r w:rsidR="00FC1B2E">
              <w:t xml:space="preserve">; </w:t>
            </w:r>
            <w:r>
              <w:t>Water velocity [m∙s</w:t>
            </w:r>
            <w:r w:rsidRPr="00A21810">
              <w:rPr>
                <w:vertAlign w:val="superscript"/>
              </w:rPr>
              <w:t>-1</w:t>
            </w:r>
            <w:r>
              <w:t>]</w:t>
            </w:r>
          </w:p>
        </w:tc>
      </w:tr>
      <w:tr w:rsidR="00FC1B2E" w:rsidRPr="00B57B36" w14:paraId="51459815" w14:textId="77777777" w:rsidTr="00FC1B2E">
        <w:tc>
          <w:tcPr>
            <w:tcW w:w="387" w:type="pct"/>
            <w:shd w:val="clear" w:color="auto" w:fill="FFFFFF"/>
          </w:tcPr>
          <w:p w14:paraId="0242B7C9" w14:textId="05C9F781" w:rsidR="000E074D" w:rsidRPr="00B57B36" w:rsidRDefault="000E074D" w:rsidP="000E074D">
            <w:pPr>
              <w:pStyle w:val="CETBodytext"/>
              <w:rPr>
                <w:lang w:val="en-GB"/>
              </w:rPr>
            </w:pPr>
            <w:r w:rsidRPr="00531F00">
              <w:t>NH3</w:t>
            </w:r>
          </w:p>
        </w:tc>
        <w:tc>
          <w:tcPr>
            <w:tcW w:w="1291" w:type="pct"/>
            <w:shd w:val="clear" w:color="auto" w:fill="FFFFFF"/>
          </w:tcPr>
          <w:p w14:paraId="54913CB6" w14:textId="26A6F49B" w:rsidR="000E074D" w:rsidRPr="00B57B36" w:rsidRDefault="000E074D" w:rsidP="000E074D">
            <w:pPr>
              <w:pStyle w:val="CETBodytext"/>
              <w:rPr>
                <w:lang w:val="en-GB"/>
              </w:rPr>
            </w:pPr>
            <w:r w:rsidRPr="00531F00">
              <w:t>Intense wind</w:t>
            </w:r>
          </w:p>
        </w:tc>
        <w:tc>
          <w:tcPr>
            <w:tcW w:w="3322" w:type="pct"/>
            <w:shd w:val="clear" w:color="auto" w:fill="FFFFFF"/>
          </w:tcPr>
          <w:p w14:paraId="62D2EFC7" w14:textId="26BFBCCC" w:rsidR="000E074D" w:rsidRPr="00B57B36" w:rsidRDefault="0046163B" w:rsidP="000E074D">
            <w:pPr>
              <w:pStyle w:val="CETBodytext"/>
              <w:rPr>
                <w:lang w:val="en-GB"/>
              </w:rPr>
            </w:pPr>
            <w:r w:rsidRPr="0046163B">
              <w:t>Wind speed [m∙s</w:t>
            </w:r>
            <w:r w:rsidRPr="00A21810">
              <w:rPr>
                <w:vertAlign w:val="superscript"/>
              </w:rPr>
              <w:t>-1</w:t>
            </w:r>
            <w:r w:rsidRPr="0046163B">
              <w:t>]</w:t>
            </w:r>
          </w:p>
        </w:tc>
      </w:tr>
      <w:tr w:rsidR="00FC1B2E" w:rsidRPr="00B57B36" w14:paraId="34B5AD13" w14:textId="77777777" w:rsidTr="00FC1B2E">
        <w:tc>
          <w:tcPr>
            <w:tcW w:w="387" w:type="pct"/>
            <w:shd w:val="clear" w:color="auto" w:fill="FFFFFF"/>
          </w:tcPr>
          <w:p w14:paraId="75E841F4" w14:textId="78EC60A5" w:rsidR="000E074D" w:rsidRPr="00B57B36" w:rsidRDefault="000E074D" w:rsidP="000E074D">
            <w:pPr>
              <w:pStyle w:val="CETBodytext"/>
              <w:rPr>
                <w:lang w:val="en-GB"/>
              </w:rPr>
            </w:pPr>
            <w:r w:rsidRPr="00531F00">
              <w:t>NH4</w:t>
            </w:r>
          </w:p>
        </w:tc>
        <w:tc>
          <w:tcPr>
            <w:tcW w:w="1291" w:type="pct"/>
            <w:shd w:val="clear" w:color="auto" w:fill="FFFFFF"/>
          </w:tcPr>
          <w:p w14:paraId="6A373628" w14:textId="2783BC0D" w:rsidR="000E074D" w:rsidRPr="00B57B36" w:rsidRDefault="000E074D" w:rsidP="000E074D">
            <w:pPr>
              <w:pStyle w:val="CETBodytext"/>
              <w:rPr>
                <w:lang w:val="en-GB"/>
              </w:rPr>
            </w:pPr>
            <w:r w:rsidRPr="00531F00">
              <w:t>Lightning</w:t>
            </w:r>
          </w:p>
        </w:tc>
        <w:tc>
          <w:tcPr>
            <w:tcW w:w="3322" w:type="pct"/>
            <w:shd w:val="clear" w:color="auto" w:fill="FFFFFF"/>
          </w:tcPr>
          <w:p w14:paraId="63259AEF" w14:textId="24CBF507" w:rsidR="000E074D" w:rsidRPr="00B57B36" w:rsidRDefault="00600E23" w:rsidP="000E074D">
            <w:pPr>
              <w:pStyle w:val="CETBodytext"/>
              <w:rPr>
                <w:lang w:val="en-GB"/>
              </w:rPr>
            </w:pPr>
            <w:r w:rsidRPr="00600E23">
              <w:t>Flash density at ground level [km</w:t>
            </w:r>
            <w:r w:rsidRPr="00A21810">
              <w:rPr>
                <w:vertAlign w:val="superscript"/>
              </w:rPr>
              <w:t>-2</w:t>
            </w:r>
            <w:r w:rsidRPr="00600E23">
              <w:t>∙y</w:t>
            </w:r>
            <w:r w:rsidRPr="00A21810">
              <w:rPr>
                <w:vertAlign w:val="superscript"/>
              </w:rPr>
              <w:t>-1</w:t>
            </w:r>
            <w:r w:rsidRPr="00600E23">
              <w:t>]</w:t>
            </w:r>
          </w:p>
        </w:tc>
      </w:tr>
      <w:tr w:rsidR="00FC1B2E" w:rsidRPr="00B57B36" w14:paraId="4079D94C" w14:textId="77777777" w:rsidTr="00FC1B2E">
        <w:tc>
          <w:tcPr>
            <w:tcW w:w="387" w:type="pct"/>
            <w:shd w:val="clear" w:color="auto" w:fill="FFFFFF"/>
          </w:tcPr>
          <w:p w14:paraId="38BD7B1C" w14:textId="29D4EE39" w:rsidR="000E074D" w:rsidRPr="00B57B36" w:rsidRDefault="000E074D" w:rsidP="000E074D">
            <w:pPr>
              <w:pStyle w:val="CETBodytext"/>
              <w:rPr>
                <w:lang w:val="en-GB"/>
              </w:rPr>
            </w:pPr>
            <w:r w:rsidRPr="00531F00">
              <w:t>NH5</w:t>
            </w:r>
          </w:p>
        </w:tc>
        <w:tc>
          <w:tcPr>
            <w:tcW w:w="1291" w:type="pct"/>
            <w:shd w:val="clear" w:color="auto" w:fill="FFFFFF"/>
          </w:tcPr>
          <w:p w14:paraId="5828A668" w14:textId="3CF75AC8" w:rsidR="000E074D" w:rsidRPr="00B57B36" w:rsidRDefault="000E074D" w:rsidP="000E074D">
            <w:pPr>
              <w:pStyle w:val="CETBodytext"/>
              <w:rPr>
                <w:lang w:val="en-GB"/>
              </w:rPr>
            </w:pPr>
            <w:r w:rsidRPr="00531F00">
              <w:t>Heavy rainfall / Hail</w:t>
            </w:r>
          </w:p>
        </w:tc>
        <w:tc>
          <w:tcPr>
            <w:tcW w:w="3322" w:type="pct"/>
            <w:shd w:val="clear" w:color="auto" w:fill="FFFFFF"/>
          </w:tcPr>
          <w:p w14:paraId="2A84B754" w14:textId="1A21D3C3" w:rsidR="000E074D" w:rsidRPr="00B57B36" w:rsidRDefault="003B4B22" w:rsidP="00FC1B2E">
            <w:pPr>
              <w:pStyle w:val="CETBodytext"/>
              <w:rPr>
                <w:lang w:val="en-GB"/>
              </w:rPr>
            </w:pPr>
            <w:r>
              <w:t>Heavy rainfall [mm∙m</w:t>
            </w:r>
            <w:r w:rsidRPr="00A21810">
              <w:rPr>
                <w:vertAlign w:val="superscript"/>
              </w:rPr>
              <w:t>-2</w:t>
            </w:r>
            <w:r>
              <w:t>]</w:t>
            </w:r>
            <w:r w:rsidR="00FC1B2E">
              <w:t xml:space="preserve">; </w:t>
            </w:r>
            <w:r>
              <w:t>Hail impact</w:t>
            </w:r>
          </w:p>
        </w:tc>
      </w:tr>
      <w:tr w:rsidR="00FC1B2E" w:rsidRPr="00B57B36" w14:paraId="35045110" w14:textId="77777777" w:rsidTr="00FC1B2E">
        <w:tc>
          <w:tcPr>
            <w:tcW w:w="387" w:type="pct"/>
            <w:shd w:val="clear" w:color="auto" w:fill="FFFFFF"/>
          </w:tcPr>
          <w:p w14:paraId="1D9212E7" w14:textId="75C6F636" w:rsidR="000E074D" w:rsidRPr="00B57B36" w:rsidRDefault="000E074D" w:rsidP="000E074D">
            <w:pPr>
              <w:pStyle w:val="CETBodytext"/>
              <w:rPr>
                <w:lang w:val="en-GB"/>
              </w:rPr>
            </w:pPr>
            <w:r w:rsidRPr="00531F00">
              <w:t>NH6</w:t>
            </w:r>
          </w:p>
        </w:tc>
        <w:tc>
          <w:tcPr>
            <w:tcW w:w="1291" w:type="pct"/>
            <w:shd w:val="clear" w:color="auto" w:fill="FFFFFF"/>
          </w:tcPr>
          <w:p w14:paraId="07EBD6AD" w14:textId="79EC8CD8" w:rsidR="000E074D" w:rsidRPr="00B57B36" w:rsidRDefault="000E074D" w:rsidP="000E074D">
            <w:pPr>
              <w:pStyle w:val="CETBodytext"/>
              <w:rPr>
                <w:lang w:val="en-GB"/>
              </w:rPr>
            </w:pPr>
            <w:r w:rsidRPr="00531F00">
              <w:t>Ice / Snow</w:t>
            </w:r>
          </w:p>
        </w:tc>
        <w:tc>
          <w:tcPr>
            <w:tcW w:w="3322" w:type="pct"/>
            <w:shd w:val="clear" w:color="auto" w:fill="FFFFFF"/>
          </w:tcPr>
          <w:p w14:paraId="7D976B82" w14:textId="7D0920BD" w:rsidR="000E074D" w:rsidRPr="00B57B36" w:rsidRDefault="00AD763B" w:rsidP="00FC1B2E">
            <w:pPr>
              <w:pStyle w:val="CETBodytext"/>
              <w:rPr>
                <w:lang w:val="en-GB"/>
              </w:rPr>
            </w:pPr>
            <w:r>
              <w:t>Low temperature [°C]</w:t>
            </w:r>
            <w:r w:rsidR="00FC1B2E">
              <w:t xml:space="preserve">; </w:t>
            </w:r>
            <w:r>
              <w:t>Formation of ice</w:t>
            </w:r>
            <w:r w:rsidR="00FC1B2E">
              <w:t xml:space="preserve">; </w:t>
            </w:r>
            <w:r>
              <w:t>Accumulation of snow [mm]</w:t>
            </w:r>
          </w:p>
        </w:tc>
      </w:tr>
      <w:tr w:rsidR="00FC1B2E" w:rsidRPr="00B57B36" w14:paraId="06591AFC" w14:textId="77777777" w:rsidTr="00FC1B2E">
        <w:tc>
          <w:tcPr>
            <w:tcW w:w="387" w:type="pct"/>
            <w:shd w:val="clear" w:color="auto" w:fill="FFFFFF"/>
          </w:tcPr>
          <w:p w14:paraId="2FB9BC24" w14:textId="50474108" w:rsidR="000E074D" w:rsidRPr="00B57B36" w:rsidRDefault="000E074D" w:rsidP="000E074D">
            <w:pPr>
              <w:pStyle w:val="CETBodytext"/>
              <w:ind w:right="-1"/>
              <w:rPr>
                <w:rFonts w:cs="Arial"/>
                <w:szCs w:val="18"/>
                <w:lang w:val="en-GB"/>
              </w:rPr>
            </w:pPr>
            <w:r w:rsidRPr="00531F00">
              <w:t>NH7</w:t>
            </w:r>
          </w:p>
        </w:tc>
        <w:tc>
          <w:tcPr>
            <w:tcW w:w="1291" w:type="pct"/>
            <w:shd w:val="clear" w:color="auto" w:fill="FFFFFF"/>
          </w:tcPr>
          <w:p w14:paraId="03737079" w14:textId="276AF104" w:rsidR="000E074D" w:rsidRPr="00B57B36" w:rsidRDefault="000E074D" w:rsidP="000E074D">
            <w:pPr>
              <w:pStyle w:val="CETBodytext"/>
              <w:ind w:right="-1"/>
              <w:rPr>
                <w:rFonts w:cs="Arial"/>
                <w:szCs w:val="18"/>
                <w:lang w:val="en-GB"/>
              </w:rPr>
            </w:pPr>
            <w:r w:rsidRPr="00531F00">
              <w:t>Wildfires / Interface fires</w:t>
            </w:r>
          </w:p>
        </w:tc>
        <w:tc>
          <w:tcPr>
            <w:tcW w:w="3322" w:type="pct"/>
            <w:shd w:val="clear" w:color="auto" w:fill="FFFFFF"/>
          </w:tcPr>
          <w:p w14:paraId="7EAE78B1" w14:textId="54CADE25" w:rsidR="000E074D" w:rsidRPr="007F5140" w:rsidRDefault="00A21810" w:rsidP="00FC1B2E">
            <w:pPr>
              <w:pStyle w:val="CETBodytext"/>
              <w:ind w:right="-1"/>
              <w:rPr>
                <w:rFonts w:cs="Arial"/>
                <w:strike/>
                <w:szCs w:val="18"/>
                <w:highlight w:val="yellow"/>
                <w:lang w:val="en-GB"/>
              </w:rPr>
            </w:pPr>
            <w:r>
              <w:t>Flame emissive power [W∙m</w:t>
            </w:r>
            <w:r w:rsidRPr="00C95AC0">
              <w:rPr>
                <w:vertAlign w:val="superscript"/>
              </w:rPr>
              <w:t>-2</w:t>
            </w:r>
            <w:r>
              <w:t>]</w:t>
            </w:r>
            <w:r w:rsidR="00FC1B2E">
              <w:t xml:space="preserve">; </w:t>
            </w:r>
            <w:r>
              <w:t>Flame length [m]</w:t>
            </w:r>
            <w:r w:rsidR="00FC1B2E">
              <w:t xml:space="preserve">; </w:t>
            </w:r>
            <w:r>
              <w:t>Flame duration [h]</w:t>
            </w:r>
          </w:p>
        </w:tc>
      </w:tr>
    </w:tbl>
    <w:p w14:paraId="13F53234" w14:textId="77777777" w:rsidR="008C5BEB" w:rsidRDefault="008C5BEB" w:rsidP="008C5BEB">
      <w:pPr>
        <w:pStyle w:val="CETBodytext"/>
      </w:pPr>
    </w:p>
    <w:p w14:paraId="7B5C0092" w14:textId="7727ABFE" w:rsidR="00BB4EB9" w:rsidRDefault="008C5BEB" w:rsidP="008C5BEB">
      <w:pPr>
        <w:pStyle w:val="CETBodytext"/>
      </w:pPr>
      <w:r>
        <w:t xml:space="preserve">The security </w:t>
      </w:r>
      <w:r w:rsidR="00224FC9">
        <w:t>elements</w:t>
      </w:r>
      <w:r w:rsidR="004648EB">
        <w:t xml:space="preserve"> included in the study</w:t>
      </w:r>
      <w:r>
        <w:t xml:space="preserve"> considered common physical protection system (PPS) used in chemical and process facilities. The selected categories are listed in Table 2. The </w:t>
      </w:r>
      <w:r w:rsidR="00FC1B2E">
        <w:t xml:space="preserve">included elements were based </w:t>
      </w:r>
      <w:r>
        <w:t>on the Sandia PPS framework</w:t>
      </w:r>
      <w:r w:rsidR="005332D9">
        <w:t xml:space="preserve"> </w:t>
      </w:r>
      <w:sdt>
        <w:sdtPr>
          <w:rPr>
            <w:rFonts w:cs="Arial"/>
            <w:color w:val="000000"/>
          </w:rPr>
          <w:tag w:val="MENDELEY_CITATION_v3_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"/>
          <w:id w:val="5114753"/>
          <w:placeholder>
            <w:docPart w:val="DefaultPlaceholder_-1854013440"/>
          </w:placeholder>
        </w:sdtPr>
        <w:sdtContent>
          <w:r w:rsidR="00326A9E" w:rsidRPr="00326A9E">
            <w:rPr>
              <w:rFonts w:cs="Arial"/>
              <w:color w:val="000000"/>
            </w:rPr>
            <w:t>(Garcia, 2007)</w:t>
          </w:r>
        </w:sdtContent>
      </w:sdt>
      <w:r>
        <w:t xml:space="preserve"> and was extended with additional industrial security barriers identified in the CCPS SVA methodology</w:t>
      </w:r>
      <w:r w:rsidR="00723079">
        <w:t xml:space="preserve"> </w:t>
      </w:r>
      <w:sdt>
        <w:sdtPr>
          <w:rPr>
            <w:rFonts w:cs="Arial"/>
            <w:color w:val="000000"/>
          </w:rPr>
          <w:tag w:val="MENDELEY_CITATION_v3_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"/>
          <w:id w:val="-172965751"/>
          <w:placeholder>
            <w:docPart w:val="DefaultPlaceholder_-1854013440"/>
          </w:placeholder>
        </w:sdtPr>
        <w:sdtContent>
          <w:r w:rsidR="00326A9E" w:rsidRPr="00326A9E">
            <w:rPr>
              <w:rFonts w:cs="Arial"/>
              <w:color w:val="000000"/>
            </w:rPr>
            <w:t>(Center for Chemical Process Safety, 2003)</w:t>
          </w:r>
        </w:sdtContent>
      </w:sdt>
      <w:r>
        <w:t xml:space="preserve">, the VAM-CF methodology </w:t>
      </w:r>
      <w:sdt>
        <w:sdtPr>
          <w:rPr>
            <w:rFonts w:cs="Arial"/>
            <w:color w:val="000000"/>
          </w:rPr>
          <w:tag w:val="MENDELEY_CITATION_v3_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"/>
          <w:id w:val="-1889789631"/>
          <w:placeholder>
            <w:docPart w:val="DefaultPlaceholder_-1854013440"/>
          </w:placeholder>
        </w:sdtPr>
        <w:sdtContent>
          <w:r w:rsidR="00326A9E" w:rsidRPr="00326A9E">
            <w:rPr>
              <w:rFonts w:cs="Arial"/>
              <w:color w:val="000000"/>
            </w:rPr>
            <w:t>(Jaeger, 2002)</w:t>
          </w:r>
        </w:sdtContent>
      </w:sdt>
      <w:r>
        <w:t>, and API RP 780</w:t>
      </w:r>
      <w:r w:rsidR="00756CFD">
        <w:t xml:space="preserve"> </w:t>
      </w:r>
      <w:sdt>
        <w:sdtPr>
          <w:rPr>
            <w:rFonts w:cs="Arial"/>
            <w:color w:val="000000"/>
          </w:rPr>
          <w:tag w:val="MENDELEY_CITATION_v3_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"/>
          <w:id w:val="1284778602"/>
          <w:placeholder>
            <w:docPart w:val="DefaultPlaceholder_-1854013440"/>
          </w:placeholder>
        </w:sdtPr>
        <w:sdtContent>
          <w:r w:rsidR="00326A9E" w:rsidRPr="00326A9E">
            <w:rPr>
              <w:rFonts w:cs="Arial"/>
              <w:color w:val="000000"/>
            </w:rPr>
            <w:t>(American Petroleum Institute, 2013)</w:t>
          </w:r>
        </w:sdtContent>
      </w:sdt>
      <w:r>
        <w:t>. The analysis also included relevant operational factors</w:t>
      </w:r>
      <w:r w:rsidR="00BB4EB9">
        <w:t xml:space="preserve">, such as </w:t>
      </w:r>
      <w:r>
        <w:t>outdoor visibility</w:t>
      </w:r>
      <w:r w:rsidR="00BB4EB9">
        <w:t xml:space="preserve"> and</w:t>
      </w:r>
      <w:r>
        <w:t xml:space="preserve"> the effectiveness of external security personnel. Although these are not barriers, they can be significantly altered by natural hazards and may strongly affect overall security risk.</w:t>
      </w:r>
    </w:p>
    <w:p w14:paraId="7544F9CD" w14:textId="77777777" w:rsidR="008A1FEE" w:rsidRPr="00B57B36" w:rsidRDefault="008A1FEE" w:rsidP="008A1FEE">
      <w:pPr>
        <w:pStyle w:val="CETTabletitle"/>
      </w:pPr>
      <w:r w:rsidRPr="00B57B36">
        <w:t xml:space="preserve">Table </w:t>
      </w:r>
      <w:r>
        <w:t>2</w:t>
      </w:r>
      <w:r w:rsidRPr="00B57B36">
        <w:t xml:space="preserve">: </w:t>
      </w:r>
      <w:r w:rsidRPr="001531A8">
        <w:t>List of security elements considered in the present study</w:t>
      </w:r>
      <w:r>
        <w:t xml:space="preserve"> and consequences addressed in the survey</w:t>
      </w:r>
      <w:r w:rsidRPr="001531A8">
        <w:t xml:space="preserve">. </w:t>
      </w:r>
    </w:p>
    <w:tbl>
      <w:tblPr>
        <w:tblW w:w="4998"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7"/>
        <w:gridCol w:w="5103"/>
        <w:gridCol w:w="2263"/>
      </w:tblGrid>
      <w:tr w:rsidR="008A1FEE" w:rsidRPr="00F85CC0" w14:paraId="315436FA" w14:textId="77777777" w:rsidTr="00CD14BF">
        <w:tc>
          <w:tcPr>
            <w:tcW w:w="807" w:type="pct"/>
            <w:tcBorders>
              <w:top w:val="single" w:sz="12" w:space="0" w:color="008000"/>
              <w:bottom w:val="single" w:sz="6" w:space="0" w:color="008000"/>
            </w:tcBorders>
            <w:shd w:val="clear" w:color="auto" w:fill="FFFFFF"/>
          </w:tcPr>
          <w:p w14:paraId="723023C8" w14:textId="77777777" w:rsidR="008A1FEE" w:rsidRPr="00F85CC0" w:rsidRDefault="008A1FEE" w:rsidP="00CD14BF">
            <w:pPr>
              <w:pStyle w:val="CETBodytext"/>
              <w:rPr>
                <w:lang w:val="en-GB"/>
              </w:rPr>
            </w:pPr>
            <w:r w:rsidRPr="00F85CC0">
              <w:t>ID</w:t>
            </w:r>
          </w:p>
        </w:tc>
        <w:tc>
          <w:tcPr>
            <w:tcW w:w="2905" w:type="pct"/>
            <w:tcBorders>
              <w:top w:val="single" w:sz="12" w:space="0" w:color="008000"/>
              <w:bottom w:val="single" w:sz="6" w:space="0" w:color="008000"/>
            </w:tcBorders>
            <w:shd w:val="clear" w:color="auto" w:fill="FFFFFF"/>
          </w:tcPr>
          <w:p w14:paraId="3BD9A8AB" w14:textId="77777777" w:rsidR="008A1FEE" w:rsidRPr="00F85CC0" w:rsidRDefault="008A1FEE" w:rsidP="00CD14BF">
            <w:pPr>
              <w:pStyle w:val="CETBodytext"/>
              <w:rPr>
                <w:lang w:val="en-GB"/>
              </w:rPr>
            </w:pPr>
            <w:r w:rsidRPr="00F85CC0">
              <w:t>Security element</w:t>
            </w:r>
          </w:p>
        </w:tc>
        <w:tc>
          <w:tcPr>
            <w:tcW w:w="1289" w:type="pct"/>
            <w:tcBorders>
              <w:top w:val="single" w:sz="12" w:space="0" w:color="008000"/>
              <w:bottom w:val="single" w:sz="6" w:space="0" w:color="008000"/>
            </w:tcBorders>
            <w:shd w:val="clear" w:color="auto" w:fill="FFFFFF"/>
          </w:tcPr>
          <w:p w14:paraId="28286916" w14:textId="77777777" w:rsidR="008A1FEE" w:rsidRPr="00F85CC0" w:rsidRDefault="008A1FEE" w:rsidP="00CD14BF">
            <w:pPr>
              <w:pStyle w:val="CETBodytext"/>
              <w:rPr>
                <w:lang w:val="en-GB"/>
              </w:rPr>
            </w:pPr>
            <w:r w:rsidRPr="00F85CC0">
              <w:t>Consequence</w:t>
            </w:r>
          </w:p>
        </w:tc>
      </w:tr>
      <w:tr w:rsidR="008A1FEE" w:rsidRPr="00B57B36" w14:paraId="30E228CF" w14:textId="77777777" w:rsidTr="00CD14BF">
        <w:tc>
          <w:tcPr>
            <w:tcW w:w="807" w:type="pct"/>
            <w:shd w:val="clear" w:color="auto" w:fill="FFFFFF"/>
          </w:tcPr>
          <w:p w14:paraId="06CDE153" w14:textId="77777777" w:rsidR="008A1FEE" w:rsidRPr="00B57B36" w:rsidRDefault="008A1FEE" w:rsidP="00CD14BF">
            <w:pPr>
              <w:pStyle w:val="CETBodytext"/>
              <w:rPr>
                <w:lang w:val="en-GB"/>
              </w:rPr>
            </w:pPr>
            <w:r w:rsidRPr="008E152C">
              <w:t>SE1</w:t>
            </w:r>
          </w:p>
        </w:tc>
        <w:tc>
          <w:tcPr>
            <w:tcW w:w="2905" w:type="pct"/>
            <w:shd w:val="clear" w:color="auto" w:fill="FFFFFF"/>
          </w:tcPr>
          <w:p w14:paraId="2349F217" w14:textId="77777777" w:rsidR="008A1FEE" w:rsidRPr="00B57B36" w:rsidRDefault="008A1FEE" w:rsidP="00CD14BF">
            <w:pPr>
              <w:pStyle w:val="CETBodytext"/>
              <w:rPr>
                <w:lang w:val="en-GB"/>
              </w:rPr>
            </w:pPr>
            <w:r w:rsidRPr="008E152C">
              <w:t>Fence</w:t>
            </w:r>
          </w:p>
        </w:tc>
        <w:tc>
          <w:tcPr>
            <w:tcW w:w="1289" w:type="pct"/>
            <w:shd w:val="clear" w:color="auto" w:fill="FFFFFF"/>
          </w:tcPr>
          <w:p w14:paraId="66D91406" w14:textId="77777777" w:rsidR="008A1FEE" w:rsidRPr="00B57B36" w:rsidRDefault="008A1FEE" w:rsidP="00CD14BF">
            <w:pPr>
              <w:pStyle w:val="CETBodytext"/>
              <w:rPr>
                <w:lang w:val="en-GB"/>
              </w:rPr>
            </w:pPr>
            <w:r w:rsidRPr="007A496B">
              <w:t>Damage</w:t>
            </w:r>
          </w:p>
        </w:tc>
      </w:tr>
      <w:tr w:rsidR="008A1FEE" w:rsidRPr="00B57B36" w14:paraId="2A14ABF5" w14:textId="77777777" w:rsidTr="00CD14BF">
        <w:tc>
          <w:tcPr>
            <w:tcW w:w="807" w:type="pct"/>
            <w:shd w:val="clear" w:color="auto" w:fill="FFFFFF"/>
          </w:tcPr>
          <w:p w14:paraId="6F4465FD" w14:textId="77777777" w:rsidR="008A1FEE" w:rsidRPr="00B57B36" w:rsidRDefault="008A1FEE" w:rsidP="00CD14BF">
            <w:pPr>
              <w:pStyle w:val="CETBodytext"/>
              <w:rPr>
                <w:lang w:val="en-GB"/>
              </w:rPr>
            </w:pPr>
            <w:r w:rsidRPr="008E152C">
              <w:t>SE2</w:t>
            </w:r>
          </w:p>
        </w:tc>
        <w:tc>
          <w:tcPr>
            <w:tcW w:w="2905" w:type="pct"/>
            <w:shd w:val="clear" w:color="auto" w:fill="FFFFFF"/>
          </w:tcPr>
          <w:p w14:paraId="2E097E1E" w14:textId="77777777" w:rsidR="008A1FEE" w:rsidRPr="00B57B36" w:rsidRDefault="008A1FEE" w:rsidP="00CD14BF">
            <w:pPr>
              <w:pStyle w:val="CETBodytext"/>
              <w:rPr>
                <w:lang w:val="en-GB"/>
              </w:rPr>
            </w:pPr>
            <w:r w:rsidRPr="008E152C">
              <w:t>Gates and doors</w:t>
            </w:r>
          </w:p>
        </w:tc>
        <w:tc>
          <w:tcPr>
            <w:tcW w:w="1289" w:type="pct"/>
            <w:shd w:val="clear" w:color="auto" w:fill="FFFFFF"/>
          </w:tcPr>
          <w:p w14:paraId="3D380B42" w14:textId="77777777" w:rsidR="008A1FEE" w:rsidRPr="00B57B36" w:rsidRDefault="008A1FEE" w:rsidP="00CD14BF">
            <w:pPr>
              <w:pStyle w:val="CETBodytext"/>
              <w:rPr>
                <w:lang w:val="en-GB"/>
              </w:rPr>
            </w:pPr>
            <w:r w:rsidRPr="007A496B">
              <w:t>Damage</w:t>
            </w:r>
          </w:p>
        </w:tc>
      </w:tr>
      <w:tr w:rsidR="008A1FEE" w:rsidRPr="00B57B36" w14:paraId="1A7D424E" w14:textId="77777777" w:rsidTr="00CD14BF">
        <w:tc>
          <w:tcPr>
            <w:tcW w:w="807" w:type="pct"/>
            <w:shd w:val="clear" w:color="auto" w:fill="FFFFFF"/>
          </w:tcPr>
          <w:p w14:paraId="7615ACB1" w14:textId="77777777" w:rsidR="008A1FEE" w:rsidRPr="00B57B36" w:rsidRDefault="008A1FEE" w:rsidP="00CD14BF">
            <w:pPr>
              <w:pStyle w:val="CETBodytext"/>
              <w:rPr>
                <w:lang w:val="en-GB"/>
              </w:rPr>
            </w:pPr>
            <w:r w:rsidRPr="008E152C">
              <w:t>SE3</w:t>
            </w:r>
          </w:p>
        </w:tc>
        <w:tc>
          <w:tcPr>
            <w:tcW w:w="2905" w:type="pct"/>
            <w:shd w:val="clear" w:color="auto" w:fill="FFFFFF"/>
          </w:tcPr>
          <w:p w14:paraId="388F0893" w14:textId="77777777" w:rsidR="008A1FEE" w:rsidRPr="00B57B36" w:rsidRDefault="008A1FEE" w:rsidP="00CD14BF">
            <w:pPr>
              <w:pStyle w:val="CETBodytext"/>
              <w:rPr>
                <w:lang w:val="en-GB"/>
              </w:rPr>
            </w:pPr>
            <w:r w:rsidRPr="008E152C">
              <w:t>Signal coverage</w:t>
            </w:r>
          </w:p>
        </w:tc>
        <w:tc>
          <w:tcPr>
            <w:tcW w:w="1289" w:type="pct"/>
            <w:shd w:val="clear" w:color="auto" w:fill="FFFFFF"/>
          </w:tcPr>
          <w:p w14:paraId="6248B60F" w14:textId="77777777" w:rsidR="008A1FEE" w:rsidRPr="00B57B36" w:rsidRDefault="008A1FEE" w:rsidP="00CD14BF">
            <w:pPr>
              <w:pStyle w:val="CETBodytext"/>
              <w:rPr>
                <w:lang w:val="en-GB"/>
              </w:rPr>
            </w:pPr>
            <w:r w:rsidRPr="007A496B">
              <w:t>Low signal</w:t>
            </w:r>
          </w:p>
        </w:tc>
      </w:tr>
      <w:tr w:rsidR="008A1FEE" w:rsidRPr="00B57B36" w14:paraId="6E68E35A" w14:textId="77777777" w:rsidTr="00CD14BF">
        <w:tc>
          <w:tcPr>
            <w:tcW w:w="807" w:type="pct"/>
            <w:shd w:val="clear" w:color="auto" w:fill="FFFFFF"/>
          </w:tcPr>
          <w:p w14:paraId="5265708B" w14:textId="77777777" w:rsidR="008A1FEE" w:rsidRPr="00B57B36" w:rsidRDefault="008A1FEE" w:rsidP="00CD14BF">
            <w:pPr>
              <w:pStyle w:val="CETBodytext"/>
              <w:rPr>
                <w:lang w:val="en-GB"/>
              </w:rPr>
            </w:pPr>
            <w:r w:rsidRPr="008E152C">
              <w:t>SE4</w:t>
            </w:r>
          </w:p>
        </w:tc>
        <w:tc>
          <w:tcPr>
            <w:tcW w:w="2905" w:type="pct"/>
            <w:shd w:val="clear" w:color="auto" w:fill="FFFFFF"/>
          </w:tcPr>
          <w:p w14:paraId="189B65E8" w14:textId="77777777" w:rsidR="008A1FEE" w:rsidRPr="00B57B36" w:rsidRDefault="008A1FEE" w:rsidP="00CD14BF">
            <w:pPr>
              <w:pStyle w:val="CETBodytext"/>
              <w:rPr>
                <w:lang w:val="en-GB"/>
              </w:rPr>
            </w:pPr>
            <w:r w:rsidRPr="008E152C">
              <w:t>Security control center</w:t>
            </w:r>
          </w:p>
        </w:tc>
        <w:tc>
          <w:tcPr>
            <w:tcW w:w="1289" w:type="pct"/>
            <w:shd w:val="clear" w:color="auto" w:fill="FFFFFF"/>
          </w:tcPr>
          <w:p w14:paraId="1CA12DDB" w14:textId="77777777" w:rsidR="008A1FEE" w:rsidRPr="00B57B36" w:rsidRDefault="008A1FEE" w:rsidP="00CD14BF">
            <w:pPr>
              <w:pStyle w:val="CETBodytext"/>
              <w:rPr>
                <w:lang w:val="en-GB"/>
              </w:rPr>
            </w:pPr>
            <w:r w:rsidRPr="007A496B">
              <w:t>Inaccessibility</w:t>
            </w:r>
          </w:p>
        </w:tc>
      </w:tr>
      <w:tr w:rsidR="008A1FEE" w:rsidRPr="00B57B36" w14:paraId="57C95822" w14:textId="77777777" w:rsidTr="00CD14BF">
        <w:tc>
          <w:tcPr>
            <w:tcW w:w="807" w:type="pct"/>
            <w:shd w:val="clear" w:color="auto" w:fill="FFFFFF"/>
          </w:tcPr>
          <w:p w14:paraId="48E6E7C2" w14:textId="77777777" w:rsidR="008A1FEE" w:rsidRPr="00B57B36" w:rsidRDefault="008A1FEE" w:rsidP="00CD14BF">
            <w:pPr>
              <w:pStyle w:val="CETBodytext"/>
              <w:rPr>
                <w:lang w:val="en-GB"/>
              </w:rPr>
            </w:pPr>
            <w:r w:rsidRPr="008E152C">
              <w:t>SE5</w:t>
            </w:r>
          </w:p>
        </w:tc>
        <w:tc>
          <w:tcPr>
            <w:tcW w:w="2905" w:type="pct"/>
            <w:shd w:val="clear" w:color="auto" w:fill="FFFFFF"/>
          </w:tcPr>
          <w:p w14:paraId="5D55E540" w14:textId="77777777" w:rsidR="008A1FEE" w:rsidRPr="00B57B36" w:rsidRDefault="008A1FEE" w:rsidP="00CD14BF">
            <w:pPr>
              <w:pStyle w:val="CETBodytext"/>
              <w:rPr>
                <w:lang w:val="en-GB"/>
              </w:rPr>
            </w:pPr>
            <w:r w:rsidRPr="008E152C">
              <w:t>Main power supply</w:t>
            </w:r>
          </w:p>
        </w:tc>
        <w:tc>
          <w:tcPr>
            <w:tcW w:w="1289" w:type="pct"/>
            <w:shd w:val="clear" w:color="auto" w:fill="FFFFFF"/>
          </w:tcPr>
          <w:p w14:paraId="4348B80B" w14:textId="77777777" w:rsidR="008A1FEE" w:rsidRPr="00B57B36" w:rsidRDefault="008A1FEE" w:rsidP="00CD14BF">
            <w:pPr>
              <w:pStyle w:val="CETBodytext"/>
              <w:rPr>
                <w:lang w:val="en-GB"/>
              </w:rPr>
            </w:pPr>
            <w:r w:rsidRPr="007A496B">
              <w:t>Unavailability</w:t>
            </w:r>
          </w:p>
        </w:tc>
      </w:tr>
      <w:tr w:rsidR="008A1FEE" w:rsidRPr="00B57B36" w14:paraId="5E4F7BE2" w14:textId="77777777" w:rsidTr="00CD14BF">
        <w:tc>
          <w:tcPr>
            <w:tcW w:w="807" w:type="pct"/>
            <w:shd w:val="clear" w:color="auto" w:fill="FFFFFF"/>
          </w:tcPr>
          <w:p w14:paraId="6246FDE5" w14:textId="77777777" w:rsidR="008A1FEE" w:rsidRPr="00B57B36" w:rsidRDefault="008A1FEE" w:rsidP="00CD14BF">
            <w:pPr>
              <w:pStyle w:val="CETBodytext"/>
              <w:rPr>
                <w:lang w:val="en-GB"/>
              </w:rPr>
            </w:pPr>
            <w:r w:rsidRPr="008E152C">
              <w:t>SE6</w:t>
            </w:r>
          </w:p>
        </w:tc>
        <w:tc>
          <w:tcPr>
            <w:tcW w:w="2905" w:type="pct"/>
            <w:shd w:val="clear" w:color="auto" w:fill="FFFFFF"/>
          </w:tcPr>
          <w:p w14:paraId="58872975" w14:textId="77777777" w:rsidR="008A1FEE" w:rsidRPr="00B57B36" w:rsidRDefault="008A1FEE" w:rsidP="00CD14BF">
            <w:pPr>
              <w:pStyle w:val="CETBodytext"/>
              <w:rPr>
                <w:lang w:val="en-GB"/>
              </w:rPr>
            </w:pPr>
            <w:r w:rsidRPr="008E152C">
              <w:t>Backup power supply</w:t>
            </w:r>
          </w:p>
        </w:tc>
        <w:tc>
          <w:tcPr>
            <w:tcW w:w="1289" w:type="pct"/>
            <w:shd w:val="clear" w:color="auto" w:fill="FFFFFF"/>
          </w:tcPr>
          <w:p w14:paraId="544E6397" w14:textId="77777777" w:rsidR="008A1FEE" w:rsidRPr="00B57B36" w:rsidRDefault="008A1FEE" w:rsidP="00CD14BF">
            <w:pPr>
              <w:pStyle w:val="CETBodytext"/>
              <w:rPr>
                <w:lang w:val="en-GB"/>
              </w:rPr>
            </w:pPr>
            <w:r w:rsidRPr="007A496B">
              <w:t>Unavailability</w:t>
            </w:r>
          </w:p>
        </w:tc>
      </w:tr>
      <w:tr w:rsidR="008A1FEE" w:rsidRPr="00B57B36" w14:paraId="5AA12933" w14:textId="77777777" w:rsidTr="00CD14BF">
        <w:tc>
          <w:tcPr>
            <w:tcW w:w="807" w:type="pct"/>
            <w:shd w:val="clear" w:color="auto" w:fill="FFFFFF"/>
          </w:tcPr>
          <w:p w14:paraId="2A5079C0" w14:textId="77777777" w:rsidR="008A1FEE" w:rsidRPr="00B57B36" w:rsidRDefault="008A1FEE" w:rsidP="00CD14BF">
            <w:pPr>
              <w:pStyle w:val="CETBodytext"/>
              <w:rPr>
                <w:lang w:val="en-GB"/>
              </w:rPr>
            </w:pPr>
            <w:r w:rsidRPr="008E152C">
              <w:t>SE7</w:t>
            </w:r>
          </w:p>
        </w:tc>
        <w:tc>
          <w:tcPr>
            <w:tcW w:w="2905" w:type="pct"/>
            <w:shd w:val="clear" w:color="auto" w:fill="FFFFFF"/>
          </w:tcPr>
          <w:p w14:paraId="6C5B7CC2" w14:textId="77777777" w:rsidR="008A1FEE" w:rsidRPr="00B57B36" w:rsidRDefault="008A1FEE" w:rsidP="00CD14BF">
            <w:pPr>
              <w:pStyle w:val="CETBodytext"/>
              <w:rPr>
                <w:lang w:val="en-GB"/>
              </w:rPr>
            </w:pPr>
            <w:r w:rsidRPr="008E152C">
              <w:t>Exterior sensors</w:t>
            </w:r>
          </w:p>
        </w:tc>
        <w:tc>
          <w:tcPr>
            <w:tcW w:w="1289" w:type="pct"/>
            <w:shd w:val="clear" w:color="auto" w:fill="FFFFFF"/>
          </w:tcPr>
          <w:p w14:paraId="0CCE1FA8" w14:textId="77777777" w:rsidR="008A1FEE" w:rsidRPr="00B57B36" w:rsidRDefault="008A1FEE" w:rsidP="00CD14BF">
            <w:pPr>
              <w:pStyle w:val="CETBodytext"/>
              <w:rPr>
                <w:lang w:val="en-GB"/>
              </w:rPr>
            </w:pPr>
            <w:r w:rsidRPr="007A496B">
              <w:t>Unavailability</w:t>
            </w:r>
          </w:p>
        </w:tc>
      </w:tr>
      <w:tr w:rsidR="008A1FEE" w:rsidRPr="00B57B36" w14:paraId="4C2E69BF" w14:textId="77777777" w:rsidTr="00CD14BF">
        <w:tc>
          <w:tcPr>
            <w:tcW w:w="807" w:type="pct"/>
            <w:shd w:val="clear" w:color="auto" w:fill="FFFFFF"/>
          </w:tcPr>
          <w:p w14:paraId="73B67A11" w14:textId="77777777" w:rsidR="008A1FEE" w:rsidRPr="00B57B36" w:rsidRDefault="008A1FEE" w:rsidP="00CD14BF">
            <w:pPr>
              <w:pStyle w:val="CETBodytext"/>
              <w:rPr>
                <w:lang w:val="en-GB"/>
              </w:rPr>
            </w:pPr>
            <w:r w:rsidRPr="008E152C">
              <w:t>SE8</w:t>
            </w:r>
          </w:p>
        </w:tc>
        <w:tc>
          <w:tcPr>
            <w:tcW w:w="2905" w:type="pct"/>
            <w:shd w:val="clear" w:color="auto" w:fill="FFFFFF"/>
          </w:tcPr>
          <w:p w14:paraId="3A75D7A3" w14:textId="77777777" w:rsidR="008A1FEE" w:rsidRPr="00B57B36" w:rsidRDefault="008A1FEE" w:rsidP="00CD14BF">
            <w:pPr>
              <w:pStyle w:val="CETBodytext"/>
              <w:rPr>
                <w:lang w:val="en-GB"/>
              </w:rPr>
            </w:pPr>
            <w:r w:rsidRPr="008E152C">
              <w:t>Interior sensors</w:t>
            </w:r>
          </w:p>
        </w:tc>
        <w:tc>
          <w:tcPr>
            <w:tcW w:w="1289" w:type="pct"/>
            <w:shd w:val="clear" w:color="auto" w:fill="FFFFFF"/>
          </w:tcPr>
          <w:p w14:paraId="55DE4CA0" w14:textId="77777777" w:rsidR="008A1FEE" w:rsidRPr="00B57B36" w:rsidRDefault="008A1FEE" w:rsidP="00CD14BF">
            <w:pPr>
              <w:pStyle w:val="CETBodytext"/>
              <w:rPr>
                <w:lang w:val="en-GB"/>
              </w:rPr>
            </w:pPr>
            <w:r w:rsidRPr="007A496B">
              <w:t>Unavailability</w:t>
            </w:r>
          </w:p>
        </w:tc>
      </w:tr>
      <w:tr w:rsidR="008A1FEE" w:rsidRPr="00B57B36" w14:paraId="7D8444B8" w14:textId="77777777" w:rsidTr="00CD14BF">
        <w:tc>
          <w:tcPr>
            <w:tcW w:w="807" w:type="pct"/>
            <w:shd w:val="clear" w:color="auto" w:fill="FFFFFF"/>
          </w:tcPr>
          <w:p w14:paraId="2B9B9323" w14:textId="77777777" w:rsidR="008A1FEE" w:rsidRPr="008E152C" w:rsidRDefault="008A1FEE" w:rsidP="00CD14BF">
            <w:pPr>
              <w:pStyle w:val="CETBodytext"/>
            </w:pPr>
            <w:r w:rsidRPr="008E152C">
              <w:t>SE9</w:t>
            </w:r>
          </w:p>
        </w:tc>
        <w:tc>
          <w:tcPr>
            <w:tcW w:w="2905" w:type="pct"/>
            <w:shd w:val="clear" w:color="auto" w:fill="FFFFFF"/>
          </w:tcPr>
          <w:p w14:paraId="0A687BE3" w14:textId="77777777" w:rsidR="008A1FEE" w:rsidRPr="008E152C" w:rsidRDefault="008A1FEE" w:rsidP="00CD14BF">
            <w:pPr>
              <w:pStyle w:val="CETBodytext"/>
            </w:pPr>
            <w:r w:rsidRPr="008E152C">
              <w:t>Automated personnel access control</w:t>
            </w:r>
          </w:p>
        </w:tc>
        <w:tc>
          <w:tcPr>
            <w:tcW w:w="1289" w:type="pct"/>
            <w:shd w:val="clear" w:color="auto" w:fill="FFFFFF"/>
          </w:tcPr>
          <w:p w14:paraId="65656298" w14:textId="77777777" w:rsidR="008A1FEE" w:rsidRPr="00420EB7" w:rsidRDefault="008A1FEE" w:rsidP="00CD14BF">
            <w:pPr>
              <w:pStyle w:val="CETBodytext"/>
            </w:pPr>
            <w:r w:rsidRPr="007A496B">
              <w:t>Unavailability</w:t>
            </w:r>
          </w:p>
        </w:tc>
      </w:tr>
      <w:tr w:rsidR="008A1FEE" w:rsidRPr="00B57B36" w14:paraId="63BE7F95" w14:textId="77777777" w:rsidTr="00CD14BF">
        <w:tc>
          <w:tcPr>
            <w:tcW w:w="807" w:type="pct"/>
            <w:shd w:val="clear" w:color="auto" w:fill="FFFFFF"/>
          </w:tcPr>
          <w:p w14:paraId="564D4F70" w14:textId="77777777" w:rsidR="008A1FEE" w:rsidRPr="008E152C" w:rsidRDefault="008A1FEE" w:rsidP="00CD14BF">
            <w:pPr>
              <w:pStyle w:val="CETBodytext"/>
            </w:pPr>
            <w:r w:rsidRPr="00420EB7">
              <w:t>SE10</w:t>
            </w:r>
          </w:p>
        </w:tc>
        <w:tc>
          <w:tcPr>
            <w:tcW w:w="2905" w:type="pct"/>
            <w:shd w:val="clear" w:color="auto" w:fill="FFFFFF"/>
          </w:tcPr>
          <w:p w14:paraId="6EED5A9E" w14:textId="77777777" w:rsidR="008A1FEE" w:rsidRPr="008E152C" w:rsidRDefault="008A1FEE" w:rsidP="00CD14BF">
            <w:pPr>
              <w:pStyle w:val="CETBodytext"/>
            </w:pPr>
            <w:r w:rsidRPr="00420EB7">
              <w:t>Closed-circuit television</w:t>
            </w:r>
          </w:p>
        </w:tc>
        <w:tc>
          <w:tcPr>
            <w:tcW w:w="1289" w:type="pct"/>
            <w:shd w:val="clear" w:color="auto" w:fill="FFFFFF"/>
          </w:tcPr>
          <w:p w14:paraId="22BA64EC" w14:textId="77777777" w:rsidR="008A1FEE" w:rsidRPr="00420EB7" w:rsidRDefault="008A1FEE" w:rsidP="00CD14BF">
            <w:pPr>
              <w:pStyle w:val="CETBodytext"/>
            </w:pPr>
            <w:r w:rsidRPr="007A496B">
              <w:t>Unavailability</w:t>
            </w:r>
          </w:p>
        </w:tc>
      </w:tr>
      <w:tr w:rsidR="008A1FEE" w:rsidRPr="00B57B36" w14:paraId="1865CBAC" w14:textId="77777777" w:rsidTr="00CD14BF">
        <w:tc>
          <w:tcPr>
            <w:tcW w:w="807" w:type="pct"/>
            <w:shd w:val="clear" w:color="auto" w:fill="FFFFFF"/>
          </w:tcPr>
          <w:p w14:paraId="1E316CC5" w14:textId="77777777" w:rsidR="008A1FEE" w:rsidRPr="008E152C" w:rsidRDefault="008A1FEE" w:rsidP="00CD14BF">
            <w:pPr>
              <w:pStyle w:val="CETBodytext"/>
            </w:pPr>
            <w:r w:rsidRPr="00420EB7">
              <w:t>SE11</w:t>
            </w:r>
          </w:p>
        </w:tc>
        <w:tc>
          <w:tcPr>
            <w:tcW w:w="2905" w:type="pct"/>
            <w:shd w:val="clear" w:color="auto" w:fill="FFFFFF"/>
          </w:tcPr>
          <w:p w14:paraId="69267BC9" w14:textId="77777777" w:rsidR="008A1FEE" w:rsidRPr="008E152C" w:rsidRDefault="008A1FEE" w:rsidP="00CD14BF">
            <w:pPr>
              <w:pStyle w:val="CETBodytext"/>
            </w:pPr>
            <w:r w:rsidRPr="00420EB7">
              <w:t>Surveillance drones</w:t>
            </w:r>
          </w:p>
        </w:tc>
        <w:tc>
          <w:tcPr>
            <w:tcW w:w="1289" w:type="pct"/>
            <w:shd w:val="clear" w:color="auto" w:fill="FFFFFF"/>
          </w:tcPr>
          <w:p w14:paraId="0467AD08" w14:textId="77777777" w:rsidR="008A1FEE" w:rsidRPr="00420EB7" w:rsidRDefault="008A1FEE" w:rsidP="00CD14BF">
            <w:pPr>
              <w:pStyle w:val="CETBodytext"/>
            </w:pPr>
            <w:r w:rsidRPr="007A496B">
              <w:t>Damage</w:t>
            </w:r>
          </w:p>
        </w:tc>
      </w:tr>
      <w:tr w:rsidR="008A1FEE" w:rsidRPr="00B57B36" w14:paraId="07AFF43A" w14:textId="77777777" w:rsidTr="00CD14BF">
        <w:tc>
          <w:tcPr>
            <w:tcW w:w="807" w:type="pct"/>
            <w:shd w:val="clear" w:color="auto" w:fill="FFFFFF"/>
          </w:tcPr>
          <w:p w14:paraId="14434F11" w14:textId="77777777" w:rsidR="008A1FEE" w:rsidRPr="008E152C" w:rsidRDefault="008A1FEE" w:rsidP="00CD14BF">
            <w:pPr>
              <w:pStyle w:val="CETBodytext"/>
            </w:pPr>
            <w:r w:rsidRPr="00420EB7">
              <w:lastRenderedPageBreak/>
              <w:t>SE12</w:t>
            </w:r>
          </w:p>
        </w:tc>
        <w:tc>
          <w:tcPr>
            <w:tcW w:w="2905" w:type="pct"/>
            <w:shd w:val="clear" w:color="auto" w:fill="FFFFFF"/>
          </w:tcPr>
          <w:p w14:paraId="753D00E3" w14:textId="77777777" w:rsidR="008A1FEE" w:rsidRPr="008E152C" w:rsidRDefault="008A1FEE" w:rsidP="00CD14BF">
            <w:pPr>
              <w:pStyle w:val="CETBodytext"/>
            </w:pPr>
            <w:r w:rsidRPr="00420EB7">
              <w:t>Visibility</w:t>
            </w:r>
          </w:p>
        </w:tc>
        <w:tc>
          <w:tcPr>
            <w:tcW w:w="1289" w:type="pct"/>
            <w:shd w:val="clear" w:color="auto" w:fill="FFFFFF"/>
          </w:tcPr>
          <w:p w14:paraId="4057E9C5" w14:textId="77777777" w:rsidR="008A1FEE" w:rsidRPr="00420EB7" w:rsidRDefault="008A1FEE" w:rsidP="00CD14BF">
            <w:pPr>
              <w:pStyle w:val="CETBodytext"/>
            </w:pPr>
            <w:r w:rsidRPr="007A496B">
              <w:t>Low visibility</w:t>
            </w:r>
          </w:p>
        </w:tc>
      </w:tr>
      <w:tr w:rsidR="008A1FEE" w:rsidRPr="00B57B36" w14:paraId="221807E7" w14:textId="77777777" w:rsidTr="00CD14BF">
        <w:tc>
          <w:tcPr>
            <w:tcW w:w="807" w:type="pct"/>
            <w:shd w:val="clear" w:color="auto" w:fill="FFFFFF"/>
          </w:tcPr>
          <w:p w14:paraId="0438F764" w14:textId="77777777" w:rsidR="008A1FEE" w:rsidRPr="008E152C" w:rsidRDefault="008A1FEE" w:rsidP="00CD14BF">
            <w:pPr>
              <w:pStyle w:val="CETBodytext"/>
            </w:pPr>
            <w:r w:rsidRPr="00420EB7">
              <w:t>SE13</w:t>
            </w:r>
          </w:p>
        </w:tc>
        <w:tc>
          <w:tcPr>
            <w:tcW w:w="2905" w:type="pct"/>
            <w:shd w:val="clear" w:color="auto" w:fill="FFFFFF"/>
          </w:tcPr>
          <w:p w14:paraId="18777226" w14:textId="77777777" w:rsidR="008A1FEE" w:rsidRPr="008E152C" w:rsidRDefault="008A1FEE" w:rsidP="00CD14BF">
            <w:pPr>
              <w:pStyle w:val="CETBodytext"/>
            </w:pPr>
            <w:r w:rsidRPr="00420EB7">
              <w:t>Internal security personnel</w:t>
            </w:r>
          </w:p>
        </w:tc>
        <w:tc>
          <w:tcPr>
            <w:tcW w:w="1289" w:type="pct"/>
            <w:shd w:val="clear" w:color="auto" w:fill="FFFFFF"/>
          </w:tcPr>
          <w:p w14:paraId="3962E5D6" w14:textId="77777777" w:rsidR="008A1FEE" w:rsidRPr="00420EB7" w:rsidRDefault="008A1FEE" w:rsidP="00CD14BF">
            <w:pPr>
              <w:pStyle w:val="CETBodytext"/>
            </w:pPr>
            <w:r w:rsidRPr="007A496B">
              <w:t>Disruption</w:t>
            </w:r>
          </w:p>
        </w:tc>
      </w:tr>
      <w:tr w:rsidR="008A1FEE" w:rsidRPr="00B57B36" w14:paraId="593B6580" w14:textId="77777777" w:rsidTr="00CD14BF">
        <w:tc>
          <w:tcPr>
            <w:tcW w:w="807" w:type="pct"/>
            <w:shd w:val="clear" w:color="auto" w:fill="FFFFFF"/>
          </w:tcPr>
          <w:p w14:paraId="0EF3F57F" w14:textId="77777777" w:rsidR="008A1FEE" w:rsidRPr="008E152C" w:rsidRDefault="008A1FEE" w:rsidP="00CD14BF">
            <w:pPr>
              <w:pStyle w:val="CETBodytext"/>
            </w:pPr>
            <w:r w:rsidRPr="00420EB7">
              <w:t>SE14</w:t>
            </w:r>
          </w:p>
        </w:tc>
        <w:tc>
          <w:tcPr>
            <w:tcW w:w="2905" w:type="pct"/>
            <w:shd w:val="clear" w:color="auto" w:fill="FFFFFF"/>
          </w:tcPr>
          <w:p w14:paraId="401DD50A" w14:textId="77777777" w:rsidR="008A1FEE" w:rsidRPr="008E152C" w:rsidRDefault="008A1FEE" w:rsidP="00CD14BF">
            <w:pPr>
              <w:pStyle w:val="CETBodytext"/>
            </w:pPr>
            <w:r w:rsidRPr="00420EB7">
              <w:t>Working personnel</w:t>
            </w:r>
          </w:p>
        </w:tc>
        <w:tc>
          <w:tcPr>
            <w:tcW w:w="1289" w:type="pct"/>
            <w:shd w:val="clear" w:color="auto" w:fill="FFFFFF"/>
          </w:tcPr>
          <w:p w14:paraId="5382BA8C" w14:textId="77777777" w:rsidR="008A1FEE" w:rsidRPr="00420EB7" w:rsidRDefault="008A1FEE" w:rsidP="00CD14BF">
            <w:pPr>
              <w:pStyle w:val="CETBodytext"/>
            </w:pPr>
            <w:r w:rsidRPr="007A496B">
              <w:t>Disruption</w:t>
            </w:r>
          </w:p>
        </w:tc>
      </w:tr>
      <w:tr w:rsidR="008A1FEE" w:rsidRPr="00B57B36" w14:paraId="6DF7B5EE" w14:textId="77777777" w:rsidTr="00CD14BF">
        <w:tc>
          <w:tcPr>
            <w:tcW w:w="807" w:type="pct"/>
            <w:shd w:val="clear" w:color="auto" w:fill="FFFFFF"/>
          </w:tcPr>
          <w:p w14:paraId="56B1B4C4" w14:textId="77777777" w:rsidR="008A1FEE" w:rsidRPr="008E152C" w:rsidRDefault="008A1FEE" w:rsidP="00CD14BF">
            <w:pPr>
              <w:pStyle w:val="CETBodytext"/>
            </w:pPr>
            <w:r w:rsidRPr="00420EB7">
              <w:t>SE15</w:t>
            </w:r>
          </w:p>
        </w:tc>
        <w:tc>
          <w:tcPr>
            <w:tcW w:w="2905" w:type="pct"/>
            <w:shd w:val="clear" w:color="auto" w:fill="FFFFFF"/>
          </w:tcPr>
          <w:p w14:paraId="7A70B82A" w14:textId="77777777" w:rsidR="008A1FEE" w:rsidRPr="008E152C" w:rsidRDefault="008A1FEE" w:rsidP="00CD14BF">
            <w:pPr>
              <w:pStyle w:val="CETBodytext"/>
            </w:pPr>
            <w:r w:rsidRPr="00420EB7">
              <w:t>External security personnel</w:t>
            </w:r>
          </w:p>
        </w:tc>
        <w:tc>
          <w:tcPr>
            <w:tcW w:w="1289" w:type="pct"/>
            <w:shd w:val="clear" w:color="auto" w:fill="FFFFFF"/>
          </w:tcPr>
          <w:p w14:paraId="515611DA" w14:textId="77777777" w:rsidR="008A1FEE" w:rsidRPr="00420EB7" w:rsidRDefault="008A1FEE" w:rsidP="00CD14BF">
            <w:pPr>
              <w:pStyle w:val="CETBodytext"/>
            </w:pPr>
            <w:r w:rsidRPr="007A496B">
              <w:t>Unavailability</w:t>
            </w:r>
          </w:p>
        </w:tc>
      </w:tr>
      <w:tr w:rsidR="008A1FEE" w:rsidRPr="00B57B36" w14:paraId="6306DA2A" w14:textId="77777777" w:rsidTr="00CD14BF">
        <w:tc>
          <w:tcPr>
            <w:tcW w:w="807" w:type="pct"/>
            <w:shd w:val="clear" w:color="auto" w:fill="FFFFFF"/>
          </w:tcPr>
          <w:p w14:paraId="530B4E37" w14:textId="77777777" w:rsidR="008A1FEE" w:rsidRPr="008E152C" w:rsidRDefault="008A1FEE" w:rsidP="00CD14BF">
            <w:pPr>
              <w:pStyle w:val="CETBodytext"/>
            </w:pPr>
            <w:r w:rsidRPr="00420EB7">
              <w:t>SE16</w:t>
            </w:r>
          </w:p>
        </w:tc>
        <w:tc>
          <w:tcPr>
            <w:tcW w:w="2905" w:type="pct"/>
            <w:shd w:val="clear" w:color="auto" w:fill="FFFFFF"/>
          </w:tcPr>
          <w:p w14:paraId="73C47D67" w14:textId="77777777" w:rsidR="008A1FEE" w:rsidRPr="008E152C" w:rsidRDefault="008A1FEE" w:rsidP="00CD14BF">
            <w:pPr>
              <w:pStyle w:val="CETBodytext"/>
            </w:pPr>
            <w:r w:rsidRPr="00420EB7">
              <w:t>Access route to the site</w:t>
            </w:r>
          </w:p>
        </w:tc>
        <w:tc>
          <w:tcPr>
            <w:tcW w:w="1289" w:type="pct"/>
            <w:shd w:val="clear" w:color="auto" w:fill="FFFFFF"/>
          </w:tcPr>
          <w:p w14:paraId="540BC80F" w14:textId="77777777" w:rsidR="008A1FEE" w:rsidRPr="00420EB7" w:rsidRDefault="008A1FEE" w:rsidP="00CD14BF">
            <w:pPr>
              <w:pStyle w:val="CETBodytext"/>
            </w:pPr>
            <w:r w:rsidRPr="007A496B">
              <w:t>Damage</w:t>
            </w:r>
          </w:p>
        </w:tc>
      </w:tr>
      <w:tr w:rsidR="008A1FEE" w:rsidRPr="00B57B36" w14:paraId="0774309F" w14:textId="77777777" w:rsidTr="00CD14BF">
        <w:tc>
          <w:tcPr>
            <w:tcW w:w="807" w:type="pct"/>
            <w:shd w:val="clear" w:color="auto" w:fill="FFFFFF"/>
          </w:tcPr>
          <w:p w14:paraId="18EC5A9F" w14:textId="77777777" w:rsidR="008A1FEE" w:rsidRPr="00B57B36" w:rsidRDefault="008A1FEE" w:rsidP="00CD14BF">
            <w:pPr>
              <w:pStyle w:val="CETBodytext"/>
              <w:ind w:right="-1"/>
              <w:rPr>
                <w:rFonts w:cs="Arial"/>
                <w:szCs w:val="18"/>
                <w:lang w:val="en-GB"/>
              </w:rPr>
            </w:pPr>
            <w:r w:rsidRPr="00420EB7">
              <w:t>SE17</w:t>
            </w:r>
          </w:p>
        </w:tc>
        <w:tc>
          <w:tcPr>
            <w:tcW w:w="2905" w:type="pct"/>
            <w:shd w:val="clear" w:color="auto" w:fill="FFFFFF"/>
          </w:tcPr>
          <w:p w14:paraId="3E5D45AD" w14:textId="77777777" w:rsidR="008A1FEE" w:rsidRPr="00B57B36" w:rsidRDefault="008A1FEE" w:rsidP="00CD14BF">
            <w:pPr>
              <w:pStyle w:val="CETBodytext"/>
              <w:ind w:right="-1"/>
              <w:rPr>
                <w:rFonts w:cs="Arial"/>
                <w:szCs w:val="18"/>
                <w:lang w:val="en-GB"/>
              </w:rPr>
            </w:pPr>
            <w:r w:rsidRPr="00420EB7">
              <w:t>External security personnel performance</w:t>
            </w:r>
          </w:p>
        </w:tc>
        <w:tc>
          <w:tcPr>
            <w:tcW w:w="1289" w:type="pct"/>
            <w:shd w:val="clear" w:color="auto" w:fill="FFFFFF"/>
          </w:tcPr>
          <w:p w14:paraId="1B46D55E" w14:textId="77777777" w:rsidR="008A1FEE" w:rsidRPr="007F5140" w:rsidRDefault="008A1FEE" w:rsidP="00CD14BF">
            <w:pPr>
              <w:pStyle w:val="CETBodytext"/>
              <w:ind w:right="-1"/>
              <w:rPr>
                <w:rFonts w:cs="Arial"/>
                <w:strike/>
                <w:szCs w:val="18"/>
                <w:highlight w:val="yellow"/>
                <w:lang w:val="en-GB"/>
              </w:rPr>
            </w:pPr>
            <w:r w:rsidRPr="007A496B">
              <w:t>Impairment</w:t>
            </w:r>
          </w:p>
        </w:tc>
      </w:tr>
    </w:tbl>
    <w:p w14:paraId="4E21729B" w14:textId="22AB903A" w:rsidR="00BB4EB9" w:rsidRDefault="008A1FEE" w:rsidP="008A1FEE">
      <w:pPr>
        <w:pStyle w:val="CETHeading1"/>
      </w:pPr>
      <w:r>
        <w:t>Expert Survey</w:t>
      </w:r>
    </w:p>
    <w:p w14:paraId="79D7C856" w14:textId="02DF0BA9" w:rsidR="00727BD1" w:rsidRDefault="00727BD1" w:rsidP="00727BD1">
      <w:pPr>
        <w:pStyle w:val="CETBodytext"/>
      </w:pPr>
      <w:r>
        <w:t xml:space="preserve">A structured expert elicitation was conducted to estimate the expected performance of the security elements listed in Table 2 during or after exposure to the natural hazards considered in Table 1. The online survey involved an international, </w:t>
      </w:r>
      <w:r w:rsidRPr="002B5BAC">
        <w:t xml:space="preserve">multidisciplinary panel including academics, industry professionals, consultants, regulators, and facility managers. </w:t>
      </w:r>
      <w:r>
        <w:t xml:space="preserve">An initial section collected background information on the respondents, including years of experience, professional role, and </w:t>
      </w:r>
      <w:r w:rsidRPr="0080718B">
        <w:t xml:space="preserve">expertise in safety and security. These data were used only to support documentation and interpretation of the results, while preserving respondent anonymity and methodological objectivity </w:t>
      </w:r>
      <w:sdt>
        <w:sdtPr>
          <w:rPr>
            <w:rFonts w:cs="Arial"/>
            <w:color w:val="000000"/>
          </w:rPr>
          <w:tag w:val="MENDELEY_CITATION_v3_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"/>
          <w:id w:val="-1757052348"/>
          <w:placeholder>
            <w:docPart w:val="527E3873FFD44E4087F17F7E6D6721BF"/>
          </w:placeholder>
        </w:sdtPr>
        <w:sdtContent>
          <w:r w:rsidR="00326A9E" w:rsidRPr="00326A9E">
            <w:rPr>
              <w:rFonts w:cs="Arial"/>
              <w:color w:val="000000"/>
            </w:rPr>
            <w:t>(</w:t>
          </w:r>
          <w:proofErr w:type="spellStart"/>
          <w:r w:rsidR="00326A9E" w:rsidRPr="00326A9E">
            <w:rPr>
              <w:rFonts w:cs="Arial"/>
              <w:color w:val="000000"/>
            </w:rPr>
            <w:t>Hokstada</w:t>
          </w:r>
          <w:proofErr w:type="spellEnd"/>
          <w:r w:rsidR="00326A9E" w:rsidRPr="00326A9E">
            <w:rPr>
              <w:rFonts w:cs="Arial"/>
              <w:color w:val="000000"/>
            </w:rPr>
            <w:t xml:space="preserve"> et al., 1998)</w:t>
          </w:r>
        </w:sdtContent>
      </w:sdt>
      <w:r w:rsidRPr="0080718B">
        <w:t>.</w:t>
      </w:r>
    </w:p>
    <w:p w14:paraId="0D54CB3E" w14:textId="46370ADC" w:rsidR="008A1FEE" w:rsidRPr="009E3364" w:rsidRDefault="00727BD1" w:rsidP="008C5BEB">
      <w:pPr>
        <w:pStyle w:val="CETBodytext"/>
      </w:pPr>
      <w:r>
        <w:t xml:space="preserve">The technical section included one question for each hazard–security element combination. Questions were formulated according to the characteristics of the specific element and the relevant hazard impact </w:t>
      </w:r>
      <w:r w:rsidRPr="0080718B">
        <w:t xml:space="preserve">mode. For </w:t>
      </w:r>
      <w:r w:rsidR="001935B9" w:rsidRPr="0080718B">
        <w:t xml:space="preserve">each </w:t>
      </w:r>
      <w:r w:rsidRPr="0080718B">
        <w:t xml:space="preserve">element, respondents were asked to judge the likelihood that the considered hazard would cause a defined adverse </w:t>
      </w:r>
      <w:r w:rsidR="001935B9" w:rsidRPr="009E3364">
        <w:t>consequence specified in Table 2</w:t>
      </w:r>
      <w:r w:rsidRPr="009E3364">
        <w:t xml:space="preserve">, typically damage, failure, or functional impairment. Responses were collected through the </w:t>
      </w:r>
      <w:r w:rsidR="00E320EF" w:rsidRPr="009E3364">
        <w:t xml:space="preserve">ordinal scale with verbal descriptors </w:t>
      </w:r>
      <w:r w:rsidRPr="009E3364">
        <w:t xml:space="preserve">shown in Figure 3, adapted from </w:t>
      </w:r>
      <w:sdt>
        <w:sdtPr>
          <w:rPr>
            <w:rFonts w:cs="Arial"/>
            <w:color w:val="000000"/>
          </w:rPr>
          <w:tag w:val="MENDELEY_CITATION_v3_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"/>
          <w:id w:val="-2115886955"/>
          <w:placeholder>
            <w:docPart w:val="DefaultPlaceholder_-1854013440"/>
          </w:placeholder>
        </w:sdtPr>
        <w:sdtContent>
          <w:proofErr w:type="spellStart"/>
          <w:r w:rsidR="00326A9E" w:rsidRPr="009E3364">
            <w:rPr>
              <w:rFonts w:cs="Arial"/>
              <w:color w:val="000000"/>
            </w:rPr>
            <w:t>Vagias</w:t>
          </w:r>
          <w:proofErr w:type="spellEnd"/>
          <w:r w:rsidR="00326A9E" w:rsidRPr="009E3364">
            <w:rPr>
              <w:rFonts w:cs="Arial"/>
              <w:color w:val="000000"/>
            </w:rPr>
            <w:t xml:space="preserve"> (2006)</w:t>
          </w:r>
        </w:sdtContent>
      </w:sdt>
      <w:r w:rsidRPr="009E3364">
        <w:t xml:space="preserve">. A qualitative scale was preferred to direct numerical estimation in order to facilitate expert judgement and improve response consistency </w:t>
      </w:r>
      <w:sdt>
        <w:sdtPr>
          <w:rPr>
            <w:rFonts w:cs="Arial"/>
            <w:color w:val="000000"/>
          </w:rPr>
          <w:tag w:val="MENDELEY_CITATION_v3_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"/>
          <w:id w:val="1285622244"/>
          <w:placeholder>
            <w:docPart w:val="DefaultPlaceholder_-1854013440"/>
          </w:placeholder>
        </w:sdtPr>
        <w:sdtContent>
          <w:r w:rsidR="00326A9E" w:rsidRPr="009E3364">
            <w:rPr>
              <w:rFonts w:cs="Arial"/>
              <w:color w:val="000000"/>
            </w:rPr>
            <w:t>(Norrington et al., 2008)</w:t>
          </w:r>
        </w:sdtContent>
      </w:sdt>
      <w:r w:rsidRPr="009E3364">
        <w:t>. To reduce uncertainty-driven bias and avoid forced judgements, respondents were allowed to leave unanswered any item for which they considered their knowledge insufficient with respect to either the security element or the hazard under evaluation</w:t>
      </w:r>
      <w:r w:rsidR="007B3BB7" w:rsidRPr="009E3364">
        <w:t xml:space="preserve"> </w:t>
      </w:r>
      <w:sdt>
        <w:sdtPr>
          <w:rPr>
            <w:rFonts w:cs="Arial"/>
            <w:color w:val="000000"/>
          </w:rPr>
          <w:tag w:val="MENDELEY_CITATION_v3_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"/>
          <w:id w:val="-1611741855"/>
          <w:placeholder>
            <w:docPart w:val="DefaultPlaceholder_-1854013440"/>
          </w:placeholder>
        </w:sdtPr>
        <w:sdtContent>
          <w:r w:rsidR="00326A9E" w:rsidRPr="009E3364">
            <w:rPr>
              <w:rFonts w:cs="Arial"/>
              <w:color w:val="000000"/>
            </w:rPr>
            <w:t>(Waters et al., 2022)</w:t>
          </w:r>
        </w:sdtContent>
      </w:sdt>
      <w:r w:rsidRPr="009E3364">
        <w:t>.</w:t>
      </w:r>
    </w:p>
    <w:p w14:paraId="1EA781AA" w14:textId="0AAC63A5" w:rsidR="009F0113" w:rsidRPr="009E3364" w:rsidRDefault="003736ED" w:rsidP="00C92071">
      <w:pPr>
        <w:pStyle w:val="CETBodytext"/>
        <w:spacing w:before="120"/>
      </w:pPr>
      <w:r w:rsidRPr="009E3364">
        <w:rPr>
          <w:noProof/>
        </w:rPr>
        <w:drawing>
          <wp:inline distT="0" distB="0" distL="0" distR="0" wp14:anchorId="683F018A" wp14:editId="71E8CA78">
            <wp:extent cx="5578475" cy="1000125"/>
            <wp:effectExtent l="0" t="0" r="3175"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8475" cy="1000125"/>
                    </a:xfrm>
                    <a:prstGeom prst="rect">
                      <a:avLst/>
                    </a:prstGeom>
                    <a:noFill/>
                  </pic:spPr>
                </pic:pic>
              </a:graphicData>
            </a:graphic>
          </wp:inline>
        </w:drawing>
      </w:r>
    </w:p>
    <w:p w14:paraId="211526EC" w14:textId="3D3FC815" w:rsidR="009F0113" w:rsidRPr="009E3364" w:rsidRDefault="007A6FA3" w:rsidP="003736ED">
      <w:pPr>
        <w:pStyle w:val="CETCaption"/>
        <w:spacing w:before="0"/>
      </w:pPr>
      <w:r w:rsidRPr="009E3364">
        <w:t xml:space="preserve">Figure 2: </w:t>
      </w:r>
      <w:r w:rsidR="00E320EF" w:rsidRPr="009E3364">
        <w:t xml:space="preserve">Ordinal scale with verbal descriptors </w:t>
      </w:r>
      <w:r w:rsidRPr="009E3364">
        <w:t xml:space="preserve">used in the survey and the related quantitative translation </w:t>
      </w:r>
      <w:r w:rsidR="00460473" w:rsidRPr="009E3364">
        <w:t xml:space="preserve">used in the assessment of </w:t>
      </w:r>
      <w:r w:rsidRPr="009E3364">
        <w:t>the responses</w:t>
      </w:r>
      <w:r w:rsidR="00460473" w:rsidRPr="009E3364">
        <w:t>.</w:t>
      </w:r>
    </w:p>
    <w:p w14:paraId="1271617C" w14:textId="7BC48C07" w:rsidR="009F0113" w:rsidRPr="009E3364" w:rsidRDefault="00157B98" w:rsidP="00157B98">
      <w:pPr>
        <w:pStyle w:val="CETHeading1"/>
      </w:pPr>
      <w:r w:rsidRPr="009E3364">
        <w:t>Results</w:t>
      </w:r>
      <w:r w:rsidR="00447EF7" w:rsidRPr="009E3364">
        <w:t xml:space="preserve"> Analysis</w:t>
      </w:r>
    </w:p>
    <w:p w14:paraId="0ECD58C7" w14:textId="5B9853AC" w:rsidR="00DA189E" w:rsidRPr="009E3364" w:rsidRDefault="00DA189E" w:rsidP="00B57B31">
      <w:pPr>
        <w:pStyle w:val="CETBodytext"/>
      </w:pPr>
      <w:r w:rsidRPr="009E3364">
        <w:t>Following data collection, expert judgements were converted into numerical values to derive probability distributions for the consequences defined in Table 2. The conversion followed scales adapted from previous studies</w:t>
      </w:r>
      <w:r w:rsidR="00CD42E4" w:rsidRPr="009E3364">
        <w:t xml:space="preserve"> </w:t>
      </w:r>
      <w:sdt>
        <w:sdtPr>
          <w:rPr>
            <w:rFonts w:cs="Arial"/>
            <w:color w:val="000000"/>
          </w:rPr>
          <w:tag w:val="MENDELEY_CITATION_v3_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"/>
          <w:id w:val="-1421715377"/>
          <w:placeholder>
            <w:docPart w:val="DefaultPlaceholder_-1854013440"/>
          </w:placeholder>
        </w:sdtPr>
        <w:sdtContent>
          <w:r w:rsidR="00326A9E" w:rsidRPr="009E3364">
            <w:rPr>
              <w:rFonts w:cs="Arial"/>
              <w:color w:val="000000"/>
            </w:rPr>
            <w:t>(</w:t>
          </w:r>
          <w:proofErr w:type="spellStart"/>
          <w:r w:rsidR="00326A9E" w:rsidRPr="009E3364">
            <w:rPr>
              <w:rFonts w:cs="Arial"/>
              <w:color w:val="000000"/>
            </w:rPr>
            <w:t>Chockalingam</w:t>
          </w:r>
          <w:proofErr w:type="spellEnd"/>
          <w:r w:rsidR="00326A9E" w:rsidRPr="009E3364">
            <w:rPr>
              <w:rFonts w:cs="Arial"/>
              <w:color w:val="000000"/>
            </w:rPr>
            <w:t xml:space="preserve"> et al., 2023)</w:t>
          </w:r>
        </w:sdtContent>
      </w:sdt>
      <w:r w:rsidRPr="009E3364">
        <w:t xml:space="preserve">, with each verbal response mapped to the corresponding value reported in Figure </w:t>
      </w:r>
      <w:r w:rsidR="00C966A9" w:rsidRPr="009E3364">
        <w:t>2</w:t>
      </w:r>
      <w:r w:rsidRPr="009E3364">
        <w:t>.</w:t>
      </w:r>
    </w:p>
    <w:p w14:paraId="1C3B22BC" w14:textId="566BC3D7" w:rsidR="009C4D5A" w:rsidRPr="009E3364" w:rsidRDefault="00DA189E" w:rsidP="00B57B31">
      <w:pPr>
        <w:pStyle w:val="CETBodytext"/>
      </w:pPr>
      <w:r w:rsidRPr="009E3364">
        <w:t>Several checks were then performed to determine whether response corrections or weighting procedures were necessary</w:t>
      </w:r>
      <w:r w:rsidR="00C966A9" w:rsidRPr="009E3364">
        <w:t xml:space="preserve">: </w:t>
      </w:r>
      <w:r w:rsidRPr="009E3364">
        <w:t>robustness</w:t>
      </w:r>
      <w:r w:rsidR="004D04E9" w:rsidRPr="009E3364">
        <w:t xml:space="preserve">, response-style heterogeneity, </w:t>
      </w:r>
      <w:r w:rsidR="00DE60DA" w:rsidRPr="009E3364">
        <w:t xml:space="preserve">distribution of responses </w:t>
      </w:r>
      <w:r w:rsidR="00797925" w:rsidRPr="009E3364">
        <w:t xml:space="preserve">across independent groups. </w:t>
      </w:r>
      <w:r w:rsidRPr="009E3364">
        <w:t>In addition, a sensitivity analysis based on respondent weighting was conducted to assess the extent to which estimated damage probabilities depend on alternative assumptions regarding expertise</w:t>
      </w:r>
      <w:sdt>
        <w:sdtPr>
          <w:rPr>
            <w:rFonts w:cs="Arial"/>
            <w:color w:val="000000"/>
          </w:rPr>
          <w:tag w:val="MENDELEY_CITATION_v3_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"/>
          <w:id w:val="-563017600"/>
          <w:placeholder>
            <w:docPart w:val="DefaultPlaceholder_-1854013440"/>
          </w:placeholder>
        </w:sdtPr>
        <w:sdtContent>
          <w:r w:rsidR="00326A9E" w:rsidRPr="009E3364">
            <w:rPr>
              <w:rFonts w:cs="Arial"/>
              <w:color w:val="000000"/>
            </w:rPr>
            <w:t>(Greco et al., 2019)</w:t>
          </w:r>
        </w:sdtContent>
      </w:sdt>
      <w:r w:rsidRPr="009E3364">
        <w:t xml:space="preserve">. These analyses were used to establish whether response-style adjustment, statistical correction, or weighting was justified in the estimation of damage probabilities. </w:t>
      </w:r>
    </w:p>
    <w:p w14:paraId="382BF8BA" w14:textId="15FFADD5" w:rsidR="00B92BD3" w:rsidRPr="009E3364" w:rsidRDefault="00DA189E" w:rsidP="00B57B31">
      <w:pPr>
        <w:pStyle w:val="CETBodytext"/>
      </w:pPr>
      <w:r w:rsidRPr="009E3364">
        <w:t>For each security element, the survey data were then summarized using the statistical indicators</w:t>
      </w:r>
      <w:r w:rsidR="009C4D5A" w:rsidRPr="009E3364">
        <w:t>:</w:t>
      </w:r>
    </w:p>
    <w:p w14:paraId="3EFD419F" w14:textId="0CCC8279" w:rsidR="00B92BD3" w:rsidRPr="009E3364" w:rsidRDefault="00B92BD3" w:rsidP="00B57B31">
      <w:pPr>
        <w:pStyle w:val="CETBodytext"/>
        <w:numPr>
          <w:ilvl w:val="0"/>
          <w:numId w:val="31"/>
        </w:numPr>
      </w:pPr>
      <w:r w:rsidRPr="009E3364">
        <w:t xml:space="preserve">Minimum (Min): </w:t>
      </w:r>
      <w:r w:rsidR="008E0D05" w:rsidRPr="009E3364">
        <w:t>lowest value observed in the dataset</w:t>
      </w:r>
      <w:r w:rsidRPr="009E3364">
        <w:t>;</w:t>
      </w:r>
    </w:p>
    <w:p w14:paraId="14CB3AA5" w14:textId="060AED74" w:rsidR="00B92BD3" w:rsidRPr="009E3364" w:rsidRDefault="00B92BD3" w:rsidP="00B57B31">
      <w:pPr>
        <w:pStyle w:val="CETBodytext"/>
        <w:numPr>
          <w:ilvl w:val="0"/>
          <w:numId w:val="31"/>
        </w:numPr>
      </w:pPr>
      <w:r w:rsidRPr="009E3364">
        <w:t xml:space="preserve">Mean: </w:t>
      </w:r>
      <w:r w:rsidR="008E0D05" w:rsidRPr="009E3364">
        <w:t>arithmetic average of the observed values</w:t>
      </w:r>
      <w:r w:rsidRPr="009E3364">
        <w:t>;</w:t>
      </w:r>
    </w:p>
    <w:p w14:paraId="5395832A" w14:textId="395AAD6F" w:rsidR="00B92BD3" w:rsidRPr="009E3364" w:rsidRDefault="00B92BD3" w:rsidP="00B57B31">
      <w:pPr>
        <w:pStyle w:val="CETBodytext"/>
        <w:numPr>
          <w:ilvl w:val="0"/>
          <w:numId w:val="31"/>
        </w:numPr>
      </w:pPr>
      <w:r w:rsidRPr="009E3364">
        <w:t xml:space="preserve">Standard Deviation: </w:t>
      </w:r>
      <w:r w:rsidR="005E732E" w:rsidRPr="009E3364">
        <w:t>indicator of data dispersion around the mean</w:t>
      </w:r>
      <w:r w:rsidRPr="009E3364">
        <w:t>;</w:t>
      </w:r>
    </w:p>
    <w:p w14:paraId="29D5B714" w14:textId="0B13686F" w:rsidR="00B92BD3" w:rsidRPr="009E3364" w:rsidRDefault="00B92BD3" w:rsidP="00B57B31">
      <w:pPr>
        <w:pStyle w:val="CETBodytext"/>
        <w:numPr>
          <w:ilvl w:val="0"/>
          <w:numId w:val="31"/>
        </w:numPr>
      </w:pPr>
      <w:r w:rsidRPr="009E3364">
        <w:t xml:space="preserve">Maximum (Max): </w:t>
      </w:r>
      <w:r w:rsidR="005E732E" w:rsidRPr="009E3364">
        <w:t>highest value observed in the dataset</w:t>
      </w:r>
      <w:r w:rsidRPr="009E3364">
        <w:t>;</w:t>
      </w:r>
    </w:p>
    <w:p w14:paraId="06DD456C" w14:textId="3DB03B76" w:rsidR="00B92BD3" w:rsidRPr="009E3364" w:rsidRDefault="00B92BD3" w:rsidP="00B57B31">
      <w:pPr>
        <w:pStyle w:val="CETBodytext"/>
        <w:numPr>
          <w:ilvl w:val="0"/>
          <w:numId w:val="31"/>
        </w:numPr>
      </w:pPr>
      <w:r w:rsidRPr="009E3364">
        <w:t xml:space="preserve">First Quartile (Q1): value below which 25% of the </w:t>
      </w:r>
      <w:r w:rsidR="0034403B" w:rsidRPr="009E3364">
        <w:t xml:space="preserve">observation </w:t>
      </w:r>
      <w:r w:rsidRPr="009E3364">
        <w:t>fall</w:t>
      </w:r>
      <w:r w:rsidR="007E6A31" w:rsidRPr="009E3364">
        <w:t xml:space="preserve"> (25th percentile)</w:t>
      </w:r>
      <w:r w:rsidRPr="009E3364">
        <w:t>;</w:t>
      </w:r>
    </w:p>
    <w:p w14:paraId="71BCFAD3" w14:textId="0C788FA8" w:rsidR="00B92BD3" w:rsidRPr="009E3364" w:rsidRDefault="00B92BD3" w:rsidP="00B57B31">
      <w:pPr>
        <w:pStyle w:val="CETBodytext"/>
        <w:numPr>
          <w:ilvl w:val="0"/>
          <w:numId w:val="31"/>
        </w:numPr>
      </w:pPr>
      <w:r w:rsidRPr="009E3364">
        <w:t xml:space="preserve">Second Quartile (Q2): </w:t>
      </w:r>
      <w:r w:rsidR="0034403B" w:rsidRPr="009E3364">
        <w:t>value separating the dataset into two equal parts (corresponds to the median)</w:t>
      </w:r>
      <w:r w:rsidRPr="009E3364">
        <w:t>;</w:t>
      </w:r>
    </w:p>
    <w:p w14:paraId="23BD0711" w14:textId="3E7DFC46" w:rsidR="00B92BD3" w:rsidRPr="009E3364" w:rsidRDefault="00B92BD3" w:rsidP="00B57B31">
      <w:pPr>
        <w:pStyle w:val="CETBodytext"/>
        <w:numPr>
          <w:ilvl w:val="0"/>
          <w:numId w:val="31"/>
        </w:numPr>
      </w:pPr>
      <w:r w:rsidRPr="009E3364">
        <w:t xml:space="preserve">Third Quartile (Q3): </w:t>
      </w:r>
      <w:r w:rsidR="007E6A31" w:rsidRPr="009E3364">
        <w:t>value below which 75% of the observations fall (75th percentile)</w:t>
      </w:r>
      <w:r w:rsidRPr="009E3364">
        <w:t>;</w:t>
      </w:r>
    </w:p>
    <w:p w14:paraId="6DA27518" w14:textId="12B35C16" w:rsidR="00DA189E" w:rsidRPr="009E3364" w:rsidRDefault="00DA189E" w:rsidP="00B57B31">
      <w:pPr>
        <w:pStyle w:val="CETBodytext"/>
      </w:pPr>
      <w:r w:rsidRPr="009E3364">
        <w:t xml:space="preserve">The median probability was selected as the performance modification factor for each security element, representing the probability of occurrence of the consequence specified in Table 2. The mean was not adopted </w:t>
      </w:r>
      <w:r w:rsidRPr="009E3364">
        <w:lastRenderedPageBreak/>
        <w:t>as the primary indicator because it is more sensitive to dispersed judgements and outliers, whereas the median provides a more robust measure of central tendency in this context</w:t>
      </w:r>
      <w:r w:rsidR="00B948C9" w:rsidRPr="009E3364">
        <w:t xml:space="preserve"> </w:t>
      </w:r>
      <w:sdt>
        <w:sdtPr>
          <w:rPr>
            <w:rFonts w:cs="Arial"/>
            <w:color w:val="000000"/>
          </w:rPr>
          <w:tag w:val="MENDELEY_CITATION_v3_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"/>
          <w:id w:val="-381642824"/>
          <w:placeholder>
            <w:docPart w:val="DefaultPlaceholder_-1854013440"/>
          </w:placeholder>
        </w:sdtPr>
        <w:sdtContent>
          <w:r w:rsidR="00326A9E" w:rsidRPr="009E3364">
            <w:rPr>
              <w:rFonts w:cs="Arial"/>
              <w:color w:val="000000"/>
            </w:rPr>
            <w:t>(McAndrew et al., 2021)</w:t>
          </w:r>
        </w:sdtContent>
      </w:sdt>
      <w:r w:rsidRPr="009E3364">
        <w:t>.</w:t>
      </w:r>
    </w:p>
    <w:p w14:paraId="69A3B811" w14:textId="48C428DE" w:rsidR="0069016D" w:rsidRPr="009E3364" w:rsidRDefault="0069016D" w:rsidP="0069016D">
      <w:pPr>
        <w:pStyle w:val="CETHeading1"/>
      </w:pPr>
      <w:r w:rsidRPr="009E3364">
        <w:t>Results</w:t>
      </w:r>
    </w:p>
    <w:p w14:paraId="6C12C689" w14:textId="21683BC0" w:rsidR="00262BEB" w:rsidRPr="009E3364" w:rsidRDefault="00262BEB" w:rsidP="00262BEB">
      <w:pPr>
        <w:pStyle w:val="CETBodytext"/>
      </w:pPr>
      <w:r w:rsidRPr="009E3364">
        <w:t xml:space="preserve">A total of 61 experts completed the survey, a sample size </w:t>
      </w:r>
      <w:r w:rsidR="006B5241" w:rsidRPr="009E3364">
        <w:t>satisfactory for statistical analysis</w:t>
      </w:r>
      <w:r w:rsidRPr="009E3364">
        <w:t xml:space="preserve"> </w:t>
      </w:r>
      <w:sdt>
        <w:sdtPr>
          <w:rPr>
            <w:rFonts w:cs="Arial"/>
            <w:color w:val="000000"/>
          </w:rPr>
          <w:tag w:val="MENDELEY_CITATION_v3_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"/>
          <w:id w:val="649944803"/>
          <w:placeholder>
            <w:docPart w:val="DefaultPlaceholder_-1854013440"/>
          </w:placeholder>
        </w:sdtPr>
        <w:sdtContent>
          <w:r w:rsidR="00326A9E" w:rsidRPr="009E3364">
            <w:rPr>
              <w:rFonts w:cs="Arial"/>
              <w:color w:val="000000"/>
            </w:rPr>
            <w:t xml:space="preserve">(Cooke and </w:t>
          </w:r>
          <w:proofErr w:type="spellStart"/>
          <w:r w:rsidR="00326A9E" w:rsidRPr="009E3364">
            <w:rPr>
              <w:rFonts w:cs="Arial"/>
              <w:color w:val="000000"/>
            </w:rPr>
            <w:t>Goossens</w:t>
          </w:r>
          <w:proofErr w:type="spellEnd"/>
          <w:r w:rsidR="00326A9E" w:rsidRPr="009E3364">
            <w:rPr>
              <w:rFonts w:cs="Arial"/>
              <w:color w:val="000000"/>
            </w:rPr>
            <w:t>, 1999)</w:t>
          </w:r>
        </w:sdtContent>
      </w:sdt>
      <w:r w:rsidRPr="009E3364">
        <w:t xml:space="preserve">. The panel included both academic and non-academic respondents, with substantial professional experience: </w:t>
      </w:r>
      <w:r w:rsidR="00A910E8" w:rsidRPr="009E3364">
        <w:t>6</w:t>
      </w:r>
      <w:r w:rsidRPr="009E3364">
        <w:t xml:space="preserve">9% reported more than </w:t>
      </w:r>
      <w:r w:rsidR="00A910E8" w:rsidRPr="009E3364">
        <w:t>1</w:t>
      </w:r>
      <w:r w:rsidRPr="009E3364">
        <w:t>0 years of practice. Nearly half of the participants declared specific expertise in security, and almost all reported experience in safety. Although most respondents were based in Europe, the panel was characterized by broad international professional exposure.</w:t>
      </w:r>
    </w:p>
    <w:p w14:paraId="0350E948" w14:textId="5F716973" w:rsidR="00262BEB" w:rsidRPr="009E3364" w:rsidRDefault="00262BEB" w:rsidP="00262BEB">
      <w:pPr>
        <w:pStyle w:val="CETBodytext"/>
      </w:pPr>
      <w:r w:rsidRPr="009E3364">
        <w:t>Potential bias associated with individual response styles was assessed</w:t>
      </w:r>
      <w:r w:rsidR="00987A2F" w:rsidRPr="009E3364">
        <w:t>, and o</w:t>
      </w:r>
      <w:r w:rsidRPr="009E3364">
        <w:t>nly negligible differences were observed.</w:t>
      </w:r>
      <w:r w:rsidR="00EB4E6A" w:rsidRPr="009E3364">
        <w:t xml:space="preserve"> </w:t>
      </w:r>
      <w:r w:rsidRPr="009E3364">
        <w:t>Group differences were also examined with respect to professional background, years of experience, and security expertise. Although isolated discrepancies emerged, these were specific to individual hazard–element combinations and did not indicate any systematic effect attributable to respondent category.</w:t>
      </w:r>
      <w:r w:rsidR="00EB4E6A" w:rsidRPr="009E3364">
        <w:t xml:space="preserve"> </w:t>
      </w:r>
      <w:r w:rsidRPr="009E3364">
        <w:t>This conclusion was further supported by the weighting and sensitivity analysis. Weighted estimates showed limited dispersion, close agreement with unweighted values, and consistently included the unweighted means within their ranges. Overall, the results proved stable across respondent profiles, and the final probabilistic analysis was therefore performed without applying weighting factors.</w:t>
      </w:r>
    </w:p>
    <w:p w14:paraId="1369D1DC" w14:textId="77D188D5" w:rsidR="00D24727" w:rsidRPr="009E3364" w:rsidRDefault="00553A7C" w:rsidP="00CE6616">
      <w:pPr>
        <w:pStyle w:val="CETBodytext"/>
      </w:pPr>
      <w:r w:rsidRPr="009E3364">
        <w:t xml:space="preserve">Experts evaluated the likelihood of the consequences identified for each security element under the considered natural hazards. </w:t>
      </w:r>
      <w:r w:rsidR="00983200" w:rsidRPr="009E3364">
        <w:t xml:space="preserve">For the sake of example, </w:t>
      </w:r>
      <w:r w:rsidRPr="009E3364">
        <w:t xml:space="preserve">Figure 3 shows the results for lightning (panel a) and </w:t>
      </w:r>
      <w:r w:rsidR="00983200" w:rsidRPr="009E3364">
        <w:t xml:space="preserve">wildfire / interface fire (panel b). </w:t>
      </w:r>
      <w:r w:rsidRPr="009E3364">
        <w:t xml:space="preserve">The results indicate that </w:t>
      </w:r>
      <w:r w:rsidR="00983200" w:rsidRPr="009E3364">
        <w:t>wildfire</w:t>
      </w:r>
      <w:r w:rsidRPr="009E3364">
        <w:t xml:space="preserve"> is associated with a comparatively higher probability of damage, with about 2</w:t>
      </w:r>
      <w:r w:rsidR="00DF2CA8" w:rsidRPr="009E3364">
        <w:t>3</w:t>
      </w:r>
      <w:r w:rsidRPr="009E3364">
        <w:t>% of responses falling in the high-probability range</w:t>
      </w:r>
      <w:r w:rsidR="00DF2CA8" w:rsidRPr="009E3364">
        <w:t xml:space="preserve"> (e.g., </w:t>
      </w:r>
      <w:r w:rsidR="00DF2CA8" w:rsidRPr="009E3364">
        <w:rPr>
          <w:i/>
          <w:iCs/>
        </w:rPr>
        <w:t>“very likely”</w:t>
      </w:r>
      <w:r w:rsidR="00DF2CA8" w:rsidRPr="009E3364">
        <w:t xml:space="preserve"> and </w:t>
      </w:r>
      <w:r w:rsidR="00DF2CA8" w:rsidRPr="009E3364">
        <w:rPr>
          <w:i/>
          <w:iCs/>
        </w:rPr>
        <w:t>“likely”</w:t>
      </w:r>
      <w:r w:rsidR="00DF2CA8" w:rsidRPr="009E3364">
        <w:t xml:space="preserve"> answers)</w:t>
      </w:r>
      <w:r w:rsidRPr="009E3364">
        <w:t xml:space="preserve">, compared with an average of </w:t>
      </w:r>
      <w:r w:rsidR="00340423" w:rsidRPr="009E3364">
        <w:t>approximately 1</w:t>
      </w:r>
      <w:r w:rsidRPr="009E3364">
        <w:t>1%</w:t>
      </w:r>
      <w:r w:rsidR="00CE6616" w:rsidRPr="009E3364">
        <w:t xml:space="preserve"> for the case of lightning impact</w:t>
      </w:r>
      <w:r w:rsidRPr="009E3364">
        <w:t>.</w:t>
      </w:r>
    </w:p>
    <w:p w14:paraId="56A1B42E" w14:textId="069D4ADD" w:rsidR="00AC7495" w:rsidRPr="009E3364" w:rsidRDefault="00374C72" w:rsidP="00CE6616">
      <w:pPr>
        <w:tabs>
          <w:tab w:val="clear" w:pos="7100"/>
        </w:tabs>
        <w:spacing w:before="120" w:line="276" w:lineRule="auto"/>
        <w:jc w:val="left"/>
        <w:rPr>
          <w:lang w:val="it-IT"/>
        </w:rPr>
      </w:pPr>
      <w:r w:rsidRPr="009E3364">
        <w:rPr>
          <w:noProof/>
          <w:lang w:val="it-IT"/>
        </w:rPr>
        <w:drawing>
          <wp:inline distT="0" distB="0" distL="0" distR="0" wp14:anchorId="786D9F60" wp14:editId="49A19CCB">
            <wp:extent cx="5580000" cy="3167235"/>
            <wp:effectExtent l="0" t="0" r="1905"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1062" r="-71" b="3217"/>
                    <a:stretch/>
                  </pic:blipFill>
                  <pic:spPr bwMode="auto">
                    <a:xfrm>
                      <a:off x="0" y="0"/>
                      <a:ext cx="5582440" cy="3168620"/>
                    </a:xfrm>
                    <a:prstGeom prst="rect">
                      <a:avLst/>
                    </a:prstGeom>
                    <a:noFill/>
                    <a:ln>
                      <a:noFill/>
                    </a:ln>
                    <a:extLst>
                      <a:ext uri="{53640926-AAD7-44D8-BBD7-CCE9431645EC}">
                        <a14:shadowObscured xmlns:a14="http://schemas.microsoft.com/office/drawing/2010/main"/>
                      </a:ext>
                    </a:extLst>
                  </pic:spPr>
                </pic:pic>
              </a:graphicData>
            </a:graphic>
          </wp:inline>
        </w:drawing>
      </w:r>
    </w:p>
    <w:p w14:paraId="732A259B" w14:textId="03A59013" w:rsidR="00B135C2" w:rsidRPr="009E3364" w:rsidRDefault="00553A7C" w:rsidP="00CE6616">
      <w:pPr>
        <w:pStyle w:val="CETCaption"/>
        <w:spacing w:before="0"/>
        <w:rPr>
          <w:lang w:val="en-US"/>
        </w:rPr>
      </w:pPr>
      <w:r w:rsidRPr="009E3364">
        <w:t>Figure 3:</w:t>
      </w:r>
      <w:r w:rsidR="00296AE9" w:rsidRPr="009E3364">
        <w:t xml:space="preserve"> </w:t>
      </w:r>
      <w:r w:rsidR="007C1B23" w:rsidRPr="009E3364">
        <w:t xml:space="preserve">Survey answer concerning the </w:t>
      </w:r>
      <w:r w:rsidR="00296AE9" w:rsidRPr="009E3364">
        <w:t xml:space="preserve">likelihood of the considered consequences for each security element under (a) lightning and (b) </w:t>
      </w:r>
      <w:r w:rsidR="00907376" w:rsidRPr="009E3364">
        <w:t xml:space="preserve">wildfire / intense fire. Table 2 reports </w:t>
      </w:r>
      <w:r w:rsidR="00F5010E" w:rsidRPr="009E3364">
        <w:t>both the security element ID definition and the related consequence addressed in the survey.</w:t>
      </w:r>
    </w:p>
    <w:p w14:paraId="11E41C50" w14:textId="335E30C8" w:rsidR="00405EEA" w:rsidRPr="009E3364" w:rsidRDefault="0057417D" w:rsidP="0057417D">
      <w:pPr>
        <w:pStyle w:val="CETBodytext"/>
      </w:pPr>
      <w:r w:rsidRPr="009E3364">
        <w:t xml:space="preserve">The </w:t>
      </w:r>
      <w:r w:rsidR="006D029C" w:rsidRPr="009E3364">
        <w:t xml:space="preserve">ordinal scale </w:t>
      </w:r>
      <w:r w:rsidRPr="009E3364">
        <w:t xml:space="preserve">was translated into quantitative probability values to estimate the likelihood of the consequences identified in Table 2 for each natural hazard–security element combination. As a preliminary representation of the results, two natural hazards are reported as examples in Figure 4: lightning and wildfire / interface fire. </w:t>
      </w:r>
      <w:r w:rsidR="009F63E6" w:rsidRPr="009E3364">
        <w:t xml:space="preserve">In accordance with qualitative results, security elements under wildfire </w:t>
      </w:r>
      <w:r w:rsidR="00A6631D" w:rsidRPr="009E3364">
        <w:t xml:space="preserve">hazard </w:t>
      </w:r>
      <w:r w:rsidR="009F63E6" w:rsidRPr="009E3364">
        <w:t xml:space="preserve">show overall a higher failure probability </w:t>
      </w:r>
      <w:r w:rsidR="00A6631D" w:rsidRPr="009E3364">
        <w:t>with respect to lightning.</w:t>
      </w:r>
      <w:r w:rsidR="00405EEA" w:rsidRPr="009E3364">
        <w:t xml:space="preserve"> </w:t>
      </w:r>
      <w:r w:rsidR="00862F51" w:rsidRPr="009E3364">
        <w:t xml:space="preserve">Additional results can be found in </w:t>
      </w:r>
      <w:sdt>
        <w:sdtPr>
          <w:rPr>
            <w:rFonts w:cs="Arial"/>
            <w:color w:val="000000"/>
          </w:rPr>
          <w:tag w:val="MENDELEY_CITATION_v3_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RE9JIjoiMTAuMTAxNi9qLnJlc3MuMjAyNi4xMTI1NzYiLCJJU1NOIjoiMDk1MTgzMjAiLCJpc3N1ZWQiOnsiZGF0ZS1wYXJ0cyI6W1syMDI2LDhdXX0sInBhZ2UiOiIxMTI1NzYiLCJ2b2x1bWUiOiIyNzIifSwiaXNUZW1wb3JhcnkiOmZhbHNlLCJkaXNwbGF5QXMiOiJjb21wb3NpdGUiLCJzdXBwcmVzcy1hdXRob3IiOmZhbHNlLCJjb21wb3NpdGUiOnRydWUsImF1dGhvci1vbmx5IjpmYWxzZX1dfQ=="/>
          <w:id w:val="928860859"/>
          <w:placeholder>
            <w:docPart w:val="DefaultPlaceholder_-1854013440"/>
          </w:placeholder>
        </w:sdtPr>
        <w:sdtContent>
          <w:r w:rsidR="00326A9E" w:rsidRPr="009E3364">
            <w:rPr>
              <w:rFonts w:cs="Arial"/>
              <w:color w:val="000000"/>
            </w:rPr>
            <w:t>Ricci et al. (2026)</w:t>
          </w:r>
        </w:sdtContent>
      </w:sdt>
      <w:r w:rsidR="00326A9E" w:rsidRPr="009E3364">
        <w:rPr>
          <w:rFonts w:cs="Arial"/>
          <w:color w:val="000000"/>
        </w:rPr>
        <w:t xml:space="preserve">. </w:t>
      </w:r>
      <w:r w:rsidR="00405EEA" w:rsidRPr="009E3364">
        <w:t xml:space="preserve">The full set of elicited probabilities was then processed to derive the statistical indicators adopted in the analysis. </w:t>
      </w:r>
      <w:r w:rsidR="00003590" w:rsidRPr="009E3364">
        <w:t>Specifically, f</w:t>
      </w:r>
      <w:r w:rsidR="00405EEA" w:rsidRPr="009E3364">
        <w:t xml:space="preserve">or each security element and each natural hazard, the median of the probability distribution was selected as the performance modification factor, and the values are reported in Table 3. </w:t>
      </w:r>
    </w:p>
    <w:p w14:paraId="4DCF5FE5" w14:textId="67447944" w:rsidR="00655288" w:rsidRPr="009E3364" w:rsidRDefault="001D1CE5" w:rsidP="00A6631D">
      <w:pPr>
        <w:tabs>
          <w:tab w:val="clear" w:pos="7100"/>
        </w:tabs>
        <w:spacing w:before="120" w:line="276" w:lineRule="auto"/>
        <w:jc w:val="left"/>
        <w:rPr>
          <w:lang w:val="it-IT"/>
        </w:rPr>
      </w:pPr>
      <w:r w:rsidRPr="009E3364">
        <w:rPr>
          <w:noProof/>
          <w:lang w:val="it-IT"/>
        </w:rPr>
        <w:lastRenderedPageBreak/>
        <w:drawing>
          <wp:inline distT="0" distB="0" distL="0" distR="0" wp14:anchorId="23437E09" wp14:editId="50716C4E">
            <wp:extent cx="5040000" cy="2990730"/>
            <wp:effectExtent l="0" t="0" r="8255" b="63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2990730"/>
                    </a:xfrm>
                    <a:prstGeom prst="rect">
                      <a:avLst/>
                    </a:prstGeom>
                    <a:noFill/>
                  </pic:spPr>
                </pic:pic>
              </a:graphicData>
            </a:graphic>
          </wp:inline>
        </w:drawing>
      </w:r>
    </w:p>
    <w:p w14:paraId="1024FC73" w14:textId="06EAD868" w:rsidR="00655288" w:rsidRPr="009E3364" w:rsidRDefault="00A6631D" w:rsidP="00A6631D">
      <w:pPr>
        <w:pStyle w:val="CETCaption"/>
        <w:spacing w:before="0"/>
        <w:rPr>
          <w:lang w:val="en-US"/>
        </w:rPr>
      </w:pPr>
      <w:r w:rsidRPr="009E3364">
        <w:t>Figure 4:</w:t>
      </w:r>
      <w:r w:rsidR="007C1B23" w:rsidRPr="009E3364">
        <w:t xml:space="preserve"> Estimated likelihood of the consequences for the security elements under (a) </w:t>
      </w:r>
      <w:r w:rsidR="00C3311B" w:rsidRPr="009E3364">
        <w:t>lightning</w:t>
      </w:r>
      <w:r w:rsidR="007C1B23" w:rsidRPr="009E3364">
        <w:t xml:space="preserve"> </w:t>
      </w:r>
      <w:r w:rsidR="00C3311B" w:rsidRPr="009E3364">
        <w:t>impact</w:t>
      </w:r>
      <w:r w:rsidR="007C1B23" w:rsidRPr="009E3364">
        <w:t xml:space="preserve"> and (b) wildfire / interface fire impact (see Table 2 for the security-element labels and</w:t>
      </w:r>
      <w:r w:rsidR="00C3311B" w:rsidRPr="009E3364">
        <w:t xml:space="preserve"> consequences addressed</w:t>
      </w:r>
      <w:r w:rsidR="007C1B23" w:rsidRPr="009E3364">
        <w:t>).</w:t>
      </w:r>
    </w:p>
    <w:p w14:paraId="007B2104" w14:textId="025D58A5" w:rsidR="005C4A6A" w:rsidRPr="009E3364" w:rsidRDefault="005C4A6A" w:rsidP="005C4A6A">
      <w:pPr>
        <w:pStyle w:val="CETBodytext"/>
      </w:pPr>
      <w:r w:rsidRPr="009E3364">
        <w:t>The resulting performance modification factors show that the most severe effects are associated with the unavailability of working personnel (SE14) and damage to site access routes (SE16). In both cases, the highest values are observed for floods, with probabilities up to 0.95. High values are also obtained for the other natural hazards considered. Some security elements, however, appear to be only marginally influenced by hazard type. This is the case for external sensors (SE7), for which the estimated probability of damage remains relatively stable across all scenarios, at approximately 0.5. This result suggests a broadly similar vulnerability regardless of the specific hazard considered.</w:t>
      </w:r>
      <w:r w:rsidR="008B6FD1" w:rsidRPr="009E3364">
        <w:t xml:space="preserve"> </w:t>
      </w:r>
      <w:r w:rsidRPr="009E3364">
        <w:t xml:space="preserve">By contrast, other elements exhibit a more hazard-dependent </w:t>
      </w:r>
      <w:r w:rsidR="00C3311B" w:rsidRPr="009E3364">
        <w:t>behavior</w:t>
      </w:r>
      <w:r w:rsidRPr="009E3364">
        <w:t>. In particular, surveillance drones (SE11) and visibility (SE12) are more strongly affected by hazards associated with intense wind, heavy rainfall, and ice/snow. Under these conditions, the estimated impairment probability reaches 0.75, whereas it decreases to 0.25 for the other hazard categories.</w:t>
      </w:r>
    </w:p>
    <w:p w14:paraId="435A2D0E" w14:textId="108468F2" w:rsidR="00A06B7F" w:rsidRPr="009E3364" w:rsidRDefault="005C4A6A" w:rsidP="008B6FD1">
      <w:pPr>
        <w:pStyle w:val="CETBodytext"/>
      </w:pPr>
      <w:r w:rsidRPr="009E3364">
        <w:t>Overall, the elicited results indicate the presence of two broad hazard groups. Earthquakes, floods, and wildfires are associated with the highest expected probabilities of damage, failure, or impairment of security elements. Conversely, intense wind, lightning, heavy rainfall/hail, and ice/snow are generally associated with lower expected impacts.</w:t>
      </w:r>
    </w:p>
    <w:p w14:paraId="30CCC68B" w14:textId="672AFC59" w:rsidR="00A06B7F" w:rsidRPr="009E3364" w:rsidRDefault="002E4731" w:rsidP="003E7C92">
      <w:pPr>
        <w:pStyle w:val="CETTabletitle"/>
        <w:jc w:val="both"/>
        <w:rPr>
          <w:lang w:val="en-US"/>
        </w:rPr>
      </w:pPr>
      <w:r w:rsidRPr="009E3364">
        <w:t xml:space="preserve">Table </w:t>
      </w:r>
      <w:r w:rsidR="00A6631D" w:rsidRPr="009E3364">
        <w:t>3</w:t>
      </w:r>
      <w:r w:rsidRPr="009E3364">
        <w:t xml:space="preserve">: </w:t>
      </w:r>
      <w:r w:rsidR="00A06B7F" w:rsidRPr="009E3364">
        <w:rPr>
          <w:lang w:val="en-US"/>
        </w:rPr>
        <w:t xml:space="preserve">Performance modification factor obtained for all the security elements and natural hazards considered in the </w:t>
      </w:r>
      <w:r w:rsidR="00A06B7F" w:rsidRPr="009E3364">
        <w:t>present</w:t>
      </w:r>
      <w:r w:rsidR="00A06B7F" w:rsidRPr="009E3364">
        <w:rPr>
          <w:lang w:val="en-US"/>
        </w:rPr>
        <w:t xml:space="preserve"> study. Consequences assessed </w:t>
      </w:r>
      <w:r w:rsidR="003E7C92" w:rsidRPr="009E3364">
        <w:rPr>
          <w:lang w:val="en-US"/>
        </w:rPr>
        <w:t xml:space="preserve">for security elements </w:t>
      </w:r>
      <w:r w:rsidR="00A06B7F" w:rsidRPr="009E3364">
        <w:rPr>
          <w:lang w:val="en-US"/>
        </w:rPr>
        <w:t xml:space="preserve">are reported in Table </w:t>
      </w:r>
      <w:r w:rsidR="00224FC9" w:rsidRPr="009E3364">
        <w:rPr>
          <w:lang w:val="en-US"/>
        </w:rPr>
        <w:t>2</w:t>
      </w:r>
      <w:r w:rsidR="00A06B7F" w:rsidRPr="009E3364">
        <w:rPr>
          <w:lang w:val="en-US"/>
        </w:rPr>
        <w:t xml:space="preserve">. </w:t>
      </w:r>
      <w:r w:rsidR="00224FC9" w:rsidRPr="009E3364">
        <w:rPr>
          <w:lang w:val="en-US"/>
        </w:rPr>
        <w:t>Acronyms for natural hazards are reported in Table 1</w:t>
      </w:r>
      <w:r w:rsidRPr="009E3364">
        <w:rPr>
          <w:lang w:val="en-US"/>
        </w:rPr>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649"/>
        <w:gridCol w:w="3598"/>
        <w:gridCol w:w="649"/>
        <w:gridCol w:w="649"/>
        <w:gridCol w:w="649"/>
        <w:gridCol w:w="649"/>
        <w:gridCol w:w="648"/>
        <w:gridCol w:w="648"/>
        <w:gridCol w:w="648"/>
      </w:tblGrid>
      <w:tr w:rsidR="003C4132" w:rsidRPr="009E3364" w14:paraId="567BD8EE" w14:textId="2D18D433" w:rsidTr="003C4132">
        <w:tc>
          <w:tcPr>
            <w:tcW w:w="369" w:type="pct"/>
            <w:tcBorders>
              <w:top w:val="single" w:sz="12" w:space="0" w:color="008000"/>
              <w:bottom w:val="single" w:sz="6" w:space="0" w:color="008000"/>
            </w:tcBorders>
            <w:shd w:val="clear" w:color="auto" w:fill="FFFFFF"/>
          </w:tcPr>
          <w:p w14:paraId="447EFAA6" w14:textId="77777777" w:rsidR="00D75BDD" w:rsidRPr="009E3364" w:rsidRDefault="00D75BDD" w:rsidP="00D75BDD">
            <w:pPr>
              <w:pStyle w:val="CETBodytext"/>
              <w:rPr>
                <w:lang w:val="en-GB"/>
              </w:rPr>
            </w:pPr>
            <w:r w:rsidRPr="009E3364">
              <w:t>ID</w:t>
            </w:r>
          </w:p>
        </w:tc>
        <w:tc>
          <w:tcPr>
            <w:tcW w:w="2046" w:type="pct"/>
            <w:tcBorders>
              <w:top w:val="single" w:sz="12" w:space="0" w:color="008000"/>
              <w:bottom w:val="single" w:sz="6" w:space="0" w:color="008000"/>
            </w:tcBorders>
            <w:shd w:val="clear" w:color="auto" w:fill="FFFFFF"/>
          </w:tcPr>
          <w:p w14:paraId="566295BC" w14:textId="77777777" w:rsidR="00D75BDD" w:rsidRPr="009E3364" w:rsidRDefault="00D75BDD" w:rsidP="00D75BDD">
            <w:pPr>
              <w:pStyle w:val="CETBodytext"/>
              <w:rPr>
                <w:lang w:val="en-GB"/>
              </w:rPr>
            </w:pPr>
            <w:r w:rsidRPr="009E3364">
              <w:t>Security element</w:t>
            </w:r>
          </w:p>
        </w:tc>
        <w:tc>
          <w:tcPr>
            <w:tcW w:w="369" w:type="pct"/>
            <w:tcBorders>
              <w:top w:val="single" w:sz="12" w:space="0" w:color="008000"/>
              <w:bottom w:val="single" w:sz="6" w:space="0" w:color="008000"/>
            </w:tcBorders>
            <w:shd w:val="clear" w:color="auto" w:fill="FFFFFF"/>
          </w:tcPr>
          <w:p w14:paraId="1F172890" w14:textId="61ABDFDE" w:rsidR="00D75BDD" w:rsidRPr="009E3364" w:rsidRDefault="00D75BDD" w:rsidP="00D75BDD">
            <w:pPr>
              <w:pStyle w:val="CETBodytext"/>
              <w:rPr>
                <w:lang w:val="en-GB"/>
              </w:rPr>
            </w:pPr>
            <w:r w:rsidRPr="009E3364">
              <w:t>NH1</w:t>
            </w:r>
          </w:p>
        </w:tc>
        <w:tc>
          <w:tcPr>
            <w:tcW w:w="369" w:type="pct"/>
            <w:tcBorders>
              <w:top w:val="single" w:sz="12" w:space="0" w:color="008000"/>
              <w:bottom w:val="single" w:sz="6" w:space="0" w:color="008000"/>
            </w:tcBorders>
            <w:shd w:val="clear" w:color="auto" w:fill="FFFFFF"/>
          </w:tcPr>
          <w:p w14:paraId="04A112E4" w14:textId="19B835CC" w:rsidR="00D75BDD" w:rsidRPr="009E3364" w:rsidRDefault="00D75BDD" w:rsidP="00D75BDD">
            <w:pPr>
              <w:pStyle w:val="CETBodytext"/>
            </w:pPr>
            <w:r w:rsidRPr="009E3364">
              <w:t>NH2</w:t>
            </w:r>
          </w:p>
        </w:tc>
        <w:tc>
          <w:tcPr>
            <w:tcW w:w="369" w:type="pct"/>
            <w:tcBorders>
              <w:top w:val="single" w:sz="12" w:space="0" w:color="008000"/>
              <w:bottom w:val="single" w:sz="6" w:space="0" w:color="008000"/>
            </w:tcBorders>
            <w:shd w:val="clear" w:color="auto" w:fill="FFFFFF"/>
          </w:tcPr>
          <w:p w14:paraId="30EE3FD7" w14:textId="4AF48709" w:rsidR="00D75BDD" w:rsidRPr="009E3364" w:rsidRDefault="00D75BDD" w:rsidP="00D75BDD">
            <w:pPr>
              <w:pStyle w:val="CETBodytext"/>
            </w:pPr>
            <w:r w:rsidRPr="009E3364">
              <w:t>NH3</w:t>
            </w:r>
          </w:p>
        </w:tc>
        <w:tc>
          <w:tcPr>
            <w:tcW w:w="369" w:type="pct"/>
            <w:tcBorders>
              <w:top w:val="single" w:sz="12" w:space="0" w:color="008000"/>
              <w:bottom w:val="single" w:sz="6" w:space="0" w:color="008000"/>
            </w:tcBorders>
            <w:shd w:val="clear" w:color="auto" w:fill="FFFFFF"/>
          </w:tcPr>
          <w:p w14:paraId="3F13FB77" w14:textId="21ED3964" w:rsidR="00D75BDD" w:rsidRPr="009E3364" w:rsidRDefault="00D75BDD" w:rsidP="00D75BDD">
            <w:pPr>
              <w:pStyle w:val="CETBodytext"/>
            </w:pPr>
            <w:r w:rsidRPr="009E3364">
              <w:t>NH4</w:t>
            </w:r>
          </w:p>
        </w:tc>
        <w:tc>
          <w:tcPr>
            <w:tcW w:w="369" w:type="pct"/>
            <w:tcBorders>
              <w:top w:val="single" w:sz="12" w:space="0" w:color="008000"/>
              <w:bottom w:val="single" w:sz="6" w:space="0" w:color="008000"/>
            </w:tcBorders>
            <w:shd w:val="clear" w:color="auto" w:fill="FFFFFF"/>
          </w:tcPr>
          <w:p w14:paraId="2C916E37" w14:textId="24BF71FE" w:rsidR="00D75BDD" w:rsidRPr="009E3364" w:rsidRDefault="00D75BDD" w:rsidP="00D75BDD">
            <w:pPr>
              <w:pStyle w:val="CETBodytext"/>
            </w:pPr>
            <w:r w:rsidRPr="009E3364">
              <w:t>NH5</w:t>
            </w:r>
          </w:p>
        </w:tc>
        <w:tc>
          <w:tcPr>
            <w:tcW w:w="369" w:type="pct"/>
            <w:tcBorders>
              <w:top w:val="single" w:sz="12" w:space="0" w:color="008000"/>
              <w:bottom w:val="single" w:sz="6" w:space="0" w:color="008000"/>
            </w:tcBorders>
            <w:shd w:val="clear" w:color="auto" w:fill="FFFFFF"/>
          </w:tcPr>
          <w:p w14:paraId="623DF01C" w14:textId="5F84EDBF" w:rsidR="00D75BDD" w:rsidRPr="009E3364" w:rsidRDefault="00D75BDD" w:rsidP="00D75BDD">
            <w:pPr>
              <w:pStyle w:val="CETBodytext"/>
            </w:pPr>
            <w:r w:rsidRPr="009E3364">
              <w:t>NH6</w:t>
            </w:r>
          </w:p>
        </w:tc>
        <w:tc>
          <w:tcPr>
            <w:tcW w:w="369" w:type="pct"/>
            <w:tcBorders>
              <w:top w:val="single" w:sz="12" w:space="0" w:color="008000"/>
              <w:bottom w:val="single" w:sz="6" w:space="0" w:color="008000"/>
            </w:tcBorders>
            <w:shd w:val="clear" w:color="auto" w:fill="FFFFFF"/>
          </w:tcPr>
          <w:p w14:paraId="7D31463C" w14:textId="09A19560" w:rsidR="00D75BDD" w:rsidRPr="009E3364" w:rsidRDefault="00D75BDD" w:rsidP="00D75BDD">
            <w:pPr>
              <w:pStyle w:val="CETBodytext"/>
            </w:pPr>
            <w:r w:rsidRPr="009E3364">
              <w:t>NH7</w:t>
            </w:r>
          </w:p>
        </w:tc>
      </w:tr>
      <w:tr w:rsidR="003C4132" w:rsidRPr="009E3364" w14:paraId="02E9DBA2" w14:textId="35A82FEA" w:rsidTr="003C4132">
        <w:tc>
          <w:tcPr>
            <w:tcW w:w="369" w:type="pct"/>
            <w:shd w:val="clear" w:color="auto" w:fill="FFFFFF"/>
          </w:tcPr>
          <w:p w14:paraId="683DFA46" w14:textId="77777777" w:rsidR="00747EE7" w:rsidRPr="009E3364" w:rsidRDefault="00747EE7" w:rsidP="00747EE7">
            <w:pPr>
              <w:pStyle w:val="CETBodytext"/>
              <w:rPr>
                <w:lang w:val="en-GB"/>
              </w:rPr>
            </w:pPr>
            <w:r w:rsidRPr="009E3364">
              <w:t>SE1</w:t>
            </w:r>
          </w:p>
        </w:tc>
        <w:tc>
          <w:tcPr>
            <w:tcW w:w="2046" w:type="pct"/>
            <w:shd w:val="clear" w:color="auto" w:fill="FFFFFF"/>
          </w:tcPr>
          <w:p w14:paraId="2CB74B23" w14:textId="77777777" w:rsidR="00747EE7" w:rsidRPr="009E3364" w:rsidRDefault="00747EE7" w:rsidP="00747EE7">
            <w:pPr>
              <w:pStyle w:val="CETBodytext"/>
              <w:rPr>
                <w:lang w:val="en-GB"/>
              </w:rPr>
            </w:pPr>
            <w:r w:rsidRPr="009E3364">
              <w:t>Fence</w:t>
            </w:r>
          </w:p>
        </w:tc>
        <w:tc>
          <w:tcPr>
            <w:tcW w:w="369" w:type="pct"/>
            <w:shd w:val="clear" w:color="auto" w:fill="FFFFFF"/>
          </w:tcPr>
          <w:p w14:paraId="0ECA5349" w14:textId="40AFED71" w:rsidR="00747EE7" w:rsidRPr="009E3364" w:rsidRDefault="00747EE7" w:rsidP="00747EE7">
            <w:pPr>
              <w:pStyle w:val="CETBodytext"/>
              <w:rPr>
                <w:lang w:val="en-GB"/>
              </w:rPr>
            </w:pPr>
            <w:r w:rsidRPr="009E3364">
              <w:t>0.75</w:t>
            </w:r>
          </w:p>
        </w:tc>
        <w:tc>
          <w:tcPr>
            <w:tcW w:w="369" w:type="pct"/>
            <w:shd w:val="clear" w:color="auto" w:fill="FFFFFF"/>
          </w:tcPr>
          <w:p w14:paraId="3E515DB7" w14:textId="3834CBDD" w:rsidR="00747EE7" w:rsidRPr="009E3364" w:rsidRDefault="00747EE7" w:rsidP="00747EE7">
            <w:pPr>
              <w:pStyle w:val="CETBodytext"/>
            </w:pPr>
            <w:r w:rsidRPr="009E3364">
              <w:t>0.75</w:t>
            </w:r>
          </w:p>
        </w:tc>
        <w:tc>
          <w:tcPr>
            <w:tcW w:w="369" w:type="pct"/>
            <w:shd w:val="clear" w:color="auto" w:fill="FFFFFF"/>
          </w:tcPr>
          <w:p w14:paraId="2F15D75F" w14:textId="5C7D9F85" w:rsidR="00747EE7" w:rsidRPr="009E3364" w:rsidRDefault="00747EE7" w:rsidP="00747EE7">
            <w:pPr>
              <w:pStyle w:val="CETBodytext"/>
            </w:pPr>
            <w:r w:rsidRPr="009E3364">
              <w:t>0.50</w:t>
            </w:r>
          </w:p>
        </w:tc>
        <w:tc>
          <w:tcPr>
            <w:tcW w:w="369" w:type="pct"/>
            <w:shd w:val="clear" w:color="auto" w:fill="FFFFFF"/>
          </w:tcPr>
          <w:p w14:paraId="73F42DE7" w14:textId="5A5DA109" w:rsidR="00747EE7" w:rsidRPr="009E3364" w:rsidRDefault="00747EE7" w:rsidP="00747EE7">
            <w:pPr>
              <w:pStyle w:val="CETBodytext"/>
            </w:pPr>
            <w:r w:rsidRPr="009E3364">
              <w:t>0.25</w:t>
            </w:r>
          </w:p>
        </w:tc>
        <w:tc>
          <w:tcPr>
            <w:tcW w:w="369" w:type="pct"/>
            <w:shd w:val="clear" w:color="auto" w:fill="FFFFFF"/>
          </w:tcPr>
          <w:p w14:paraId="1042F8D4" w14:textId="54F7A970" w:rsidR="00747EE7" w:rsidRPr="009E3364" w:rsidRDefault="00747EE7" w:rsidP="00747EE7">
            <w:pPr>
              <w:pStyle w:val="CETBodytext"/>
            </w:pPr>
            <w:r w:rsidRPr="009E3364">
              <w:t>0.25</w:t>
            </w:r>
          </w:p>
        </w:tc>
        <w:tc>
          <w:tcPr>
            <w:tcW w:w="369" w:type="pct"/>
            <w:shd w:val="clear" w:color="auto" w:fill="FFFFFF"/>
          </w:tcPr>
          <w:p w14:paraId="7450A82A" w14:textId="3C2C1F5B" w:rsidR="00747EE7" w:rsidRPr="009E3364" w:rsidRDefault="00747EE7" w:rsidP="00747EE7">
            <w:pPr>
              <w:pStyle w:val="CETBodytext"/>
            </w:pPr>
            <w:r w:rsidRPr="009E3364">
              <w:t>0.25</w:t>
            </w:r>
          </w:p>
        </w:tc>
        <w:tc>
          <w:tcPr>
            <w:tcW w:w="369" w:type="pct"/>
            <w:shd w:val="clear" w:color="auto" w:fill="FFFFFF"/>
          </w:tcPr>
          <w:p w14:paraId="55505A94" w14:textId="03BBAE98" w:rsidR="00747EE7" w:rsidRPr="009E3364" w:rsidRDefault="00747EE7" w:rsidP="00747EE7">
            <w:pPr>
              <w:pStyle w:val="CETBodytext"/>
            </w:pPr>
            <w:r w:rsidRPr="009E3364">
              <w:t>0.50</w:t>
            </w:r>
          </w:p>
        </w:tc>
      </w:tr>
      <w:tr w:rsidR="003C4132" w:rsidRPr="009E3364" w14:paraId="1C2CDE19" w14:textId="4E85787E" w:rsidTr="003C4132">
        <w:tc>
          <w:tcPr>
            <w:tcW w:w="369" w:type="pct"/>
            <w:shd w:val="clear" w:color="auto" w:fill="FFFFFF"/>
          </w:tcPr>
          <w:p w14:paraId="609B8D99" w14:textId="77777777" w:rsidR="00747EE7" w:rsidRPr="009E3364" w:rsidRDefault="00747EE7" w:rsidP="00747EE7">
            <w:pPr>
              <w:pStyle w:val="CETBodytext"/>
              <w:rPr>
                <w:lang w:val="en-GB"/>
              </w:rPr>
            </w:pPr>
            <w:r w:rsidRPr="009E3364">
              <w:t>SE2</w:t>
            </w:r>
          </w:p>
        </w:tc>
        <w:tc>
          <w:tcPr>
            <w:tcW w:w="2046" w:type="pct"/>
            <w:shd w:val="clear" w:color="auto" w:fill="FFFFFF"/>
          </w:tcPr>
          <w:p w14:paraId="4A9405D1" w14:textId="77777777" w:rsidR="00747EE7" w:rsidRPr="009E3364" w:rsidRDefault="00747EE7" w:rsidP="00747EE7">
            <w:pPr>
              <w:pStyle w:val="CETBodytext"/>
              <w:rPr>
                <w:lang w:val="en-GB"/>
              </w:rPr>
            </w:pPr>
            <w:r w:rsidRPr="009E3364">
              <w:t>Gates and doors</w:t>
            </w:r>
          </w:p>
        </w:tc>
        <w:tc>
          <w:tcPr>
            <w:tcW w:w="369" w:type="pct"/>
            <w:shd w:val="clear" w:color="auto" w:fill="FFFFFF"/>
          </w:tcPr>
          <w:p w14:paraId="2BB00E99" w14:textId="09FB79B8" w:rsidR="00747EE7" w:rsidRPr="009E3364" w:rsidRDefault="00747EE7" w:rsidP="00747EE7">
            <w:pPr>
              <w:pStyle w:val="CETBodytext"/>
              <w:rPr>
                <w:lang w:val="en-GB"/>
              </w:rPr>
            </w:pPr>
            <w:r w:rsidRPr="009E3364">
              <w:t>0.75</w:t>
            </w:r>
          </w:p>
        </w:tc>
        <w:tc>
          <w:tcPr>
            <w:tcW w:w="369" w:type="pct"/>
            <w:shd w:val="clear" w:color="auto" w:fill="FFFFFF"/>
          </w:tcPr>
          <w:p w14:paraId="1A1203F2" w14:textId="0F794C42" w:rsidR="00747EE7" w:rsidRPr="009E3364" w:rsidRDefault="00747EE7" w:rsidP="00747EE7">
            <w:pPr>
              <w:pStyle w:val="CETBodytext"/>
            </w:pPr>
            <w:r w:rsidRPr="009E3364">
              <w:t>0.75</w:t>
            </w:r>
          </w:p>
        </w:tc>
        <w:tc>
          <w:tcPr>
            <w:tcW w:w="369" w:type="pct"/>
            <w:shd w:val="clear" w:color="auto" w:fill="FFFFFF"/>
          </w:tcPr>
          <w:p w14:paraId="04B2944A" w14:textId="3B6F2D3C" w:rsidR="00747EE7" w:rsidRPr="009E3364" w:rsidRDefault="00747EE7" w:rsidP="00747EE7">
            <w:pPr>
              <w:pStyle w:val="CETBodytext"/>
            </w:pPr>
            <w:r w:rsidRPr="009E3364">
              <w:t>0.50</w:t>
            </w:r>
          </w:p>
        </w:tc>
        <w:tc>
          <w:tcPr>
            <w:tcW w:w="369" w:type="pct"/>
            <w:shd w:val="clear" w:color="auto" w:fill="FFFFFF"/>
          </w:tcPr>
          <w:p w14:paraId="51EF97F3" w14:textId="3327258C" w:rsidR="00747EE7" w:rsidRPr="009E3364" w:rsidRDefault="00747EE7" w:rsidP="00747EE7">
            <w:pPr>
              <w:pStyle w:val="CETBodytext"/>
            </w:pPr>
            <w:r w:rsidRPr="009E3364">
              <w:t>0.25</w:t>
            </w:r>
          </w:p>
        </w:tc>
        <w:tc>
          <w:tcPr>
            <w:tcW w:w="369" w:type="pct"/>
            <w:shd w:val="clear" w:color="auto" w:fill="FFFFFF"/>
          </w:tcPr>
          <w:p w14:paraId="716C6418" w14:textId="7FD84206" w:rsidR="00747EE7" w:rsidRPr="009E3364" w:rsidRDefault="00747EE7" w:rsidP="00747EE7">
            <w:pPr>
              <w:pStyle w:val="CETBodytext"/>
            </w:pPr>
            <w:r w:rsidRPr="009E3364">
              <w:t>0.50</w:t>
            </w:r>
          </w:p>
        </w:tc>
        <w:tc>
          <w:tcPr>
            <w:tcW w:w="369" w:type="pct"/>
            <w:shd w:val="clear" w:color="auto" w:fill="FFFFFF"/>
          </w:tcPr>
          <w:p w14:paraId="6648E341" w14:textId="2669DC0A" w:rsidR="00747EE7" w:rsidRPr="009E3364" w:rsidRDefault="00747EE7" w:rsidP="00747EE7">
            <w:pPr>
              <w:pStyle w:val="CETBodytext"/>
            </w:pPr>
            <w:r w:rsidRPr="009E3364">
              <w:t>0.25</w:t>
            </w:r>
          </w:p>
        </w:tc>
        <w:tc>
          <w:tcPr>
            <w:tcW w:w="369" w:type="pct"/>
            <w:shd w:val="clear" w:color="auto" w:fill="FFFFFF"/>
          </w:tcPr>
          <w:p w14:paraId="15431C3E" w14:textId="462B28D9" w:rsidR="00747EE7" w:rsidRPr="009E3364" w:rsidRDefault="00747EE7" w:rsidP="00747EE7">
            <w:pPr>
              <w:pStyle w:val="CETBodytext"/>
            </w:pPr>
            <w:r w:rsidRPr="009E3364">
              <w:t>0.75</w:t>
            </w:r>
          </w:p>
        </w:tc>
      </w:tr>
      <w:tr w:rsidR="003C4132" w:rsidRPr="009E3364" w14:paraId="6D332893" w14:textId="22FE934C" w:rsidTr="003C4132">
        <w:tc>
          <w:tcPr>
            <w:tcW w:w="369" w:type="pct"/>
            <w:shd w:val="clear" w:color="auto" w:fill="FFFFFF"/>
          </w:tcPr>
          <w:p w14:paraId="005128BF" w14:textId="77777777" w:rsidR="00747EE7" w:rsidRPr="009E3364" w:rsidRDefault="00747EE7" w:rsidP="00747EE7">
            <w:pPr>
              <w:pStyle w:val="CETBodytext"/>
              <w:rPr>
                <w:lang w:val="en-GB"/>
              </w:rPr>
            </w:pPr>
            <w:r w:rsidRPr="009E3364">
              <w:t>SE3</w:t>
            </w:r>
          </w:p>
        </w:tc>
        <w:tc>
          <w:tcPr>
            <w:tcW w:w="2046" w:type="pct"/>
            <w:shd w:val="clear" w:color="auto" w:fill="FFFFFF"/>
          </w:tcPr>
          <w:p w14:paraId="4494DBB0" w14:textId="77777777" w:rsidR="00747EE7" w:rsidRPr="009E3364" w:rsidRDefault="00747EE7" w:rsidP="00747EE7">
            <w:pPr>
              <w:pStyle w:val="CETBodytext"/>
              <w:rPr>
                <w:lang w:val="en-GB"/>
              </w:rPr>
            </w:pPr>
            <w:r w:rsidRPr="009E3364">
              <w:t>Signal coverage</w:t>
            </w:r>
          </w:p>
        </w:tc>
        <w:tc>
          <w:tcPr>
            <w:tcW w:w="369" w:type="pct"/>
            <w:shd w:val="clear" w:color="auto" w:fill="FFFFFF"/>
          </w:tcPr>
          <w:p w14:paraId="1DBCC08A" w14:textId="054D6BA6" w:rsidR="00747EE7" w:rsidRPr="009E3364" w:rsidRDefault="00747EE7" w:rsidP="00747EE7">
            <w:pPr>
              <w:pStyle w:val="CETBodytext"/>
              <w:rPr>
                <w:lang w:val="en-GB"/>
              </w:rPr>
            </w:pPr>
            <w:r w:rsidRPr="009E3364">
              <w:t>0.75</w:t>
            </w:r>
          </w:p>
        </w:tc>
        <w:tc>
          <w:tcPr>
            <w:tcW w:w="369" w:type="pct"/>
            <w:shd w:val="clear" w:color="auto" w:fill="FFFFFF"/>
          </w:tcPr>
          <w:p w14:paraId="514B8DBF" w14:textId="06277183" w:rsidR="00747EE7" w:rsidRPr="009E3364" w:rsidRDefault="00747EE7" w:rsidP="00747EE7">
            <w:pPr>
              <w:pStyle w:val="CETBodytext"/>
            </w:pPr>
            <w:r w:rsidRPr="009E3364">
              <w:t>0.75</w:t>
            </w:r>
          </w:p>
        </w:tc>
        <w:tc>
          <w:tcPr>
            <w:tcW w:w="369" w:type="pct"/>
            <w:shd w:val="clear" w:color="auto" w:fill="FFFFFF"/>
          </w:tcPr>
          <w:p w14:paraId="511D1AE9" w14:textId="323A6206" w:rsidR="00747EE7" w:rsidRPr="009E3364" w:rsidRDefault="00747EE7" w:rsidP="00747EE7">
            <w:pPr>
              <w:pStyle w:val="CETBodytext"/>
            </w:pPr>
            <w:r w:rsidRPr="009E3364">
              <w:t>0.50</w:t>
            </w:r>
          </w:p>
        </w:tc>
        <w:tc>
          <w:tcPr>
            <w:tcW w:w="369" w:type="pct"/>
            <w:shd w:val="clear" w:color="auto" w:fill="FFFFFF"/>
          </w:tcPr>
          <w:p w14:paraId="649E2E17" w14:textId="04CF59ED" w:rsidR="00747EE7" w:rsidRPr="009E3364" w:rsidRDefault="00747EE7" w:rsidP="00747EE7">
            <w:pPr>
              <w:pStyle w:val="CETBodytext"/>
            </w:pPr>
            <w:r w:rsidRPr="009E3364">
              <w:t>0.50</w:t>
            </w:r>
          </w:p>
        </w:tc>
        <w:tc>
          <w:tcPr>
            <w:tcW w:w="369" w:type="pct"/>
            <w:shd w:val="clear" w:color="auto" w:fill="FFFFFF"/>
          </w:tcPr>
          <w:p w14:paraId="1B659D2F" w14:textId="21B97DAA" w:rsidR="00747EE7" w:rsidRPr="009E3364" w:rsidRDefault="00747EE7" w:rsidP="00747EE7">
            <w:pPr>
              <w:pStyle w:val="CETBodytext"/>
            </w:pPr>
            <w:r w:rsidRPr="009E3364">
              <w:t>0.50</w:t>
            </w:r>
          </w:p>
        </w:tc>
        <w:tc>
          <w:tcPr>
            <w:tcW w:w="369" w:type="pct"/>
            <w:shd w:val="clear" w:color="auto" w:fill="FFFFFF"/>
          </w:tcPr>
          <w:p w14:paraId="244BCDFF" w14:textId="6416AECF" w:rsidR="00747EE7" w:rsidRPr="009E3364" w:rsidRDefault="00747EE7" w:rsidP="00747EE7">
            <w:pPr>
              <w:pStyle w:val="CETBodytext"/>
            </w:pPr>
            <w:r w:rsidRPr="009E3364">
              <w:t>0.50</w:t>
            </w:r>
          </w:p>
        </w:tc>
        <w:tc>
          <w:tcPr>
            <w:tcW w:w="369" w:type="pct"/>
            <w:shd w:val="clear" w:color="auto" w:fill="FFFFFF"/>
          </w:tcPr>
          <w:p w14:paraId="0B2A72C7" w14:textId="553D230D" w:rsidR="00747EE7" w:rsidRPr="009E3364" w:rsidRDefault="00747EE7" w:rsidP="00747EE7">
            <w:pPr>
              <w:pStyle w:val="CETBodytext"/>
            </w:pPr>
            <w:r w:rsidRPr="009E3364">
              <w:t>0.50</w:t>
            </w:r>
          </w:p>
        </w:tc>
      </w:tr>
      <w:tr w:rsidR="003C4132" w:rsidRPr="009E3364" w14:paraId="51CD2A44" w14:textId="5F45784F" w:rsidTr="003C4132">
        <w:tc>
          <w:tcPr>
            <w:tcW w:w="369" w:type="pct"/>
            <w:shd w:val="clear" w:color="auto" w:fill="FFFFFF"/>
          </w:tcPr>
          <w:p w14:paraId="5EA88351" w14:textId="77777777" w:rsidR="00747EE7" w:rsidRPr="009E3364" w:rsidRDefault="00747EE7" w:rsidP="00747EE7">
            <w:pPr>
              <w:pStyle w:val="CETBodytext"/>
              <w:rPr>
                <w:lang w:val="en-GB"/>
              </w:rPr>
            </w:pPr>
            <w:r w:rsidRPr="009E3364">
              <w:t>SE4</w:t>
            </w:r>
          </w:p>
        </w:tc>
        <w:tc>
          <w:tcPr>
            <w:tcW w:w="2046" w:type="pct"/>
            <w:shd w:val="clear" w:color="auto" w:fill="FFFFFF"/>
          </w:tcPr>
          <w:p w14:paraId="01C29445" w14:textId="77777777" w:rsidR="00747EE7" w:rsidRPr="009E3364" w:rsidRDefault="00747EE7" w:rsidP="00747EE7">
            <w:pPr>
              <w:pStyle w:val="CETBodytext"/>
              <w:rPr>
                <w:lang w:val="en-GB"/>
              </w:rPr>
            </w:pPr>
            <w:r w:rsidRPr="009E3364">
              <w:t>Security control center</w:t>
            </w:r>
          </w:p>
        </w:tc>
        <w:tc>
          <w:tcPr>
            <w:tcW w:w="369" w:type="pct"/>
            <w:shd w:val="clear" w:color="auto" w:fill="FFFFFF"/>
          </w:tcPr>
          <w:p w14:paraId="20BEC661" w14:textId="4D37CD47" w:rsidR="00747EE7" w:rsidRPr="009E3364" w:rsidRDefault="00747EE7" w:rsidP="00747EE7">
            <w:pPr>
              <w:pStyle w:val="CETBodytext"/>
              <w:rPr>
                <w:lang w:val="en-GB"/>
              </w:rPr>
            </w:pPr>
            <w:r w:rsidRPr="009E3364">
              <w:t>0.75</w:t>
            </w:r>
          </w:p>
        </w:tc>
        <w:tc>
          <w:tcPr>
            <w:tcW w:w="369" w:type="pct"/>
            <w:shd w:val="clear" w:color="auto" w:fill="FFFFFF"/>
          </w:tcPr>
          <w:p w14:paraId="30BB148A" w14:textId="70CB0AB6" w:rsidR="00747EE7" w:rsidRPr="009E3364" w:rsidRDefault="00747EE7" w:rsidP="00747EE7">
            <w:pPr>
              <w:pStyle w:val="CETBodytext"/>
            </w:pPr>
            <w:r w:rsidRPr="009E3364">
              <w:t>0.75</w:t>
            </w:r>
          </w:p>
        </w:tc>
        <w:tc>
          <w:tcPr>
            <w:tcW w:w="369" w:type="pct"/>
            <w:shd w:val="clear" w:color="auto" w:fill="FFFFFF"/>
          </w:tcPr>
          <w:p w14:paraId="348C749B" w14:textId="3866D3DD" w:rsidR="00747EE7" w:rsidRPr="009E3364" w:rsidRDefault="00747EE7" w:rsidP="00747EE7">
            <w:pPr>
              <w:pStyle w:val="CETBodytext"/>
            </w:pPr>
            <w:r w:rsidRPr="009E3364">
              <w:t>0.25</w:t>
            </w:r>
          </w:p>
        </w:tc>
        <w:tc>
          <w:tcPr>
            <w:tcW w:w="369" w:type="pct"/>
            <w:shd w:val="clear" w:color="auto" w:fill="FFFFFF"/>
          </w:tcPr>
          <w:p w14:paraId="0B623049" w14:textId="5BDAA6EA" w:rsidR="00747EE7" w:rsidRPr="009E3364" w:rsidRDefault="00747EE7" w:rsidP="00747EE7">
            <w:pPr>
              <w:pStyle w:val="CETBodytext"/>
            </w:pPr>
            <w:r w:rsidRPr="009E3364">
              <w:t>0.25</w:t>
            </w:r>
          </w:p>
        </w:tc>
        <w:tc>
          <w:tcPr>
            <w:tcW w:w="369" w:type="pct"/>
            <w:shd w:val="clear" w:color="auto" w:fill="FFFFFF"/>
          </w:tcPr>
          <w:p w14:paraId="072555F4" w14:textId="6E4252D8" w:rsidR="00747EE7" w:rsidRPr="009E3364" w:rsidRDefault="00747EE7" w:rsidP="00747EE7">
            <w:pPr>
              <w:pStyle w:val="CETBodytext"/>
            </w:pPr>
            <w:r w:rsidRPr="009E3364">
              <w:t>0.25</w:t>
            </w:r>
          </w:p>
        </w:tc>
        <w:tc>
          <w:tcPr>
            <w:tcW w:w="369" w:type="pct"/>
            <w:shd w:val="clear" w:color="auto" w:fill="FFFFFF"/>
          </w:tcPr>
          <w:p w14:paraId="3E5F30A8" w14:textId="017121A2" w:rsidR="00747EE7" w:rsidRPr="009E3364" w:rsidRDefault="00747EE7" w:rsidP="00747EE7">
            <w:pPr>
              <w:pStyle w:val="CETBodytext"/>
            </w:pPr>
            <w:r w:rsidRPr="009E3364">
              <w:t>0.50</w:t>
            </w:r>
          </w:p>
        </w:tc>
        <w:tc>
          <w:tcPr>
            <w:tcW w:w="369" w:type="pct"/>
            <w:shd w:val="clear" w:color="auto" w:fill="FFFFFF"/>
          </w:tcPr>
          <w:p w14:paraId="64DA6DA7" w14:textId="6C23EC63" w:rsidR="00747EE7" w:rsidRPr="009E3364" w:rsidRDefault="00747EE7" w:rsidP="00747EE7">
            <w:pPr>
              <w:pStyle w:val="CETBodytext"/>
            </w:pPr>
            <w:r w:rsidRPr="009E3364">
              <w:t>0.50</w:t>
            </w:r>
          </w:p>
        </w:tc>
      </w:tr>
      <w:tr w:rsidR="003C4132" w:rsidRPr="009E3364" w14:paraId="1C22F123" w14:textId="609B995E" w:rsidTr="003C4132">
        <w:tc>
          <w:tcPr>
            <w:tcW w:w="369" w:type="pct"/>
            <w:shd w:val="clear" w:color="auto" w:fill="FFFFFF"/>
          </w:tcPr>
          <w:p w14:paraId="46DB57EE" w14:textId="77777777" w:rsidR="00747EE7" w:rsidRPr="009E3364" w:rsidRDefault="00747EE7" w:rsidP="00747EE7">
            <w:pPr>
              <w:pStyle w:val="CETBodytext"/>
              <w:rPr>
                <w:lang w:val="en-GB"/>
              </w:rPr>
            </w:pPr>
            <w:r w:rsidRPr="009E3364">
              <w:t>SE5</w:t>
            </w:r>
          </w:p>
        </w:tc>
        <w:tc>
          <w:tcPr>
            <w:tcW w:w="2046" w:type="pct"/>
            <w:shd w:val="clear" w:color="auto" w:fill="FFFFFF"/>
          </w:tcPr>
          <w:p w14:paraId="67C92E82" w14:textId="77777777" w:rsidR="00747EE7" w:rsidRPr="009E3364" w:rsidRDefault="00747EE7" w:rsidP="00747EE7">
            <w:pPr>
              <w:pStyle w:val="CETBodytext"/>
              <w:rPr>
                <w:lang w:val="en-GB"/>
              </w:rPr>
            </w:pPr>
            <w:r w:rsidRPr="009E3364">
              <w:t>Main power supply</w:t>
            </w:r>
          </w:p>
        </w:tc>
        <w:tc>
          <w:tcPr>
            <w:tcW w:w="369" w:type="pct"/>
            <w:shd w:val="clear" w:color="auto" w:fill="FFFFFF"/>
          </w:tcPr>
          <w:p w14:paraId="2C0A2465" w14:textId="132E6955" w:rsidR="00747EE7" w:rsidRPr="009E3364" w:rsidRDefault="00747EE7" w:rsidP="00747EE7">
            <w:pPr>
              <w:pStyle w:val="CETBodytext"/>
              <w:rPr>
                <w:lang w:val="en-GB"/>
              </w:rPr>
            </w:pPr>
            <w:r w:rsidRPr="009E3364">
              <w:t>0.75</w:t>
            </w:r>
          </w:p>
        </w:tc>
        <w:tc>
          <w:tcPr>
            <w:tcW w:w="369" w:type="pct"/>
            <w:shd w:val="clear" w:color="auto" w:fill="FFFFFF"/>
          </w:tcPr>
          <w:p w14:paraId="04ACFA4C" w14:textId="768B9EB8" w:rsidR="00747EE7" w:rsidRPr="009E3364" w:rsidRDefault="00747EE7" w:rsidP="00747EE7">
            <w:pPr>
              <w:pStyle w:val="CETBodytext"/>
            </w:pPr>
            <w:r w:rsidRPr="009E3364">
              <w:t>0.75</w:t>
            </w:r>
          </w:p>
        </w:tc>
        <w:tc>
          <w:tcPr>
            <w:tcW w:w="369" w:type="pct"/>
            <w:shd w:val="clear" w:color="auto" w:fill="FFFFFF"/>
          </w:tcPr>
          <w:p w14:paraId="5FE319FA" w14:textId="6554E590" w:rsidR="00747EE7" w:rsidRPr="009E3364" w:rsidRDefault="00747EE7" w:rsidP="00747EE7">
            <w:pPr>
              <w:pStyle w:val="CETBodytext"/>
            </w:pPr>
            <w:r w:rsidRPr="009E3364">
              <w:t>0.50</w:t>
            </w:r>
          </w:p>
        </w:tc>
        <w:tc>
          <w:tcPr>
            <w:tcW w:w="369" w:type="pct"/>
            <w:shd w:val="clear" w:color="auto" w:fill="FFFFFF"/>
          </w:tcPr>
          <w:p w14:paraId="26686729" w14:textId="04F7B4BC" w:rsidR="00747EE7" w:rsidRPr="009E3364" w:rsidRDefault="00747EE7" w:rsidP="00747EE7">
            <w:pPr>
              <w:pStyle w:val="CETBodytext"/>
            </w:pPr>
            <w:r w:rsidRPr="009E3364">
              <w:t>0.50</w:t>
            </w:r>
          </w:p>
        </w:tc>
        <w:tc>
          <w:tcPr>
            <w:tcW w:w="369" w:type="pct"/>
            <w:shd w:val="clear" w:color="auto" w:fill="FFFFFF"/>
          </w:tcPr>
          <w:p w14:paraId="4C579FF6" w14:textId="2DDD4798" w:rsidR="00747EE7" w:rsidRPr="009E3364" w:rsidRDefault="00747EE7" w:rsidP="00747EE7">
            <w:pPr>
              <w:pStyle w:val="CETBodytext"/>
            </w:pPr>
            <w:r w:rsidRPr="009E3364">
              <w:t>0.50</w:t>
            </w:r>
          </w:p>
        </w:tc>
        <w:tc>
          <w:tcPr>
            <w:tcW w:w="369" w:type="pct"/>
            <w:shd w:val="clear" w:color="auto" w:fill="FFFFFF"/>
          </w:tcPr>
          <w:p w14:paraId="58A08106" w14:textId="1D106E02" w:rsidR="00747EE7" w:rsidRPr="009E3364" w:rsidRDefault="00747EE7" w:rsidP="00747EE7">
            <w:pPr>
              <w:pStyle w:val="CETBodytext"/>
            </w:pPr>
            <w:r w:rsidRPr="009E3364">
              <w:t>0.50</w:t>
            </w:r>
          </w:p>
        </w:tc>
        <w:tc>
          <w:tcPr>
            <w:tcW w:w="369" w:type="pct"/>
            <w:shd w:val="clear" w:color="auto" w:fill="FFFFFF"/>
          </w:tcPr>
          <w:p w14:paraId="2082A929" w14:textId="1A5909C3" w:rsidR="00747EE7" w:rsidRPr="009E3364" w:rsidRDefault="00747EE7" w:rsidP="00747EE7">
            <w:pPr>
              <w:pStyle w:val="CETBodytext"/>
            </w:pPr>
            <w:r w:rsidRPr="009E3364">
              <w:t>0.50</w:t>
            </w:r>
          </w:p>
        </w:tc>
      </w:tr>
      <w:tr w:rsidR="003C4132" w:rsidRPr="009E3364" w14:paraId="705B061E" w14:textId="050BCC90" w:rsidTr="003C4132">
        <w:tc>
          <w:tcPr>
            <w:tcW w:w="369" w:type="pct"/>
            <w:shd w:val="clear" w:color="auto" w:fill="FFFFFF"/>
          </w:tcPr>
          <w:p w14:paraId="03899945" w14:textId="77777777" w:rsidR="00747EE7" w:rsidRPr="009E3364" w:rsidRDefault="00747EE7" w:rsidP="00747EE7">
            <w:pPr>
              <w:pStyle w:val="CETBodytext"/>
              <w:rPr>
                <w:lang w:val="en-GB"/>
              </w:rPr>
            </w:pPr>
            <w:r w:rsidRPr="009E3364">
              <w:t>SE6</w:t>
            </w:r>
          </w:p>
        </w:tc>
        <w:tc>
          <w:tcPr>
            <w:tcW w:w="2046" w:type="pct"/>
            <w:shd w:val="clear" w:color="auto" w:fill="FFFFFF"/>
          </w:tcPr>
          <w:p w14:paraId="50C99F77" w14:textId="77777777" w:rsidR="00747EE7" w:rsidRPr="009E3364" w:rsidRDefault="00747EE7" w:rsidP="00747EE7">
            <w:pPr>
              <w:pStyle w:val="CETBodytext"/>
              <w:rPr>
                <w:lang w:val="en-GB"/>
              </w:rPr>
            </w:pPr>
            <w:r w:rsidRPr="009E3364">
              <w:t>Backup power supply</w:t>
            </w:r>
          </w:p>
        </w:tc>
        <w:tc>
          <w:tcPr>
            <w:tcW w:w="369" w:type="pct"/>
            <w:shd w:val="clear" w:color="auto" w:fill="FFFFFF"/>
          </w:tcPr>
          <w:p w14:paraId="61F7894C" w14:textId="5608352A" w:rsidR="00747EE7" w:rsidRPr="009E3364" w:rsidRDefault="00747EE7" w:rsidP="00747EE7">
            <w:pPr>
              <w:pStyle w:val="CETBodytext"/>
              <w:rPr>
                <w:lang w:val="en-GB"/>
              </w:rPr>
            </w:pPr>
            <w:r w:rsidRPr="009E3364">
              <w:t>0.75</w:t>
            </w:r>
          </w:p>
        </w:tc>
        <w:tc>
          <w:tcPr>
            <w:tcW w:w="369" w:type="pct"/>
            <w:shd w:val="clear" w:color="auto" w:fill="FFFFFF"/>
          </w:tcPr>
          <w:p w14:paraId="27E924DE" w14:textId="13EC6F8A" w:rsidR="00747EE7" w:rsidRPr="009E3364" w:rsidRDefault="00747EE7" w:rsidP="00747EE7">
            <w:pPr>
              <w:pStyle w:val="CETBodytext"/>
            </w:pPr>
            <w:r w:rsidRPr="009E3364">
              <w:t>0.75</w:t>
            </w:r>
          </w:p>
        </w:tc>
        <w:tc>
          <w:tcPr>
            <w:tcW w:w="369" w:type="pct"/>
            <w:shd w:val="clear" w:color="auto" w:fill="FFFFFF"/>
          </w:tcPr>
          <w:p w14:paraId="62A7200C" w14:textId="707FCE75" w:rsidR="00747EE7" w:rsidRPr="009E3364" w:rsidRDefault="00747EE7" w:rsidP="00747EE7">
            <w:pPr>
              <w:pStyle w:val="CETBodytext"/>
            </w:pPr>
            <w:r w:rsidRPr="009E3364">
              <w:t>0.50</w:t>
            </w:r>
          </w:p>
        </w:tc>
        <w:tc>
          <w:tcPr>
            <w:tcW w:w="369" w:type="pct"/>
            <w:shd w:val="clear" w:color="auto" w:fill="FFFFFF"/>
          </w:tcPr>
          <w:p w14:paraId="40856897" w14:textId="722049B9" w:rsidR="00747EE7" w:rsidRPr="009E3364" w:rsidRDefault="00747EE7" w:rsidP="00747EE7">
            <w:pPr>
              <w:pStyle w:val="CETBodytext"/>
            </w:pPr>
            <w:r w:rsidRPr="009E3364">
              <w:t>0.50</w:t>
            </w:r>
          </w:p>
        </w:tc>
        <w:tc>
          <w:tcPr>
            <w:tcW w:w="369" w:type="pct"/>
            <w:shd w:val="clear" w:color="auto" w:fill="FFFFFF"/>
          </w:tcPr>
          <w:p w14:paraId="30B3557A" w14:textId="5BB93BB6" w:rsidR="00747EE7" w:rsidRPr="009E3364" w:rsidRDefault="00747EE7" w:rsidP="00747EE7">
            <w:pPr>
              <w:pStyle w:val="CETBodytext"/>
            </w:pPr>
            <w:r w:rsidRPr="009E3364">
              <w:t>0.50</w:t>
            </w:r>
          </w:p>
        </w:tc>
        <w:tc>
          <w:tcPr>
            <w:tcW w:w="369" w:type="pct"/>
            <w:shd w:val="clear" w:color="auto" w:fill="FFFFFF"/>
          </w:tcPr>
          <w:p w14:paraId="6AE306C1" w14:textId="6C34988B" w:rsidR="00747EE7" w:rsidRPr="009E3364" w:rsidRDefault="00747EE7" w:rsidP="00747EE7">
            <w:pPr>
              <w:pStyle w:val="CETBodytext"/>
            </w:pPr>
            <w:r w:rsidRPr="009E3364">
              <w:t>0.25</w:t>
            </w:r>
          </w:p>
        </w:tc>
        <w:tc>
          <w:tcPr>
            <w:tcW w:w="369" w:type="pct"/>
            <w:shd w:val="clear" w:color="auto" w:fill="FFFFFF"/>
          </w:tcPr>
          <w:p w14:paraId="2287075C" w14:textId="38CD0E1F" w:rsidR="00747EE7" w:rsidRPr="009E3364" w:rsidRDefault="00747EE7" w:rsidP="00747EE7">
            <w:pPr>
              <w:pStyle w:val="CETBodytext"/>
            </w:pPr>
            <w:r w:rsidRPr="009E3364">
              <w:t>0.50</w:t>
            </w:r>
          </w:p>
        </w:tc>
      </w:tr>
      <w:tr w:rsidR="003C4132" w:rsidRPr="009E3364" w14:paraId="7B901680" w14:textId="307B29F4" w:rsidTr="003C4132">
        <w:tc>
          <w:tcPr>
            <w:tcW w:w="369" w:type="pct"/>
            <w:shd w:val="clear" w:color="auto" w:fill="FFFFFF"/>
          </w:tcPr>
          <w:p w14:paraId="6F06A11C" w14:textId="77777777" w:rsidR="00747EE7" w:rsidRPr="009E3364" w:rsidRDefault="00747EE7" w:rsidP="00747EE7">
            <w:pPr>
              <w:pStyle w:val="CETBodytext"/>
              <w:rPr>
                <w:lang w:val="en-GB"/>
              </w:rPr>
            </w:pPr>
            <w:r w:rsidRPr="009E3364">
              <w:t>SE7</w:t>
            </w:r>
          </w:p>
        </w:tc>
        <w:tc>
          <w:tcPr>
            <w:tcW w:w="2046" w:type="pct"/>
            <w:shd w:val="clear" w:color="auto" w:fill="FFFFFF"/>
          </w:tcPr>
          <w:p w14:paraId="6C5FA4E2" w14:textId="77777777" w:rsidR="00747EE7" w:rsidRPr="009E3364" w:rsidRDefault="00747EE7" w:rsidP="00747EE7">
            <w:pPr>
              <w:pStyle w:val="CETBodytext"/>
              <w:rPr>
                <w:lang w:val="en-GB"/>
              </w:rPr>
            </w:pPr>
            <w:r w:rsidRPr="009E3364">
              <w:t>Exterior sensors</w:t>
            </w:r>
          </w:p>
        </w:tc>
        <w:tc>
          <w:tcPr>
            <w:tcW w:w="369" w:type="pct"/>
            <w:shd w:val="clear" w:color="auto" w:fill="FFFFFF"/>
          </w:tcPr>
          <w:p w14:paraId="2C4559BB" w14:textId="79004814" w:rsidR="00747EE7" w:rsidRPr="009E3364" w:rsidRDefault="00747EE7" w:rsidP="00747EE7">
            <w:pPr>
              <w:pStyle w:val="CETBodytext"/>
              <w:rPr>
                <w:lang w:val="en-GB"/>
              </w:rPr>
            </w:pPr>
            <w:r w:rsidRPr="009E3364">
              <w:t>0.75</w:t>
            </w:r>
          </w:p>
        </w:tc>
        <w:tc>
          <w:tcPr>
            <w:tcW w:w="369" w:type="pct"/>
            <w:shd w:val="clear" w:color="auto" w:fill="FFFFFF"/>
          </w:tcPr>
          <w:p w14:paraId="68F11B1E" w14:textId="1ADA1ABC" w:rsidR="00747EE7" w:rsidRPr="009E3364" w:rsidRDefault="00747EE7" w:rsidP="00747EE7">
            <w:pPr>
              <w:pStyle w:val="CETBodytext"/>
            </w:pPr>
            <w:r w:rsidRPr="009E3364">
              <w:t>0.75</w:t>
            </w:r>
          </w:p>
        </w:tc>
        <w:tc>
          <w:tcPr>
            <w:tcW w:w="369" w:type="pct"/>
            <w:shd w:val="clear" w:color="auto" w:fill="FFFFFF"/>
          </w:tcPr>
          <w:p w14:paraId="76A349C7" w14:textId="3C404E54" w:rsidR="00747EE7" w:rsidRPr="009E3364" w:rsidRDefault="00747EE7" w:rsidP="00747EE7">
            <w:pPr>
              <w:pStyle w:val="CETBodytext"/>
            </w:pPr>
            <w:r w:rsidRPr="009E3364">
              <w:t>0.50</w:t>
            </w:r>
          </w:p>
        </w:tc>
        <w:tc>
          <w:tcPr>
            <w:tcW w:w="369" w:type="pct"/>
            <w:shd w:val="clear" w:color="auto" w:fill="FFFFFF"/>
          </w:tcPr>
          <w:p w14:paraId="71523C25" w14:textId="0A09B08E" w:rsidR="00747EE7" w:rsidRPr="009E3364" w:rsidRDefault="00747EE7" w:rsidP="00747EE7">
            <w:pPr>
              <w:pStyle w:val="CETBodytext"/>
            </w:pPr>
            <w:r w:rsidRPr="009E3364">
              <w:t>0.50</w:t>
            </w:r>
          </w:p>
        </w:tc>
        <w:tc>
          <w:tcPr>
            <w:tcW w:w="369" w:type="pct"/>
            <w:shd w:val="clear" w:color="auto" w:fill="FFFFFF"/>
          </w:tcPr>
          <w:p w14:paraId="00053D47" w14:textId="30C6E85E" w:rsidR="00747EE7" w:rsidRPr="009E3364" w:rsidRDefault="00747EE7" w:rsidP="00747EE7">
            <w:pPr>
              <w:pStyle w:val="CETBodytext"/>
            </w:pPr>
            <w:r w:rsidRPr="009E3364">
              <w:t>0.50</w:t>
            </w:r>
          </w:p>
        </w:tc>
        <w:tc>
          <w:tcPr>
            <w:tcW w:w="369" w:type="pct"/>
            <w:shd w:val="clear" w:color="auto" w:fill="FFFFFF"/>
          </w:tcPr>
          <w:p w14:paraId="640C72C8" w14:textId="59CD1B24" w:rsidR="00747EE7" w:rsidRPr="009E3364" w:rsidRDefault="00747EE7" w:rsidP="00747EE7">
            <w:pPr>
              <w:pStyle w:val="CETBodytext"/>
            </w:pPr>
            <w:r w:rsidRPr="009E3364">
              <w:t>0.50</w:t>
            </w:r>
          </w:p>
        </w:tc>
        <w:tc>
          <w:tcPr>
            <w:tcW w:w="369" w:type="pct"/>
            <w:shd w:val="clear" w:color="auto" w:fill="FFFFFF"/>
          </w:tcPr>
          <w:p w14:paraId="4C9C4005" w14:textId="2C970860" w:rsidR="00747EE7" w:rsidRPr="009E3364" w:rsidRDefault="00747EE7" w:rsidP="00747EE7">
            <w:pPr>
              <w:pStyle w:val="CETBodytext"/>
            </w:pPr>
            <w:r w:rsidRPr="009E3364">
              <w:t>0.50</w:t>
            </w:r>
          </w:p>
        </w:tc>
      </w:tr>
      <w:tr w:rsidR="003C4132" w:rsidRPr="009E3364" w14:paraId="78C4010D" w14:textId="59464B3C" w:rsidTr="003C4132">
        <w:tc>
          <w:tcPr>
            <w:tcW w:w="369" w:type="pct"/>
            <w:shd w:val="clear" w:color="auto" w:fill="FFFFFF"/>
          </w:tcPr>
          <w:p w14:paraId="61BC15D9" w14:textId="77777777" w:rsidR="00747EE7" w:rsidRPr="009E3364" w:rsidRDefault="00747EE7" w:rsidP="00747EE7">
            <w:pPr>
              <w:pStyle w:val="CETBodytext"/>
              <w:rPr>
                <w:lang w:val="en-GB"/>
              </w:rPr>
            </w:pPr>
            <w:r w:rsidRPr="009E3364">
              <w:t>SE8</w:t>
            </w:r>
          </w:p>
        </w:tc>
        <w:tc>
          <w:tcPr>
            <w:tcW w:w="2046" w:type="pct"/>
            <w:shd w:val="clear" w:color="auto" w:fill="FFFFFF"/>
          </w:tcPr>
          <w:p w14:paraId="079F0EA9" w14:textId="77777777" w:rsidR="00747EE7" w:rsidRPr="009E3364" w:rsidRDefault="00747EE7" w:rsidP="00747EE7">
            <w:pPr>
              <w:pStyle w:val="CETBodytext"/>
              <w:rPr>
                <w:lang w:val="en-GB"/>
              </w:rPr>
            </w:pPr>
            <w:r w:rsidRPr="009E3364">
              <w:t>Interior sensors</w:t>
            </w:r>
          </w:p>
        </w:tc>
        <w:tc>
          <w:tcPr>
            <w:tcW w:w="369" w:type="pct"/>
            <w:shd w:val="clear" w:color="auto" w:fill="FFFFFF"/>
          </w:tcPr>
          <w:p w14:paraId="7C02214A" w14:textId="76AF5D79" w:rsidR="00747EE7" w:rsidRPr="009E3364" w:rsidRDefault="00747EE7" w:rsidP="00747EE7">
            <w:pPr>
              <w:pStyle w:val="CETBodytext"/>
              <w:rPr>
                <w:lang w:val="en-GB"/>
              </w:rPr>
            </w:pPr>
            <w:r w:rsidRPr="009E3364">
              <w:t>0.50</w:t>
            </w:r>
          </w:p>
        </w:tc>
        <w:tc>
          <w:tcPr>
            <w:tcW w:w="369" w:type="pct"/>
            <w:shd w:val="clear" w:color="auto" w:fill="FFFFFF"/>
          </w:tcPr>
          <w:p w14:paraId="60A597BA" w14:textId="40A1EA30" w:rsidR="00747EE7" w:rsidRPr="009E3364" w:rsidRDefault="00747EE7" w:rsidP="00747EE7">
            <w:pPr>
              <w:pStyle w:val="CETBodytext"/>
            </w:pPr>
            <w:r w:rsidRPr="009E3364">
              <w:t>0.50</w:t>
            </w:r>
          </w:p>
        </w:tc>
        <w:tc>
          <w:tcPr>
            <w:tcW w:w="369" w:type="pct"/>
            <w:shd w:val="clear" w:color="auto" w:fill="FFFFFF"/>
          </w:tcPr>
          <w:p w14:paraId="5EB0AEDD" w14:textId="1EA1F766" w:rsidR="00747EE7" w:rsidRPr="009E3364" w:rsidRDefault="00747EE7" w:rsidP="00747EE7">
            <w:pPr>
              <w:pStyle w:val="CETBodytext"/>
            </w:pPr>
            <w:r w:rsidRPr="009E3364">
              <w:t>0.25</w:t>
            </w:r>
          </w:p>
        </w:tc>
        <w:tc>
          <w:tcPr>
            <w:tcW w:w="369" w:type="pct"/>
            <w:shd w:val="clear" w:color="auto" w:fill="FFFFFF"/>
          </w:tcPr>
          <w:p w14:paraId="3B313D8F" w14:textId="469CD43A" w:rsidR="00747EE7" w:rsidRPr="009E3364" w:rsidRDefault="00747EE7" w:rsidP="00747EE7">
            <w:pPr>
              <w:pStyle w:val="CETBodytext"/>
            </w:pPr>
            <w:r w:rsidRPr="009E3364">
              <w:t>0.50</w:t>
            </w:r>
          </w:p>
        </w:tc>
        <w:tc>
          <w:tcPr>
            <w:tcW w:w="369" w:type="pct"/>
            <w:shd w:val="clear" w:color="auto" w:fill="FFFFFF"/>
          </w:tcPr>
          <w:p w14:paraId="78C12672" w14:textId="09869C8D" w:rsidR="00747EE7" w:rsidRPr="009E3364" w:rsidRDefault="00747EE7" w:rsidP="00747EE7">
            <w:pPr>
              <w:pStyle w:val="CETBodytext"/>
            </w:pPr>
            <w:r w:rsidRPr="009E3364">
              <w:t>0.25</w:t>
            </w:r>
          </w:p>
        </w:tc>
        <w:tc>
          <w:tcPr>
            <w:tcW w:w="369" w:type="pct"/>
            <w:shd w:val="clear" w:color="auto" w:fill="FFFFFF"/>
          </w:tcPr>
          <w:p w14:paraId="24ECCD11" w14:textId="0C307AC8" w:rsidR="00747EE7" w:rsidRPr="009E3364" w:rsidRDefault="00747EE7" w:rsidP="00747EE7">
            <w:pPr>
              <w:pStyle w:val="CETBodytext"/>
            </w:pPr>
            <w:r w:rsidRPr="009E3364">
              <w:t>0.25</w:t>
            </w:r>
          </w:p>
        </w:tc>
        <w:tc>
          <w:tcPr>
            <w:tcW w:w="369" w:type="pct"/>
            <w:shd w:val="clear" w:color="auto" w:fill="FFFFFF"/>
          </w:tcPr>
          <w:p w14:paraId="2B83BD26" w14:textId="3AE30EEB" w:rsidR="00747EE7" w:rsidRPr="009E3364" w:rsidRDefault="00747EE7" w:rsidP="00747EE7">
            <w:pPr>
              <w:pStyle w:val="CETBodytext"/>
            </w:pPr>
            <w:r w:rsidRPr="009E3364">
              <w:t>0.50</w:t>
            </w:r>
          </w:p>
        </w:tc>
      </w:tr>
      <w:tr w:rsidR="003C4132" w:rsidRPr="009E3364" w14:paraId="183A9908" w14:textId="443E9A0C" w:rsidTr="003C4132">
        <w:tc>
          <w:tcPr>
            <w:tcW w:w="369" w:type="pct"/>
            <w:shd w:val="clear" w:color="auto" w:fill="FFFFFF"/>
          </w:tcPr>
          <w:p w14:paraId="12694297" w14:textId="77777777" w:rsidR="00747EE7" w:rsidRPr="009E3364" w:rsidRDefault="00747EE7" w:rsidP="00747EE7">
            <w:pPr>
              <w:pStyle w:val="CETBodytext"/>
            </w:pPr>
            <w:r w:rsidRPr="009E3364">
              <w:t>SE9</w:t>
            </w:r>
          </w:p>
        </w:tc>
        <w:tc>
          <w:tcPr>
            <w:tcW w:w="2046" w:type="pct"/>
            <w:shd w:val="clear" w:color="auto" w:fill="FFFFFF"/>
          </w:tcPr>
          <w:p w14:paraId="6B2C5FDD" w14:textId="77777777" w:rsidR="00747EE7" w:rsidRPr="009E3364" w:rsidRDefault="00747EE7" w:rsidP="00747EE7">
            <w:pPr>
              <w:pStyle w:val="CETBodytext"/>
            </w:pPr>
            <w:r w:rsidRPr="009E3364">
              <w:t>Automated personnel access control</w:t>
            </w:r>
          </w:p>
        </w:tc>
        <w:tc>
          <w:tcPr>
            <w:tcW w:w="369" w:type="pct"/>
            <w:shd w:val="clear" w:color="auto" w:fill="FFFFFF"/>
          </w:tcPr>
          <w:p w14:paraId="2066864A" w14:textId="6AA7D713" w:rsidR="00747EE7" w:rsidRPr="009E3364" w:rsidRDefault="00747EE7" w:rsidP="00747EE7">
            <w:pPr>
              <w:pStyle w:val="CETBodytext"/>
            </w:pPr>
            <w:r w:rsidRPr="009E3364">
              <w:t>0.75</w:t>
            </w:r>
          </w:p>
        </w:tc>
        <w:tc>
          <w:tcPr>
            <w:tcW w:w="369" w:type="pct"/>
            <w:shd w:val="clear" w:color="auto" w:fill="FFFFFF"/>
          </w:tcPr>
          <w:p w14:paraId="3C82BED0" w14:textId="43F2EFAF" w:rsidR="00747EE7" w:rsidRPr="009E3364" w:rsidRDefault="00747EE7" w:rsidP="00747EE7">
            <w:pPr>
              <w:pStyle w:val="CETBodytext"/>
            </w:pPr>
            <w:r w:rsidRPr="009E3364">
              <w:t>0.75</w:t>
            </w:r>
          </w:p>
        </w:tc>
        <w:tc>
          <w:tcPr>
            <w:tcW w:w="369" w:type="pct"/>
            <w:shd w:val="clear" w:color="auto" w:fill="FFFFFF"/>
          </w:tcPr>
          <w:p w14:paraId="667A04B4" w14:textId="59E1E91C" w:rsidR="00747EE7" w:rsidRPr="009E3364" w:rsidRDefault="00747EE7" w:rsidP="00747EE7">
            <w:pPr>
              <w:pStyle w:val="CETBodytext"/>
            </w:pPr>
            <w:r w:rsidRPr="009E3364">
              <w:t>0.50</w:t>
            </w:r>
          </w:p>
        </w:tc>
        <w:tc>
          <w:tcPr>
            <w:tcW w:w="369" w:type="pct"/>
            <w:shd w:val="clear" w:color="auto" w:fill="FFFFFF"/>
          </w:tcPr>
          <w:p w14:paraId="7213693F" w14:textId="4AB8BD86" w:rsidR="00747EE7" w:rsidRPr="009E3364" w:rsidRDefault="00747EE7" w:rsidP="00747EE7">
            <w:pPr>
              <w:pStyle w:val="CETBodytext"/>
            </w:pPr>
            <w:r w:rsidRPr="009E3364">
              <w:t>0.50</w:t>
            </w:r>
          </w:p>
        </w:tc>
        <w:tc>
          <w:tcPr>
            <w:tcW w:w="369" w:type="pct"/>
            <w:shd w:val="clear" w:color="auto" w:fill="FFFFFF"/>
          </w:tcPr>
          <w:p w14:paraId="30A8A3E3" w14:textId="2C4B9C2A" w:rsidR="00747EE7" w:rsidRPr="009E3364" w:rsidRDefault="00747EE7" w:rsidP="00747EE7">
            <w:pPr>
              <w:pStyle w:val="CETBodytext"/>
            </w:pPr>
            <w:r w:rsidRPr="009E3364">
              <w:t>0.50</w:t>
            </w:r>
          </w:p>
        </w:tc>
        <w:tc>
          <w:tcPr>
            <w:tcW w:w="369" w:type="pct"/>
            <w:shd w:val="clear" w:color="auto" w:fill="FFFFFF"/>
          </w:tcPr>
          <w:p w14:paraId="50A41A06" w14:textId="6BB2D2F8" w:rsidR="00747EE7" w:rsidRPr="009E3364" w:rsidRDefault="00747EE7" w:rsidP="00747EE7">
            <w:pPr>
              <w:pStyle w:val="CETBodytext"/>
            </w:pPr>
            <w:r w:rsidRPr="009E3364">
              <w:t>0.25</w:t>
            </w:r>
          </w:p>
        </w:tc>
        <w:tc>
          <w:tcPr>
            <w:tcW w:w="369" w:type="pct"/>
            <w:shd w:val="clear" w:color="auto" w:fill="FFFFFF"/>
          </w:tcPr>
          <w:p w14:paraId="42873ADC" w14:textId="46545A85" w:rsidR="00747EE7" w:rsidRPr="009E3364" w:rsidRDefault="00747EE7" w:rsidP="00747EE7">
            <w:pPr>
              <w:pStyle w:val="CETBodytext"/>
            </w:pPr>
            <w:r w:rsidRPr="009E3364">
              <w:t>0.50</w:t>
            </w:r>
          </w:p>
        </w:tc>
      </w:tr>
      <w:tr w:rsidR="003C4132" w:rsidRPr="009E3364" w14:paraId="11EC62B1" w14:textId="1F176D53" w:rsidTr="003C4132">
        <w:tc>
          <w:tcPr>
            <w:tcW w:w="369" w:type="pct"/>
            <w:shd w:val="clear" w:color="auto" w:fill="FFFFFF"/>
          </w:tcPr>
          <w:p w14:paraId="1B0D7AB6" w14:textId="77777777" w:rsidR="00747EE7" w:rsidRPr="009E3364" w:rsidRDefault="00747EE7" w:rsidP="00747EE7">
            <w:pPr>
              <w:pStyle w:val="CETBodytext"/>
            </w:pPr>
            <w:r w:rsidRPr="009E3364">
              <w:t>SE10</w:t>
            </w:r>
          </w:p>
        </w:tc>
        <w:tc>
          <w:tcPr>
            <w:tcW w:w="2046" w:type="pct"/>
            <w:shd w:val="clear" w:color="auto" w:fill="FFFFFF"/>
          </w:tcPr>
          <w:p w14:paraId="6F29516F" w14:textId="77777777" w:rsidR="00747EE7" w:rsidRPr="009E3364" w:rsidRDefault="00747EE7" w:rsidP="00747EE7">
            <w:pPr>
              <w:pStyle w:val="CETBodytext"/>
            </w:pPr>
            <w:r w:rsidRPr="009E3364">
              <w:t>Closed-circuit television</w:t>
            </w:r>
          </w:p>
        </w:tc>
        <w:tc>
          <w:tcPr>
            <w:tcW w:w="369" w:type="pct"/>
            <w:shd w:val="clear" w:color="auto" w:fill="FFFFFF"/>
          </w:tcPr>
          <w:p w14:paraId="1F260DCE" w14:textId="7A188E06" w:rsidR="00747EE7" w:rsidRPr="009E3364" w:rsidRDefault="00747EE7" w:rsidP="00747EE7">
            <w:pPr>
              <w:pStyle w:val="CETBodytext"/>
            </w:pPr>
            <w:r w:rsidRPr="009E3364">
              <w:t>0.75</w:t>
            </w:r>
          </w:p>
        </w:tc>
        <w:tc>
          <w:tcPr>
            <w:tcW w:w="369" w:type="pct"/>
            <w:shd w:val="clear" w:color="auto" w:fill="FFFFFF"/>
          </w:tcPr>
          <w:p w14:paraId="4F483477" w14:textId="1B0D853A" w:rsidR="00747EE7" w:rsidRPr="009E3364" w:rsidRDefault="00747EE7" w:rsidP="00747EE7">
            <w:pPr>
              <w:pStyle w:val="CETBodytext"/>
            </w:pPr>
            <w:r w:rsidRPr="009E3364">
              <w:t>0.50</w:t>
            </w:r>
          </w:p>
        </w:tc>
        <w:tc>
          <w:tcPr>
            <w:tcW w:w="369" w:type="pct"/>
            <w:shd w:val="clear" w:color="auto" w:fill="FFFFFF"/>
          </w:tcPr>
          <w:p w14:paraId="51DB0456" w14:textId="70BCBE16" w:rsidR="00747EE7" w:rsidRPr="009E3364" w:rsidRDefault="00747EE7" w:rsidP="00747EE7">
            <w:pPr>
              <w:pStyle w:val="CETBodytext"/>
            </w:pPr>
            <w:r w:rsidRPr="009E3364">
              <w:t>0.50</w:t>
            </w:r>
          </w:p>
        </w:tc>
        <w:tc>
          <w:tcPr>
            <w:tcW w:w="369" w:type="pct"/>
            <w:shd w:val="clear" w:color="auto" w:fill="FFFFFF"/>
          </w:tcPr>
          <w:p w14:paraId="5A422BFC" w14:textId="13D53ECB" w:rsidR="00747EE7" w:rsidRPr="009E3364" w:rsidRDefault="00747EE7" w:rsidP="00747EE7">
            <w:pPr>
              <w:pStyle w:val="CETBodytext"/>
            </w:pPr>
            <w:r w:rsidRPr="009E3364">
              <w:t>0.50</w:t>
            </w:r>
          </w:p>
        </w:tc>
        <w:tc>
          <w:tcPr>
            <w:tcW w:w="369" w:type="pct"/>
            <w:shd w:val="clear" w:color="auto" w:fill="FFFFFF"/>
          </w:tcPr>
          <w:p w14:paraId="60C9C698" w14:textId="76D69B54" w:rsidR="00747EE7" w:rsidRPr="009E3364" w:rsidRDefault="00747EE7" w:rsidP="00747EE7">
            <w:pPr>
              <w:pStyle w:val="CETBodytext"/>
            </w:pPr>
            <w:r w:rsidRPr="009E3364">
              <w:t>0.50</w:t>
            </w:r>
          </w:p>
        </w:tc>
        <w:tc>
          <w:tcPr>
            <w:tcW w:w="369" w:type="pct"/>
            <w:shd w:val="clear" w:color="auto" w:fill="FFFFFF"/>
          </w:tcPr>
          <w:p w14:paraId="37D48CF6" w14:textId="2211DE74" w:rsidR="00747EE7" w:rsidRPr="009E3364" w:rsidRDefault="00747EE7" w:rsidP="00747EE7">
            <w:pPr>
              <w:pStyle w:val="CETBodytext"/>
            </w:pPr>
            <w:r w:rsidRPr="009E3364">
              <w:t>0.38</w:t>
            </w:r>
          </w:p>
        </w:tc>
        <w:tc>
          <w:tcPr>
            <w:tcW w:w="369" w:type="pct"/>
            <w:shd w:val="clear" w:color="auto" w:fill="FFFFFF"/>
          </w:tcPr>
          <w:p w14:paraId="703087BD" w14:textId="228FC236" w:rsidR="00747EE7" w:rsidRPr="009E3364" w:rsidRDefault="00747EE7" w:rsidP="00747EE7">
            <w:pPr>
              <w:pStyle w:val="CETBodytext"/>
            </w:pPr>
            <w:r w:rsidRPr="009E3364">
              <w:t>0.50</w:t>
            </w:r>
          </w:p>
        </w:tc>
      </w:tr>
      <w:tr w:rsidR="003C4132" w:rsidRPr="009E3364" w14:paraId="7A917623" w14:textId="347C8267" w:rsidTr="003C4132">
        <w:tc>
          <w:tcPr>
            <w:tcW w:w="369" w:type="pct"/>
            <w:shd w:val="clear" w:color="auto" w:fill="FFFFFF"/>
          </w:tcPr>
          <w:p w14:paraId="3492E563" w14:textId="77777777" w:rsidR="00747EE7" w:rsidRPr="009E3364" w:rsidRDefault="00747EE7" w:rsidP="00747EE7">
            <w:pPr>
              <w:pStyle w:val="CETBodytext"/>
            </w:pPr>
            <w:r w:rsidRPr="009E3364">
              <w:t>SE11</w:t>
            </w:r>
          </w:p>
        </w:tc>
        <w:tc>
          <w:tcPr>
            <w:tcW w:w="2046" w:type="pct"/>
            <w:shd w:val="clear" w:color="auto" w:fill="FFFFFF"/>
          </w:tcPr>
          <w:p w14:paraId="0276CC94" w14:textId="77777777" w:rsidR="00747EE7" w:rsidRPr="009E3364" w:rsidRDefault="00747EE7" w:rsidP="00747EE7">
            <w:pPr>
              <w:pStyle w:val="CETBodytext"/>
            </w:pPr>
            <w:r w:rsidRPr="009E3364">
              <w:t>Surveillance drones</w:t>
            </w:r>
          </w:p>
        </w:tc>
        <w:tc>
          <w:tcPr>
            <w:tcW w:w="369" w:type="pct"/>
            <w:shd w:val="clear" w:color="auto" w:fill="FFFFFF"/>
          </w:tcPr>
          <w:p w14:paraId="2292F36E" w14:textId="0F48E84F" w:rsidR="00747EE7" w:rsidRPr="009E3364" w:rsidRDefault="00747EE7" w:rsidP="00747EE7">
            <w:pPr>
              <w:pStyle w:val="CETBodytext"/>
            </w:pPr>
            <w:r w:rsidRPr="009E3364">
              <w:t>0.25</w:t>
            </w:r>
          </w:p>
        </w:tc>
        <w:tc>
          <w:tcPr>
            <w:tcW w:w="369" w:type="pct"/>
            <w:shd w:val="clear" w:color="auto" w:fill="FFFFFF"/>
          </w:tcPr>
          <w:p w14:paraId="14807098" w14:textId="7B04E787" w:rsidR="00747EE7" w:rsidRPr="009E3364" w:rsidRDefault="00747EE7" w:rsidP="00747EE7">
            <w:pPr>
              <w:pStyle w:val="CETBodytext"/>
            </w:pPr>
            <w:r w:rsidRPr="009E3364">
              <w:t>0.25</w:t>
            </w:r>
          </w:p>
        </w:tc>
        <w:tc>
          <w:tcPr>
            <w:tcW w:w="369" w:type="pct"/>
            <w:shd w:val="clear" w:color="auto" w:fill="FFFFFF"/>
          </w:tcPr>
          <w:p w14:paraId="54849EC0" w14:textId="06332388" w:rsidR="00747EE7" w:rsidRPr="009E3364" w:rsidRDefault="00747EE7" w:rsidP="00747EE7">
            <w:pPr>
              <w:pStyle w:val="CETBodytext"/>
            </w:pPr>
            <w:r w:rsidRPr="009E3364">
              <w:t>0.75</w:t>
            </w:r>
          </w:p>
        </w:tc>
        <w:tc>
          <w:tcPr>
            <w:tcW w:w="369" w:type="pct"/>
            <w:shd w:val="clear" w:color="auto" w:fill="FFFFFF"/>
          </w:tcPr>
          <w:p w14:paraId="7ECB0BCE" w14:textId="72E6DD43" w:rsidR="00747EE7" w:rsidRPr="009E3364" w:rsidRDefault="00747EE7" w:rsidP="00747EE7">
            <w:pPr>
              <w:pStyle w:val="CETBodytext"/>
            </w:pPr>
            <w:r w:rsidRPr="009E3364">
              <w:t>0.50</w:t>
            </w:r>
          </w:p>
        </w:tc>
        <w:tc>
          <w:tcPr>
            <w:tcW w:w="369" w:type="pct"/>
            <w:shd w:val="clear" w:color="auto" w:fill="FFFFFF"/>
          </w:tcPr>
          <w:p w14:paraId="27A37C97" w14:textId="1DC350C6" w:rsidR="00747EE7" w:rsidRPr="009E3364" w:rsidRDefault="00747EE7" w:rsidP="00747EE7">
            <w:pPr>
              <w:pStyle w:val="CETBodytext"/>
            </w:pPr>
            <w:r w:rsidRPr="009E3364">
              <w:t>0.75</w:t>
            </w:r>
          </w:p>
        </w:tc>
        <w:tc>
          <w:tcPr>
            <w:tcW w:w="369" w:type="pct"/>
            <w:shd w:val="clear" w:color="auto" w:fill="FFFFFF"/>
          </w:tcPr>
          <w:p w14:paraId="45EF7829" w14:textId="68FE721A" w:rsidR="00747EE7" w:rsidRPr="009E3364" w:rsidRDefault="00747EE7" w:rsidP="00747EE7">
            <w:pPr>
              <w:pStyle w:val="CETBodytext"/>
            </w:pPr>
            <w:r w:rsidRPr="009E3364">
              <w:t>0.75</w:t>
            </w:r>
          </w:p>
        </w:tc>
        <w:tc>
          <w:tcPr>
            <w:tcW w:w="369" w:type="pct"/>
            <w:shd w:val="clear" w:color="auto" w:fill="FFFFFF"/>
          </w:tcPr>
          <w:p w14:paraId="0EE1856E" w14:textId="046C35CD" w:rsidR="00747EE7" w:rsidRPr="009E3364" w:rsidRDefault="00747EE7" w:rsidP="00747EE7">
            <w:pPr>
              <w:pStyle w:val="CETBodytext"/>
            </w:pPr>
            <w:r w:rsidRPr="009E3364">
              <w:t>0.50</w:t>
            </w:r>
          </w:p>
        </w:tc>
      </w:tr>
      <w:tr w:rsidR="003C4132" w:rsidRPr="009E3364" w14:paraId="06044ACE" w14:textId="64896BAF" w:rsidTr="003C4132">
        <w:tc>
          <w:tcPr>
            <w:tcW w:w="369" w:type="pct"/>
            <w:shd w:val="clear" w:color="auto" w:fill="FFFFFF"/>
          </w:tcPr>
          <w:p w14:paraId="396E0FE1" w14:textId="77777777" w:rsidR="00747EE7" w:rsidRPr="009E3364" w:rsidRDefault="00747EE7" w:rsidP="00747EE7">
            <w:pPr>
              <w:pStyle w:val="CETBodytext"/>
            </w:pPr>
            <w:r w:rsidRPr="009E3364">
              <w:t>SE12</w:t>
            </w:r>
          </w:p>
        </w:tc>
        <w:tc>
          <w:tcPr>
            <w:tcW w:w="2046" w:type="pct"/>
            <w:shd w:val="clear" w:color="auto" w:fill="FFFFFF"/>
          </w:tcPr>
          <w:p w14:paraId="4E640B9F" w14:textId="77777777" w:rsidR="00747EE7" w:rsidRPr="009E3364" w:rsidRDefault="00747EE7" w:rsidP="00747EE7">
            <w:pPr>
              <w:pStyle w:val="CETBodytext"/>
            </w:pPr>
            <w:r w:rsidRPr="009E3364">
              <w:t>Visibility</w:t>
            </w:r>
          </w:p>
        </w:tc>
        <w:tc>
          <w:tcPr>
            <w:tcW w:w="369" w:type="pct"/>
            <w:shd w:val="clear" w:color="auto" w:fill="FFFFFF"/>
          </w:tcPr>
          <w:p w14:paraId="6F1EA747" w14:textId="53A1EFEE" w:rsidR="00747EE7" w:rsidRPr="009E3364" w:rsidRDefault="00747EE7" w:rsidP="00747EE7">
            <w:pPr>
              <w:pStyle w:val="CETBodytext"/>
            </w:pPr>
            <w:r w:rsidRPr="009E3364">
              <w:t>0.25</w:t>
            </w:r>
          </w:p>
        </w:tc>
        <w:tc>
          <w:tcPr>
            <w:tcW w:w="369" w:type="pct"/>
            <w:shd w:val="clear" w:color="auto" w:fill="FFFFFF"/>
          </w:tcPr>
          <w:p w14:paraId="34CDFBE1" w14:textId="067E63E4" w:rsidR="00747EE7" w:rsidRPr="009E3364" w:rsidRDefault="00747EE7" w:rsidP="00747EE7">
            <w:pPr>
              <w:pStyle w:val="CETBodytext"/>
            </w:pPr>
            <w:r w:rsidRPr="009E3364">
              <w:t>0.50</w:t>
            </w:r>
          </w:p>
        </w:tc>
        <w:tc>
          <w:tcPr>
            <w:tcW w:w="369" w:type="pct"/>
            <w:shd w:val="clear" w:color="auto" w:fill="FFFFFF"/>
          </w:tcPr>
          <w:p w14:paraId="0E1FDD7F" w14:textId="39CAE0EB" w:rsidR="00747EE7" w:rsidRPr="009E3364" w:rsidRDefault="00747EE7" w:rsidP="00747EE7">
            <w:pPr>
              <w:pStyle w:val="CETBodytext"/>
            </w:pPr>
            <w:r w:rsidRPr="009E3364">
              <w:t>0.50</w:t>
            </w:r>
          </w:p>
        </w:tc>
        <w:tc>
          <w:tcPr>
            <w:tcW w:w="369" w:type="pct"/>
            <w:shd w:val="clear" w:color="auto" w:fill="FFFFFF"/>
          </w:tcPr>
          <w:p w14:paraId="7781073B" w14:textId="37236EF7" w:rsidR="00747EE7" w:rsidRPr="009E3364" w:rsidRDefault="00747EE7" w:rsidP="00747EE7">
            <w:pPr>
              <w:pStyle w:val="CETBodytext"/>
            </w:pPr>
            <w:r w:rsidRPr="009E3364">
              <w:t>0.25</w:t>
            </w:r>
          </w:p>
        </w:tc>
        <w:tc>
          <w:tcPr>
            <w:tcW w:w="369" w:type="pct"/>
            <w:shd w:val="clear" w:color="auto" w:fill="FFFFFF"/>
          </w:tcPr>
          <w:p w14:paraId="06F50599" w14:textId="6564BA2B" w:rsidR="00747EE7" w:rsidRPr="009E3364" w:rsidRDefault="00747EE7" w:rsidP="00747EE7">
            <w:pPr>
              <w:pStyle w:val="CETBodytext"/>
            </w:pPr>
            <w:r w:rsidRPr="009E3364">
              <w:t>0.75</w:t>
            </w:r>
          </w:p>
        </w:tc>
        <w:tc>
          <w:tcPr>
            <w:tcW w:w="369" w:type="pct"/>
            <w:shd w:val="clear" w:color="auto" w:fill="FFFFFF"/>
          </w:tcPr>
          <w:p w14:paraId="00E47D14" w14:textId="6446E58D" w:rsidR="00747EE7" w:rsidRPr="009E3364" w:rsidRDefault="00747EE7" w:rsidP="00747EE7">
            <w:pPr>
              <w:pStyle w:val="CETBodytext"/>
            </w:pPr>
            <w:r w:rsidRPr="009E3364">
              <w:t>0.75</w:t>
            </w:r>
          </w:p>
        </w:tc>
        <w:tc>
          <w:tcPr>
            <w:tcW w:w="369" w:type="pct"/>
            <w:shd w:val="clear" w:color="auto" w:fill="FFFFFF"/>
          </w:tcPr>
          <w:p w14:paraId="589F081C" w14:textId="0EE13B93" w:rsidR="00747EE7" w:rsidRPr="009E3364" w:rsidRDefault="00747EE7" w:rsidP="00747EE7">
            <w:pPr>
              <w:pStyle w:val="CETBodytext"/>
            </w:pPr>
            <w:r w:rsidRPr="009E3364">
              <w:t>0.75</w:t>
            </w:r>
          </w:p>
        </w:tc>
      </w:tr>
      <w:tr w:rsidR="003C4132" w:rsidRPr="009E3364" w14:paraId="1D24592A" w14:textId="449C457C" w:rsidTr="003C4132">
        <w:tc>
          <w:tcPr>
            <w:tcW w:w="369" w:type="pct"/>
            <w:shd w:val="clear" w:color="auto" w:fill="FFFFFF"/>
          </w:tcPr>
          <w:p w14:paraId="6DB665A0" w14:textId="77777777" w:rsidR="00747EE7" w:rsidRPr="009E3364" w:rsidRDefault="00747EE7" w:rsidP="00747EE7">
            <w:pPr>
              <w:pStyle w:val="CETBodytext"/>
            </w:pPr>
            <w:r w:rsidRPr="009E3364">
              <w:t>SE13</w:t>
            </w:r>
          </w:p>
        </w:tc>
        <w:tc>
          <w:tcPr>
            <w:tcW w:w="2046" w:type="pct"/>
            <w:shd w:val="clear" w:color="auto" w:fill="FFFFFF"/>
          </w:tcPr>
          <w:p w14:paraId="09658C16" w14:textId="77777777" w:rsidR="00747EE7" w:rsidRPr="009E3364" w:rsidRDefault="00747EE7" w:rsidP="00747EE7">
            <w:pPr>
              <w:pStyle w:val="CETBodytext"/>
            </w:pPr>
            <w:r w:rsidRPr="009E3364">
              <w:t>Internal security personnel</w:t>
            </w:r>
          </w:p>
        </w:tc>
        <w:tc>
          <w:tcPr>
            <w:tcW w:w="369" w:type="pct"/>
            <w:shd w:val="clear" w:color="auto" w:fill="FFFFFF"/>
          </w:tcPr>
          <w:p w14:paraId="17BBDD45" w14:textId="1D0794CE" w:rsidR="00747EE7" w:rsidRPr="009E3364" w:rsidRDefault="00747EE7" w:rsidP="00747EE7">
            <w:pPr>
              <w:pStyle w:val="CETBodytext"/>
            </w:pPr>
            <w:r w:rsidRPr="009E3364">
              <w:t>0.75</w:t>
            </w:r>
          </w:p>
        </w:tc>
        <w:tc>
          <w:tcPr>
            <w:tcW w:w="369" w:type="pct"/>
            <w:shd w:val="clear" w:color="auto" w:fill="FFFFFF"/>
          </w:tcPr>
          <w:p w14:paraId="1CBE7FB6" w14:textId="46E471E3" w:rsidR="00747EE7" w:rsidRPr="009E3364" w:rsidRDefault="00747EE7" w:rsidP="00747EE7">
            <w:pPr>
              <w:pStyle w:val="CETBodytext"/>
            </w:pPr>
            <w:r w:rsidRPr="009E3364">
              <w:t>0.75</w:t>
            </w:r>
          </w:p>
        </w:tc>
        <w:tc>
          <w:tcPr>
            <w:tcW w:w="369" w:type="pct"/>
            <w:shd w:val="clear" w:color="auto" w:fill="FFFFFF"/>
          </w:tcPr>
          <w:p w14:paraId="09E819AF" w14:textId="44F1DD24" w:rsidR="00747EE7" w:rsidRPr="009E3364" w:rsidRDefault="00747EE7" w:rsidP="00747EE7">
            <w:pPr>
              <w:pStyle w:val="CETBodytext"/>
            </w:pPr>
            <w:r w:rsidRPr="009E3364">
              <w:t>0.50</w:t>
            </w:r>
          </w:p>
        </w:tc>
        <w:tc>
          <w:tcPr>
            <w:tcW w:w="369" w:type="pct"/>
            <w:shd w:val="clear" w:color="auto" w:fill="FFFFFF"/>
          </w:tcPr>
          <w:p w14:paraId="282E0AA6" w14:textId="0DBD9974" w:rsidR="00747EE7" w:rsidRPr="009E3364" w:rsidRDefault="00747EE7" w:rsidP="00747EE7">
            <w:pPr>
              <w:pStyle w:val="CETBodytext"/>
            </w:pPr>
            <w:r w:rsidRPr="009E3364">
              <w:t>0.25</w:t>
            </w:r>
          </w:p>
        </w:tc>
        <w:tc>
          <w:tcPr>
            <w:tcW w:w="369" w:type="pct"/>
            <w:shd w:val="clear" w:color="auto" w:fill="FFFFFF"/>
          </w:tcPr>
          <w:p w14:paraId="3A22814F" w14:textId="3DB4B5C8" w:rsidR="00747EE7" w:rsidRPr="009E3364" w:rsidRDefault="00747EE7" w:rsidP="00747EE7">
            <w:pPr>
              <w:pStyle w:val="CETBodytext"/>
            </w:pPr>
            <w:r w:rsidRPr="009E3364">
              <w:t>0.50</w:t>
            </w:r>
          </w:p>
        </w:tc>
        <w:tc>
          <w:tcPr>
            <w:tcW w:w="369" w:type="pct"/>
            <w:shd w:val="clear" w:color="auto" w:fill="FFFFFF"/>
          </w:tcPr>
          <w:p w14:paraId="58C796AE" w14:textId="58AE8DCD" w:rsidR="00747EE7" w:rsidRPr="009E3364" w:rsidRDefault="00747EE7" w:rsidP="00747EE7">
            <w:pPr>
              <w:pStyle w:val="CETBodytext"/>
            </w:pPr>
            <w:r w:rsidRPr="009E3364">
              <w:t>0.50</w:t>
            </w:r>
          </w:p>
        </w:tc>
        <w:tc>
          <w:tcPr>
            <w:tcW w:w="369" w:type="pct"/>
            <w:shd w:val="clear" w:color="auto" w:fill="FFFFFF"/>
          </w:tcPr>
          <w:p w14:paraId="7BEC6906" w14:textId="3B82CAA3" w:rsidR="00747EE7" w:rsidRPr="009E3364" w:rsidRDefault="00747EE7" w:rsidP="00747EE7">
            <w:pPr>
              <w:pStyle w:val="CETBodytext"/>
            </w:pPr>
            <w:r w:rsidRPr="009E3364">
              <w:t>0.75</w:t>
            </w:r>
          </w:p>
        </w:tc>
      </w:tr>
      <w:tr w:rsidR="003C4132" w:rsidRPr="009E3364" w14:paraId="389888DB" w14:textId="46D9A23D" w:rsidTr="003C4132">
        <w:tc>
          <w:tcPr>
            <w:tcW w:w="369" w:type="pct"/>
            <w:shd w:val="clear" w:color="auto" w:fill="FFFFFF"/>
          </w:tcPr>
          <w:p w14:paraId="167D6379" w14:textId="77777777" w:rsidR="00747EE7" w:rsidRPr="009E3364" w:rsidRDefault="00747EE7" w:rsidP="00747EE7">
            <w:pPr>
              <w:pStyle w:val="CETBodytext"/>
            </w:pPr>
            <w:r w:rsidRPr="009E3364">
              <w:t>SE14</w:t>
            </w:r>
          </w:p>
        </w:tc>
        <w:tc>
          <w:tcPr>
            <w:tcW w:w="2046" w:type="pct"/>
            <w:shd w:val="clear" w:color="auto" w:fill="FFFFFF"/>
          </w:tcPr>
          <w:p w14:paraId="635DC9CF" w14:textId="77777777" w:rsidR="00747EE7" w:rsidRPr="009E3364" w:rsidRDefault="00747EE7" w:rsidP="00747EE7">
            <w:pPr>
              <w:pStyle w:val="CETBodytext"/>
            </w:pPr>
            <w:r w:rsidRPr="009E3364">
              <w:t>Working personnel</w:t>
            </w:r>
          </w:p>
        </w:tc>
        <w:tc>
          <w:tcPr>
            <w:tcW w:w="369" w:type="pct"/>
            <w:shd w:val="clear" w:color="auto" w:fill="FFFFFF"/>
          </w:tcPr>
          <w:p w14:paraId="2013F486" w14:textId="7FD685AB" w:rsidR="00747EE7" w:rsidRPr="009E3364" w:rsidRDefault="00747EE7" w:rsidP="00747EE7">
            <w:pPr>
              <w:pStyle w:val="CETBodytext"/>
            </w:pPr>
            <w:r w:rsidRPr="009E3364">
              <w:t>0.95</w:t>
            </w:r>
          </w:p>
        </w:tc>
        <w:tc>
          <w:tcPr>
            <w:tcW w:w="369" w:type="pct"/>
            <w:shd w:val="clear" w:color="auto" w:fill="FFFFFF"/>
          </w:tcPr>
          <w:p w14:paraId="7EF8537D" w14:textId="63D2E256" w:rsidR="00747EE7" w:rsidRPr="009E3364" w:rsidRDefault="00747EE7" w:rsidP="00747EE7">
            <w:pPr>
              <w:pStyle w:val="CETBodytext"/>
            </w:pPr>
            <w:r w:rsidRPr="009E3364">
              <w:t>0.95</w:t>
            </w:r>
          </w:p>
        </w:tc>
        <w:tc>
          <w:tcPr>
            <w:tcW w:w="369" w:type="pct"/>
            <w:shd w:val="clear" w:color="auto" w:fill="FFFFFF"/>
          </w:tcPr>
          <w:p w14:paraId="45015A60" w14:textId="2C41E8C4" w:rsidR="00747EE7" w:rsidRPr="009E3364" w:rsidRDefault="00747EE7" w:rsidP="00747EE7">
            <w:pPr>
              <w:pStyle w:val="CETBodytext"/>
            </w:pPr>
            <w:r w:rsidRPr="009E3364">
              <w:t>0.50</w:t>
            </w:r>
          </w:p>
        </w:tc>
        <w:tc>
          <w:tcPr>
            <w:tcW w:w="369" w:type="pct"/>
            <w:shd w:val="clear" w:color="auto" w:fill="FFFFFF"/>
          </w:tcPr>
          <w:p w14:paraId="5FF4F89A" w14:textId="778B73C7" w:rsidR="00747EE7" w:rsidRPr="009E3364" w:rsidRDefault="00747EE7" w:rsidP="00747EE7">
            <w:pPr>
              <w:pStyle w:val="CETBodytext"/>
            </w:pPr>
            <w:r w:rsidRPr="009E3364">
              <w:t>0.50</w:t>
            </w:r>
          </w:p>
        </w:tc>
        <w:tc>
          <w:tcPr>
            <w:tcW w:w="369" w:type="pct"/>
            <w:shd w:val="clear" w:color="auto" w:fill="FFFFFF"/>
          </w:tcPr>
          <w:p w14:paraId="2631DDD8" w14:textId="3BE58B8F" w:rsidR="00747EE7" w:rsidRPr="009E3364" w:rsidRDefault="00747EE7" w:rsidP="00747EE7">
            <w:pPr>
              <w:pStyle w:val="CETBodytext"/>
            </w:pPr>
            <w:r w:rsidRPr="009E3364">
              <w:t>0.75</w:t>
            </w:r>
          </w:p>
        </w:tc>
        <w:tc>
          <w:tcPr>
            <w:tcW w:w="369" w:type="pct"/>
            <w:shd w:val="clear" w:color="auto" w:fill="FFFFFF"/>
          </w:tcPr>
          <w:p w14:paraId="62187F95" w14:textId="7027C6EF" w:rsidR="00747EE7" w:rsidRPr="009E3364" w:rsidRDefault="00747EE7" w:rsidP="00747EE7">
            <w:pPr>
              <w:pStyle w:val="CETBodytext"/>
            </w:pPr>
            <w:r w:rsidRPr="009E3364">
              <w:t>0.50</w:t>
            </w:r>
          </w:p>
        </w:tc>
        <w:tc>
          <w:tcPr>
            <w:tcW w:w="369" w:type="pct"/>
            <w:shd w:val="clear" w:color="auto" w:fill="FFFFFF"/>
          </w:tcPr>
          <w:p w14:paraId="60E36858" w14:textId="4107C4CC" w:rsidR="00747EE7" w:rsidRPr="009E3364" w:rsidRDefault="00747EE7" w:rsidP="00747EE7">
            <w:pPr>
              <w:pStyle w:val="CETBodytext"/>
            </w:pPr>
            <w:r w:rsidRPr="009E3364">
              <w:t>0.75</w:t>
            </w:r>
          </w:p>
        </w:tc>
      </w:tr>
      <w:tr w:rsidR="003C4132" w:rsidRPr="009E3364" w14:paraId="6BEAE9AD" w14:textId="1E83AC4C" w:rsidTr="003C4132">
        <w:tc>
          <w:tcPr>
            <w:tcW w:w="369" w:type="pct"/>
            <w:shd w:val="clear" w:color="auto" w:fill="FFFFFF"/>
          </w:tcPr>
          <w:p w14:paraId="4EC6FAAC" w14:textId="77777777" w:rsidR="00747EE7" w:rsidRPr="009E3364" w:rsidRDefault="00747EE7" w:rsidP="00747EE7">
            <w:pPr>
              <w:pStyle w:val="CETBodytext"/>
            </w:pPr>
            <w:r w:rsidRPr="009E3364">
              <w:t>SE15</w:t>
            </w:r>
          </w:p>
        </w:tc>
        <w:tc>
          <w:tcPr>
            <w:tcW w:w="2046" w:type="pct"/>
            <w:shd w:val="clear" w:color="auto" w:fill="FFFFFF"/>
          </w:tcPr>
          <w:p w14:paraId="428B6C67" w14:textId="77777777" w:rsidR="00747EE7" w:rsidRPr="009E3364" w:rsidRDefault="00747EE7" w:rsidP="00747EE7">
            <w:pPr>
              <w:pStyle w:val="CETBodytext"/>
            </w:pPr>
            <w:r w:rsidRPr="009E3364">
              <w:t>External security personnel</w:t>
            </w:r>
          </w:p>
        </w:tc>
        <w:tc>
          <w:tcPr>
            <w:tcW w:w="369" w:type="pct"/>
            <w:shd w:val="clear" w:color="auto" w:fill="FFFFFF"/>
          </w:tcPr>
          <w:p w14:paraId="79CA960A" w14:textId="71588DF3" w:rsidR="00747EE7" w:rsidRPr="009E3364" w:rsidRDefault="00747EE7" w:rsidP="00747EE7">
            <w:pPr>
              <w:pStyle w:val="CETBodytext"/>
            </w:pPr>
            <w:r w:rsidRPr="009E3364">
              <w:t>0.75</w:t>
            </w:r>
          </w:p>
        </w:tc>
        <w:tc>
          <w:tcPr>
            <w:tcW w:w="369" w:type="pct"/>
            <w:shd w:val="clear" w:color="auto" w:fill="FFFFFF"/>
          </w:tcPr>
          <w:p w14:paraId="592B9061" w14:textId="6D4A8E59" w:rsidR="00747EE7" w:rsidRPr="009E3364" w:rsidRDefault="00747EE7" w:rsidP="00747EE7">
            <w:pPr>
              <w:pStyle w:val="CETBodytext"/>
            </w:pPr>
            <w:r w:rsidRPr="009E3364">
              <w:t>0.75</w:t>
            </w:r>
          </w:p>
        </w:tc>
        <w:tc>
          <w:tcPr>
            <w:tcW w:w="369" w:type="pct"/>
            <w:shd w:val="clear" w:color="auto" w:fill="FFFFFF"/>
          </w:tcPr>
          <w:p w14:paraId="48A5DFCF" w14:textId="6043DBE6" w:rsidR="00747EE7" w:rsidRPr="009E3364" w:rsidRDefault="00747EE7" w:rsidP="00747EE7">
            <w:pPr>
              <w:pStyle w:val="CETBodytext"/>
            </w:pPr>
            <w:r w:rsidRPr="009E3364">
              <w:t>0.50</w:t>
            </w:r>
          </w:p>
        </w:tc>
        <w:tc>
          <w:tcPr>
            <w:tcW w:w="369" w:type="pct"/>
            <w:shd w:val="clear" w:color="auto" w:fill="FFFFFF"/>
          </w:tcPr>
          <w:p w14:paraId="1E87D813" w14:textId="2657F23B" w:rsidR="00747EE7" w:rsidRPr="009E3364" w:rsidRDefault="00747EE7" w:rsidP="00747EE7">
            <w:pPr>
              <w:pStyle w:val="CETBodytext"/>
            </w:pPr>
            <w:r w:rsidRPr="009E3364">
              <w:t>0.50</w:t>
            </w:r>
          </w:p>
        </w:tc>
        <w:tc>
          <w:tcPr>
            <w:tcW w:w="369" w:type="pct"/>
            <w:shd w:val="clear" w:color="auto" w:fill="FFFFFF"/>
          </w:tcPr>
          <w:p w14:paraId="3C759569" w14:textId="16F47596" w:rsidR="00747EE7" w:rsidRPr="009E3364" w:rsidRDefault="00747EE7" w:rsidP="00747EE7">
            <w:pPr>
              <w:pStyle w:val="CETBodytext"/>
            </w:pPr>
            <w:r w:rsidRPr="009E3364">
              <w:t>0.50</w:t>
            </w:r>
          </w:p>
        </w:tc>
        <w:tc>
          <w:tcPr>
            <w:tcW w:w="369" w:type="pct"/>
            <w:shd w:val="clear" w:color="auto" w:fill="FFFFFF"/>
          </w:tcPr>
          <w:p w14:paraId="05F1A0A9" w14:textId="3B4FBF27" w:rsidR="00747EE7" w:rsidRPr="009E3364" w:rsidRDefault="00747EE7" w:rsidP="00747EE7">
            <w:pPr>
              <w:pStyle w:val="CETBodytext"/>
            </w:pPr>
            <w:r w:rsidRPr="009E3364">
              <w:t>0.50</w:t>
            </w:r>
          </w:p>
        </w:tc>
        <w:tc>
          <w:tcPr>
            <w:tcW w:w="369" w:type="pct"/>
            <w:shd w:val="clear" w:color="auto" w:fill="FFFFFF"/>
          </w:tcPr>
          <w:p w14:paraId="21AD19C3" w14:textId="7D6515D4" w:rsidR="00747EE7" w:rsidRPr="009E3364" w:rsidRDefault="00747EE7" w:rsidP="00747EE7">
            <w:pPr>
              <w:pStyle w:val="CETBodytext"/>
            </w:pPr>
            <w:r w:rsidRPr="009E3364">
              <w:t>0.75</w:t>
            </w:r>
          </w:p>
        </w:tc>
      </w:tr>
      <w:tr w:rsidR="003C4132" w:rsidRPr="009E3364" w14:paraId="7AEB6071" w14:textId="74C18A2E" w:rsidTr="003C4132">
        <w:tc>
          <w:tcPr>
            <w:tcW w:w="369" w:type="pct"/>
            <w:shd w:val="clear" w:color="auto" w:fill="FFFFFF"/>
          </w:tcPr>
          <w:p w14:paraId="2E138F5B" w14:textId="77777777" w:rsidR="00747EE7" w:rsidRPr="009E3364" w:rsidRDefault="00747EE7" w:rsidP="00747EE7">
            <w:pPr>
              <w:pStyle w:val="CETBodytext"/>
            </w:pPr>
            <w:r w:rsidRPr="009E3364">
              <w:lastRenderedPageBreak/>
              <w:t>SE16</w:t>
            </w:r>
          </w:p>
        </w:tc>
        <w:tc>
          <w:tcPr>
            <w:tcW w:w="2046" w:type="pct"/>
            <w:shd w:val="clear" w:color="auto" w:fill="FFFFFF"/>
          </w:tcPr>
          <w:p w14:paraId="3F6F5320" w14:textId="77777777" w:rsidR="00747EE7" w:rsidRPr="009E3364" w:rsidRDefault="00747EE7" w:rsidP="00747EE7">
            <w:pPr>
              <w:pStyle w:val="CETBodytext"/>
            </w:pPr>
            <w:r w:rsidRPr="009E3364">
              <w:t>Access route to the site</w:t>
            </w:r>
          </w:p>
        </w:tc>
        <w:tc>
          <w:tcPr>
            <w:tcW w:w="369" w:type="pct"/>
            <w:shd w:val="clear" w:color="auto" w:fill="FFFFFF"/>
          </w:tcPr>
          <w:p w14:paraId="2CD4CDE4" w14:textId="5E391251" w:rsidR="00747EE7" w:rsidRPr="009E3364" w:rsidRDefault="00747EE7" w:rsidP="00747EE7">
            <w:pPr>
              <w:pStyle w:val="CETBodytext"/>
            </w:pPr>
            <w:r w:rsidRPr="009E3364">
              <w:t>0.85</w:t>
            </w:r>
          </w:p>
        </w:tc>
        <w:tc>
          <w:tcPr>
            <w:tcW w:w="369" w:type="pct"/>
            <w:shd w:val="clear" w:color="auto" w:fill="FFFFFF"/>
          </w:tcPr>
          <w:p w14:paraId="0B7F574F" w14:textId="4E8086BD" w:rsidR="00747EE7" w:rsidRPr="009E3364" w:rsidRDefault="00747EE7" w:rsidP="00747EE7">
            <w:pPr>
              <w:pStyle w:val="CETBodytext"/>
            </w:pPr>
            <w:r w:rsidRPr="009E3364">
              <w:t>0.95</w:t>
            </w:r>
          </w:p>
        </w:tc>
        <w:tc>
          <w:tcPr>
            <w:tcW w:w="369" w:type="pct"/>
            <w:shd w:val="clear" w:color="auto" w:fill="FFFFFF"/>
          </w:tcPr>
          <w:p w14:paraId="7DE5FAC8" w14:textId="33BDEE48" w:rsidR="00747EE7" w:rsidRPr="009E3364" w:rsidRDefault="00747EE7" w:rsidP="00747EE7">
            <w:pPr>
              <w:pStyle w:val="CETBodytext"/>
            </w:pPr>
            <w:r w:rsidRPr="009E3364">
              <w:t>0.50</w:t>
            </w:r>
          </w:p>
        </w:tc>
        <w:tc>
          <w:tcPr>
            <w:tcW w:w="369" w:type="pct"/>
            <w:shd w:val="clear" w:color="auto" w:fill="FFFFFF"/>
          </w:tcPr>
          <w:p w14:paraId="7AD2CDB4" w14:textId="186B1008" w:rsidR="00747EE7" w:rsidRPr="009E3364" w:rsidRDefault="00747EE7" w:rsidP="00747EE7">
            <w:pPr>
              <w:pStyle w:val="CETBodytext"/>
            </w:pPr>
            <w:r w:rsidRPr="009E3364">
              <w:t>0.25</w:t>
            </w:r>
          </w:p>
        </w:tc>
        <w:tc>
          <w:tcPr>
            <w:tcW w:w="369" w:type="pct"/>
            <w:shd w:val="clear" w:color="auto" w:fill="FFFFFF"/>
          </w:tcPr>
          <w:p w14:paraId="3FDEF8D4" w14:textId="5E52CE82" w:rsidR="00747EE7" w:rsidRPr="009E3364" w:rsidRDefault="00747EE7" w:rsidP="00747EE7">
            <w:pPr>
              <w:pStyle w:val="CETBodytext"/>
            </w:pPr>
            <w:r w:rsidRPr="009E3364">
              <w:t>0.50</w:t>
            </w:r>
          </w:p>
        </w:tc>
        <w:tc>
          <w:tcPr>
            <w:tcW w:w="369" w:type="pct"/>
            <w:shd w:val="clear" w:color="auto" w:fill="FFFFFF"/>
          </w:tcPr>
          <w:p w14:paraId="67FCB49B" w14:textId="29C935A2" w:rsidR="00747EE7" w:rsidRPr="009E3364" w:rsidRDefault="00747EE7" w:rsidP="00747EE7">
            <w:pPr>
              <w:pStyle w:val="CETBodytext"/>
            </w:pPr>
            <w:r w:rsidRPr="009E3364">
              <w:t>0.75</w:t>
            </w:r>
          </w:p>
        </w:tc>
        <w:tc>
          <w:tcPr>
            <w:tcW w:w="369" w:type="pct"/>
            <w:shd w:val="clear" w:color="auto" w:fill="FFFFFF"/>
          </w:tcPr>
          <w:p w14:paraId="64A9851C" w14:textId="271B4A9D" w:rsidR="00747EE7" w:rsidRPr="009E3364" w:rsidRDefault="00747EE7" w:rsidP="00747EE7">
            <w:pPr>
              <w:pStyle w:val="CETBodytext"/>
            </w:pPr>
            <w:r w:rsidRPr="009E3364">
              <w:t>0.75</w:t>
            </w:r>
          </w:p>
        </w:tc>
      </w:tr>
      <w:tr w:rsidR="003C4132" w:rsidRPr="009E3364" w14:paraId="33FD9A65" w14:textId="20783A8F" w:rsidTr="003C4132">
        <w:tc>
          <w:tcPr>
            <w:tcW w:w="369" w:type="pct"/>
            <w:shd w:val="clear" w:color="auto" w:fill="FFFFFF"/>
          </w:tcPr>
          <w:p w14:paraId="32DFCD3B" w14:textId="77777777" w:rsidR="00747EE7" w:rsidRPr="009E3364" w:rsidRDefault="00747EE7" w:rsidP="00747EE7">
            <w:pPr>
              <w:pStyle w:val="CETBodytext"/>
              <w:ind w:right="-1"/>
              <w:rPr>
                <w:rFonts w:cs="Arial"/>
                <w:szCs w:val="18"/>
                <w:lang w:val="en-GB"/>
              </w:rPr>
            </w:pPr>
            <w:r w:rsidRPr="009E3364">
              <w:t>SE17</w:t>
            </w:r>
          </w:p>
        </w:tc>
        <w:tc>
          <w:tcPr>
            <w:tcW w:w="2046" w:type="pct"/>
            <w:shd w:val="clear" w:color="auto" w:fill="FFFFFF"/>
          </w:tcPr>
          <w:p w14:paraId="4ED125C7" w14:textId="77777777" w:rsidR="00747EE7" w:rsidRPr="009E3364" w:rsidRDefault="00747EE7" w:rsidP="00747EE7">
            <w:pPr>
              <w:pStyle w:val="CETBodytext"/>
              <w:ind w:right="-1"/>
              <w:rPr>
                <w:rFonts w:cs="Arial"/>
                <w:szCs w:val="18"/>
                <w:lang w:val="en-GB"/>
              </w:rPr>
            </w:pPr>
            <w:r w:rsidRPr="009E3364">
              <w:t>External security personnel performance</w:t>
            </w:r>
          </w:p>
        </w:tc>
        <w:tc>
          <w:tcPr>
            <w:tcW w:w="369" w:type="pct"/>
            <w:shd w:val="clear" w:color="auto" w:fill="FFFFFF"/>
          </w:tcPr>
          <w:p w14:paraId="48A318DC" w14:textId="6CCB8785" w:rsidR="00747EE7" w:rsidRPr="009E3364" w:rsidRDefault="00747EE7" w:rsidP="00747EE7">
            <w:pPr>
              <w:pStyle w:val="CETBodytext"/>
              <w:ind w:right="-1"/>
              <w:rPr>
                <w:rFonts w:cs="Arial"/>
                <w:strike/>
                <w:szCs w:val="18"/>
                <w:lang w:val="en-GB"/>
              </w:rPr>
            </w:pPr>
            <w:r w:rsidRPr="009E3364">
              <w:t>0.75</w:t>
            </w:r>
          </w:p>
        </w:tc>
        <w:tc>
          <w:tcPr>
            <w:tcW w:w="369" w:type="pct"/>
            <w:shd w:val="clear" w:color="auto" w:fill="FFFFFF"/>
          </w:tcPr>
          <w:p w14:paraId="2DCC8025" w14:textId="571AED9B" w:rsidR="00747EE7" w:rsidRPr="009E3364" w:rsidRDefault="00747EE7" w:rsidP="00747EE7">
            <w:pPr>
              <w:pStyle w:val="CETBodytext"/>
              <w:ind w:right="-1"/>
            </w:pPr>
            <w:r w:rsidRPr="009E3364">
              <w:t>0.75</w:t>
            </w:r>
          </w:p>
        </w:tc>
        <w:tc>
          <w:tcPr>
            <w:tcW w:w="369" w:type="pct"/>
            <w:shd w:val="clear" w:color="auto" w:fill="FFFFFF"/>
          </w:tcPr>
          <w:p w14:paraId="0CFD226D" w14:textId="3F1A298D" w:rsidR="00747EE7" w:rsidRPr="009E3364" w:rsidRDefault="00747EE7" w:rsidP="00747EE7">
            <w:pPr>
              <w:pStyle w:val="CETBodytext"/>
              <w:ind w:right="-1"/>
            </w:pPr>
            <w:r w:rsidRPr="009E3364">
              <w:t>0.50</w:t>
            </w:r>
          </w:p>
        </w:tc>
        <w:tc>
          <w:tcPr>
            <w:tcW w:w="369" w:type="pct"/>
            <w:shd w:val="clear" w:color="auto" w:fill="FFFFFF"/>
          </w:tcPr>
          <w:p w14:paraId="661E68B1" w14:textId="69B8E2AF" w:rsidR="00747EE7" w:rsidRPr="009E3364" w:rsidRDefault="00747EE7" w:rsidP="00747EE7">
            <w:pPr>
              <w:pStyle w:val="CETBodytext"/>
              <w:ind w:right="-1"/>
            </w:pPr>
            <w:r w:rsidRPr="009E3364">
              <w:t>0.25</w:t>
            </w:r>
          </w:p>
        </w:tc>
        <w:tc>
          <w:tcPr>
            <w:tcW w:w="369" w:type="pct"/>
            <w:shd w:val="clear" w:color="auto" w:fill="FFFFFF"/>
          </w:tcPr>
          <w:p w14:paraId="3F6B4F00" w14:textId="74DD32F4" w:rsidR="00747EE7" w:rsidRPr="009E3364" w:rsidRDefault="00747EE7" w:rsidP="00747EE7">
            <w:pPr>
              <w:pStyle w:val="CETBodytext"/>
              <w:ind w:right="-1"/>
            </w:pPr>
            <w:r w:rsidRPr="009E3364">
              <w:t>0.50</w:t>
            </w:r>
          </w:p>
        </w:tc>
        <w:tc>
          <w:tcPr>
            <w:tcW w:w="369" w:type="pct"/>
            <w:shd w:val="clear" w:color="auto" w:fill="FFFFFF"/>
          </w:tcPr>
          <w:p w14:paraId="12C27EAE" w14:textId="64F8C39C" w:rsidR="00747EE7" w:rsidRPr="009E3364" w:rsidRDefault="00747EE7" w:rsidP="00747EE7">
            <w:pPr>
              <w:pStyle w:val="CETBodytext"/>
              <w:ind w:right="-1"/>
            </w:pPr>
            <w:r w:rsidRPr="009E3364">
              <w:t>0.50</w:t>
            </w:r>
          </w:p>
        </w:tc>
        <w:tc>
          <w:tcPr>
            <w:tcW w:w="369" w:type="pct"/>
            <w:shd w:val="clear" w:color="auto" w:fill="FFFFFF"/>
          </w:tcPr>
          <w:p w14:paraId="4A829E38" w14:textId="36751303" w:rsidR="00747EE7" w:rsidRPr="009E3364" w:rsidRDefault="00747EE7" w:rsidP="00747EE7">
            <w:pPr>
              <w:pStyle w:val="CETBodytext"/>
              <w:ind w:right="-1"/>
            </w:pPr>
            <w:r w:rsidRPr="009E3364">
              <w:t>0.75</w:t>
            </w:r>
          </w:p>
        </w:tc>
      </w:tr>
    </w:tbl>
    <w:p w14:paraId="5A9FD9A9" w14:textId="2C154C4C" w:rsidR="00570691" w:rsidRPr="009E3364" w:rsidRDefault="00570691" w:rsidP="00570691">
      <w:pPr>
        <w:pStyle w:val="CETHeading1"/>
      </w:pPr>
      <w:r w:rsidRPr="009E3364">
        <w:t>Conclusions</w:t>
      </w:r>
    </w:p>
    <w:p w14:paraId="51B60409" w14:textId="58B7DD18" w:rsidR="002C6637" w:rsidRPr="009E3364" w:rsidRDefault="002C6637" w:rsidP="002C6637">
      <w:pPr>
        <w:pStyle w:val="CETBodytext"/>
      </w:pPr>
      <w:r w:rsidRPr="009E3364">
        <w:t>Natural hazards can significantly degrade the effectiveness of security elements in chemical and process facilities and, if neglected, may lead to an underestimation of security vulnerability. Although they do not directly cause intentional attacks, they can weaken site protection and increase exposure to security threats. Natural hazards should therefore be considered within security risk assessment.</w:t>
      </w:r>
      <w:r w:rsidR="00907694" w:rsidRPr="009E3364">
        <w:t xml:space="preserve"> </w:t>
      </w:r>
      <w:r w:rsidR="00A66DC3" w:rsidRPr="009E3364">
        <w:t xml:space="preserve">In this framework, the results of the present study </w:t>
      </w:r>
      <w:r w:rsidRPr="009E3364">
        <w:t xml:space="preserve">the </w:t>
      </w:r>
      <w:r w:rsidR="00907694" w:rsidRPr="009E3364">
        <w:t>development</w:t>
      </w:r>
      <w:r w:rsidRPr="009E3364">
        <w:t xml:space="preserve"> of security assessment approaches that explicitly account for the degradation of security functions under natural-hazard conditions, particularly during the recovery phase. Overall, the study highlights the need for more integrated safety</w:t>
      </w:r>
      <w:r w:rsidR="00907694" w:rsidRPr="009E3364">
        <w:t>-</w:t>
      </w:r>
      <w:r w:rsidRPr="009E3364">
        <w:t>security risk management in chemical sites.</w:t>
      </w:r>
    </w:p>
    <w:p w14:paraId="544E23D7" w14:textId="307593AE" w:rsidR="00907694" w:rsidRPr="009E3364" w:rsidRDefault="00907694" w:rsidP="00907694">
      <w:pPr>
        <w:pStyle w:val="CETReference"/>
      </w:pPr>
      <w:r w:rsidRPr="009E3364">
        <w:t>References</w:t>
      </w:r>
    </w:p>
    <w:p w14:paraId="1759DF92" w14:textId="77777777" w:rsidR="00E30E31" w:rsidRPr="009E3364" w:rsidRDefault="00E30E31" w:rsidP="00E30E31">
      <w:pPr>
        <w:pStyle w:val="CETReferencetext"/>
      </w:pPr>
      <w:r w:rsidRPr="009E3364">
        <w:t>American Petroleum Institute, 2013. API RP 780 - Security Risk Assessment Methodology for the Petroleum and Petrochemical Industries.</w:t>
      </w:r>
    </w:p>
    <w:p w14:paraId="6DE294BD" w14:textId="77777777" w:rsidR="00E30E31" w:rsidRPr="009E3364" w:rsidRDefault="00E30E31" w:rsidP="00E30E31">
      <w:pPr>
        <w:pStyle w:val="CETReferencetext"/>
      </w:pPr>
      <w:r w:rsidRPr="009E3364">
        <w:t xml:space="preserve">Center for Chemical Process Safety, 2003. Guidelines for </w:t>
      </w:r>
      <w:proofErr w:type="spellStart"/>
      <w:r w:rsidRPr="009E3364">
        <w:t>Analyzing</w:t>
      </w:r>
      <w:proofErr w:type="spellEnd"/>
      <w:r w:rsidRPr="009E3364">
        <w:t xml:space="preserve"> and Managing the Security Vulnerabilities of Fixed Chemical Sites.</w:t>
      </w:r>
    </w:p>
    <w:p w14:paraId="28711969" w14:textId="4F65FDCF" w:rsidR="00E30E31" w:rsidRPr="009E3364" w:rsidRDefault="00E30E31" w:rsidP="00E30E31">
      <w:pPr>
        <w:pStyle w:val="CETReferencetext"/>
      </w:pPr>
      <w:proofErr w:type="spellStart"/>
      <w:r w:rsidRPr="009E3364">
        <w:t>Chockalingam</w:t>
      </w:r>
      <w:proofErr w:type="spellEnd"/>
      <w:r w:rsidRPr="009E3364">
        <w:t>, S., Pieters, W., Teixeira, A.M.H., van Gelder, P., 2023. Probability elicitation for Bayesian networks to distinguish between intentional attacks and accidental technical failures. Journal of Information Security and Applications 75, 103497.</w:t>
      </w:r>
    </w:p>
    <w:p w14:paraId="15E8A9A3" w14:textId="77777777" w:rsidR="00E30E31" w:rsidRPr="009E3364" w:rsidRDefault="00E30E31" w:rsidP="00E30E31">
      <w:pPr>
        <w:pStyle w:val="CETReferencetext"/>
      </w:pPr>
      <w:r w:rsidRPr="009E3364">
        <w:t xml:space="preserve">Cooke, R., </w:t>
      </w:r>
      <w:proofErr w:type="spellStart"/>
      <w:r w:rsidRPr="009E3364">
        <w:t>Goossens</w:t>
      </w:r>
      <w:proofErr w:type="spellEnd"/>
      <w:r w:rsidRPr="009E3364">
        <w:t>, L., 1999. Procedures guide for structured expert judgment - EUR 18820 EN. European Commission, Luxembourg.</w:t>
      </w:r>
    </w:p>
    <w:p w14:paraId="19C0998D" w14:textId="77777777" w:rsidR="00E30E31" w:rsidRPr="009E3364" w:rsidRDefault="00E30E31" w:rsidP="00E30E31">
      <w:pPr>
        <w:pStyle w:val="CETReferencetext"/>
      </w:pPr>
      <w:r w:rsidRPr="009E3364">
        <w:t>Evans, A., Horowitz, S., Le, T., Cohn, B., 2021. Impact of Extreme Weather Events on Physical Protection System Effectiveness for a Hypothetical Small Modular Reactor Facility: Systems Analysis and Considerations. Albuquerque (New Mexico) and Livermore (California).</w:t>
      </w:r>
    </w:p>
    <w:p w14:paraId="0CCF66B4" w14:textId="6E5E526C" w:rsidR="00E30E31" w:rsidRPr="009E3364" w:rsidRDefault="00E30E31" w:rsidP="00E30E31">
      <w:pPr>
        <w:pStyle w:val="CETReferencetext"/>
      </w:pPr>
      <w:r w:rsidRPr="009E3364">
        <w:t>Garcia, M.L., 2007. The Design and Evaluation of Physical Protection Systems, Design and Evaluation of Physical Protection Systems: Second Edition. Butterworth-Heinemann (Elsevier).</w:t>
      </w:r>
    </w:p>
    <w:p w14:paraId="0BA3CEE0" w14:textId="41F0F35E" w:rsidR="00E30E31" w:rsidRPr="009E3364" w:rsidRDefault="00E30E31" w:rsidP="00E30E31">
      <w:pPr>
        <w:pStyle w:val="CETReferencetext"/>
      </w:pPr>
      <w:r w:rsidRPr="009E3364">
        <w:t xml:space="preserve">George, P.G., </w:t>
      </w:r>
      <w:proofErr w:type="spellStart"/>
      <w:r w:rsidRPr="009E3364">
        <w:t>Renjith</w:t>
      </w:r>
      <w:proofErr w:type="spellEnd"/>
      <w:r w:rsidRPr="009E3364">
        <w:t>, V.R., 2021. Evolution of Safety and Security Risk Assessment methodologies towards the use of Bayesian Networks in Process Industries. Process Safety and Environmental Protection 149, 758–775.</w:t>
      </w:r>
    </w:p>
    <w:p w14:paraId="264425CB" w14:textId="53B54333" w:rsidR="00E30E31" w:rsidRPr="009E3364" w:rsidRDefault="00E30E31" w:rsidP="00E30E31">
      <w:pPr>
        <w:pStyle w:val="CETReferencetext"/>
      </w:pPr>
      <w:r w:rsidRPr="009E3364">
        <w:rPr>
          <w:lang w:val="en-US"/>
        </w:rPr>
        <w:t xml:space="preserve">Greco, S., Ishizaka, A., </w:t>
      </w:r>
      <w:proofErr w:type="spellStart"/>
      <w:r w:rsidRPr="009E3364">
        <w:rPr>
          <w:lang w:val="en-US"/>
        </w:rPr>
        <w:t>Tasiou</w:t>
      </w:r>
      <w:proofErr w:type="spellEnd"/>
      <w:r w:rsidRPr="009E3364">
        <w:rPr>
          <w:lang w:val="en-US"/>
        </w:rPr>
        <w:t xml:space="preserve">, M., </w:t>
      </w:r>
      <w:proofErr w:type="spellStart"/>
      <w:r w:rsidRPr="009E3364">
        <w:rPr>
          <w:lang w:val="en-US"/>
        </w:rPr>
        <w:t>Torrisi</w:t>
      </w:r>
      <w:proofErr w:type="spellEnd"/>
      <w:r w:rsidRPr="009E3364">
        <w:rPr>
          <w:lang w:val="en-US"/>
        </w:rPr>
        <w:t xml:space="preserve">, G., 2019. </w:t>
      </w:r>
      <w:r w:rsidRPr="009E3364">
        <w:t xml:space="preserve">On the Methodological Framework of Composite Indices: A Review of the Issues of Weighting, Aggregation, and Robustness. Soc. Indic. Res. 141, 61–94. </w:t>
      </w:r>
    </w:p>
    <w:p w14:paraId="1F6A9BFD" w14:textId="6BDFE480" w:rsidR="00E30E31" w:rsidRPr="009E3364" w:rsidRDefault="00E30E31" w:rsidP="00E30E31">
      <w:pPr>
        <w:pStyle w:val="CETReferencetext"/>
      </w:pPr>
      <w:proofErr w:type="spellStart"/>
      <w:r w:rsidRPr="009E3364">
        <w:t>Hokstada</w:t>
      </w:r>
      <w:proofErr w:type="spellEnd"/>
      <w:r w:rsidRPr="009E3364">
        <w:t xml:space="preserve">, P., </w:t>
      </w:r>
      <w:proofErr w:type="spellStart"/>
      <w:r w:rsidRPr="009E3364">
        <w:t>Øien</w:t>
      </w:r>
      <w:proofErr w:type="spellEnd"/>
      <w:r w:rsidRPr="009E3364">
        <w:t xml:space="preserve">, K., </w:t>
      </w:r>
      <w:proofErr w:type="spellStart"/>
      <w:r w:rsidRPr="009E3364">
        <w:t>Reinertsen</w:t>
      </w:r>
      <w:proofErr w:type="spellEnd"/>
      <w:r w:rsidRPr="009E3364">
        <w:t xml:space="preserve">, R., 1998. Recommendations on the use of expert judgment in safety and reliability engineering studies. Two offshore case studies. </w:t>
      </w:r>
      <w:proofErr w:type="spellStart"/>
      <w:r w:rsidRPr="009E3364">
        <w:t>Reliab</w:t>
      </w:r>
      <w:proofErr w:type="spellEnd"/>
      <w:r w:rsidRPr="009E3364">
        <w:t xml:space="preserve">. Eng. Syst. </w:t>
      </w:r>
      <w:proofErr w:type="spellStart"/>
      <w:r w:rsidRPr="009E3364">
        <w:t>Saf</w:t>
      </w:r>
      <w:proofErr w:type="spellEnd"/>
      <w:r w:rsidRPr="009E3364">
        <w:t xml:space="preserve">. 61, 65–76. </w:t>
      </w:r>
    </w:p>
    <w:p w14:paraId="57EEF813" w14:textId="074DEEB3" w:rsidR="00E30E31" w:rsidRPr="009E3364" w:rsidRDefault="00E30E31" w:rsidP="00E30E31">
      <w:pPr>
        <w:pStyle w:val="CETReferencetext"/>
      </w:pPr>
      <w:r w:rsidRPr="009E3364">
        <w:rPr>
          <w:lang w:val="en-US"/>
        </w:rPr>
        <w:t xml:space="preserve">Iaiani, M., Casson Moreno, V., Reniers, G., Tugnoli, A., Cozzani, V., 2021. </w:t>
      </w:r>
      <w:r w:rsidRPr="009E3364">
        <w:t xml:space="preserve">Analysis of events involving the intentional release of hazardous substances from industrial facilities. </w:t>
      </w:r>
      <w:proofErr w:type="spellStart"/>
      <w:r w:rsidRPr="009E3364">
        <w:t>Reliab</w:t>
      </w:r>
      <w:proofErr w:type="spellEnd"/>
      <w:r w:rsidRPr="009E3364">
        <w:t xml:space="preserve">. Eng. Syst. </w:t>
      </w:r>
      <w:proofErr w:type="spellStart"/>
      <w:r w:rsidRPr="009E3364">
        <w:t>Saf</w:t>
      </w:r>
      <w:proofErr w:type="spellEnd"/>
      <w:r w:rsidRPr="009E3364">
        <w:t xml:space="preserve">. 212, 107593. </w:t>
      </w:r>
    </w:p>
    <w:p w14:paraId="05AFCF77" w14:textId="53CB0797" w:rsidR="00E30E31" w:rsidRPr="009E3364" w:rsidRDefault="00E30E31" w:rsidP="00E30E31">
      <w:pPr>
        <w:pStyle w:val="CETReferencetext"/>
      </w:pPr>
      <w:r w:rsidRPr="009E3364">
        <w:t xml:space="preserve">Jaeger, C.D., 2002. Vulnerability Assessment Methodology for Chemical Facilities (VAM-CF). Chem. Health </w:t>
      </w:r>
      <w:proofErr w:type="spellStart"/>
      <w:r w:rsidRPr="009E3364">
        <w:t>Saf</w:t>
      </w:r>
      <w:proofErr w:type="spellEnd"/>
      <w:r w:rsidRPr="009E3364">
        <w:t xml:space="preserve">. 9, 15–19. </w:t>
      </w:r>
    </w:p>
    <w:p w14:paraId="44B6C48C" w14:textId="2EEF1F65" w:rsidR="00E30E31" w:rsidRPr="009E3364" w:rsidRDefault="00E30E31" w:rsidP="00E30E31">
      <w:pPr>
        <w:pStyle w:val="CETReferencetext"/>
      </w:pPr>
      <w:r w:rsidRPr="009E3364">
        <w:t xml:space="preserve">Landucci, G., Reniers, G., 2019. Preface to special issue on quantitative security analysis of industrial facilities. </w:t>
      </w:r>
      <w:proofErr w:type="spellStart"/>
      <w:r w:rsidRPr="009E3364">
        <w:t>Reliab</w:t>
      </w:r>
      <w:proofErr w:type="spellEnd"/>
      <w:r w:rsidRPr="009E3364">
        <w:t xml:space="preserve">. Eng. Syst. </w:t>
      </w:r>
      <w:proofErr w:type="spellStart"/>
      <w:r w:rsidRPr="009E3364">
        <w:t>Saf</w:t>
      </w:r>
      <w:proofErr w:type="spellEnd"/>
      <w:r w:rsidRPr="009E3364">
        <w:t xml:space="preserve">. 191, 106611. </w:t>
      </w:r>
    </w:p>
    <w:p w14:paraId="329F112B" w14:textId="269442FB" w:rsidR="00E30E31" w:rsidRPr="009E3364" w:rsidRDefault="00E30E31" w:rsidP="00E30E31">
      <w:pPr>
        <w:pStyle w:val="CETReferencetext"/>
      </w:pPr>
      <w:r w:rsidRPr="009E3364">
        <w:t xml:space="preserve">McAndrew, T., </w:t>
      </w:r>
      <w:proofErr w:type="spellStart"/>
      <w:r w:rsidRPr="009E3364">
        <w:t>Wattanachit</w:t>
      </w:r>
      <w:proofErr w:type="spellEnd"/>
      <w:r w:rsidRPr="009E3364">
        <w:t xml:space="preserve">, N., Gibson, G.C., Reich, N.G., 2021. Aggregating predictions from experts: A review of statistical methods, experiments, and applications. WIREs Computational Statistics 13. </w:t>
      </w:r>
    </w:p>
    <w:p w14:paraId="1B625E17" w14:textId="20DA5022" w:rsidR="00E30E31" w:rsidRPr="009E3364" w:rsidRDefault="00E30E31" w:rsidP="00E30E31">
      <w:pPr>
        <w:pStyle w:val="CETReferencetext"/>
      </w:pPr>
      <w:r w:rsidRPr="009E3364">
        <w:rPr>
          <w:lang w:val="en-US"/>
        </w:rPr>
        <w:t xml:space="preserve">Misuri, A., Landucci, G., Cozzani, V., 2021. </w:t>
      </w:r>
      <w:r w:rsidRPr="009E3364">
        <w:t xml:space="preserve">Assessment of safety barrier performance in the mitigation of domino scenarios caused by Natech events. </w:t>
      </w:r>
      <w:proofErr w:type="spellStart"/>
      <w:r w:rsidRPr="009E3364">
        <w:t>Reliab</w:t>
      </w:r>
      <w:proofErr w:type="spellEnd"/>
      <w:r w:rsidRPr="009E3364">
        <w:t xml:space="preserve">. Eng. Syst. </w:t>
      </w:r>
      <w:proofErr w:type="spellStart"/>
      <w:r w:rsidRPr="009E3364">
        <w:t>Saf</w:t>
      </w:r>
      <w:proofErr w:type="spellEnd"/>
      <w:r w:rsidRPr="009E3364">
        <w:t xml:space="preserve">. 205, 107278. </w:t>
      </w:r>
    </w:p>
    <w:p w14:paraId="27C04610" w14:textId="7240DD9F" w:rsidR="00E30E31" w:rsidRPr="009E3364" w:rsidRDefault="00E30E31" w:rsidP="00E30E31">
      <w:pPr>
        <w:pStyle w:val="CETReferencetext"/>
      </w:pPr>
      <w:r w:rsidRPr="009E3364">
        <w:t xml:space="preserve">Norrington, L., Quigley, J., Russell, A., Van der Meer, R., 2008. Modelling the reliability of search and rescue operations with Bayesian Belief Networks. </w:t>
      </w:r>
      <w:proofErr w:type="spellStart"/>
      <w:r w:rsidRPr="009E3364">
        <w:t>Reliab</w:t>
      </w:r>
      <w:proofErr w:type="spellEnd"/>
      <w:r w:rsidRPr="009E3364">
        <w:t xml:space="preserve">. Eng. Syst. </w:t>
      </w:r>
      <w:proofErr w:type="spellStart"/>
      <w:r w:rsidRPr="009E3364">
        <w:t>Saf</w:t>
      </w:r>
      <w:proofErr w:type="spellEnd"/>
      <w:r w:rsidRPr="009E3364">
        <w:t xml:space="preserve">. 93, 940–949. </w:t>
      </w:r>
    </w:p>
    <w:p w14:paraId="64556B83" w14:textId="45135EC7" w:rsidR="00261FB4" w:rsidRPr="009E3364" w:rsidRDefault="00E30E31" w:rsidP="00D60EE8">
      <w:pPr>
        <w:pStyle w:val="CETReferencetext"/>
      </w:pPr>
      <w:r w:rsidRPr="009E3364">
        <w:rPr>
          <w:lang w:val="en-US"/>
        </w:rPr>
        <w:t xml:space="preserve">Ricci, F., Casson Moreno, V., Cozzani, V., 2021. </w:t>
      </w:r>
      <w:r w:rsidRPr="009E3364">
        <w:t xml:space="preserve">A comprehensive analysis of the occurrence of Natech events in the process industry. Process Safety and Environmental Protection 147, 703–713. </w:t>
      </w:r>
    </w:p>
    <w:p w14:paraId="4495DBF9" w14:textId="36381C04" w:rsidR="009C2ADF" w:rsidRPr="009E3364" w:rsidRDefault="009C2ADF" w:rsidP="00D60EE8">
      <w:pPr>
        <w:pStyle w:val="CETReferencetext"/>
      </w:pPr>
      <w:r w:rsidRPr="009E3364">
        <w:rPr>
          <w:lang w:val="en-US"/>
        </w:rPr>
        <w:t xml:space="preserve">Ricci, F., Iaiani, M., Tugnoli, A., Cozzani, V., 2026. </w:t>
      </w:r>
      <w:r w:rsidRPr="009E3364">
        <w:t xml:space="preserve">The impact of natural hazards on the security of chemical sites. </w:t>
      </w:r>
      <w:proofErr w:type="spellStart"/>
      <w:r w:rsidRPr="009E3364">
        <w:t>Reliab</w:t>
      </w:r>
      <w:proofErr w:type="spellEnd"/>
      <w:r w:rsidRPr="009E3364">
        <w:t xml:space="preserve">. Eng. Syst. </w:t>
      </w:r>
      <w:proofErr w:type="spellStart"/>
      <w:r w:rsidRPr="009E3364">
        <w:t>Saf</w:t>
      </w:r>
      <w:proofErr w:type="spellEnd"/>
      <w:r w:rsidRPr="009E3364">
        <w:t>. 272, 112576.</w:t>
      </w:r>
    </w:p>
    <w:p w14:paraId="15897E89" w14:textId="2C186B5A" w:rsidR="00E30E31" w:rsidRPr="009E3364" w:rsidRDefault="00E30E31" w:rsidP="00E30E31">
      <w:pPr>
        <w:pStyle w:val="CETReferencetext"/>
      </w:pPr>
      <w:r w:rsidRPr="009E3364">
        <w:rPr>
          <w:lang w:val="en-US"/>
        </w:rPr>
        <w:t xml:space="preserve">Ricci, F., Yang, M., Reniers, G., Cozzani, V., 2024. </w:t>
      </w:r>
      <w:r w:rsidRPr="009E3364">
        <w:t xml:space="preserve">Emergency response in cascading scenarios triggered by natural events. </w:t>
      </w:r>
      <w:proofErr w:type="spellStart"/>
      <w:r w:rsidRPr="009E3364">
        <w:t>Reliab</w:t>
      </w:r>
      <w:proofErr w:type="spellEnd"/>
      <w:r w:rsidRPr="009E3364">
        <w:t xml:space="preserve">. Eng. Syst. </w:t>
      </w:r>
      <w:proofErr w:type="spellStart"/>
      <w:r w:rsidRPr="009E3364">
        <w:t>Saf</w:t>
      </w:r>
      <w:proofErr w:type="spellEnd"/>
      <w:r w:rsidRPr="009E3364">
        <w:t>. 243, 109820.</w:t>
      </w:r>
    </w:p>
    <w:p w14:paraId="56C7FF25" w14:textId="77777777" w:rsidR="00E30E31" w:rsidRPr="009E3364" w:rsidRDefault="00E30E31" w:rsidP="00E30E31">
      <w:pPr>
        <w:pStyle w:val="CETReferencetext"/>
      </w:pPr>
      <w:proofErr w:type="spellStart"/>
      <w:r w:rsidRPr="009E3364">
        <w:t>Vagias</w:t>
      </w:r>
      <w:proofErr w:type="spellEnd"/>
      <w:r w:rsidRPr="009E3364">
        <w:t xml:space="preserve">, </w:t>
      </w:r>
      <w:proofErr w:type="spellStart"/>
      <w:r w:rsidRPr="009E3364">
        <w:t>W.M</w:t>
      </w:r>
      <w:proofErr w:type="spellEnd"/>
      <w:r w:rsidRPr="009E3364">
        <w:t>., 2006. Likert-Type Scale Response Anchors. Clemson International Institute for Tourism &amp; Research Development, Department of Parks, Recreation and Tourism Management. Clemson University.</w:t>
      </w:r>
    </w:p>
    <w:p w14:paraId="4DE73783" w14:textId="3483D16D" w:rsidR="00A355A4" w:rsidRPr="00E30E31" w:rsidRDefault="00E30E31" w:rsidP="00380B26">
      <w:pPr>
        <w:pStyle w:val="CETReferencetext"/>
      </w:pPr>
      <w:r w:rsidRPr="009E3364">
        <w:t xml:space="preserve">Waters, E.A., </w:t>
      </w:r>
      <w:proofErr w:type="spellStart"/>
      <w:r w:rsidRPr="009E3364">
        <w:t>Kiviniemi</w:t>
      </w:r>
      <w:proofErr w:type="spellEnd"/>
      <w:r w:rsidRPr="009E3364">
        <w:t xml:space="preserve">, M.T., Hay, </w:t>
      </w:r>
      <w:proofErr w:type="spellStart"/>
      <w:r w:rsidRPr="009E3364">
        <w:t>J.L</w:t>
      </w:r>
      <w:proofErr w:type="spellEnd"/>
      <w:r w:rsidRPr="009E3364">
        <w:t xml:space="preserve">., </w:t>
      </w:r>
      <w:proofErr w:type="spellStart"/>
      <w:r w:rsidRPr="009E3364">
        <w:t>Orom</w:t>
      </w:r>
      <w:proofErr w:type="spellEnd"/>
      <w:r w:rsidRPr="009E3364">
        <w:t xml:space="preserve">, H., 2022. Dismissing “Don’t Know” Responses to Perceived Risk Survey Items Threatens the Validity of Theoretical and Empirical </w:t>
      </w:r>
      <w:proofErr w:type="spellStart"/>
      <w:r w:rsidRPr="009E3364">
        <w:t>Behavior</w:t>
      </w:r>
      <w:proofErr w:type="spellEnd"/>
      <w:r w:rsidRPr="009E3364">
        <w:t>-Change Research. Perspectives on Psychological Science 17, 841–851.</w:t>
      </w:r>
    </w:p>
    <w:sectPr w:rsidR="00A355A4" w:rsidRPr="00E30E3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4B4F" w14:textId="77777777" w:rsidR="00C176D3" w:rsidRDefault="00C176D3" w:rsidP="004F5E36">
      <w:r>
        <w:separator/>
      </w:r>
    </w:p>
  </w:endnote>
  <w:endnote w:type="continuationSeparator" w:id="0">
    <w:p w14:paraId="35C8A6B9" w14:textId="77777777" w:rsidR="00C176D3" w:rsidRDefault="00C176D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6946" w14:textId="77777777" w:rsidR="00C176D3" w:rsidRDefault="00C176D3" w:rsidP="004F5E36">
      <w:r>
        <w:separator/>
      </w:r>
    </w:p>
  </w:footnote>
  <w:footnote w:type="continuationSeparator" w:id="0">
    <w:p w14:paraId="2994E3ED" w14:textId="77777777" w:rsidR="00C176D3" w:rsidRDefault="00C176D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4D493F"/>
    <w:multiLevelType w:val="hybridMultilevel"/>
    <w:tmpl w:val="8EE20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0625DD"/>
    <w:multiLevelType w:val="hybridMultilevel"/>
    <w:tmpl w:val="ADC25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70299A"/>
    <w:multiLevelType w:val="hybridMultilevel"/>
    <w:tmpl w:val="4E020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12640CD"/>
    <w:multiLevelType w:val="hybridMultilevel"/>
    <w:tmpl w:val="9E5CA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6840646"/>
    <w:multiLevelType w:val="hybridMultilevel"/>
    <w:tmpl w:val="D6F06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3"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8C5F35"/>
    <w:multiLevelType w:val="hybridMultilevel"/>
    <w:tmpl w:val="5A78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67C6BE2"/>
    <w:multiLevelType w:val="hybridMultilevel"/>
    <w:tmpl w:val="0C1ABD1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7"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6451A6"/>
    <w:multiLevelType w:val="hybridMultilevel"/>
    <w:tmpl w:val="2476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13B91"/>
    <w:multiLevelType w:val="hybridMultilevel"/>
    <w:tmpl w:val="96C44A34"/>
    <w:lvl w:ilvl="0" w:tplc="B6E048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969810">
    <w:abstractNumId w:val="13"/>
  </w:num>
  <w:num w:numId="2" w16cid:durableId="256209918">
    <w:abstractNumId w:val="8"/>
  </w:num>
  <w:num w:numId="3" w16cid:durableId="1123693705">
    <w:abstractNumId w:val="3"/>
  </w:num>
  <w:num w:numId="4" w16cid:durableId="380593245">
    <w:abstractNumId w:val="2"/>
  </w:num>
  <w:num w:numId="5" w16cid:durableId="1442802872">
    <w:abstractNumId w:val="1"/>
  </w:num>
  <w:num w:numId="6" w16cid:durableId="1470055680">
    <w:abstractNumId w:val="0"/>
  </w:num>
  <w:num w:numId="7" w16cid:durableId="877938999">
    <w:abstractNumId w:val="9"/>
  </w:num>
  <w:num w:numId="8" w16cid:durableId="1487819586">
    <w:abstractNumId w:val="7"/>
  </w:num>
  <w:num w:numId="9" w16cid:durableId="1304968628">
    <w:abstractNumId w:val="6"/>
  </w:num>
  <w:num w:numId="10" w16cid:durableId="739325978">
    <w:abstractNumId w:val="5"/>
  </w:num>
  <w:num w:numId="11" w16cid:durableId="2099250390">
    <w:abstractNumId w:val="4"/>
  </w:num>
  <w:num w:numId="12" w16cid:durableId="985624755">
    <w:abstractNumId w:val="22"/>
  </w:num>
  <w:num w:numId="13" w16cid:durableId="1345401639">
    <w:abstractNumId w:val="16"/>
  </w:num>
  <w:num w:numId="14" w16cid:durableId="1720131290">
    <w:abstractNumId w:val="23"/>
  </w:num>
  <w:num w:numId="15" w16cid:durableId="2108579569">
    <w:abstractNumId w:val="27"/>
  </w:num>
  <w:num w:numId="16" w16cid:durableId="242229319">
    <w:abstractNumId w:val="25"/>
  </w:num>
  <w:num w:numId="17" w16cid:durableId="439687046">
    <w:abstractNumId w:val="15"/>
  </w:num>
  <w:num w:numId="18" w16cid:durableId="856113816">
    <w:abstractNumId w:val="16"/>
    <w:lvlOverride w:ilvl="0">
      <w:startOverride w:val="1"/>
    </w:lvlOverride>
  </w:num>
  <w:num w:numId="19" w16cid:durableId="191114251">
    <w:abstractNumId w:val="21"/>
  </w:num>
  <w:num w:numId="20" w16cid:durableId="448427602">
    <w:abstractNumId w:val="20"/>
  </w:num>
  <w:num w:numId="21" w16cid:durableId="1902252206">
    <w:abstractNumId w:val="18"/>
  </w:num>
  <w:num w:numId="22" w16cid:durableId="1498157299">
    <w:abstractNumId w:val="17"/>
  </w:num>
  <w:num w:numId="23" w16cid:durableId="1511680492">
    <w:abstractNumId w:val="29"/>
  </w:num>
  <w:num w:numId="24" w16cid:durableId="1679457835">
    <w:abstractNumId w:val="28"/>
  </w:num>
  <w:num w:numId="25" w16cid:durableId="300624617">
    <w:abstractNumId w:val="19"/>
  </w:num>
  <w:num w:numId="26" w16cid:durableId="1705253743">
    <w:abstractNumId w:val="14"/>
  </w:num>
  <w:num w:numId="27" w16cid:durableId="1217548820">
    <w:abstractNumId w:val="26"/>
  </w:num>
  <w:num w:numId="28" w16cid:durableId="1299454035">
    <w:abstractNumId w:val="11"/>
  </w:num>
  <w:num w:numId="29" w16cid:durableId="183903090">
    <w:abstractNumId w:val="24"/>
  </w:num>
  <w:num w:numId="30" w16cid:durableId="1379353834">
    <w:abstractNumId w:val="10"/>
  </w:num>
  <w:num w:numId="31" w16cid:durableId="1996253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0FAC+bkuEtAAAA"/>
  </w:docVars>
  <w:rsids>
    <w:rsidRoot w:val="000E414A"/>
    <w:rsid w:val="000027C0"/>
    <w:rsid w:val="00003590"/>
    <w:rsid w:val="00003785"/>
    <w:rsid w:val="000052FB"/>
    <w:rsid w:val="00005884"/>
    <w:rsid w:val="00005A19"/>
    <w:rsid w:val="000117CB"/>
    <w:rsid w:val="0001686D"/>
    <w:rsid w:val="0003148D"/>
    <w:rsid w:val="00031EEC"/>
    <w:rsid w:val="0003692D"/>
    <w:rsid w:val="000469B3"/>
    <w:rsid w:val="00051566"/>
    <w:rsid w:val="000562A9"/>
    <w:rsid w:val="00060E95"/>
    <w:rsid w:val="00062A9A"/>
    <w:rsid w:val="00065058"/>
    <w:rsid w:val="00086C39"/>
    <w:rsid w:val="00091865"/>
    <w:rsid w:val="000A03B2"/>
    <w:rsid w:val="000A079D"/>
    <w:rsid w:val="000A5AB7"/>
    <w:rsid w:val="000C55B4"/>
    <w:rsid w:val="000C7DF7"/>
    <w:rsid w:val="000D0268"/>
    <w:rsid w:val="000D34BE"/>
    <w:rsid w:val="000E074D"/>
    <w:rsid w:val="000E102F"/>
    <w:rsid w:val="000E36F1"/>
    <w:rsid w:val="000E3A73"/>
    <w:rsid w:val="000E414A"/>
    <w:rsid w:val="000E75FD"/>
    <w:rsid w:val="000F093C"/>
    <w:rsid w:val="000F787B"/>
    <w:rsid w:val="00113857"/>
    <w:rsid w:val="00115972"/>
    <w:rsid w:val="001163D6"/>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531A8"/>
    <w:rsid w:val="00157B98"/>
    <w:rsid w:val="00160892"/>
    <w:rsid w:val="00164CF9"/>
    <w:rsid w:val="001667A6"/>
    <w:rsid w:val="00184AD6"/>
    <w:rsid w:val="001935B9"/>
    <w:rsid w:val="001A4AF7"/>
    <w:rsid w:val="001B0005"/>
    <w:rsid w:val="001B0349"/>
    <w:rsid w:val="001B1E93"/>
    <w:rsid w:val="001B61A7"/>
    <w:rsid w:val="001B65C1"/>
    <w:rsid w:val="001C260F"/>
    <w:rsid w:val="001C2DDE"/>
    <w:rsid w:val="001C33F1"/>
    <w:rsid w:val="001C684B"/>
    <w:rsid w:val="001C7D7F"/>
    <w:rsid w:val="001D0CFB"/>
    <w:rsid w:val="001D1CE5"/>
    <w:rsid w:val="001D21AF"/>
    <w:rsid w:val="001D35FB"/>
    <w:rsid w:val="001D389F"/>
    <w:rsid w:val="001D53FC"/>
    <w:rsid w:val="001F42A5"/>
    <w:rsid w:val="001F7B9D"/>
    <w:rsid w:val="0020091A"/>
    <w:rsid w:val="00201C93"/>
    <w:rsid w:val="00203129"/>
    <w:rsid w:val="002224B4"/>
    <w:rsid w:val="00224FC9"/>
    <w:rsid w:val="002341CB"/>
    <w:rsid w:val="0023725D"/>
    <w:rsid w:val="002447EF"/>
    <w:rsid w:val="00251550"/>
    <w:rsid w:val="00261FB4"/>
    <w:rsid w:val="00262BEB"/>
    <w:rsid w:val="00263B05"/>
    <w:rsid w:val="002711A9"/>
    <w:rsid w:val="0027221A"/>
    <w:rsid w:val="00274E9B"/>
    <w:rsid w:val="00275B61"/>
    <w:rsid w:val="00280FAF"/>
    <w:rsid w:val="002824AD"/>
    <w:rsid w:val="00282656"/>
    <w:rsid w:val="002833FC"/>
    <w:rsid w:val="00296AE9"/>
    <w:rsid w:val="00296B83"/>
    <w:rsid w:val="002B4015"/>
    <w:rsid w:val="002B42A9"/>
    <w:rsid w:val="002B5BAC"/>
    <w:rsid w:val="002B78CE"/>
    <w:rsid w:val="002C2FB6"/>
    <w:rsid w:val="002C6637"/>
    <w:rsid w:val="002E4731"/>
    <w:rsid w:val="002E5FA7"/>
    <w:rsid w:val="002F3309"/>
    <w:rsid w:val="003008CE"/>
    <w:rsid w:val="003009B7"/>
    <w:rsid w:val="00300E56"/>
    <w:rsid w:val="0030152C"/>
    <w:rsid w:val="003021AB"/>
    <w:rsid w:val="0030469C"/>
    <w:rsid w:val="00316B17"/>
    <w:rsid w:val="00321CA6"/>
    <w:rsid w:val="00323763"/>
    <w:rsid w:val="00323C5F"/>
    <w:rsid w:val="00326A9E"/>
    <w:rsid w:val="00334C09"/>
    <w:rsid w:val="00335514"/>
    <w:rsid w:val="00340423"/>
    <w:rsid w:val="0034403B"/>
    <w:rsid w:val="003701C5"/>
    <w:rsid w:val="003723D4"/>
    <w:rsid w:val="003736ED"/>
    <w:rsid w:val="00374C72"/>
    <w:rsid w:val="00377968"/>
    <w:rsid w:val="00380B26"/>
    <w:rsid w:val="00381905"/>
    <w:rsid w:val="00384CC8"/>
    <w:rsid w:val="003871FD"/>
    <w:rsid w:val="003A1E30"/>
    <w:rsid w:val="003A2829"/>
    <w:rsid w:val="003A7D1C"/>
    <w:rsid w:val="003B304B"/>
    <w:rsid w:val="003B3146"/>
    <w:rsid w:val="003B4B22"/>
    <w:rsid w:val="003C4132"/>
    <w:rsid w:val="003D1E02"/>
    <w:rsid w:val="003D3141"/>
    <w:rsid w:val="003E35FE"/>
    <w:rsid w:val="003E6AD4"/>
    <w:rsid w:val="003E7C92"/>
    <w:rsid w:val="003F015E"/>
    <w:rsid w:val="00400414"/>
    <w:rsid w:val="00405EEA"/>
    <w:rsid w:val="0041446B"/>
    <w:rsid w:val="00427A1E"/>
    <w:rsid w:val="00427EA8"/>
    <w:rsid w:val="0044071E"/>
    <w:rsid w:val="0044329C"/>
    <w:rsid w:val="00447EF7"/>
    <w:rsid w:val="00453E24"/>
    <w:rsid w:val="00457456"/>
    <w:rsid w:val="004577FE"/>
    <w:rsid w:val="00457B9C"/>
    <w:rsid w:val="00460473"/>
    <w:rsid w:val="0046163B"/>
    <w:rsid w:val="0046164A"/>
    <w:rsid w:val="004628D2"/>
    <w:rsid w:val="00462DCD"/>
    <w:rsid w:val="004648AD"/>
    <w:rsid w:val="004648EB"/>
    <w:rsid w:val="004703A9"/>
    <w:rsid w:val="004760DE"/>
    <w:rsid w:val="004763D7"/>
    <w:rsid w:val="0049087E"/>
    <w:rsid w:val="00496CD9"/>
    <w:rsid w:val="004A004E"/>
    <w:rsid w:val="004A24CF"/>
    <w:rsid w:val="004A5E57"/>
    <w:rsid w:val="004B3082"/>
    <w:rsid w:val="004C16F3"/>
    <w:rsid w:val="004C194F"/>
    <w:rsid w:val="004C3D1D"/>
    <w:rsid w:val="004C3D84"/>
    <w:rsid w:val="004C7913"/>
    <w:rsid w:val="004D04E9"/>
    <w:rsid w:val="004E4DD6"/>
    <w:rsid w:val="004F5E36"/>
    <w:rsid w:val="00505175"/>
    <w:rsid w:val="005059C6"/>
    <w:rsid w:val="00507B47"/>
    <w:rsid w:val="00507BEF"/>
    <w:rsid w:val="00507CC9"/>
    <w:rsid w:val="005119A5"/>
    <w:rsid w:val="00522FA6"/>
    <w:rsid w:val="005278B7"/>
    <w:rsid w:val="00532016"/>
    <w:rsid w:val="005332D9"/>
    <w:rsid w:val="005346C8"/>
    <w:rsid w:val="00536337"/>
    <w:rsid w:val="0053783E"/>
    <w:rsid w:val="00537BF6"/>
    <w:rsid w:val="00543E7D"/>
    <w:rsid w:val="00547A68"/>
    <w:rsid w:val="005531C9"/>
    <w:rsid w:val="00553A7C"/>
    <w:rsid w:val="00561481"/>
    <w:rsid w:val="00570691"/>
    <w:rsid w:val="00570C43"/>
    <w:rsid w:val="0057417D"/>
    <w:rsid w:val="00575975"/>
    <w:rsid w:val="00592274"/>
    <w:rsid w:val="0059305F"/>
    <w:rsid w:val="005A241D"/>
    <w:rsid w:val="005B0FF0"/>
    <w:rsid w:val="005B2110"/>
    <w:rsid w:val="005B61E6"/>
    <w:rsid w:val="005C4A6A"/>
    <w:rsid w:val="005C77E1"/>
    <w:rsid w:val="005D668A"/>
    <w:rsid w:val="005D6A2F"/>
    <w:rsid w:val="005E0592"/>
    <w:rsid w:val="005E1A82"/>
    <w:rsid w:val="005E732E"/>
    <w:rsid w:val="005E794C"/>
    <w:rsid w:val="005F0A28"/>
    <w:rsid w:val="005F0E5E"/>
    <w:rsid w:val="00600535"/>
    <w:rsid w:val="00600E23"/>
    <w:rsid w:val="0060254C"/>
    <w:rsid w:val="00610CD6"/>
    <w:rsid w:val="00620DEE"/>
    <w:rsid w:val="00621F92"/>
    <w:rsid w:val="0062280A"/>
    <w:rsid w:val="006231E1"/>
    <w:rsid w:val="00625639"/>
    <w:rsid w:val="00631B33"/>
    <w:rsid w:val="0064184D"/>
    <w:rsid w:val="006422CC"/>
    <w:rsid w:val="00651342"/>
    <w:rsid w:val="00651D18"/>
    <w:rsid w:val="00655288"/>
    <w:rsid w:val="00656D5E"/>
    <w:rsid w:val="00660E3E"/>
    <w:rsid w:val="00662E74"/>
    <w:rsid w:val="00680C23"/>
    <w:rsid w:val="00683E23"/>
    <w:rsid w:val="006848F6"/>
    <w:rsid w:val="0069016D"/>
    <w:rsid w:val="00693766"/>
    <w:rsid w:val="006A3281"/>
    <w:rsid w:val="006A7617"/>
    <w:rsid w:val="006B4888"/>
    <w:rsid w:val="006B5241"/>
    <w:rsid w:val="006C2E45"/>
    <w:rsid w:val="006C359C"/>
    <w:rsid w:val="006C5579"/>
    <w:rsid w:val="006C5BDF"/>
    <w:rsid w:val="006D029C"/>
    <w:rsid w:val="006D4A3D"/>
    <w:rsid w:val="006D6E8B"/>
    <w:rsid w:val="006D7209"/>
    <w:rsid w:val="006E737D"/>
    <w:rsid w:val="006F6B3A"/>
    <w:rsid w:val="00707DD1"/>
    <w:rsid w:val="00713973"/>
    <w:rsid w:val="00720A24"/>
    <w:rsid w:val="00723079"/>
    <w:rsid w:val="00724695"/>
    <w:rsid w:val="00727BD1"/>
    <w:rsid w:val="00732386"/>
    <w:rsid w:val="007348C2"/>
    <w:rsid w:val="0073514D"/>
    <w:rsid w:val="00743BF1"/>
    <w:rsid w:val="007447F3"/>
    <w:rsid w:val="00745526"/>
    <w:rsid w:val="00747EE7"/>
    <w:rsid w:val="00747F11"/>
    <w:rsid w:val="0075290E"/>
    <w:rsid w:val="0075499F"/>
    <w:rsid w:val="00756CFD"/>
    <w:rsid w:val="007617CC"/>
    <w:rsid w:val="00764EED"/>
    <w:rsid w:val="007661C8"/>
    <w:rsid w:val="007704AA"/>
    <w:rsid w:val="0077098D"/>
    <w:rsid w:val="0078561D"/>
    <w:rsid w:val="00785BF9"/>
    <w:rsid w:val="007931FA"/>
    <w:rsid w:val="00797925"/>
    <w:rsid w:val="007A4861"/>
    <w:rsid w:val="007A6DF8"/>
    <w:rsid w:val="007A6FA3"/>
    <w:rsid w:val="007A7BBA"/>
    <w:rsid w:val="007B0C50"/>
    <w:rsid w:val="007B3BB7"/>
    <w:rsid w:val="007B48F9"/>
    <w:rsid w:val="007C1A43"/>
    <w:rsid w:val="007C1B23"/>
    <w:rsid w:val="007D0951"/>
    <w:rsid w:val="007D4904"/>
    <w:rsid w:val="007E6A31"/>
    <w:rsid w:val="007F27C8"/>
    <w:rsid w:val="007F5140"/>
    <w:rsid w:val="0080013E"/>
    <w:rsid w:val="0080718B"/>
    <w:rsid w:val="00813288"/>
    <w:rsid w:val="008168FC"/>
    <w:rsid w:val="00821E0C"/>
    <w:rsid w:val="00830996"/>
    <w:rsid w:val="008314D7"/>
    <w:rsid w:val="008345F1"/>
    <w:rsid w:val="00846DB3"/>
    <w:rsid w:val="00862F51"/>
    <w:rsid w:val="00865B07"/>
    <w:rsid w:val="008667EA"/>
    <w:rsid w:val="0087637F"/>
    <w:rsid w:val="00892AD5"/>
    <w:rsid w:val="00896A86"/>
    <w:rsid w:val="008A0324"/>
    <w:rsid w:val="008A1512"/>
    <w:rsid w:val="008A1FEE"/>
    <w:rsid w:val="008B6FD1"/>
    <w:rsid w:val="008C5BEB"/>
    <w:rsid w:val="008D32B9"/>
    <w:rsid w:val="008D433B"/>
    <w:rsid w:val="008D4A16"/>
    <w:rsid w:val="008E0D05"/>
    <w:rsid w:val="008E209A"/>
    <w:rsid w:val="008E2B49"/>
    <w:rsid w:val="008E45BC"/>
    <w:rsid w:val="008E566E"/>
    <w:rsid w:val="008F1496"/>
    <w:rsid w:val="0090161A"/>
    <w:rsid w:val="00901EB6"/>
    <w:rsid w:val="009041F8"/>
    <w:rsid w:val="00904C62"/>
    <w:rsid w:val="00906584"/>
    <w:rsid w:val="00907376"/>
    <w:rsid w:val="00907694"/>
    <w:rsid w:val="00917B8F"/>
    <w:rsid w:val="00921465"/>
    <w:rsid w:val="00922BA8"/>
    <w:rsid w:val="00924DAC"/>
    <w:rsid w:val="00927058"/>
    <w:rsid w:val="0093679A"/>
    <w:rsid w:val="00942750"/>
    <w:rsid w:val="00944255"/>
    <w:rsid w:val="009450CE"/>
    <w:rsid w:val="009459BB"/>
    <w:rsid w:val="00947179"/>
    <w:rsid w:val="0095164B"/>
    <w:rsid w:val="00954090"/>
    <w:rsid w:val="009573E7"/>
    <w:rsid w:val="00963E05"/>
    <w:rsid w:val="00964A45"/>
    <w:rsid w:val="0096642E"/>
    <w:rsid w:val="00967843"/>
    <w:rsid w:val="00967D54"/>
    <w:rsid w:val="00971028"/>
    <w:rsid w:val="00983200"/>
    <w:rsid w:val="00987A2F"/>
    <w:rsid w:val="00993B84"/>
    <w:rsid w:val="00996483"/>
    <w:rsid w:val="00996F5A"/>
    <w:rsid w:val="009B041A"/>
    <w:rsid w:val="009C154B"/>
    <w:rsid w:val="009C2ADF"/>
    <w:rsid w:val="009C37C3"/>
    <w:rsid w:val="009C4D5A"/>
    <w:rsid w:val="009C7C86"/>
    <w:rsid w:val="009D2FF7"/>
    <w:rsid w:val="009E3364"/>
    <w:rsid w:val="009E7884"/>
    <w:rsid w:val="009E788A"/>
    <w:rsid w:val="009F0113"/>
    <w:rsid w:val="009F0E08"/>
    <w:rsid w:val="009F63E6"/>
    <w:rsid w:val="00A06B7F"/>
    <w:rsid w:val="00A079AE"/>
    <w:rsid w:val="00A1763D"/>
    <w:rsid w:val="00A17CEC"/>
    <w:rsid w:val="00A21810"/>
    <w:rsid w:val="00A229CD"/>
    <w:rsid w:val="00A26CBB"/>
    <w:rsid w:val="00A27EF0"/>
    <w:rsid w:val="00A355A4"/>
    <w:rsid w:val="00A420E7"/>
    <w:rsid w:val="00A42361"/>
    <w:rsid w:val="00A50B20"/>
    <w:rsid w:val="00A51390"/>
    <w:rsid w:val="00A60D13"/>
    <w:rsid w:val="00A6631D"/>
    <w:rsid w:val="00A66DC3"/>
    <w:rsid w:val="00A7223D"/>
    <w:rsid w:val="00A72745"/>
    <w:rsid w:val="00A76EFC"/>
    <w:rsid w:val="00A87D50"/>
    <w:rsid w:val="00A91010"/>
    <w:rsid w:val="00A910E8"/>
    <w:rsid w:val="00A9328E"/>
    <w:rsid w:val="00A9378F"/>
    <w:rsid w:val="00A97F29"/>
    <w:rsid w:val="00AA2AFC"/>
    <w:rsid w:val="00AA702E"/>
    <w:rsid w:val="00AA7D26"/>
    <w:rsid w:val="00AB0964"/>
    <w:rsid w:val="00AB5011"/>
    <w:rsid w:val="00AB7E87"/>
    <w:rsid w:val="00AC7368"/>
    <w:rsid w:val="00AC7495"/>
    <w:rsid w:val="00AD0278"/>
    <w:rsid w:val="00AD16B9"/>
    <w:rsid w:val="00AD763B"/>
    <w:rsid w:val="00AE377D"/>
    <w:rsid w:val="00AF0EBA"/>
    <w:rsid w:val="00B02C8A"/>
    <w:rsid w:val="00B044C1"/>
    <w:rsid w:val="00B065DD"/>
    <w:rsid w:val="00B135C2"/>
    <w:rsid w:val="00B17FBD"/>
    <w:rsid w:val="00B315A6"/>
    <w:rsid w:val="00B31813"/>
    <w:rsid w:val="00B33365"/>
    <w:rsid w:val="00B40F67"/>
    <w:rsid w:val="00B432A4"/>
    <w:rsid w:val="00B46849"/>
    <w:rsid w:val="00B57B31"/>
    <w:rsid w:val="00B57B36"/>
    <w:rsid w:val="00B57E6F"/>
    <w:rsid w:val="00B63F5A"/>
    <w:rsid w:val="00B71FEF"/>
    <w:rsid w:val="00B80C3A"/>
    <w:rsid w:val="00B83366"/>
    <w:rsid w:val="00B8686D"/>
    <w:rsid w:val="00B92BD3"/>
    <w:rsid w:val="00B93F69"/>
    <w:rsid w:val="00B948C9"/>
    <w:rsid w:val="00B967C7"/>
    <w:rsid w:val="00BB1DDC"/>
    <w:rsid w:val="00BB4EB9"/>
    <w:rsid w:val="00BC30C9"/>
    <w:rsid w:val="00BC3A8E"/>
    <w:rsid w:val="00BC6CF6"/>
    <w:rsid w:val="00BD077D"/>
    <w:rsid w:val="00BE2BB8"/>
    <w:rsid w:val="00BE3E58"/>
    <w:rsid w:val="00C01616"/>
    <w:rsid w:val="00C0162B"/>
    <w:rsid w:val="00C068ED"/>
    <w:rsid w:val="00C176D3"/>
    <w:rsid w:val="00C208E9"/>
    <w:rsid w:val="00C22E0C"/>
    <w:rsid w:val="00C322DC"/>
    <w:rsid w:val="00C324B4"/>
    <w:rsid w:val="00C3311B"/>
    <w:rsid w:val="00C345B1"/>
    <w:rsid w:val="00C40142"/>
    <w:rsid w:val="00C42D91"/>
    <w:rsid w:val="00C52C3C"/>
    <w:rsid w:val="00C55C6E"/>
    <w:rsid w:val="00C57182"/>
    <w:rsid w:val="00C57863"/>
    <w:rsid w:val="00C640AF"/>
    <w:rsid w:val="00C655FD"/>
    <w:rsid w:val="00C75407"/>
    <w:rsid w:val="00C841C6"/>
    <w:rsid w:val="00C84E4C"/>
    <w:rsid w:val="00C870A8"/>
    <w:rsid w:val="00C92071"/>
    <w:rsid w:val="00C94434"/>
    <w:rsid w:val="00C95916"/>
    <w:rsid w:val="00C95AC0"/>
    <w:rsid w:val="00C966A9"/>
    <w:rsid w:val="00CA0D75"/>
    <w:rsid w:val="00CA1C95"/>
    <w:rsid w:val="00CA2FAF"/>
    <w:rsid w:val="00CA58E5"/>
    <w:rsid w:val="00CA5A9C"/>
    <w:rsid w:val="00CC4C20"/>
    <w:rsid w:val="00CD0561"/>
    <w:rsid w:val="00CD3517"/>
    <w:rsid w:val="00CD42E4"/>
    <w:rsid w:val="00CD4D5C"/>
    <w:rsid w:val="00CD5FE2"/>
    <w:rsid w:val="00CE6616"/>
    <w:rsid w:val="00CE7C68"/>
    <w:rsid w:val="00D02B4C"/>
    <w:rsid w:val="00D040C4"/>
    <w:rsid w:val="00D20AD1"/>
    <w:rsid w:val="00D24727"/>
    <w:rsid w:val="00D2582C"/>
    <w:rsid w:val="00D46B7E"/>
    <w:rsid w:val="00D522C4"/>
    <w:rsid w:val="00D57C84"/>
    <w:rsid w:val="00D6057D"/>
    <w:rsid w:val="00D60EE8"/>
    <w:rsid w:val="00D617CE"/>
    <w:rsid w:val="00D647EA"/>
    <w:rsid w:val="00D71640"/>
    <w:rsid w:val="00D73DE1"/>
    <w:rsid w:val="00D75BDD"/>
    <w:rsid w:val="00D760FD"/>
    <w:rsid w:val="00D82C70"/>
    <w:rsid w:val="00D836C5"/>
    <w:rsid w:val="00D84576"/>
    <w:rsid w:val="00D90ECF"/>
    <w:rsid w:val="00D926DB"/>
    <w:rsid w:val="00DA1399"/>
    <w:rsid w:val="00DA189E"/>
    <w:rsid w:val="00DA24C6"/>
    <w:rsid w:val="00DA4D7B"/>
    <w:rsid w:val="00DD271C"/>
    <w:rsid w:val="00DE264A"/>
    <w:rsid w:val="00DE60DA"/>
    <w:rsid w:val="00DF2CA8"/>
    <w:rsid w:val="00DF5072"/>
    <w:rsid w:val="00DF52AD"/>
    <w:rsid w:val="00E00885"/>
    <w:rsid w:val="00E02D18"/>
    <w:rsid w:val="00E041E7"/>
    <w:rsid w:val="00E215C1"/>
    <w:rsid w:val="00E23CA1"/>
    <w:rsid w:val="00E30E31"/>
    <w:rsid w:val="00E320EF"/>
    <w:rsid w:val="00E409A8"/>
    <w:rsid w:val="00E47D61"/>
    <w:rsid w:val="00E50C12"/>
    <w:rsid w:val="00E65B91"/>
    <w:rsid w:val="00E665EC"/>
    <w:rsid w:val="00E7209D"/>
    <w:rsid w:val="00E72EAD"/>
    <w:rsid w:val="00E77223"/>
    <w:rsid w:val="00E8528B"/>
    <w:rsid w:val="00E85B94"/>
    <w:rsid w:val="00E978D0"/>
    <w:rsid w:val="00EA1721"/>
    <w:rsid w:val="00EA4613"/>
    <w:rsid w:val="00EA7F91"/>
    <w:rsid w:val="00EB0DEF"/>
    <w:rsid w:val="00EB1523"/>
    <w:rsid w:val="00EB4E6A"/>
    <w:rsid w:val="00EC0E49"/>
    <w:rsid w:val="00EC101F"/>
    <w:rsid w:val="00EC1D9F"/>
    <w:rsid w:val="00EE0131"/>
    <w:rsid w:val="00EE17B0"/>
    <w:rsid w:val="00EE1934"/>
    <w:rsid w:val="00EE342D"/>
    <w:rsid w:val="00EF06D9"/>
    <w:rsid w:val="00EF0982"/>
    <w:rsid w:val="00F01DFD"/>
    <w:rsid w:val="00F3049E"/>
    <w:rsid w:val="00F30C64"/>
    <w:rsid w:val="00F32BA2"/>
    <w:rsid w:val="00F32CDB"/>
    <w:rsid w:val="00F3348F"/>
    <w:rsid w:val="00F37280"/>
    <w:rsid w:val="00F41EE4"/>
    <w:rsid w:val="00F5010E"/>
    <w:rsid w:val="00F565FE"/>
    <w:rsid w:val="00F624F6"/>
    <w:rsid w:val="00F63A70"/>
    <w:rsid w:val="00F63D8C"/>
    <w:rsid w:val="00F7534E"/>
    <w:rsid w:val="00F85CC0"/>
    <w:rsid w:val="00F93EDF"/>
    <w:rsid w:val="00FA1802"/>
    <w:rsid w:val="00FA21D0"/>
    <w:rsid w:val="00FA4F41"/>
    <w:rsid w:val="00FA5F5F"/>
    <w:rsid w:val="00FA6C74"/>
    <w:rsid w:val="00FB730C"/>
    <w:rsid w:val="00FC1B2E"/>
    <w:rsid w:val="00FC2695"/>
    <w:rsid w:val="00FC3E03"/>
    <w:rsid w:val="00FC3FC1"/>
    <w:rsid w:val="00FE38B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link w:val="ParagrafoelencoCarattere"/>
    <w:uiPriority w:val="34"/>
    <w:qFormat/>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Tablebody">
    <w:name w:val="Table body"/>
    <w:basedOn w:val="Normale"/>
    <w:link w:val="TablebodyChar"/>
    <w:qFormat/>
    <w:rsid w:val="006F6B3A"/>
    <w:pPr>
      <w:tabs>
        <w:tab w:val="clear" w:pos="7100"/>
      </w:tabs>
      <w:spacing w:before="20" w:after="20" w:line="240" w:lineRule="auto"/>
      <w:jc w:val="left"/>
    </w:pPr>
    <w:rPr>
      <w:rFonts w:ascii="Times New Roman" w:eastAsiaTheme="minorHAnsi" w:hAnsi="Times New Roman" w:cstheme="minorBidi"/>
      <w:szCs w:val="22"/>
    </w:rPr>
  </w:style>
  <w:style w:type="character" w:customStyle="1" w:styleId="TablebodyChar">
    <w:name w:val="Table body Char"/>
    <w:basedOn w:val="Carpredefinitoparagrafo"/>
    <w:link w:val="Tablebody"/>
    <w:rsid w:val="006F6B3A"/>
    <w:rPr>
      <w:rFonts w:ascii="Times New Roman" w:hAnsi="Times New Roman"/>
      <w:sz w:val="18"/>
      <w:lang w:val="en-GB"/>
    </w:rPr>
  </w:style>
  <w:style w:type="character" w:customStyle="1" w:styleId="ParagrafoelencoCarattere">
    <w:name w:val="Paragrafo elenco Carattere"/>
    <w:basedOn w:val="Carpredefinitoparagrafo"/>
    <w:link w:val="Paragrafoelenco"/>
    <w:uiPriority w:val="34"/>
    <w:rsid w:val="006F6B3A"/>
    <w:rPr>
      <w:rFonts w:ascii="Arial" w:eastAsia="Times New Roman" w:hAnsi="Arial" w:cs="Times New Roman"/>
      <w:sz w:val="18"/>
      <w:szCs w:val="20"/>
      <w:lang w:val="en-GB"/>
    </w:rPr>
  </w:style>
  <w:style w:type="character" w:styleId="Menzionenonrisolta">
    <w:name w:val="Unresolved Mention"/>
    <w:basedOn w:val="Carpredefinitoparagrafo"/>
    <w:uiPriority w:val="99"/>
    <w:semiHidden/>
    <w:unhideWhenUsed/>
    <w:rsid w:val="00D617CE"/>
    <w:rPr>
      <w:color w:val="605E5C"/>
      <w:shd w:val="clear" w:color="auto" w:fill="E1DFDD"/>
    </w:rPr>
  </w:style>
  <w:style w:type="character" w:styleId="Testosegnaposto">
    <w:name w:val="Placeholder Text"/>
    <w:basedOn w:val="Carpredefinitoparagrafo"/>
    <w:uiPriority w:val="99"/>
    <w:semiHidden/>
    <w:rsid w:val="00C324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85225">
      <w:bodyDiv w:val="1"/>
      <w:marLeft w:val="0"/>
      <w:marRight w:val="0"/>
      <w:marTop w:val="0"/>
      <w:marBottom w:val="0"/>
      <w:divBdr>
        <w:top w:val="none" w:sz="0" w:space="0" w:color="auto"/>
        <w:left w:val="none" w:sz="0" w:space="0" w:color="auto"/>
        <w:bottom w:val="none" w:sz="0" w:space="0" w:color="auto"/>
        <w:right w:val="none" w:sz="0" w:space="0" w:color="auto"/>
      </w:divBdr>
      <w:divsChild>
        <w:div w:id="1921476172">
          <w:marLeft w:val="480"/>
          <w:marRight w:val="0"/>
          <w:marTop w:val="0"/>
          <w:marBottom w:val="0"/>
          <w:divBdr>
            <w:top w:val="none" w:sz="0" w:space="0" w:color="auto"/>
            <w:left w:val="none" w:sz="0" w:space="0" w:color="auto"/>
            <w:bottom w:val="none" w:sz="0" w:space="0" w:color="auto"/>
            <w:right w:val="none" w:sz="0" w:space="0" w:color="auto"/>
          </w:divBdr>
        </w:div>
        <w:div w:id="608394634">
          <w:marLeft w:val="480"/>
          <w:marRight w:val="0"/>
          <w:marTop w:val="0"/>
          <w:marBottom w:val="0"/>
          <w:divBdr>
            <w:top w:val="none" w:sz="0" w:space="0" w:color="auto"/>
            <w:left w:val="none" w:sz="0" w:space="0" w:color="auto"/>
            <w:bottom w:val="none" w:sz="0" w:space="0" w:color="auto"/>
            <w:right w:val="none" w:sz="0" w:space="0" w:color="auto"/>
          </w:divBdr>
        </w:div>
        <w:div w:id="319770230">
          <w:marLeft w:val="480"/>
          <w:marRight w:val="0"/>
          <w:marTop w:val="0"/>
          <w:marBottom w:val="0"/>
          <w:divBdr>
            <w:top w:val="none" w:sz="0" w:space="0" w:color="auto"/>
            <w:left w:val="none" w:sz="0" w:space="0" w:color="auto"/>
            <w:bottom w:val="none" w:sz="0" w:space="0" w:color="auto"/>
            <w:right w:val="none" w:sz="0" w:space="0" w:color="auto"/>
          </w:divBdr>
        </w:div>
        <w:div w:id="314644966">
          <w:marLeft w:val="480"/>
          <w:marRight w:val="0"/>
          <w:marTop w:val="0"/>
          <w:marBottom w:val="0"/>
          <w:divBdr>
            <w:top w:val="none" w:sz="0" w:space="0" w:color="auto"/>
            <w:left w:val="none" w:sz="0" w:space="0" w:color="auto"/>
            <w:bottom w:val="none" w:sz="0" w:space="0" w:color="auto"/>
            <w:right w:val="none" w:sz="0" w:space="0" w:color="auto"/>
          </w:divBdr>
        </w:div>
        <w:div w:id="551238465">
          <w:marLeft w:val="480"/>
          <w:marRight w:val="0"/>
          <w:marTop w:val="0"/>
          <w:marBottom w:val="0"/>
          <w:divBdr>
            <w:top w:val="none" w:sz="0" w:space="0" w:color="auto"/>
            <w:left w:val="none" w:sz="0" w:space="0" w:color="auto"/>
            <w:bottom w:val="none" w:sz="0" w:space="0" w:color="auto"/>
            <w:right w:val="none" w:sz="0" w:space="0" w:color="auto"/>
          </w:divBdr>
        </w:div>
        <w:div w:id="1063411101">
          <w:marLeft w:val="480"/>
          <w:marRight w:val="0"/>
          <w:marTop w:val="0"/>
          <w:marBottom w:val="0"/>
          <w:divBdr>
            <w:top w:val="none" w:sz="0" w:space="0" w:color="auto"/>
            <w:left w:val="none" w:sz="0" w:space="0" w:color="auto"/>
            <w:bottom w:val="none" w:sz="0" w:space="0" w:color="auto"/>
            <w:right w:val="none" w:sz="0" w:space="0" w:color="auto"/>
          </w:divBdr>
        </w:div>
        <w:div w:id="1838426363">
          <w:marLeft w:val="480"/>
          <w:marRight w:val="0"/>
          <w:marTop w:val="0"/>
          <w:marBottom w:val="0"/>
          <w:divBdr>
            <w:top w:val="none" w:sz="0" w:space="0" w:color="auto"/>
            <w:left w:val="none" w:sz="0" w:space="0" w:color="auto"/>
            <w:bottom w:val="none" w:sz="0" w:space="0" w:color="auto"/>
            <w:right w:val="none" w:sz="0" w:space="0" w:color="auto"/>
          </w:divBdr>
        </w:div>
        <w:div w:id="740492328">
          <w:marLeft w:val="480"/>
          <w:marRight w:val="0"/>
          <w:marTop w:val="0"/>
          <w:marBottom w:val="0"/>
          <w:divBdr>
            <w:top w:val="none" w:sz="0" w:space="0" w:color="auto"/>
            <w:left w:val="none" w:sz="0" w:space="0" w:color="auto"/>
            <w:bottom w:val="none" w:sz="0" w:space="0" w:color="auto"/>
            <w:right w:val="none" w:sz="0" w:space="0" w:color="auto"/>
          </w:divBdr>
        </w:div>
        <w:div w:id="80880292">
          <w:marLeft w:val="480"/>
          <w:marRight w:val="0"/>
          <w:marTop w:val="0"/>
          <w:marBottom w:val="0"/>
          <w:divBdr>
            <w:top w:val="none" w:sz="0" w:space="0" w:color="auto"/>
            <w:left w:val="none" w:sz="0" w:space="0" w:color="auto"/>
            <w:bottom w:val="none" w:sz="0" w:space="0" w:color="auto"/>
            <w:right w:val="none" w:sz="0" w:space="0" w:color="auto"/>
          </w:divBdr>
        </w:div>
        <w:div w:id="1997494894">
          <w:marLeft w:val="480"/>
          <w:marRight w:val="0"/>
          <w:marTop w:val="0"/>
          <w:marBottom w:val="0"/>
          <w:divBdr>
            <w:top w:val="none" w:sz="0" w:space="0" w:color="auto"/>
            <w:left w:val="none" w:sz="0" w:space="0" w:color="auto"/>
            <w:bottom w:val="none" w:sz="0" w:space="0" w:color="auto"/>
            <w:right w:val="none" w:sz="0" w:space="0" w:color="auto"/>
          </w:divBdr>
        </w:div>
        <w:div w:id="1571497608">
          <w:marLeft w:val="480"/>
          <w:marRight w:val="0"/>
          <w:marTop w:val="0"/>
          <w:marBottom w:val="0"/>
          <w:divBdr>
            <w:top w:val="none" w:sz="0" w:space="0" w:color="auto"/>
            <w:left w:val="none" w:sz="0" w:space="0" w:color="auto"/>
            <w:bottom w:val="none" w:sz="0" w:space="0" w:color="auto"/>
            <w:right w:val="none" w:sz="0" w:space="0" w:color="auto"/>
          </w:divBdr>
        </w:div>
        <w:div w:id="1251549041">
          <w:marLeft w:val="480"/>
          <w:marRight w:val="0"/>
          <w:marTop w:val="0"/>
          <w:marBottom w:val="0"/>
          <w:divBdr>
            <w:top w:val="none" w:sz="0" w:space="0" w:color="auto"/>
            <w:left w:val="none" w:sz="0" w:space="0" w:color="auto"/>
            <w:bottom w:val="none" w:sz="0" w:space="0" w:color="auto"/>
            <w:right w:val="none" w:sz="0" w:space="0" w:color="auto"/>
          </w:divBdr>
        </w:div>
        <w:div w:id="1197700633">
          <w:marLeft w:val="480"/>
          <w:marRight w:val="0"/>
          <w:marTop w:val="0"/>
          <w:marBottom w:val="0"/>
          <w:divBdr>
            <w:top w:val="none" w:sz="0" w:space="0" w:color="auto"/>
            <w:left w:val="none" w:sz="0" w:space="0" w:color="auto"/>
            <w:bottom w:val="none" w:sz="0" w:space="0" w:color="auto"/>
            <w:right w:val="none" w:sz="0" w:space="0" w:color="auto"/>
          </w:divBdr>
        </w:div>
        <w:div w:id="1347707189">
          <w:marLeft w:val="480"/>
          <w:marRight w:val="0"/>
          <w:marTop w:val="0"/>
          <w:marBottom w:val="0"/>
          <w:divBdr>
            <w:top w:val="none" w:sz="0" w:space="0" w:color="auto"/>
            <w:left w:val="none" w:sz="0" w:space="0" w:color="auto"/>
            <w:bottom w:val="none" w:sz="0" w:space="0" w:color="auto"/>
            <w:right w:val="none" w:sz="0" w:space="0" w:color="auto"/>
          </w:divBdr>
        </w:div>
        <w:div w:id="1631747615">
          <w:marLeft w:val="480"/>
          <w:marRight w:val="0"/>
          <w:marTop w:val="0"/>
          <w:marBottom w:val="0"/>
          <w:divBdr>
            <w:top w:val="none" w:sz="0" w:space="0" w:color="auto"/>
            <w:left w:val="none" w:sz="0" w:space="0" w:color="auto"/>
            <w:bottom w:val="none" w:sz="0" w:space="0" w:color="auto"/>
            <w:right w:val="none" w:sz="0" w:space="0" w:color="auto"/>
          </w:divBdr>
        </w:div>
        <w:div w:id="241648462">
          <w:marLeft w:val="480"/>
          <w:marRight w:val="0"/>
          <w:marTop w:val="0"/>
          <w:marBottom w:val="0"/>
          <w:divBdr>
            <w:top w:val="none" w:sz="0" w:space="0" w:color="auto"/>
            <w:left w:val="none" w:sz="0" w:space="0" w:color="auto"/>
            <w:bottom w:val="none" w:sz="0" w:space="0" w:color="auto"/>
            <w:right w:val="none" w:sz="0" w:space="0" w:color="auto"/>
          </w:divBdr>
        </w:div>
        <w:div w:id="341903264">
          <w:marLeft w:val="480"/>
          <w:marRight w:val="0"/>
          <w:marTop w:val="0"/>
          <w:marBottom w:val="0"/>
          <w:divBdr>
            <w:top w:val="none" w:sz="0" w:space="0" w:color="auto"/>
            <w:left w:val="none" w:sz="0" w:space="0" w:color="auto"/>
            <w:bottom w:val="none" w:sz="0" w:space="0" w:color="auto"/>
            <w:right w:val="none" w:sz="0" w:space="0" w:color="auto"/>
          </w:divBdr>
        </w:div>
        <w:div w:id="55400430">
          <w:marLeft w:val="480"/>
          <w:marRight w:val="0"/>
          <w:marTop w:val="0"/>
          <w:marBottom w:val="0"/>
          <w:divBdr>
            <w:top w:val="none" w:sz="0" w:space="0" w:color="auto"/>
            <w:left w:val="none" w:sz="0" w:space="0" w:color="auto"/>
            <w:bottom w:val="none" w:sz="0" w:space="0" w:color="auto"/>
            <w:right w:val="none" w:sz="0" w:space="0" w:color="auto"/>
          </w:divBdr>
        </w:div>
        <w:div w:id="1805613082">
          <w:marLeft w:val="48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2534">
      <w:bodyDiv w:val="1"/>
      <w:marLeft w:val="0"/>
      <w:marRight w:val="0"/>
      <w:marTop w:val="0"/>
      <w:marBottom w:val="0"/>
      <w:divBdr>
        <w:top w:val="none" w:sz="0" w:space="0" w:color="auto"/>
        <w:left w:val="none" w:sz="0" w:space="0" w:color="auto"/>
        <w:bottom w:val="none" w:sz="0" w:space="0" w:color="auto"/>
        <w:right w:val="none" w:sz="0" w:space="0" w:color="auto"/>
      </w:divBdr>
      <w:divsChild>
        <w:div w:id="341318785">
          <w:marLeft w:val="480"/>
          <w:marRight w:val="0"/>
          <w:marTop w:val="0"/>
          <w:marBottom w:val="0"/>
          <w:divBdr>
            <w:top w:val="none" w:sz="0" w:space="0" w:color="auto"/>
            <w:left w:val="none" w:sz="0" w:space="0" w:color="auto"/>
            <w:bottom w:val="none" w:sz="0" w:space="0" w:color="auto"/>
            <w:right w:val="none" w:sz="0" w:space="0" w:color="auto"/>
          </w:divBdr>
        </w:div>
        <w:div w:id="352271747">
          <w:marLeft w:val="480"/>
          <w:marRight w:val="0"/>
          <w:marTop w:val="0"/>
          <w:marBottom w:val="0"/>
          <w:divBdr>
            <w:top w:val="none" w:sz="0" w:space="0" w:color="auto"/>
            <w:left w:val="none" w:sz="0" w:space="0" w:color="auto"/>
            <w:bottom w:val="none" w:sz="0" w:space="0" w:color="auto"/>
            <w:right w:val="none" w:sz="0" w:space="0" w:color="auto"/>
          </w:divBdr>
        </w:div>
        <w:div w:id="1984385107">
          <w:marLeft w:val="480"/>
          <w:marRight w:val="0"/>
          <w:marTop w:val="0"/>
          <w:marBottom w:val="0"/>
          <w:divBdr>
            <w:top w:val="none" w:sz="0" w:space="0" w:color="auto"/>
            <w:left w:val="none" w:sz="0" w:space="0" w:color="auto"/>
            <w:bottom w:val="none" w:sz="0" w:space="0" w:color="auto"/>
            <w:right w:val="none" w:sz="0" w:space="0" w:color="auto"/>
          </w:divBdr>
        </w:div>
        <w:div w:id="396976543">
          <w:marLeft w:val="480"/>
          <w:marRight w:val="0"/>
          <w:marTop w:val="0"/>
          <w:marBottom w:val="0"/>
          <w:divBdr>
            <w:top w:val="none" w:sz="0" w:space="0" w:color="auto"/>
            <w:left w:val="none" w:sz="0" w:space="0" w:color="auto"/>
            <w:bottom w:val="none" w:sz="0" w:space="0" w:color="auto"/>
            <w:right w:val="none" w:sz="0" w:space="0" w:color="auto"/>
          </w:divBdr>
        </w:div>
        <w:div w:id="897785569">
          <w:marLeft w:val="480"/>
          <w:marRight w:val="0"/>
          <w:marTop w:val="0"/>
          <w:marBottom w:val="0"/>
          <w:divBdr>
            <w:top w:val="none" w:sz="0" w:space="0" w:color="auto"/>
            <w:left w:val="none" w:sz="0" w:space="0" w:color="auto"/>
            <w:bottom w:val="none" w:sz="0" w:space="0" w:color="auto"/>
            <w:right w:val="none" w:sz="0" w:space="0" w:color="auto"/>
          </w:divBdr>
        </w:div>
        <w:div w:id="612398780">
          <w:marLeft w:val="480"/>
          <w:marRight w:val="0"/>
          <w:marTop w:val="0"/>
          <w:marBottom w:val="0"/>
          <w:divBdr>
            <w:top w:val="none" w:sz="0" w:space="0" w:color="auto"/>
            <w:left w:val="none" w:sz="0" w:space="0" w:color="auto"/>
            <w:bottom w:val="none" w:sz="0" w:space="0" w:color="auto"/>
            <w:right w:val="none" w:sz="0" w:space="0" w:color="auto"/>
          </w:divBdr>
        </w:div>
        <w:div w:id="658458289">
          <w:marLeft w:val="480"/>
          <w:marRight w:val="0"/>
          <w:marTop w:val="0"/>
          <w:marBottom w:val="0"/>
          <w:divBdr>
            <w:top w:val="none" w:sz="0" w:space="0" w:color="auto"/>
            <w:left w:val="none" w:sz="0" w:space="0" w:color="auto"/>
            <w:bottom w:val="none" w:sz="0" w:space="0" w:color="auto"/>
            <w:right w:val="none" w:sz="0" w:space="0" w:color="auto"/>
          </w:divBdr>
        </w:div>
        <w:div w:id="2128695055">
          <w:marLeft w:val="480"/>
          <w:marRight w:val="0"/>
          <w:marTop w:val="0"/>
          <w:marBottom w:val="0"/>
          <w:divBdr>
            <w:top w:val="none" w:sz="0" w:space="0" w:color="auto"/>
            <w:left w:val="none" w:sz="0" w:space="0" w:color="auto"/>
            <w:bottom w:val="none" w:sz="0" w:space="0" w:color="auto"/>
            <w:right w:val="none" w:sz="0" w:space="0" w:color="auto"/>
          </w:divBdr>
        </w:div>
        <w:div w:id="431436298">
          <w:marLeft w:val="480"/>
          <w:marRight w:val="0"/>
          <w:marTop w:val="0"/>
          <w:marBottom w:val="0"/>
          <w:divBdr>
            <w:top w:val="none" w:sz="0" w:space="0" w:color="auto"/>
            <w:left w:val="none" w:sz="0" w:space="0" w:color="auto"/>
            <w:bottom w:val="none" w:sz="0" w:space="0" w:color="auto"/>
            <w:right w:val="none" w:sz="0" w:space="0" w:color="auto"/>
          </w:divBdr>
        </w:div>
        <w:div w:id="964309442">
          <w:marLeft w:val="480"/>
          <w:marRight w:val="0"/>
          <w:marTop w:val="0"/>
          <w:marBottom w:val="0"/>
          <w:divBdr>
            <w:top w:val="none" w:sz="0" w:space="0" w:color="auto"/>
            <w:left w:val="none" w:sz="0" w:space="0" w:color="auto"/>
            <w:bottom w:val="none" w:sz="0" w:space="0" w:color="auto"/>
            <w:right w:val="none" w:sz="0" w:space="0" w:color="auto"/>
          </w:divBdr>
        </w:div>
        <w:div w:id="134222321">
          <w:marLeft w:val="480"/>
          <w:marRight w:val="0"/>
          <w:marTop w:val="0"/>
          <w:marBottom w:val="0"/>
          <w:divBdr>
            <w:top w:val="none" w:sz="0" w:space="0" w:color="auto"/>
            <w:left w:val="none" w:sz="0" w:space="0" w:color="auto"/>
            <w:bottom w:val="none" w:sz="0" w:space="0" w:color="auto"/>
            <w:right w:val="none" w:sz="0" w:space="0" w:color="auto"/>
          </w:divBdr>
        </w:div>
        <w:div w:id="1534072632">
          <w:marLeft w:val="480"/>
          <w:marRight w:val="0"/>
          <w:marTop w:val="0"/>
          <w:marBottom w:val="0"/>
          <w:divBdr>
            <w:top w:val="none" w:sz="0" w:space="0" w:color="auto"/>
            <w:left w:val="none" w:sz="0" w:space="0" w:color="auto"/>
            <w:bottom w:val="none" w:sz="0" w:space="0" w:color="auto"/>
            <w:right w:val="none" w:sz="0" w:space="0" w:color="auto"/>
          </w:divBdr>
        </w:div>
        <w:div w:id="1202061393">
          <w:marLeft w:val="480"/>
          <w:marRight w:val="0"/>
          <w:marTop w:val="0"/>
          <w:marBottom w:val="0"/>
          <w:divBdr>
            <w:top w:val="none" w:sz="0" w:space="0" w:color="auto"/>
            <w:left w:val="none" w:sz="0" w:space="0" w:color="auto"/>
            <w:bottom w:val="none" w:sz="0" w:space="0" w:color="auto"/>
            <w:right w:val="none" w:sz="0" w:space="0" w:color="auto"/>
          </w:divBdr>
        </w:div>
        <w:div w:id="602029616">
          <w:marLeft w:val="480"/>
          <w:marRight w:val="0"/>
          <w:marTop w:val="0"/>
          <w:marBottom w:val="0"/>
          <w:divBdr>
            <w:top w:val="none" w:sz="0" w:space="0" w:color="auto"/>
            <w:left w:val="none" w:sz="0" w:space="0" w:color="auto"/>
            <w:bottom w:val="none" w:sz="0" w:space="0" w:color="auto"/>
            <w:right w:val="none" w:sz="0" w:space="0" w:color="auto"/>
          </w:divBdr>
        </w:div>
        <w:div w:id="1099175258">
          <w:marLeft w:val="480"/>
          <w:marRight w:val="0"/>
          <w:marTop w:val="0"/>
          <w:marBottom w:val="0"/>
          <w:divBdr>
            <w:top w:val="none" w:sz="0" w:space="0" w:color="auto"/>
            <w:left w:val="none" w:sz="0" w:space="0" w:color="auto"/>
            <w:bottom w:val="none" w:sz="0" w:space="0" w:color="auto"/>
            <w:right w:val="none" w:sz="0" w:space="0" w:color="auto"/>
          </w:divBdr>
        </w:div>
        <w:div w:id="856845984">
          <w:marLeft w:val="480"/>
          <w:marRight w:val="0"/>
          <w:marTop w:val="0"/>
          <w:marBottom w:val="0"/>
          <w:divBdr>
            <w:top w:val="none" w:sz="0" w:space="0" w:color="auto"/>
            <w:left w:val="none" w:sz="0" w:space="0" w:color="auto"/>
            <w:bottom w:val="none" w:sz="0" w:space="0" w:color="auto"/>
            <w:right w:val="none" w:sz="0" w:space="0" w:color="auto"/>
          </w:divBdr>
        </w:div>
        <w:div w:id="710494592">
          <w:marLeft w:val="480"/>
          <w:marRight w:val="0"/>
          <w:marTop w:val="0"/>
          <w:marBottom w:val="0"/>
          <w:divBdr>
            <w:top w:val="none" w:sz="0" w:space="0" w:color="auto"/>
            <w:left w:val="none" w:sz="0" w:space="0" w:color="auto"/>
            <w:bottom w:val="none" w:sz="0" w:space="0" w:color="auto"/>
            <w:right w:val="none" w:sz="0" w:space="0" w:color="auto"/>
          </w:divBdr>
        </w:div>
        <w:div w:id="1591619000">
          <w:marLeft w:val="480"/>
          <w:marRight w:val="0"/>
          <w:marTop w:val="0"/>
          <w:marBottom w:val="0"/>
          <w:divBdr>
            <w:top w:val="none" w:sz="0" w:space="0" w:color="auto"/>
            <w:left w:val="none" w:sz="0" w:space="0" w:color="auto"/>
            <w:bottom w:val="none" w:sz="0" w:space="0" w:color="auto"/>
            <w:right w:val="none" w:sz="0" w:space="0" w:color="auto"/>
          </w:divBdr>
        </w:div>
        <w:div w:id="2073194533">
          <w:marLeft w:val="480"/>
          <w:marRight w:val="0"/>
          <w:marTop w:val="0"/>
          <w:marBottom w:val="0"/>
          <w:divBdr>
            <w:top w:val="none" w:sz="0" w:space="0" w:color="auto"/>
            <w:left w:val="none" w:sz="0" w:space="0" w:color="auto"/>
            <w:bottom w:val="none" w:sz="0" w:space="0" w:color="auto"/>
            <w:right w:val="none" w:sz="0" w:space="0" w:color="auto"/>
          </w:divBdr>
        </w:div>
        <w:div w:id="1638606536">
          <w:marLeft w:val="48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D1FD8E34-4A6D-4DDC-8B4E-15CF45A00E85}"/>
      </w:docPartPr>
      <w:docPartBody>
        <w:p w:rsidR="00BB17EA" w:rsidRDefault="00CC2658">
          <w:r w:rsidRPr="00305A2F">
            <w:rPr>
              <w:rStyle w:val="Testosegnaposto"/>
            </w:rPr>
            <w:t>Fare clic o toccare qui per immettere il testo.</w:t>
          </w:r>
        </w:p>
      </w:docPartBody>
    </w:docPart>
    <w:docPart>
      <w:docPartPr>
        <w:name w:val="527E3873FFD44E4087F17F7E6D6721BF"/>
        <w:category>
          <w:name w:val="Generale"/>
          <w:gallery w:val="placeholder"/>
        </w:category>
        <w:types>
          <w:type w:val="bbPlcHdr"/>
        </w:types>
        <w:behaviors>
          <w:behavior w:val="content"/>
        </w:behaviors>
        <w:guid w:val="{FFB53A23-C701-4CE1-AD39-12DE81F3F57D}"/>
      </w:docPartPr>
      <w:docPartBody>
        <w:p w:rsidR="00BB17EA" w:rsidRDefault="00CC2658" w:rsidP="00CC2658">
          <w:pPr>
            <w:pStyle w:val="527E3873FFD44E4087F17F7E6D6721BF"/>
          </w:pPr>
          <w:r w:rsidRPr="00305A2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58"/>
    <w:rsid w:val="00044DCB"/>
    <w:rsid w:val="00BB17EA"/>
    <w:rsid w:val="00CC2658"/>
    <w:rsid w:val="00D9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C2658"/>
    <w:rPr>
      <w:color w:val="808080"/>
    </w:rPr>
  </w:style>
  <w:style w:type="paragraph" w:customStyle="1" w:styleId="527E3873FFD44E4087F17F7E6D6721BF">
    <w:name w:val="527E3873FFD44E4087F17F7E6D6721BF"/>
    <w:rsid w:val="00CC2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DA7168-D67D-4A6F-85F5-B680AC630766}">
  <we:reference id="f78a3046-9e99-4300-aa2b-5814002b01a2" version="1.55.1.0" store="EXCatalog" storeType="EXCatalog"/>
  <we:alternateReferences>
    <we:reference id="WA104382081" version="1.55.1.0" store="it-IT" storeType="OMEX"/>
  </we:alternateReferences>
  <we:properties>
    <we:property name="MENDELEY_BIBLIOGRAPHY_IS_DIRTY" value="false"/>
    <we:property name="MENDELEY_BIBLIOGRAPHY_LAST_MODIFIED" value="1776154754784"/>
    <we:property name="MENDELEY_CITATIONS" value="[{&quot;citationID&quot;:&quot;MENDELEY_CITATION_8c7214d6-66b7-4f29-bcb8-1032c68ed65d&quot;,&quot;properties&quot;:{&quot;noteIndex&quot;:0},&quot;isEdited&quot;:false,&quot;manualOverride&quot;:{&quot;isManuallyOverridden&quot;:false,&quot;citeprocText&quot;:&quot;(Landucci and Reniers, 2019)&quot;,&quot;manualOverrideText&quot;:&quot;&quot;},&quot;citationItems&quot;:[{&quot;id&quot;:&quot;48cb9e96-e539-3a51-ae6d-d0ad2016201d&quot;,&quot;itemData&quot;:{&quot;type&quot;:&quot;article-journal&quot;,&quot;id&quot;:&quot;48cb9e96-e539-3a51-ae6d-d0ad2016201d&quot;,&quot;title&quot;:&quot;Preface to special issue on quantitative security analysis of industrial facilities&quot;,&quot;author&quot;:[{&quot;family&quot;:&quot;Landucci&quot;,&quot;given&quot;:&quot;Gabriele&quot;,&quot;parse-names&quot;:false,&quot;dropping-particle&quot;:&quot;&quot;,&quot;non-dropping-particle&quot;:&quot;&quot;},{&quot;family&quot;:&quot;Reniers&quot;,&quot;given&quot;:&quot;Genserik&quot;,&quot;parse-names&quot;:false,&quot;dropping-particle&quot;:&quot;&quot;,&quot;non-dropping-particle&quot;:&quot;&quot;}],&quot;container-title&quot;:&quot;Reliability Engineering &amp; System Safety&quot;,&quot;container-title-short&quot;:&quot;Reliab. Eng. Syst. Saf.&quot;,&quot;DOI&quot;:&quot;10.1016/j.ress.2019.106611&quot;,&quot;ISSN&quot;:&quot;09518320&quot;,&quot;issued&quot;:{&quot;date-parts&quot;:[[2019,11]]},&quot;page&quot;:&quot;106611&quot;,&quot;volume&quot;:&quot;191&quot;},&quot;isTemporary&quot;:false}],&quot;citationTag&quot;:&quot;MENDELEY_CITATION_v3_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&quot;},{&quot;citationID&quot;:&quot;MENDELEY_CITATION_7551868f-8285-4ace-9335-573dde222179&quot;,&quot;properties&quot;:{&quot;noteIndex&quot;:0},&quot;isEdited&quot;:false,&quot;manualOverride&quot;:{&quot;isManuallyOverridden&quot;:false,&quot;citeprocText&quot;:&quot;(Iaiani et al., 2021)&quot;,&quot;manualOverrideText&quot;:&quot;&quot;},&quot;citationItems&quot;:[{&quot;id&quot;:&quot;7ea2bb7a-8622-3fb1-bfb2-5d60ada9ce51&quot;,&quot;itemData&quot;:{&quot;type&quot;:&quot;article-journal&quot;,&quot;id&quot;:&quot;7ea2bb7a-8622-3fb1-bfb2-5d60ada9ce51&quot;,&quot;title&quot;:&quot;Analysis of events involving the intentional release of hazardous substances from industrial facilities&quot;,&quot;author&quot;:[{&quot;family&quot;:&quot;Iaiani&quot;,&quot;given&quot;:&quot;Matteo&quot;,&quot;parse-names&quot;:false,&quot;dropping-particle&quot;:&quot;&quot;,&quot;non-dropping-particle&quot;:&quot;&quot;},{&quot;family&quot;:&quot;Casson Moreno&quot;,&quot;given&quot;:&quot;Valeria&quot;,&quot;parse-names&quot;:false,&quot;dropping-particle&quot;:&quot;&quot;,&quot;non-dropping-particle&quot;:&quot;&quot;},{&quot;family&quot;:&quot;Reniers&quot;,&quot;given&quot;:&quot;Genserik&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21.107593&quot;,&quot;ISSN&quot;:&quot;09518320&quot;,&quot;issued&quot;:{&quot;date-parts&quot;:[[2021,8]]},&quot;page&quot;:&quot;107593&quot;,&quot;volume&quot;:&quot;212&quot;},&quot;isTemporary&quot;:false,&quot;suppress-author&quot;:false,&quot;composite&quot;:false,&quot;author-only&quot;:false}],&quot;citationTag&quot;:&quot;MENDELEY_CITATION_v3_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&quot;},{&quot;citationID&quot;:&quot;MENDELEY_CITATION_40fb8323-914a-46e8-b2d7-bb957eb7831e&quot;,&quot;properties&quot;:{&quot;noteIndex&quot;:0},&quot;isEdited&quot;:false,&quot;manualOverride&quot;:{&quot;isManuallyOverridden&quot;:false,&quot;citeprocText&quot;:&quot;(Garcia, 2007)&quot;,&quot;manualOverrideText&quot;:&quot;&quot;},&quot;citationTag&quot;:&quot;MENDELEY_CITATION_v3_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&quot;,&quot;citationItems&quot;:[{&quot;id&quot;:&quot;6f6250b7-8875-39f4-93ab-a741adfb8a59&quot;,&quot;itemData&quot;:{&quot;type&quot;:&quot;book&quot;,&quot;id&quot;:&quot;6f6250b7-8875-39f4-93ab-a741adfb8a59&quot;,&quot;title&quot;:&quot;The Design and Evaluation of Physical Protection Systems&quot;,&quot;author&quot;:[{&quot;family&quot;:&quot;Garcia&quot;,&quot;given&quot;:&quot;Mary Lynn&quot;,&quot;parse-names&quot;:false,&quot;dropping-particle&quot;:&quot;&quot;,&quot;non-dropping-particle&quot;:&quot;&quot;}],&quot;container-title&quot;:&quot;Design and Evaluation of Physical Protection Systems: Second Edition&quot;,&quot;DOI&quot;:&quot;10.1016/C2009-0-25612-1&quot;,&quot;ISBN&quot;:&quot;9780750683524&quot;,&quot;issued&quot;:{&quot;date-parts&quot;:[[2007]]},&quot;abstract&quot;:&quot;Design and Evaluation of Physical Security Systems, 2e, includes updated references to security expectations and changes since 9/11. The threat chapter includes references to new threat capabilities in Weapons of Mass Destruction, and a new figure on hate crime groups in the US. All the technology chapters have been reviewed and updated to include technology in use since 2001, when the first edition was published. Garcia has also added a new chapter that shows how the methodology described in the book is applied in transportation systems. College faculty who have adopted this text have suggested improvements and these have been incorporated as well. This second edition also includes some references to the author's recent book on Vulnerability Assessment, to link the two volumes at a high level. © 2008 by Butterworth-Heinemann. All rights reserved.&quot;,&quot;publisher&quot;:&quot;Butterworth-Heinemann (Elsevier)&quot;,&quot;container-title-short&quot;:&quot;&quot;},&quot;isTemporary&quot;:false}]},{&quot;citationID&quot;:&quot;MENDELEY_CITATION_bfe456a0-fd3a-4a07-85a8-09941d8155fe&quot;,&quot;properties&quot;:{&quot;noteIndex&quot;:0,&quot;mode&quot;:&quot;composite&quot;},&quot;isEdited&quot;:false,&quot;manualOverride&quot;:{&quot;isManuallyOverridden&quot;:false,&quot;citeprocText&quot;:&quot;Center for Chemical Process Safety (2003)&quot;,&quot;manualOverrideText&quot;:&quot;&quot;},&quot;citationItems&quot;:[{&quot;id&quot;:&quot;de125afc-0084-353c-86c8-a2310e9c0c38&quot;,&quot;itemData&quot;:{&quot;type&quot;:&quot;report&quot;,&quot;id&quot;:&quot;de125afc-0084-353c-86c8-a2310e9c0c38&quot;,&quot;title&quot;:&quot;Guidelines for Analyzing and Managing the Security Vulnerabilities of Fixed Chemical Sites&quot;,&quot;author&quot;:[{&quot;family&quot;:&quot;Center for Chemical Process Safety&quot;,&quot;given&quot;:&quot;&quot;,&quot;parse-names&quot;:false,&quot;dropping-particle&quot;:&quot;&quot;,&quot;non-dropping-particle&quot;:&quot;&quot;}],&quot;issued&quot;:{&quot;date-parts&quot;:[[2003]]},&quot;container-title-short&quot;:&quot;&quot;},&quot;isTemporary&quot;:false,&quot;displayAs&quot;:&quot;composite&quot;,&quot;suppress-author&quot;:false,&quot;composite&quot;:true,&quot;author-only&quot;:false}],&quot;citationTag&quot;:&quot;MENDELEY_CITATION_v3_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&quot;},{&quot;citationID&quot;:&quot;MENDELEY_CITATION_8bcd6f8d-d8b6-4828-8a85-f1805e75803f&quot;,&quot;properties&quot;:{&quot;noteIndex&quot;:0,&quot;mode&quot;:&quot;composite&quot;},&quot;isEdited&quot;:false,&quot;manualOverride&quot;:{&quot;isManuallyOverridden&quot;:false,&quot;citeprocText&quot;:&quot;American Petroleum Institute (2013)&quot;,&quot;manualOverrideText&quot;:&quot;&quot;},&quot;citationItems&quot;:[{&quot;id&quot;:&quot;83877fcf-eec1-3191-91b1-4cd1415faca0&quot;,&quot;itemData&quot;:{&quot;type&quot;:&quot;report&quot;,&quot;id&quot;:&quot;83877fcf-eec1-3191-91b1-4cd1415faca0&quot;,&quot;title&quot;:&quot;API RP 780 - Security Risk Assessment Methodology for the Petroleum and Petrochemical Industries&quot;,&quot;author&quot;:[{&quot;family&quot;:&quot;American Petroleum Institute&quot;,&quot;given&quot;:&quot;&quot;,&quot;parse-names&quot;:false,&quot;dropping-particle&quot;:&quot;&quot;,&quot;non-dropping-particle&quot;:&quot;&quot;}],&quot;issued&quot;:{&quot;date-parts&quot;:[[2013]]},&quot;container-title-short&quot;:&quot;&quot;},&quot;isTemporary&quot;:false,&quot;displayAs&quot;:&quot;composite&quot;,&quot;suppress-author&quot;:false,&quot;composite&quot;:true,&quot;author-only&quot;:false}],&quot;citationTag&quot;:&quot;MENDELEY_CITATION_v3_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&quot;},{&quot;citationID&quot;:&quot;MENDELEY_CITATION_6796e905-90cf-40c2-92ae-c794d6105819&quot;,&quot;properties&quot;:{&quot;noteIndex&quot;:0},&quot;isEdited&quot;:false,&quot;manualOverride&quot;:{&quot;isManuallyOverridden&quot;:false,&quot;citeprocText&quot;:&quot;(Ricci et al., 2021)&quot;,&quot;manualOverrideText&quot;:&quot;&quot;},&quot;citationItems&quot;:[{&quot;id&quot;:&quot;43e78091-31ea-31f5-84b1-8cef7db235a3&quot;,&quot;itemData&quot;:{&quot;type&quot;:&quot;article-journal&quot;,&quot;id&quot;:&quot;43e78091-31ea-31f5-84b1-8cef7db235a3&quot;,&quot;title&quot;:&quot;A comprehensive analysis of the occurrence of Natech events in the process industry&quot;,&quot;author&quot;:[{&quot;family&quot;:&quot;Ricci&quot;,&quot;given&quot;:&quot;Federica&quot;,&quot;parse-names&quot;:false,&quot;dropping-particle&quot;:&quot;&quot;,&quot;non-dropping-particle&quot;:&quot;&quot;},{&quot;family&quot;:&quot;Casson Moreno&quot;,&quot;given&quot;:&quot;Valeria&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0.12.031&quot;,&quot;ISSN&quot;:&quot;09575820&quot;,&quot;URL&quot;:&quot;https://linkinghub.elsevier.com/retrieve/pii/S0957582020319583&quot;,&quot;issued&quot;:{&quot;date-parts&quot;:[[2021,3]]},&quot;page&quot;:&quot;703-713&quot;,&quot;volume&quot;:&quot;147&quot;,&quot;container-title-short&quot;:&quot;&quot;},&quot;isTemporary&quot;:false,&quot;suppress-author&quot;:false,&quot;composite&quot;:false,&quot;author-only&quot;:false}],&quot;citationTag&quot;:&quot;MENDELEY_CITATION_v3_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ET0kiOiIxMC4xMDE2L2oucHNlcC4yMDIwLjEyLjAzMSIsIklTU04iOiIwOTU3NTgyMCIsIlVSTCI6Imh0dHBzOi8vbGlua2luZ2h1Yi5lbHNldmllci5jb20vcmV0cmlldmUvcGlpL1MwOTU3NTgyMDIwMzE5NTgzIiwiaXNzdWVkIjp7ImRhdGUtcGFydHMiOltbMjAyMSwzXV19LCJwYWdlIjoiNzAzLTcxMyIsInZvbHVtZSI6IjE0NyIsImNvbnRhaW5lci10aXRsZS1zaG9ydCI6IiJ9LCJpc1RlbXBvcmFyeSI6ZmFsc2UsInN1cHByZXNzLWF1dGhvciI6ZmFsc2UsImNvbXBvc2l0ZSI6ZmFsc2UsImF1dGhvci1vbmx5IjpmYWxzZX1dfQ==&quot;},{&quot;citationID&quot;:&quot;MENDELEY_CITATION_1ede1dbd-1428-416c-b385-982aa01acd55&quot;,&quot;properties&quot;:{&quot;noteIndex&quot;:0},&quot;isEdited&quot;:false,&quot;manualOverride&quot;:{&quot;isManuallyOverridden&quot;:false,&quot;citeprocText&quot;:&quot;(Misuri et al., 2021)&quot;,&quot;manualOverrideText&quot;:&quot;&quot;},&quot;citationItems&quot;:[{&quot;id&quot;:&quot;ef53ac0e-8bb0-39eb-8453-0d807a3d8b9b&quot;,&quot;itemData&quot;:{&quot;type&quot;:&quot;article-journal&quot;,&quot;id&quot;:&quot;ef53ac0e-8bb0-39eb-8453-0d807a3d8b9b&quot;,&quot;title&quot;:&quot;Assessment of safety barrier performance in the mitigation of domino scenarios caused by Natech events&quot;,&quot;author&quot;:[{&quot;family&quot;:&quot;Misuri&quot;,&quot;given&quot;:&quot;Alessio&quot;,&quot;parse-names&quot;:false,&quot;dropping-particle&quot;:&quot;&quot;,&quot;non-dropping-particle&quot;:&quot;&quot;},{&quot;family&quot;:&quot;Landucci&quot;,&quot;given&quot;:&quot;Gabriele&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20.107278&quot;,&quot;ISSN&quot;:&quot;09518320&quot;,&quot;URL&quot;:&quot;https://linkinghub.elsevier.com/retrieve/pii/S0951832020307766&quot;,&quot;issued&quot;:{&quot;date-parts&quot;:[[2021,1]]},&quot;page&quot;:&quot;107278&quot;,&quot;volume&quot;:&quot;205&quot;},&quot;isTemporary&quot;:false,&quot;suppress-author&quot;:false,&quot;composite&quot;:false,&quot;author-only&quot;:false}],&quot;citationTag&quot;:&quot;MENDELEY_CITATION_v3_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uIEVuZy4gU3lzdC4gU2FmLiIsIkRPSSI6IjEwLjEwMTYvai5yZXNzLjIwMjAuMTA3Mjc4IiwiSVNTTiI6IjA5NTE4MzIwIiwiVVJMIjoiaHR0cHM6Ly9saW5raW5naHViLmVsc2V2aWVyLmNvbS9yZXRyaWV2ZS9waWkvUzA5NTE4MzIwMjAzMDc3NjYiLCJpc3N1ZWQiOnsiZGF0ZS1wYXJ0cyI6W1syMDIxLDFdXX0sInBhZ2UiOiIxMDcyNzgiLCJ2b2x1bWUiOiIyMDUifSwiaXNUZW1wb3JhcnkiOmZhbHNlLCJzdXBwcmVzcy1hdXRob3IiOmZhbHNlLCJjb21wb3NpdGUiOmZhbHNlLCJhdXRob3Itb25seSI6ZmFsc2V9XX0=&quot;},{&quot;citationID&quot;:&quot;MENDELEY_CITATION_71afcb2c-e1b0-4ef0-863c-9cd33cfd83e2&quot;,&quot;properties&quot;:{&quot;noteIndex&quot;:0},&quot;isEdited&quot;:false,&quot;manualOverride&quot;:{&quot;isManuallyOverridden&quot;:false,&quot;citeprocText&quot;:&quot;(Ricci et al., 2024)&quot;,&quot;manualOverrideText&quot;:&quot;&quot;},&quot;citationItems&quot;:[{&quot;id&quot;:&quot;1be02075-68c7-34da-8feb-45aaa3412c0d&quot;,&quot;itemData&quot;:{&quot;type&quot;:&quot;article-journal&quot;,&quot;id&quot;:&quot;1be02075-68c7-34da-8feb-45aaa3412c0d&quot;,&quot;title&quot;:&quot;Emergency response in cascading scenarios triggered by natural events&quot;,&quot;author&quot;:[{&quot;family&quot;:&quot;Ricci&quot;,&quot;given&quot;:&quot;Federica&quot;,&quot;parse-names&quot;:false,&quot;dropping-particle&quot;:&quot;&quot;,&quot;non-dropping-particle&quot;:&quot;&quot;},{&quot;family&quot;:&quot;Yang&quot;,&quot;given&quot;:&quot;Ming&quot;,&quot;parse-names&quot;:false,&quot;dropping-particle&quot;:&quot;&quot;,&quot;non-dropping-particle&quot;:&quot;&quot;},{&quot;family&quot;:&quot;Reniers&quot;,&quot;given&quot;:&quot;Genserik&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23.109820&quot;,&quot;ISSN&quot;:&quot;09518320&quot;,&quot;issued&quot;:{&quot;date-parts&quot;:[[2024,3]]},&quot;page&quot;:&quot;109820&quot;,&quot;volume&quot;:&quot;243&quot;},&quot;isTemporary&quot;:false,&quot;suppress-author&quot;:false,&quot;composite&quot;:false,&quot;author-only&quot;:false}],&quot;citationTag&quot;:&quot;MENDELEY_CITATION_v3_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RE9JIjoiMTAuMTAxNi9qLnJlc3MuMjAyMy4xMDk4MjAiLCJJU1NOIjoiMDk1MTgzMjAiLCJpc3N1ZWQiOnsiZGF0ZS1wYXJ0cyI6W1syMDI0LDNdXX0sInBhZ2UiOiIxMDk4MjAiLCJ2b2x1bWUiOiIyNDMifSwiaXNUZW1wb3JhcnkiOmZhbHNlLCJzdXBwcmVzcy1hdXRob3IiOmZhbHNlLCJjb21wb3NpdGUiOmZhbHNlLCJhdXRob3Itb25seSI6ZmFsc2V9XX0=&quot;},{&quot;citationID&quot;:&quot;MENDELEY_CITATION_6ba07220-596e-43a2-bcc5-f7b3db0dd5ab&quot;,&quot;properties&quot;:{&quot;noteIndex&quot;:0},&quot;isEdited&quot;:false,&quot;manualOverride&quot;:{&quot;isManuallyOverridden&quot;:false,&quot;citeprocText&quot;:&quot;(George and Renjith, 2021)&quot;,&quot;manualOverrideText&quot;:&quot;&quot;},&quot;citationItems&quot;:[{&quot;id&quot;:&quot;9c2fbff1-5efb-383c-a09f-cebdcc031769&quot;,&quot;itemData&quot;:{&quot;type&quot;:&quot;article-journal&quot;,&quot;id&quot;:&quot;9c2fbff1-5efb-383c-a09f-cebdcc031769&quot;,&quot;title&quot;:&quot;Evolution of Safety and Security Risk Assessment methodologies towards the use of Bayesian Networks in Process Industries&quot;,&quot;author&quot;:[{&quot;family&quot;:&quot;George&quot;,&quot;given&quot;:&quot;Priscilla Grace&quot;,&quot;parse-names&quot;:false,&quot;dropping-particle&quot;:&quot;&quot;,&quot;non-dropping-particle&quot;:&quot;&quot;},{&quot;family&quot;:&quot;Renjith&quot;,&quot;given&quot;:&quot;V.R.&quot;,&quot;parse-names&quot;:false,&quot;dropping-particle&quot;:&quot;&quot;,&quot;non-dropping-particle&quot;:&quot;&quot;}],&quot;container-title&quot;:&quot;Process Safety and Environmental Protection&quot;,&quot;DOI&quot;:&quot;10.1016/j.psep.2021.03.031&quot;,&quot;ISSN&quot;:&quot;09575820&quot;,&quot;issued&quot;:{&quot;date-parts&quot;:[[2021,5]]},&quot;page&quot;:&quot;758-775&quot;,&quot;volume&quot;:&quot;149&quot;,&quot;container-title-short&quot;:&quot;&quot;},&quot;isTemporary&quot;:false,&quot;suppress-author&quot;:false,&quot;composite&quot;:false,&quot;author-only&quot;:false}],&quot;citationTag&quot;:&quot;MENDELEY_CITATION_v3_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&quot;},{&quot;citationID&quot;:&quot;MENDELEY_CITATION_c7c2fbde-ed36-4393-ac50-457417f4240e&quot;,&quot;properties&quot;:{&quot;noteIndex&quot;:0},&quot;isEdited&quot;:false,&quot;manualOverride&quot;:{&quot;isManuallyOverridden&quot;:false,&quot;citeprocText&quot;:&quot;(Evans et al., 2021)&quot;,&quot;manualOverrideText&quot;:&quot;&quot;},&quot;citationItems&quot;:[{&quot;id&quot;:&quot;ef2039f2-2f65-3b2f-9dc5-14795164f59f&quot;,&quot;itemData&quot;:{&quot;type&quot;:&quot;report&quot;,&quot;id&quot;:&quot;ef2039f2-2f65-3b2f-9dc5-14795164f59f&quot;,&quot;title&quot;:&quot;Impact of Extreme Weather Events on Physical Protection System Effectiveness for a Hypothetical Small Modular Reactor Facility: Systems Analysis and Considerations&quot;,&quot;author&quot;:[{&quot;family&quot;:&quot;Evans&quot;,&quot;given&quot;:&quot;Alan&quot;,&quot;parse-names&quot;:false,&quot;dropping-particle&quot;:&quot;&quot;,&quot;non-dropping-particle&quot;:&quot;&quot;},{&quot;family&quot;:&quot;Horowitz&quot;,&quot;given&quot;:&quot;Steven&quot;,&quot;parse-names&quot;:false,&quot;dropping-particle&quot;:&quot;&quot;,&quot;non-dropping-particle&quot;:&quot;&quot;},{&quot;family&quot;:&quot;Le&quot;,&quot;given&quot;:&quot;Tam&quot;,&quot;parse-names&quot;:false,&quot;dropping-particle&quot;:&quot;&quot;,&quot;non-dropping-particle&quot;:&quot;&quot;},{&quot;family&quot;:&quot;Cohn&quot;,&quot;given&quot;:&quot;Brian&quot;,&quot;parse-names&quot;:false,&quot;dropping-particle&quot;:&quot;&quot;,&quot;non-dropping-particle&quot;:&quot;&quot;}],&quot;issued&quot;:{&quot;date-parts&quot;:[[2021,4]]},&quot;publisher-place&quot;:&quot;Albuquerque (New Mexico) and Livermore (California)&quot;,&quot;container-title-short&quot;:&quot;&quot;},&quot;isTemporary&quot;:false}],&quot;citationTag&quot;:&quot;MENDELEY_CITATION_v3_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&quot;},{&quot;citationID&quot;:&quot;MENDELEY_CITATION_0edbaff0-eea9-4079-97c1-1ad208aa3b49&quot;,&quot;properties&quot;:{&quot;noteIndex&quot;:0},&quot;isEdited&quot;:false,&quot;manualOverride&quot;:{&quot;isManuallyOverridden&quot;:false,&quot;citeprocText&quot;:&quot;(Hokstada et al., 1998)&quot;,&quot;manualOverrideText&quot;:&quot;&quot;},&quot;citationItems&quot;:[{&quot;id&quot;:&quot;25b2876e-0efb-3efe-8df9-ce9962628571&quot;,&quot;itemData&quot;:{&quot;type&quot;:&quot;article-journal&quot;,&quot;id&quot;:&quot;25b2876e-0efb-3efe-8df9-ce9962628571&quot;,&quot;title&quot;:&quot;Recommendations on the use of expert judgment in safety and reliability engineering studies. Two offshore case studies&quot;,&quot;author&quot;:[{&quot;family&quot;:&quot;Hokstada&quot;,&quot;given&quot;:&quot;Per&quot;,&quot;parse-names&quot;:false,&quot;dropping-particle&quot;:&quot;&quot;,&quot;non-dropping-particle&quot;:&quot;&quot;},{&quot;family&quot;:&quot;Øien&quot;,&quot;given&quot;:&quot;Knut&quot;,&quot;parse-names&quot;:false,&quot;dropping-particle&quot;:&quot;&quot;,&quot;non-dropping-particle&quot;:&quot;&quot;},{&quot;family&quot;:&quot;Reinertsen&quot;,&quot;given&quot;:&quot;Rune&quot;,&quot;parse-names&quot;:false,&quot;dropping-particle&quot;:&quot;&quot;,&quot;non-dropping-particle&quot;:&quot;&quot;}],&quot;container-title&quot;:&quot;Reliability Engineering &amp; System Safety&quot;,&quot;container-title-short&quot;:&quot;Reliab. Eng. Syst. Saf.&quot;,&quot;DOI&quot;:&quot;10.1016/S0951-8320(97)00084-7&quot;,&quot;ISSN&quot;:&quot;09518320&quot;,&quot;URL&quot;:&quot;https://linkinghub.elsevier.com/retrieve/pii/S0951832097000847&quot;,&quot;issued&quot;:{&quot;date-parts&quot;:[[1998,7]]},&quot;page&quot;:&quot;65-76&quot;,&quot;issue&quot;:&quot;1-2&quot;,&quot;volume&quot;:&quot;61&quot;},&quot;isTemporary&quot;:false,&quot;suppress-author&quot;:false,&quot;composite&quot;:false,&quot;author-only&quot;:false}],&quot;citationTag&quot;:&quot;MENDELEY_CITATION_v3_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&quot;},{&quot;citationID&quot;:&quot;MENDELEY_CITATION_23a0a6fa-7368-46ae-9a02-26cb15d8dbc3&quot;,&quot;properties&quot;:{&quot;noteIndex&quot;:0},&quot;isEdited&quot;:false,&quot;manualOverride&quot;:{&quot;isManuallyOverridden&quot;:false,&quot;citeprocText&quot;:&quot;(Ricci et al., 2021)&quot;,&quot;manualOverrideText&quot;:&quot;&quot;},&quot;citationItems&quot;:[{&quot;id&quot;:&quot;43e78091-31ea-31f5-84b1-8cef7db235a3&quot;,&quot;itemData&quot;:{&quot;type&quot;:&quot;article-journal&quot;,&quot;id&quot;:&quot;43e78091-31ea-31f5-84b1-8cef7db235a3&quot;,&quot;title&quot;:&quot;A comprehensive analysis of the occurrence of Natech events in the process industry&quot;,&quot;author&quot;:[{&quot;family&quot;:&quot;Ricci&quot;,&quot;given&quot;:&quot;Federica&quot;,&quot;parse-names&quot;:false,&quot;dropping-particle&quot;:&quot;&quot;,&quot;non-dropping-particle&quot;:&quot;&quot;},{&quot;family&quot;:&quot;Casson Moreno&quot;,&quot;given&quot;:&quot;Valeria&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0.12.031&quot;,&quot;ISSN&quot;:&quot;09575820&quot;,&quot;URL&quot;:&quot;https://linkinghub.elsevier.com/retrieve/pii/S0957582020319583&quot;,&quot;issued&quot;:{&quot;date-parts&quot;:[[2021,3]]},&quot;page&quot;:&quot;703-713&quot;,&quot;volume&quot;:&quot;147&quot;,&quot;container-title-short&quot;:&quot;&quot;},&quot;isTemporary&quot;:false,&quot;suppress-author&quot;:false,&quot;composite&quot;:false,&quot;author-only&quot;:false}],&quot;citationTag&quot;:&quot;MENDELEY_CITATION_v3_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ET0kiOiIxMC4xMDE2L2oucHNlcC4yMDIwLjEyLjAzMSIsIklTU04iOiIwOTU3NTgyMCIsIlVSTCI6Imh0dHBzOi8vbGlua2luZ2h1Yi5lbHNldmllci5jb20vcmV0cmlldmUvcGlpL1MwOTU3NTgyMDIwMzE5NTgzIiwiaXNzdWVkIjp7ImRhdGUtcGFydHMiOltbMjAyMSwzXV19LCJwYWdlIjoiNzAzLTcxMyIsInZvbHVtZSI6IjE0NyIsImNvbnRhaW5lci10aXRsZS1zaG9ydCI6IiJ9LCJpc1RlbXBvcmFyeSI6ZmFsc2UsInN1cHByZXNzLWF1dGhvciI6ZmFsc2UsImNvbXBvc2l0ZSI6ZmFsc2UsImF1dGhvci1vbmx5IjpmYWxzZX1dfQ==&quot;},{&quot;citationID&quot;:&quot;MENDELEY_CITATION_d26c42e8-44cb-4da0-9001-699787dc8f3b&quot;,&quot;properties&quot;:{&quot;noteIndex&quot;:0},&quot;isEdited&quot;:false,&quot;manualOverride&quot;:{&quot;isManuallyOverridden&quot;:false,&quot;citeprocText&quot;:&quot;(Garcia, 2007)&quot;,&quot;manualOverrideText&quot;:&quot;&quot;},&quot;citationItems&quot;:[{&quot;id&quot;:&quot;6f6250b7-8875-39f4-93ab-a741adfb8a59&quot;,&quot;itemData&quot;:{&quot;type&quot;:&quot;book&quot;,&quot;id&quot;:&quot;6f6250b7-8875-39f4-93ab-a741adfb8a59&quot;,&quot;title&quot;:&quot;The Design and Evaluation of Physical Protection Systems&quot;,&quot;author&quot;:[{&quot;family&quot;:&quot;Garcia&quot;,&quot;given&quot;:&quot;Mary Lynn&quot;,&quot;parse-names&quot;:false,&quot;dropping-particle&quot;:&quot;&quot;,&quot;non-dropping-particle&quot;:&quot;&quot;}],&quot;container-title&quot;:&quot;Design and Evaluation of Physical Protection Systems: Second Edition&quot;,&quot;DOI&quot;:&quot;10.1016/C2009-0-25612-1&quot;,&quot;ISBN&quot;:&quot;9780750683524&quot;,&quot;issued&quot;:{&quot;date-parts&quot;:[[2007]]},&quot;abstract&quot;:&quot;Design and Evaluation of Physical Security Systems, 2e, includes updated references to security expectations and changes since 9/11. The threat chapter includes references to new threat capabilities in Weapons of Mass Destruction, and a new figure on hate crime groups in the US. All the technology chapters have been reviewed and updated to include technology in use since 2001, when the first edition was published. Garcia has also added a new chapter that shows how the methodology described in the book is applied in transportation systems. College faculty who have adopted this text have suggested improvements and these have been incorporated as well. This second edition also includes some references to the author's recent book on Vulnerability Assessment, to link the two volumes at a high level. © 2008 by Butterworth-Heinemann. All rights reserved.&quot;,&quot;publisher&quot;:&quot;Butterworth-Heinemann (Elsevier)&quot;,&quot;container-title-short&quot;:&quot;&quot;},&quot;isTemporary&quot;:false,&quot;suppress-author&quot;:false,&quot;composite&quot;:false,&quot;author-only&quot;:false}],&quot;citationTag&quot;:&quot;MENDELEY_CITATION_v3_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&quot;},{&quot;citationID&quot;:&quot;MENDELEY_CITATION_34bff45f-b445-48a9-8493-cffba81397d0&quot;,&quot;properties&quot;:{&quot;noteIndex&quot;:0},&quot;isEdited&quot;:false,&quot;manualOverride&quot;:{&quot;isManuallyOverridden&quot;:false,&quot;citeprocText&quot;:&quot;(Center for Chemical Process Safety, 2003)&quot;,&quot;manualOverrideText&quot;:&quot;&quot;},&quot;citationItems&quot;:[{&quot;id&quot;:&quot;de125afc-0084-353c-86c8-a2310e9c0c38&quot;,&quot;itemData&quot;:{&quot;type&quot;:&quot;report&quot;,&quot;id&quot;:&quot;de125afc-0084-353c-86c8-a2310e9c0c38&quot;,&quot;title&quot;:&quot;Guidelines for Analyzing and Managing the Security Vulnerabilities of Fixed Chemical Sites&quot;,&quot;author&quot;:[{&quot;family&quot;:&quot;Center for Chemical Process Safety&quot;,&quot;given&quot;:&quot;&quot;,&quot;parse-names&quot;:false,&quot;dropping-particle&quot;:&quot;&quot;,&quot;non-dropping-particle&quot;:&quot;&quot;}],&quot;issued&quot;:{&quot;date-parts&quot;:[[2003]]},&quot;container-title-short&quot;:&quot;&quot;},&quot;isTemporary&quot;:false}],&quot;citationTag&quot;:&quot;MENDELEY_CITATION_v3_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&quot;},{&quot;citationID&quot;:&quot;MENDELEY_CITATION_c78f714a-f5c0-4fb3-a7ef-73854e4a3f51&quot;,&quot;properties&quot;:{&quot;noteIndex&quot;:0},&quot;isEdited&quot;:false,&quot;manualOverride&quot;:{&quot;isManuallyOverridden&quot;:false,&quot;citeprocText&quot;:&quot;(Jaeger, 2002)&quot;,&quot;manualOverrideText&quot;:&quot;&quot;},&quot;citationItems&quot;:[{&quot;id&quot;:&quot;2bc2fbb7-88a2-3c03-a9d6-b7fc3d619c54&quot;,&quot;itemData&quot;:{&quot;type&quot;:&quot;article-journal&quot;,&quot;id&quot;:&quot;2bc2fbb7-88a2-3c03-a9d6-b7fc3d619c54&quot;,&quot;title&quot;:&quot;Vulnerability Assessment Methodology for Chemical Facilities (VAM-CF)&quot;,&quot;author&quot;:[{&quot;family&quot;:&quot;Jaeger&quot;,&quot;given&quot;:&quot;Calvin D.&quot;,&quot;parse-names&quot;:false,&quot;dropping-particle&quot;:&quot;&quot;,&quot;non-dropping-particle&quot;:&quot;&quot;}],&quot;container-title&quot;:&quot;Chemical Health &amp; Safety&quot;,&quot;container-title-short&quot;:&quot;Chem. Health Saf.&quot;,&quot;DOI&quot;:&quot;10.1016/S1074-9098(02)00389-1&quot;,&quot;ISSN&quot;:&quot;1074-9098&quot;,&quot;issued&quot;:{&quot;date-parts&quot;:[[2002,11,1]]},&quot;page&quot;:&quot;15-19&quot;,&quot;issue&quot;:&quot;6&quot;,&quot;volume&quot;:&quot;9&quot;},&quot;isTemporary&quot;:false}],&quot;citationTag&quot;:&quot;MENDELEY_CITATION_v3_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&quot;},{&quot;citationID&quot;:&quot;MENDELEY_CITATION_ce2bdad4-41bf-4b75-ac95-09bdeae073da&quot;,&quot;properties&quot;:{&quot;noteIndex&quot;:0},&quot;isEdited&quot;:false,&quot;manualOverride&quot;:{&quot;isManuallyOverridden&quot;:false,&quot;citeprocText&quot;:&quot;(American Petroleum Institute, 2013)&quot;,&quot;manualOverrideText&quot;:&quot;&quot;},&quot;citationItems&quot;:[{&quot;id&quot;:&quot;83877fcf-eec1-3191-91b1-4cd1415faca0&quot;,&quot;itemData&quot;:{&quot;type&quot;:&quot;report&quot;,&quot;id&quot;:&quot;83877fcf-eec1-3191-91b1-4cd1415faca0&quot;,&quot;title&quot;:&quot;API RP 780 - Security Risk Assessment Methodology for the Petroleum and Petrochemical Industries&quot;,&quot;author&quot;:[{&quot;family&quot;:&quot;American Petroleum Institute&quot;,&quot;given&quot;:&quot;&quot;,&quot;parse-names&quot;:false,&quot;dropping-particle&quot;:&quot;&quot;,&quot;non-dropping-particle&quot;:&quot;&quot;}],&quot;issued&quot;:{&quot;date-parts&quot;:[[2013]]},&quot;container-title-short&quot;:&quot;&quot;},&quot;isTemporary&quot;:false}],&quot;citationTag&quot;:&quot;MENDELEY_CITATION_v3_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&quot;},{&quot;citationID&quot;:&quot;MENDELEY_CITATION_6804d296-15b4-4d65-a89b-562a13824ce2&quot;,&quot;properties&quot;:{&quot;noteIndex&quot;:0},&quot;isEdited&quot;:false,&quot;manualOverride&quot;:{&quot;isManuallyOverridden&quot;:false,&quot;citeprocText&quot;:&quot;(Hokstada et al., 1998)&quot;,&quot;manualOverrideText&quot;:&quot;&quot;},&quot;citationItems&quot;:[{&quot;id&quot;:&quot;25b2876e-0efb-3efe-8df9-ce9962628571&quot;,&quot;itemData&quot;:{&quot;type&quot;:&quot;article-journal&quot;,&quot;id&quot;:&quot;25b2876e-0efb-3efe-8df9-ce9962628571&quot;,&quot;title&quot;:&quot;Recommendations on the use of expert judgment in safety and reliability engineering studies. Two offshore case studies&quot;,&quot;author&quot;:[{&quot;family&quot;:&quot;Hokstada&quot;,&quot;given&quot;:&quot;Per&quot;,&quot;parse-names&quot;:false,&quot;dropping-particle&quot;:&quot;&quot;,&quot;non-dropping-particle&quot;:&quot;&quot;},{&quot;family&quot;:&quot;Øien&quot;,&quot;given&quot;:&quot;Knut&quot;,&quot;parse-names&quot;:false,&quot;dropping-particle&quot;:&quot;&quot;,&quot;non-dropping-particle&quot;:&quot;&quot;},{&quot;family&quot;:&quot;Reinertsen&quot;,&quot;given&quot;:&quot;Rune&quot;,&quot;parse-names&quot;:false,&quot;dropping-particle&quot;:&quot;&quot;,&quot;non-dropping-particle&quot;:&quot;&quot;}],&quot;container-title&quot;:&quot;Reliability Engineering &amp; System Safety&quot;,&quot;container-title-short&quot;:&quot;Reliab. Eng. Syst. Saf.&quot;,&quot;DOI&quot;:&quot;10.1016/S0951-8320(97)00084-7&quot;,&quot;ISSN&quot;:&quot;09518320&quot;,&quot;URL&quot;:&quot;https://linkinghub.elsevier.com/retrieve/pii/S0951832097000847&quot;,&quot;issued&quot;:{&quot;date-parts&quot;:[[1998,7]]},&quot;page&quot;:&quot;65-76&quot;,&quot;issue&quot;:&quot;1-2&quot;,&quot;volume&quot;:&quot;61&quot;},&quot;isTemporary&quot;:false,&quot;suppress-author&quot;:false,&quot;composite&quot;:false,&quot;author-only&quot;:false}],&quot;citationTag&quot;:&quot;MENDELEY_CITATION_v3_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&quot;},{&quot;citationID&quot;:&quot;MENDELEY_CITATION_17facf92-b396-4828-bed6-7e2233e2db92&quot;,&quot;properties&quot;:{&quot;noteIndex&quot;:0,&quot;mode&quot;:&quot;composite&quot;},&quot;isEdited&quot;:false,&quot;manualOverride&quot;:{&quot;isManuallyOverridden&quot;:false,&quot;citeprocText&quot;:&quot;Vagias (2006)&quot;,&quot;manualOverrideText&quot;:&quot;&quot;},&quot;citationItems&quot;:[{&quot;id&quot;:&quot;d2077ab7-ac81-36f1-8589-460e96812f04&quot;,&quot;itemData&quot;:{&quot;type&quot;:&quot;article-journal&quot;,&quot;id&quot;:&quot;d2077ab7-ac81-36f1-8589-460e96812f04&quot;,&quot;title&quot;:&quot;Likert-Type Scale Response Anchors&quot;,&quot;author&quot;:[{&quot;family&quot;:&quot;Vagias&quot;,&quot;given&quot;:&quot;Wade M.&quot;,&quot;parse-names&quot;:false,&quot;dropping-particle&quot;:&quot;&quot;,&quot;non-dropping-particle&quot;:&quot;&quot;}],&quot;container-title&quot;:&quot;Clemson International Institute for Tourism &amp; Research Development, Department of Parks, Recreation and Tourism Management. Clemson University.&quot;,&quot;ISSN&quot;:&quot;00048038&quot;,&quot;issued&quot;:{&quot;date-parts&quot;:[[2006]]},&quot;container-title-short&quot;:&quot;&quot;},&quot;isTemporary&quot;:false,&quot;displayAs&quot;:&quot;composite&quot;,&quot;suppress-author&quot;:false,&quot;composite&quot;:true,&quot;author-only&quot;:false}],&quot;citationTag&quot;:&quot;MENDELEY_CITATION_v3_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&quot;},{&quot;citationID&quot;:&quot;MENDELEY_CITATION_7bfe16c1-ab2c-49cb-b8d6-a6045aef6274&quot;,&quot;properties&quot;:{&quot;noteIndex&quot;:0},&quot;isEdited&quot;:false,&quot;manualOverride&quot;:{&quot;isManuallyOverridden&quot;:false,&quot;citeprocText&quot;:&quot;(Norrington et al., 2008)&quot;,&quot;manualOverrideText&quot;:&quot;&quot;},&quot;citationItems&quot;:[{&quot;id&quot;:&quot;1a85b5f2-4492-3587-b534-5351f6291484&quot;,&quot;itemData&quot;:{&quot;type&quot;:&quot;article-journal&quot;,&quot;id&quot;:&quot;1a85b5f2-4492-3587-b534-5351f6291484&quot;,&quot;title&quot;:&quot;Modelling the reliability of search and rescue operations with Bayesian Belief Networks&quot;,&quot;author&quot;:[{&quot;family&quot;:&quot;Norrington&quot;,&quot;given&quot;:&quot;Lisa&quot;,&quot;parse-names&quot;:false,&quot;dropping-particle&quot;:&quot;&quot;,&quot;non-dropping-particle&quot;:&quot;&quot;},{&quot;family&quot;:&quot;Quigley&quot;,&quot;given&quot;:&quot;John&quot;,&quot;parse-names&quot;:false,&quot;dropping-particle&quot;:&quot;&quot;,&quot;non-dropping-particle&quot;:&quot;&quot;},{&quot;family&quot;:&quot;Russell&quot;,&quot;given&quot;:&quot;Ashley&quot;,&quot;parse-names&quot;:false,&quot;dropping-particle&quot;:&quot;&quot;,&quot;non-dropping-particle&quot;:&quot;&quot;},{&quot;family&quot;:&quot;Meer&quot;,&quot;given&quot;:&quot;Robert&quot;,&quot;parse-names&quot;:false,&quot;dropping-particle&quot;:&quot;&quot;,&quot;non-dropping-particle&quot;:&quot;Van der&quot;}],&quot;container-title&quot;:&quot;Reliability Engineering &amp; System Safety&quot;,&quot;container-title-short&quot;:&quot;Reliab. Eng. Syst. Saf.&quot;,&quot;DOI&quot;:&quot;10.1016/j.ress.2007.03.006&quot;,&quot;ISSN&quot;:&quot;09518320&quot;,&quot;URL&quot;:&quot;https://linkinghub.elsevier.com/retrieve/pii/S0951832007001032&quot;,&quot;issued&quot;:{&quot;date-parts&quot;:[[2008,7]]},&quot;page&quot;:&quot;940-949&quot;,&quot;issue&quot;:&quot;7&quot;,&quot;volume&quot;:&quot;93&quot;},&quot;isTemporary&quot;:false}],&quot;citationTag&quot;:&quot;MENDELEY_CITATION_v3_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&quot;},{&quot;citationID&quot;:&quot;MENDELEY_CITATION_96ee04b3-b5ae-4815-a4cf-5b8b6fd2922e&quot;,&quot;properties&quot;:{&quot;noteIndex&quot;:0},&quot;isEdited&quot;:false,&quot;manualOverride&quot;:{&quot;isManuallyOverridden&quot;:false,&quot;citeprocText&quot;:&quot;(Waters et al., 2022)&quot;,&quot;manualOverrideText&quot;:&quot;&quot;},&quot;citationItems&quot;:[{&quot;id&quot;:&quot;bf28673b-4c06-39ff-8bda-b0fd00aa4003&quot;,&quot;itemData&quot;:{&quot;type&quot;:&quot;article-journal&quot;,&quot;id&quot;:&quot;bf28673b-4c06-39ff-8bda-b0fd00aa4003&quot;,&quot;title&quot;:&quot;Dismissing “Don’t Know” Responses to Perceived Risk Survey Items Threatens the Validity of Theoretical and Empirical Behavior-Change Research&quot;,&quot;author&quot;:[{&quot;family&quot;:&quot;Waters&quot;,&quot;given&quot;:&quot;Erika A.&quot;,&quot;parse-names&quot;:false,&quot;dropping-particle&quot;:&quot;&quot;,&quot;non-dropping-particle&quot;:&quot;&quot;},{&quot;family&quot;:&quot;Kiviniemi&quot;,&quot;given&quot;:&quot;Marc T.&quot;,&quot;parse-names&quot;:false,&quot;dropping-particle&quot;:&quot;&quot;,&quot;non-dropping-particle&quot;:&quot;&quot;},{&quot;family&quot;:&quot;Hay&quot;,&quot;given&quot;:&quot;Jennifer L.&quot;,&quot;parse-names&quot;:false,&quot;dropping-particle&quot;:&quot;&quot;,&quot;non-dropping-particle&quot;:&quot;&quot;},{&quot;family&quot;:&quot;Orom&quot;,&quot;given&quot;:&quot;Heather&quot;,&quot;parse-names&quot;:false,&quot;dropping-particle&quot;:&quot;&quot;,&quot;non-dropping-particle&quot;:&quot;&quot;}],&quot;container-title&quot;:&quot;Perspectives on Psychological Science&quot;,&quot;DOI&quot;:&quot;10.1177/17456916211017860&quot;,&quot;ISSN&quot;:&quot;1745-6916&quot;,&quot;issued&quot;:{&quot;date-parts&quot;:[[2022,5,23]]},&quot;page&quot;:&quot;841-851&quot;,&quot;abstract&quot;:&quot;&lt;p&gt;Since the middle of the 20th century, perceptions of risk have been critical to understanding engagement in volitional behavior change. However, theoretical and empirical risk perception research seldom considers the possibility that risk perceptions do not simply exist: They must be formed. Thus, some people may not have formulated a perception of risk for a hazard at the time a researcher asks them, or they may not be confident in the extent to which their perception matches reality. We describe a decade-long research program that investigates the possibility that some people may genuinely not know their risk of even well-publicized hazards. We demonstrate that indications of not knowing (i.e., “don’t know” responses) are prevalent in the U.S. population, are systematically more likely to occur among marginalized sociodemographic groups, and are associated with less engagement in protective health behaviors. “Don’t know” responses are likely indications of genuinely limited knowledge and therefore may indicate populations in need of targeted intervention. This body of research suggests that not allowing participants to indicate their uncertainty may threaten the validity and generalizability of behavior-change research. We provide concrete recommendations for scientists to allow participants to express uncertainty and to analyze the resulting data.&lt;/p&gt;&quot;,&quot;issue&quot;:&quot;3&quot;,&quot;volume&quot;:&quot;17&quot;,&quot;container-title-short&quot;:&quot;&quot;},&quot;isTemporary&quot;:false}],&quot;citationTag&quot;:&quot;MENDELEY_CITATION_v3_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&quot;},{&quot;citationID&quot;:&quot;MENDELEY_CITATION_94025ef1-6089-4dfc-9f68-aeb9e6b301f2&quot;,&quot;properties&quot;:{&quot;noteIndex&quot;:0},&quot;isEdited&quot;:false,&quot;manualOverride&quot;:{&quot;isManuallyOverridden&quot;:false,&quot;citeprocText&quot;:&quot;(Chockalingam et al., 2023)&quot;,&quot;manualOverrideText&quot;:&quot;&quot;},&quot;citationItems&quot;:[{&quot;id&quot;:&quot;a2dfb844-3ff3-3bcb-ad88-4608de3120bd&quot;,&quot;itemData&quot;:{&quot;type&quot;:&quot;article-journal&quot;,&quot;id&quot;:&quot;a2dfb844-3ff3-3bcb-ad88-4608de3120bd&quot;,&quot;title&quot;:&quot;Probability elicitation for Bayesian networks to distinguish between intentional attacks and accidental technical failures&quot;,&quot;author&quot;:[{&quot;family&quot;:&quot;Chockalingam&quot;,&quot;given&quot;:&quot;Sabarathinam&quot;,&quot;parse-names&quot;:false,&quot;dropping-particle&quot;:&quot;&quot;,&quot;non-dropping-particle&quot;:&quot;&quot;},{&quot;family&quot;:&quot;Pieters&quot;,&quot;given&quot;:&quot;Wolter&quot;,&quot;parse-names&quot;:false,&quot;dropping-particle&quot;:&quot;&quot;,&quot;non-dropping-particle&quot;:&quot;&quot;},{&quot;family&quot;:&quot;Teixeira&quot;,&quot;given&quot;:&quot;André M.H.&quot;,&quot;parse-names&quot;:false,&quot;dropping-particle&quot;:&quot;&quot;,&quot;non-dropping-particle&quot;:&quot;&quot;},{&quot;family&quot;:&quot;Gelder&quot;,&quot;given&quot;:&quot;Pieter&quot;,&quot;parse-names&quot;:false,&quot;dropping-particle&quot;:&quot;&quot;,&quot;non-dropping-particle&quot;:&quot;van&quot;}],&quot;container-title&quot;:&quot;Journal of Information Security and Applications&quot;,&quot;DOI&quot;:&quot;10.1016/j.jisa.2023.103497&quot;,&quot;ISSN&quot;:&quot;22142126&quot;,&quot;issued&quot;:{&quot;date-parts&quot;:[[2023,6]]},&quot;page&quot;:&quot;103497&quot;,&quot;volume&quot;:&quot;75&quot;,&quot;container-title-short&quot;:&quot;&quot;},&quot;isTemporary&quot;:false,&quot;suppress-author&quot;:false,&quot;composite&quot;:false,&quot;author-only&quot;:false}],&quot;citationTag&quot;:&quot;MENDELEY_CITATION_v3_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&quot;},{&quot;citationID&quot;:&quot;MENDELEY_CITATION_e2034621-c1b3-49d8-a93f-608e803dd03f&quot;,&quot;properties&quot;:{&quot;noteIndex&quot;:0},&quot;isEdited&quot;:false,&quot;manualOverride&quot;:{&quot;isManuallyOverridden&quot;:false,&quot;citeprocText&quot;:&quot;(Greco et al., 2019)&quot;,&quot;manualOverrideText&quot;:&quot;&quot;},&quot;citationItems&quot;:[{&quot;id&quot;:&quot;9e27139e-806a-3a27-8873-897c9b5414ff&quot;,&quot;itemData&quot;:{&quot;type&quot;:&quot;article-journal&quot;,&quot;id&quot;:&quot;9e27139e-806a-3a27-8873-897c9b5414ff&quot;,&quot;title&quot;:&quot;On the Methodological Framework of Composite Indices: A Review of the Issues of Weighting, Aggregation, and Robustness&quot;,&quot;author&quot;:[{&quot;family&quot;:&quot;Greco&quot;,&quot;given&quot;:&quot;Salvatore&quot;,&quot;parse-names&quot;:false,&quot;dropping-particle&quot;:&quot;&quot;,&quot;non-dropping-particle&quot;:&quot;&quot;},{&quot;family&quot;:&quot;Ishizaka&quot;,&quot;given&quot;:&quot;Alessio&quot;,&quot;parse-names&quot;:false,&quot;dropping-particle&quot;:&quot;&quot;,&quot;non-dropping-particle&quot;:&quot;&quot;},{&quot;family&quot;:&quot;Tasiou&quot;,&quot;given&quot;:&quot;Menelaos&quot;,&quot;parse-names&quot;:false,&quot;dropping-particle&quot;:&quot;&quot;,&quot;non-dropping-particle&quot;:&quot;&quot;},{&quot;family&quot;:&quot;Torrisi&quot;,&quot;given&quot;:&quot;Gianpiero&quot;,&quot;parse-names&quot;:false,&quot;dropping-particle&quot;:&quot;&quot;,&quot;non-dropping-particle&quot;:&quot;&quot;}],&quot;container-title&quot;:&quot;Social Indicators Research&quot;,&quot;container-title-short&quot;:&quot;Soc. Indic. Res.&quot;,&quot;DOI&quot;:&quot;10.1007/s11205-017-1832-9&quot;,&quot;ISSN&quot;:&quot;0303-8300&quot;,&quot;issued&quot;:{&quot;date-parts&quot;:[[2019,1,17]]},&quot;page&quot;:&quot;61-94&quot;,&quot;issue&quot;:&quot;1&quot;,&quot;volume&quot;:&quot;141&quot;},&quot;isTemporary&quot;:false,&quot;suppress-author&quot;:false,&quot;composite&quot;:false,&quot;author-only&quot;:false}],&quot;citationTag&quot;:&quot;MENDELEY_CITATION_v3_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&quot;},{&quot;citationID&quot;:&quot;MENDELEY_CITATION_e20cc9b2-51b6-4f45-bd66-0fa5fa5b691d&quot;,&quot;properties&quot;:{&quot;noteIndex&quot;:0},&quot;isEdited&quot;:false,&quot;manualOverride&quot;:{&quot;isManuallyOverridden&quot;:false,&quot;citeprocText&quot;:&quot;(McAndrew et al., 2021)&quot;,&quot;manualOverrideText&quot;:&quot;&quot;},&quot;citationItems&quot;:[{&quot;id&quot;:&quot;2e390213-9fcf-3bf7-b515-e787e7ffa5f8&quot;,&quot;itemData&quot;:{&quot;type&quot;:&quot;article-journal&quot;,&quot;id&quot;:&quot;2e390213-9fcf-3bf7-b515-e787e7ffa5f8&quot;,&quot;title&quot;:&quot;Aggregating predictions from experts: A review of statistical methods, experiments, and applications&quot;,&quot;author&quot;:[{&quot;family&quot;:&quot;McAndrew&quot;,&quot;given&quot;:&quot;Thomas&quot;,&quot;parse-names&quot;:false,&quot;dropping-particle&quot;:&quot;&quot;,&quot;non-dropping-particle&quot;:&quot;&quot;},{&quot;family&quot;:&quot;Wattanachit&quot;,&quot;given&quot;:&quot;Nutcha&quot;,&quot;parse-names&quot;:false,&quot;dropping-particle&quot;:&quot;&quot;,&quot;non-dropping-particle&quot;:&quot;&quot;},{&quot;family&quot;:&quot;Gibson&quot;,&quot;given&quot;:&quot;Graham C.&quot;,&quot;parse-names&quot;:false,&quot;dropping-particle&quot;:&quot;&quot;,&quot;non-dropping-particle&quot;:&quot;&quot;},{&quot;family&quot;:&quot;Reich&quot;,&quot;given&quot;:&quot;Nicholas G.&quot;,&quot;parse-names&quot;:false,&quot;dropping-particle&quot;:&quot;&quot;,&quot;non-dropping-particle&quot;:&quot;&quot;}],&quot;container-title&quot;:&quot;WIREs Computational Statistics&quot;,&quot;DOI&quot;:&quot;10.1002/wics.1514&quot;,&quot;ISSN&quot;:&quot;1939-5108&quot;,&quot;issued&quot;:{&quot;date-parts&quot;:[[2021,3,16]]},&quot;abstract&quot;:&quot;&lt;p&gt;Forecasts support decision making in a variety of applications. Statistical models can produce accurate forecasts given abundant training data, but when data is sparse or rapidly changing, statistical models may not be able to make accurate predictions. Expert judgmental forecasts—models that combine expert‐generated predictions into a single forecast—can make predictions when training data is limited by relying on human intuition. Researchers have proposed a wide array of algorithms to combine expert predictions into a single forecast, but there is no consensus on an optimal aggregation model. This review surveyed recent literature on aggregating expert‐elicited predictions. We gathered common terminology, aggregation methods, and forecasting performance metrics, and offer guidance to strengthen future work that is growing at an accelerated pace.&lt;/p&gt;&quot;,&quot;issue&quot;:&quot;2&quot;,&quot;volume&quot;:&quot;13&quot;,&quot;container-title-short&quot;:&quot;&quot;},&quot;isTemporary&quot;:false}],&quot;citationTag&quot;:&quot;MENDELEY_CITATION_v3_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&quot;},{&quot;citationID&quot;:&quot;MENDELEY_CITATION_d553b2be-0301-4a87-a06a-7be4e1cf2e54&quot;,&quot;properties&quot;:{&quot;noteIndex&quot;:0},&quot;isEdited&quot;:false,&quot;manualOverride&quot;:{&quot;isManuallyOverridden&quot;:false,&quot;citeprocText&quot;:&quot;(Cooke and Goossens, 1999)&quot;,&quot;manualOverrideText&quot;:&quot;&quot;},&quot;citationItems&quot;:[{&quot;id&quot;:&quot;7f61918e-3a28-32f4-9e7c-374363d1cf63&quot;,&quot;itemData&quot;:{&quot;type&quot;:&quot;book&quot;,&quot;id&quot;:&quot;7f61918e-3a28-32f4-9e7c-374363d1cf63&quot;,&quot;title&quot;:&quot;Procedures guide for structured expert judgment - EUR 18820 EN&quot;,&quot;author&quot;:[{&quot;family&quot;:&quot;Cooke&quot;,&quot;given&quot;:&quot;RM&quot;,&quot;parse-names&quot;:false,&quot;dropping-particle&quot;:&quot;&quot;,&quot;non-dropping-particle&quot;:&quot;&quot;},{&quot;family&quot;:&quot;Goossens&quot;,&quot;given&quot;:&quot;LJH&quot;,&quot;parse-names&quot;:false,&quot;dropping-particle&quot;:&quot;&quot;,&quot;non-dropping-particle&quot;:&quot;&quot;}],&quot;issued&quot;:{&quot;date-parts&quot;:[[1999]]},&quot;publisher-place&quot;:&quot;Luxembourg&quot;,&quot;publisher&quot;:&quot;European Commission&quot;,&quot;container-title-short&quot;:&quot;&quot;},&quot;isTemporary&quot;:false}],&quot;citationTag&quot;:&quot;MENDELEY_CITATION_v3_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&quot;},{&quot;citationID&quot;:&quot;MENDELEY_CITATION_02fa187a-561b-4d4f-8e83-1e2acbf434ba&quot;,&quot;properties&quot;:{&quot;noteIndex&quot;:0,&quot;mode&quot;:&quot;composite&quot;},&quot;isEdited&quot;:false,&quot;manualOverride&quot;:{&quot;isManuallyOverridden&quot;:false,&quot;citeprocText&quot;:&quot;Ricci et al. (2026)&quot;,&quot;manualOverrideText&quot;:&quot;&quot;},&quot;citationTag&quot;:&quot;MENDELEY_CITATION_v3_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RE9JIjoiMTAuMTAxNi9qLnJlc3MuMjAyNi4xMTI1NzYiLCJJU1NOIjoiMDk1MTgzMjAiLCJpc3N1ZWQiOnsiZGF0ZS1wYXJ0cyI6W1syMDI2LDhdXX0sInBhZ2UiOiIxMTI1NzYiLCJ2b2x1bWUiOiIyNzIifSwiaXNUZW1wb3JhcnkiOmZhbHNlLCJkaXNwbGF5QXMiOiJjb21wb3NpdGUiLCJzdXBwcmVzcy1hdXRob3IiOmZhbHNlLCJjb21wb3NpdGUiOnRydWUsImF1dGhvci1vbmx5IjpmYWxzZX1dfQ==&quot;,&quot;citationItems&quot;:[{&quot;id&quot;:&quot;993c98bd-ad84-34c5-a7a7-89bec273e189&quot;,&quot;itemData&quot;:{&quot;type&quot;:&quot;article-journal&quot;,&quot;id&quot;:&quot;993c98bd-ad84-34c5-a7a7-89bec273e189&quot;,&quot;title&quot;:&quot;The impact of natural hazards on the security of chemical sites&quot;,&quot;author&quot;:[{&quot;family&quot;:&quot;Ricci&quot;,&quot;given&quot;:&quot;Federica&quot;,&quot;parse-names&quot;:false,&quot;dropping-particle&quot;:&quot;&quot;,&quot;non-dropping-particle&quot;:&quot;&quot;},{&quot;family&quot;:&quot;Iaiani&quot;,&quot;given&quot;:&quot;Matteo&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26.112576&quot;,&quot;ISSN&quot;:&quot;09518320&quot;,&quot;issued&quot;:{&quot;date-parts&quot;:[[2026,8]]},&quot;page&quot;:&quot;112576&quot;,&quot;volume&quot;:&quot;272&quot;},&quot;isTemporary&quot;:false,&quot;displayAs&quot;:&quot;composite&quot;,&quot;suppress-author&quot;:false,&quot;composite&quot;:true,&quot;author-only&quot;:false}]}]"/>
    <we:property name="MENDELEY_CITATIONS_LOCALE_CODE" value="&quot;en-US&quot;"/>
    <we:property name="MENDELEY_CITATIONS_STYLE" value="{&quot;id&quot;:&quot;https://www.zotero.org/styles/process-safety-and-environmental-protection&quot;,&quot;title&quot;:&quot;Process Safety and Environmental Prote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3312</Words>
  <Characters>18881</Characters>
  <Application>Microsoft Office Word</Application>
  <DocSecurity>0</DocSecurity>
  <Lines>157</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Valerio Cozzani</cp:lastModifiedBy>
  <cp:revision>2</cp:revision>
  <cp:lastPrinted>2015-05-12T18:31:00Z</cp:lastPrinted>
  <dcterms:created xsi:type="dcterms:W3CDTF">2026-05-27T09:42:00Z</dcterms:created>
  <dcterms:modified xsi:type="dcterms:W3CDTF">2026-05-27T09:42:00Z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