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2F20A9">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2F20A9">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2F20A9">
        <w:trPr>
          <w:trHeight w:val="68"/>
          <w:jc w:val="center"/>
        </w:trPr>
        <w:tc>
          <w:tcPr>
            <w:tcW w:w="8782"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Valerio Cozzani, Bruno Fabiano, Genserik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105B37B7" w14:textId="77777777" w:rsidR="002F20A9" w:rsidRPr="002F20A9" w:rsidRDefault="002F20A9" w:rsidP="009025A5">
      <w:pPr>
        <w:pStyle w:val="CETAuthors"/>
        <w:spacing w:before="480"/>
        <w:jc w:val="center"/>
        <w:rPr>
          <w:sz w:val="32"/>
        </w:rPr>
      </w:pPr>
      <w:r w:rsidRPr="002F20A9">
        <w:rPr>
          <w:sz w:val="32"/>
        </w:rPr>
        <w:t>From Risk Assessment to Operation: Ensuring Safe LNG Bunkering for Passenger Vessels</w:t>
      </w:r>
    </w:p>
    <w:p w14:paraId="092839EC" w14:textId="477C3747" w:rsidR="002F20A9" w:rsidRPr="002F20A9" w:rsidRDefault="002F20A9" w:rsidP="002F20A9">
      <w:pPr>
        <w:pStyle w:val="CETAuthors"/>
        <w:rPr>
          <w:lang w:val="it-IT"/>
        </w:rPr>
      </w:pPr>
      <w:r w:rsidRPr="002F20A9">
        <w:rPr>
          <w:lang w:val="it-IT"/>
        </w:rPr>
        <w:t>Tomaso Vairo</w:t>
      </w:r>
      <w:r w:rsidRPr="002F20A9">
        <w:rPr>
          <w:vertAlign w:val="superscript"/>
          <w:lang w:val="it-IT"/>
        </w:rPr>
        <w:t>a</w:t>
      </w:r>
      <w:r w:rsidRPr="002F20A9">
        <w:rPr>
          <w:lang w:val="it-IT"/>
        </w:rPr>
        <w:t>*, Ivana Melillo</w:t>
      </w:r>
      <w:r w:rsidRPr="002F20A9">
        <w:rPr>
          <w:vertAlign w:val="superscript"/>
          <w:lang w:val="it-IT"/>
        </w:rPr>
        <w:t>b</w:t>
      </w:r>
      <w:r w:rsidRPr="002F20A9">
        <w:rPr>
          <w:lang w:val="it-IT"/>
        </w:rPr>
        <w:t>, Nicole Colla</w:t>
      </w:r>
      <w:r w:rsidRPr="002F20A9">
        <w:rPr>
          <w:vertAlign w:val="superscript"/>
          <w:lang w:val="it-IT"/>
        </w:rPr>
        <w:t>c</w:t>
      </w:r>
      <w:r w:rsidRPr="002F20A9">
        <w:rPr>
          <w:lang w:val="it-IT"/>
        </w:rPr>
        <w:t>, Alessandro Benvenuto</w:t>
      </w:r>
      <w:r w:rsidRPr="002F20A9">
        <w:rPr>
          <w:vertAlign w:val="superscript"/>
          <w:lang w:val="it-IT"/>
        </w:rPr>
        <w:t>d</w:t>
      </w:r>
      <w:r w:rsidRPr="002F20A9">
        <w:rPr>
          <w:lang w:val="it-IT"/>
        </w:rPr>
        <w:t>, Margherita Pettinato</w:t>
      </w:r>
      <w:r w:rsidRPr="002F20A9">
        <w:rPr>
          <w:vertAlign w:val="superscript"/>
          <w:lang w:val="it-IT"/>
        </w:rPr>
        <w:t>a</w:t>
      </w:r>
      <w:r w:rsidRPr="002F20A9">
        <w:rPr>
          <w:lang w:val="it-IT"/>
        </w:rPr>
        <w:t>, Bruno Fabiano</w:t>
      </w:r>
      <w:r w:rsidRPr="002F20A9">
        <w:rPr>
          <w:vertAlign w:val="superscript"/>
          <w:lang w:val="it-IT"/>
        </w:rPr>
        <w:t>a</w:t>
      </w:r>
    </w:p>
    <w:p w14:paraId="5D193234" w14:textId="40248A21" w:rsidR="002F20A9" w:rsidRPr="005B24D2" w:rsidRDefault="00B57E6F" w:rsidP="002F20A9">
      <w:pPr>
        <w:pStyle w:val="CETAddress"/>
        <w:rPr>
          <w:lang w:val="en-US"/>
        </w:rPr>
      </w:pPr>
      <w:r w:rsidRPr="005B24D2">
        <w:rPr>
          <w:vertAlign w:val="superscript"/>
          <w:lang w:val="en-US"/>
        </w:rPr>
        <w:t>a</w:t>
      </w:r>
      <w:r w:rsidR="002F20A9" w:rsidRPr="005B24D2">
        <w:rPr>
          <w:lang w:val="en-US"/>
        </w:rPr>
        <w:t>DICCA Civil Chemical and Environmental Engineering Dept., University of Genoa, via Opera Pia 15, 16145 Genova, Italy</w:t>
      </w:r>
    </w:p>
    <w:p w14:paraId="2183631F" w14:textId="77777777" w:rsidR="002F20A9" w:rsidRDefault="00B57E6F" w:rsidP="00B57E6F">
      <w:pPr>
        <w:pStyle w:val="CETAddress"/>
        <w:rPr>
          <w:lang w:val="it-IT"/>
        </w:rPr>
      </w:pPr>
      <w:r w:rsidRPr="002F20A9">
        <w:rPr>
          <w:vertAlign w:val="superscript"/>
          <w:lang w:val="it-IT"/>
        </w:rPr>
        <w:t>b</w:t>
      </w:r>
      <w:r w:rsidR="002F20A9" w:rsidRPr="002F20A9">
        <w:rPr>
          <w:lang w:val="it-IT"/>
        </w:rPr>
        <w:t>Grandi Navi Veloci S.p.A., via Balleydier 7, 16149 Genova, Italy</w:t>
      </w:r>
    </w:p>
    <w:p w14:paraId="5FCFF84B" w14:textId="77777777" w:rsidR="002F20A9" w:rsidRPr="00673B8D" w:rsidRDefault="002F20A9" w:rsidP="002F20A9">
      <w:pPr>
        <w:pStyle w:val="CETAddress"/>
        <w:rPr>
          <w:noProof w:val="0"/>
          <w:lang w:val="it-IT"/>
        </w:rPr>
      </w:pPr>
      <w:proofErr w:type="spellStart"/>
      <w:r w:rsidRPr="00673B8D">
        <w:rPr>
          <w:noProof w:val="0"/>
          <w:vertAlign w:val="superscript"/>
          <w:lang w:val="it-IT"/>
        </w:rPr>
        <w:t>c</w:t>
      </w:r>
      <w:r w:rsidRPr="00673B8D">
        <w:rPr>
          <w:noProof w:val="0"/>
          <w:lang w:val="it-IT"/>
        </w:rPr>
        <w:t>AXPO</w:t>
      </w:r>
      <w:proofErr w:type="spellEnd"/>
      <w:r w:rsidRPr="00673B8D">
        <w:rPr>
          <w:noProof w:val="0"/>
          <w:lang w:val="it-IT"/>
        </w:rPr>
        <w:t xml:space="preserve"> Italia S.p.A., via XII Ottobre 1, 16121 Genova, Italy</w:t>
      </w:r>
    </w:p>
    <w:p w14:paraId="48753EE5" w14:textId="77777777" w:rsidR="002F20A9" w:rsidRPr="001F52D4" w:rsidRDefault="002F20A9" w:rsidP="002F20A9">
      <w:pPr>
        <w:pStyle w:val="CETAddress"/>
        <w:rPr>
          <w:noProof w:val="0"/>
        </w:rPr>
      </w:pPr>
      <w:proofErr w:type="spellStart"/>
      <w:r w:rsidRPr="001F52D4">
        <w:rPr>
          <w:noProof w:val="0"/>
          <w:vertAlign w:val="superscript"/>
        </w:rPr>
        <w:t>d</w:t>
      </w:r>
      <w:r w:rsidRPr="001F52D4">
        <w:rPr>
          <w:noProof w:val="0"/>
          <w:szCs w:val="18"/>
        </w:rPr>
        <w:t>DIME</w:t>
      </w:r>
      <w:proofErr w:type="spellEnd"/>
      <w:r w:rsidRPr="001F52D4">
        <w:rPr>
          <w:noProof w:val="0"/>
          <w:szCs w:val="18"/>
        </w:rPr>
        <w:t xml:space="preserve"> Mechanical Engineering, Energetics, Management and Transportation</w:t>
      </w:r>
      <w:r>
        <w:rPr>
          <w:noProof w:val="0"/>
          <w:szCs w:val="18"/>
        </w:rPr>
        <w:t xml:space="preserve"> Dept.</w:t>
      </w:r>
      <w:r w:rsidRPr="001F52D4">
        <w:rPr>
          <w:noProof w:val="0"/>
          <w:szCs w:val="18"/>
        </w:rPr>
        <w:t xml:space="preserve">, </w:t>
      </w:r>
      <w:r w:rsidRPr="001F52D4">
        <w:rPr>
          <w:noProof w:val="0"/>
        </w:rPr>
        <w:t>University of Genoa, via Opera Pia 15, 16145 Genova, Italy</w:t>
      </w:r>
    </w:p>
    <w:p w14:paraId="741E2C54" w14:textId="56C78ACC" w:rsidR="002F20A9" w:rsidRPr="002F20A9" w:rsidRDefault="002F20A9" w:rsidP="002F20A9">
      <w:pPr>
        <w:pStyle w:val="CETemail"/>
      </w:pPr>
      <w:r w:rsidRPr="002F20A9">
        <w:t>tomaso.vairo@edu.unige.it</w:t>
      </w:r>
    </w:p>
    <w:p w14:paraId="05B31C25" w14:textId="3E15C9AB" w:rsidR="002F20A9" w:rsidRPr="002F20A9" w:rsidRDefault="002F20A9" w:rsidP="002F20A9">
      <w:pPr>
        <w:pStyle w:val="CETBodytext"/>
      </w:pPr>
      <w:r w:rsidRPr="002F20A9">
        <w:t>This paper outlines the risk analysis framework of LNG bunkering for a passenger ship</w:t>
      </w:r>
      <w:r w:rsidR="00F33535" w:rsidRPr="00F33535">
        <w:rPr>
          <w:color w:val="EE0000"/>
        </w:rPr>
        <w:t>,</w:t>
      </w:r>
      <w:r w:rsidRPr="002F20A9">
        <w:t xml:space="preserve"> covering the complete process from risk assessment to operational execution. The capability of the approach is validated in a real-world case study in Northern Italy. A structured safety analysis was carried out to identify key risks and establish safe operating conditions. </w:t>
      </w:r>
      <w:r w:rsidR="00F33535" w:rsidRPr="000F5A8D">
        <w:t>These result</w:t>
      </w:r>
      <w:r w:rsidR="00701EAA" w:rsidRPr="000F5A8D">
        <w:t>s represent</w:t>
      </w:r>
      <w:r w:rsidR="00F33535" w:rsidRPr="000F5A8D">
        <w:t xml:space="preserve"> useful guidance for defining procedures, safety measures, and emergency measures for bunkering activities. </w:t>
      </w:r>
      <w:r w:rsidR="005B24D2">
        <w:t>Additionally</w:t>
      </w:r>
      <w:r w:rsidR="00F33535" w:rsidRPr="000F5A8D">
        <w:t>, t</w:t>
      </w:r>
      <w:r w:rsidRPr="000F5A8D">
        <w:t>he study documents the conducted bunkering operation, detailing coordination among stakeholders, such as the ship</w:t>
      </w:r>
      <w:r w:rsidRPr="002F20A9">
        <w:t xml:space="preserve">-owner, LNG supplier, maritime authority, classification society, and governmental agencies. The integrated involvement ensured regulatory compliance and effective risk management. Findings from the site-specific </w:t>
      </w:r>
      <w:r w:rsidRPr="00CC111A">
        <w:t>assessment confirm</w:t>
      </w:r>
      <w:r w:rsidR="00F33535" w:rsidRPr="00CC111A">
        <w:t>ed</w:t>
      </w:r>
      <w:r w:rsidRPr="00CC111A">
        <w:t xml:space="preserve"> that a rigorous, risk-based approach</w:t>
      </w:r>
      <w:r w:rsidR="00F33535" w:rsidRPr="00CC111A">
        <w:t>,</w:t>
      </w:r>
      <w:r w:rsidRPr="00CC111A">
        <w:t xml:space="preserve"> combined with multi-</w:t>
      </w:r>
      <w:r w:rsidR="009D5073" w:rsidRPr="00CC111A">
        <w:t>stakeholders</w:t>
      </w:r>
      <w:r w:rsidR="00F33535" w:rsidRPr="00CC111A">
        <w:t>,</w:t>
      </w:r>
      <w:r w:rsidRPr="00CC111A">
        <w:t xml:space="preserve"> enables safe</w:t>
      </w:r>
      <w:r w:rsidR="00F33535" w:rsidRPr="00CC111A">
        <w:t>r</w:t>
      </w:r>
      <w:r w:rsidRPr="00CC111A">
        <w:t xml:space="preserve"> and </w:t>
      </w:r>
      <w:r w:rsidR="00F33535" w:rsidRPr="00CC111A">
        <w:t xml:space="preserve">more </w:t>
      </w:r>
      <w:r w:rsidRPr="00CC111A">
        <w:t>efficient</w:t>
      </w:r>
      <w:r w:rsidRPr="000F5A8D">
        <w:t xml:space="preserve"> </w:t>
      </w:r>
      <w:r w:rsidRPr="002F20A9">
        <w:t>LNG bunkering for passenger vessels. The applicative case-study provides practical safety insights for ports and operators</w:t>
      </w:r>
      <w:r w:rsidR="00F33535">
        <w:t>,</w:t>
      </w:r>
      <w:r w:rsidRPr="002F20A9">
        <w:t xml:space="preserve"> developing LNG bunkering capabilities, in line with the ongoing energy transition paradigm, evidencing </w:t>
      </w:r>
      <w:r w:rsidR="005B24D2">
        <w:t>the need of further studies as well</w:t>
      </w:r>
      <w:r w:rsidRPr="002F20A9">
        <w:t xml:space="preserve"> for explicit rules and procedural guidelines to standardize safety exclusion zones.</w:t>
      </w:r>
    </w:p>
    <w:p w14:paraId="476B2F2E" w14:textId="77777777" w:rsidR="00600535" w:rsidRPr="00B57B36" w:rsidRDefault="00600535" w:rsidP="00600535">
      <w:pPr>
        <w:pStyle w:val="CETHeading1"/>
        <w:rPr>
          <w:lang w:val="en-GB"/>
        </w:rPr>
      </w:pPr>
      <w:r w:rsidRPr="00B57B36">
        <w:rPr>
          <w:lang w:val="en-GB"/>
        </w:rPr>
        <w:t>Introduction</w:t>
      </w:r>
    </w:p>
    <w:p w14:paraId="03D2B22B" w14:textId="4D46BA72" w:rsidR="002F20A9" w:rsidRDefault="002F20A9" w:rsidP="005F2F43">
      <w:pPr>
        <w:rPr>
          <w:szCs w:val="18"/>
        </w:rPr>
      </w:pPr>
      <w:r w:rsidRPr="000F5A8D">
        <w:rPr>
          <w:szCs w:val="18"/>
          <w:lang w:val="en-US"/>
        </w:rPr>
        <w:t>The path toward maritime decarbonization is firmly set</w:t>
      </w:r>
      <w:r w:rsidR="00F33535" w:rsidRPr="000F5A8D">
        <w:rPr>
          <w:szCs w:val="18"/>
          <w:lang w:val="en-US"/>
        </w:rPr>
        <w:t>,</w:t>
      </w:r>
      <w:r w:rsidRPr="000F5A8D">
        <w:rPr>
          <w:szCs w:val="18"/>
          <w:lang w:val="en-US"/>
        </w:rPr>
        <w:t xml:space="preserve"> as demonstrated by the increasing number of ships </w:t>
      </w:r>
      <w:r w:rsidR="00F33535" w:rsidRPr="000F5A8D">
        <w:rPr>
          <w:szCs w:val="18"/>
          <w:lang w:val="en-US"/>
        </w:rPr>
        <w:t>able to operate</w:t>
      </w:r>
      <w:r w:rsidRPr="000F5A8D">
        <w:rPr>
          <w:szCs w:val="18"/>
          <w:lang w:val="en-US"/>
        </w:rPr>
        <w:t xml:space="preserve"> on alternative fuels</w:t>
      </w:r>
      <w:r w:rsidR="00F33535" w:rsidRPr="000F5A8D">
        <w:rPr>
          <w:szCs w:val="18"/>
          <w:lang w:val="en-US"/>
        </w:rPr>
        <w:t xml:space="preserve">. </w:t>
      </w:r>
      <w:r w:rsidR="00F06B66" w:rsidRPr="000F5A8D">
        <w:rPr>
          <w:szCs w:val="18"/>
          <w:lang w:val="en-US"/>
        </w:rPr>
        <w:t xml:space="preserve">They account for 2851 ships out of 120,936 worldwide. </w:t>
      </w:r>
      <w:r w:rsidRPr="000F5A8D">
        <w:rPr>
          <w:szCs w:val="18"/>
          <w:lang w:val="en-US"/>
        </w:rPr>
        <w:t xml:space="preserve">Among them, 1539 LNG </w:t>
      </w:r>
      <w:proofErr w:type="spellStart"/>
      <w:r w:rsidRPr="000F5A8D">
        <w:rPr>
          <w:szCs w:val="18"/>
          <w:lang w:val="en-US"/>
        </w:rPr>
        <w:t>fuelled</w:t>
      </w:r>
      <w:proofErr w:type="spellEnd"/>
      <w:r w:rsidRPr="000F5A8D">
        <w:rPr>
          <w:szCs w:val="18"/>
          <w:lang w:val="en-US"/>
        </w:rPr>
        <w:t xml:space="preserve"> ships are already in the world fleet and 966 new ones are on order, and analogously the </w:t>
      </w:r>
      <w:r w:rsidR="00F06B66" w:rsidRPr="000F5A8D">
        <w:rPr>
          <w:szCs w:val="18"/>
          <w:lang w:val="en-US"/>
        </w:rPr>
        <w:t>demand</w:t>
      </w:r>
      <w:r w:rsidRPr="000F5A8D">
        <w:rPr>
          <w:szCs w:val="18"/>
          <w:lang w:val="en-US"/>
        </w:rPr>
        <w:t xml:space="preserve"> of ammonia</w:t>
      </w:r>
      <w:r w:rsidR="00F06B66" w:rsidRPr="000F5A8D">
        <w:rPr>
          <w:szCs w:val="18"/>
          <w:lang w:val="en-US"/>
        </w:rPr>
        <w:t>-</w:t>
      </w:r>
      <w:r w:rsidRPr="000F5A8D">
        <w:rPr>
          <w:szCs w:val="18"/>
          <w:lang w:val="en-US"/>
        </w:rPr>
        <w:t>, methanol</w:t>
      </w:r>
      <w:r w:rsidR="00F06B66" w:rsidRPr="000F5A8D">
        <w:rPr>
          <w:szCs w:val="18"/>
          <w:lang w:val="en-US"/>
        </w:rPr>
        <w:t>-</w:t>
      </w:r>
      <w:r w:rsidRPr="000F5A8D">
        <w:rPr>
          <w:szCs w:val="18"/>
          <w:lang w:val="en-US"/>
        </w:rPr>
        <w:t xml:space="preserve"> and hydrogen</w:t>
      </w:r>
      <w:r w:rsidR="00F06B66" w:rsidRPr="000F5A8D">
        <w:rPr>
          <w:szCs w:val="18"/>
          <w:lang w:val="en-US"/>
        </w:rPr>
        <w:t>-powered</w:t>
      </w:r>
      <w:r w:rsidRPr="000F5A8D">
        <w:rPr>
          <w:szCs w:val="18"/>
          <w:lang w:val="en-US"/>
        </w:rPr>
        <w:t xml:space="preserve"> ship</w:t>
      </w:r>
      <w:r w:rsidR="00F06B66" w:rsidRPr="000F5A8D">
        <w:rPr>
          <w:szCs w:val="18"/>
          <w:lang w:val="en-US"/>
        </w:rPr>
        <w:t>s</w:t>
      </w:r>
      <w:r w:rsidRPr="000F5A8D">
        <w:rPr>
          <w:szCs w:val="18"/>
          <w:lang w:val="en-US"/>
        </w:rPr>
        <w:t xml:space="preserve"> is continuously increasing</w:t>
      </w:r>
      <w:r w:rsidR="00F06B66" w:rsidRPr="000F5A8D">
        <w:rPr>
          <w:szCs w:val="18"/>
          <w:lang w:val="en-US"/>
        </w:rPr>
        <w:t xml:space="preserve"> </w:t>
      </w:r>
      <w:r w:rsidRPr="000F5A8D">
        <w:rPr>
          <w:szCs w:val="18"/>
          <w:lang w:val="en-US"/>
        </w:rPr>
        <w:t xml:space="preserve">(DNV GL, 2025). </w:t>
      </w:r>
      <w:r w:rsidRPr="000F5A8D">
        <w:rPr>
          <w:szCs w:val="18"/>
        </w:rPr>
        <w:t>It stands to reason that the transition to new fuels in ship requires a corresponding development in port infrastructure and onboard fuel technology safety, given the</w:t>
      </w:r>
      <w:r w:rsidR="00080275">
        <w:rPr>
          <w:szCs w:val="18"/>
        </w:rPr>
        <w:t xml:space="preserve"> existence of</w:t>
      </w:r>
      <w:r w:rsidRPr="000F5A8D">
        <w:rPr>
          <w:szCs w:val="18"/>
        </w:rPr>
        <w:t xml:space="preserve"> additional </w:t>
      </w:r>
      <w:r>
        <w:rPr>
          <w:szCs w:val="18"/>
        </w:rPr>
        <w:t>hazard</w:t>
      </w:r>
      <w:r w:rsidR="00080275">
        <w:rPr>
          <w:szCs w:val="18"/>
        </w:rPr>
        <w:t>s</w:t>
      </w:r>
      <w:r>
        <w:rPr>
          <w:szCs w:val="18"/>
        </w:rPr>
        <w:t xml:space="preserve"> (Fabiano et al., 2025)</w:t>
      </w:r>
      <w:r w:rsidRPr="007429E9">
        <w:rPr>
          <w:szCs w:val="18"/>
        </w:rPr>
        <w:t xml:space="preserve">. LNG represents a favoured new fuel technology option in the containership category, and its wide use is extending to the cruise ship sector with 25 ships on order. </w:t>
      </w:r>
      <w:r w:rsidR="00080275">
        <w:rPr>
          <w:szCs w:val="18"/>
        </w:rPr>
        <w:t xml:space="preserve">In fact, </w:t>
      </w:r>
      <w:r w:rsidR="00080275" w:rsidRPr="00080275">
        <w:rPr>
          <w:szCs w:val="18"/>
        </w:rPr>
        <w:t>in the cruise ships market</w:t>
      </w:r>
      <w:r w:rsidR="00080275">
        <w:rPr>
          <w:szCs w:val="18"/>
        </w:rPr>
        <w:t xml:space="preserve">, </w:t>
      </w:r>
      <w:r w:rsidR="00080275" w:rsidRPr="00080275">
        <w:rPr>
          <w:szCs w:val="18"/>
        </w:rPr>
        <w:t xml:space="preserve">propulsion by LNG as a possible fuel (with dual fuel engines installed on board) is becoming a more and more </w:t>
      </w:r>
      <w:r w:rsidR="00D27197" w:rsidRPr="00080275">
        <w:rPr>
          <w:szCs w:val="18"/>
        </w:rPr>
        <w:t>favoured</w:t>
      </w:r>
      <w:r w:rsidR="00080275" w:rsidRPr="00080275">
        <w:rPr>
          <w:szCs w:val="18"/>
        </w:rPr>
        <w:t xml:space="preserve"> option</w:t>
      </w:r>
      <w:r w:rsidR="00D27197">
        <w:rPr>
          <w:szCs w:val="18"/>
        </w:rPr>
        <w:t>, requiring</w:t>
      </w:r>
      <w:r w:rsidR="00D27197" w:rsidRPr="00D27197">
        <w:rPr>
          <w:szCs w:val="18"/>
        </w:rPr>
        <w:t xml:space="preserve"> to deepen some safety issues that might be involved in the LNG bunkering operations</w:t>
      </w:r>
      <w:r w:rsidR="00D27197">
        <w:rPr>
          <w:szCs w:val="18"/>
        </w:rPr>
        <w:t xml:space="preserve"> (Vairo et al., 2021)</w:t>
      </w:r>
      <w:r w:rsidR="00D27197" w:rsidRPr="00D27197">
        <w:rPr>
          <w:szCs w:val="18"/>
        </w:rPr>
        <w:t>.</w:t>
      </w:r>
      <w:r w:rsidR="00080275" w:rsidRPr="00080275">
        <w:rPr>
          <w:szCs w:val="18"/>
        </w:rPr>
        <w:t xml:space="preserve"> </w:t>
      </w:r>
      <w:r w:rsidR="0028524A" w:rsidRPr="00382765">
        <w:rPr>
          <w:szCs w:val="18"/>
        </w:rPr>
        <w:t>R</w:t>
      </w:r>
      <w:r w:rsidR="0028524A" w:rsidRPr="00382765">
        <w:t>ecent conflicts, i.e.  Iran-Israel one (2026) and </w:t>
      </w:r>
      <w:hyperlink r:id="rId10" w:history="1">
        <w:r w:rsidR="0028524A" w:rsidRPr="005B24D2">
          <w:rPr>
            <w:rStyle w:val="Collegamentoipertestuale"/>
            <w:color w:val="auto"/>
            <w:u w:val="none"/>
          </w:rPr>
          <w:t>Russia-Ukraine war</w:t>
        </w:r>
      </w:hyperlink>
      <w:r w:rsidR="0028524A" w:rsidRPr="005B24D2">
        <w:t> </w:t>
      </w:r>
      <w:r w:rsidR="0028524A" w:rsidRPr="00382765">
        <w:t>(2022-present), have caused a severe crisis in the liquified natural gas (LNG) market</w:t>
      </w:r>
      <w:r w:rsidR="00AD3C5C" w:rsidRPr="00382765">
        <w:t xml:space="preserve"> with</w:t>
      </w:r>
      <w:r w:rsidR="0028524A" w:rsidRPr="00382765">
        <w:t xml:space="preserve"> striking price </w:t>
      </w:r>
      <w:r w:rsidR="00AD3C5C" w:rsidRPr="00382765">
        <w:t>upset:</w:t>
      </w:r>
      <w:r w:rsidR="0028524A" w:rsidRPr="00382765">
        <w:t xml:space="preserve"> </w:t>
      </w:r>
      <w:r w:rsidR="00CC111A" w:rsidRPr="00382765">
        <w:t>in this regard, recalling a</w:t>
      </w:r>
      <w:r w:rsidR="00AD3C5C" w:rsidRPr="00382765">
        <w:t xml:space="preserve"> recent forecast model (DNV GL, 2025)</w:t>
      </w:r>
      <w:r w:rsidR="00CC111A" w:rsidRPr="00382765">
        <w:t>,</w:t>
      </w:r>
      <w:r w:rsidR="00AD3C5C" w:rsidRPr="00382765">
        <w:t xml:space="preserve"> the expected</w:t>
      </w:r>
      <w:r w:rsidR="0028524A" w:rsidRPr="00382765">
        <w:t xml:space="preserve"> incre</w:t>
      </w:r>
      <w:r w:rsidR="000F5A8D" w:rsidRPr="00382765">
        <w:t>a</w:t>
      </w:r>
      <w:r w:rsidR="0028524A" w:rsidRPr="00382765">
        <w:t>sed</w:t>
      </w:r>
      <w:r w:rsidR="0028524A" w:rsidRPr="00382765">
        <w:rPr>
          <w:szCs w:val="18"/>
        </w:rPr>
        <w:t xml:space="preserve"> focus on energy security implies that the pace of the global energy transition speeds up</w:t>
      </w:r>
      <w:r w:rsidR="00AD3C5C" w:rsidRPr="00382765">
        <w:rPr>
          <w:szCs w:val="18"/>
        </w:rPr>
        <w:t>.</w:t>
      </w:r>
      <w:r w:rsidR="005F2F43">
        <w:rPr>
          <w:szCs w:val="18"/>
        </w:rPr>
        <w:t xml:space="preserve"> </w:t>
      </w:r>
      <w:r w:rsidRPr="007429E9">
        <w:rPr>
          <w:szCs w:val="18"/>
        </w:rPr>
        <w:t>This paper outlines a risk-based framework for LNG ship-to-ship (STS) bunkering on passenger vessels, validated in Genoa's ferry terminal. LNG bunkering advances marine decarbonization, but Genoa's passenger terminals pose risks from concurrent embarkation, dense traffic, and urban interfaces.</w:t>
      </w:r>
      <w:r>
        <w:rPr>
          <w:szCs w:val="18"/>
        </w:rPr>
        <w:t xml:space="preserve"> </w:t>
      </w:r>
      <w:r w:rsidR="00630853" w:rsidRPr="00630853">
        <w:rPr>
          <w:szCs w:val="18"/>
        </w:rPr>
        <w:t xml:space="preserve">In such </w:t>
      </w:r>
      <w:r w:rsidR="00630853">
        <w:rPr>
          <w:szCs w:val="18"/>
        </w:rPr>
        <w:t xml:space="preserve">port </w:t>
      </w:r>
      <w:r w:rsidR="00630853" w:rsidRPr="00630853">
        <w:rPr>
          <w:szCs w:val="18"/>
        </w:rPr>
        <w:t>complex systems, safety depends on the quality of interactions among components</w:t>
      </w:r>
      <w:r w:rsidR="00630853">
        <w:rPr>
          <w:szCs w:val="18"/>
        </w:rPr>
        <w:t xml:space="preserve"> and the proper </w:t>
      </w:r>
      <w:r w:rsidR="00630853" w:rsidRPr="00630853">
        <w:rPr>
          <w:szCs w:val="18"/>
        </w:rPr>
        <w:t>design</w:t>
      </w:r>
      <w:r w:rsidR="00630853">
        <w:rPr>
          <w:szCs w:val="18"/>
        </w:rPr>
        <w:t xml:space="preserve"> of</w:t>
      </w:r>
      <w:r w:rsidR="00630853" w:rsidRPr="00630853">
        <w:rPr>
          <w:szCs w:val="18"/>
        </w:rPr>
        <w:t xml:space="preserve"> resilient systems maintain</w:t>
      </w:r>
      <w:r w:rsidR="00630853">
        <w:rPr>
          <w:szCs w:val="18"/>
        </w:rPr>
        <w:t>ing</w:t>
      </w:r>
      <w:r w:rsidR="00630853" w:rsidRPr="00630853">
        <w:rPr>
          <w:szCs w:val="18"/>
        </w:rPr>
        <w:t xml:space="preserve"> performance under stress, disruptions, or unexpected conditions</w:t>
      </w:r>
      <w:r w:rsidR="00630853">
        <w:rPr>
          <w:szCs w:val="18"/>
        </w:rPr>
        <w:t xml:space="preserve"> (Vairo et al., 2026)</w:t>
      </w:r>
      <w:r w:rsidR="00630853" w:rsidRPr="00630853">
        <w:rPr>
          <w:szCs w:val="18"/>
        </w:rPr>
        <w:t>.</w:t>
      </w:r>
      <w:r w:rsidR="005F2F43">
        <w:rPr>
          <w:szCs w:val="18"/>
        </w:rPr>
        <w:t xml:space="preserve"> </w:t>
      </w:r>
      <w:r w:rsidRPr="007429E9">
        <w:rPr>
          <w:szCs w:val="18"/>
        </w:rPr>
        <w:t xml:space="preserve">National regulations (MIT 2025; VVF-CP 2021) mandate Quantitative Risk Assessment (QRA) over </w:t>
      </w:r>
      <w:r w:rsidRPr="007429E9">
        <w:rPr>
          <w:szCs w:val="18"/>
        </w:rPr>
        <w:lastRenderedPageBreak/>
        <w:t>deterministic approaches (UNI</w:t>
      </w:r>
      <w:r w:rsidR="004C2399">
        <w:rPr>
          <w:szCs w:val="18"/>
        </w:rPr>
        <w:t>,</w:t>
      </w:r>
      <w:r w:rsidRPr="007429E9">
        <w:rPr>
          <w:szCs w:val="18"/>
        </w:rPr>
        <w:t xml:space="preserve"> 2022) for high-risk sites.</w:t>
      </w:r>
      <w:r w:rsidR="005F2F43">
        <w:rPr>
          <w:szCs w:val="18"/>
        </w:rPr>
        <w:t xml:space="preserve"> As commented by Jeong et al., (2017)</w:t>
      </w:r>
      <w:r w:rsidR="000A7576">
        <w:rPr>
          <w:szCs w:val="18"/>
        </w:rPr>
        <w:t xml:space="preserve">, current regulations </w:t>
      </w:r>
      <w:r w:rsidR="007610AE">
        <w:rPr>
          <w:szCs w:val="18"/>
        </w:rPr>
        <w:t>suffer ambiguities</w:t>
      </w:r>
      <w:r w:rsidR="00CD7C3F">
        <w:rPr>
          <w:szCs w:val="18"/>
        </w:rPr>
        <w:t xml:space="preserve"> and</w:t>
      </w:r>
      <w:r w:rsidR="007610AE">
        <w:rPr>
          <w:szCs w:val="18"/>
        </w:rPr>
        <w:t xml:space="preserve"> </w:t>
      </w:r>
      <w:r w:rsidR="007610AE" w:rsidRPr="005F2F43">
        <w:rPr>
          <w:szCs w:val="18"/>
        </w:rPr>
        <w:t>lack of quantified safety requirements, particularly when establishing the safety zone for LNG bunkering</w:t>
      </w:r>
      <w:r w:rsidR="007610AE">
        <w:rPr>
          <w:szCs w:val="18"/>
        </w:rPr>
        <w:t xml:space="preserve">. </w:t>
      </w:r>
      <w:r w:rsidRPr="007429E9">
        <w:rPr>
          <w:szCs w:val="18"/>
        </w:rPr>
        <w:t xml:space="preserve">Given the peculiarities of </w:t>
      </w:r>
      <w:r>
        <w:rPr>
          <w:szCs w:val="18"/>
        </w:rPr>
        <w:t>Genoa</w:t>
      </w:r>
      <w:r w:rsidRPr="007429E9">
        <w:rPr>
          <w:szCs w:val="18"/>
        </w:rPr>
        <w:t xml:space="preserve"> port, bunkering operations could take place </w:t>
      </w:r>
      <w:r w:rsidRPr="007429E9">
        <w:t xml:space="preserve">during the disembarkation/embarkation of passengers and vehicles, in the presence of other vessels, within a ferry terminal </w:t>
      </w:r>
      <w:r w:rsidR="00B715DF" w:rsidRPr="000F5A8D">
        <w:t>including</w:t>
      </w:r>
      <w:r w:rsidRPr="000F5A8D">
        <w:t xml:space="preserve"> work</w:t>
      </w:r>
      <w:r w:rsidRPr="007429E9">
        <w:t>ers and vulnerable structures.</w:t>
      </w:r>
      <w:r>
        <w:t xml:space="preserve"> </w:t>
      </w:r>
      <w:r w:rsidRPr="007429E9">
        <w:rPr>
          <w:szCs w:val="18"/>
        </w:rPr>
        <w:t>Therefore, deterministic approaches wouldn’t have been accurate enough to correctly assess the operation risk.</w:t>
      </w:r>
      <w:r>
        <w:rPr>
          <w:szCs w:val="18"/>
        </w:rPr>
        <w:t xml:space="preserve"> T</w:t>
      </w:r>
      <w:r w:rsidRPr="00950534">
        <w:rPr>
          <w:szCs w:val="18"/>
        </w:rPr>
        <w:t xml:space="preserve">his paper </w:t>
      </w:r>
      <w:r>
        <w:rPr>
          <w:szCs w:val="18"/>
        </w:rPr>
        <w:t>outlines</w:t>
      </w:r>
      <w:r w:rsidRPr="00950534">
        <w:rPr>
          <w:szCs w:val="18"/>
        </w:rPr>
        <w:t xml:space="preserve"> a full-cycle analysis</w:t>
      </w:r>
      <w:r>
        <w:rPr>
          <w:szCs w:val="18"/>
        </w:rPr>
        <w:t>-</w:t>
      </w:r>
      <w:r w:rsidRPr="00950534">
        <w:rPr>
          <w:szCs w:val="18"/>
        </w:rPr>
        <w:t xml:space="preserve">from </w:t>
      </w:r>
      <w:r>
        <w:rPr>
          <w:szCs w:val="18"/>
        </w:rPr>
        <w:t>RA</w:t>
      </w:r>
      <w:r w:rsidRPr="00950534">
        <w:rPr>
          <w:szCs w:val="18"/>
        </w:rPr>
        <w:t xml:space="preserve"> to execution</w:t>
      </w:r>
      <w:r>
        <w:rPr>
          <w:szCs w:val="18"/>
        </w:rPr>
        <w:t>-</w:t>
      </w:r>
      <w:r w:rsidRPr="00950534">
        <w:rPr>
          <w:szCs w:val="18"/>
        </w:rPr>
        <w:t xml:space="preserve"> rooted on a risk-based framework, developed for </w:t>
      </w:r>
      <w:r w:rsidRPr="000F5A8D">
        <w:rPr>
          <w:szCs w:val="18"/>
        </w:rPr>
        <w:t xml:space="preserve">analysing ship-to-ship (STS) LNG bunkering on passenger vessels in Genoa's ferry terminal. The probabilistic QRA has been </w:t>
      </w:r>
      <w:r w:rsidR="00B715DF" w:rsidRPr="000F5A8D">
        <w:rPr>
          <w:szCs w:val="18"/>
        </w:rPr>
        <w:t>obtained</w:t>
      </w:r>
      <w:r w:rsidRPr="000F5A8D">
        <w:rPr>
          <w:szCs w:val="18"/>
        </w:rPr>
        <w:t xml:space="preserve"> via Fault Tree Analysis (FTA) and Event Tree Analysis (ETA)</w:t>
      </w:r>
      <w:r w:rsidR="00E970CC" w:rsidRPr="000F5A8D">
        <w:rPr>
          <w:szCs w:val="18"/>
        </w:rPr>
        <w:t>, allowing to define</w:t>
      </w:r>
      <w:r w:rsidRPr="000F5A8D">
        <w:rPr>
          <w:szCs w:val="18"/>
        </w:rPr>
        <w:t xml:space="preserve"> safety exclusion </w:t>
      </w:r>
      <w:r w:rsidRPr="00950534">
        <w:rPr>
          <w:szCs w:val="18"/>
        </w:rPr>
        <w:t xml:space="preserve">zones and SIMOPS limits (Fu et al., 2016). </w:t>
      </w:r>
    </w:p>
    <w:p w14:paraId="085CFADF" w14:textId="77777777" w:rsidR="002F20A9" w:rsidRDefault="002F20A9" w:rsidP="002F20A9">
      <w:pPr>
        <w:pStyle w:val="CETHeading1"/>
      </w:pPr>
      <w:r w:rsidRPr="0028201A">
        <w:t xml:space="preserve">Methodology </w:t>
      </w:r>
    </w:p>
    <w:p w14:paraId="5E2265AB" w14:textId="14E0A629" w:rsidR="002F20A9" w:rsidRDefault="002F20A9" w:rsidP="002F20A9">
      <w:pPr>
        <w:rPr>
          <w:szCs w:val="18"/>
        </w:rPr>
      </w:pPr>
      <w:r w:rsidRPr="007429E9">
        <w:rPr>
          <w:szCs w:val="18"/>
        </w:rPr>
        <w:t xml:space="preserve">The methodology adopts ISO/TS 18683 (2021) for LNG bunkering risk, </w:t>
      </w:r>
      <w:r w:rsidRPr="000F5A8D">
        <w:rPr>
          <w:szCs w:val="18"/>
        </w:rPr>
        <w:t>structured as sequential</w:t>
      </w:r>
      <w:r w:rsidR="00E970CC" w:rsidRPr="000F5A8D">
        <w:rPr>
          <w:szCs w:val="18"/>
        </w:rPr>
        <w:t xml:space="preserve"> and </w:t>
      </w:r>
      <w:r w:rsidRPr="000F5A8D">
        <w:rPr>
          <w:szCs w:val="18"/>
        </w:rPr>
        <w:t xml:space="preserve">interdependent steps. It integrates site-specific data via operational modifiers (α), ensuring </w:t>
      </w:r>
      <w:r w:rsidRPr="007429E9">
        <w:rPr>
          <w:szCs w:val="18"/>
        </w:rPr>
        <w:t>transferability.</w:t>
      </w:r>
      <w:r>
        <w:rPr>
          <w:szCs w:val="18"/>
        </w:rPr>
        <w:t xml:space="preserve"> </w:t>
      </w:r>
      <w:r w:rsidRPr="007429E9">
        <w:rPr>
          <w:szCs w:val="18"/>
        </w:rPr>
        <w:t xml:space="preserve">The process </w:t>
      </w:r>
      <w:r>
        <w:rPr>
          <w:szCs w:val="18"/>
        </w:rPr>
        <w:t>is structured into</w:t>
      </w:r>
      <w:r w:rsidRPr="007429E9">
        <w:rPr>
          <w:szCs w:val="18"/>
        </w:rPr>
        <w:t xml:space="preserve"> sequential phase</w:t>
      </w:r>
      <w:r w:rsidR="000F5A8D">
        <w:rPr>
          <w:szCs w:val="18"/>
        </w:rPr>
        <w:t>s</w:t>
      </w:r>
      <w:r w:rsidR="00E970CC" w:rsidRPr="000F5A8D">
        <w:rPr>
          <w:szCs w:val="18"/>
        </w:rPr>
        <w:t xml:space="preserve"> </w:t>
      </w:r>
      <w:r w:rsidRPr="000F5A8D">
        <w:rPr>
          <w:szCs w:val="18"/>
        </w:rPr>
        <w:t>start</w:t>
      </w:r>
      <w:r w:rsidR="000F5A8D">
        <w:rPr>
          <w:szCs w:val="18"/>
        </w:rPr>
        <w:t>ing</w:t>
      </w:r>
      <w:r w:rsidRPr="000F5A8D">
        <w:rPr>
          <w:szCs w:val="18"/>
        </w:rPr>
        <w:t xml:space="preserve"> </w:t>
      </w:r>
      <w:r w:rsidRPr="007429E9">
        <w:rPr>
          <w:szCs w:val="18"/>
        </w:rPr>
        <w:t>with identified hazards that feed into frequency calculations, which then branch into possible scenarios, whose physical consequences are modelled to yield quantifiable risk metrics</w:t>
      </w:r>
      <w:r w:rsidR="00E970CC">
        <w:rPr>
          <w:szCs w:val="18"/>
        </w:rPr>
        <w:t xml:space="preserve">. </w:t>
      </w:r>
      <w:r w:rsidR="00E970CC" w:rsidRPr="000F5A8D">
        <w:rPr>
          <w:szCs w:val="18"/>
        </w:rPr>
        <w:t>This information</w:t>
      </w:r>
      <w:r w:rsidRPr="000F5A8D">
        <w:rPr>
          <w:szCs w:val="18"/>
        </w:rPr>
        <w:t xml:space="preserve"> ultimately translat</w:t>
      </w:r>
      <w:r w:rsidR="00E970CC" w:rsidRPr="000F5A8D">
        <w:rPr>
          <w:szCs w:val="18"/>
        </w:rPr>
        <w:t>es</w:t>
      </w:r>
      <w:r w:rsidRPr="000F5A8D">
        <w:rPr>
          <w:szCs w:val="18"/>
        </w:rPr>
        <w:t xml:space="preserve"> </w:t>
      </w:r>
      <w:r w:rsidRPr="007429E9">
        <w:rPr>
          <w:szCs w:val="18"/>
        </w:rPr>
        <w:t>into practical operational rules.</w:t>
      </w:r>
      <w:r>
        <w:rPr>
          <w:szCs w:val="18"/>
        </w:rPr>
        <w:t xml:space="preserve"> </w:t>
      </w:r>
      <w:r w:rsidRPr="007429E9">
        <w:rPr>
          <w:szCs w:val="18"/>
        </w:rPr>
        <w:t xml:space="preserve">The main steps </w:t>
      </w:r>
      <w:r>
        <w:rPr>
          <w:szCs w:val="18"/>
        </w:rPr>
        <w:t>can be schematized as follows</w:t>
      </w:r>
      <w:r w:rsidR="00E970CC">
        <w:rPr>
          <w:szCs w:val="18"/>
        </w:rPr>
        <w:t>:</w:t>
      </w:r>
    </w:p>
    <w:p w14:paraId="68A3312D" w14:textId="06F645B0" w:rsidR="002F20A9" w:rsidRPr="002F20A9" w:rsidRDefault="002F20A9" w:rsidP="00E970CC">
      <w:pPr>
        <w:pStyle w:val="CETListbullets"/>
        <w:numPr>
          <w:ilvl w:val="0"/>
          <w:numId w:val="40"/>
        </w:numPr>
        <w:rPr>
          <w:szCs w:val="18"/>
        </w:rPr>
      </w:pPr>
      <w:r w:rsidRPr="002F20A9">
        <w:rPr>
          <w:szCs w:val="18"/>
        </w:rPr>
        <w:t>Hazard identification;</w:t>
      </w:r>
    </w:p>
    <w:p w14:paraId="57A2864E" w14:textId="337D6803" w:rsidR="002F20A9" w:rsidRPr="002F20A9" w:rsidRDefault="002F20A9" w:rsidP="00E970CC">
      <w:pPr>
        <w:pStyle w:val="CETListbullets"/>
        <w:numPr>
          <w:ilvl w:val="0"/>
          <w:numId w:val="40"/>
        </w:numPr>
        <w:rPr>
          <w:szCs w:val="18"/>
        </w:rPr>
      </w:pPr>
      <w:r w:rsidRPr="002F20A9">
        <w:rPr>
          <w:szCs w:val="18"/>
        </w:rPr>
        <w:t>QRA;</w:t>
      </w:r>
    </w:p>
    <w:p w14:paraId="11073AF3" w14:textId="76F2E92C" w:rsidR="002F20A9" w:rsidRPr="002F20A9" w:rsidRDefault="002F20A9" w:rsidP="00E970CC">
      <w:pPr>
        <w:pStyle w:val="CETListbullets"/>
        <w:numPr>
          <w:ilvl w:val="0"/>
          <w:numId w:val="40"/>
        </w:numPr>
        <w:rPr>
          <w:szCs w:val="18"/>
        </w:rPr>
      </w:pPr>
      <w:r w:rsidRPr="002F20A9">
        <w:rPr>
          <w:szCs w:val="18"/>
        </w:rPr>
        <w:t>Definition of the Safety Zone and individual risk</w:t>
      </w:r>
      <w:r w:rsidR="0099519D">
        <w:rPr>
          <w:szCs w:val="18"/>
        </w:rPr>
        <w:t xml:space="preserve"> (IR)</w:t>
      </w:r>
      <w:r w:rsidRPr="002F20A9">
        <w:rPr>
          <w:szCs w:val="18"/>
        </w:rPr>
        <w:t>;</w:t>
      </w:r>
    </w:p>
    <w:p w14:paraId="7D5C1F72" w14:textId="73D7A97A" w:rsidR="00540487" w:rsidRDefault="002F20A9" w:rsidP="00E970CC">
      <w:pPr>
        <w:pStyle w:val="CETListbullets"/>
        <w:numPr>
          <w:ilvl w:val="0"/>
          <w:numId w:val="40"/>
        </w:numPr>
        <w:rPr>
          <w:szCs w:val="18"/>
        </w:rPr>
      </w:pPr>
      <w:r w:rsidRPr="002F20A9">
        <w:rPr>
          <w:szCs w:val="18"/>
        </w:rPr>
        <w:t>Definition of Simultaneous Operations (SIMOPS).</w:t>
      </w:r>
    </w:p>
    <w:p w14:paraId="5D6D433C" w14:textId="43FDDEE0" w:rsidR="002F20A9" w:rsidRPr="002F20A9" w:rsidRDefault="002F20A9" w:rsidP="00540487">
      <w:pPr>
        <w:pStyle w:val="CETListbullets"/>
        <w:ind w:left="0" w:firstLine="0"/>
        <w:rPr>
          <w:szCs w:val="18"/>
        </w:rPr>
      </w:pPr>
      <w:r w:rsidRPr="002F20A9">
        <w:rPr>
          <w:szCs w:val="18"/>
        </w:rPr>
        <w:t xml:space="preserve"> </w:t>
      </w:r>
    </w:p>
    <w:p w14:paraId="04963A06" w14:textId="7B7B35AE" w:rsidR="00600535" w:rsidRPr="00B57B36" w:rsidRDefault="000C0C76" w:rsidP="000C0C76">
      <w:pPr>
        <w:pStyle w:val="CETheadingx"/>
      </w:pPr>
      <w:r>
        <w:t xml:space="preserve"> </w:t>
      </w:r>
      <w:r w:rsidR="00FA1CA5">
        <w:t>P</w:t>
      </w:r>
      <w:r w:rsidR="00FA1CA5" w:rsidRPr="007429E9">
        <w:t>ort-Specific Operational and Regulatory Context</w:t>
      </w:r>
    </w:p>
    <w:p w14:paraId="123CB7DF" w14:textId="6A749223" w:rsidR="00600535" w:rsidRDefault="00FA1CA5" w:rsidP="00600535">
      <w:pPr>
        <w:pStyle w:val="CETBodytext"/>
        <w:rPr>
          <w:lang w:val="en-GB"/>
        </w:rPr>
      </w:pPr>
      <w:r w:rsidRPr="00FA1CA5">
        <w:rPr>
          <w:lang w:val="en-GB"/>
        </w:rPr>
        <w:t>While the proposed framework enables structured identification and quantification of accident scenarios, LNG bunkering risk in port areas is strongly influenced by the operational and regulatory characteristics of the specific terminal. Passenger ports, in particular, present additional complexity due to simultaneous vessel movements, high human presence, and constrained manoeuvring spaces. Therefore, the risk model should explicitly incorporate port-specific operational modifiers</w:t>
      </w:r>
      <w:r w:rsidR="001C18DF" w:rsidRPr="001C18DF">
        <w:rPr>
          <w:color w:val="EE0000"/>
          <w:lang w:val="en-GB"/>
        </w:rPr>
        <w:t xml:space="preserve">, </w:t>
      </w:r>
      <w:r w:rsidRPr="00FA1CA5">
        <w:rPr>
          <w:lang w:val="en-GB"/>
        </w:rPr>
        <w:t>affecting both scenario frequency and consequence severity (</w:t>
      </w:r>
      <w:proofErr w:type="spellStart"/>
      <w:r w:rsidRPr="00FA1CA5">
        <w:rPr>
          <w:lang w:val="en-GB"/>
        </w:rPr>
        <w:t>Aneziris</w:t>
      </w:r>
      <w:proofErr w:type="spellEnd"/>
      <w:r w:rsidRPr="00FA1CA5">
        <w:rPr>
          <w:lang w:val="en-GB"/>
        </w:rPr>
        <w:t xml:space="preserve"> et al., 202</w:t>
      </w:r>
      <w:r w:rsidR="006A03E7">
        <w:rPr>
          <w:lang w:val="en-GB"/>
        </w:rPr>
        <w:t>0</w:t>
      </w:r>
      <w:r w:rsidR="004C2399">
        <w:rPr>
          <w:lang w:val="en-GB"/>
        </w:rPr>
        <w:t>, 2022</w:t>
      </w:r>
      <w:r w:rsidRPr="00FA1CA5">
        <w:rPr>
          <w:lang w:val="en-GB"/>
        </w:rPr>
        <w:t>).</w:t>
      </w:r>
      <w:r w:rsidR="00600535" w:rsidRPr="00B57B36">
        <w:rPr>
          <w:lang w:val="en-GB"/>
        </w:rPr>
        <w:t xml:space="preserve"> </w:t>
      </w:r>
    </w:p>
    <w:p w14:paraId="67A9D047" w14:textId="69E446E4" w:rsidR="00FA1CA5" w:rsidRPr="00B57B36" w:rsidRDefault="00FA1CA5" w:rsidP="000C0C76">
      <w:pPr>
        <w:pStyle w:val="CETheadingx"/>
      </w:pPr>
      <w:r w:rsidRPr="007429E9">
        <w:t xml:space="preserve">Operational Constraints and Traffic Interactions </w:t>
      </w:r>
    </w:p>
    <w:p w14:paraId="64CA7FD2" w14:textId="60201CA0" w:rsidR="00FA1CA5" w:rsidRPr="00FA1CA5" w:rsidRDefault="00FA1CA5" w:rsidP="00FA1CA5">
      <w:pPr>
        <w:pStyle w:val="CETBodytext"/>
      </w:pPr>
      <w:r w:rsidRPr="00FA1CA5">
        <w:t xml:space="preserve">The need </w:t>
      </w:r>
      <w:r w:rsidR="000F5A8D" w:rsidRPr="00FA1CA5">
        <w:t>to</w:t>
      </w:r>
      <w:r w:rsidRPr="00FA1CA5">
        <w:t xml:space="preserve"> identify and </w:t>
      </w:r>
      <w:r w:rsidR="000F5A8D">
        <w:t>consider</w:t>
      </w:r>
      <w:r w:rsidRPr="00FA1CA5">
        <w:t xml:space="preserve"> in the assessment</w:t>
      </w:r>
      <w:r w:rsidR="000F5A8D">
        <w:t xml:space="preserve"> </w:t>
      </w:r>
      <w:r w:rsidRPr="00FA1CA5">
        <w:t xml:space="preserve">site-specific </w:t>
      </w:r>
      <w:r w:rsidR="000F5A8D">
        <w:t xml:space="preserve">features was faced incorporating </w:t>
      </w:r>
      <w:r w:rsidRPr="00FA1CA5">
        <w:t>the following site-dependent elements into the analysis:</w:t>
      </w:r>
    </w:p>
    <w:p w14:paraId="47967A5F" w14:textId="77777777" w:rsidR="00FA1CA5" w:rsidRPr="00FA1CA5" w:rsidRDefault="00FA1CA5" w:rsidP="00FA1CA5">
      <w:pPr>
        <w:pStyle w:val="CETBodytext"/>
        <w:numPr>
          <w:ilvl w:val="0"/>
          <w:numId w:val="28"/>
        </w:numPr>
      </w:pPr>
      <w:r w:rsidRPr="00FA1CA5">
        <w:t>Berthing configuration and mooring arrangement of both bunker and receiving vessels;</w:t>
      </w:r>
    </w:p>
    <w:p w14:paraId="72E17B9B" w14:textId="77777777" w:rsidR="00FA1CA5" w:rsidRPr="00FA1CA5" w:rsidRDefault="00FA1CA5" w:rsidP="00FA1CA5">
      <w:pPr>
        <w:pStyle w:val="CETBodytext"/>
        <w:numPr>
          <w:ilvl w:val="0"/>
          <w:numId w:val="28"/>
        </w:numPr>
      </w:pPr>
      <w:r w:rsidRPr="00FA1CA5">
        <w:t xml:space="preserve">Traffic density within the </w:t>
      </w:r>
      <w:proofErr w:type="spellStart"/>
      <w:r w:rsidRPr="00FA1CA5">
        <w:t>manoeuvring</w:t>
      </w:r>
      <w:proofErr w:type="spellEnd"/>
      <w:r w:rsidRPr="00FA1CA5">
        <w:t xml:space="preserve"> basin during bunkering; </w:t>
      </w:r>
    </w:p>
    <w:p w14:paraId="4F4FD521" w14:textId="77777777" w:rsidR="00FA1CA5" w:rsidRPr="00FA1CA5" w:rsidRDefault="00FA1CA5" w:rsidP="00FA1CA5">
      <w:pPr>
        <w:pStyle w:val="CETBodytext"/>
        <w:numPr>
          <w:ilvl w:val="0"/>
          <w:numId w:val="28"/>
        </w:numPr>
      </w:pPr>
      <w:r w:rsidRPr="00FA1CA5">
        <w:t xml:space="preserve">Tug assistance and pilotage procedures; </w:t>
      </w:r>
    </w:p>
    <w:p w14:paraId="44B03B83" w14:textId="77777777" w:rsidR="00FA1CA5" w:rsidRPr="00FA1CA5" w:rsidRDefault="00FA1CA5" w:rsidP="00FA1CA5">
      <w:pPr>
        <w:pStyle w:val="CETBodytext"/>
        <w:numPr>
          <w:ilvl w:val="0"/>
          <w:numId w:val="28"/>
        </w:numPr>
      </w:pPr>
      <w:r w:rsidRPr="00FA1CA5">
        <w:t>Proximity of adjacent vessels and terminal infrastructure;</w:t>
      </w:r>
    </w:p>
    <w:p w14:paraId="37E7F957" w14:textId="77777777" w:rsidR="00FA1CA5" w:rsidRPr="00FA1CA5" w:rsidRDefault="00FA1CA5" w:rsidP="00FA1CA5">
      <w:pPr>
        <w:pStyle w:val="CETBodytext"/>
        <w:numPr>
          <w:ilvl w:val="0"/>
          <w:numId w:val="28"/>
        </w:numPr>
      </w:pPr>
      <w:r w:rsidRPr="00FA1CA5">
        <w:t>Passenger embarkation/disembarkation operations (SIMOPS);</w:t>
      </w:r>
    </w:p>
    <w:p w14:paraId="595555E5" w14:textId="77777777" w:rsidR="00FA1CA5" w:rsidRPr="00FA1CA5" w:rsidRDefault="00FA1CA5" w:rsidP="00FA1CA5">
      <w:pPr>
        <w:pStyle w:val="CETBodytext"/>
        <w:numPr>
          <w:ilvl w:val="0"/>
          <w:numId w:val="28"/>
        </w:numPr>
      </w:pPr>
      <w:r w:rsidRPr="00FA1CA5">
        <w:t>Emergency response time and firefighting resource availability.</w:t>
      </w:r>
    </w:p>
    <w:p w14:paraId="39CD237C" w14:textId="77777777" w:rsidR="00FA1CA5" w:rsidRPr="00FA1CA5" w:rsidRDefault="00FA1CA5" w:rsidP="00FA1CA5">
      <w:pPr>
        <w:pStyle w:val="CETBodytext"/>
      </w:pPr>
      <w:r w:rsidRPr="00FA1CA5">
        <w:t>The analyzed elements affect the following items:</w:t>
      </w:r>
    </w:p>
    <w:p w14:paraId="0DD7181A" w14:textId="77777777" w:rsidR="00FA1CA5" w:rsidRPr="00FA1CA5" w:rsidRDefault="00FA1CA5" w:rsidP="00FA1CA5">
      <w:pPr>
        <w:pStyle w:val="CETBodytext"/>
        <w:numPr>
          <w:ilvl w:val="0"/>
          <w:numId w:val="29"/>
        </w:numPr>
      </w:pPr>
      <w:r w:rsidRPr="00FA1CA5">
        <w:t>Mechanical stress on transfer systems (hoses, manifolds);</w:t>
      </w:r>
    </w:p>
    <w:p w14:paraId="0FC45EF0" w14:textId="77777777" w:rsidR="00FA1CA5" w:rsidRPr="00FA1CA5" w:rsidRDefault="00FA1CA5" w:rsidP="00FA1CA5">
      <w:pPr>
        <w:pStyle w:val="CETBodytext"/>
        <w:numPr>
          <w:ilvl w:val="0"/>
          <w:numId w:val="29"/>
        </w:numPr>
      </w:pPr>
      <w:r w:rsidRPr="00FA1CA5">
        <w:t>Probability of external impact or collision;</w:t>
      </w:r>
    </w:p>
    <w:p w14:paraId="7B7AC738" w14:textId="77777777" w:rsidR="00FA1CA5" w:rsidRPr="00FA1CA5" w:rsidRDefault="00FA1CA5" w:rsidP="00FA1CA5">
      <w:pPr>
        <w:pStyle w:val="CETBodytext"/>
        <w:numPr>
          <w:ilvl w:val="0"/>
          <w:numId w:val="29"/>
        </w:numPr>
      </w:pPr>
      <w:r w:rsidRPr="00FA1CA5">
        <w:t>Likelihood of delayed emergency isolation;</w:t>
      </w:r>
    </w:p>
    <w:p w14:paraId="3039ABBA" w14:textId="77777777" w:rsidR="00FA1CA5" w:rsidRPr="00FA1CA5" w:rsidRDefault="00FA1CA5" w:rsidP="00FA1CA5">
      <w:pPr>
        <w:pStyle w:val="CETBodytext"/>
        <w:numPr>
          <w:ilvl w:val="0"/>
          <w:numId w:val="29"/>
        </w:numPr>
      </w:pPr>
      <w:r w:rsidRPr="00FA1CA5">
        <w:t>Exposure of third parties and public areas.</w:t>
      </w:r>
    </w:p>
    <w:p w14:paraId="2F7DC621" w14:textId="77777777" w:rsidR="00FA1CA5" w:rsidRPr="000F5A8D" w:rsidRDefault="00FA1CA5" w:rsidP="00FA1CA5">
      <w:pPr>
        <w:pStyle w:val="CETBodytext"/>
      </w:pPr>
      <w:r w:rsidRPr="00FA1CA5">
        <w:t xml:space="preserve">To account for these aspects, a port operational modifier was introduced </w:t>
      </w:r>
      <w:r w:rsidRPr="000F5A8D">
        <w:t>accounting for the actual site and specific port operational complexities, possibly increasing the release initiation probability, according to Eq. 1.</w:t>
      </w:r>
    </w:p>
    <w:tbl>
      <w:tblPr>
        <w:tblW w:w="5130" w:type="pct"/>
        <w:tblLook w:val="04A0" w:firstRow="1" w:lastRow="0" w:firstColumn="1" w:lastColumn="0" w:noHBand="0" w:noVBand="1"/>
      </w:tblPr>
      <w:tblGrid>
        <w:gridCol w:w="8579"/>
        <w:gridCol w:w="436"/>
      </w:tblGrid>
      <w:tr w:rsidR="00B41CD8" w:rsidRPr="00B57B36" w14:paraId="4DA1AE53" w14:textId="77777777" w:rsidTr="006A03E7">
        <w:trPr>
          <w:trHeight w:val="784"/>
        </w:trPr>
        <w:tc>
          <w:tcPr>
            <w:tcW w:w="8579" w:type="dxa"/>
            <w:vAlign w:val="center"/>
          </w:tcPr>
          <w:p w14:paraId="78242430" w14:textId="747AAF89" w:rsidR="00B41CD8" w:rsidRPr="00B57B36" w:rsidRDefault="00B41CD8" w:rsidP="006A0AE0">
            <w:pPr>
              <w:pStyle w:val="CETEquation"/>
              <w:ind w:right="107"/>
            </w:pPr>
            <w:r w:rsidRPr="00B41CD8">
              <w:rPr>
                <w:noProof/>
                <w:lang w:val="it-IT" w:eastAsia="it-IT"/>
              </w:rPr>
              <w:drawing>
                <wp:inline distT="0" distB="0" distL="0" distR="0" wp14:anchorId="30CE875B" wp14:editId="4E6C20AF">
                  <wp:extent cx="5242560" cy="147320"/>
                  <wp:effectExtent l="0" t="0" r="0" b="5080"/>
                  <wp:docPr id="17516981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147320"/>
                          </a:xfrm>
                          <a:prstGeom prst="rect">
                            <a:avLst/>
                          </a:prstGeom>
                          <a:noFill/>
                          <a:ln>
                            <a:noFill/>
                          </a:ln>
                        </pic:spPr>
                      </pic:pic>
                    </a:graphicData>
                  </a:graphic>
                </wp:inline>
              </w:drawing>
            </w:r>
          </w:p>
        </w:tc>
        <w:tc>
          <w:tcPr>
            <w:tcW w:w="436" w:type="dxa"/>
            <w:vAlign w:val="center"/>
          </w:tcPr>
          <w:p w14:paraId="1D8D37C8" w14:textId="77777777" w:rsidR="00B41CD8" w:rsidRPr="00B57B36" w:rsidRDefault="00B41CD8" w:rsidP="00B41CD8">
            <w:pPr>
              <w:pStyle w:val="CETEquation"/>
            </w:pPr>
            <w:r w:rsidRPr="00B57B36">
              <w:t>(1)</w:t>
            </w:r>
          </w:p>
        </w:tc>
      </w:tr>
    </w:tbl>
    <w:p w14:paraId="025156A3" w14:textId="40917B8E" w:rsidR="00414168" w:rsidRPr="00BB2D45" w:rsidRDefault="00414168" w:rsidP="00414168">
      <w:pPr>
        <w:pStyle w:val="CETBodytext"/>
        <w:rPr>
          <w:lang w:val="en-GB"/>
        </w:rPr>
      </w:pPr>
      <w:r w:rsidRPr="00BB2D45">
        <w:rPr>
          <w:lang w:val="en-GB"/>
        </w:rPr>
        <w:t xml:space="preserve">where: </w:t>
      </w:r>
      <w:r w:rsidR="00D61502">
        <w:rPr>
          <w:lang w:val="en-GB"/>
        </w:rPr>
        <w:tab/>
      </w:r>
      <w:r w:rsidRPr="00BB2D45">
        <w:rPr>
          <w:rFonts w:ascii="Cambria Math" w:hAnsi="Cambria Math" w:cs="Cambria Math"/>
          <w:lang w:val="en-GB"/>
        </w:rPr>
        <w:t>𝑓</w:t>
      </w:r>
      <w:r w:rsidRPr="00BB2D45">
        <w:rPr>
          <w:rFonts w:ascii="Cambria Math" w:hAnsi="Cambria Math" w:cs="Cambria Math"/>
          <w:vertAlign w:val="subscript"/>
          <w:lang w:val="en-GB"/>
        </w:rPr>
        <w:t>TE, b𝑎𝑠𝑒</w:t>
      </w:r>
      <w:r w:rsidRPr="00BB2D45">
        <w:rPr>
          <w:vertAlign w:val="subscript"/>
          <w:lang w:val="en-GB"/>
        </w:rPr>
        <w:t>,</w:t>
      </w:r>
      <w:r w:rsidRPr="00BB2D45">
        <w:rPr>
          <w:rFonts w:ascii="Cambria Math" w:hAnsi="Cambria Math" w:cs="Cambria Math"/>
          <w:vertAlign w:val="subscript"/>
          <w:lang w:val="en-GB"/>
        </w:rPr>
        <w:t xml:space="preserve">𝑖 </w:t>
      </w:r>
      <w:r w:rsidRPr="00BB2D45">
        <w:rPr>
          <w:lang w:val="en-GB"/>
        </w:rPr>
        <w:t xml:space="preserve">= base frequency of </w:t>
      </w:r>
      <w:proofErr w:type="spellStart"/>
      <w:r w:rsidRPr="00BB2D45">
        <w:rPr>
          <w:lang w:val="en-GB"/>
        </w:rPr>
        <w:t>i-th</w:t>
      </w:r>
      <w:proofErr w:type="spellEnd"/>
      <w:r>
        <w:rPr>
          <w:lang w:val="en-GB"/>
        </w:rPr>
        <w:t xml:space="preserve"> </w:t>
      </w:r>
      <w:r w:rsidRPr="00BB2D45">
        <w:rPr>
          <w:lang w:val="en-GB"/>
        </w:rPr>
        <w:t>Top Event resulting from FTA</w:t>
      </w:r>
      <w:r>
        <w:rPr>
          <w:lang w:val="en-GB"/>
        </w:rPr>
        <w:t xml:space="preserve"> </w:t>
      </w:r>
      <w:r w:rsidRPr="00000FE8">
        <w:rPr>
          <w:lang w:val="en-GB"/>
        </w:rPr>
        <w:t>(open sea, no SIMOPS</w:t>
      </w:r>
      <w:r>
        <w:rPr>
          <w:lang w:val="en-GB"/>
        </w:rPr>
        <w:t>)</w:t>
      </w:r>
      <w:r w:rsidRPr="00BB2D45">
        <w:rPr>
          <w:lang w:val="en-GB"/>
        </w:rPr>
        <w:t>;</w:t>
      </w:r>
    </w:p>
    <w:p w14:paraId="05756823" w14:textId="16C938B7" w:rsidR="00414168" w:rsidRPr="00BB2D45" w:rsidRDefault="00D61502" w:rsidP="00414168">
      <w:pPr>
        <w:pStyle w:val="CETBodytext"/>
        <w:rPr>
          <w:lang w:val="en-GB"/>
        </w:rPr>
      </w:pPr>
      <w:r>
        <w:rPr>
          <w:rFonts w:ascii="Cambria Math" w:hAnsi="Cambria Math" w:cs="Cambria Math"/>
          <w:lang w:val="en-GB"/>
        </w:rPr>
        <w:tab/>
      </w:r>
      <w:r w:rsidR="00414168" w:rsidRPr="00BB2D45">
        <w:rPr>
          <w:i/>
          <w:iCs/>
          <w:lang w:val="en-GB"/>
        </w:rPr>
        <w:t>α</w:t>
      </w:r>
      <w:r w:rsidR="00414168" w:rsidRPr="00BB2D45">
        <w:rPr>
          <w:i/>
          <w:iCs/>
          <w:vertAlign w:val="subscript"/>
          <w:lang w:val="en-GB"/>
        </w:rPr>
        <w:t>OP</w:t>
      </w:r>
      <w:r w:rsidR="00414168" w:rsidRPr="00BB2D45">
        <w:rPr>
          <w:lang w:val="en-GB"/>
        </w:rPr>
        <w:t xml:space="preserve"> = dimensionless coefficient </w:t>
      </w:r>
      <w:r w:rsidR="00414168">
        <w:rPr>
          <w:lang w:val="en-GB"/>
        </w:rPr>
        <w:t>related to</w:t>
      </w:r>
      <w:r w:rsidR="00414168" w:rsidRPr="00BB2D45">
        <w:rPr>
          <w:lang w:val="en-GB"/>
        </w:rPr>
        <w:t xml:space="preserve"> port-specific operational complexity</w:t>
      </w:r>
      <w:r w:rsidR="00414168">
        <w:rPr>
          <w:lang w:val="en-GB"/>
        </w:rPr>
        <w:t>.</w:t>
      </w:r>
    </w:p>
    <w:p w14:paraId="0428ADAF" w14:textId="6525AAF1" w:rsidR="00414168" w:rsidRPr="00BB2D45" w:rsidRDefault="00414168" w:rsidP="00414168">
      <w:pPr>
        <w:pStyle w:val="CETBodytext"/>
        <w:rPr>
          <w:lang w:val="en-GB"/>
        </w:rPr>
      </w:pPr>
      <w:r w:rsidRPr="00BB2D45">
        <w:rPr>
          <w:lang w:val="en-GB"/>
        </w:rPr>
        <w:t xml:space="preserve">For the given pilot case-study, </w:t>
      </w:r>
      <w:r w:rsidRPr="00BB2D45">
        <w:rPr>
          <w:i/>
          <w:iCs/>
          <w:lang w:val="en-GB"/>
        </w:rPr>
        <w:t>α</w:t>
      </w:r>
      <w:r w:rsidRPr="00BB2D45">
        <w:rPr>
          <w:i/>
          <w:iCs/>
          <w:vertAlign w:val="subscript"/>
          <w:lang w:val="en-GB"/>
        </w:rPr>
        <w:t>OP</w:t>
      </w:r>
      <w:r w:rsidRPr="00BB2D45">
        <w:rPr>
          <w:lang w:val="en-GB"/>
        </w:rPr>
        <w:t xml:space="preserve"> was conservatively evaluated considering</w:t>
      </w:r>
      <w:r w:rsidR="002E2119">
        <w:rPr>
          <w:lang w:val="en-GB"/>
        </w:rPr>
        <w:t xml:space="preserve"> the following features and port layout</w:t>
      </w:r>
      <w:r w:rsidRPr="00BB2D45">
        <w:rPr>
          <w:lang w:val="en-GB"/>
        </w:rPr>
        <w:t>:</w:t>
      </w:r>
    </w:p>
    <w:p w14:paraId="279BC811" w14:textId="1CAF7CB5" w:rsidR="00414168" w:rsidRPr="007429E9" w:rsidRDefault="00414168" w:rsidP="00414168">
      <w:pPr>
        <w:pStyle w:val="CETBodytext"/>
        <w:numPr>
          <w:ilvl w:val="0"/>
          <w:numId w:val="30"/>
        </w:numPr>
        <w:rPr>
          <w:lang w:val="en-GB"/>
        </w:rPr>
      </w:pPr>
      <w:r w:rsidRPr="007429E9">
        <w:rPr>
          <w:lang w:val="en-GB"/>
        </w:rPr>
        <w:t xml:space="preserve">Ferry terminal </w:t>
      </w:r>
      <w:r w:rsidR="00D61502" w:rsidRPr="007429E9">
        <w:rPr>
          <w:lang w:val="en-GB"/>
        </w:rPr>
        <w:t>environment</w:t>
      </w:r>
      <w:r w:rsidRPr="007429E9">
        <w:rPr>
          <w:lang w:val="en-GB"/>
        </w:rPr>
        <w:t>;</w:t>
      </w:r>
    </w:p>
    <w:p w14:paraId="1E56F2EC" w14:textId="77777777" w:rsidR="00414168" w:rsidRPr="007429E9" w:rsidRDefault="00414168" w:rsidP="00414168">
      <w:pPr>
        <w:pStyle w:val="CETBodytext"/>
        <w:numPr>
          <w:ilvl w:val="0"/>
          <w:numId w:val="30"/>
        </w:numPr>
        <w:rPr>
          <w:lang w:val="en-GB"/>
        </w:rPr>
      </w:pPr>
      <w:r w:rsidRPr="007429E9">
        <w:rPr>
          <w:lang w:val="en-GB"/>
        </w:rPr>
        <w:t>Concurrent passenger operations;</w:t>
      </w:r>
    </w:p>
    <w:p w14:paraId="08B203E8" w14:textId="77777777" w:rsidR="00414168" w:rsidRPr="007429E9" w:rsidRDefault="00414168" w:rsidP="00414168">
      <w:pPr>
        <w:pStyle w:val="CETBodytext"/>
        <w:numPr>
          <w:ilvl w:val="0"/>
          <w:numId w:val="30"/>
        </w:numPr>
        <w:rPr>
          <w:lang w:val="en-GB"/>
        </w:rPr>
      </w:pPr>
      <w:r w:rsidRPr="007429E9">
        <w:rPr>
          <w:lang w:val="en-GB"/>
        </w:rPr>
        <w:lastRenderedPageBreak/>
        <w:t>Presence of nearby berthed vessels;</w:t>
      </w:r>
    </w:p>
    <w:p w14:paraId="304C894A" w14:textId="77777777" w:rsidR="00414168" w:rsidRDefault="00414168" w:rsidP="00414168">
      <w:pPr>
        <w:pStyle w:val="CETBodytext"/>
        <w:numPr>
          <w:ilvl w:val="0"/>
          <w:numId w:val="30"/>
        </w:numPr>
        <w:rPr>
          <w:lang w:val="en-GB"/>
        </w:rPr>
      </w:pPr>
      <w:r w:rsidRPr="007429E9">
        <w:rPr>
          <w:lang w:val="en-GB"/>
        </w:rPr>
        <w:t>Restricted basin geometry.</w:t>
      </w:r>
    </w:p>
    <w:p w14:paraId="592B55DC" w14:textId="77777777" w:rsidR="00540487" w:rsidRDefault="00540487" w:rsidP="00540487">
      <w:pPr>
        <w:pStyle w:val="CETBodytext"/>
        <w:rPr>
          <w:lang w:val="en-GB"/>
        </w:rPr>
      </w:pPr>
    </w:p>
    <w:p w14:paraId="4C8864F4" w14:textId="4701F1CC" w:rsidR="00630853" w:rsidRDefault="009B666C" w:rsidP="00540487">
      <w:pPr>
        <w:pStyle w:val="CETBodytext"/>
        <w:rPr>
          <w:lang w:val="en-GB"/>
        </w:rPr>
      </w:pPr>
      <w:r w:rsidRPr="000F5A8D">
        <w:rPr>
          <w:lang w:val="en-GB"/>
        </w:rPr>
        <w:t xml:space="preserve">The proposed ranges, tailored to the intrinsic characteristics of Italian urban ports, are conservatively calibrated even though await further empirical validation. Sensitivity analysis yields a baseline value of α=1.0 for greenfield sites, which scales according to site complexity. In the </w:t>
      </w:r>
      <w:r w:rsidR="006A03E7" w:rsidRPr="000F5A8D">
        <w:rPr>
          <w:lang w:val="en-GB"/>
        </w:rPr>
        <w:t>given</w:t>
      </w:r>
      <w:r w:rsidRPr="000F5A8D">
        <w:rPr>
          <w:lang w:val="en-GB"/>
        </w:rPr>
        <w:t xml:space="preserve"> application, a value of αOP=1.4 is adopted, with a sensitivity range of ±0.2.</w:t>
      </w:r>
      <w:r w:rsidR="00630853">
        <w:rPr>
          <w:lang w:val="en-GB"/>
        </w:rPr>
        <w:t xml:space="preserve"> </w:t>
      </w:r>
    </w:p>
    <w:p w14:paraId="46AF1B10" w14:textId="5D742A52" w:rsidR="00540487" w:rsidRPr="002F755D" w:rsidRDefault="00540487" w:rsidP="00540487">
      <w:pPr>
        <w:pStyle w:val="CETBodytext"/>
        <w:rPr>
          <w:color w:val="000000" w:themeColor="text1"/>
          <w:lang w:val="en-GB"/>
        </w:rPr>
      </w:pPr>
      <w:r w:rsidRPr="000F5A8D">
        <w:rPr>
          <w:lang w:val="en-GB"/>
        </w:rPr>
        <w:t>The pr</w:t>
      </w:r>
      <w:r w:rsidR="009025A5" w:rsidRPr="000F5A8D">
        <w:rPr>
          <w:lang w:val="en-GB"/>
        </w:rPr>
        <w:t>esented</w:t>
      </w:r>
      <w:r w:rsidRPr="000F5A8D">
        <w:rPr>
          <w:lang w:val="en-GB"/>
        </w:rPr>
        <w:t xml:space="preserve"> approach preserves the structure of the QRA framework</w:t>
      </w:r>
      <w:r w:rsidR="00701EAA" w:rsidRPr="000F5A8D">
        <w:rPr>
          <w:lang w:val="en-GB"/>
        </w:rPr>
        <w:t>,</w:t>
      </w:r>
      <w:r w:rsidRPr="000F5A8D">
        <w:rPr>
          <w:lang w:val="en-GB"/>
        </w:rPr>
        <w:t xml:space="preserve"> while improving transferability to other </w:t>
      </w:r>
      <w:r w:rsidRPr="002F755D">
        <w:rPr>
          <w:color w:val="000000" w:themeColor="text1"/>
          <w:lang w:val="en-GB"/>
        </w:rPr>
        <w:t>ports, where different operational maturity levels, or infrastructure layouts may justify alternative modifier values.</w:t>
      </w:r>
    </w:p>
    <w:p w14:paraId="75688A11" w14:textId="051366E0" w:rsidR="00414168" w:rsidRPr="000F5A8D" w:rsidRDefault="00701EAA" w:rsidP="00414168">
      <w:pPr>
        <w:pStyle w:val="CETTabletitle"/>
      </w:pPr>
      <w:r w:rsidRPr="000F5A8D">
        <w:t>T</w:t>
      </w:r>
      <w:r w:rsidR="00414168" w:rsidRPr="000F5A8D">
        <w:t>able 1: Ranges of α</w:t>
      </w:r>
      <w:r w:rsidR="00414168" w:rsidRPr="000F5A8D">
        <w:rPr>
          <w:vertAlign w:val="subscript"/>
        </w:rPr>
        <w:t xml:space="preserve">OP </w:t>
      </w:r>
      <w:r w:rsidR="00414168" w:rsidRPr="000F5A8D">
        <w:t>values as a function of Port complexity</w:t>
      </w:r>
      <w:r w:rsidRPr="000F5A8D">
        <w:t xml:space="preserve"> and layout</w:t>
      </w:r>
      <w:r w:rsidR="000F5A8D">
        <w:t>.</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27"/>
        <w:gridCol w:w="3402"/>
        <w:gridCol w:w="992"/>
        <w:gridCol w:w="2268"/>
      </w:tblGrid>
      <w:tr w:rsidR="000F5A8D" w:rsidRPr="000F5A8D" w14:paraId="23C22F84" w14:textId="1A05C52C" w:rsidTr="005B24D2">
        <w:tc>
          <w:tcPr>
            <w:tcW w:w="2127" w:type="dxa"/>
            <w:tcBorders>
              <w:top w:val="single" w:sz="12" w:space="0" w:color="008000"/>
              <w:bottom w:val="single" w:sz="6" w:space="0" w:color="008000"/>
            </w:tcBorders>
            <w:shd w:val="clear" w:color="auto" w:fill="FFFFFF"/>
          </w:tcPr>
          <w:p w14:paraId="4685AF34" w14:textId="07BA232F" w:rsidR="00687EB9" w:rsidRPr="000F5A8D" w:rsidRDefault="00687EB9" w:rsidP="00826229">
            <w:pPr>
              <w:pStyle w:val="CETBodytext"/>
              <w:rPr>
                <w:lang w:val="en-GB"/>
              </w:rPr>
            </w:pPr>
            <w:r w:rsidRPr="000F5A8D">
              <w:rPr>
                <w:lang w:val="it-IT"/>
              </w:rPr>
              <w:t>Port Environment</w:t>
            </w:r>
            <w:r w:rsidRPr="000F5A8D">
              <w:rPr>
                <w:lang w:val="en-GB"/>
              </w:rPr>
              <w:t xml:space="preserve"> </w:t>
            </w:r>
          </w:p>
        </w:tc>
        <w:tc>
          <w:tcPr>
            <w:tcW w:w="3402" w:type="dxa"/>
            <w:tcBorders>
              <w:top w:val="single" w:sz="12" w:space="0" w:color="008000"/>
              <w:bottom w:val="single" w:sz="6" w:space="0" w:color="008000"/>
            </w:tcBorders>
            <w:shd w:val="clear" w:color="auto" w:fill="FFFFFF"/>
          </w:tcPr>
          <w:p w14:paraId="119F2FA4" w14:textId="3835E217" w:rsidR="00687EB9" w:rsidRPr="000F5A8D" w:rsidRDefault="00687EB9" w:rsidP="00D62327">
            <w:pPr>
              <w:pStyle w:val="CETBodytext"/>
              <w:ind w:left="113"/>
              <w:rPr>
                <w:lang w:val="en-GB"/>
              </w:rPr>
            </w:pPr>
            <w:r w:rsidRPr="000F5A8D">
              <w:rPr>
                <w:lang w:val="it-IT"/>
              </w:rPr>
              <w:t xml:space="preserve">Key </w:t>
            </w:r>
            <w:proofErr w:type="spellStart"/>
            <w:r w:rsidRPr="000F5A8D">
              <w:rPr>
                <w:lang w:val="it-IT"/>
              </w:rPr>
              <w:t>Factors</w:t>
            </w:r>
            <w:proofErr w:type="spellEnd"/>
          </w:p>
        </w:tc>
        <w:tc>
          <w:tcPr>
            <w:tcW w:w="992" w:type="dxa"/>
            <w:tcBorders>
              <w:top w:val="single" w:sz="12" w:space="0" w:color="008000"/>
              <w:bottom w:val="single" w:sz="6" w:space="0" w:color="008000"/>
            </w:tcBorders>
            <w:shd w:val="clear" w:color="auto" w:fill="FFFFFF"/>
          </w:tcPr>
          <w:p w14:paraId="22F36093" w14:textId="69997D62" w:rsidR="00687EB9" w:rsidRPr="000F5A8D" w:rsidRDefault="00687EB9" w:rsidP="00D62327">
            <w:pPr>
              <w:pStyle w:val="CETBodytext"/>
              <w:ind w:left="113"/>
              <w:rPr>
                <w:lang w:val="en-GB"/>
              </w:rPr>
            </w:pPr>
            <w:r w:rsidRPr="000F5A8D">
              <w:rPr>
                <w:i/>
                <w:iCs/>
                <w:lang w:val="en-GB"/>
              </w:rPr>
              <w:t>α</w:t>
            </w:r>
            <w:r w:rsidRPr="000F5A8D">
              <w:rPr>
                <w:i/>
                <w:iCs/>
                <w:vertAlign w:val="subscript"/>
                <w:lang w:val="en-GB"/>
              </w:rPr>
              <w:t xml:space="preserve">OP </w:t>
            </w:r>
            <w:r w:rsidRPr="000F5A8D">
              <w:rPr>
                <w:lang w:val="en-GB"/>
              </w:rPr>
              <w:t xml:space="preserve">Range </w:t>
            </w:r>
          </w:p>
        </w:tc>
        <w:tc>
          <w:tcPr>
            <w:tcW w:w="2268" w:type="dxa"/>
            <w:tcBorders>
              <w:top w:val="single" w:sz="12" w:space="0" w:color="008000"/>
              <w:bottom w:val="single" w:sz="6" w:space="0" w:color="008000"/>
            </w:tcBorders>
            <w:shd w:val="clear" w:color="auto" w:fill="FFFFFF"/>
          </w:tcPr>
          <w:p w14:paraId="6A69F329" w14:textId="383558C9" w:rsidR="00687EB9" w:rsidRPr="000F5A8D" w:rsidRDefault="00687EB9" w:rsidP="00D62327">
            <w:pPr>
              <w:pStyle w:val="CETBodytext"/>
              <w:ind w:left="113"/>
              <w:rPr>
                <w:lang w:val="it-IT"/>
              </w:rPr>
            </w:pPr>
            <w:proofErr w:type="spellStart"/>
            <w:r w:rsidRPr="000F5A8D">
              <w:rPr>
                <w:lang w:val="it-IT"/>
              </w:rPr>
              <w:t>Characteristic</w:t>
            </w:r>
            <w:proofErr w:type="spellEnd"/>
          </w:p>
        </w:tc>
      </w:tr>
      <w:tr w:rsidR="000F5A8D" w:rsidRPr="000F5A8D" w14:paraId="76826B12" w14:textId="7DA2655A" w:rsidTr="005B24D2">
        <w:tc>
          <w:tcPr>
            <w:tcW w:w="2127" w:type="dxa"/>
            <w:shd w:val="clear" w:color="auto" w:fill="FFFFFF"/>
          </w:tcPr>
          <w:p w14:paraId="6BA5A73A" w14:textId="4A31C3F6" w:rsidR="00687EB9" w:rsidRPr="000F5A8D" w:rsidRDefault="00687EB9" w:rsidP="00826229">
            <w:pPr>
              <w:pStyle w:val="CETBodytext"/>
              <w:rPr>
                <w:lang w:val="en-GB"/>
              </w:rPr>
            </w:pPr>
            <w:r w:rsidRPr="000F5A8D">
              <w:rPr>
                <w:lang w:val="it-IT"/>
              </w:rPr>
              <w:t xml:space="preserve">Low </w:t>
            </w:r>
            <w:proofErr w:type="spellStart"/>
            <w:r w:rsidRPr="000F5A8D">
              <w:rPr>
                <w:lang w:val="it-IT"/>
              </w:rPr>
              <w:t>Complexity</w:t>
            </w:r>
            <w:proofErr w:type="spellEnd"/>
          </w:p>
        </w:tc>
        <w:tc>
          <w:tcPr>
            <w:tcW w:w="3402" w:type="dxa"/>
            <w:shd w:val="clear" w:color="auto" w:fill="FFFFFF"/>
          </w:tcPr>
          <w:p w14:paraId="4D0D58D3" w14:textId="36C2C746" w:rsidR="00687EB9" w:rsidRPr="000F5A8D" w:rsidRDefault="00687EB9" w:rsidP="00D62327">
            <w:pPr>
              <w:pStyle w:val="CETBodytext"/>
              <w:ind w:left="113"/>
              <w:rPr>
                <w:lang w:val="en-GB"/>
              </w:rPr>
            </w:pPr>
            <w:r w:rsidRPr="000F5A8D">
              <w:rPr>
                <w:lang w:val="en-GB"/>
              </w:rPr>
              <w:t>Isolated STS, no traffic/SIMOPS, fast ER</w:t>
            </w:r>
          </w:p>
        </w:tc>
        <w:tc>
          <w:tcPr>
            <w:tcW w:w="992" w:type="dxa"/>
            <w:shd w:val="clear" w:color="auto" w:fill="FFFFFF"/>
          </w:tcPr>
          <w:p w14:paraId="14158121" w14:textId="6B963DEE" w:rsidR="00687EB9" w:rsidRPr="000F5A8D" w:rsidRDefault="00687EB9" w:rsidP="00D62327">
            <w:pPr>
              <w:pStyle w:val="CETBodytext"/>
              <w:ind w:left="113"/>
              <w:rPr>
                <w:lang w:val="en-GB"/>
              </w:rPr>
            </w:pPr>
            <w:r w:rsidRPr="000F5A8D">
              <w:rPr>
                <w:lang w:val="it-IT"/>
              </w:rPr>
              <w:t>1.0–1.1</w:t>
            </w:r>
          </w:p>
        </w:tc>
        <w:tc>
          <w:tcPr>
            <w:tcW w:w="2268" w:type="dxa"/>
            <w:shd w:val="clear" w:color="auto" w:fill="FFFFFF"/>
          </w:tcPr>
          <w:p w14:paraId="5A171864" w14:textId="408C625F" w:rsidR="00687EB9" w:rsidRPr="000F5A8D" w:rsidRDefault="00687EB9" w:rsidP="00D62327">
            <w:pPr>
              <w:pStyle w:val="CETBodytext"/>
              <w:ind w:left="113"/>
              <w:rPr>
                <w:lang w:val="en-GB"/>
              </w:rPr>
            </w:pPr>
            <w:r w:rsidRPr="000F5A8D">
              <w:rPr>
                <w:lang w:val="en-GB"/>
              </w:rPr>
              <w:t>Minimal external initiators</w:t>
            </w:r>
          </w:p>
        </w:tc>
      </w:tr>
      <w:tr w:rsidR="000F5A8D" w:rsidRPr="000F5A8D" w14:paraId="05E37494" w14:textId="430FA758" w:rsidTr="005B24D2">
        <w:tc>
          <w:tcPr>
            <w:tcW w:w="2127" w:type="dxa"/>
            <w:shd w:val="clear" w:color="auto" w:fill="FFFFFF"/>
          </w:tcPr>
          <w:p w14:paraId="7D685B82" w14:textId="77777777" w:rsidR="00687EB9" w:rsidRPr="000F5A8D" w:rsidRDefault="00687EB9" w:rsidP="00687EB9">
            <w:pPr>
              <w:pStyle w:val="CETBodytext"/>
              <w:ind w:right="-1"/>
              <w:rPr>
                <w:szCs w:val="18"/>
                <w:lang w:val="it-IT"/>
              </w:rPr>
            </w:pPr>
            <w:r w:rsidRPr="000F5A8D">
              <w:rPr>
                <w:szCs w:val="18"/>
                <w:lang w:val="it-IT"/>
              </w:rPr>
              <w:t xml:space="preserve">Medium </w:t>
            </w:r>
          </w:p>
          <w:p w14:paraId="04529BA3" w14:textId="7E3975C7" w:rsidR="00687EB9" w:rsidRPr="000F5A8D" w:rsidRDefault="00687EB9" w:rsidP="00687EB9">
            <w:pPr>
              <w:pStyle w:val="CETBodytext"/>
              <w:ind w:right="-1"/>
              <w:rPr>
                <w:rFonts w:cs="Arial"/>
                <w:szCs w:val="18"/>
                <w:lang w:val="en-GB"/>
              </w:rPr>
            </w:pPr>
            <w:r w:rsidRPr="000F5A8D">
              <w:rPr>
                <w:szCs w:val="18"/>
                <w:lang w:val="it-IT"/>
              </w:rPr>
              <w:t>(Industrial Port)</w:t>
            </w:r>
          </w:p>
        </w:tc>
        <w:tc>
          <w:tcPr>
            <w:tcW w:w="3402" w:type="dxa"/>
            <w:shd w:val="clear" w:color="auto" w:fill="FFFFFF"/>
          </w:tcPr>
          <w:p w14:paraId="702966B2" w14:textId="4D944E6E" w:rsidR="00687EB9" w:rsidRPr="000F5A8D" w:rsidRDefault="00687EB9" w:rsidP="00D62327">
            <w:pPr>
              <w:pStyle w:val="CETBodytext"/>
              <w:ind w:left="113" w:right="-1"/>
              <w:rPr>
                <w:rFonts w:cs="Arial"/>
                <w:szCs w:val="18"/>
                <w:lang w:val="en-GB"/>
              </w:rPr>
            </w:pPr>
            <w:r w:rsidRPr="000F5A8D">
              <w:rPr>
                <w:szCs w:val="18"/>
              </w:rPr>
              <w:t>Moderate traffic, no passengers, good spacing</w:t>
            </w:r>
          </w:p>
        </w:tc>
        <w:tc>
          <w:tcPr>
            <w:tcW w:w="992" w:type="dxa"/>
            <w:shd w:val="clear" w:color="auto" w:fill="FFFFFF"/>
          </w:tcPr>
          <w:p w14:paraId="7F55BA7D" w14:textId="3D09F21A" w:rsidR="00687EB9" w:rsidRPr="000F5A8D" w:rsidRDefault="00687EB9" w:rsidP="00D62327">
            <w:pPr>
              <w:pStyle w:val="CETBodytext"/>
              <w:ind w:left="113" w:right="-1"/>
              <w:rPr>
                <w:rFonts w:cs="Arial"/>
                <w:szCs w:val="18"/>
                <w:lang w:val="en-GB"/>
              </w:rPr>
            </w:pPr>
            <w:r w:rsidRPr="000F5A8D">
              <w:rPr>
                <w:szCs w:val="18"/>
                <w:lang w:val="it-IT"/>
              </w:rPr>
              <w:t>1.1–1.3</w:t>
            </w:r>
          </w:p>
        </w:tc>
        <w:tc>
          <w:tcPr>
            <w:tcW w:w="2268" w:type="dxa"/>
            <w:shd w:val="clear" w:color="auto" w:fill="FFFFFF"/>
          </w:tcPr>
          <w:p w14:paraId="4A93ADD7" w14:textId="0ABFC3E0" w:rsidR="00687EB9" w:rsidRPr="000F5A8D" w:rsidRDefault="00687EB9" w:rsidP="00D62327">
            <w:pPr>
              <w:pStyle w:val="CETBodytext"/>
              <w:ind w:left="113" w:right="-1"/>
              <w:rPr>
                <w:rFonts w:cs="Arial"/>
                <w:szCs w:val="18"/>
                <w:lang w:val="en-GB"/>
              </w:rPr>
            </w:pPr>
            <w:r w:rsidRPr="000F5A8D">
              <w:rPr>
                <w:szCs w:val="18"/>
                <w:lang w:val="it-IT"/>
              </w:rPr>
              <w:t xml:space="preserve">Standard vessel </w:t>
            </w:r>
            <w:proofErr w:type="spellStart"/>
            <w:r w:rsidRPr="000F5A8D">
              <w:rPr>
                <w:szCs w:val="18"/>
                <w:lang w:val="it-IT"/>
              </w:rPr>
              <w:t>traffic</w:t>
            </w:r>
            <w:proofErr w:type="spellEnd"/>
            <w:r w:rsidRPr="000F5A8D">
              <w:rPr>
                <w:szCs w:val="18"/>
                <w:lang w:val="it-IT"/>
              </w:rPr>
              <w:t xml:space="preserve"> </w:t>
            </w:r>
          </w:p>
        </w:tc>
      </w:tr>
      <w:tr w:rsidR="000F5A8D" w:rsidRPr="000F5A8D" w14:paraId="05D6B10D" w14:textId="77777777" w:rsidTr="005B24D2">
        <w:tc>
          <w:tcPr>
            <w:tcW w:w="2127" w:type="dxa"/>
            <w:shd w:val="clear" w:color="auto" w:fill="FFFFFF"/>
          </w:tcPr>
          <w:p w14:paraId="2160D6F8" w14:textId="598FCC62" w:rsidR="00687EB9" w:rsidRPr="000F5A8D" w:rsidRDefault="00687EB9" w:rsidP="00687EB9">
            <w:pPr>
              <w:pStyle w:val="CETBodytext"/>
              <w:ind w:right="-1"/>
              <w:rPr>
                <w:rFonts w:cs="Arial"/>
                <w:szCs w:val="18"/>
                <w:lang w:val="en-GB"/>
              </w:rPr>
            </w:pPr>
            <w:r w:rsidRPr="000F5A8D">
              <w:rPr>
                <w:szCs w:val="18"/>
                <w:lang w:val="en-GB"/>
              </w:rPr>
              <w:t>High (Urban e.g. Genoa)</w:t>
            </w:r>
          </w:p>
        </w:tc>
        <w:tc>
          <w:tcPr>
            <w:tcW w:w="3402" w:type="dxa"/>
            <w:shd w:val="clear" w:color="auto" w:fill="FFFFFF"/>
          </w:tcPr>
          <w:p w14:paraId="1B23ABAF" w14:textId="0A4E5E31" w:rsidR="00687EB9" w:rsidRPr="000F5A8D" w:rsidRDefault="00687EB9" w:rsidP="00D62327">
            <w:pPr>
              <w:pStyle w:val="CETBodytext"/>
              <w:ind w:left="113" w:right="-1"/>
              <w:rPr>
                <w:rFonts w:cs="Arial"/>
                <w:szCs w:val="18"/>
                <w:lang w:val="en-GB"/>
              </w:rPr>
            </w:pPr>
            <w:r w:rsidRPr="000F5A8D">
              <w:rPr>
                <w:szCs w:val="18"/>
                <w:lang w:val="en-GB"/>
              </w:rPr>
              <w:t>Dense traffic, passenger SIMOPS, constrained basin</w:t>
            </w:r>
          </w:p>
        </w:tc>
        <w:tc>
          <w:tcPr>
            <w:tcW w:w="992" w:type="dxa"/>
            <w:shd w:val="clear" w:color="auto" w:fill="FFFFFF"/>
          </w:tcPr>
          <w:p w14:paraId="427E05E8" w14:textId="45A8ACBC" w:rsidR="00687EB9" w:rsidRPr="000F5A8D" w:rsidRDefault="00687EB9" w:rsidP="00D62327">
            <w:pPr>
              <w:pStyle w:val="CETBodytext"/>
              <w:ind w:left="113" w:right="-1"/>
              <w:rPr>
                <w:rFonts w:cs="Arial"/>
                <w:szCs w:val="18"/>
                <w:lang w:val="en-GB"/>
              </w:rPr>
            </w:pPr>
            <w:r w:rsidRPr="000F5A8D">
              <w:rPr>
                <w:szCs w:val="18"/>
                <w:lang w:val="it-IT"/>
              </w:rPr>
              <w:t>1.3–1.6</w:t>
            </w:r>
          </w:p>
        </w:tc>
        <w:tc>
          <w:tcPr>
            <w:tcW w:w="2268" w:type="dxa"/>
            <w:shd w:val="clear" w:color="auto" w:fill="FFFFFF"/>
          </w:tcPr>
          <w:p w14:paraId="77B56AFF" w14:textId="303326F9" w:rsidR="00687EB9" w:rsidRPr="000F5A8D" w:rsidRDefault="00687EB9" w:rsidP="00D62327">
            <w:pPr>
              <w:pStyle w:val="CETBodytext"/>
              <w:ind w:left="113" w:right="-1"/>
              <w:rPr>
                <w:rFonts w:cs="Arial"/>
                <w:szCs w:val="18"/>
                <w:lang w:val="en-GB"/>
              </w:rPr>
            </w:pPr>
            <w:r w:rsidRPr="000F5A8D">
              <w:rPr>
                <w:szCs w:val="18"/>
                <w:lang w:val="en-GB"/>
              </w:rPr>
              <w:t>+20% collision risk; +15% delayed ESD</w:t>
            </w:r>
          </w:p>
        </w:tc>
      </w:tr>
      <w:tr w:rsidR="000F5A8D" w:rsidRPr="000F5A8D" w14:paraId="4B1AA125" w14:textId="77777777" w:rsidTr="005B24D2">
        <w:tc>
          <w:tcPr>
            <w:tcW w:w="2127" w:type="dxa"/>
            <w:shd w:val="clear" w:color="auto" w:fill="FFFFFF"/>
          </w:tcPr>
          <w:p w14:paraId="1852EF4E" w14:textId="0DA2802E" w:rsidR="00687EB9" w:rsidRPr="000F5A8D" w:rsidRDefault="00687EB9" w:rsidP="00687EB9">
            <w:pPr>
              <w:pStyle w:val="CETBodytext"/>
              <w:ind w:right="-1"/>
              <w:rPr>
                <w:rFonts w:cs="Arial"/>
                <w:szCs w:val="18"/>
                <w:lang w:val="en-GB"/>
              </w:rPr>
            </w:pPr>
            <w:r w:rsidRPr="000F5A8D">
              <w:rPr>
                <w:szCs w:val="18"/>
                <w:lang w:val="en-GB"/>
              </w:rPr>
              <w:t>Extreme (Shipyard/Multi-vessel Berth)</w:t>
            </w:r>
          </w:p>
        </w:tc>
        <w:tc>
          <w:tcPr>
            <w:tcW w:w="3402" w:type="dxa"/>
            <w:shd w:val="clear" w:color="auto" w:fill="FFFFFF"/>
          </w:tcPr>
          <w:p w14:paraId="40B343ED" w14:textId="73D46C17" w:rsidR="00687EB9" w:rsidRPr="000F5A8D" w:rsidRDefault="00687EB9" w:rsidP="00D62327">
            <w:pPr>
              <w:pStyle w:val="CETBodytext"/>
              <w:ind w:left="113" w:right="-1"/>
              <w:rPr>
                <w:rFonts w:cs="Arial"/>
                <w:szCs w:val="18"/>
                <w:lang w:val="en-GB"/>
              </w:rPr>
            </w:pPr>
            <w:r w:rsidRPr="000F5A8D">
              <w:rPr>
                <w:szCs w:val="18"/>
              </w:rPr>
              <w:t>Adjacent hot work, high pedestrian density</w:t>
            </w:r>
          </w:p>
        </w:tc>
        <w:tc>
          <w:tcPr>
            <w:tcW w:w="992" w:type="dxa"/>
            <w:shd w:val="clear" w:color="auto" w:fill="FFFFFF"/>
          </w:tcPr>
          <w:p w14:paraId="3841A49A" w14:textId="72C176E5" w:rsidR="00687EB9" w:rsidRPr="000F5A8D" w:rsidRDefault="00687EB9" w:rsidP="00D62327">
            <w:pPr>
              <w:pStyle w:val="CETBodytext"/>
              <w:ind w:left="113" w:right="-1"/>
              <w:rPr>
                <w:rFonts w:cs="Arial"/>
                <w:szCs w:val="18"/>
                <w:lang w:val="en-GB"/>
              </w:rPr>
            </w:pPr>
            <w:r w:rsidRPr="000F5A8D">
              <w:rPr>
                <w:szCs w:val="18"/>
                <w:lang w:val="it-IT"/>
              </w:rPr>
              <w:t>1.6–2.0</w:t>
            </w:r>
          </w:p>
        </w:tc>
        <w:tc>
          <w:tcPr>
            <w:tcW w:w="2268" w:type="dxa"/>
            <w:shd w:val="clear" w:color="auto" w:fill="FFFFFF"/>
          </w:tcPr>
          <w:p w14:paraId="4954890D" w14:textId="0281FA40" w:rsidR="00687EB9" w:rsidRPr="000F5A8D" w:rsidRDefault="00687EB9" w:rsidP="00D62327">
            <w:pPr>
              <w:pStyle w:val="CETBodytext"/>
              <w:ind w:left="113" w:right="-1"/>
              <w:rPr>
                <w:rFonts w:cs="Arial"/>
                <w:szCs w:val="18"/>
                <w:lang w:val="en-GB"/>
              </w:rPr>
            </w:pPr>
            <w:r w:rsidRPr="000F5A8D">
              <w:rPr>
                <w:szCs w:val="18"/>
                <w:lang w:val="it-IT"/>
              </w:rPr>
              <w:t xml:space="preserve">+50% </w:t>
            </w:r>
            <w:proofErr w:type="spellStart"/>
            <w:r w:rsidRPr="000F5A8D">
              <w:rPr>
                <w:szCs w:val="18"/>
                <w:lang w:val="it-IT"/>
              </w:rPr>
              <w:t>external</w:t>
            </w:r>
            <w:proofErr w:type="spellEnd"/>
            <w:r w:rsidRPr="000F5A8D">
              <w:rPr>
                <w:szCs w:val="18"/>
                <w:lang w:val="it-IT"/>
              </w:rPr>
              <w:t xml:space="preserve"> </w:t>
            </w:r>
            <w:proofErr w:type="spellStart"/>
            <w:r w:rsidRPr="000F5A8D">
              <w:rPr>
                <w:szCs w:val="18"/>
                <w:lang w:val="it-IT"/>
              </w:rPr>
              <w:t>fire</w:t>
            </w:r>
            <w:proofErr w:type="spellEnd"/>
            <w:r w:rsidRPr="000F5A8D">
              <w:rPr>
                <w:szCs w:val="18"/>
                <w:lang w:val="it-IT"/>
              </w:rPr>
              <w:t xml:space="preserve"> / impact </w:t>
            </w:r>
            <w:proofErr w:type="spellStart"/>
            <w:r w:rsidRPr="000F5A8D">
              <w:rPr>
                <w:szCs w:val="18"/>
                <w:lang w:val="it-IT"/>
              </w:rPr>
              <w:t>probability</w:t>
            </w:r>
            <w:proofErr w:type="spellEnd"/>
          </w:p>
        </w:tc>
      </w:tr>
    </w:tbl>
    <w:p w14:paraId="1F96CA21" w14:textId="1F2A6CB6" w:rsidR="00600535" w:rsidRPr="00B57B36" w:rsidRDefault="002F755D" w:rsidP="000C0C76">
      <w:pPr>
        <w:pStyle w:val="CETheadingx"/>
      </w:pPr>
      <w:r>
        <w:t xml:space="preserve">Regulatory </w:t>
      </w:r>
      <w:r w:rsidRPr="007429E9">
        <w:t>and Organizational Layer</w:t>
      </w:r>
    </w:p>
    <w:p w14:paraId="37F6B611" w14:textId="77777777" w:rsidR="002F755D" w:rsidRPr="007429E9" w:rsidRDefault="002F755D" w:rsidP="002F755D">
      <w:pPr>
        <w:pStyle w:val="CETBodytext"/>
        <w:rPr>
          <w:lang w:val="en-GB"/>
        </w:rPr>
      </w:pPr>
      <w:r w:rsidRPr="007429E9">
        <w:rPr>
          <w:lang w:val="en-GB"/>
        </w:rPr>
        <w:t xml:space="preserve">In addition to physical configuration, the port </w:t>
      </w:r>
      <w:r>
        <w:rPr>
          <w:lang w:val="en-GB"/>
        </w:rPr>
        <w:t>A</w:t>
      </w:r>
      <w:r w:rsidRPr="007429E9">
        <w:rPr>
          <w:lang w:val="en-GB"/>
        </w:rPr>
        <w:t>uthority regulatory framework and coordination mechanisms significantly affect risk levels. The following governance factors were considered:</w:t>
      </w:r>
    </w:p>
    <w:p w14:paraId="0EB3734F" w14:textId="77777777" w:rsidR="002F755D" w:rsidRPr="007429E9" w:rsidRDefault="002F755D" w:rsidP="002F755D">
      <w:pPr>
        <w:pStyle w:val="CETBodytext"/>
        <w:numPr>
          <w:ilvl w:val="0"/>
          <w:numId w:val="31"/>
        </w:numPr>
        <w:rPr>
          <w:lang w:val="en-GB"/>
        </w:rPr>
      </w:pPr>
      <w:r w:rsidRPr="007429E9">
        <w:rPr>
          <w:lang w:val="en-GB"/>
        </w:rPr>
        <w:t>Defined exclusion zones during bunkering;</w:t>
      </w:r>
    </w:p>
    <w:p w14:paraId="155B5BF8" w14:textId="77777777" w:rsidR="002F755D" w:rsidRPr="007429E9" w:rsidRDefault="002F755D" w:rsidP="002F755D">
      <w:pPr>
        <w:pStyle w:val="CETBodytext"/>
        <w:numPr>
          <w:ilvl w:val="0"/>
          <w:numId w:val="31"/>
        </w:numPr>
        <w:rPr>
          <w:lang w:val="en-GB"/>
        </w:rPr>
      </w:pPr>
      <w:r w:rsidRPr="007429E9">
        <w:rPr>
          <w:lang w:val="en-GB"/>
        </w:rPr>
        <w:t>Communication protocol between ship, bunker vessel, and port authority</w:t>
      </w:r>
      <w:r>
        <w:rPr>
          <w:lang w:val="en-GB"/>
        </w:rPr>
        <w:t>;</w:t>
      </w:r>
    </w:p>
    <w:p w14:paraId="6CE3EA65" w14:textId="77777777" w:rsidR="002F755D" w:rsidRPr="007429E9" w:rsidRDefault="002F755D" w:rsidP="002F755D">
      <w:pPr>
        <w:pStyle w:val="CETBodytext"/>
        <w:numPr>
          <w:ilvl w:val="0"/>
          <w:numId w:val="31"/>
        </w:numPr>
        <w:rPr>
          <w:lang w:val="en-GB"/>
        </w:rPr>
      </w:pPr>
      <w:r w:rsidRPr="007429E9">
        <w:rPr>
          <w:lang w:val="en-GB"/>
        </w:rPr>
        <w:t>Pre-bunkering safety checklist validation;</w:t>
      </w:r>
    </w:p>
    <w:p w14:paraId="7EA41275" w14:textId="77777777" w:rsidR="002F755D" w:rsidRPr="007429E9" w:rsidRDefault="002F755D" w:rsidP="002F755D">
      <w:pPr>
        <w:pStyle w:val="CETBodytext"/>
        <w:numPr>
          <w:ilvl w:val="0"/>
          <w:numId w:val="31"/>
        </w:numPr>
        <w:rPr>
          <w:lang w:val="en-GB"/>
        </w:rPr>
      </w:pPr>
      <w:r w:rsidRPr="007429E9">
        <w:rPr>
          <w:lang w:val="en-GB"/>
        </w:rPr>
        <w:t>Weather monitoring and operational thresholds;</w:t>
      </w:r>
    </w:p>
    <w:p w14:paraId="776516C0" w14:textId="77777777" w:rsidR="002F755D" w:rsidRPr="000F5A8D" w:rsidRDefault="002F755D" w:rsidP="002F755D">
      <w:pPr>
        <w:pStyle w:val="CETBodytext"/>
        <w:numPr>
          <w:ilvl w:val="0"/>
          <w:numId w:val="31"/>
        </w:numPr>
        <w:rPr>
          <w:lang w:val="en-GB"/>
        </w:rPr>
      </w:pPr>
      <w:r w:rsidRPr="000F5A8D">
        <w:rPr>
          <w:lang w:val="en-GB"/>
        </w:rPr>
        <w:t>Authority to suspend operations.</w:t>
      </w:r>
    </w:p>
    <w:p w14:paraId="7C26B484" w14:textId="7C464284" w:rsidR="002F755D" w:rsidRPr="007429E9" w:rsidRDefault="002F755D" w:rsidP="002F755D">
      <w:pPr>
        <w:pStyle w:val="CETBodytext"/>
        <w:rPr>
          <w:lang w:val="en-GB"/>
        </w:rPr>
      </w:pPr>
      <w:r w:rsidRPr="000F5A8D">
        <w:rPr>
          <w:lang w:val="en-GB"/>
        </w:rPr>
        <w:t>These measures can be mainly</w:t>
      </w:r>
      <w:r w:rsidR="00F40D22" w:rsidRPr="000F5A8D">
        <w:rPr>
          <w:lang w:val="en-GB"/>
        </w:rPr>
        <w:t xml:space="preserve"> considered </w:t>
      </w:r>
      <w:r w:rsidRPr="000F5A8D">
        <w:rPr>
          <w:lang w:val="en-GB"/>
        </w:rPr>
        <w:t>as risk reduction layers</w:t>
      </w:r>
      <w:r w:rsidR="00F40D22" w:rsidRPr="000F5A8D">
        <w:rPr>
          <w:lang w:val="en-GB"/>
        </w:rPr>
        <w:t>,</w:t>
      </w:r>
      <w:r w:rsidRPr="000F5A8D">
        <w:rPr>
          <w:lang w:val="en-GB"/>
        </w:rPr>
        <w:t xml:space="preserve"> preventing </w:t>
      </w:r>
      <w:r w:rsidR="00F40D22" w:rsidRPr="000F5A8D">
        <w:rPr>
          <w:lang w:val="en-GB"/>
        </w:rPr>
        <w:t xml:space="preserve">the development of </w:t>
      </w:r>
      <w:r w:rsidRPr="000F5A8D">
        <w:rPr>
          <w:lang w:val="en-GB"/>
        </w:rPr>
        <w:t xml:space="preserve">a threat </w:t>
      </w:r>
      <w:r w:rsidR="00F40D22" w:rsidRPr="000F5A8D">
        <w:rPr>
          <w:lang w:val="en-GB"/>
        </w:rPr>
        <w:t xml:space="preserve">in </w:t>
      </w:r>
      <w:r w:rsidRPr="000F5A8D">
        <w:rPr>
          <w:lang w:val="en-GB"/>
        </w:rPr>
        <w:t xml:space="preserve">a </w:t>
      </w:r>
      <w:r w:rsidR="00F40D22" w:rsidRPr="000F5A8D">
        <w:rPr>
          <w:lang w:val="en-GB"/>
        </w:rPr>
        <w:t>top event (</w:t>
      </w:r>
      <w:r w:rsidRPr="000F5A8D">
        <w:rPr>
          <w:lang w:val="en-GB"/>
        </w:rPr>
        <w:t>TE</w:t>
      </w:r>
      <w:r w:rsidR="00F40D22" w:rsidRPr="000F5A8D">
        <w:rPr>
          <w:lang w:val="en-GB"/>
        </w:rPr>
        <w:t>)</w:t>
      </w:r>
      <w:r w:rsidRPr="000F5A8D">
        <w:rPr>
          <w:lang w:val="en-GB"/>
        </w:rPr>
        <w:t xml:space="preserve"> and were therefore modelled </w:t>
      </w:r>
      <w:r w:rsidR="00F40D22" w:rsidRPr="000F5A8D">
        <w:rPr>
          <w:lang w:val="en-GB"/>
        </w:rPr>
        <w:t xml:space="preserve">in the fault tree analysis </w:t>
      </w:r>
      <w:r w:rsidRPr="000F5A8D">
        <w:rPr>
          <w:lang w:val="en-GB"/>
        </w:rPr>
        <w:t xml:space="preserve">as preventive safety barriers, both physical and non-physical. By embedding operational and regulatory characteristics directly into the probabilistic framework, the methodology can represent a preliminary attempt </w:t>
      </w:r>
      <w:r w:rsidR="00076970" w:rsidRPr="000F5A8D">
        <w:rPr>
          <w:lang w:val="en-GB"/>
        </w:rPr>
        <w:t>to</w:t>
      </w:r>
      <w:r w:rsidRPr="000F5A8D">
        <w:rPr>
          <w:lang w:val="en-GB"/>
        </w:rPr>
        <w:t xml:space="preserve"> </w:t>
      </w:r>
      <w:r w:rsidR="00076970" w:rsidRPr="000F5A8D">
        <w:rPr>
          <w:lang w:val="en-GB"/>
        </w:rPr>
        <w:t>overcome</w:t>
      </w:r>
      <w:r w:rsidRPr="000F5A8D">
        <w:rPr>
          <w:lang w:val="en-GB"/>
        </w:rPr>
        <w:t xml:space="preserve"> </w:t>
      </w:r>
      <w:r>
        <w:rPr>
          <w:lang w:val="en-GB"/>
        </w:rPr>
        <w:t xml:space="preserve">the </w:t>
      </w:r>
      <w:r w:rsidRPr="007429E9">
        <w:rPr>
          <w:lang w:val="en-GB"/>
        </w:rPr>
        <w:t xml:space="preserve">traditional static QRA </w:t>
      </w:r>
      <w:r>
        <w:rPr>
          <w:lang w:val="en-GB"/>
        </w:rPr>
        <w:t>towards a more comprehensive assessment of</w:t>
      </w:r>
      <w:r w:rsidRPr="007429E9">
        <w:rPr>
          <w:lang w:val="en-GB"/>
        </w:rPr>
        <w:t xml:space="preserve"> the systemic </w:t>
      </w:r>
      <w:r>
        <w:rPr>
          <w:lang w:val="en-GB"/>
        </w:rPr>
        <w:t>facet</w:t>
      </w:r>
      <w:r w:rsidRPr="007429E9">
        <w:rPr>
          <w:lang w:val="en-GB"/>
        </w:rPr>
        <w:t xml:space="preserve"> of LNG bunkering risk in passenger ports.</w:t>
      </w:r>
    </w:p>
    <w:p w14:paraId="1587D9DE" w14:textId="47A4C87F" w:rsidR="002F755D" w:rsidRDefault="002F755D" w:rsidP="002F755D">
      <w:pPr>
        <w:pStyle w:val="CETHeading1"/>
      </w:pPr>
      <w:r>
        <w:t>Results and Discussion</w:t>
      </w:r>
    </w:p>
    <w:p w14:paraId="67E7D6BE" w14:textId="61F74CAA" w:rsidR="00600535" w:rsidRPr="002F755D" w:rsidRDefault="002F755D" w:rsidP="00F40D22">
      <w:pPr>
        <w:pStyle w:val="CETheadingx"/>
        <w:numPr>
          <w:ilvl w:val="1"/>
          <w:numId w:val="43"/>
        </w:numPr>
        <w:rPr>
          <w:lang w:val="en-GB"/>
        </w:rPr>
      </w:pPr>
      <w:r w:rsidRPr="007429E9">
        <w:t>Identification of credible accidental events</w:t>
      </w:r>
    </w:p>
    <w:p w14:paraId="159CECF3" w14:textId="71BB3EE3" w:rsidR="002F755D" w:rsidRPr="002F755D" w:rsidRDefault="002F755D" w:rsidP="002F755D">
      <w:proofErr w:type="spellStart"/>
      <w:r w:rsidRPr="000F5A8D">
        <w:t>HazId</w:t>
      </w:r>
      <w:proofErr w:type="spellEnd"/>
      <w:r w:rsidRPr="000F5A8D">
        <w:t xml:space="preserve"> identified 8 TEs, starting from the hazards that could cause a release from the LNG transfer </w:t>
      </w:r>
      <w:r w:rsidRPr="002F755D">
        <w:t>system (</w:t>
      </w:r>
      <w:proofErr w:type="spellStart"/>
      <w:r w:rsidRPr="002F755D">
        <w:t>Ovidi</w:t>
      </w:r>
      <w:proofErr w:type="spellEnd"/>
      <w:r w:rsidRPr="002F755D">
        <w:t xml:space="preserve"> et al., 2018). The hazards involve all equipment between the manifolds and the vapour return, and auxiliary systems. The identified TEs were:</w:t>
      </w:r>
    </w:p>
    <w:p w14:paraId="403ADAF4" w14:textId="77777777" w:rsidR="002F755D" w:rsidRPr="007429E9" w:rsidRDefault="002F755D" w:rsidP="002F755D">
      <w:pPr>
        <w:pStyle w:val="CETListbullets"/>
        <w:numPr>
          <w:ilvl w:val="0"/>
          <w:numId w:val="13"/>
        </w:numPr>
      </w:pPr>
      <w:r w:rsidRPr="007429E9">
        <w:t>TE01</w:t>
      </w:r>
      <w:r>
        <w:t>/02</w:t>
      </w:r>
      <w:r w:rsidRPr="007429E9">
        <w:t xml:space="preserve"> - Release of LNG</w:t>
      </w:r>
      <w:r>
        <w:t>/NG</w:t>
      </w:r>
      <w:r w:rsidRPr="007429E9">
        <w:t xml:space="preserve"> during bunkering due to random rupture;</w:t>
      </w:r>
    </w:p>
    <w:p w14:paraId="2CEE90B8" w14:textId="77777777" w:rsidR="002F755D" w:rsidRPr="007429E9" w:rsidRDefault="002F755D" w:rsidP="002F755D">
      <w:pPr>
        <w:pStyle w:val="CETListbullets"/>
        <w:numPr>
          <w:ilvl w:val="0"/>
          <w:numId w:val="13"/>
        </w:numPr>
      </w:pPr>
      <w:r w:rsidRPr="007429E9">
        <w:t>TE03 - Release of LNG or NG during bunkering due to adverse weather conditions;</w:t>
      </w:r>
    </w:p>
    <w:p w14:paraId="5732A0A9" w14:textId="77777777" w:rsidR="002F755D" w:rsidRPr="007429E9" w:rsidRDefault="002F755D" w:rsidP="002F755D">
      <w:pPr>
        <w:pStyle w:val="CETListbullets"/>
        <w:numPr>
          <w:ilvl w:val="0"/>
          <w:numId w:val="13"/>
        </w:numPr>
      </w:pPr>
      <w:r w:rsidRPr="007429E9">
        <w:t xml:space="preserve">TE04 - Release of LNG during bunkering due to valve </w:t>
      </w:r>
      <w:r>
        <w:t>failure</w:t>
      </w:r>
      <w:r w:rsidRPr="007429E9">
        <w:t>;</w:t>
      </w:r>
    </w:p>
    <w:p w14:paraId="4C4A479D" w14:textId="13BB2633" w:rsidR="002F755D" w:rsidRPr="007429E9" w:rsidRDefault="002F755D" w:rsidP="002F755D">
      <w:pPr>
        <w:pStyle w:val="CETListbullets"/>
        <w:numPr>
          <w:ilvl w:val="0"/>
          <w:numId w:val="13"/>
        </w:numPr>
      </w:pPr>
      <w:r w:rsidRPr="007429E9">
        <w:t>TE05 - Release of NG during bunkering due to thermal expansion on a segregated section;</w:t>
      </w:r>
    </w:p>
    <w:p w14:paraId="58AA322B" w14:textId="77777777" w:rsidR="002F755D" w:rsidRPr="007429E9" w:rsidRDefault="002F755D" w:rsidP="002F755D">
      <w:pPr>
        <w:pStyle w:val="CETListbullets"/>
        <w:numPr>
          <w:ilvl w:val="0"/>
          <w:numId w:val="13"/>
        </w:numPr>
      </w:pPr>
      <w:r w:rsidRPr="007429E9">
        <w:t>TE06 - Release of LNG or NG during bunkering due to overpressure caused by an external fire;</w:t>
      </w:r>
    </w:p>
    <w:p w14:paraId="14537730" w14:textId="77777777" w:rsidR="002F755D" w:rsidRPr="007429E9" w:rsidRDefault="002F755D" w:rsidP="002F755D">
      <w:pPr>
        <w:pStyle w:val="CETListbullets"/>
        <w:numPr>
          <w:ilvl w:val="0"/>
          <w:numId w:val="13"/>
        </w:numPr>
      </w:pPr>
      <w:r w:rsidRPr="007429E9">
        <w:t>TE07 - Release of LNG or NG after hose disconnection due to incomplete drainage;</w:t>
      </w:r>
    </w:p>
    <w:p w14:paraId="61101E90" w14:textId="77777777" w:rsidR="002F755D" w:rsidRDefault="002F755D" w:rsidP="002F755D">
      <w:pPr>
        <w:pStyle w:val="CETListbullets"/>
        <w:numPr>
          <w:ilvl w:val="0"/>
          <w:numId w:val="13"/>
        </w:numPr>
      </w:pPr>
      <w:r w:rsidRPr="007429E9">
        <w:t>TE08 - Release of LNG or NG during gassing-up or cooling-down due to human error.</w:t>
      </w:r>
    </w:p>
    <w:p w14:paraId="7F467499" w14:textId="64B78D1B" w:rsidR="002F755D" w:rsidRDefault="00F40D22" w:rsidP="00F40D22">
      <w:pPr>
        <w:pStyle w:val="CETheadingx"/>
        <w:numPr>
          <w:ilvl w:val="0"/>
          <w:numId w:val="0"/>
        </w:numPr>
        <w:ind w:left="426" w:hanging="426"/>
      </w:pPr>
      <w:r>
        <w:t>3.2</w:t>
      </w:r>
      <w:r w:rsidR="000C0C76">
        <w:t xml:space="preserve"> </w:t>
      </w:r>
      <w:r w:rsidR="002F755D">
        <w:t>QRA</w:t>
      </w:r>
    </w:p>
    <w:p w14:paraId="50514D62" w14:textId="37997C45" w:rsidR="002F755D" w:rsidRDefault="002F755D" w:rsidP="002F755D">
      <w:pPr>
        <w:rPr>
          <w:szCs w:val="18"/>
        </w:rPr>
      </w:pPr>
      <w:r w:rsidRPr="002F755D">
        <w:rPr>
          <w:szCs w:val="18"/>
        </w:rPr>
        <w:t xml:space="preserve">Every considered TE was investigated by developing FTA </w:t>
      </w:r>
      <w:r w:rsidRPr="000F5A8D">
        <w:rPr>
          <w:szCs w:val="18"/>
        </w:rPr>
        <w:t>and ETA</w:t>
      </w:r>
      <w:r w:rsidR="00076970" w:rsidRPr="000F5A8D">
        <w:rPr>
          <w:szCs w:val="18"/>
        </w:rPr>
        <w:t xml:space="preserve"> (Event Tree Analysis)</w:t>
      </w:r>
      <w:r w:rsidRPr="000F5A8D">
        <w:rPr>
          <w:szCs w:val="18"/>
        </w:rPr>
        <w:t xml:space="preserve"> for each LOC</w:t>
      </w:r>
      <w:r w:rsidR="00076970" w:rsidRPr="000F5A8D">
        <w:rPr>
          <w:szCs w:val="18"/>
        </w:rPr>
        <w:t xml:space="preserve"> (Loss of containment)</w:t>
      </w:r>
      <w:r w:rsidRPr="000F5A8D">
        <w:rPr>
          <w:szCs w:val="18"/>
        </w:rPr>
        <w:t xml:space="preserve"> event, to obtain the frequency of accidental scenarios (ISO, 2021). </w:t>
      </w:r>
    </w:p>
    <w:p w14:paraId="60F14555" w14:textId="77777777" w:rsidR="00A4114C" w:rsidRPr="007429E9" w:rsidRDefault="00A4114C" w:rsidP="00A4114C">
      <w:pPr>
        <w:pStyle w:val="CETBodytext"/>
        <w:rPr>
          <w:lang w:val="en-GB"/>
        </w:rPr>
      </w:pPr>
      <w:r w:rsidRPr="000F5A8D">
        <w:rPr>
          <w:szCs w:val="18"/>
          <w:lang w:val="en-GB"/>
        </w:rPr>
        <w:t xml:space="preserve">Figure 1 provides an example of the developed FT and ET for the applicative case-study. </w:t>
      </w:r>
      <w:r w:rsidRPr="000F5A8D">
        <w:t xml:space="preserve">The TEs </w:t>
      </w:r>
      <w:r w:rsidRPr="000F5A8D">
        <w:rPr>
          <w:lang w:val="en-GB"/>
        </w:rPr>
        <w:t xml:space="preserve">outcomes </w:t>
      </w:r>
      <w:r w:rsidRPr="007429E9">
        <w:rPr>
          <w:lang w:val="en-GB"/>
        </w:rPr>
        <w:t>are mapped to final scenarios, branching on detection, isolation, ignition, dispersion.</w:t>
      </w:r>
      <w:r w:rsidRPr="00101743">
        <w:rPr>
          <w:lang w:val="en-GB"/>
        </w:rPr>
        <w:t xml:space="preserve"> </w:t>
      </w:r>
    </w:p>
    <w:p w14:paraId="5B1F75A6" w14:textId="77777777" w:rsidR="00A4114C" w:rsidRPr="007429E9" w:rsidRDefault="00A4114C" w:rsidP="002F755D"/>
    <w:p w14:paraId="5DEB7234" w14:textId="4AF71CA9" w:rsidR="002F755D" w:rsidRPr="00B57B36" w:rsidRDefault="002F755D" w:rsidP="002F755D">
      <w:pPr>
        <w:pStyle w:val="CETTabletitle"/>
      </w:pPr>
      <w:r w:rsidRPr="000F5A8D">
        <w:lastRenderedPageBreak/>
        <w:t xml:space="preserve">Table 2: </w:t>
      </w:r>
      <w:r w:rsidR="00076970">
        <w:t>Failure rates</w:t>
      </w:r>
      <w:r w:rsidR="000F5A8D">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1559"/>
        <w:gridCol w:w="1134"/>
        <w:gridCol w:w="1559"/>
        <w:gridCol w:w="1560"/>
        <w:gridCol w:w="1134"/>
      </w:tblGrid>
      <w:tr w:rsidR="0053378F" w:rsidRPr="00B57B36" w14:paraId="4EB25486" w14:textId="3949BF3F" w:rsidTr="00076970">
        <w:tc>
          <w:tcPr>
            <w:tcW w:w="1418" w:type="dxa"/>
            <w:tcBorders>
              <w:top w:val="single" w:sz="12" w:space="0" w:color="008000"/>
              <w:bottom w:val="single" w:sz="6" w:space="0" w:color="008000"/>
            </w:tcBorders>
            <w:shd w:val="clear" w:color="auto" w:fill="FFFFFF"/>
          </w:tcPr>
          <w:p w14:paraId="2C891806" w14:textId="22DE3DA4" w:rsidR="0053378F" w:rsidRPr="00B57B36" w:rsidRDefault="0053378F" w:rsidP="00826229">
            <w:pPr>
              <w:pStyle w:val="CETBodytext"/>
              <w:rPr>
                <w:lang w:val="en-GB"/>
              </w:rPr>
            </w:pPr>
            <w:r>
              <w:rPr>
                <w:lang w:val="en-GB"/>
              </w:rPr>
              <w:t>Basic Event</w:t>
            </w:r>
            <w:r w:rsidRPr="00B57B36">
              <w:rPr>
                <w:lang w:val="en-GB"/>
              </w:rPr>
              <w:t xml:space="preserve"> </w:t>
            </w:r>
          </w:p>
        </w:tc>
        <w:tc>
          <w:tcPr>
            <w:tcW w:w="1559" w:type="dxa"/>
            <w:tcBorders>
              <w:top w:val="single" w:sz="12" w:space="0" w:color="008000"/>
              <w:bottom w:val="single" w:sz="6" w:space="0" w:color="008000"/>
            </w:tcBorders>
            <w:shd w:val="clear" w:color="auto" w:fill="FFFFFF"/>
          </w:tcPr>
          <w:p w14:paraId="226B5D92" w14:textId="53E36CE3" w:rsidR="0053378F" w:rsidRPr="00B57B36" w:rsidRDefault="0053378F" w:rsidP="00826229">
            <w:pPr>
              <w:pStyle w:val="CETBodytext"/>
              <w:rPr>
                <w:lang w:val="en-GB"/>
              </w:rPr>
            </w:pPr>
            <w:r>
              <w:rPr>
                <w:lang w:val="en-GB"/>
              </w:rPr>
              <w:t>Generic Rate</w:t>
            </w:r>
          </w:p>
        </w:tc>
        <w:tc>
          <w:tcPr>
            <w:tcW w:w="1134" w:type="dxa"/>
            <w:tcBorders>
              <w:top w:val="single" w:sz="12" w:space="0" w:color="008000"/>
              <w:bottom w:val="single" w:sz="6" w:space="0" w:color="008000"/>
            </w:tcBorders>
            <w:shd w:val="clear" w:color="auto" w:fill="FFFFFF"/>
          </w:tcPr>
          <w:p w14:paraId="0BF17725" w14:textId="0F83C7B5" w:rsidR="0053378F" w:rsidRPr="00B57B36" w:rsidRDefault="0053378F" w:rsidP="00826229">
            <w:pPr>
              <w:pStyle w:val="CETBodytext"/>
              <w:rPr>
                <w:lang w:val="en-GB"/>
              </w:rPr>
            </w:pPr>
            <w:r>
              <w:rPr>
                <w:lang w:val="en-GB"/>
              </w:rPr>
              <w:t>Quantity</w:t>
            </w:r>
          </w:p>
        </w:tc>
        <w:tc>
          <w:tcPr>
            <w:tcW w:w="1559" w:type="dxa"/>
            <w:tcBorders>
              <w:top w:val="single" w:sz="12" w:space="0" w:color="008000"/>
              <w:bottom w:val="single" w:sz="6" w:space="0" w:color="008000"/>
            </w:tcBorders>
            <w:shd w:val="clear" w:color="auto" w:fill="FFFFFF"/>
          </w:tcPr>
          <w:p w14:paraId="49747665" w14:textId="1A1FAFBB" w:rsidR="0053378F" w:rsidRPr="00B57B36" w:rsidRDefault="0053378F" w:rsidP="00826229">
            <w:pPr>
              <w:pStyle w:val="CETBodytext"/>
              <w:ind w:right="-1"/>
              <w:rPr>
                <w:rFonts w:cs="Arial"/>
                <w:szCs w:val="18"/>
                <w:lang w:val="en-GB"/>
              </w:rPr>
            </w:pPr>
            <w:r>
              <w:rPr>
                <w:rFonts w:cs="Arial"/>
                <w:szCs w:val="18"/>
                <w:lang w:val="en-GB"/>
              </w:rPr>
              <w:t>Mission Time</w:t>
            </w:r>
          </w:p>
        </w:tc>
        <w:tc>
          <w:tcPr>
            <w:tcW w:w="1560" w:type="dxa"/>
            <w:tcBorders>
              <w:top w:val="single" w:sz="12" w:space="0" w:color="008000"/>
              <w:bottom w:val="single" w:sz="6" w:space="0" w:color="008000"/>
            </w:tcBorders>
            <w:shd w:val="clear" w:color="auto" w:fill="FFFFFF"/>
          </w:tcPr>
          <w:p w14:paraId="13EEE420" w14:textId="36FBEEB7" w:rsidR="0053378F" w:rsidRPr="00B57B36" w:rsidRDefault="0053378F" w:rsidP="00826229">
            <w:pPr>
              <w:pStyle w:val="CETBodytext"/>
              <w:ind w:right="-1"/>
              <w:rPr>
                <w:rFonts w:cs="Arial"/>
                <w:szCs w:val="18"/>
                <w:lang w:val="en-GB"/>
              </w:rPr>
            </w:pPr>
            <w:r>
              <w:rPr>
                <w:rFonts w:cs="Arial"/>
                <w:szCs w:val="18"/>
                <w:lang w:val="en-GB"/>
              </w:rPr>
              <w:t>Pilot port</w:t>
            </w:r>
            <w:r w:rsidRPr="0053378F">
              <w:rPr>
                <w:rFonts w:cs="Arial"/>
                <w:color w:val="000000" w:themeColor="text1"/>
                <w:szCs w:val="18"/>
                <w:lang w:val="en-GB"/>
              </w:rPr>
              <w:t xml:space="preserve"> </w:t>
            </w:r>
            <w:r w:rsidRPr="0053378F">
              <w:rPr>
                <w:i/>
                <w:iCs/>
                <w:color w:val="000000" w:themeColor="text1"/>
                <w:lang w:val="en-GB"/>
              </w:rPr>
              <w:t>α</w:t>
            </w:r>
            <w:r w:rsidRPr="0053378F">
              <w:rPr>
                <w:i/>
                <w:iCs/>
                <w:color w:val="000000" w:themeColor="text1"/>
                <w:vertAlign w:val="subscript"/>
                <w:lang w:val="en-GB"/>
              </w:rPr>
              <w:t>OP</w:t>
            </w:r>
          </w:p>
        </w:tc>
        <w:tc>
          <w:tcPr>
            <w:tcW w:w="1134" w:type="dxa"/>
            <w:tcBorders>
              <w:top w:val="single" w:sz="12" w:space="0" w:color="008000"/>
              <w:bottom w:val="single" w:sz="6" w:space="0" w:color="008000"/>
            </w:tcBorders>
            <w:shd w:val="clear" w:color="auto" w:fill="FFFFFF"/>
          </w:tcPr>
          <w:p w14:paraId="5D3AB43E" w14:textId="7B2EDD7B" w:rsidR="0053378F" w:rsidRDefault="0053378F" w:rsidP="00826229">
            <w:pPr>
              <w:pStyle w:val="CETBodytext"/>
              <w:ind w:right="-1"/>
              <w:rPr>
                <w:rFonts w:cs="Arial"/>
                <w:szCs w:val="18"/>
                <w:lang w:val="en-GB"/>
              </w:rPr>
            </w:pPr>
            <w:r>
              <w:rPr>
                <w:rFonts w:cs="Arial"/>
                <w:szCs w:val="18"/>
                <w:lang w:val="en-GB"/>
              </w:rPr>
              <w:t>Frequency</w:t>
            </w:r>
          </w:p>
        </w:tc>
      </w:tr>
      <w:tr w:rsidR="0053378F" w:rsidRPr="00B57B36" w14:paraId="3414F2C3" w14:textId="30219EFE" w:rsidTr="00076970">
        <w:tc>
          <w:tcPr>
            <w:tcW w:w="1418" w:type="dxa"/>
            <w:shd w:val="clear" w:color="auto" w:fill="FFFFFF"/>
          </w:tcPr>
          <w:p w14:paraId="2A617BA9" w14:textId="2288B24A" w:rsidR="0053378F" w:rsidRPr="00B57B36" w:rsidRDefault="0053378F" w:rsidP="0053378F">
            <w:pPr>
              <w:pStyle w:val="CETBodytext"/>
              <w:rPr>
                <w:lang w:val="en-GB"/>
              </w:rPr>
            </w:pPr>
            <w:r w:rsidRPr="0053378F">
              <w:rPr>
                <w:lang w:val="en-GB"/>
              </w:rPr>
              <w:t>Gasket Leak</w:t>
            </w:r>
          </w:p>
        </w:tc>
        <w:tc>
          <w:tcPr>
            <w:tcW w:w="1559" w:type="dxa"/>
            <w:shd w:val="clear" w:color="auto" w:fill="FFFFFF"/>
          </w:tcPr>
          <w:p w14:paraId="78D1DA35" w14:textId="5DB92375" w:rsidR="0053378F" w:rsidRPr="00B57B36" w:rsidRDefault="0053378F" w:rsidP="0053378F">
            <w:pPr>
              <w:pStyle w:val="CETBodytext"/>
              <w:rPr>
                <w:lang w:val="en-GB"/>
              </w:rPr>
            </w:pPr>
            <w:r w:rsidRPr="00DF7381">
              <w:rPr>
                <w:szCs w:val="18"/>
                <w:lang w:val="en-GB"/>
              </w:rPr>
              <w:t>5.0×10</w:t>
            </w:r>
            <w:r w:rsidRPr="00DF7381">
              <w:rPr>
                <w:rFonts w:ascii="Cambria Math" w:hAnsi="Cambria Math" w:cs="Cambria Math"/>
                <w:szCs w:val="18"/>
                <w:lang w:val="en-GB"/>
              </w:rPr>
              <w:t>⁻</w:t>
            </w:r>
            <w:r w:rsidRPr="00DF7381">
              <w:rPr>
                <w:szCs w:val="18"/>
                <w:lang w:val="en-GB"/>
              </w:rPr>
              <w:t>⁶ y</w:t>
            </w:r>
            <w:r w:rsidRPr="00DF7381">
              <w:rPr>
                <w:szCs w:val="18"/>
                <w:vertAlign w:val="superscript"/>
                <w:lang w:val="en-GB"/>
              </w:rPr>
              <w:t>-1</w:t>
            </w:r>
          </w:p>
        </w:tc>
        <w:tc>
          <w:tcPr>
            <w:tcW w:w="1134" w:type="dxa"/>
            <w:shd w:val="clear" w:color="auto" w:fill="FFFFFF"/>
            <w:vAlign w:val="center"/>
          </w:tcPr>
          <w:p w14:paraId="25AD1EF6" w14:textId="673B5369" w:rsidR="0053378F" w:rsidRPr="00B57B36" w:rsidRDefault="0053378F" w:rsidP="0053378F">
            <w:pPr>
              <w:pStyle w:val="CETBodytext"/>
              <w:rPr>
                <w:lang w:val="en-GB"/>
              </w:rPr>
            </w:pPr>
            <w:r w:rsidRPr="00DF7381">
              <w:rPr>
                <w:szCs w:val="18"/>
                <w:lang w:val="en-GB"/>
              </w:rPr>
              <w:t>16</w:t>
            </w:r>
          </w:p>
        </w:tc>
        <w:tc>
          <w:tcPr>
            <w:tcW w:w="1559" w:type="dxa"/>
            <w:shd w:val="clear" w:color="auto" w:fill="FFFFFF"/>
            <w:vAlign w:val="center"/>
          </w:tcPr>
          <w:p w14:paraId="7D899902" w14:textId="69FBCD51" w:rsidR="0053378F" w:rsidRPr="00B57B36" w:rsidRDefault="0053378F" w:rsidP="0053378F">
            <w:pPr>
              <w:pStyle w:val="CETBodytext"/>
              <w:ind w:right="-1"/>
              <w:rPr>
                <w:rFonts w:cs="Arial"/>
                <w:szCs w:val="18"/>
                <w:lang w:val="en-GB"/>
              </w:rPr>
            </w:pPr>
            <w:r w:rsidRPr="00DF7381">
              <w:rPr>
                <w:szCs w:val="18"/>
                <w:lang w:val="en-GB"/>
              </w:rPr>
              <w:t>450 h y</w:t>
            </w:r>
            <w:r w:rsidRPr="00DF7381">
              <w:rPr>
                <w:szCs w:val="18"/>
                <w:vertAlign w:val="superscript"/>
                <w:lang w:val="en-GB"/>
              </w:rPr>
              <w:t>-1</w:t>
            </w:r>
          </w:p>
        </w:tc>
        <w:tc>
          <w:tcPr>
            <w:tcW w:w="1560" w:type="dxa"/>
            <w:shd w:val="clear" w:color="auto" w:fill="FFFFFF"/>
            <w:vAlign w:val="center"/>
          </w:tcPr>
          <w:p w14:paraId="22BFD32C" w14:textId="7C008506" w:rsidR="0053378F" w:rsidRPr="00B57B36" w:rsidRDefault="0053378F" w:rsidP="0053378F">
            <w:pPr>
              <w:pStyle w:val="CETBodytext"/>
              <w:ind w:right="-1"/>
              <w:rPr>
                <w:rFonts w:cs="Arial"/>
                <w:szCs w:val="18"/>
                <w:lang w:val="en-GB"/>
              </w:rPr>
            </w:pPr>
            <w:r w:rsidRPr="00DF7381">
              <w:rPr>
                <w:szCs w:val="18"/>
                <w:lang w:val="en-GB"/>
              </w:rPr>
              <w:t>1.0</w:t>
            </w:r>
          </w:p>
        </w:tc>
        <w:tc>
          <w:tcPr>
            <w:tcW w:w="1134" w:type="dxa"/>
            <w:shd w:val="clear" w:color="auto" w:fill="FFFFFF"/>
            <w:vAlign w:val="center"/>
          </w:tcPr>
          <w:p w14:paraId="14DD4267" w14:textId="3AFC26E6" w:rsidR="0053378F" w:rsidRPr="00B57B36" w:rsidRDefault="0053378F" w:rsidP="0053378F">
            <w:pPr>
              <w:pStyle w:val="CETBodytext"/>
              <w:ind w:right="-1"/>
              <w:rPr>
                <w:rFonts w:cs="Arial"/>
                <w:szCs w:val="18"/>
                <w:lang w:val="en-GB"/>
              </w:rPr>
            </w:pPr>
            <w:r w:rsidRPr="00DF7381">
              <w:rPr>
                <w:szCs w:val="18"/>
                <w:lang w:val="en-GB"/>
              </w:rPr>
              <w:t>4.1×10</w:t>
            </w:r>
            <w:r w:rsidRPr="00DF7381">
              <w:rPr>
                <w:rFonts w:ascii="Cambria Math" w:hAnsi="Cambria Math" w:cs="Cambria Math"/>
                <w:szCs w:val="18"/>
                <w:lang w:val="en-GB"/>
              </w:rPr>
              <w:t>⁻</w:t>
            </w:r>
            <w:r w:rsidRPr="00DF7381">
              <w:rPr>
                <w:szCs w:val="18"/>
                <w:lang w:val="en-GB"/>
              </w:rPr>
              <w:t>⁸</w:t>
            </w:r>
          </w:p>
        </w:tc>
      </w:tr>
      <w:tr w:rsidR="0053378F" w:rsidRPr="00B57B36" w14:paraId="327F9663" w14:textId="074931E1" w:rsidTr="00076970">
        <w:tc>
          <w:tcPr>
            <w:tcW w:w="1418" w:type="dxa"/>
            <w:shd w:val="clear" w:color="auto" w:fill="FFFFFF"/>
            <w:vAlign w:val="center"/>
          </w:tcPr>
          <w:p w14:paraId="22B1EA06" w14:textId="61227752" w:rsidR="0053378F" w:rsidRPr="00B57B36" w:rsidRDefault="0053378F" w:rsidP="0053378F">
            <w:pPr>
              <w:pStyle w:val="CETBodytext"/>
              <w:ind w:right="-1"/>
              <w:rPr>
                <w:rFonts w:cs="Arial"/>
                <w:szCs w:val="18"/>
                <w:lang w:val="en-GB"/>
              </w:rPr>
            </w:pPr>
            <w:r w:rsidRPr="00DF7381">
              <w:rPr>
                <w:szCs w:val="18"/>
                <w:lang w:val="en-GB"/>
              </w:rPr>
              <w:t>Hose Failure</w:t>
            </w:r>
          </w:p>
        </w:tc>
        <w:tc>
          <w:tcPr>
            <w:tcW w:w="1559" w:type="dxa"/>
            <w:shd w:val="clear" w:color="auto" w:fill="FFFFFF"/>
            <w:vAlign w:val="center"/>
          </w:tcPr>
          <w:p w14:paraId="1E6BB116" w14:textId="024860E1" w:rsidR="0053378F" w:rsidRPr="00B57B36" w:rsidRDefault="0053378F" w:rsidP="0053378F">
            <w:pPr>
              <w:pStyle w:val="CETBodytext"/>
              <w:ind w:right="-1"/>
              <w:rPr>
                <w:rFonts w:cs="Arial"/>
                <w:szCs w:val="18"/>
                <w:lang w:val="en-GB"/>
              </w:rPr>
            </w:pPr>
            <w:r w:rsidRPr="00DF7381">
              <w:rPr>
                <w:szCs w:val="18"/>
                <w:lang w:val="en-GB"/>
              </w:rPr>
              <w:t>6.0×10</w:t>
            </w:r>
            <w:r w:rsidRPr="00DF7381">
              <w:rPr>
                <w:rFonts w:ascii="Cambria Math" w:hAnsi="Cambria Math" w:cs="Cambria Math"/>
                <w:szCs w:val="18"/>
                <w:lang w:val="en-GB"/>
              </w:rPr>
              <w:t>⁻</w:t>
            </w:r>
            <w:r w:rsidRPr="00DF7381">
              <w:rPr>
                <w:szCs w:val="18"/>
                <w:lang w:val="en-GB"/>
              </w:rPr>
              <w:t>⁶ op</w:t>
            </w:r>
            <w:r w:rsidRPr="00DF7381">
              <w:rPr>
                <w:szCs w:val="18"/>
                <w:vertAlign w:val="superscript"/>
                <w:lang w:val="en-GB"/>
              </w:rPr>
              <w:t>-1</w:t>
            </w:r>
          </w:p>
        </w:tc>
        <w:tc>
          <w:tcPr>
            <w:tcW w:w="1134" w:type="dxa"/>
            <w:shd w:val="clear" w:color="auto" w:fill="FFFFFF"/>
            <w:vAlign w:val="center"/>
          </w:tcPr>
          <w:p w14:paraId="247568B8" w14:textId="2DB95448" w:rsidR="0053378F" w:rsidRPr="00B57B36" w:rsidRDefault="0053378F" w:rsidP="0053378F">
            <w:pPr>
              <w:pStyle w:val="CETBodytext"/>
              <w:ind w:right="-1"/>
              <w:rPr>
                <w:rFonts w:cs="Arial"/>
                <w:szCs w:val="18"/>
                <w:lang w:val="en-GB"/>
              </w:rPr>
            </w:pPr>
            <w:r w:rsidRPr="00DF7381">
              <w:rPr>
                <w:szCs w:val="18"/>
                <w:lang w:val="en-GB"/>
              </w:rPr>
              <w:t>1</w:t>
            </w:r>
          </w:p>
        </w:tc>
        <w:tc>
          <w:tcPr>
            <w:tcW w:w="1559" w:type="dxa"/>
            <w:shd w:val="clear" w:color="auto" w:fill="FFFFFF"/>
            <w:vAlign w:val="center"/>
          </w:tcPr>
          <w:p w14:paraId="473F1882" w14:textId="39E31F02" w:rsidR="0053378F" w:rsidRPr="00B57B36" w:rsidRDefault="0053378F" w:rsidP="0053378F">
            <w:pPr>
              <w:pStyle w:val="CETBodytext"/>
              <w:ind w:right="-1"/>
              <w:rPr>
                <w:rFonts w:cs="Arial"/>
                <w:szCs w:val="18"/>
                <w:lang w:val="en-GB"/>
              </w:rPr>
            </w:pPr>
            <w:r w:rsidRPr="00DF7381">
              <w:rPr>
                <w:szCs w:val="18"/>
                <w:lang w:val="en-GB"/>
              </w:rPr>
              <w:t>100 op y</w:t>
            </w:r>
            <w:r w:rsidRPr="00DF7381">
              <w:rPr>
                <w:szCs w:val="18"/>
                <w:vertAlign w:val="superscript"/>
                <w:lang w:val="en-GB"/>
              </w:rPr>
              <w:t>-1</w:t>
            </w:r>
          </w:p>
        </w:tc>
        <w:tc>
          <w:tcPr>
            <w:tcW w:w="1560" w:type="dxa"/>
            <w:shd w:val="clear" w:color="auto" w:fill="FFFFFF"/>
            <w:vAlign w:val="center"/>
          </w:tcPr>
          <w:p w14:paraId="5A9C1FDF" w14:textId="592959D4" w:rsidR="0053378F" w:rsidRPr="00B57B36" w:rsidRDefault="0053378F" w:rsidP="0053378F">
            <w:pPr>
              <w:pStyle w:val="CETBodytext"/>
              <w:ind w:right="-1"/>
              <w:rPr>
                <w:rFonts w:cs="Arial"/>
                <w:szCs w:val="18"/>
                <w:lang w:val="en-GB"/>
              </w:rPr>
            </w:pPr>
            <w:r w:rsidRPr="00DF7381">
              <w:rPr>
                <w:szCs w:val="18"/>
                <w:lang w:val="en-GB"/>
              </w:rPr>
              <w:t>1.3</w:t>
            </w:r>
          </w:p>
        </w:tc>
        <w:tc>
          <w:tcPr>
            <w:tcW w:w="1134" w:type="dxa"/>
            <w:shd w:val="clear" w:color="auto" w:fill="FFFFFF"/>
            <w:vAlign w:val="center"/>
          </w:tcPr>
          <w:p w14:paraId="1E0B2AA8" w14:textId="22680C82" w:rsidR="0053378F" w:rsidRPr="00B57B36" w:rsidRDefault="0053378F" w:rsidP="0053378F">
            <w:pPr>
              <w:pStyle w:val="CETBodytext"/>
              <w:ind w:right="-1"/>
              <w:rPr>
                <w:rFonts w:cs="Arial"/>
                <w:szCs w:val="18"/>
                <w:lang w:val="en-GB"/>
              </w:rPr>
            </w:pPr>
            <w:r w:rsidRPr="00DF7381">
              <w:rPr>
                <w:szCs w:val="18"/>
                <w:lang w:val="en-GB"/>
              </w:rPr>
              <w:t>7.8×10</w:t>
            </w:r>
            <w:r w:rsidRPr="00DF7381">
              <w:rPr>
                <w:rFonts w:ascii="Cambria Math" w:hAnsi="Cambria Math" w:cs="Cambria Math"/>
                <w:szCs w:val="18"/>
                <w:lang w:val="en-GB"/>
              </w:rPr>
              <w:t>⁻</w:t>
            </w:r>
            <w:r w:rsidRPr="00DF7381">
              <w:rPr>
                <w:szCs w:val="18"/>
                <w:lang w:val="en-GB"/>
              </w:rPr>
              <w:t>⁷</w:t>
            </w:r>
          </w:p>
        </w:tc>
      </w:tr>
      <w:tr w:rsidR="0053378F" w:rsidRPr="00B57B36" w14:paraId="6F4EDE49" w14:textId="77777777" w:rsidTr="00076970">
        <w:tc>
          <w:tcPr>
            <w:tcW w:w="1418" w:type="dxa"/>
            <w:shd w:val="clear" w:color="auto" w:fill="FFFFFF"/>
            <w:vAlign w:val="center"/>
          </w:tcPr>
          <w:p w14:paraId="4BEF7ABE" w14:textId="2881A9B7" w:rsidR="0053378F" w:rsidRPr="00B57B36" w:rsidRDefault="0053378F" w:rsidP="0053378F">
            <w:pPr>
              <w:pStyle w:val="CETBodytext"/>
              <w:ind w:right="-1"/>
              <w:rPr>
                <w:rFonts w:cs="Arial"/>
                <w:szCs w:val="18"/>
                <w:lang w:val="en-GB"/>
              </w:rPr>
            </w:pPr>
            <w:r w:rsidRPr="00DF7381">
              <w:rPr>
                <w:szCs w:val="18"/>
                <w:lang w:val="en-GB"/>
              </w:rPr>
              <w:t>External Impact</w:t>
            </w:r>
          </w:p>
        </w:tc>
        <w:tc>
          <w:tcPr>
            <w:tcW w:w="1559" w:type="dxa"/>
            <w:shd w:val="clear" w:color="auto" w:fill="FFFFFF"/>
            <w:vAlign w:val="center"/>
          </w:tcPr>
          <w:p w14:paraId="3D44B054" w14:textId="1158984A" w:rsidR="0053378F" w:rsidRPr="00B57B36" w:rsidRDefault="0053378F" w:rsidP="0053378F">
            <w:pPr>
              <w:pStyle w:val="CETBodytext"/>
              <w:ind w:right="-1"/>
              <w:rPr>
                <w:rFonts w:cs="Arial"/>
                <w:szCs w:val="18"/>
                <w:lang w:val="en-GB"/>
              </w:rPr>
            </w:pPr>
            <w:r w:rsidRPr="00DF7381">
              <w:rPr>
                <w:szCs w:val="18"/>
                <w:lang w:val="en-GB"/>
              </w:rPr>
              <w:t>10</w:t>
            </w:r>
            <w:r w:rsidRPr="00DF7381">
              <w:rPr>
                <w:rFonts w:ascii="Cambria Math" w:hAnsi="Cambria Math" w:cs="Cambria Math"/>
                <w:szCs w:val="18"/>
                <w:lang w:val="en-GB"/>
              </w:rPr>
              <w:t>⁻</w:t>
            </w:r>
            <w:r w:rsidRPr="00DF7381">
              <w:rPr>
                <w:szCs w:val="18"/>
                <w:lang w:val="en-GB"/>
              </w:rPr>
              <w:t>⁷ h</w:t>
            </w:r>
            <w:r w:rsidRPr="00DF7381">
              <w:rPr>
                <w:szCs w:val="18"/>
                <w:vertAlign w:val="superscript"/>
                <w:lang w:val="en-GB"/>
              </w:rPr>
              <w:t>-1</w:t>
            </w:r>
            <w:r w:rsidRPr="00DF7381">
              <w:rPr>
                <w:szCs w:val="18"/>
                <w:lang w:val="en-GB"/>
              </w:rPr>
              <w:t xml:space="preserve"> vessel</w:t>
            </w:r>
            <w:r w:rsidRPr="00DF7381">
              <w:rPr>
                <w:szCs w:val="18"/>
                <w:vertAlign w:val="superscript"/>
                <w:lang w:val="en-GB"/>
              </w:rPr>
              <w:t>-1</w:t>
            </w:r>
          </w:p>
        </w:tc>
        <w:tc>
          <w:tcPr>
            <w:tcW w:w="1134" w:type="dxa"/>
            <w:shd w:val="clear" w:color="auto" w:fill="FFFFFF"/>
            <w:vAlign w:val="center"/>
          </w:tcPr>
          <w:p w14:paraId="0F2D502C" w14:textId="0ED71B50" w:rsidR="0053378F" w:rsidRPr="00B57B36" w:rsidRDefault="0053378F" w:rsidP="0053378F">
            <w:pPr>
              <w:pStyle w:val="CETBodytext"/>
              <w:ind w:right="-1"/>
              <w:rPr>
                <w:rFonts w:cs="Arial"/>
                <w:szCs w:val="18"/>
                <w:lang w:val="en-GB"/>
              </w:rPr>
            </w:pPr>
            <w:r w:rsidRPr="00DF7381">
              <w:rPr>
                <w:szCs w:val="18"/>
                <w:lang w:val="en-GB"/>
              </w:rPr>
              <w:t>0.5 h</w:t>
            </w:r>
            <w:r w:rsidRPr="00DF7381">
              <w:rPr>
                <w:szCs w:val="18"/>
                <w:vertAlign w:val="superscript"/>
                <w:lang w:val="en-GB"/>
              </w:rPr>
              <w:t>-1</w:t>
            </w:r>
          </w:p>
        </w:tc>
        <w:tc>
          <w:tcPr>
            <w:tcW w:w="1559" w:type="dxa"/>
            <w:shd w:val="clear" w:color="auto" w:fill="FFFFFF"/>
            <w:vAlign w:val="center"/>
          </w:tcPr>
          <w:p w14:paraId="586970AA" w14:textId="6D3F8A07" w:rsidR="0053378F" w:rsidRPr="00B57B36" w:rsidRDefault="0053378F" w:rsidP="0053378F">
            <w:pPr>
              <w:pStyle w:val="CETBodytext"/>
              <w:ind w:right="-1"/>
              <w:rPr>
                <w:rFonts w:cs="Arial"/>
                <w:szCs w:val="18"/>
                <w:lang w:val="en-GB"/>
              </w:rPr>
            </w:pPr>
            <w:r w:rsidRPr="00DF7381">
              <w:rPr>
                <w:szCs w:val="18"/>
                <w:lang w:val="en-GB"/>
              </w:rPr>
              <w:t xml:space="preserve">4.5 </w:t>
            </w:r>
            <w:proofErr w:type="spellStart"/>
            <w:r w:rsidRPr="00DF7381">
              <w:rPr>
                <w:szCs w:val="18"/>
                <w:lang w:val="en-GB"/>
              </w:rPr>
              <w:t>h op</w:t>
            </w:r>
            <w:proofErr w:type="spellEnd"/>
            <w:r w:rsidRPr="00DF7381">
              <w:rPr>
                <w:szCs w:val="18"/>
                <w:vertAlign w:val="superscript"/>
                <w:lang w:val="en-GB"/>
              </w:rPr>
              <w:t>-1</w:t>
            </w:r>
          </w:p>
        </w:tc>
        <w:tc>
          <w:tcPr>
            <w:tcW w:w="1560" w:type="dxa"/>
            <w:shd w:val="clear" w:color="auto" w:fill="FFFFFF"/>
            <w:vAlign w:val="center"/>
          </w:tcPr>
          <w:p w14:paraId="60140AF0" w14:textId="399F10B3" w:rsidR="0053378F" w:rsidRPr="00B57B36" w:rsidRDefault="0053378F" w:rsidP="0053378F">
            <w:pPr>
              <w:pStyle w:val="CETBodytext"/>
              <w:ind w:right="-1"/>
              <w:rPr>
                <w:rFonts w:cs="Arial"/>
                <w:szCs w:val="18"/>
                <w:lang w:val="en-GB"/>
              </w:rPr>
            </w:pPr>
            <w:r w:rsidRPr="00DF7381">
              <w:rPr>
                <w:szCs w:val="18"/>
                <w:lang w:val="en-GB"/>
              </w:rPr>
              <w:t>1.5</w:t>
            </w:r>
          </w:p>
        </w:tc>
        <w:tc>
          <w:tcPr>
            <w:tcW w:w="1134" w:type="dxa"/>
            <w:shd w:val="clear" w:color="auto" w:fill="FFFFFF"/>
            <w:vAlign w:val="center"/>
          </w:tcPr>
          <w:p w14:paraId="7BF48994" w14:textId="26507B12" w:rsidR="0053378F" w:rsidRPr="00B57B36" w:rsidRDefault="0053378F" w:rsidP="0053378F">
            <w:pPr>
              <w:pStyle w:val="CETBodytext"/>
              <w:ind w:right="-1"/>
              <w:rPr>
                <w:rFonts w:cs="Arial"/>
                <w:szCs w:val="18"/>
                <w:lang w:val="en-GB"/>
              </w:rPr>
            </w:pPr>
            <w:r w:rsidRPr="00DF7381">
              <w:rPr>
                <w:szCs w:val="18"/>
                <w:lang w:val="en-GB"/>
              </w:rPr>
              <w:t>3.4×10</w:t>
            </w:r>
            <w:r w:rsidRPr="00DF7381">
              <w:rPr>
                <w:rFonts w:ascii="Cambria Math" w:hAnsi="Cambria Math" w:cs="Cambria Math"/>
                <w:szCs w:val="18"/>
                <w:lang w:val="en-GB"/>
              </w:rPr>
              <w:t>⁻</w:t>
            </w:r>
            <w:r w:rsidRPr="00DF7381">
              <w:rPr>
                <w:szCs w:val="18"/>
                <w:lang w:val="en-GB"/>
              </w:rPr>
              <w:t>⁷</w:t>
            </w:r>
          </w:p>
        </w:tc>
      </w:tr>
    </w:tbl>
    <w:p w14:paraId="4EC5B1A7" w14:textId="73EE7802" w:rsidR="002F755D" w:rsidRDefault="0053378F" w:rsidP="00A4114C">
      <w:pPr>
        <w:pStyle w:val="CETListbullets"/>
        <w:spacing w:before="360"/>
        <w:ind w:left="0" w:firstLine="0"/>
      </w:pPr>
      <w:r w:rsidRPr="00DF7381">
        <w:rPr>
          <w:noProof/>
          <w:color w:val="FF0000"/>
        </w:rPr>
        <w:drawing>
          <wp:inline distT="0" distB="0" distL="0" distR="0" wp14:anchorId="148DC633" wp14:editId="1DF945B5">
            <wp:extent cx="2476584" cy="1262063"/>
            <wp:effectExtent l="0" t="0" r="0" b="0"/>
            <wp:docPr id="535542383" name="Immagine 53554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3584" cy="1301302"/>
                    </a:xfrm>
                    <a:prstGeom prst="rect">
                      <a:avLst/>
                    </a:prstGeom>
                  </pic:spPr>
                </pic:pic>
              </a:graphicData>
            </a:graphic>
          </wp:inline>
        </w:drawing>
      </w:r>
      <w:r w:rsidRPr="00DF7381">
        <w:rPr>
          <w:noProof/>
          <w:color w:val="FF0000"/>
        </w:rPr>
        <w:drawing>
          <wp:inline distT="0" distB="0" distL="0" distR="0" wp14:anchorId="1E7EC922" wp14:editId="41267D3A">
            <wp:extent cx="2993625" cy="158675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15"/>
                    <a:stretch/>
                  </pic:blipFill>
                  <pic:spPr bwMode="auto">
                    <a:xfrm>
                      <a:off x="0" y="0"/>
                      <a:ext cx="3105711" cy="1646164"/>
                    </a:xfrm>
                    <a:prstGeom prst="rect">
                      <a:avLst/>
                    </a:prstGeom>
                    <a:ln>
                      <a:noFill/>
                    </a:ln>
                    <a:extLst>
                      <a:ext uri="{53640926-AAD7-44D8-BBD7-CCE9431645EC}">
                        <a14:shadowObscured xmlns:a14="http://schemas.microsoft.com/office/drawing/2010/main"/>
                      </a:ext>
                    </a:extLst>
                  </pic:spPr>
                </pic:pic>
              </a:graphicData>
            </a:graphic>
          </wp:inline>
        </w:drawing>
      </w:r>
    </w:p>
    <w:p w14:paraId="5C8A4D3F" w14:textId="77777777" w:rsidR="0053378F" w:rsidRPr="000F5A8D" w:rsidRDefault="0053378F" w:rsidP="00406403">
      <w:pPr>
        <w:pStyle w:val="CETBodytext"/>
        <w:spacing w:before="240" w:after="240"/>
        <w:rPr>
          <w:rStyle w:val="CETCaptionCarattere"/>
        </w:rPr>
      </w:pPr>
      <w:r w:rsidRPr="000F5A8D">
        <w:rPr>
          <w:rStyle w:val="CETCaptionCarattere"/>
        </w:rPr>
        <w:t>Figure 1: Worked example of the developed FT (left had side) and ET (right hand side).</w:t>
      </w:r>
    </w:p>
    <w:p w14:paraId="1F5541A6" w14:textId="1AB2BE3B" w:rsidR="009025A5" w:rsidRDefault="009025A5" w:rsidP="00406403">
      <w:pPr>
        <w:pStyle w:val="CETBodytext"/>
      </w:pPr>
      <w:r w:rsidRPr="009025A5">
        <w:rPr>
          <w:lang w:val="en-GB"/>
        </w:rPr>
        <w:t xml:space="preserve">Table 3 summarizes the </w:t>
      </w:r>
      <w:r>
        <w:rPr>
          <w:lang w:val="en-GB"/>
        </w:rPr>
        <w:t>main</w:t>
      </w:r>
      <w:r w:rsidRPr="009025A5">
        <w:rPr>
          <w:lang w:val="en-GB"/>
        </w:rPr>
        <w:t xml:space="preserve"> accidental scenarios identified. The final outcomes were </w:t>
      </w:r>
      <w:r w:rsidR="000254C7">
        <w:rPr>
          <w:lang w:val="en-GB"/>
        </w:rPr>
        <w:t xml:space="preserve">assessed </w:t>
      </w:r>
      <w:r w:rsidRPr="009025A5">
        <w:rPr>
          <w:lang w:val="en-GB"/>
        </w:rPr>
        <w:t xml:space="preserve">using validated consequence models </w:t>
      </w:r>
      <w:r w:rsidR="000254C7">
        <w:rPr>
          <w:lang w:val="en-GB"/>
        </w:rPr>
        <w:t>relying</w:t>
      </w:r>
      <w:r w:rsidRPr="009025A5">
        <w:rPr>
          <w:lang w:val="en-GB"/>
        </w:rPr>
        <w:t xml:space="preserve"> on integral approach </w:t>
      </w:r>
      <w:r w:rsidR="000254C7">
        <w:rPr>
          <w:lang w:val="en-GB"/>
        </w:rPr>
        <w:t xml:space="preserve">consequence analysis </w:t>
      </w:r>
      <w:r w:rsidRPr="009025A5">
        <w:rPr>
          <w:lang w:val="en-GB"/>
        </w:rPr>
        <w:t xml:space="preserve">(Van Den Bosch and </w:t>
      </w:r>
      <w:proofErr w:type="spellStart"/>
      <w:r w:rsidRPr="009025A5">
        <w:rPr>
          <w:lang w:val="en-GB"/>
        </w:rPr>
        <w:t>Weterings</w:t>
      </w:r>
      <w:proofErr w:type="spellEnd"/>
      <w:r w:rsidRPr="009025A5">
        <w:rPr>
          <w:lang w:val="en-GB"/>
        </w:rPr>
        <w:t xml:space="preserve">, 2005). </w:t>
      </w:r>
      <w:r w:rsidR="000254C7" w:rsidRPr="00630853">
        <w:t>Current</w:t>
      </w:r>
      <w:r w:rsidR="000254C7">
        <w:t xml:space="preserve"> availability of advanced simulation software, specifically Effect 11, (</w:t>
      </w:r>
      <w:proofErr w:type="spellStart"/>
      <w:r w:rsidR="000254C7">
        <w:t>Gexcon</w:t>
      </w:r>
      <w:proofErr w:type="spellEnd"/>
      <w:r w:rsidR="00DD3017">
        <w:t xml:space="preserve"> AS.</w:t>
      </w:r>
      <w:r w:rsidR="000254C7">
        <w:t xml:space="preserve">) </w:t>
      </w:r>
      <w:r w:rsidRPr="009025A5">
        <w:rPr>
          <w:lang w:val="en-GB"/>
        </w:rPr>
        <w:t xml:space="preserve">was </w:t>
      </w:r>
      <w:r w:rsidR="000254C7">
        <w:rPr>
          <w:lang w:val="en-GB"/>
        </w:rPr>
        <w:t>exploited</w:t>
      </w:r>
      <w:r w:rsidRPr="009025A5">
        <w:rPr>
          <w:lang w:val="en-GB"/>
        </w:rPr>
        <w:t xml:space="preserve"> to determine </w:t>
      </w:r>
      <w:r w:rsidR="000254C7" w:rsidRPr="00944B8F">
        <w:t>the maximum damage distances of hot scenarios</w:t>
      </w:r>
      <w:r w:rsidRPr="009025A5">
        <w:rPr>
          <w:lang w:val="en-GB"/>
        </w:rPr>
        <w:t>, according to established threshold values</w:t>
      </w:r>
    </w:p>
    <w:p w14:paraId="32D05910" w14:textId="666081A9" w:rsidR="0053378F" w:rsidRPr="000F5A8D" w:rsidRDefault="0053378F" w:rsidP="00406403">
      <w:pPr>
        <w:pStyle w:val="CETBodytext"/>
        <w:spacing w:before="240" w:after="80"/>
      </w:pPr>
      <w:r w:rsidRPr="000F5A8D">
        <w:t xml:space="preserve">Table 3: </w:t>
      </w:r>
      <w:r w:rsidRPr="000F5A8D">
        <w:rPr>
          <w:i/>
          <w:iCs/>
        </w:rPr>
        <w:t>Accidental scenarios summary</w:t>
      </w:r>
    </w:p>
    <w:tbl>
      <w:tblPr>
        <w:tblW w:w="864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843"/>
        <w:gridCol w:w="1984"/>
        <w:gridCol w:w="1418"/>
        <w:gridCol w:w="1559"/>
      </w:tblGrid>
      <w:tr w:rsidR="000F5A8D" w:rsidRPr="000F5A8D" w14:paraId="1A95A43E" w14:textId="77777777" w:rsidTr="006E4E8B">
        <w:tc>
          <w:tcPr>
            <w:tcW w:w="1843" w:type="dxa"/>
            <w:tcBorders>
              <w:top w:val="single" w:sz="12" w:space="0" w:color="008000"/>
              <w:bottom w:val="single" w:sz="6" w:space="0" w:color="008000"/>
            </w:tcBorders>
            <w:shd w:val="clear" w:color="auto" w:fill="FFFFFF"/>
          </w:tcPr>
          <w:p w14:paraId="7DF59792" w14:textId="11A6DAD0" w:rsidR="006E4E8B" w:rsidRPr="000F5A8D" w:rsidRDefault="006E4E8B" w:rsidP="006E4E8B">
            <w:pPr>
              <w:pStyle w:val="CETBodytext"/>
              <w:rPr>
                <w:lang w:val="en-GB"/>
              </w:rPr>
            </w:pPr>
            <w:r w:rsidRPr="000F5A8D">
              <w:rPr>
                <w:lang w:val="en-GB"/>
              </w:rPr>
              <w:t xml:space="preserve">Scenario </w:t>
            </w:r>
          </w:p>
        </w:tc>
        <w:tc>
          <w:tcPr>
            <w:tcW w:w="1843" w:type="dxa"/>
            <w:tcBorders>
              <w:top w:val="single" w:sz="12" w:space="0" w:color="008000"/>
              <w:bottom w:val="single" w:sz="6" w:space="0" w:color="008000"/>
            </w:tcBorders>
            <w:shd w:val="clear" w:color="auto" w:fill="FFFFFF"/>
          </w:tcPr>
          <w:p w14:paraId="118750E1" w14:textId="77777777" w:rsidR="006E4E8B" w:rsidRPr="000F5A8D" w:rsidRDefault="006E4E8B" w:rsidP="006E4E8B">
            <w:pPr>
              <w:pStyle w:val="CETBodytext"/>
              <w:rPr>
                <w:lang w:val="en-GB"/>
              </w:rPr>
            </w:pPr>
            <w:r w:rsidRPr="000F5A8D">
              <w:rPr>
                <w:lang w:val="en-GB"/>
              </w:rPr>
              <w:t>Frequency</w:t>
            </w:r>
          </w:p>
          <w:p w14:paraId="51C4B74C" w14:textId="48A3E517" w:rsidR="006E4E8B" w:rsidRPr="000F5A8D" w:rsidRDefault="00A4114C" w:rsidP="006E4E8B">
            <w:pPr>
              <w:pStyle w:val="CETBodytext"/>
              <w:rPr>
                <w:lang w:val="en-GB"/>
              </w:rPr>
            </w:pPr>
            <w:r>
              <w:rPr>
                <w:szCs w:val="18"/>
                <w:lang w:val="it-IT"/>
              </w:rPr>
              <w:t>[</w:t>
            </w:r>
            <w:proofErr w:type="spellStart"/>
            <w:r w:rsidR="006E4E8B" w:rsidRPr="000F5A8D">
              <w:rPr>
                <w:szCs w:val="18"/>
                <w:lang w:val="it-IT"/>
              </w:rPr>
              <w:t>occ</w:t>
            </w:r>
            <w:proofErr w:type="spellEnd"/>
            <w:r w:rsidR="006E4E8B" w:rsidRPr="000F5A8D">
              <w:rPr>
                <w:szCs w:val="18"/>
                <w:lang w:val="it-IT"/>
              </w:rPr>
              <w:t xml:space="preserve"> y</w:t>
            </w:r>
            <w:r w:rsidR="006E4E8B" w:rsidRPr="000F5A8D">
              <w:rPr>
                <w:szCs w:val="18"/>
                <w:vertAlign w:val="superscript"/>
                <w:lang w:val="it-IT"/>
              </w:rPr>
              <w:t>-1</w:t>
            </w:r>
            <w:r w:rsidRPr="00A4114C">
              <w:rPr>
                <w:szCs w:val="18"/>
                <w:lang w:val="it-IT"/>
              </w:rPr>
              <w:t>]</w:t>
            </w:r>
          </w:p>
        </w:tc>
        <w:tc>
          <w:tcPr>
            <w:tcW w:w="1984" w:type="dxa"/>
            <w:tcBorders>
              <w:top w:val="single" w:sz="12" w:space="0" w:color="008000"/>
              <w:bottom w:val="single" w:sz="6" w:space="0" w:color="008000"/>
            </w:tcBorders>
            <w:shd w:val="clear" w:color="auto" w:fill="FFFFFF"/>
          </w:tcPr>
          <w:p w14:paraId="69C4ADB8" w14:textId="77777777" w:rsidR="006E4E8B" w:rsidRPr="000F5A8D" w:rsidRDefault="006E4E8B" w:rsidP="006E4E8B">
            <w:pPr>
              <w:pStyle w:val="CETBodytext"/>
              <w:rPr>
                <w:szCs w:val="18"/>
                <w:lang w:val="it-IT"/>
              </w:rPr>
            </w:pPr>
            <w:r w:rsidRPr="000F5A8D">
              <w:rPr>
                <w:szCs w:val="18"/>
                <w:lang w:val="it-IT"/>
              </w:rPr>
              <w:t xml:space="preserve">Distance </w:t>
            </w:r>
          </w:p>
          <w:p w14:paraId="02B8B0CF" w14:textId="6F2B9366" w:rsidR="006E4E8B" w:rsidRPr="000F5A8D" w:rsidRDefault="00A4114C" w:rsidP="006E4E8B">
            <w:pPr>
              <w:pStyle w:val="CETBodytext"/>
              <w:rPr>
                <w:lang w:val="en-GB"/>
              </w:rPr>
            </w:pPr>
            <w:r>
              <w:rPr>
                <w:szCs w:val="18"/>
                <w:lang w:val="it-IT"/>
              </w:rPr>
              <w:t>[</w:t>
            </w:r>
            <w:r w:rsidR="006E4E8B" w:rsidRPr="000F5A8D">
              <w:rPr>
                <w:szCs w:val="18"/>
                <w:lang w:val="it-IT"/>
              </w:rPr>
              <w:t>4kW m</w:t>
            </w:r>
            <w:r w:rsidR="006E4E8B" w:rsidRPr="000F5A8D">
              <w:rPr>
                <w:szCs w:val="18"/>
                <w:vertAlign w:val="superscript"/>
                <w:lang w:val="it-IT"/>
              </w:rPr>
              <w:t>-</w:t>
            </w:r>
            <w:r w:rsidR="006E4E8B" w:rsidRPr="000F5A8D">
              <w:rPr>
                <w:szCs w:val="18"/>
                <w:lang w:val="it-IT"/>
              </w:rPr>
              <w:t>² LFL</w:t>
            </w:r>
            <w:r w:rsidR="006E4E8B" w:rsidRPr="000F5A8D">
              <w:rPr>
                <w:szCs w:val="18"/>
                <w:vertAlign w:val="superscript"/>
                <w:lang w:val="it-IT"/>
              </w:rPr>
              <w:t>-1</w:t>
            </w:r>
            <w:r w:rsidRPr="00D61502">
              <w:rPr>
                <w:szCs w:val="18"/>
                <w:lang w:val="it-IT"/>
              </w:rPr>
              <w:t>]</w:t>
            </w:r>
          </w:p>
        </w:tc>
        <w:tc>
          <w:tcPr>
            <w:tcW w:w="1418" w:type="dxa"/>
            <w:tcBorders>
              <w:top w:val="single" w:sz="12" w:space="0" w:color="008000"/>
              <w:bottom w:val="single" w:sz="6" w:space="0" w:color="008000"/>
            </w:tcBorders>
            <w:shd w:val="clear" w:color="auto" w:fill="FFFFFF"/>
          </w:tcPr>
          <w:p w14:paraId="33D7B7D6" w14:textId="77777777" w:rsidR="006E4E8B" w:rsidRPr="000F5A8D" w:rsidRDefault="006E4E8B" w:rsidP="006E4E8B">
            <w:pPr>
              <w:pStyle w:val="CETBodytext"/>
              <w:ind w:right="-1"/>
              <w:rPr>
                <w:szCs w:val="18"/>
                <w:lang w:val="it-IT"/>
              </w:rPr>
            </w:pPr>
            <w:r w:rsidRPr="000F5A8D">
              <w:rPr>
                <w:szCs w:val="18"/>
                <w:lang w:val="it-IT"/>
              </w:rPr>
              <w:t xml:space="preserve">IR </w:t>
            </w:r>
          </w:p>
          <w:p w14:paraId="0263B2A5" w14:textId="4FFDC2D7" w:rsidR="006E4E8B" w:rsidRPr="000F5A8D" w:rsidRDefault="00A4114C" w:rsidP="006E4E8B">
            <w:pPr>
              <w:pStyle w:val="CETBodytext"/>
              <w:ind w:right="-1"/>
              <w:rPr>
                <w:rFonts w:cs="Arial"/>
                <w:szCs w:val="18"/>
                <w:lang w:val="en-GB"/>
              </w:rPr>
            </w:pPr>
            <w:r>
              <w:rPr>
                <w:szCs w:val="18"/>
                <w:lang w:val="it-IT"/>
              </w:rPr>
              <w:t>[</w:t>
            </w:r>
            <w:proofErr w:type="spellStart"/>
            <w:r w:rsidR="006E4E8B" w:rsidRPr="000F5A8D">
              <w:rPr>
                <w:szCs w:val="18"/>
                <w:lang w:val="it-IT"/>
              </w:rPr>
              <w:t>fatal</w:t>
            </w:r>
            <w:r w:rsidR="00D61502">
              <w:rPr>
                <w:szCs w:val="18"/>
                <w:lang w:val="it-IT"/>
              </w:rPr>
              <w:t>ity</w:t>
            </w:r>
            <w:proofErr w:type="spellEnd"/>
            <w:r w:rsidR="006E4E8B" w:rsidRPr="000F5A8D">
              <w:rPr>
                <w:szCs w:val="18"/>
                <w:lang w:val="it-IT"/>
              </w:rPr>
              <w:t xml:space="preserve"> y</w:t>
            </w:r>
            <w:r w:rsidR="006E4E8B" w:rsidRPr="000F5A8D">
              <w:rPr>
                <w:szCs w:val="18"/>
                <w:vertAlign w:val="superscript"/>
                <w:lang w:val="it-IT"/>
              </w:rPr>
              <w:t>-1</w:t>
            </w:r>
            <w:r w:rsidRPr="00A4114C">
              <w:rPr>
                <w:szCs w:val="18"/>
                <w:lang w:val="it-IT"/>
              </w:rPr>
              <w:t>]</w:t>
            </w:r>
          </w:p>
        </w:tc>
        <w:tc>
          <w:tcPr>
            <w:tcW w:w="1559" w:type="dxa"/>
            <w:tcBorders>
              <w:top w:val="single" w:sz="12" w:space="0" w:color="008000"/>
              <w:bottom w:val="single" w:sz="6" w:space="0" w:color="008000"/>
            </w:tcBorders>
            <w:shd w:val="clear" w:color="auto" w:fill="FFFFFF"/>
            <w:vAlign w:val="center"/>
          </w:tcPr>
          <w:p w14:paraId="3FD965E7" w14:textId="2BBC7EF2" w:rsidR="006E4E8B" w:rsidRPr="000F5A8D" w:rsidRDefault="006E4E8B" w:rsidP="006E4E8B">
            <w:pPr>
              <w:pStyle w:val="CETBodytext"/>
              <w:ind w:right="-1"/>
              <w:rPr>
                <w:rFonts w:cs="Arial"/>
                <w:szCs w:val="18"/>
                <w:lang w:val="en-GB"/>
              </w:rPr>
            </w:pPr>
            <w:r w:rsidRPr="000F5A8D">
              <w:rPr>
                <w:szCs w:val="18"/>
                <w:lang w:val="it-IT"/>
              </w:rPr>
              <w:t>Status</w:t>
            </w:r>
          </w:p>
        </w:tc>
      </w:tr>
      <w:tr w:rsidR="006E4E8B" w:rsidRPr="00B57B36" w14:paraId="532013F6" w14:textId="77777777" w:rsidTr="00592BAC">
        <w:tc>
          <w:tcPr>
            <w:tcW w:w="1843" w:type="dxa"/>
            <w:shd w:val="clear" w:color="auto" w:fill="FFFFFF"/>
            <w:vAlign w:val="center"/>
          </w:tcPr>
          <w:p w14:paraId="79CA8ED9" w14:textId="4E9AB121" w:rsidR="006E4E8B" w:rsidRPr="00B57B36" w:rsidRDefault="006E4E8B" w:rsidP="006E4E8B">
            <w:pPr>
              <w:pStyle w:val="CETBodytext"/>
              <w:rPr>
                <w:lang w:val="en-GB"/>
              </w:rPr>
            </w:pPr>
            <w:r w:rsidRPr="00DF7381">
              <w:rPr>
                <w:szCs w:val="18"/>
                <w:lang w:val="en-GB"/>
              </w:rPr>
              <w:t>Jet Fire</w:t>
            </w:r>
          </w:p>
        </w:tc>
        <w:tc>
          <w:tcPr>
            <w:tcW w:w="1843" w:type="dxa"/>
            <w:shd w:val="clear" w:color="auto" w:fill="FFFFFF"/>
            <w:vAlign w:val="center"/>
          </w:tcPr>
          <w:p w14:paraId="6AD7211A" w14:textId="0E5D8069" w:rsidR="006E4E8B" w:rsidRPr="00B57B36" w:rsidRDefault="006E4E8B" w:rsidP="006E4E8B">
            <w:pPr>
              <w:pStyle w:val="CETBodytext"/>
              <w:rPr>
                <w:lang w:val="en-GB"/>
              </w:rPr>
            </w:pPr>
            <w:r w:rsidRPr="00DF7381">
              <w:rPr>
                <w:szCs w:val="18"/>
                <w:lang w:val="en-GB"/>
              </w:rPr>
              <w:t>4.2×10</w:t>
            </w:r>
            <w:r w:rsidRPr="00DF7381">
              <w:rPr>
                <w:rFonts w:ascii="Cambria Math" w:hAnsi="Cambria Math" w:cs="Cambria Math"/>
                <w:szCs w:val="18"/>
                <w:lang w:val="en-GB"/>
              </w:rPr>
              <w:t>⁻</w:t>
            </w:r>
            <w:r w:rsidRPr="00DF7381">
              <w:rPr>
                <w:szCs w:val="18"/>
                <w:lang w:val="en-GB"/>
              </w:rPr>
              <w:t>⁷</w:t>
            </w:r>
          </w:p>
        </w:tc>
        <w:tc>
          <w:tcPr>
            <w:tcW w:w="1984" w:type="dxa"/>
            <w:shd w:val="clear" w:color="auto" w:fill="FFFFFF"/>
            <w:vAlign w:val="center"/>
          </w:tcPr>
          <w:p w14:paraId="5A1DCF77" w14:textId="7A2A6BF5" w:rsidR="006E4E8B" w:rsidRPr="00B57B36" w:rsidRDefault="006E4E8B" w:rsidP="006E4E8B">
            <w:pPr>
              <w:pStyle w:val="CETBodytext"/>
              <w:rPr>
                <w:lang w:val="en-GB"/>
              </w:rPr>
            </w:pPr>
            <w:r w:rsidRPr="00DF7381">
              <w:rPr>
                <w:szCs w:val="18"/>
                <w:lang w:val="en-GB"/>
              </w:rPr>
              <w:t>25 m</w:t>
            </w:r>
          </w:p>
        </w:tc>
        <w:tc>
          <w:tcPr>
            <w:tcW w:w="1418" w:type="dxa"/>
            <w:shd w:val="clear" w:color="auto" w:fill="FFFFFF"/>
            <w:vAlign w:val="center"/>
          </w:tcPr>
          <w:p w14:paraId="44ACED29" w14:textId="6FCED33C" w:rsidR="006E4E8B" w:rsidRPr="00B57B36" w:rsidRDefault="006E4E8B" w:rsidP="006E4E8B">
            <w:pPr>
              <w:pStyle w:val="CETBodytext"/>
              <w:ind w:right="-1"/>
              <w:rPr>
                <w:rFonts w:cs="Arial"/>
                <w:szCs w:val="18"/>
                <w:lang w:val="en-GB"/>
              </w:rPr>
            </w:pPr>
            <w:r w:rsidRPr="00DF7381">
              <w:rPr>
                <w:szCs w:val="18"/>
                <w:lang w:val="en-GB"/>
              </w:rPr>
              <w:t>1.3×10</w:t>
            </w:r>
            <w:r w:rsidRPr="00DF7381">
              <w:rPr>
                <w:rFonts w:ascii="Cambria Math" w:hAnsi="Cambria Math" w:cs="Cambria Math"/>
                <w:szCs w:val="18"/>
                <w:lang w:val="en-GB"/>
              </w:rPr>
              <w:t>⁻</w:t>
            </w:r>
            <w:r w:rsidRPr="00DF7381">
              <w:rPr>
                <w:szCs w:val="18"/>
                <w:lang w:val="en-GB"/>
              </w:rPr>
              <w:t>⁷</w:t>
            </w:r>
          </w:p>
        </w:tc>
        <w:tc>
          <w:tcPr>
            <w:tcW w:w="1559" w:type="dxa"/>
            <w:shd w:val="clear" w:color="auto" w:fill="FFFFFF"/>
            <w:vAlign w:val="center"/>
          </w:tcPr>
          <w:p w14:paraId="0245384F" w14:textId="1D16EC44" w:rsidR="006E4E8B" w:rsidRPr="00DF7381" w:rsidRDefault="006E4E8B" w:rsidP="006E4E8B">
            <w:pPr>
              <w:pStyle w:val="CETBodytext"/>
              <w:ind w:right="-1"/>
              <w:rPr>
                <w:szCs w:val="18"/>
                <w:lang w:val="en-GB"/>
              </w:rPr>
            </w:pPr>
            <w:r w:rsidRPr="00DF7381">
              <w:rPr>
                <w:szCs w:val="18"/>
                <w:lang w:val="en-GB"/>
              </w:rPr>
              <w:t>Acceptable</w:t>
            </w:r>
          </w:p>
        </w:tc>
      </w:tr>
      <w:tr w:rsidR="006E4E8B" w:rsidRPr="00B57B36" w14:paraId="67CEDF54" w14:textId="77777777" w:rsidTr="006E4E8B">
        <w:tc>
          <w:tcPr>
            <w:tcW w:w="1843" w:type="dxa"/>
            <w:shd w:val="clear" w:color="auto" w:fill="FFFFFF"/>
            <w:vAlign w:val="center"/>
          </w:tcPr>
          <w:p w14:paraId="10AAA002" w14:textId="2F01E8BA" w:rsidR="006E4E8B" w:rsidRPr="00B57B36" w:rsidRDefault="006E4E8B" w:rsidP="006E4E8B">
            <w:pPr>
              <w:pStyle w:val="CETBodytext"/>
              <w:ind w:right="-1"/>
              <w:rPr>
                <w:rFonts w:cs="Arial"/>
                <w:szCs w:val="18"/>
                <w:lang w:val="en-GB"/>
              </w:rPr>
            </w:pPr>
            <w:r w:rsidRPr="00DF7381">
              <w:rPr>
                <w:szCs w:val="18"/>
                <w:lang w:val="it-IT"/>
              </w:rPr>
              <w:t>Flash Fire</w:t>
            </w:r>
          </w:p>
        </w:tc>
        <w:tc>
          <w:tcPr>
            <w:tcW w:w="1843" w:type="dxa"/>
            <w:shd w:val="clear" w:color="auto" w:fill="FFFFFF"/>
            <w:vAlign w:val="center"/>
          </w:tcPr>
          <w:p w14:paraId="7CC925D2" w14:textId="6C86D1ED" w:rsidR="006E4E8B" w:rsidRPr="00B57B36" w:rsidRDefault="006E4E8B" w:rsidP="006E4E8B">
            <w:pPr>
              <w:pStyle w:val="CETBodytext"/>
              <w:ind w:right="-1"/>
              <w:rPr>
                <w:rFonts w:cs="Arial"/>
                <w:szCs w:val="18"/>
                <w:lang w:val="en-GB"/>
              </w:rPr>
            </w:pPr>
            <w:r w:rsidRPr="00DF7381">
              <w:rPr>
                <w:szCs w:val="18"/>
                <w:lang w:val="it-IT"/>
              </w:rPr>
              <w:t>3.9×10</w:t>
            </w:r>
            <w:r w:rsidRPr="00DF7381">
              <w:rPr>
                <w:rFonts w:ascii="Cambria Math" w:hAnsi="Cambria Math" w:cs="Cambria Math"/>
                <w:szCs w:val="18"/>
                <w:lang w:val="it-IT"/>
              </w:rPr>
              <w:t>⁻</w:t>
            </w:r>
            <w:r w:rsidRPr="00DF7381">
              <w:rPr>
                <w:rFonts w:cs="Arial"/>
                <w:szCs w:val="18"/>
                <w:lang w:val="it-IT"/>
              </w:rPr>
              <w:t>⁷</w:t>
            </w:r>
          </w:p>
        </w:tc>
        <w:tc>
          <w:tcPr>
            <w:tcW w:w="1984" w:type="dxa"/>
            <w:shd w:val="clear" w:color="auto" w:fill="FFFFFF"/>
            <w:vAlign w:val="center"/>
          </w:tcPr>
          <w:p w14:paraId="4BBCD2DD" w14:textId="5BE1EF71" w:rsidR="006E4E8B" w:rsidRPr="00B57B36" w:rsidRDefault="006E4E8B" w:rsidP="006E4E8B">
            <w:pPr>
              <w:pStyle w:val="CETBodytext"/>
              <w:ind w:right="-1"/>
              <w:rPr>
                <w:rFonts w:cs="Arial"/>
                <w:szCs w:val="18"/>
                <w:lang w:val="en-GB"/>
              </w:rPr>
            </w:pPr>
            <w:r w:rsidRPr="00DF7381">
              <w:rPr>
                <w:szCs w:val="18"/>
                <w:lang w:val="it-IT"/>
              </w:rPr>
              <w:t>45 m</w:t>
            </w:r>
          </w:p>
        </w:tc>
        <w:tc>
          <w:tcPr>
            <w:tcW w:w="1418" w:type="dxa"/>
            <w:shd w:val="clear" w:color="auto" w:fill="FFFFFF"/>
            <w:vAlign w:val="center"/>
          </w:tcPr>
          <w:p w14:paraId="25F23F94" w14:textId="27E0B974" w:rsidR="006E4E8B" w:rsidRPr="00B57B36" w:rsidRDefault="006E4E8B" w:rsidP="006E4E8B">
            <w:pPr>
              <w:pStyle w:val="CETBodytext"/>
              <w:ind w:right="-1"/>
              <w:rPr>
                <w:rFonts w:cs="Arial"/>
                <w:szCs w:val="18"/>
                <w:lang w:val="en-GB"/>
              </w:rPr>
            </w:pPr>
            <w:r w:rsidRPr="00DF7381">
              <w:rPr>
                <w:szCs w:val="18"/>
                <w:lang w:val="it-IT"/>
              </w:rPr>
              <w:t>Zone-</w:t>
            </w:r>
            <w:proofErr w:type="spellStart"/>
            <w:r w:rsidRPr="00DF7381">
              <w:rPr>
                <w:szCs w:val="18"/>
                <w:lang w:val="it-IT"/>
              </w:rPr>
              <w:t>based</w:t>
            </w:r>
            <w:proofErr w:type="spellEnd"/>
          </w:p>
        </w:tc>
        <w:tc>
          <w:tcPr>
            <w:tcW w:w="1559" w:type="dxa"/>
            <w:shd w:val="clear" w:color="auto" w:fill="FFFFFF"/>
            <w:vAlign w:val="center"/>
          </w:tcPr>
          <w:p w14:paraId="42A92455" w14:textId="2D9AA586" w:rsidR="006E4E8B" w:rsidRPr="00DF7381" w:rsidRDefault="006E4E8B" w:rsidP="006E4E8B">
            <w:pPr>
              <w:pStyle w:val="CETBodytext"/>
              <w:ind w:right="-1"/>
              <w:rPr>
                <w:szCs w:val="18"/>
                <w:lang w:val="en-GB"/>
              </w:rPr>
            </w:pPr>
            <w:r w:rsidRPr="00DF7381">
              <w:rPr>
                <w:szCs w:val="18"/>
                <w:lang w:val="en-GB"/>
              </w:rPr>
              <w:t>Safety Zone ​</w:t>
            </w:r>
          </w:p>
        </w:tc>
      </w:tr>
      <w:tr w:rsidR="006E4E8B" w:rsidRPr="00B57B36" w14:paraId="4FF5D79F" w14:textId="77777777" w:rsidTr="006E4E8B">
        <w:tc>
          <w:tcPr>
            <w:tcW w:w="1843" w:type="dxa"/>
            <w:shd w:val="clear" w:color="auto" w:fill="FFFFFF"/>
            <w:vAlign w:val="center"/>
          </w:tcPr>
          <w:p w14:paraId="065A9048" w14:textId="29FFC297" w:rsidR="006E4E8B" w:rsidRPr="00B57B36" w:rsidRDefault="006E4E8B" w:rsidP="006E4E8B">
            <w:pPr>
              <w:pStyle w:val="CETBodytext"/>
              <w:ind w:right="-1"/>
              <w:rPr>
                <w:rFonts w:cs="Arial"/>
                <w:szCs w:val="18"/>
                <w:lang w:val="en-GB"/>
              </w:rPr>
            </w:pPr>
            <w:r w:rsidRPr="00DF7381">
              <w:rPr>
                <w:szCs w:val="18"/>
                <w:lang w:val="it-IT"/>
              </w:rPr>
              <w:t>VCE</w:t>
            </w:r>
          </w:p>
        </w:tc>
        <w:tc>
          <w:tcPr>
            <w:tcW w:w="1843" w:type="dxa"/>
            <w:shd w:val="clear" w:color="auto" w:fill="FFFFFF"/>
            <w:vAlign w:val="center"/>
          </w:tcPr>
          <w:p w14:paraId="5B5DC9CF" w14:textId="422AE520" w:rsidR="006E4E8B" w:rsidRPr="00B57B36" w:rsidRDefault="006E4E8B" w:rsidP="006E4E8B">
            <w:pPr>
              <w:pStyle w:val="CETBodytext"/>
              <w:ind w:right="-1"/>
              <w:rPr>
                <w:rFonts w:cs="Arial"/>
                <w:szCs w:val="18"/>
                <w:lang w:val="en-GB"/>
              </w:rPr>
            </w:pPr>
            <w:r w:rsidRPr="00DF7381">
              <w:rPr>
                <w:szCs w:val="18"/>
                <w:lang w:val="it-IT"/>
              </w:rPr>
              <w:t>3.9×10</w:t>
            </w:r>
            <w:r w:rsidRPr="00DF7381">
              <w:rPr>
                <w:rFonts w:ascii="Cambria Math" w:hAnsi="Cambria Math" w:cs="Cambria Math"/>
                <w:szCs w:val="18"/>
                <w:lang w:val="it-IT"/>
              </w:rPr>
              <w:t>⁻</w:t>
            </w:r>
            <w:r w:rsidRPr="00DF7381">
              <w:rPr>
                <w:rFonts w:cs="Arial"/>
                <w:szCs w:val="18"/>
                <w:lang w:val="it-IT"/>
              </w:rPr>
              <w:t>⁷</w:t>
            </w:r>
          </w:p>
        </w:tc>
        <w:tc>
          <w:tcPr>
            <w:tcW w:w="1984" w:type="dxa"/>
            <w:shd w:val="clear" w:color="auto" w:fill="FFFFFF"/>
            <w:vAlign w:val="center"/>
          </w:tcPr>
          <w:p w14:paraId="3813F81F" w14:textId="081ACC89" w:rsidR="006E4E8B" w:rsidRPr="00B57B36" w:rsidRDefault="006E4E8B" w:rsidP="006E4E8B">
            <w:pPr>
              <w:pStyle w:val="CETBodytext"/>
              <w:ind w:right="-1"/>
              <w:rPr>
                <w:rFonts w:cs="Arial"/>
                <w:szCs w:val="18"/>
                <w:lang w:val="en-GB"/>
              </w:rPr>
            </w:pPr>
            <w:r w:rsidRPr="00DF7381">
              <w:rPr>
                <w:szCs w:val="18"/>
                <w:lang w:val="it-IT"/>
              </w:rPr>
              <w:t>15 m</w:t>
            </w:r>
          </w:p>
        </w:tc>
        <w:tc>
          <w:tcPr>
            <w:tcW w:w="1418" w:type="dxa"/>
            <w:shd w:val="clear" w:color="auto" w:fill="FFFFFF"/>
            <w:vAlign w:val="center"/>
          </w:tcPr>
          <w:p w14:paraId="712282A5" w14:textId="4070FEF4" w:rsidR="006E4E8B" w:rsidRPr="00B57B36" w:rsidRDefault="006E4E8B" w:rsidP="006E4E8B">
            <w:pPr>
              <w:pStyle w:val="CETBodytext"/>
              <w:ind w:right="-1"/>
              <w:rPr>
                <w:rFonts w:cs="Arial"/>
                <w:szCs w:val="18"/>
                <w:lang w:val="en-GB"/>
              </w:rPr>
            </w:pPr>
            <w:r w:rsidRPr="00DF7381">
              <w:rPr>
                <w:szCs w:val="18"/>
                <w:lang w:val="it-IT"/>
              </w:rPr>
              <w:t>&lt;10</w:t>
            </w:r>
            <w:r w:rsidRPr="00DF7381">
              <w:rPr>
                <w:rFonts w:ascii="Cambria Math" w:hAnsi="Cambria Math" w:cs="Cambria Math"/>
                <w:szCs w:val="18"/>
                <w:lang w:val="it-IT"/>
              </w:rPr>
              <w:t>⁻</w:t>
            </w:r>
            <w:r w:rsidRPr="00DF7381">
              <w:rPr>
                <w:rFonts w:cs="Arial"/>
                <w:szCs w:val="18"/>
                <w:lang w:val="it-IT"/>
              </w:rPr>
              <w:t>⁸</w:t>
            </w:r>
          </w:p>
        </w:tc>
        <w:tc>
          <w:tcPr>
            <w:tcW w:w="1559" w:type="dxa"/>
            <w:shd w:val="clear" w:color="auto" w:fill="FFFFFF"/>
            <w:vAlign w:val="center"/>
          </w:tcPr>
          <w:p w14:paraId="514D0FB2" w14:textId="5A6EA8E6" w:rsidR="006E4E8B" w:rsidRPr="00DF7381" w:rsidRDefault="006E4E8B" w:rsidP="006E4E8B">
            <w:pPr>
              <w:pStyle w:val="CETBodytext"/>
              <w:ind w:right="-1"/>
              <w:rPr>
                <w:szCs w:val="18"/>
                <w:lang w:val="en-GB"/>
              </w:rPr>
            </w:pPr>
            <w:proofErr w:type="spellStart"/>
            <w:r w:rsidRPr="00DF7381">
              <w:rPr>
                <w:szCs w:val="18"/>
                <w:lang w:val="it-IT"/>
              </w:rPr>
              <w:t>Acceptable</w:t>
            </w:r>
            <w:proofErr w:type="spellEnd"/>
            <w:r w:rsidRPr="00DF7381">
              <w:rPr>
                <w:szCs w:val="18"/>
                <w:lang w:val="it-IT"/>
              </w:rPr>
              <w:t xml:space="preserve"> ​</w:t>
            </w:r>
          </w:p>
        </w:tc>
      </w:tr>
    </w:tbl>
    <w:p w14:paraId="553D5486" w14:textId="77777777" w:rsidR="006E4E8B" w:rsidRDefault="006E4E8B" w:rsidP="006E4E8B">
      <w:pPr>
        <w:pStyle w:val="CETListbullets"/>
        <w:ind w:left="0" w:firstLine="0"/>
      </w:pPr>
    </w:p>
    <w:p w14:paraId="23A1CD8D" w14:textId="77777777" w:rsidR="006E4E8B" w:rsidRPr="007429E9" w:rsidRDefault="006E4E8B" w:rsidP="006E4E8B">
      <w:pPr>
        <w:pStyle w:val="CETBodytext"/>
      </w:pPr>
      <w:r>
        <w:t>To define maximum risk contours,</w:t>
      </w:r>
      <w:r w:rsidRPr="00175E0B">
        <w:t xml:space="preserve"> model</w:t>
      </w:r>
      <w:r>
        <w:t>ling</w:t>
      </w:r>
      <w:r w:rsidRPr="00175E0B">
        <w:t xml:space="preserve"> </w:t>
      </w:r>
      <w:r>
        <w:t>conservatively considered following stability classes:</w:t>
      </w:r>
      <w:r w:rsidRPr="00AA146F">
        <w:rPr>
          <w:lang w:val="en-GB"/>
        </w:rPr>
        <w:t xml:space="preserve"> </w:t>
      </w:r>
      <w:r w:rsidRPr="007429E9">
        <w:rPr>
          <w:lang w:val="en-GB"/>
        </w:rPr>
        <w:t>D5 (day)/F2 (overcast)</w:t>
      </w:r>
      <w:r>
        <w:rPr>
          <w:lang w:val="en-GB"/>
        </w:rPr>
        <w:t xml:space="preserve">. </w:t>
      </w:r>
      <w:r>
        <w:t>In order to account for</w:t>
      </w:r>
      <w:r w:rsidRPr="007429E9">
        <w:t xml:space="preserve"> the impact of the </w:t>
      </w:r>
      <w:r>
        <w:t xml:space="preserve">actual </w:t>
      </w:r>
      <w:r w:rsidRPr="007429E9">
        <w:t xml:space="preserve">height </w:t>
      </w:r>
      <w:r>
        <w:t xml:space="preserve">of the release over the </w:t>
      </w:r>
      <w:r w:rsidRPr="007429E9">
        <w:t>sea on the extent of the damage areas, three representative releases</w:t>
      </w:r>
      <w:r>
        <w:t xml:space="preserve"> were considered in performing </w:t>
      </w:r>
      <w:r w:rsidRPr="007429E9">
        <w:t>accident</w:t>
      </w:r>
      <w:r>
        <w:t xml:space="preserve"> </w:t>
      </w:r>
      <w:r w:rsidRPr="007429E9">
        <w:t>scenario</w:t>
      </w:r>
      <w:r>
        <w:t xml:space="preserve"> simulations, i.e.,</w:t>
      </w:r>
      <w:r w:rsidRPr="007429E9">
        <w:t xml:space="preserve"> </w:t>
      </w:r>
    </w:p>
    <w:p w14:paraId="11575678" w14:textId="77777777" w:rsidR="006E4E8B" w:rsidRPr="007429E9" w:rsidRDefault="006E4E8B" w:rsidP="006E4E8B">
      <w:pPr>
        <w:pStyle w:val="CETListbullets"/>
        <w:numPr>
          <w:ilvl w:val="0"/>
          <w:numId w:val="13"/>
        </w:numPr>
        <w:ind w:firstLine="86"/>
      </w:pPr>
      <w:r w:rsidRPr="007429E9">
        <w:t xml:space="preserve">release at the height above sea level of the Lower Manifold of the Bunker </w:t>
      </w:r>
      <w:r>
        <w:t>v</w:t>
      </w:r>
      <w:r w:rsidRPr="007429E9">
        <w:t>essel;</w:t>
      </w:r>
    </w:p>
    <w:p w14:paraId="5E9CEE91" w14:textId="77777777" w:rsidR="006E4E8B" w:rsidRPr="007429E9" w:rsidRDefault="006E4E8B" w:rsidP="006E4E8B">
      <w:pPr>
        <w:pStyle w:val="CETListbullets"/>
        <w:numPr>
          <w:ilvl w:val="0"/>
          <w:numId w:val="13"/>
        </w:numPr>
        <w:ind w:firstLine="86"/>
      </w:pPr>
      <w:r w:rsidRPr="007429E9">
        <w:t>release at sea level from the lowest point of the hose, conservatively considered to be 1 m;</w:t>
      </w:r>
    </w:p>
    <w:p w14:paraId="720422F4" w14:textId="48861C04" w:rsidR="006E4E8B" w:rsidRDefault="006E4E8B" w:rsidP="006E4E8B">
      <w:pPr>
        <w:pStyle w:val="CETListbullets"/>
        <w:numPr>
          <w:ilvl w:val="0"/>
          <w:numId w:val="13"/>
        </w:numPr>
        <w:spacing w:line="276" w:lineRule="auto"/>
        <w:ind w:firstLine="86"/>
        <w:jc w:val="left"/>
      </w:pPr>
      <w:r w:rsidRPr="007429E9">
        <w:t xml:space="preserve">release at sea level from the manifold of the </w:t>
      </w:r>
      <w:r>
        <w:t>r</w:t>
      </w:r>
      <w:r w:rsidRPr="007429E9">
        <w:t xml:space="preserve">eceiving </w:t>
      </w:r>
      <w:r>
        <w:t>v</w:t>
      </w:r>
      <w:r w:rsidRPr="007429E9">
        <w:t>essel.</w:t>
      </w:r>
    </w:p>
    <w:p w14:paraId="73D5BF2C" w14:textId="104DA8D6" w:rsidR="006E4E8B" w:rsidRPr="007429E9" w:rsidRDefault="00F40D22" w:rsidP="00F40D22">
      <w:pPr>
        <w:pStyle w:val="CETheadingx"/>
        <w:numPr>
          <w:ilvl w:val="0"/>
          <w:numId w:val="0"/>
        </w:numPr>
        <w:ind w:left="426" w:hanging="426"/>
      </w:pPr>
      <w:r>
        <w:t xml:space="preserve">3.2.1 </w:t>
      </w:r>
      <w:r w:rsidR="006E4E8B" w:rsidRPr="007429E9">
        <w:t>Definition of the Safety Zone and individual risk</w:t>
      </w:r>
    </w:p>
    <w:p w14:paraId="1514B714" w14:textId="0885D449" w:rsidR="006E4E8B" w:rsidRPr="007429E9" w:rsidRDefault="006E4E8B" w:rsidP="00D27197">
      <w:pPr>
        <w:pStyle w:val="Paragrafoelenco"/>
        <w:ind w:left="0"/>
        <w:rPr>
          <w:szCs w:val="18"/>
        </w:rPr>
      </w:pPr>
      <w:r w:rsidRPr="007429E9">
        <w:rPr>
          <w:szCs w:val="18"/>
        </w:rPr>
        <w:t xml:space="preserve">The Safety Zone represents the critical boundary where explosive atmospheres could form following a maximum credible release (TE01/TE02). </w:t>
      </w:r>
      <w:r>
        <w:rPr>
          <w:szCs w:val="18"/>
        </w:rPr>
        <w:t xml:space="preserve">According to enforced </w:t>
      </w:r>
      <w:r w:rsidRPr="007429E9">
        <w:rPr>
          <w:szCs w:val="18"/>
        </w:rPr>
        <w:t xml:space="preserve">Italian regulations (MIT 2025, VVF-CP 2021) </w:t>
      </w:r>
      <w:r>
        <w:rPr>
          <w:szCs w:val="18"/>
        </w:rPr>
        <w:t>the evaluation corresponds to</w:t>
      </w:r>
      <w:r w:rsidRPr="007429E9">
        <w:rPr>
          <w:szCs w:val="18"/>
        </w:rPr>
        <w:t xml:space="preserve"> the distance to the Lower Flammability Limit (LFL = 5% vol. for methane)</w:t>
      </w:r>
      <w:r w:rsidR="00076970">
        <w:rPr>
          <w:szCs w:val="18"/>
        </w:rPr>
        <w:t>,</w:t>
      </w:r>
      <w:r w:rsidRPr="007429E9">
        <w:rPr>
          <w:szCs w:val="18"/>
        </w:rPr>
        <w:t xml:space="preserve"> </w:t>
      </w:r>
      <w:r>
        <w:rPr>
          <w:szCs w:val="18"/>
        </w:rPr>
        <w:t>considering</w:t>
      </w:r>
      <w:r w:rsidRPr="007429E9">
        <w:rPr>
          <w:szCs w:val="18"/>
        </w:rPr>
        <w:t xml:space="preserve"> the worst-case flash</w:t>
      </w:r>
      <w:r>
        <w:rPr>
          <w:szCs w:val="18"/>
        </w:rPr>
        <w:t>-</w:t>
      </w:r>
      <w:r w:rsidRPr="007429E9">
        <w:rPr>
          <w:szCs w:val="18"/>
        </w:rPr>
        <w:t xml:space="preserve">fire scenario. Within this </w:t>
      </w:r>
      <w:r>
        <w:rPr>
          <w:szCs w:val="18"/>
        </w:rPr>
        <w:t xml:space="preserve">exclusion </w:t>
      </w:r>
      <w:r w:rsidRPr="007429E9">
        <w:rPr>
          <w:szCs w:val="18"/>
        </w:rPr>
        <w:t>zone, strict controls prevent ignition sources, public access, and high-risk activities.</w:t>
      </w:r>
      <w:r>
        <w:rPr>
          <w:szCs w:val="18"/>
        </w:rPr>
        <w:t xml:space="preserve"> </w:t>
      </w:r>
    </w:p>
    <w:p w14:paraId="53D8D2DF" w14:textId="77777777" w:rsidR="006E4E8B" w:rsidRDefault="006E4E8B" w:rsidP="006E4E8B">
      <w:pPr>
        <w:pStyle w:val="CETListbullets"/>
        <w:spacing w:after="200" w:line="276" w:lineRule="auto"/>
        <w:ind w:left="0" w:firstLine="0"/>
        <w:jc w:val="left"/>
      </w:pPr>
      <w:r w:rsidRPr="00931038">
        <w:rPr>
          <w:noProof/>
          <w:lang w:val="it-IT" w:eastAsia="it-IT"/>
        </w:rPr>
        <w:drawing>
          <wp:inline distT="0" distB="0" distL="0" distR="0" wp14:anchorId="6E723D57" wp14:editId="2FA826E5">
            <wp:extent cx="1700212" cy="953719"/>
            <wp:effectExtent l="0" t="0" r="0" b="0"/>
            <wp:docPr id="1301498286" name="Immagine 1" descr="Immagine che contiene nave, nat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98286" name="Immagine 1" descr="Immagine che contiene nave, natante&#10;&#10;Il contenuto generato dall'IA potrebbe non essere corretto."/>
                    <pic:cNvPicPr/>
                  </pic:nvPicPr>
                  <pic:blipFill rotWithShape="1">
                    <a:blip r:embed="rId14"/>
                    <a:srcRect l="12456" r="16963"/>
                    <a:stretch/>
                  </pic:blipFill>
                  <pic:spPr bwMode="auto">
                    <a:xfrm>
                      <a:off x="0" y="0"/>
                      <a:ext cx="1748979" cy="981074"/>
                    </a:xfrm>
                    <a:prstGeom prst="rect">
                      <a:avLst/>
                    </a:prstGeom>
                    <a:ln>
                      <a:noFill/>
                    </a:ln>
                    <a:extLst>
                      <a:ext uri="{53640926-AAD7-44D8-BBD7-CCE9431645EC}">
                        <a14:shadowObscured xmlns:a14="http://schemas.microsoft.com/office/drawing/2010/main"/>
                      </a:ext>
                    </a:extLst>
                  </pic:spPr>
                </pic:pic>
              </a:graphicData>
            </a:graphic>
          </wp:inline>
        </w:drawing>
      </w:r>
      <w:r w:rsidRPr="009063E4">
        <w:rPr>
          <w:noProof/>
          <w:lang w:val="it-IT" w:eastAsia="it-IT"/>
        </w:rPr>
        <w:drawing>
          <wp:inline distT="0" distB="0" distL="0" distR="0" wp14:anchorId="60E8F56F" wp14:editId="3E8DB9CD">
            <wp:extent cx="3794127" cy="1169894"/>
            <wp:effectExtent l="0" t="0" r="0" b="0"/>
            <wp:docPr id="1117200179" name="Immagine 1" descr="Immagine che contiene nave, diagramma, nat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00179" name="Immagine 1" descr="Immagine che contiene nave, diagramma, natante&#10;&#10;Il contenuto generato dall'IA potrebbe non essere corretto."/>
                    <pic:cNvPicPr/>
                  </pic:nvPicPr>
                  <pic:blipFill>
                    <a:blip r:embed="rId15"/>
                    <a:stretch>
                      <a:fillRect/>
                    </a:stretch>
                  </pic:blipFill>
                  <pic:spPr>
                    <a:xfrm>
                      <a:off x="0" y="0"/>
                      <a:ext cx="4129451" cy="1273289"/>
                    </a:xfrm>
                    <a:prstGeom prst="rect">
                      <a:avLst/>
                    </a:prstGeom>
                  </pic:spPr>
                </pic:pic>
              </a:graphicData>
            </a:graphic>
          </wp:inline>
        </w:drawing>
      </w:r>
    </w:p>
    <w:p w14:paraId="401E88C8" w14:textId="6C19C485" w:rsidR="006E4E8B" w:rsidRDefault="006E4E8B" w:rsidP="006E4E8B">
      <w:pPr>
        <w:pStyle w:val="CETCaption"/>
        <w:rPr>
          <w:rStyle w:val="CETCaptionCarattere"/>
          <w:i/>
        </w:rPr>
      </w:pPr>
      <w:r w:rsidRPr="006E4E8B">
        <w:rPr>
          <w:rStyle w:val="CETCaptionCarattere"/>
          <w:i/>
        </w:rPr>
        <w:t xml:space="preserve">Figure 2: </w:t>
      </w:r>
      <w:r w:rsidR="00630853" w:rsidRPr="006E4E8B">
        <w:rPr>
          <w:rStyle w:val="CETCaptionCarattere"/>
          <w:i/>
        </w:rPr>
        <w:t xml:space="preserve">Safety Zone extent </w:t>
      </w:r>
      <w:r w:rsidR="00630853">
        <w:rPr>
          <w:rStyle w:val="CETCaptionCarattere"/>
          <w:i/>
        </w:rPr>
        <w:t xml:space="preserve">a </w:t>
      </w:r>
      <w:r w:rsidRPr="006E4E8B">
        <w:rPr>
          <w:rStyle w:val="CETCaptionCarattere"/>
          <w:i/>
        </w:rPr>
        <w:t>(left</w:t>
      </w:r>
      <w:r w:rsidR="006F3B6E">
        <w:rPr>
          <w:rStyle w:val="CETCaptionCarattere"/>
          <w:i/>
        </w:rPr>
        <w:t xml:space="preserve"> hand side</w:t>
      </w:r>
      <w:r w:rsidRPr="006E4E8B">
        <w:rPr>
          <w:rStyle w:val="CETCaptionCarattere"/>
          <w:i/>
        </w:rPr>
        <w:t xml:space="preserve">) </w:t>
      </w:r>
      <w:r w:rsidR="00630853">
        <w:rPr>
          <w:rStyle w:val="CETCaptionCarattere"/>
          <w:i/>
        </w:rPr>
        <w:t>t</w:t>
      </w:r>
      <w:r w:rsidRPr="006E4E8B">
        <w:rPr>
          <w:rStyle w:val="CETCaptionCarattere"/>
          <w:i/>
        </w:rPr>
        <w:t>op view</w:t>
      </w:r>
      <w:r w:rsidR="005B7FD6">
        <w:rPr>
          <w:rStyle w:val="CETCaptionCarattere"/>
          <w:i/>
        </w:rPr>
        <w:t>;</w:t>
      </w:r>
      <w:r w:rsidRPr="006E4E8B">
        <w:rPr>
          <w:rStyle w:val="CETCaptionCarattere"/>
          <w:i/>
        </w:rPr>
        <w:t xml:space="preserve"> </w:t>
      </w:r>
      <w:r w:rsidR="00630853">
        <w:rPr>
          <w:rStyle w:val="CETCaptionCarattere"/>
          <w:i/>
        </w:rPr>
        <w:t>b (</w:t>
      </w:r>
      <w:r w:rsidRPr="006E4E8B">
        <w:rPr>
          <w:rStyle w:val="CETCaptionCarattere"/>
          <w:i/>
        </w:rPr>
        <w:t>right</w:t>
      </w:r>
      <w:r w:rsidR="006F3B6E">
        <w:rPr>
          <w:rStyle w:val="CETCaptionCarattere"/>
          <w:i/>
        </w:rPr>
        <w:t xml:space="preserve"> hand side</w:t>
      </w:r>
      <w:r w:rsidRPr="006E4E8B">
        <w:rPr>
          <w:rStyle w:val="CETCaptionCarattere"/>
          <w:i/>
        </w:rPr>
        <w:t xml:space="preserve">) - </w:t>
      </w:r>
      <w:r w:rsidR="00630853">
        <w:rPr>
          <w:rStyle w:val="CETCaptionCarattere"/>
          <w:i/>
        </w:rPr>
        <w:t>l</w:t>
      </w:r>
      <w:r w:rsidRPr="006E4E8B">
        <w:rPr>
          <w:rStyle w:val="CETCaptionCarattere"/>
          <w:i/>
        </w:rPr>
        <w:t>ongitudinal view.</w:t>
      </w:r>
    </w:p>
    <w:p w14:paraId="0ADBF0BA" w14:textId="77777777" w:rsidR="00D27197" w:rsidRPr="007429E9" w:rsidRDefault="00D27197" w:rsidP="00D27197">
      <w:pPr>
        <w:pStyle w:val="Paragrafoelenco"/>
        <w:ind w:left="0"/>
        <w:rPr>
          <w:szCs w:val="18"/>
        </w:rPr>
      </w:pPr>
      <w:r w:rsidRPr="007429E9">
        <w:rPr>
          <w:szCs w:val="18"/>
        </w:rPr>
        <w:lastRenderedPageBreak/>
        <w:t>The Safety Zone extends 45 meters radius from</w:t>
      </w:r>
      <w:r>
        <w:rPr>
          <w:szCs w:val="18"/>
        </w:rPr>
        <w:t xml:space="preserve"> the</w:t>
      </w:r>
      <w:r w:rsidRPr="007429E9">
        <w:rPr>
          <w:szCs w:val="18"/>
        </w:rPr>
        <w:t xml:space="preserve"> release point, </w:t>
      </w:r>
      <w:r>
        <w:rPr>
          <w:szCs w:val="18"/>
        </w:rPr>
        <w:t xml:space="preserve">as </w:t>
      </w:r>
      <w:r w:rsidRPr="007429E9">
        <w:rPr>
          <w:szCs w:val="18"/>
        </w:rPr>
        <w:t xml:space="preserve">clearly </w:t>
      </w:r>
      <w:r>
        <w:rPr>
          <w:szCs w:val="18"/>
        </w:rPr>
        <w:t>depicted</w:t>
      </w:r>
      <w:r w:rsidRPr="007429E9">
        <w:rPr>
          <w:szCs w:val="18"/>
        </w:rPr>
        <w:t xml:space="preserve"> in Fig</w:t>
      </w:r>
      <w:r>
        <w:rPr>
          <w:szCs w:val="18"/>
        </w:rPr>
        <w:t>.</w:t>
      </w:r>
      <w:r w:rsidRPr="007429E9">
        <w:rPr>
          <w:szCs w:val="18"/>
        </w:rPr>
        <w:t xml:space="preserve"> 2 </w:t>
      </w:r>
      <w:proofErr w:type="spellStart"/>
      <w:r>
        <w:rPr>
          <w:szCs w:val="18"/>
        </w:rPr>
        <w:t>a,b</w:t>
      </w:r>
      <w:proofErr w:type="spellEnd"/>
      <w:r>
        <w:rPr>
          <w:szCs w:val="18"/>
        </w:rPr>
        <w:t xml:space="preserve"> showing respectively the t</w:t>
      </w:r>
      <w:r w:rsidRPr="007429E9">
        <w:rPr>
          <w:szCs w:val="18"/>
        </w:rPr>
        <w:t>op</w:t>
      </w:r>
      <w:r>
        <w:rPr>
          <w:szCs w:val="18"/>
        </w:rPr>
        <w:t xml:space="preserve"> and longitudinal ship </w:t>
      </w:r>
      <w:r w:rsidRPr="007429E9">
        <w:rPr>
          <w:szCs w:val="18"/>
        </w:rPr>
        <w:t>views. Th</w:t>
      </w:r>
      <w:r>
        <w:rPr>
          <w:szCs w:val="18"/>
        </w:rPr>
        <w:t xml:space="preserve">e overall safety zone </w:t>
      </w:r>
      <w:r w:rsidRPr="007429E9">
        <w:rPr>
          <w:szCs w:val="18"/>
        </w:rPr>
        <w:t>encompasses</w:t>
      </w:r>
      <w:r>
        <w:rPr>
          <w:szCs w:val="18"/>
        </w:rPr>
        <w:t xml:space="preserve"> onboard and external exclusion zone, as follows</w:t>
      </w:r>
      <w:r w:rsidRPr="007429E9">
        <w:rPr>
          <w:szCs w:val="18"/>
        </w:rPr>
        <w:t>:</w:t>
      </w:r>
    </w:p>
    <w:p w14:paraId="32AEC25F" w14:textId="77777777" w:rsidR="00D27197" w:rsidRPr="007429E9" w:rsidRDefault="00D27197" w:rsidP="00D27197">
      <w:pPr>
        <w:pStyle w:val="Paragrafoelenco"/>
        <w:numPr>
          <w:ilvl w:val="0"/>
          <w:numId w:val="35"/>
        </w:numPr>
        <w:rPr>
          <w:szCs w:val="18"/>
        </w:rPr>
      </w:pPr>
      <w:r w:rsidRPr="007429E9">
        <w:rPr>
          <w:szCs w:val="18"/>
        </w:rPr>
        <w:t>Inside zone (0-45m): No personnel except essential crew; no hot work, vehicles, or smoking;</w:t>
      </w:r>
    </w:p>
    <w:p w14:paraId="75639631" w14:textId="77777777" w:rsidR="00D27197" w:rsidRPr="007429E9" w:rsidRDefault="00D27197" w:rsidP="00D27197">
      <w:pPr>
        <w:pStyle w:val="Paragrafoelenco"/>
        <w:numPr>
          <w:ilvl w:val="0"/>
          <w:numId w:val="35"/>
        </w:numPr>
        <w:rPr>
          <w:szCs w:val="18"/>
        </w:rPr>
      </w:pPr>
      <w:r w:rsidRPr="007429E9">
        <w:rPr>
          <w:szCs w:val="18"/>
        </w:rPr>
        <w:t>Outside zone (&gt;45m): Normal passenger embarkation allowed.</w:t>
      </w:r>
    </w:p>
    <w:p w14:paraId="2139CED2" w14:textId="77777777" w:rsidR="00630853" w:rsidRDefault="00630853" w:rsidP="00630853">
      <w:pPr>
        <w:pStyle w:val="Paragrafoelenco"/>
        <w:ind w:left="0"/>
        <w:rPr>
          <w:szCs w:val="18"/>
        </w:rPr>
      </w:pPr>
      <w:r w:rsidRPr="007429E9">
        <w:rPr>
          <w:szCs w:val="18"/>
        </w:rPr>
        <w:t xml:space="preserve">Considering the results of the </w:t>
      </w:r>
      <w:r>
        <w:rPr>
          <w:szCs w:val="18"/>
        </w:rPr>
        <w:t xml:space="preserve">performed </w:t>
      </w:r>
      <w:r w:rsidRPr="007429E9">
        <w:rPr>
          <w:szCs w:val="18"/>
        </w:rPr>
        <w:t xml:space="preserve">simulations, the Safety Zone </w:t>
      </w:r>
      <w:r w:rsidRPr="00630853">
        <w:rPr>
          <w:szCs w:val="18"/>
        </w:rPr>
        <w:t>corresponds to the high</w:t>
      </w:r>
      <w:r w:rsidRPr="007429E9">
        <w:rPr>
          <w:szCs w:val="18"/>
        </w:rPr>
        <w:t>-lethality damage area associated with the Flash fire scenario.</w:t>
      </w:r>
    </w:p>
    <w:p w14:paraId="16D96B6E" w14:textId="64F49475" w:rsidR="009524E6" w:rsidRPr="007429E9" w:rsidRDefault="00630853" w:rsidP="009524E6">
      <w:pPr>
        <w:pStyle w:val="Paragrafoelenco"/>
        <w:ind w:left="0"/>
        <w:rPr>
          <w:szCs w:val="18"/>
        </w:rPr>
      </w:pPr>
      <w:r w:rsidRPr="00630853">
        <w:rPr>
          <w:szCs w:val="18"/>
        </w:rPr>
        <w:t xml:space="preserve">Practical implementation in the urban port </w:t>
      </w:r>
      <w:r>
        <w:rPr>
          <w:szCs w:val="18"/>
        </w:rPr>
        <w:t>needs</w:t>
      </w:r>
      <w:r w:rsidRPr="00630853">
        <w:rPr>
          <w:szCs w:val="18"/>
        </w:rPr>
        <w:t xml:space="preserve"> integrating robust, risk-based mitigation measures, including potential structural shielding, strict ignition source controls, and enhanced emergency response planning within the </w:t>
      </w:r>
      <w:r>
        <w:rPr>
          <w:szCs w:val="18"/>
        </w:rPr>
        <w:t>potential impact distance:</w:t>
      </w:r>
    </w:p>
    <w:p w14:paraId="2DFB097E" w14:textId="77777777" w:rsidR="009524E6" w:rsidRPr="007429E9" w:rsidRDefault="009524E6" w:rsidP="009524E6">
      <w:pPr>
        <w:pStyle w:val="Paragrafoelenco"/>
        <w:numPr>
          <w:ilvl w:val="0"/>
          <w:numId w:val="37"/>
        </w:numPr>
        <w:rPr>
          <w:szCs w:val="18"/>
        </w:rPr>
      </w:pPr>
      <w:r w:rsidRPr="007429E9">
        <w:rPr>
          <w:szCs w:val="18"/>
        </w:rPr>
        <w:t>Bunker vessel → 45m exclusion radius clears adjacent berths;</w:t>
      </w:r>
    </w:p>
    <w:p w14:paraId="12A7F8E6" w14:textId="77777777" w:rsidR="009524E6" w:rsidRPr="007429E9" w:rsidRDefault="009524E6" w:rsidP="009524E6">
      <w:pPr>
        <w:pStyle w:val="Paragrafoelenco"/>
        <w:numPr>
          <w:ilvl w:val="0"/>
          <w:numId w:val="37"/>
        </w:numPr>
        <w:rPr>
          <w:szCs w:val="18"/>
        </w:rPr>
      </w:pPr>
      <w:r w:rsidRPr="007429E9">
        <w:rPr>
          <w:szCs w:val="18"/>
        </w:rPr>
        <w:t>Passenger gangways → Outside zone (typically 60m+ from manifold);</w:t>
      </w:r>
    </w:p>
    <w:p w14:paraId="51044607" w14:textId="77777777" w:rsidR="009524E6" w:rsidRPr="007429E9" w:rsidRDefault="009524E6" w:rsidP="009524E6">
      <w:pPr>
        <w:pStyle w:val="Paragrafoelenco"/>
        <w:numPr>
          <w:ilvl w:val="0"/>
          <w:numId w:val="37"/>
        </w:numPr>
        <w:rPr>
          <w:szCs w:val="18"/>
        </w:rPr>
      </w:pPr>
      <w:r w:rsidRPr="007429E9">
        <w:rPr>
          <w:szCs w:val="18"/>
        </w:rPr>
        <w:t>Terminal buildings → 200m+ distance, no</w:t>
      </w:r>
      <w:r>
        <w:rPr>
          <w:szCs w:val="18"/>
        </w:rPr>
        <w:t>-</w:t>
      </w:r>
      <w:r w:rsidRPr="007429E9">
        <w:rPr>
          <w:szCs w:val="18"/>
        </w:rPr>
        <w:t>exposure;</w:t>
      </w:r>
    </w:p>
    <w:p w14:paraId="2BFF5668" w14:textId="77777777" w:rsidR="009524E6" w:rsidRPr="007429E9" w:rsidRDefault="009524E6" w:rsidP="009524E6">
      <w:pPr>
        <w:pStyle w:val="Paragrafoelenco"/>
        <w:numPr>
          <w:ilvl w:val="0"/>
          <w:numId w:val="36"/>
        </w:numPr>
        <w:rPr>
          <w:i/>
          <w:iCs/>
        </w:rPr>
      </w:pPr>
      <w:r w:rsidRPr="007429E9">
        <w:rPr>
          <w:szCs w:val="18"/>
        </w:rPr>
        <w:t>Tug boats → Stationed at safe distance during bunkering.</w:t>
      </w:r>
    </w:p>
    <w:p w14:paraId="7DA2A1C7" w14:textId="77777777" w:rsidR="009524E6" w:rsidRDefault="009524E6" w:rsidP="009524E6">
      <w:pPr>
        <w:rPr>
          <w:rStyle w:val="CETCaptionCarattere"/>
          <w:i w:val="0"/>
        </w:rPr>
      </w:pPr>
      <w:r w:rsidRPr="007429E9">
        <w:rPr>
          <w:rStyle w:val="CETCaptionCarattere"/>
          <w:i w:val="0"/>
        </w:rPr>
        <w:t xml:space="preserve">For the </w:t>
      </w:r>
      <w:r>
        <w:rPr>
          <w:rStyle w:val="CETCaptionCarattere"/>
          <w:i w:val="0"/>
        </w:rPr>
        <w:t>relevant</w:t>
      </w:r>
      <w:r w:rsidRPr="007429E9">
        <w:rPr>
          <w:rStyle w:val="CETCaptionCarattere"/>
          <w:i w:val="0"/>
        </w:rPr>
        <w:t xml:space="preserve"> scenario</w:t>
      </w:r>
      <w:r>
        <w:rPr>
          <w:rStyle w:val="CETCaptionCarattere"/>
          <w:i w:val="0"/>
        </w:rPr>
        <w:t>s</w:t>
      </w:r>
      <w:r w:rsidRPr="007429E9">
        <w:rPr>
          <w:rStyle w:val="CETCaptionCarattere"/>
          <w:i w:val="0"/>
        </w:rPr>
        <w:t xml:space="preserve">, the </w:t>
      </w:r>
      <w:r>
        <w:rPr>
          <w:rStyle w:val="CETCaptionCarattere"/>
          <w:i w:val="0"/>
        </w:rPr>
        <w:t xml:space="preserve">individual risk </w:t>
      </w:r>
      <w:r w:rsidRPr="007429E9">
        <w:rPr>
          <w:rStyle w:val="CETCaptionCarattere"/>
          <w:i w:val="0"/>
        </w:rPr>
        <w:t xml:space="preserve">IR </w:t>
      </w:r>
      <w:r>
        <w:rPr>
          <w:rStyle w:val="CETCaptionCarattere"/>
          <w:i w:val="0"/>
        </w:rPr>
        <w:t>was calculated, provided that all the safety procedures are strictly followed, obtaining the results summarized in Table 3 for</w:t>
      </w:r>
      <w:r w:rsidRPr="007429E9">
        <w:rPr>
          <w:rStyle w:val="CETCaptionCarattere"/>
          <w:i w:val="0"/>
        </w:rPr>
        <w:t xml:space="preserve"> all </w:t>
      </w:r>
      <w:r>
        <w:rPr>
          <w:rStyle w:val="CETCaptionCarattere"/>
          <w:i w:val="0"/>
        </w:rPr>
        <w:t xml:space="preserve">target </w:t>
      </w:r>
      <w:r w:rsidRPr="007429E9">
        <w:rPr>
          <w:rStyle w:val="CETCaptionCarattere"/>
          <w:i w:val="0"/>
        </w:rPr>
        <w:t>groups.</w:t>
      </w:r>
    </w:p>
    <w:p w14:paraId="4F362B56" w14:textId="6C87A835" w:rsidR="00FB1B8A" w:rsidRPr="00540567" w:rsidRDefault="00FB1B8A" w:rsidP="00406403">
      <w:pPr>
        <w:spacing w:before="240" w:after="80"/>
        <w:rPr>
          <w:i/>
          <w:iCs/>
        </w:rPr>
      </w:pPr>
      <w:r w:rsidRPr="00540567">
        <w:rPr>
          <w:i/>
          <w:iCs/>
        </w:rPr>
        <w:t xml:space="preserve">Table 4: </w:t>
      </w:r>
      <w:r w:rsidRPr="00540567">
        <w:rPr>
          <w:rStyle w:val="CETCaptionCarattere"/>
        </w:rPr>
        <w:t>Individual risk for all considered target groups.</w:t>
      </w:r>
      <w:r w:rsidRPr="00540567">
        <w:rPr>
          <w:rStyle w:val="CETCaptionCarattere"/>
          <w:i w:val="0"/>
          <w:iCs/>
        </w:rPr>
        <w:t xml:space="preserve"> </w:t>
      </w:r>
    </w:p>
    <w:tbl>
      <w:tblPr>
        <w:tblW w:w="850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3544"/>
        <w:gridCol w:w="1701"/>
        <w:gridCol w:w="1559"/>
      </w:tblGrid>
      <w:tr w:rsidR="00FB1B8A" w:rsidRPr="00B57B36" w14:paraId="28FAA8CA" w14:textId="77777777" w:rsidTr="005B24D2">
        <w:tc>
          <w:tcPr>
            <w:tcW w:w="1701" w:type="dxa"/>
            <w:tcBorders>
              <w:top w:val="single" w:sz="12" w:space="0" w:color="008000"/>
              <w:bottom w:val="single" w:sz="6" w:space="0" w:color="008000"/>
            </w:tcBorders>
            <w:shd w:val="clear" w:color="auto" w:fill="FFFFFF"/>
          </w:tcPr>
          <w:p w14:paraId="6C29728F" w14:textId="110AF05C" w:rsidR="00FB1B8A" w:rsidRPr="00B57B36" w:rsidRDefault="00FB1B8A" w:rsidP="00826229">
            <w:pPr>
              <w:pStyle w:val="CETBodytext"/>
              <w:rPr>
                <w:lang w:val="en-GB"/>
              </w:rPr>
            </w:pPr>
            <w:r>
              <w:rPr>
                <w:lang w:val="en-GB"/>
              </w:rPr>
              <w:t>T</w:t>
            </w:r>
            <w:proofErr w:type="spellStart"/>
            <w:r>
              <w:t>arget</w:t>
            </w:r>
            <w:proofErr w:type="spellEnd"/>
            <w:r w:rsidRPr="00B57B36">
              <w:rPr>
                <w:lang w:val="en-GB"/>
              </w:rPr>
              <w:t xml:space="preserve"> </w:t>
            </w:r>
          </w:p>
        </w:tc>
        <w:tc>
          <w:tcPr>
            <w:tcW w:w="3544" w:type="dxa"/>
            <w:tcBorders>
              <w:top w:val="single" w:sz="12" w:space="0" w:color="008000"/>
              <w:bottom w:val="single" w:sz="6" w:space="0" w:color="008000"/>
            </w:tcBorders>
            <w:shd w:val="clear" w:color="auto" w:fill="FFFFFF"/>
          </w:tcPr>
          <w:p w14:paraId="0D1CBC82" w14:textId="34B68735" w:rsidR="00FB1B8A" w:rsidRPr="00B57B36" w:rsidRDefault="00FB1B8A" w:rsidP="00826229">
            <w:pPr>
              <w:pStyle w:val="CETBodytext"/>
              <w:rPr>
                <w:lang w:val="en-GB"/>
              </w:rPr>
            </w:pPr>
            <w:r>
              <w:rPr>
                <w:lang w:val="en-GB"/>
              </w:rPr>
              <w:t>L</w:t>
            </w:r>
            <w:proofErr w:type="spellStart"/>
            <w:r>
              <w:t>ocation</w:t>
            </w:r>
            <w:proofErr w:type="spellEnd"/>
          </w:p>
        </w:tc>
        <w:tc>
          <w:tcPr>
            <w:tcW w:w="1701" w:type="dxa"/>
            <w:tcBorders>
              <w:top w:val="single" w:sz="12" w:space="0" w:color="008000"/>
              <w:bottom w:val="single" w:sz="6" w:space="0" w:color="008000"/>
            </w:tcBorders>
            <w:shd w:val="clear" w:color="auto" w:fill="FFFFFF"/>
          </w:tcPr>
          <w:p w14:paraId="227871B7" w14:textId="214469AE" w:rsidR="00FB1B8A" w:rsidRPr="00B57B36" w:rsidRDefault="00FB1B8A" w:rsidP="00826229">
            <w:pPr>
              <w:pStyle w:val="CETBodytext"/>
              <w:rPr>
                <w:lang w:val="en-GB"/>
              </w:rPr>
            </w:pPr>
            <w:r>
              <w:rPr>
                <w:lang w:val="en-GB"/>
              </w:rPr>
              <w:t>J</w:t>
            </w:r>
            <w:r>
              <w:t>et Fire IR</w:t>
            </w:r>
            <w:r w:rsidR="00A4114C">
              <w:t xml:space="preserve"> [</w:t>
            </w:r>
            <w:r w:rsidR="00A4114C" w:rsidRPr="00A4114C">
              <w:t>y</w:t>
            </w:r>
            <w:r w:rsidR="00A4114C" w:rsidRPr="00A4114C">
              <w:rPr>
                <w:vertAlign w:val="superscript"/>
              </w:rPr>
              <w:t>-1</w:t>
            </w:r>
            <w:r w:rsidR="00A4114C">
              <w:t>]</w:t>
            </w:r>
          </w:p>
        </w:tc>
        <w:tc>
          <w:tcPr>
            <w:tcW w:w="1559" w:type="dxa"/>
            <w:tcBorders>
              <w:top w:val="single" w:sz="12" w:space="0" w:color="008000"/>
              <w:bottom w:val="single" w:sz="6" w:space="0" w:color="008000"/>
            </w:tcBorders>
            <w:shd w:val="clear" w:color="auto" w:fill="FFFFFF"/>
          </w:tcPr>
          <w:p w14:paraId="01AF2C96" w14:textId="35239F0F" w:rsidR="00FB1B8A" w:rsidRPr="00B57B36" w:rsidRDefault="00FB1B8A" w:rsidP="00826229">
            <w:pPr>
              <w:pStyle w:val="CETBodytext"/>
              <w:ind w:right="-1"/>
              <w:rPr>
                <w:rFonts w:cs="Arial"/>
                <w:szCs w:val="18"/>
                <w:lang w:val="en-GB"/>
              </w:rPr>
            </w:pPr>
            <w:r>
              <w:rPr>
                <w:rFonts w:cs="Arial"/>
                <w:szCs w:val="18"/>
                <w:lang w:val="en-GB"/>
              </w:rPr>
              <w:t>S</w:t>
            </w:r>
            <w:r>
              <w:rPr>
                <w:rFonts w:cs="Arial"/>
                <w:szCs w:val="18"/>
              </w:rPr>
              <w:t>tatus</w:t>
            </w:r>
          </w:p>
        </w:tc>
      </w:tr>
      <w:tr w:rsidR="00FB1B8A" w:rsidRPr="00B57B36" w14:paraId="702381CB" w14:textId="77777777" w:rsidTr="005B24D2">
        <w:tc>
          <w:tcPr>
            <w:tcW w:w="1701" w:type="dxa"/>
            <w:shd w:val="clear" w:color="auto" w:fill="FFFFFF"/>
            <w:vAlign w:val="center"/>
          </w:tcPr>
          <w:p w14:paraId="332A0A60" w14:textId="175C2F37" w:rsidR="00FB1B8A" w:rsidRPr="00B57B36" w:rsidRDefault="00FB1B8A" w:rsidP="00FB1B8A">
            <w:pPr>
              <w:pStyle w:val="CETBodytext"/>
              <w:rPr>
                <w:lang w:val="en-GB"/>
              </w:rPr>
            </w:pPr>
            <w:r w:rsidRPr="00501121">
              <w:rPr>
                <w:szCs w:val="18"/>
                <w:lang w:val="it-IT"/>
              </w:rPr>
              <w:t>Crew</w:t>
            </w:r>
          </w:p>
        </w:tc>
        <w:tc>
          <w:tcPr>
            <w:tcW w:w="3544" w:type="dxa"/>
            <w:shd w:val="clear" w:color="auto" w:fill="FFFFFF"/>
            <w:vAlign w:val="center"/>
          </w:tcPr>
          <w:p w14:paraId="6EDCD92B" w14:textId="468BFFF6" w:rsidR="00FB1B8A" w:rsidRPr="00B57B36" w:rsidRDefault="00FB1B8A" w:rsidP="00FB1B8A">
            <w:pPr>
              <w:pStyle w:val="CETBodytext"/>
              <w:rPr>
                <w:lang w:val="en-GB"/>
              </w:rPr>
            </w:pPr>
            <w:r w:rsidRPr="00501121">
              <w:rPr>
                <w:szCs w:val="18"/>
                <w:lang w:val="it-IT"/>
              </w:rPr>
              <w:t xml:space="preserve">On deck </w:t>
            </w:r>
            <w:proofErr w:type="spellStart"/>
            <w:r w:rsidRPr="00501121">
              <w:rPr>
                <w:szCs w:val="18"/>
                <w:lang w:val="it-IT"/>
              </w:rPr>
              <w:t>near</w:t>
            </w:r>
            <w:proofErr w:type="spellEnd"/>
            <w:r w:rsidRPr="00501121">
              <w:rPr>
                <w:szCs w:val="18"/>
                <w:lang w:val="it-IT"/>
              </w:rPr>
              <w:t xml:space="preserve"> </w:t>
            </w:r>
            <w:proofErr w:type="spellStart"/>
            <w:r w:rsidRPr="00501121">
              <w:rPr>
                <w:szCs w:val="18"/>
                <w:lang w:val="it-IT"/>
              </w:rPr>
              <w:t>manifold</w:t>
            </w:r>
            <w:proofErr w:type="spellEnd"/>
          </w:p>
        </w:tc>
        <w:tc>
          <w:tcPr>
            <w:tcW w:w="1701" w:type="dxa"/>
            <w:shd w:val="clear" w:color="auto" w:fill="FFFFFF"/>
            <w:vAlign w:val="center"/>
          </w:tcPr>
          <w:p w14:paraId="29842DB9" w14:textId="03E755F0" w:rsidR="00FB1B8A" w:rsidRPr="00B57B36" w:rsidRDefault="00FB1B8A" w:rsidP="00FB1B8A">
            <w:pPr>
              <w:pStyle w:val="CETBodytext"/>
              <w:rPr>
                <w:lang w:val="en-GB"/>
              </w:rPr>
            </w:pPr>
            <w:r w:rsidRPr="00501121">
              <w:rPr>
                <w:szCs w:val="18"/>
                <w:lang w:val="it-IT"/>
              </w:rPr>
              <w:t>1.34×10</w:t>
            </w:r>
            <w:r w:rsidRPr="00501121">
              <w:rPr>
                <w:rFonts w:ascii="Cambria Math" w:hAnsi="Cambria Math" w:cs="Cambria Math"/>
                <w:szCs w:val="18"/>
                <w:lang w:val="it-IT"/>
              </w:rPr>
              <w:t>⁻</w:t>
            </w:r>
            <w:r w:rsidRPr="00501121">
              <w:rPr>
                <w:rFonts w:cs="Arial"/>
                <w:szCs w:val="18"/>
                <w:lang w:val="it-IT"/>
              </w:rPr>
              <w:t>⁷</w:t>
            </w:r>
          </w:p>
        </w:tc>
        <w:tc>
          <w:tcPr>
            <w:tcW w:w="1559" w:type="dxa"/>
            <w:shd w:val="clear" w:color="auto" w:fill="FFFFFF"/>
            <w:vAlign w:val="center"/>
          </w:tcPr>
          <w:p w14:paraId="4EDAE9A6" w14:textId="5CD89C4C" w:rsidR="00FB1B8A" w:rsidRPr="00B57B36" w:rsidRDefault="00FB1B8A" w:rsidP="00FB1B8A">
            <w:pPr>
              <w:pStyle w:val="CETBodytext"/>
              <w:ind w:right="-1"/>
              <w:rPr>
                <w:rFonts w:cs="Arial"/>
                <w:szCs w:val="18"/>
                <w:lang w:val="en-GB"/>
              </w:rPr>
            </w:pPr>
            <w:proofErr w:type="spellStart"/>
            <w:r w:rsidRPr="00501121">
              <w:rPr>
                <w:szCs w:val="18"/>
                <w:lang w:val="it-IT"/>
              </w:rPr>
              <w:t>Acceptable</w:t>
            </w:r>
            <w:proofErr w:type="spellEnd"/>
            <w:r w:rsidRPr="00501121">
              <w:rPr>
                <w:szCs w:val="18"/>
                <w:lang w:val="it-IT"/>
              </w:rPr>
              <w:t>​</w:t>
            </w:r>
          </w:p>
        </w:tc>
      </w:tr>
      <w:tr w:rsidR="00FB1B8A" w:rsidRPr="00B57B36" w14:paraId="44486853" w14:textId="77777777" w:rsidTr="005B24D2">
        <w:tc>
          <w:tcPr>
            <w:tcW w:w="1701" w:type="dxa"/>
            <w:shd w:val="clear" w:color="auto" w:fill="FFFFFF"/>
            <w:vAlign w:val="center"/>
          </w:tcPr>
          <w:p w14:paraId="26E68883" w14:textId="1D4BCB88" w:rsidR="00FB1B8A" w:rsidRPr="00B57B36" w:rsidRDefault="00FB1B8A" w:rsidP="00FB1B8A">
            <w:pPr>
              <w:pStyle w:val="CETBodytext"/>
              <w:ind w:right="-1"/>
              <w:rPr>
                <w:rFonts w:cs="Arial"/>
                <w:szCs w:val="18"/>
                <w:lang w:val="en-GB"/>
              </w:rPr>
            </w:pPr>
            <w:proofErr w:type="spellStart"/>
            <w:r w:rsidRPr="00501121">
              <w:rPr>
                <w:szCs w:val="18"/>
                <w:lang w:val="it-IT"/>
              </w:rPr>
              <w:t>Passengers</w:t>
            </w:r>
            <w:proofErr w:type="spellEnd"/>
          </w:p>
        </w:tc>
        <w:tc>
          <w:tcPr>
            <w:tcW w:w="3544" w:type="dxa"/>
            <w:shd w:val="clear" w:color="auto" w:fill="FFFFFF"/>
            <w:vAlign w:val="center"/>
          </w:tcPr>
          <w:p w14:paraId="750FBE56" w14:textId="7FCBD501" w:rsidR="00FB1B8A" w:rsidRPr="00B57B36" w:rsidRDefault="00FB1B8A" w:rsidP="00FB1B8A">
            <w:pPr>
              <w:pStyle w:val="CETBodytext"/>
              <w:ind w:right="-1"/>
              <w:rPr>
                <w:rFonts w:cs="Arial"/>
                <w:szCs w:val="18"/>
                <w:lang w:val="en-GB"/>
              </w:rPr>
            </w:pPr>
            <w:proofErr w:type="spellStart"/>
            <w:r w:rsidRPr="00501121">
              <w:rPr>
                <w:szCs w:val="18"/>
                <w:lang w:val="it-IT"/>
              </w:rPr>
              <w:t>Gangway</w:t>
            </w:r>
            <w:proofErr w:type="spellEnd"/>
            <w:r w:rsidRPr="00501121">
              <w:rPr>
                <w:szCs w:val="18"/>
                <w:lang w:val="it-IT"/>
              </w:rPr>
              <w:t xml:space="preserve"> (</w:t>
            </w:r>
            <w:proofErr w:type="spellStart"/>
            <w:r w:rsidRPr="00501121">
              <w:rPr>
                <w:szCs w:val="18"/>
                <w:lang w:val="it-IT"/>
              </w:rPr>
              <w:t>outside</w:t>
            </w:r>
            <w:proofErr w:type="spellEnd"/>
            <w:r w:rsidRPr="00501121">
              <w:rPr>
                <w:szCs w:val="18"/>
                <w:lang w:val="it-IT"/>
              </w:rPr>
              <w:t xml:space="preserve"> Safety Zone)</w:t>
            </w:r>
          </w:p>
        </w:tc>
        <w:tc>
          <w:tcPr>
            <w:tcW w:w="1701" w:type="dxa"/>
            <w:shd w:val="clear" w:color="auto" w:fill="FFFFFF"/>
            <w:vAlign w:val="center"/>
          </w:tcPr>
          <w:p w14:paraId="7805E4A5" w14:textId="49B78056" w:rsidR="00FB1B8A" w:rsidRPr="00B57B36" w:rsidRDefault="00FB1B8A" w:rsidP="00FB1B8A">
            <w:pPr>
              <w:pStyle w:val="CETBodytext"/>
              <w:ind w:right="-1"/>
              <w:rPr>
                <w:rFonts w:cs="Arial"/>
                <w:szCs w:val="18"/>
                <w:lang w:val="en-GB"/>
              </w:rPr>
            </w:pPr>
            <w:r w:rsidRPr="00501121">
              <w:rPr>
                <w:szCs w:val="18"/>
                <w:lang w:val="it-IT"/>
              </w:rPr>
              <w:t>&lt;10</w:t>
            </w:r>
            <w:r w:rsidRPr="00501121">
              <w:rPr>
                <w:rFonts w:ascii="Cambria Math" w:hAnsi="Cambria Math" w:cs="Cambria Math"/>
                <w:szCs w:val="18"/>
                <w:lang w:val="it-IT"/>
              </w:rPr>
              <w:t>⁻</w:t>
            </w:r>
            <w:r w:rsidRPr="00501121">
              <w:rPr>
                <w:rFonts w:cs="Arial"/>
                <w:szCs w:val="18"/>
                <w:lang w:val="it-IT"/>
              </w:rPr>
              <w:t>⁸</w:t>
            </w:r>
          </w:p>
        </w:tc>
        <w:tc>
          <w:tcPr>
            <w:tcW w:w="1559" w:type="dxa"/>
            <w:shd w:val="clear" w:color="auto" w:fill="FFFFFF"/>
            <w:vAlign w:val="center"/>
          </w:tcPr>
          <w:p w14:paraId="15219471" w14:textId="1FC333F1" w:rsidR="00FB1B8A" w:rsidRPr="00B57B36" w:rsidRDefault="00FB1B8A" w:rsidP="00FB1B8A">
            <w:pPr>
              <w:pStyle w:val="CETBodytext"/>
              <w:ind w:right="-1"/>
              <w:rPr>
                <w:rFonts w:cs="Arial"/>
                <w:szCs w:val="18"/>
                <w:lang w:val="en-GB"/>
              </w:rPr>
            </w:pPr>
            <w:proofErr w:type="spellStart"/>
            <w:r w:rsidRPr="00501121">
              <w:rPr>
                <w:szCs w:val="18"/>
                <w:lang w:val="it-IT"/>
              </w:rPr>
              <w:t>Negligible</w:t>
            </w:r>
            <w:proofErr w:type="spellEnd"/>
          </w:p>
        </w:tc>
      </w:tr>
      <w:tr w:rsidR="00FB1B8A" w:rsidRPr="00B57B36" w14:paraId="35729E71" w14:textId="77777777" w:rsidTr="005B24D2">
        <w:tc>
          <w:tcPr>
            <w:tcW w:w="1701" w:type="dxa"/>
            <w:shd w:val="clear" w:color="auto" w:fill="FFFFFF"/>
            <w:vAlign w:val="center"/>
          </w:tcPr>
          <w:p w14:paraId="1D373159" w14:textId="6C98039D" w:rsidR="00FB1B8A" w:rsidRPr="00B57B36" w:rsidRDefault="00FB1B8A" w:rsidP="00FB1B8A">
            <w:pPr>
              <w:pStyle w:val="CETBodytext"/>
              <w:ind w:right="-1"/>
              <w:rPr>
                <w:rFonts w:cs="Arial"/>
                <w:szCs w:val="18"/>
                <w:lang w:val="en-GB"/>
              </w:rPr>
            </w:pPr>
            <w:r>
              <w:rPr>
                <w:szCs w:val="18"/>
                <w:lang w:val="it-IT"/>
              </w:rPr>
              <w:t>T</w:t>
            </w:r>
            <w:r w:rsidRPr="00501121">
              <w:rPr>
                <w:szCs w:val="18"/>
                <w:lang w:val="it-IT"/>
              </w:rPr>
              <w:t>erminal Workers</w:t>
            </w:r>
          </w:p>
        </w:tc>
        <w:tc>
          <w:tcPr>
            <w:tcW w:w="3544" w:type="dxa"/>
            <w:shd w:val="clear" w:color="auto" w:fill="FFFFFF"/>
            <w:vAlign w:val="center"/>
          </w:tcPr>
          <w:p w14:paraId="696CECAF" w14:textId="1ECFA06A" w:rsidR="00FB1B8A" w:rsidRPr="00B57B36" w:rsidRDefault="00FB1B8A" w:rsidP="00FB1B8A">
            <w:pPr>
              <w:pStyle w:val="CETBodytext"/>
              <w:ind w:right="-1"/>
              <w:rPr>
                <w:rFonts w:cs="Arial"/>
                <w:szCs w:val="18"/>
                <w:lang w:val="en-GB"/>
              </w:rPr>
            </w:pPr>
            <w:r w:rsidRPr="00501121">
              <w:rPr>
                <w:szCs w:val="18"/>
                <w:lang w:val="it-IT"/>
              </w:rPr>
              <w:t xml:space="preserve">Quay, </w:t>
            </w:r>
            <w:proofErr w:type="spellStart"/>
            <w:r>
              <w:rPr>
                <w:szCs w:val="18"/>
                <w:lang w:val="it-IT"/>
              </w:rPr>
              <w:t>distance</w:t>
            </w:r>
            <w:proofErr w:type="spellEnd"/>
            <w:r>
              <w:rPr>
                <w:szCs w:val="18"/>
                <w:lang w:val="it-IT"/>
              </w:rPr>
              <w:t xml:space="preserve"> &gt; </w:t>
            </w:r>
            <w:r w:rsidRPr="00501121">
              <w:rPr>
                <w:szCs w:val="18"/>
                <w:lang w:val="it-IT"/>
              </w:rPr>
              <w:t>60m</w:t>
            </w:r>
          </w:p>
        </w:tc>
        <w:tc>
          <w:tcPr>
            <w:tcW w:w="1701" w:type="dxa"/>
            <w:shd w:val="clear" w:color="auto" w:fill="FFFFFF"/>
            <w:vAlign w:val="center"/>
          </w:tcPr>
          <w:p w14:paraId="12C0EF1C" w14:textId="1E49B815" w:rsidR="00FB1B8A" w:rsidRPr="00B57B36" w:rsidRDefault="00FB1B8A" w:rsidP="00FB1B8A">
            <w:pPr>
              <w:pStyle w:val="CETBodytext"/>
              <w:ind w:right="-1"/>
              <w:rPr>
                <w:rFonts w:cs="Arial"/>
                <w:szCs w:val="18"/>
                <w:lang w:val="en-GB"/>
              </w:rPr>
            </w:pPr>
            <w:r w:rsidRPr="00501121">
              <w:rPr>
                <w:szCs w:val="18"/>
                <w:lang w:val="it-IT"/>
              </w:rPr>
              <w:t>&lt;10</w:t>
            </w:r>
            <w:r w:rsidRPr="00501121">
              <w:rPr>
                <w:rFonts w:ascii="Cambria Math" w:hAnsi="Cambria Math" w:cs="Cambria Math"/>
                <w:szCs w:val="18"/>
                <w:lang w:val="it-IT"/>
              </w:rPr>
              <w:t>⁻</w:t>
            </w:r>
            <w:r w:rsidRPr="00501121">
              <w:rPr>
                <w:rFonts w:cs="Arial"/>
                <w:szCs w:val="18"/>
                <w:lang w:val="it-IT"/>
              </w:rPr>
              <w:t>⁹</w:t>
            </w:r>
          </w:p>
        </w:tc>
        <w:tc>
          <w:tcPr>
            <w:tcW w:w="1559" w:type="dxa"/>
            <w:shd w:val="clear" w:color="auto" w:fill="FFFFFF"/>
            <w:vAlign w:val="center"/>
          </w:tcPr>
          <w:p w14:paraId="0EA1D07A" w14:textId="0D27D29A" w:rsidR="00FB1B8A" w:rsidRPr="00B57B36" w:rsidRDefault="00FB1B8A" w:rsidP="00FB1B8A">
            <w:pPr>
              <w:pStyle w:val="CETBodytext"/>
              <w:ind w:right="-1"/>
              <w:rPr>
                <w:rFonts w:cs="Arial"/>
                <w:szCs w:val="18"/>
                <w:lang w:val="en-GB"/>
              </w:rPr>
            </w:pPr>
            <w:proofErr w:type="spellStart"/>
            <w:r w:rsidRPr="00501121">
              <w:rPr>
                <w:szCs w:val="18"/>
                <w:lang w:val="it-IT"/>
              </w:rPr>
              <w:t>Negligible</w:t>
            </w:r>
            <w:proofErr w:type="spellEnd"/>
          </w:p>
        </w:tc>
      </w:tr>
      <w:tr w:rsidR="00FB1B8A" w:rsidRPr="00B57B36" w14:paraId="3D0C986A" w14:textId="77777777" w:rsidTr="005B24D2">
        <w:tc>
          <w:tcPr>
            <w:tcW w:w="1701" w:type="dxa"/>
            <w:shd w:val="clear" w:color="auto" w:fill="FFFFFF"/>
            <w:vAlign w:val="center"/>
          </w:tcPr>
          <w:p w14:paraId="000649BE" w14:textId="2929CBAF" w:rsidR="00FB1B8A" w:rsidRPr="00B57B36" w:rsidRDefault="00FB1B8A" w:rsidP="00FB1B8A">
            <w:pPr>
              <w:pStyle w:val="CETBodytext"/>
              <w:ind w:right="-1"/>
              <w:rPr>
                <w:rFonts w:cs="Arial"/>
                <w:szCs w:val="18"/>
                <w:lang w:val="en-GB"/>
              </w:rPr>
            </w:pPr>
            <w:r w:rsidRPr="00501121">
              <w:rPr>
                <w:szCs w:val="18"/>
                <w:lang w:val="it-IT"/>
              </w:rPr>
              <w:t xml:space="preserve"> Public</w:t>
            </w:r>
          </w:p>
        </w:tc>
        <w:tc>
          <w:tcPr>
            <w:tcW w:w="3544" w:type="dxa"/>
            <w:shd w:val="clear" w:color="auto" w:fill="FFFFFF"/>
            <w:vAlign w:val="center"/>
          </w:tcPr>
          <w:p w14:paraId="0C47BF24" w14:textId="0BEFFB6A" w:rsidR="00FB1B8A" w:rsidRPr="00B57B36" w:rsidRDefault="00FB1B8A" w:rsidP="00FB1B8A">
            <w:pPr>
              <w:pStyle w:val="CETBodytext"/>
              <w:ind w:right="-1"/>
              <w:rPr>
                <w:rFonts w:cs="Arial"/>
                <w:szCs w:val="18"/>
                <w:lang w:val="en-GB"/>
              </w:rPr>
            </w:pPr>
            <w:r w:rsidRPr="00501121">
              <w:rPr>
                <w:szCs w:val="18"/>
              </w:rPr>
              <w:t xml:space="preserve">Terminal buildings </w:t>
            </w:r>
            <w:r>
              <w:rPr>
                <w:szCs w:val="18"/>
              </w:rPr>
              <w:t>at</w:t>
            </w:r>
            <w:r w:rsidRPr="00501121">
              <w:rPr>
                <w:szCs w:val="18"/>
              </w:rPr>
              <w:t xml:space="preserve"> distance &gt; 200</w:t>
            </w:r>
            <w:r>
              <w:rPr>
                <w:szCs w:val="18"/>
              </w:rPr>
              <w:t xml:space="preserve"> </w:t>
            </w:r>
            <w:r w:rsidRPr="00501121">
              <w:rPr>
                <w:szCs w:val="18"/>
              </w:rPr>
              <w:t>m</w:t>
            </w:r>
          </w:p>
        </w:tc>
        <w:tc>
          <w:tcPr>
            <w:tcW w:w="1701" w:type="dxa"/>
            <w:shd w:val="clear" w:color="auto" w:fill="FFFFFF"/>
            <w:vAlign w:val="center"/>
          </w:tcPr>
          <w:p w14:paraId="377C75A3" w14:textId="6437FC0D" w:rsidR="00FB1B8A" w:rsidRPr="00B57B36" w:rsidRDefault="00FB1B8A" w:rsidP="00FB1B8A">
            <w:pPr>
              <w:pStyle w:val="CETBodytext"/>
              <w:ind w:right="-1"/>
              <w:rPr>
                <w:rFonts w:cs="Arial"/>
                <w:szCs w:val="18"/>
                <w:lang w:val="en-GB"/>
              </w:rPr>
            </w:pPr>
            <w:r w:rsidRPr="00501121">
              <w:rPr>
                <w:szCs w:val="18"/>
                <w:lang w:val="it-IT"/>
              </w:rPr>
              <w:t>&lt;10</w:t>
            </w:r>
            <w:r w:rsidRPr="00501121">
              <w:rPr>
                <w:rFonts w:ascii="Cambria Math" w:hAnsi="Cambria Math" w:cs="Cambria Math"/>
                <w:szCs w:val="18"/>
                <w:lang w:val="it-IT"/>
              </w:rPr>
              <w:t>⁻</w:t>
            </w:r>
            <w:r w:rsidRPr="00501121">
              <w:rPr>
                <w:rFonts w:cs="Arial"/>
                <w:szCs w:val="18"/>
                <w:lang w:val="it-IT"/>
              </w:rPr>
              <w:t>¹⁰</w:t>
            </w:r>
          </w:p>
        </w:tc>
        <w:tc>
          <w:tcPr>
            <w:tcW w:w="1559" w:type="dxa"/>
            <w:shd w:val="clear" w:color="auto" w:fill="FFFFFF"/>
            <w:vAlign w:val="center"/>
          </w:tcPr>
          <w:p w14:paraId="3CB9C021" w14:textId="52CD775B" w:rsidR="00FB1B8A" w:rsidRPr="00B57B36" w:rsidRDefault="00FB1B8A" w:rsidP="00FB1B8A">
            <w:pPr>
              <w:pStyle w:val="CETBodytext"/>
              <w:ind w:right="-1"/>
              <w:rPr>
                <w:rFonts w:cs="Arial"/>
                <w:szCs w:val="18"/>
                <w:lang w:val="en-GB"/>
              </w:rPr>
            </w:pPr>
            <w:proofErr w:type="spellStart"/>
            <w:r w:rsidRPr="00501121">
              <w:rPr>
                <w:szCs w:val="18"/>
                <w:lang w:val="it-IT"/>
              </w:rPr>
              <w:t>Negligible</w:t>
            </w:r>
            <w:proofErr w:type="spellEnd"/>
          </w:p>
        </w:tc>
      </w:tr>
    </w:tbl>
    <w:p w14:paraId="67329C80" w14:textId="77777777" w:rsidR="002F755D" w:rsidRDefault="002F755D" w:rsidP="009524E6">
      <w:pPr>
        <w:pStyle w:val="CETListbullets"/>
        <w:ind w:left="0" w:firstLine="0"/>
      </w:pPr>
    </w:p>
    <w:p w14:paraId="04C6B9B4" w14:textId="6BFE15BA" w:rsidR="00FB1B8A" w:rsidRDefault="00F40D22" w:rsidP="00F40D22">
      <w:pPr>
        <w:pStyle w:val="CETheadingx"/>
        <w:numPr>
          <w:ilvl w:val="0"/>
          <w:numId w:val="0"/>
        </w:numPr>
        <w:ind w:left="426" w:hanging="426"/>
      </w:pPr>
      <w:r>
        <w:t xml:space="preserve">3.2.2 </w:t>
      </w:r>
      <w:r w:rsidR="00FB1B8A">
        <w:t>SIMOPS</w:t>
      </w:r>
    </w:p>
    <w:p w14:paraId="3F7CB956" w14:textId="77777777" w:rsidR="00FB1B8A" w:rsidRDefault="00FB1B8A" w:rsidP="00FB1B8A">
      <w:pPr>
        <w:pStyle w:val="Paragrafoelenco"/>
        <w:ind w:left="0"/>
        <w:rPr>
          <w:szCs w:val="18"/>
        </w:rPr>
      </w:pPr>
      <w:r w:rsidRPr="00BB0A58">
        <w:rPr>
          <w:lang w:val="en-US"/>
        </w:rPr>
        <w:t>To identify the simultaneous operations allowed during bunkering (SIMOPS), when the risk-based approach is</w:t>
      </w:r>
      <w:r w:rsidRPr="007429E9">
        <w:rPr>
          <w:szCs w:val="18"/>
        </w:rPr>
        <w:t xml:space="preserve"> used, VVF-CP 2021 matrix permits Category A operations for scenarios &lt;10</w:t>
      </w:r>
      <w:r w:rsidRPr="007429E9">
        <w:rPr>
          <w:rFonts w:ascii="Cambria Math" w:hAnsi="Cambria Math" w:cs="Cambria Math"/>
          <w:szCs w:val="18"/>
        </w:rPr>
        <w:t>⁻</w:t>
      </w:r>
      <w:r w:rsidRPr="007429E9">
        <w:rPr>
          <w:rFonts w:cs="Arial"/>
          <w:szCs w:val="18"/>
        </w:rPr>
        <w:t>⁶</w:t>
      </w:r>
      <w:r w:rsidRPr="007429E9">
        <w:rPr>
          <w:szCs w:val="18"/>
        </w:rPr>
        <w:t xml:space="preserve"> </w:t>
      </w:r>
      <w:proofErr w:type="spellStart"/>
      <w:r w:rsidRPr="007429E9">
        <w:rPr>
          <w:szCs w:val="18"/>
        </w:rPr>
        <w:t>occ</w:t>
      </w:r>
      <w:proofErr w:type="spellEnd"/>
      <w:r w:rsidRPr="007429E9">
        <w:rPr>
          <w:szCs w:val="18"/>
        </w:rPr>
        <w:t>/year. Category A operations (SIMOPS Category A) refer to the lowest-risk simultaneous activities permitted during LNG bunkering under Italian regulations, specifically when QRA scenarios have frequencies below 10</w:t>
      </w:r>
      <w:r w:rsidRPr="007429E9">
        <w:rPr>
          <w:rFonts w:ascii="Cambria Math" w:hAnsi="Cambria Math" w:cs="Cambria Math"/>
          <w:szCs w:val="18"/>
        </w:rPr>
        <w:t>⁻</w:t>
      </w:r>
      <w:r w:rsidRPr="007429E9">
        <w:rPr>
          <w:rFonts w:cs="Arial"/>
          <w:szCs w:val="18"/>
        </w:rPr>
        <w:t>⁶</w:t>
      </w:r>
      <w:r w:rsidRPr="007429E9">
        <w:rPr>
          <w:szCs w:val="18"/>
        </w:rPr>
        <w:t xml:space="preserve"> occurrences per year and medium/low consequences.</w:t>
      </w:r>
      <w:r>
        <w:rPr>
          <w:szCs w:val="18"/>
        </w:rPr>
        <w:t xml:space="preserve"> </w:t>
      </w:r>
      <w:r w:rsidRPr="007429E9">
        <w:rPr>
          <w:szCs w:val="18"/>
        </w:rPr>
        <w:t>These are typically low-hazard tasks outside or on the edge of the Safety Zone:</w:t>
      </w:r>
    </w:p>
    <w:p w14:paraId="2EDEDD67" w14:textId="77777777" w:rsidR="00FB1B8A" w:rsidRPr="00FA7E54" w:rsidRDefault="00FB1B8A" w:rsidP="00FB1B8A">
      <w:pPr>
        <w:pStyle w:val="Paragrafoelenco"/>
        <w:numPr>
          <w:ilvl w:val="0"/>
          <w:numId w:val="36"/>
        </w:numPr>
        <w:rPr>
          <w:szCs w:val="18"/>
        </w:rPr>
      </w:pPr>
      <w:r w:rsidRPr="007429E9">
        <w:rPr>
          <w:szCs w:val="18"/>
        </w:rPr>
        <w:t>Passenger embarkation/disembarkation (</w:t>
      </w:r>
      <w:r>
        <w:rPr>
          <w:szCs w:val="18"/>
        </w:rPr>
        <w:t xml:space="preserve">relevant key condition </w:t>
      </w:r>
      <w:r w:rsidRPr="007429E9">
        <w:rPr>
          <w:szCs w:val="18"/>
        </w:rPr>
        <w:t>for Genoa ferries);</w:t>
      </w:r>
    </w:p>
    <w:p w14:paraId="36E084FF" w14:textId="77777777" w:rsidR="00FB1B8A" w:rsidRPr="007429E9" w:rsidRDefault="00FB1B8A" w:rsidP="00FB1B8A">
      <w:pPr>
        <w:pStyle w:val="Paragrafoelenco"/>
        <w:numPr>
          <w:ilvl w:val="0"/>
          <w:numId w:val="36"/>
        </w:numPr>
        <w:rPr>
          <w:szCs w:val="18"/>
        </w:rPr>
      </w:pPr>
      <w:r w:rsidRPr="007429E9">
        <w:rPr>
          <w:szCs w:val="18"/>
        </w:rPr>
        <w:t>Essential crew movements and monitoring;</w:t>
      </w:r>
    </w:p>
    <w:p w14:paraId="5E5AF68A" w14:textId="77777777" w:rsidR="00FB1B8A" w:rsidRPr="007429E9" w:rsidRDefault="00FB1B8A" w:rsidP="00FB1B8A">
      <w:pPr>
        <w:pStyle w:val="Paragrafoelenco"/>
        <w:numPr>
          <w:ilvl w:val="0"/>
          <w:numId w:val="36"/>
        </w:numPr>
        <w:rPr>
          <w:szCs w:val="18"/>
        </w:rPr>
      </w:pPr>
      <w:r w:rsidRPr="007429E9">
        <w:rPr>
          <w:szCs w:val="18"/>
        </w:rPr>
        <w:t>Non-sparking vehicle traffic for logistics (e.g., supplies);</w:t>
      </w:r>
    </w:p>
    <w:p w14:paraId="62B0E60C" w14:textId="77777777" w:rsidR="00FB1B8A" w:rsidRPr="007429E9" w:rsidRDefault="00FB1B8A" w:rsidP="00FB1B8A">
      <w:pPr>
        <w:pStyle w:val="Paragrafoelenco"/>
        <w:numPr>
          <w:ilvl w:val="0"/>
          <w:numId w:val="36"/>
        </w:numPr>
        <w:rPr>
          <w:szCs w:val="18"/>
        </w:rPr>
      </w:pPr>
      <w:r w:rsidRPr="007429E9">
        <w:rPr>
          <w:szCs w:val="18"/>
        </w:rPr>
        <w:t>Cold maintenance or inspections;</w:t>
      </w:r>
    </w:p>
    <w:p w14:paraId="37763300" w14:textId="77777777" w:rsidR="00FB1B8A" w:rsidRPr="007429E9" w:rsidRDefault="00FB1B8A" w:rsidP="00FB1B8A">
      <w:pPr>
        <w:pStyle w:val="Paragrafoelenco"/>
        <w:numPr>
          <w:ilvl w:val="0"/>
          <w:numId w:val="36"/>
        </w:numPr>
        <w:rPr>
          <w:szCs w:val="18"/>
        </w:rPr>
      </w:pPr>
      <w:r w:rsidRPr="007429E9">
        <w:rPr>
          <w:szCs w:val="18"/>
        </w:rPr>
        <w:t>Normal terminal operations beyond exclusion zone.</w:t>
      </w:r>
    </w:p>
    <w:p w14:paraId="4C8F5C45" w14:textId="15F03A94" w:rsidR="00FB1B8A" w:rsidRPr="00540567" w:rsidRDefault="00FB1B8A" w:rsidP="00FB1B8A">
      <w:pPr>
        <w:pStyle w:val="Paragrafoelenco"/>
        <w:ind w:left="0"/>
        <w:rPr>
          <w:szCs w:val="18"/>
        </w:rPr>
      </w:pPr>
      <w:r w:rsidRPr="00540567">
        <w:rPr>
          <w:szCs w:val="18"/>
        </w:rPr>
        <w:t>Table 5 summarizes the results of the assessment covering SIMOPS.</w:t>
      </w:r>
    </w:p>
    <w:p w14:paraId="2BCD88AA" w14:textId="77777777" w:rsidR="00FB1B8A" w:rsidRPr="00540567" w:rsidRDefault="00FB1B8A" w:rsidP="009B666C">
      <w:pPr>
        <w:spacing w:before="240" w:after="80"/>
        <w:rPr>
          <w:i/>
          <w:iCs/>
        </w:rPr>
      </w:pPr>
      <w:r w:rsidRPr="00540567">
        <w:rPr>
          <w:i/>
          <w:iCs/>
        </w:rPr>
        <w:t xml:space="preserve">Table 5: </w:t>
      </w:r>
      <w:r w:rsidRPr="00540567">
        <w:rPr>
          <w:rStyle w:val="CETCaptionCarattere"/>
          <w:iCs/>
        </w:rPr>
        <w:t>Outline of SIMOPS evaluation.</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52"/>
        <w:gridCol w:w="2126"/>
        <w:gridCol w:w="4111"/>
      </w:tblGrid>
      <w:tr w:rsidR="00FB1B8A" w:rsidRPr="00B57B36" w14:paraId="265B8CAD" w14:textId="77777777" w:rsidTr="00540487">
        <w:tc>
          <w:tcPr>
            <w:tcW w:w="2552" w:type="dxa"/>
            <w:tcBorders>
              <w:top w:val="single" w:sz="12" w:space="0" w:color="008000"/>
              <w:bottom w:val="single" w:sz="6" w:space="0" w:color="008000"/>
            </w:tcBorders>
            <w:shd w:val="clear" w:color="auto" w:fill="FFFFFF"/>
            <w:vAlign w:val="center"/>
          </w:tcPr>
          <w:p w14:paraId="03073434" w14:textId="2A4F031F" w:rsidR="00FB1B8A" w:rsidRPr="00B57B36" w:rsidRDefault="00FB1B8A" w:rsidP="00FB1B8A">
            <w:pPr>
              <w:pStyle w:val="CETBodytext"/>
              <w:rPr>
                <w:lang w:val="en-GB"/>
              </w:rPr>
            </w:pPr>
            <w:r w:rsidRPr="00501121">
              <w:rPr>
                <w:szCs w:val="18"/>
                <w:lang w:val="it-IT"/>
              </w:rPr>
              <w:t>Location</w:t>
            </w:r>
          </w:p>
        </w:tc>
        <w:tc>
          <w:tcPr>
            <w:tcW w:w="2126" w:type="dxa"/>
            <w:tcBorders>
              <w:top w:val="single" w:sz="12" w:space="0" w:color="008000"/>
              <w:bottom w:val="single" w:sz="6" w:space="0" w:color="008000"/>
            </w:tcBorders>
            <w:shd w:val="clear" w:color="auto" w:fill="FFFFFF"/>
            <w:vAlign w:val="center"/>
          </w:tcPr>
          <w:p w14:paraId="466A6D02" w14:textId="52FF1B32" w:rsidR="00FB1B8A" w:rsidRPr="00B57B36" w:rsidRDefault="00FB1B8A" w:rsidP="00FB1B8A">
            <w:pPr>
              <w:pStyle w:val="CETBodytext"/>
              <w:rPr>
                <w:lang w:val="en-GB"/>
              </w:rPr>
            </w:pPr>
            <w:proofErr w:type="spellStart"/>
            <w:r w:rsidRPr="00501121">
              <w:rPr>
                <w:szCs w:val="18"/>
                <w:lang w:val="it-IT"/>
              </w:rPr>
              <w:t>Category</w:t>
            </w:r>
            <w:proofErr w:type="spellEnd"/>
            <w:r w:rsidRPr="00501121">
              <w:rPr>
                <w:szCs w:val="18"/>
                <w:lang w:val="it-IT"/>
              </w:rPr>
              <w:t xml:space="preserve"> A </w:t>
            </w:r>
            <w:proofErr w:type="spellStart"/>
            <w:r w:rsidRPr="00501121">
              <w:rPr>
                <w:szCs w:val="18"/>
                <w:lang w:val="it-IT"/>
              </w:rPr>
              <w:t>Allowed</w:t>
            </w:r>
            <w:proofErr w:type="spellEnd"/>
          </w:p>
        </w:tc>
        <w:tc>
          <w:tcPr>
            <w:tcW w:w="4111" w:type="dxa"/>
            <w:tcBorders>
              <w:top w:val="single" w:sz="12" w:space="0" w:color="008000"/>
              <w:bottom w:val="single" w:sz="6" w:space="0" w:color="008000"/>
            </w:tcBorders>
            <w:shd w:val="clear" w:color="auto" w:fill="FFFFFF"/>
            <w:vAlign w:val="center"/>
          </w:tcPr>
          <w:p w14:paraId="7BE4AF74" w14:textId="1CF2C095" w:rsidR="00FB1B8A" w:rsidRPr="00B57B36" w:rsidRDefault="00FB1B8A" w:rsidP="00FB1B8A">
            <w:pPr>
              <w:pStyle w:val="CETBodytext"/>
              <w:rPr>
                <w:lang w:val="en-GB"/>
              </w:rPr>
            </w:pPr>
            <w:proofErr w:type="spellStart"/>
            <w:r w:rsidRPr="00501121">
              <w:rPr>
                <w:szCs w:val="18"/>
                <w:lang w:val="it-IT"/>
              </w:rPr>
              <w:t>Category</w:t>
            </w:r>
            <w:proofErr w:type="spellEnd"/>
            <w:r w:rsidRPr="00501121">
              <w:rPr>
                <w:szCs w:val="18"/>
                <w:lang w:val="it-IT"/>
              </w:rPr>
              <w:t xml:space="preserve"> B </w:t>
            </w:r>
            <w:proofErr w:type="spellStart"/>
            <w:r w:rsidRPr="00501121">
              <w:rPr>
                <w:szCs w:val="18"/>
                <w:lang w:val="it-IT"/>
              </w:rPr>
              <w:t>Prohibited</w:t>
            </w:r>
            <w:proofErr w:type="spellEnd"/>
          </w:p>
        </w:tc>
      </w:tr>
      <w:tr w:rsidR="00FB1B8A" w:rsidRPr="00B57B36" w14:paraId="3CD65E11" w14:textId="77777777" w:rsidTr="00540487">
        <w:tc>
          <w:tcPr>
            <w:tcW w:w="2552" w:type="dxa"/>
            <w:shd w:val="clear" w:color="auto" w:fill="FFFFFF"/>
            <w:vAlign w:val="center"/>
          </w:tcPr>
          <w:p w14:paraId="2130A204" w14:textId="5346A2D8" w:rsidR="00FB1B8A" w:rsidRPr="00B57B36" w:rsidRDefault="00FB1B8A" w:rsidP="00FB1B8A">
            <w:pPr>
              <w:pStyle w:val="CETBodytext"/>
              <w:rPr>
                <w:lang w:val="en-GB"/>
              </w:rPr>
            </w:pPr>
            <w:r w:rsidRPr="00501121">
              <w:rPr>
                <w:szCs w:val="18"/>
                <w:lang w:val="it-IT"/>
              </w:rPr>
              <w:t>Inside Safety Zone (0-45m)</w:t>
            </w:r>
          </w:p>
        </w:tc>
        <w:tc>
          <w:tcPr>
            <w:tcW w:w="2126" w:type="dxa"/>
            <w:shd w:val="clear" w:color="auto" w:fill="FFFFFF"/>
            <w:vAlign w:val="center"/>
          </w:tcPr>
          <w:p w14:paraId="61C42CC6" w14:textId="160D9C13" w:rsidR="00FB1B8A" w:rsidRPr="00B57B36" w:rsidRDefault="00FB1B8A" w:rsidP="00FB1B8A">
            <w:pPr>
              <w:pStyle w:val="CETBodytext"/>
              <w:rPr>
                <w:lang w:val="en-GB"/>
              </w:rPr>
            </w:pPr>
            <w:r w:rsidRPr="00501121">
              <w:rPr>
                <w:szCs w:val="18"/>
                <w:lang w:val="it-IT"/>
              </w:rPr>
              <w:t xml:space="preserve">Skeleton crew </w:t>
            </w:r>
            <w:proofErr w:type="spellStart"/>
            <w:r w:rsidRPr="00501121">
              <w:rPr>
                <w:szCs w:val="18"/>
                <w:lang w:val="it-IT"/>
              </w:rPr>
              <w:t>only</w:t>
            </w:r>
            <w:proofErr w:type="spellEnd"/>
          </w:p>
        </w:tc>
        <w:tc>
          <w:tcPr>
            <w:tcW w:w="4111" w:type="dxa"/>
            <w:shd w:val="clear" w:color="auto" w:fill="FFFFFF"/>
            <w:vAlign w:val="center"/>
          </w:tcPr>
          <w:p w14:paraId="3DF6800C" w14:textId="7FA6CFEF" w:rsidR="00FB1B8A" w:rsidRPr="00B57B36" w:rsidRDefault="00FB1B8A" w:rsidP="00FB1B8A">
            <w:pPr>
              <w:pStyle w:val="CETBodytext"/>
              <w:rPr>
                <w:lang w:val="en-GB"/>
              </w:rPr>
            </w:pPr>
            <w:r w:rsidRPr="00501121">
              <w:rPr>
                <w:szCs w:val="18"/>
              </w:rPr>
              <w:t>Hot work, vehicle movement, passenger access​</w:t>
            </w:r>
          </w:p>
        </w:tc>
      </w:tr>
      <w:tr w:rsidR="00FB1B8A" w:rsidRPr="00B57B36" w14:paraId="324C147C" w14:textId="77777777" w:rsidTr="00540487">
        <w:tc>
          <w:tcPr>
            <w:tcW w:w="2552" w:type="dxa"/>
            <w:shd w:val="clear" w:color="auto" w:fill="FFFFFF"/>
            <w:vAlign w:val="center"/>
          </w:tcPr>
          <w:p w14:paraId="06E377CA" w14:textId="1DFFFE73" w:rsidR="00FB1B8A" w:rsidRPr="00B57B36" w:rsidRDefault="00FB1B8A" w:rsidP="00FB1B8A">
            <w:pPr>
              <w:pStyle w:val="CETBodytext"/>
              <w:ind w:right="-1"/>
              <w:rPr>
                <w:rFonts w:cs="Arial"/>
                <w:szCs w:val="18"/>
                <w:lang w:val="en-GB"/>
              </w:rPr>
            </w:pPr>
            <w:r w:rsidRPr="00501121">
              <w:rPr>
                <w:szCs w:val="18"/>
                <w:lang w:val="it-IT"/>
              </w:rPr>
              <w:t>Inside Safety Zone (0-45m)</w:t>
            </w:r>
          </w:p>
        </w:tc>
        <w:tc>
          <w:tcPr>
            <w:tcW w:w="2126" w:type="dxa"/>
            <w:shd w:val="clear" w:color="auto" w:fill="FFFFFF"/>
            <w:vAlign w:val="center"/>
          </w:tcPr>
          <w:p w14:paraId="5F772A0B" w14:textId="79F3F6BB" w:rsidR="00FB1B8A" w:rsidRPr="00B57B36" w:rsidRDefault="00FB1B8A" w:rsidP="00FB1B8A">
            <w:pPr>
              <w:pStyle w:val="CETBodytext"/>
              <w:ind w:right="-1"/>
              <w:rPr>
                <w:rFonts w:cs="Arial"/>
                <w:szCs w:val="18"/>
                <w:lang w:val="en-GB"/>
              </w:rPr>
            </w:pPr>
            <w:r w:rsidRPr="00501121">
              <w:rPr>
                <w:szCs w:val="18"/>
                <w:lang w:val="it-IT"/>
              </w:rPr>
              <w:t xml:space="preserve">Skeleton crew </w:t>
            </w:r>
            <w:proofErr w:type="spellStart"/>
            <w:r w:rsidRPr="00501121">
              <w:rPr>
                <w:szCs w:val="18"/>
                <w:lang w:val="it-IT"/>
              </w:rPr>
              <w:t>only</w:t>
            </w:r>
            <w:proofErr w:type="spellEnd"/>
          </w:p>
        </w:tc>
        <w:tc>
          <w:tcPr>
            <w:tcW w:w="4111" w:type="dxa"/>
            <w:shd w:val="clear" w:color="auto" w:fill="FFFFFF"/>
            <w:vAlign w:val="center"/>
          </w:tcPr>
          <w:p w14:paraId="7994C188" w14:textId="781883A3" w:rsidR="00FB1B8A" w:rsidRPr="00B57B36" w:rsidRDefault="00FB1B8A" w:rsidP="00FB1B8A">
            <w:pPr>
              <w:pStyle w:val="CETBodytext"/>
              <w:ind w:right="-1"/>
              <w:rPr>
                <w:rFonts w:cs="Arial"/>
                <w:szCs w:val="18"/>
                <w:lang w:val="en-GB"/>
              </w:rPr>
            </w:pPr>
            <w:r w:rsidRPr="00501121">
              <w:rPr>
                <w:szCs w:val="18"/>
              </w:rPr>
              <w:t>Hot work, vehicle movement, passenger access​</w:t>
            </w:r>
          </w:p>
        </w:tc>
      </w:tr>
      <w:tr w:rsidR="00FB1B8A" w:rsidRPr="00B57B36" w14:paraId="5082F015" w14:textId="77777777" w:rsidTr="00540487">
        <w:tc>
          <w:tcPr>
            <w:tcW w:w="2552" w:type="dxa"/>
            <w:shd w:val="clear" w:color="auto" w:fill="FFFFFF"/>
            <w:vAlign w:val="center"/>
          </w:tcPr>
          <w:p w14:paraId="2BBAB3B6" w14:textId="65408BE4" w:rsidR="00FB1B8A" w:rsidRPr="00B57B36" w:rsidRDefault="00FB1B8A" w:rsidP="00FB1B8A">
            <w:pPr>
              <w:pStyle w:val="CETBodytext"/>
              <w:ind w:right="-1"/>
              <w:rPr>
                <w:rFonts w:cs="Arial"/>
                <w:szCs w:val="18"/>
                <w:lang w:val="en-GB"/>
              </w:rPr>
            </w:pPr>
            <w:r w:rsidRPr="00501121">
              <w:rPr>
                <w:szCs w:val="18"/>
                <w:lang w:val="it-IT"/>
              </w:rPr>
              <w:t>Terminal Buildings (</w:t>
            </w:r>
            <w:r>
              <w:rPr>
                <w:szCs w:val="18"/>
                <w:lang w:val="it-IT"/>
              </w:rPr>
              <w:t>&gt;</w:t>
            </w:r>
            <w:r w:rsidRPr="00501121">
              <w:rPr>
                <w:szCs w:val="18"/>
                <w:lang w:val="it-IT"/>
              </w:rPr>
              <w:t>200m)</w:t>
            </w:r>
          </w:p>
        </w:tc>
        <w:tc>
          <w:tcPr>
            <w:tcW w:w="2126" w:type="dxa"/>
            <w:shd w:val="clear" w:color="auto" w:fill="FFFFFF"/>
            <w:vAlign w:val="center"/>
          </w:tcPr>
          <w:p w14:paraId="348D1EB7" w14:textId="556077C7" w:rsidR="00FB1B8A" w:rsidRPr="00B57B36" w:rsidRDefault="00FB1B8A" w:rsidP="00FB1B8A">
            <w:pPr>
              <w:pStyle w:val="CETBodytext"/>
              <w:ind w:right="-1"/>
              <w:rPr>
                <w:rFonts w:cs="Arial"/>
                <w:szCs w:val="18"/>
                <w:lang w:val="en-GB"/>
              </w:rPr>
            </w:pPr>
            <w:r w:rsidRPr="00501121">
              <w:rPr>
                <w:szCs w:val="18"/>
                <w:lang w:val="it-IT"/>
              </w:rPr>
              <w:t xml:space="preserve">All </w:t>
            </w:r>
            <w:proofErr w:type="spellStart"/>
            <w:r w:rsidRPr="00501121">
              <w:rPr>
                <w:szCs w:val="18"/>
                <w:lang w:val="it-IT"/>
              </w:rPr>
              <w:t>normal</w:t>
            </w:r>
            <w:proofErr w:type="spellEnd"/>
            <w:r w:rsidRPr="00501121">
              <w:rPr>
                <w:szCs w:val="18"/>
                <w:lang w:val="it-IT"/>
              </w:rPr>
              <w:t xml:space="preserve"> </w:t>
            </w:r>
            <w:proofErr w:type="spellStart"/>
            <w:r w:rsidRPr="00501121">
              <w:rPr>
                <w:szCs w:val="18"/>
                <w:lang w:val="it-IT"/>
              </w:rPr>
              <w:t>operations</w:t>
            </w:r>
            <w:proofErr w:type="spellEnd"/>
          </w:p>
        </w:tc>
        <w:tc>
          <w:tcPr>
            <w:tcW w:w="4111" w:type="dxa"/>
            <w:shd w:val="clear" w:color="auto" w:fill="FFFFFF"/>
            <w:vAlign w:val="center"/>
          </w:tcPr>
          <w:p w14:paraId="24E024E7" w14:textId="5A4B02A8" w:rsidR="00FB1B8A" w:rsidRPr="00B57B36" w:rsidRDefault="00FB1B8A" w:rsidP="00FB1B8A">
            <w:pPr>
              <w:pStyle w:val="CETBodytext"/>
              <w:ind w:right="-1"/>
              <w:rPr>
                <w:rFonts w:cs="Arial"/>
                <w:szCs w:val="18"/>
                <w:lang w:val="en-GB"/>
              </w:rPr>
            </w:pPr>
            <w:r w:rsidRPr="00501121">
              <w:rPr>
                <w:szCs w:val="18"/>
                <w:lang w:val="it-IT"/>
              </w:rPr>
              <w:t>None</w:t>
            </w:r>
          </w:p>
        </w:tc>
      </w:tr>
    </w:tbl>
    <w:p w14:paraId="03980872" w14:textId="77777777" w:rsidR="002F755D" w:rsidRDefault="002F755D" w:rsidP="00FB1B8A">
      <w:pPr>
        <w:pStyle w:val="CETListbullets"/>
        <w:ind w:left="0" w:firstLine="0"/>
      </w:pPr>
    </w:p>
    <w:p w14:paraId="67E32151" w14:textId="5E9A4F3E" w:rsidR="009B666C" w:rsidRDefault="009B666C" w:rsidP="00540487">
      <w:pPr>
        <w:rPr>
          <w:szCs w:val="18"/>
        </w:rPr>
      </w:pPr>
      <w:r w:rsidRPr="009B666C">
        <w:rPr>
          <w:szCs w:val="18"/>
        </w:rPr>
        <w:t xml:space="preserve">Simultaneous operations (SIMOPs) for the Port of Genoa, conducted alongside LNG bunkering, were identified through expert elicitation. </w:t>
      </w:r>
      <w:r>
        <w:rPr>
          <w:szCs w:val="18"/>
        </w:rPr>
        <w:t>In particular</w:t>
      </w:r>
      <w:r w:rsidRPr="009B666C">
        <w:rPr>
          <w:szCs w:val="18"/>
        </w:rPr>
        <w:t xml:space="preserve">, these </w:t>
      </w:r>
      <w:r>
        <w:rPr>
          <w:szCs w:val="18"/>
        </w:rPr>
        <w:t xml:space="preserve">operations </w:t>
      </w:r>
      <w:r w:rsidR="005B24D2" w:rsidRPr="009B666C">
        <w:rPr>
          <w:szCs w:val="18"/>
        </w:rPr>
        <w:t>include</w:t>
      </w:r>
      <w:r w:rsidRPr="009B666C">
        <w:rPr>
          <w:szCs w:val="18"/>
        </w:rPr>
        <w:t xml:space="preserve"> passenger gangways positioned at least 60</w:t>
      </w:r>
      <w:r>
        <w:rPr>
          <w:szCs w:val="18"/>
        </w:rPr>
        <w:t xml:space="preserve"> </w:t>
      </w:r>
      <w:r w:rsidRPr="009B666C">
        <w:rPr>
          <w:szCs w:val="18"/>
        </w:rPr>
        <w:t xml:space="preserve">m from the manifold, tugs maintained at a designated exclusion distance, and continuous VHF coordination with the Fire Brigade (VVF) and Coast Guard. </w:t>
      </w:r>
    </w:p>
    <w:p w14:paraId="0CB835AB" w14:textId="21056AE9" w:rsidR="009B666C" w:rsidRPr="007429E9" w:rsidRDefault="009B666C" w:rsidP="00540487">
      <w:pPr>
        <w:rPr>
          <w:szCs w:val="18"/>
        </w:rPr>
      </w:pPr>
      <w:r w:rsidRPr="009B666C">
        <w:rPr>
          <w:szCs w:val="18"/>
        </w:rPr>
        <w:t>Table 6 provides a summary of the conservative results derived from the comprehensive risk assessment.</w:t>
      </w:r>
    </w:p>
    <w:p w14:paraId="23F7F8CB" w14:textId="53D182FB" w:rsidR="00540487" w:rsidRPr="00630853" w:rsidRDefault="00540487" w:rsidP="009B666C">
      <w:pPr>
        <w:spacing w:before="240" w:after="80"/>
        <w:rPr>
          <w:i/>
          <w:iCs/>
        </w:rPr>
      </w:pPr>
      <w:r w:rsidRPr="00630853">
        <w:rPr>
          <w:i/>
          <w:iCs/>
        </w:rPr>
        <w:t xml:space="preserve">Table 6: </w:t>
      </w:r>
      <w:r w:rsidRPr="00630853">
        <w:rPr>
          <w:rStyle w:val="CETCaptionCarattere"/>
          <w:iCs/>
        </w:rPr>
        <w:t>Summary of the assessment procedure in the selected urban port.</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16"/>
        <w:gridCol w:w="2101"/>
        <w:gridCol w:w="2085"/>
        <w:gridCol w:w="2085"/>
      </w:tblGrid>
      <w:tr w:rsidR="00540487" w:rsidRPr="00B57B36" w14:paraId="78E8E53D" w14:textId="04A5F0BA" w:rsidTr="00BD307B">
        <w:tc>
          <w:tcPr>
            <w:tcW w:w="2516" w:type="dxa"/>
            <w:tcBorders>
              <w:top w:val="single" w:sz="12" w:space="0" w:color="008000"/>
              <w:bottom w:val="single" w:sz="6" w:space="0" w:color="008000"/>
            </w:tcBorders>
            <w:shd w:val="clear" w:color="auto" w:fill="FFFFFF"/>
            <w:vAlign w:val="center"/>
          </w:tcPr>
          <w:p w14:paraId="7B103C50" w14:textId="7160EBE8" w:rsidR="00540487" w:rsidRPr="00B57B36" w:rsidRDefault="00540487" w:rsidP="00540487">
            <w:pPr>
              <w:pStyle w:val="CETBodytext"/>
              <w:rPr>
                <w:lang w:val="en-GB"/>
              </w:rPr>
            </w:pPr>
            <w:r w:rsidRPr="00501121">
              <w:rPr>
                <w:szCs w:val="18"/>
                <w:lang w:val="it-IT"/>
              </w:rPr>
              <w:t xml:space="preserve">Risk </w:t>
            </w:r>
            <w:proofErr w:type="spellStart"/>
            <w:r w:rsidRPr="00501121">
              <w:rPr>
                <w:szCs w:val="18"/>
                <w:lang w:val="it-IT"/>
              </w:rPr>
              <w:t>Element</w:t>
            </w:r>
            <w:proofErr w:type="spellEnd"/>
          </w:p>
        </w:tc>
        <w:tc>
          <w:tcPr>
            <w:tcW w:w="2101" w:type="dxa"/>
            <w:tcBorders>
              <w:top w:val="single" w:sz="12" w:space="0" w:color="008000"/>
              <w:bottom w:val="single" w:sz="6" w:space="0" w:color="008000"/>
            </w:tcBorders>
            <w:shd w:val="clear" w:color="auto" w:fill="FFFFFF"/>
            <w:vAlign w:val="center"/>
          </w:tcPr>
          <w:p w14:paraId="38E6CE96" w14:textId="77323FEF" w:rsidR="00540487" w:rsidRPr="00B57B36" w:rsidRDefault="00540487" w:rsidP="00540487">
            <w:pPr>
              <w:pStyle w:val="CETBodytext"/>
              <w:rPr>
                <w:lang w:val="en-GB"/>
              </w:rPr>
            </w:pPr>
            <w:proofErr w:type="spellStart"/>
            <w:r w:rsidRPr="00501121">
              <w:rPr>
                <w:szCs w:val="18"/>
                <w:lang w:val="it-IT"/>
              </w:rPr>
              <w:t>Metric</w:t>
            </w:r>
            <w:proofErr w:type="spellEnd"/>
          </w:p>
        </w:tc>
        <w:tc>
          <w:tcPr>
            <w:tcW w:w="2085" w:type="dxa"/>
            <w:tcBorders>
              <w:top w:val="single" w:sz="12" w:space="0" w:color="008000"/>
              <w:bottom w:val="single" w:sz="6" w:space="0" w:color="008000"/>
            </w:tcBorders>
            <w:shd w:val="clear" w:color="auto" w:fill="FFFFFF"/>
            <w:vAlign w:val="center"/>
          </w:tcPr>
          <w:p w14:paraId="735C2E79" w14:textId="5DCBA1F8" w:rsidR="00540487" w:rsidRPr="00501121" w:rsidRDefault="00540487" w:rsidP="00540487">
            <w:pPr>
              <w:pStyle w:val="CETBodytext"/>
              <w:rPr>
                <w:szCs w:val="18"/>
                <w:lang w:val="it-IT"/>
              </w:rPr>
            </w:pPr>
            <w:r w:rsidRPr="00501121">
              <w:rPr>
                <w:szCs w:val="18"/>
                <w:lang w:val="it-IT"/>
              </w:rPr>
              <w:t>Value</w:t>
            </w:r>
          </w:p>
        </w:tc>
        <w:tc>
          <w:tcPr>
            <w:tcW w:w="2085" w:type="dxa"/>
            <w:tcBorders>
              <w:top w:val="single" w:sz="12" w:space="0" w:color="008000"/>
              <w:bottom w:val="single" w:sz="6" w:space="0" w:color="008000"/>
            </w:tcBorders>
            <w:shd w:val="clear" w:color="auto" w:fill="FFFFFF"/>
            <w:vAlign w:val="center"/>
          </w:tcPr>
          <w:p w14:paraId="6D10BF86" w14:textId="68118188" w:rsidR="00540487" w:rsidRPr="00501121" w:rsidRDefault="00540487" w:rsidP="00540487">
            <w:pPr>
              <w:pStyle w:val="CETBodytext"/>
              <w:rPr>
                <w:szCs w:val="18"/>
                <w:lang w:val="it-IT"/>
              </w:rPr>
            </w:pPr>
            <w:proofErr w:type="spellStart"/>
            <w:r w:rsidRPr="00501121">
              <w:rPr>
                <w:szCs w:val="18"/>
                <w:lang w:val="it-IT"/>
              </w:rPr>
              <w:t>Regulatory</w:t>
            </w:r>
            <w:proofErr w:type="spellEnd"/>
            <w:r w:rsidRPr="00501121">
              <w:rPr>
                <w:szCs w:val="18"/>
                <w:lang w:val="it-IT"/>
              </w:rPr>
              <w:t xml:space="preserve"> Status</w:t>
            </w:r>
          </w:p>
        </w:tc>
      </w:tr>
      <w:tr w:rsidR="00540487" w:rsidRPr="00B57B36" w14:paraId="200C2A8F" w14:textId="36905B1C" w:rsidTr="00F11EEC">
        <w:tc>
          <w:tcPr>
            <w:tcW w:w="2516" w:type="dxa"/>
            <w:shd w:val="clear" w:color="auto" w:fill="FFFFFF"/>
            <w:vAlign w:val="center"/>
          </w:tcPr>
          <w:p w14:paraId="19AF5C1C" w14:textId="66D2EAF4" w:rsidR="00540487" w:rsidRPr="00B57B36" w:rsidRDefault="00540487" w:rsidP="00540487">
            <w:pPr>
              <w:pStyle w:val="CETBodytext"/>
              <w:rPr>
                <w:lang w:val="en-GB"/>
              </w:rPr>
            </w:pPr>
            <w:r w:rsidRPr="00501121">
              <w:rPr>
                <w:szCs w:val="18"/>
                <w:lang w:val="it-IT"/>
              </w:rPr>
              <w:t>Safety Zone</w:t>
            </w:r>
          </w:p>
        </w:tc>
        <w:tc>
          <w:tcPr>
            <w:tcW w:w="2101" w:type="dxa"/>
            <w:shd w:val="clear" w:color="auto" w:fill="FFFFFF"/>
            <w:vAlign w:val="center"/>
          </w:tcPr>
          <w:p w14:paraId="776D56E4" w14:textId="5E240E93" w:rsidR="00540487" w:rsidRPr="00B57B36" w:rsidRDefault="00540487" w:rsidP="00540487">
            <w:pPr>
              <w:pStyle w:val="CETBodytext"/>
              <w:rPr>
                <w:lang w:val="en-GB"/>
              </w:rPr>
            </w:pPr>
            <w:r w:rsidRPr="00501121">
              <w:rPr>
                <w:szCs w:val="18"/>
                <w:lang w:val="it-IT"/>
              </w:rPr>
              <w:t>Radius</w:t>
            </w:r>
          </w:p>
        </w:tc>
        <w:tc>
          <w:tcPr>
            <w:tcW w:w="2085" w:type="dxa"/>
            <w:shd w:val="clear" w:color="auto" w:fill="FFFFFF"/>
            <w:vAlign w:val="center"/>
          </w:tcPr>
          <w:p w14:paraId="0900A06B" w14:textId="284FF5BF" w:rsidR="00540487" w:rsidRPr="00501121" w:rsidRDefault="00540487" w:rsidP="00540487">
            <w:pPr>
              <w:pStyle w:val="CETBodytext"/>
              <w:rPr>
                <w:szCs w:val="18"/>
                <w:lang w:val="it-IT"/>
              </w:rPr>
            </w:pPr>
            <w:r w:rsidRPr="00501121">
              <w:rPr>
                <w:szCs w:val="18"/>
                <w:lang w:val="it-IT"/>
              </w:rPr>
              <w:t>45</w:t>
            </w:r>
            <w:r>
              <w:rPr>
                <w:szCs w:val="18"/>
                <w:lang w:val="it-IT"/>
              </w:rPr>
              <w:t xml:space="preserve"> </w:t>
            </w:r>
            <w:r w:rsidRPr="00501121">
              <w:rPr>
                <w:szCs w:val="18"/>
                <w:lang w:val="it-IT"/>
              </w:rPr>
              <w:t>m</w:t>
            </w:r>
          </w:p>
        </w:tc>
        <w:tc>
          <w:tcPr>
            <w:tcW w:w="2085" w:type="dxa"/>
            <w:shd w:val="clear" w:color="auto" w:fill="FFFFFF"/>
            <w:vAlign w:val="center"/>
          </w:tcPr>
          <w:p w14:paraId="5B041C82" w14:textId="1E9359C9" w:rsidR="00540487" w:rsidRPr="00501121" w:rsidRDefault="00540487" w:rsidP="00540487">
            <w:pPr>
              <w:pStyle w:val="CETBodytext"/>
              <w:rPr>
                <w:szCs w:val="18"/>
                <w:lang w:val="it-IT"/>
              </w:rPr>
            </w:pPr>
            <w:r w:rsidRPr="00501121">
              <w:rPr>
                <w:szCs w:val="18"/>
              </w:rPr>
              <w:t>Defined per MIT/VVF</w:t>
            </w:r>
          </w:p>
        </w:tc>
      </w:tr>
      <w:tr w:rsidR="00540487" w:rsidRPr="00B57B36" w14:paraId="02C16C46" w14:textId="47C6912D" w:rsidTr="00B61D9F">
        <w:tc>
          <w:tcPr>
            <w:tcW w:w="2516" w:type="dxa"/>
            <w:shd w:val="clear" w:color="auto" w:fill="FFFFFF"/>
            <w:vAlign w:val="center"/>
          </w:tcPr>
          <w:p w14:paraId="0DC9720A" w14:textId="35B3B8F5" w:rsidR="00540487" w:rsidRPr="00B57B36" w:rsidRDefault="00540487" w:rsidP="00540487">
            <w:pPr>
              <w:pStyle w:val="CETBodytext"/>
              <w:ind w:right="-1"/>
              <w:rPr>
                <w:rFonts w:cs="Arial"/>
                <w:szCs w:val="18"/>
                <w:lang w:val="en-GB"/>
              </w:rPr>
            </w:pPr>
            <w:r w:rsidRPr="00501121">
              <w:rPr>
                <w:szCs w:val="18"/>
                <w:lang w:val="it-IT"/>
              </w:rPr>
              <w:t>Dominant Risk</w:t>
            </w:r>
          </w:p>
        </w:tc>
        <w:tc>
          <w:tcPr>
            <w:tcW w:w="2101" w:type="dxa"/>
            <w:shd w:val="clear" w:color="auto" w:fill="FFFFFF"/>
            <w:vAlign w:val="center"/>
          </w:tcPr>
          <w:p w14:paraId="0428A50E" w14:textId="781D5CAA" w:rsidR="00540487" w:rsidRPr="00B57B36" w:rsidRDefault="00540487" w:rsidP="00540487">
            <w:pPr>
              <w:pStyle w:val="CETBodytext"/>
              <w:ind w:right="-1"/>
              <w:rPr>
                <w:rFonts w:cs="Arial"/>
                <w:szCs w:val="18"/>
                <w:lang w:val="en-GB"/>
              </w:rPr>
            </w:pPr>
            <w:r w:rsidRPr="00501121">
              <w:rPr>
                <w:szCs w:val="18"/>
                <w:lang w:val="it-IT"/>
              </w:rPr>
              <w:t>Jet Fire IR</w:t>
            </w:r>
          </w:p>
        </w:tc>
        <w:tc>
          <w:tcPr>
            <w:tcW w:w="2085" w:type="dxa"/>
            <w:shd w:val="clear" w:color="auto" w:fill="FFFFFF"/>
            <w:vAlign w:val="center"/>
          </w:tcPr>
          <w:p w14:paraId="22185C99" w14:textId="1978DC4C" w:rsidR="00540487" w:rsidRPr="00501121" w:rsidRDefault="00540487" w:rsidP="00540487">
            <w:pPr>
              <w:pStyle w:val="CETBodytext"/>
              <w:ind w:right="-1"/>
              <w:rPr>
                <w:szCs w:val="18"/>
                <w:lang w:val="it-IT"/>
              </w:rPr>
            </w:pPr>
            <w:r w:rsidRPr="00501121">
              <w:rPr>
                <w:szCs w:val="18"/>
                <w:lang w:val="it-IT"/>
              </w:rPr>
              <w:t>1.34×10</w:t>
            </w:r>
            <w:r w:rsidRPr="00501121">
              <w:rPr>
                <w:rFonts w:ascii="Cambria Math" w:hAnsi="Cambria Math" w:cs="Cambria Math"/>
                <w:szCs w:val="18"/>
                <w:lang w:val="it-IT"/>
              </w:rPr>
              <w:t>⁻</w:t>
            </w:r>
            <w:r w:rsidRPr="00501121">
              <w:rPr>
                <w:rFonts w:cs="Arial"/>
                <w:szCs w:val="18"/>
                <w:lang w:val="it-IT"/>
              </w:rPr>
              <w:t>⁷</w:t>
            </w:r>
            <w:r>
              <w:rPr>
                <w:szCs w:val="18"/>
                <w:lang w:val="it-IT"/>
              </w:rPr>
              <w:t xml:space="preserve"> </w:t>
            </w:r>
            <w:r w:rsidRPr="00501121">
              <w:rPr>
                <w:szCs w:val="18"/>
                <w:lang w:val="it-IT"/>
              </w:rPr>
              <w:t>y</w:t>
            </w:r>
            <w:r w:rsidRPr="00303B87">
              <w:rPr>
                <w:vertAlign w:val="superscript"/>
              </w:rPr>
              <w:t>-1</w:t>
            </w:r>
          </w:p>
        </w:tc>
        <w:tc>
          <w:tcPr>
            <w:tcW w:w="2085" w:type="dxa"/>
            <w:shd w:val="clear" w:color="auto" w:fill="FFFFFF"/>
            <w:vAlign w:val="center"/>
          </w:tcPr>
          <w:p w14:paraId="27BC3F0B" w14:textId="4CA810DF" w:rsidR="00540487" w:rsidRPr="00501121" w:rsidRDefault="00540487" w:rsidP="00540487">
            <w:pPr>
              <w:pStyle w:val="CETBodytext"/>
              <w:ind w:right="-1"/>
              <w:rPr>
                <w:szCs w:val="18"/>
                <w:lang w:val="it-IT"/>
              </w:rPr>
            </w:pPr>
            <w:r w:rsidRPr="00501121">
              <w:rPr>
                <w:szCs w:val="18"/>
                <w:lang w:val="it-IT"/>
              </w:rPr>
              <w:t>&lt;10</w:t>
            </w:r>
            <w:r w:rsidRPr="00501121">
              <w:rPr>
                <w:rFonts w:ascii="Cambria Math" w:hAnsi="Cambria Math" w:cs="Cambria Math"/>
                <w:szCs w:val="18"/>
                <w:lang w:val="it-IT"/>
              </w:rPr>
              <w:t>⁻</w:t>
            </w:r>
            <w:r w:rsidRPr="00501121">
              <w:rPr>
                <w:rFonts w:cs="Arial"/>
                <w:szCs w:val="18"/>
                <w:lang w:val="it-IT"/>
              </w:rPr>
              <w:t>⁶</w:t>
            </w:r>
            <w:r w:rsidRPr="00501121">
              <w:rPr>
                <w:szCs w:val="18"/>
                <w:lang w:val="it-IT"/>
              </w:rPr>
              <w:t xml:space="preserve"> </w:t>
            </w:r>
            <w:proofErr w:type="spellStart"/>
            <w:r w:rsidRPr="00501121">
              <w:rPr>
                <w:szCs w:val="18"/>
                <w:lang w:val="it-IT"/>
              </w:rPr>
              <w:t>Acceptable</w:t>
            </w:r>
            <w:proofErr w:type="spellEnd"/>
          </w:p>
        </w:tc>
      </w:tr>
      <w:tr w:rsidR="00540487" w:rsidRPr="00B57B36" w14:paraId="7D0728B9" w14:textId="7BCB5EB6" w:rsidTr="00E91E1D">
        <w:tc>
          <w:tcPr>
            <w:tcW w:w="2516" w:type="dxa"/>
            <w:shd w:val="clear" w:color="auto" w:fill="FFFFFF"/>
            <w:vAlign w:val="center"/>
          </w:tcPr>
          <w:p w14:paraId="516362A4" w14:textId="212C2B10" w:rsidR="00540487" w:rsidRPr="00B57B36" w:rsidRDefault="00540487" w:rsidP="00540487">
            <w:pPr>
              <w:pStyle w:val="CETBodytext"/>
              <w:ind w:right="-1"/>
              <w:rPr>
                <w:rFonts w:cs="Arial"/>
                <w:szCs w:val="18"/>
                <w:lang w:val="en-GB"/>
              </w:rPr>
            </w:pPr>
            <w:r w:rsidRPr="00501121">
              <w:rPr>
                <w:szCs w:val="18"/>
                <w:lang w:val="it-IT"/>
              </w:rPr>
              <w:t>SIMOPS</w:t>
            </w:r>
          </w:p>
        </w:tc>
        <w:tc>
          <w:tcPr>
            <w:tcW w:w="2101" w:type="dxa"/>
            <w:shd w:val="clear" w:color="auto" w:fill="FFFFFF"/>
            <w:vAlign w:val="center"/>
          </w:tcPr>
          <w:p w14:paraId="6CCC03AC" w14:textId="6D1DB95E" w:rsidR="00540487" w:rsidRPr="00B57B36" w:rsidRDefault="00540487" w:rsidP="00540487">
            <w:pPr>
              <w:pStyle w:val="CETBodytext"/>
              <w:ind w:right="-1"/>
              <w:rPr>
                <w:rFonts w:cs="Arial"/>
                <w:szCs w:val="18"/>
                <w:lang w:val="en-GB"/>
              </w:rPr>
            </w:pPr>
            <w:proofErr w:type="spellStart"/>
            <w:r w:rsidRPr="00501121">
              <w:rPr>
                <w:szCs w:val="18"/>
                <w:lang w:val="it-IT"/>
              </w:rPr>
              <w:t>Category</w:t>
            </w:r>
            <w:proofErr w:type="spellEnd"/>
          </w:p>
        </w:tc>
        <w:tc>
          <w:tcPr>
            <w:tcW w:w="2085" w:type="dxa"/>
            <w:shd w:val="clear" w:color="auto" w:fill="FFFFFF"/>
            <w:vAlign w:val="center"/>
          </w:tcPr>
          <w:p w14:paraId="2917A5E9" w14:textId="285D35D9" w:rsidR="00540487" w:rsidRPr="00501121" w:rsidRDefault="00540487" w:rsidP="00540487">
            <w:pPr>
              <w:pStyle w:val="CETBodytext"/>
              <w:ind w:right="-1"/>
              <w:rPr>
                <w:szCs w:val="18"/>
                <w:lang w:val="it-IT"/>
              </w:rPr>
            </w:pPr>
            <w:r w:rsidRPr="00501121">
              <w:rPr>
                <w:szCs w:val="18"/>
                <w:lang w:val="it-IT"/>
              </w:rPr>
              <w:t>A (</w:t>
            </w:r>
            <w:proofErr w:type="spellStart"/>
            <w:r w:rsidRPr="00501121">
              <w:rPr>
                <w:szCs w:val="18"/>
                <w:lang w:val="it-IT"/>
              </w:rPr>
              <w:t>outside</w:t>
            </w:r>
            <w:proofErr w:type="spellEnd"/>
            <w:r w:rsidRPr="00501121">
              <w:rPr>
                <w:szCs w:val="18"/>
                <w:lang w:val="it-IT"/>
              </w:rPr>
              <w:t xml:space="preserve"> zone)</w:t>
            </w:r>
          </w:p>
        </w:tc>
        <w:tc>
          <w:tcPr>
            <w:tcW w:w="2085" w:type="dxa"/>
            <w:shd w:val="clear" w:color="auto" w:fill="FFFFFF"/>
            <w:vAlign w:val="center"/>
          </w:tcPr>
          <w:p w14:paraId="43FD6487" w14:textId="1AE7927C" w:rsidR="00540487" w:rsidRPr="00501121" w:rsidRDefault="00540487" w:rsidP="00540487">
            <w:pPr>
              <w:pStyle w:val="CETBodytext"/>
              <w:ind w:right="-1"/>
              <w:rPr>
                <w:szCs w:val="18"/>
                <w:lang w:val="it-IT"/>
              </w:rPr>
            </w:pPr>
            <w:proofErr w:type="spellStart"/>
            <w:r w:rsidRPr="00501121">
              <w:rPr>
                <w:szCs w:val="18"/>
                <w:lang w:val="it-IT"/>
              </w:rPr>
              <w:t>Permitted</w:t>
            </w:r>
            <w:proofErr w:type="spellEnd"/>
          </w:p>
        </w:tc>
      </w:tr>
      <w:tr w:rsidR="00540487" w:rsidRPr="00B57B36" w14:paraId="13ED645D" w14:textId="6B0664FC" w:rsidTr="00DF51A8">
        <w:tc>
          <w:tcPr>
            <w:tcW w:w="2516" w:type="dxa"/>
            <w:shd w:val="clear" w:color="auto" w:fill="FFFFFF"/>
            <w:vAlign w:val="center"/>
          </w:tcPr>
          <w:p w14:paraId="6724C899" w14:textId="506D270F" w:rsidR="00540487" w:rsidRPr="00501121" w:rsidRDefault="00540487" w:rsidP="00540487">
            <w:pPr>
              <w:pStyle w:val="CETBodytext"/>
              <w:ind w:right="-1"/>
              <w:rPr>
                <w:szCs w:val="18"/>
                <w:lang w:val="it-IT"/>
              </w:rPr>
            </w:pPr>
            <w:r w:rsidRPr="00501121">
              <w:rPr>
                <w:szCs w:val="18"/>
                <w:lang w:val="it-IT"/>
              </w:rPr>
              <w:t xml:space="preserve">Public </w:t>
            </w:r>
            <w:proofErr w:type="spellStart"/>
            <w:r w:rsidRPr="00501121">
              <w:rPr>
                <w:szCs w:val="18"/>
                <w:lang w:val="it-IT"/>
              </w:rPr>
              <w:t>Exposure</w:t>
            </w:r>
            <w:proofErr w:type="spellEnd"/>
          </w:p>
        </w:tc>
        <w:tc>
          <w:tcPr>
            <w:tcW w:w="2101" w:type="dxa"/>
            <w:shd w:val="clear" w:color="auto" w:fill="FFFFFF"/>
            <w:vAlign w:val="center"/>
          </w:tcPr>
          <w:p w14:paraId="0930914B" w14:textId="068041E5" w:rsidR="00540487" w:rsidRPr="00501121" w:rsidRDefault="00540487" w:rsidP="00540487">
            <w:pPr>
              <w:pStyle w:val="CETBodytext"/>
              <w:ind w:right="-1"/>
              <w:rPr>
                <w:szCs w:val="18"/>
                <w:lang w:val="it-IT"/>
              </w:rPr>
            </w:pPr>
            <w:r w:rsidRPr="00501121">
              <w:rPr>
                <w:szCs w:val="18"/>
                <w:lang w:val="it-IT"/>
              </w:rPr>
              <w:t>All groups</w:t>
            </w:r>
            <w:r>
              <w:rPr>
                <w:szCs w:val="18"/>
                <w:lang w:val="it-IT"/>
              </w:rPr>
              <w:t xml:space="preserve"> IR</w:t>
            </w:r>
          </w:p>
        </w:tc>
        <w:tc>
          <w:tcPr>
            <w:tcW w:w="2085" w:type="dxa"/>
            <w:shd w:val="clear" w:color="auto" w:fill="FFFFFF"/>
            <w:vAlign w:val="center"/>
          </w:tcPr>
          <w:p w14:paraId="656EEDAA" w14:textId="016CA0B2" w:rsidR="00540487" w:rsidRPr="00501121" w:rsidRDefault="00540487" w:rsidP="00540487">
            <w:pPr>
              <w:pStyle w:val="CETBodytext"/>
              <w:ind w:right="-1"/>
              <w:rPr>
                <w:szCs w:val="18"/>
                <w:lang w:val="it-IT"/>
              </w:rPr>
            </w:pPr>
            <w:r w:rsidRPr="00501121">
              <w:rPr>
                <w:szCs w:val="18"/>
                <w:lang w:val="it-IT"/>
              </w:rPr>
              <w:t>&lt;10</w:t>
            </w:r>
            <w:r w:rsidRPr="00501121">
              <w:rPr>
                <w:rFonts w:ascii="Cambria Math" w:hAnsi="Cambria Math" w:cs="Cambria Math"/>
                <w:szCs w:val="18"/>
                <w:lang w:val="it-IT"/>
              </w:rPr>
              <w:t>⁻</w:t>
            </w:r>
            <w:r w:rsidRPr="00501121">
              <w:rPr>
                <w:rFonts w:cs="Arial"/>
                <w:szCs w:val="18"/>
                <w:lang w:val="it-IT"/>
              </w:rPr>
              <w:t>⁸</w:t>
            </w:r>
            <w:r w:rsidRPr="00501121">
              <w:rPr>
                <w:szCs w:val="18"/>
                <w:lang w:val="it-IT"/>
              </w:rPr>
              <w:t xml:space="preserve"> y</w:t>
            </w:r>
            <w:r w:rsidRPr="00303B87">
              <w:rPr>
                <w:vertAlign w:val="superscript"/>
              </w:rPr>
              <w:t>-1</w:t>
            </w:r>
          </w:p>
        </w:tc>
        <w:tc>
          <w:tcPr>
            <w:tcW w:w="2085" w:type="dxa"/>
            <w:shd w:val="clear" w:color="auto" w:fill="FFFFFF"/>
            <w:vAlign w:val="center"/>
          </w:tcPr>
          <w:p w14:paraId="6F5CFE7F" w14:textId="3F5D9079" w:rsidR="00540487" w:rsidRPr="00501121" w:rsidRDefault="00540487" w:rsidP="00540487">
            <w:pPr>
              <w:pStyle w:val="CETBodytext"/>
              <w:ind w:right="-1"/>
              <w:rPr>
                <w:szCs w:val="18"/>
                <w:lang w:val="it-IT"/>
              </w:rPr>
            </w:pPr>
            <w:proofErr w:type="spellStart"/>
            <w:r w:rsidRPr="00501121">
              <w:rPr>
                <w:szCs w:val="18"/>
                <w:lang w:val="it-IT"/>
              </w:rPr>
              <w:t>Negligible</w:t>
            </w:r>
            <w:proofErr w:type="spellEnd"/>
            <w:r w:rsidRPr="00501121">
              <w:rPr>
                <w:szCs w:val="18"/>
                <w:lang w:val="it-IT"/>
              </w:rPr>
              <w:t xml:space="preserve"> ​</w:t>
            </w:r>
          </w:p>
        </w:tc>
      </w:tr>
    </w:tbl>
    <w:p w14:paraId="68D26B83" w14:textId="4BFA8518" w:rsidR="00600535" w:rsidRPr="00540487" w:rsidRDefault="00600535" w:rsidP="00382765">
      <w:pPr>
        <w:pStyle w:val="CETHeading1"/>
        <w:numPr>
          <w:ilvl w:val="1"/>
          <w:numId w:val="38"/>
        </w:numPr>
        <w:rPr>
          <w:lang w:val="en-GB"/>
        </w:rPr>
      </w:pPr>
      <w:r w:rsidRPr="00540487">
        <w:rPr>
          <w:lang w:val="en-GB"/>
        </w:rPr>
        <w:lastRenderedPageBreak/>
        <w:t>Conclusions</w:t>
      </w:r>
    </w:p>
    <w:p w14:paraId="69F0C53E" w14:textId="72D9FDF9" w:rsidR="00540487" w:rsidRPr="00BB0A58" w:rsidRDefault="00540487" w:rsidP="00540487">
      <w:pPr>
        <w:pStyle w:val="CETBodytext"/>
      </w:pPr>
      <w:r w:rsidRPr="00BB0A58">
        <w:t xml:space="preserve">The proposed QRA methodology </w:t>
      </w:r>
      <w:r>
        <w:t xml:space="preserve">applied to </w:t>
      </w:r>
      <w:r w:rsidRPr="00382765">
        <w:t>Genoa</w:t>
      </w:r>
      <w:r w:rsidRPr="00BB0A58">
        <w:t xml:space="preserve"> urban-port environment </w:t>
      </w:r>
      <w:r>
        <w:t xml:space="preserve">shows the requirements for safe  </w:t>
      </w:r>
      <w:r w:rsidRPr="00BB0A58">
        <w:t>LNG STS bunkering for passenger vessels</w:t>
      </w:r>
      <w:r>
        <w:t>,</w:t>
      </w:r>
      <w:r w:rsidRPr="00BB0A58">
        <w:t xml:space="preserve"> fully complying with Italian individual risk limits in the explored context, while clearly defining the extent of the Safety Zone and relevant SIMOPS constraints (Category A). The probabilistic approach</w:t>
      </w:r>
      <w:r w:rsidR="00F83438">
        <w:t xml:space="preserve">, </w:t>
      </w:r>
      <w:r w:rsidRPr="00BB0A58">
        <w:t xml:space="preserve">featuring detailed FTA/ET synthesis and port-specific operational modifiers </w:t>
      </w:r>
      <w:r w:rsidRPr="002A549E">
        <w:t>(α</w:t>
      </w:r>
      <w:r w:rsidRPr="002A549E">
        <w:rPr>
          <w:vertAlign w:val="subscript"/>
        </w:rPr>
        <w:t>OP</w:t>
      </w:r>
      <w:r w:rsidRPr="002A549E">
        <w:t>=1</w:t>
      </w:r>
      <w:r w:rsidRPr="00BB0A58">
        <w:t xml:space="preserve">.3 for traffic and SIMOPS) represent an added value to deterministic analysis, making the framework transferable to </w:t>
      </w:r>
      <w:r w:rsidRPr="00540567">
        <w:t>other Italian ports po</w:t>
      </w:r>
      <w:r w:rsidR="000C0601" w:rsidRPr="00540567">
        <w:t xml:space="preserve">tentially </w:t>
      </w:r>
      <w:r w:rsidRPr="00540567">
        <w:t>characterized by high passenger traffic density. The key result is that the first bunkering operation in Genoa ferry terminal was completed incident-free, within an</w:t>
      </w:r>
      <w:r w:rsidR="000C0601" w:rsidRPr="00540567">
        <w:t xml:space="preserve"> </w:t>
      </w:r>
      <w:r w:rsidRPr="00540567">
        <w:t xml:space="preserve">effective research </w:t>
      </w:r>
      <w:r w:rsidRPr="00BB0A58">
        <w:t xml:space="preserve">coordination among University of Genoa, Grandi Navi </w:t>
      </w:r>
      <w:proofErr w:type="spellStart"/>
      <w:r w:rsidRPr="00BB0A58">
        <w:t>Veloci</w:t>
      </w:r>
      <w:proofErr w:type="spellEnd"/>
      <w:r w:rsidRPr="00BB0A58">
        <w:t>, AXPO, Port Authority, and Fire Brigade.</w:t>
      </w:r>
    </w:p>
    <w:p w14:paraId="54CBCB17" w14:textId="77777777" w:rsidR="00540487" w:rsidRPr="00BB0A58" w:rsidRDefault="00540487" w:rsidP="00540487">
      <w:pPr>
        <w:pStyle w:val="CETBodytext"/>
      </w:pPr>
      <w:r w:rsidRPr="00BB0A58">
        <w:t>Further refinement of the overall approach may include:</w:t>
      </w:r>
    </w:p>
    <w:p w14:paraId="293B1CF4" w14:textId="4EF35D55" w:rsidR="00540487" w:rsidRPr="00BB0A58" w:rsidRDefault="00540487" w:rsidP="00540487">
      <w:pPr>
        <w:pStyle w:val="CETBodytext"/>
        <w:numPr>
          <w:ilvl w:val="0"/>
          <w:numId w:val="39"/>
        </w:numPr>
        <w:ind w:left="284" w:hanging="283"/>
      </w:pPr>
      <w:r w:rsidRPr="00BB0A58">
        <w:t>Standardize the α_OP modifier for urban ports</w:t>
      </w:r>
      <w:r w:rsidR="00F83438">
        <w:t xml:space="preserve"> upon validation on extended layout characteristics dataset</w:t>
      </w:r>
      <w:r w:rsidRPr="00BB0A58">
        <w:t>.</w:t>
      </w:r>
    </w:p>
    <w:p w14:paraId="5BD2902F" w14:textId="77777777" w:rsidR="00540487" w:rsidRPr="00BB0A58" w:rsidRDefault="00540487" w:rsidP="00540487">
      <w:pPr>
        <w:pStyle w:val="CETBodytext"/>
        <w:numPr>
          <w:ilvl w:val="0"/>
          <w:numId w:val="39"/>
        </w:numPr>
        <w:ind w:left="284" w:hanging="283"/>
      </w:pPr>
      <w:r w:rsidRPr="00BB0A58">
        <w:t>Implement STCW-specific SIMOPS Category A training for crews.</w:t>
      </w:r>
    </w:p>
    <w:p w14:paraId="37F24938" w14:textId="77777777" w:rsidR="00540487" w:rsidRDefault="00540487" w:rsidP="00540487">
      <w:pPr>
        <w:pStyle w:val="CETBodytext"/>
        <w:numPr>
          <w:ilvl w:val="0"/>
          <w:numId w:val="39"/>
        </w:numPr>
        <w:ind w:left="284" w:hanging="283"/>
      </w:pPr>
      <w:r w:rsidRPr="00BB0A58">
        <w:t>Monitor real-world data to validate QRA frequencies, in the perspective of an overall dynamic resilience assessment.</w:t>
      </w:r>
      <w:r>
        <w:t xml:space="preserve"> </w:t>
      </w:r>
    </w:p>
    <w:p w14:paraId="64EFC3A1" w14:textId="44E844A5" w:rsidR="00540487" w:rsidRPr="00BB0A58" w:rsidRDefault="00540487" w:rsidP="00540487">
      <w:pPr>
        <w:pStyle w:val="CETBodytext"/>
      </w:pPr>
      <w:r>
        <w:t xml:space="preserve">A limitation of this </w:t>
      </w:r>
      <w:r w:rsidR="00F83438">
        <w:t xml:space="preserve">preliminary </w:t>
      </w:r>
      <w:r>
        <w:t>study, also in view of other application</w:t>
      </w:r>
      <w:r w:rsidR="00F83438">
        <w:t>s</w:t>
      </w:r>
      <w:r>
        <w:t>, is the need of accounting for additional LOC triggering causes, depending on their relevance for the analyzed context, e.g.</w:t>
      </w:r>
      <w:r w:rsidR="000C0601">
        <w:t>,</w:t>
      </w:r>
      <w:r>
        <w:t xml:space="preserve"> man-induced accidents, due to high stress or lapses, collisions, harsh environment failures, extreme weather events. </w:t>
      </w:r>
      <w:r w:rsidRPr="00BB0A58">
        <w:t xml:space="preserve">The </w:t>
      </w:r>
      <w:r>
        <w:t>pilot study can</w:t>
      </w:r>
      <w:r w:rsidRPr="00BB0A58">
        <w:t xml:space="preserve"> provide a general framework </w:t>
      </w:r>
      <w:r>
        <w:t xml:space="preserve">for </w:t>
      </w:r>
      <w:r w:rsidRPr="00BB0A58">
        <w:t xml:space="preserve">the development of risk-based criteria and </w:t>
      </w:r>
      <w:r w:rsidR="00D30496">
        <w:t xml:space="preserve">a </w:t>
      </w:r>
      <w:r w:rsidRPr="00BB0A58">
        <w:t>practical benchmark for LNG bunkering implementation in Italian port environment</w:t>
      </w:r>
      <w:r w:rsidR="00D30496">
        <w:t>.</w:t>
      </w:r>
      <w:r>
        <w:t xml:space="preserve"> </w:t>
      </w:r>
      <w:r w:rsidR="00D30496">
        <w:t>Additionally</w:t>
      </w:r>
      <w:r w:rsidR="009D5073">
        <w:t xml:space="preserve">, </w:t>
      </w:r>
      <w:r w:rsidR="00D30496" w:rsidRPr="00D30496">
        <w:t>if correctly implemented and validated through multi-stakeholder cooperation, this approach can facilitate effective port management, ensuring a safe maritime energy transition while upholding public safety regulations.</w:t>
      </w:r>
      <w:r w:rsidR="00D30496">
        <w:t xml:space="preserve"> </w:t>
      </w:r>
    </w:p>
    <w:p w14:paraId="0C853359" w14:textId="0C8BC056" w:rsidR="00540487" w:rsidRDefault="00540487" w:rsidP="00600535">
      <w:pPr>
        <w:pStyle w:val="CETBodytext"/>
        <w:rPr>
          <w:lang w:val="en-GB"/>
        </w:rPr>
      </w:pPr>
    </w:p>
    <w:p w14:paraId="7EE7FFCB" w14:textId="77777777" w:rsidR="00540487" w:rsidRPr="0028201A" w:rsidRDefault="00540487" w:rsidP="00540487">
      <w:pPr>
        <w:pStyle w:val="CETBodytext"/>
        <w:rPr>
          <w:b/>
          <w:bCs/>
        </w:rPr>
      </w:pPr>
      <w:r w:rsidRPr="0028201A">
        <w:rPr>
          <w:b/>
          <w:bCs/>
        </w:rPr>
        <w:t>Acknowledgments</w:t>
      </w:r>
    </w:p>
    <w:p w14:paraId="254D02BD" w14:textId="77777777" w:rsidR="00540487" w:rsidRPr="00BB0A58" w:rsidRDefault="00540487" w:rsidP="00540487">
      <w:pPr>
        <w:pStyle w:val="CETBodytext"/>
        <w:jc w:val="left"/>
      </w:pPr>
      <w:r w:rsidRPr="00BB0A58">
        <w:t xml:space="preserve">Funded by the European Union - </w:t>
      </w:r>
      <w:proofErr w:type="spellStart"/>
      <w:r w:rsidRPr="00BB0A58">
        <w:t>NextGenerationEU</w:t>
      </w:r>
      <w:proofErr w:type="spellEnd"/>
      <w:r w:rsidRPr="00BB0A58">
        <w:t xml:space="preserve"> and by the Ministry of University and Research (MUR),</w:t>
      </w:r>
    </w:p>
    <w:p w14:paraId="166EC708" w14:textId="77777777" w:rsidR="00540487" w:rsidRPr="00BB0A58" w:rsidRDefault="00540487" w:rsidP="00540487">
      <w:pPr>
        <w:pStyle w:val="CETBodytext"/>
        <w:jc w:val="left"/>
      </w:pPr>
      <w:r w:rsidRPr="00BB0A58">
        <w:t>National Recovery and Resilience Plan (NRRP), Mission 4, Component 2, Investment 1.5, project “RAISE -</w:t>
      </w:r>
    </w:p>
    <w:p w14:paraId="32D6447D" w14:textId="77777777" w:rsidR="00540487" w:rsidRPr="00BB0A58" w:rsidRDefault="00540487" w:rsidP="00540487">
      <w:pPr>
        <w:pStyle w:val="CETBodytext"/>
        <w:jc w:val="left"/>
      </w:pPr>
      <w:r w:rsidRPr="00BB0A58">
        <w:t>Robotics and AI for Socio-economic Empowerment” (ECS00000035). Bruno Fabiano is part of RAISE</w:t>
      </w:r>
    </w:p>
    <w:p w14:paraId="610E4D4B" w14:textId="77777777" w:rsidR="00540487" w:rsidRPr="00BB0A58" w:rsidRDefault="00540487" w:rsidP="00540487">
      <w:pPr>
        <w:pStyle w:val="CETBodytext"/>
        <w:jc w:val="left"/>
      </w:pPr>
      <w:r w:rsidRPr="00BB0A58">
        <w:t>Innovation Ecosystem.</w:t>
      </w:r>
    </w:p>
    <w:p w14:paraId="7CB826EF" w14:textId="77777777" w:rsidR="00540487" w:rsidRPr="007429E9" w:rsidRDefault="00540487" w:rsidP="00540487">
      <w:pPr>
        <w:pStyle w:val="CETReference"/>
      </w:pPr>
      <w:r w:rsidRPr="007429E9">
        <w:t>References</w:t>
      </w:r>
    </w:p>
    <w:p w14:paraId="75C7FB79" w14:textId="77777777" w:rsidR="004C2399" w:rsidRDefault="004C2399" w:rsidP="00540487">
      <w:pPr>
        <w:pStyle w:val="CETReferencetext"/>
      </w:pPr>
      <w:proofErr w:type="spellStart"/>
      <w:r w:rsidRPr="004C2399">
        <w:t>Aneziris</w:t>
      </w:r>
      <w:proofErr w:type="spellEnd"/>
      <w:r w:rsidRPr="004C2399">
        <w:t xml:space="preserve"> O., </w:t>
      </w:r>
      <w:proofErr w:type="spellStart"/>
      <w:r w:rsidRPr="004C2399">
        <w:t>Koromila</w:t>
      </w:r>
      <w:proofErr w:type="spellEnd"/>
      <w:r w:rsidRPr="004C2399">
        <w:t xml:space="preserve"> I.A., </w:t>
      </w:r>
      <w:proofErr w:type="spellStart"/>
      <w:r w:rsidRPr="004C2399">
        <w:t>Nivolianitou</w:t>
      </w:r>
      <w:proofErr w:type="spellEnd"/>
      <w:r w:rsidRPr="004C2399">
        <w:t xml:space="preserve"> Z., 2022, Risk assessment for ship-to-ship LNG bunkering, Chemical Engineering Transactions, 90, 19-24</w:t>
      </w:r>
    </w:p>
    <w:p w14:paraId="18B0EA32" w14:textId="77777777" w:rsidR="00CC111A" w:rsidRPr="007429E9" w:rsidRDefault="00CC111A" w:rsidP="00540487">
      <w:pPr>
        <w:pStyle w:val="CETReferencetext"/>
      </w:pPr>
      <w:proofErr w:type="spellStart"/>
      <w:r w:rsidRPr="007429E9">
        <w:t>Aneziris</w:t>
      </w:r>
      <w:proofErr w:type="spellEnd"/>
      <w:r w:rsidRPr="007429E9">
        <w:t xml:space="preserve"> O., </w:t>
      </w:r>
      <w:proofErr w:type="spellStart"/>
      <w:r w:rsidRPr="007429E9">
        <w:t>Koromila</w:t>
      </w:r>
      <w:proofErr w:type="spellEnd"/>
      <w:r w:rsidRPr="007429E9">
        <w:t xml:space="preserve"> I., </w:t>
      </w:r>
      <w:proofErr w:type="spellStart"/>
      <w:r w:rsidRPr="007429E9">
        <w:t>Nivolianitou</w:t>
      </w:r>
      <w:proofErr w:type="spellEnd"/>
      <w:r w:rsidRPr="007429E9">
        <w:t xml:space="preserve"> Z.</w:t>
      </w:r>
      <w:r>
        <w:t>,</w:t>
      </w:r>
      <w:r w:rsidRPr="007429E9">
        <w:t xml:space="preserve"> 2020, A systematic literature review on LNG safety at ports, Safety Science, 124, 104595.</w:t>
      </w:r>
    </w:p>
    <w:p w14:paraId="56154DB7" w14:textId="7A87233C" w:rsidR="00CC111A" w:rsidRPr="007429E9" w:rsidRDefault="00CC111A" w:rsidP="00540487">
      <w:pPr>
        <w:pStyle w:val="CETReferencetext"/>
      </w:pPr>
      <w:r w:rsidRPr="007429E9">
        <w:t>DNV AS, 2025</w:t>
      </w:r>
      <w:r>
        <w:t>,</w:t>
      </w:r>
      <w:r w:rsidRPr="007429E9">
        <w:t xml:space="preserve"> Energy Transition Outlook Maritime forecast to 2050</w:t>
      </w:r>
      <w:r>
        <w:t>,</w:t>
      </w:r>
      <w:r w:rsidRPr="007429E9">
        <w:t xml:space="preserve"> DNV AS Publ. Høvik, Norway</w:t>
      </w:r>
    </w:p>
    <w:p w14:paraId="0A533F40" w14:textId="77777777" w:rsidR="00CC111A" w:rsidRDefault="00CC111A" w:rsidP="00540487">
      <w:pPr>
        <w:pStyle w:val="CETReferencetext"/>
      </w:pPr>
      <w:r w:rsidRPr="00026BC2">
        <w:rPr>
          <w:lang w:val="en-US"/>
        </w:rPr>
        <w:t>Fabiano B., Pettinato M., Currò F. Reverberi A.P.</w:t>
      </w:r>
      <w:r>
        <w:rPr>
          <w:lang w:val="en-US"/>
        </w:rPr>
        <w:t>,</w:t>
      </w:r>
      <w:r w:rsidRPr="00026BC2">
        <w:rPr>
          <w:lang w:val="en-US"/>
        </w:rPr>
        <w:t xml:space="preserve"> 2025, </w:t>
      </w:r>
      <w:r w:rsidRPr="000167BE">
        <w:rPr>
          <w:lang w:val="en-US"/>
        </w:rPr>
        <w:t xml:space="preserve">Safety </w:t>
      </w:r>
      <w:r>
        <w:t>concerns for ammonia as a green energy vector and the role of spray curtains for Its accidental release mitigation, Energies 2025, 18, 3412.</w:t>
      </w:r>
    </w:p>
    <w:p w14:paraId="36AE1E97" w14:textId="77777777" w:rsidR="00CC111A" w:rsidRPr="007429E9" w:rsidRDefault="00CC111A" w:rsidP="00540487">
      <w:pPr>
        <w:pStyle w:val="CETReferencetext"/>
      </w:pPr>
      <w:r w:rsidRPr="007429E9">
        <w:t>Fu S., Yan X., Zhang D., Li C., Zio E.</w:t>
      </w:r>
      <w:r>
        <w:t>,</w:t>
      </w:r>
      <w:r w:rsidRPr="007429E9">
        <w:t xml:space="preserve"> 2016, Framework for the quantitative assessment of the risk of leakage from LNG-</w:t>
      </w:r>
      <w:proofErr w:type="spellStart"/>
      <w:r w:rsidRPr="007429E9">
        <w:t>fueled</w:t>
      </w:r>
      <w:proofErr w:type="spellEnd"/>
      <w:r w:rsidRPr="007429E9">
        <w:t xml:space="preserve"> vessels by an event tree-CFD, J. of Loss Prevention in the Process Industries, 43, 42-52</w:t>
      </w:r>
    </w:p>
    <w:p w14:paraId="50D8645E" w14:textId="4A71C29F" w:rsidR="00CC111A" w:rsidRPr="007429E9" w:rsidRDefault="00CC111A" w:rsidP="00540487">
      <w:pPr>
        <w:pStyle w:val="CETReferencetext"/>
      </w:pPr>
      <w:r w:rsidRPr="007429E9">
        <w:t xml:space="preserve">HSE, 2019, Failure </w:t>
      </w:r>
      <w:r w:rsidR="00DD3017">
        <w:t>r</w:t>
      </w:r>
      <w:r w:rsidRPr="007429E9">
        <w:t xml:space="preserve">ate and </w:t>
      </w:r>
      <w:r w:rsidR="00DD3017">
        <w:t>e</w:t>
      </w:r>
      <w:r w:rsidRPr="007429E9">
        <w:t xml:space="preserve">vent </w:t>
      </w:r>
      <w:r w:rsidR="00DD3017">
        <w:t>d</w:t>
      </w:r>
      <w:r w:rsidRPr="007429E9">
        <w:t xml:space="preserve">ata for use within </w:t>
      </w:r>
      <w:r w:rsidR="00DD3017">
        <w:t>r</w:t>
      </w:r>
      <w:r w:rsidRPr="007429E9">
        <w:t xml:space="preserve">isk </w:t>
      </w:r>
      <w:r w:rsidR="00DD3017">
        <w:t>a</w:t>
      </w:r>
      <w:r w:rsidRPr="007429E9">
        <w:t>ssessments (02/02/19), Available at: http://www.hse.gov.uk. Accessed 15.0</w:t>
      </w:r>
      <w:r w:rsidR="008B169D">
        <w:t>4</w:t>
      </w:r>
      <w:r w:rsidRPr="007429E9">
        <w:t>.2026</w:t>
      </w:r>
      <w:r>
        <w:t>.</w:t>
      </w:r>
    </w:p>
    <w:p w14:paraId="188F3800" w14:textId="2CD8E088" w:rsidR="00CC111A" w:rsidRPr="00AE0CCD" w:rsidRDefault="00CC111A" w:rsidP="00540487">
      <w:pPr>
        <w:pStyle w:val="CETReferencetext"/>
        <w:rPr>
          <w:lang w:val="en-US"/>
        </w:rPr>
      </w:pPr>
      <w:r w:rsidRPr="007429E9">
        <w:t>ISO/TS 18683</w:t>
      </w:r>
      <w:r>
        <w:t xml:space="preserve">, </w:t>
      </w:r>
      <w:r w:rsidRPr="007429E9">
        <w:t>2021</w:t>
      </w:r>
      <w:r>
        <w:t>,</w:t>
      </w:r>
      <w:r w:rsidRPr="007429E9">
        <w:t xml:space="preserve"> Guidelines for safety and risk assessment of LNG fuel bunkering operations.</w:t>
      </w:r>
      <w:r>
        <w:t xml:space="preserve"> </w:t>
      </w:r>
      <w:r w:rsidR="00DD3017" w:rsidRPr="005E4519">
        <w:t>I</w:t>
      </w:r>
      <w:r w:rsidR="00DD3017">
        <w:t>nternational</w:t>
      </w:r>
      <w:r>
        <w:t xml:space="preserve"> Organization for Standardization, Geneva, Switzerland. </w:t>
      </w:r>
    </w:p>
    <w:p w14:paraId="49642746" w14:textId="77777777" w:rsidR="00CC111A" w:rsidRDefault="00CC111A" w:rsidP="00540487">
      <w:pPr>
        <w:pStyle w:val="CETReferencetext"/>
      </w:pPr>
      <w:r w:rsidRPr="005E4519">
        <w:t>Italian Ministry of Infrastructures and Transports</w:t>
      </w:r>
      <w:r>
        <w:t xml:space="preserve"> (MIT)</w:t>
      </w:r>
      <w:r w:rsidRPr="005E4519">
        <w:t xml:space="preserve"> </w:t>
      </w:r>
      <w:r>
        <w:t xml:space="preserve">2025. </w:t>
      </w:r>
      <w:r w:rsidRPr="00C76A55">
        <w:rPr>
          <w:lang w:val="it-IT"/>
        </w:rPr>
        <w:t xml:space="preserve">Linee guida per la disciplina del bunkeraggio Ship to Ship di GNL e Bio GNL nei porti italiani. </w:t>
      </w:r>
      <w:r w:rsidRPr="005E4519">
        <w:t>Italian Ministry of Infrastructures and Transports</w:t>
      </w:r>
      <w:r>
        <w:t>.</w:t>
      </w:r>
    </w:p>
    <w:p w14:paraId="7EBC8A1E" w14:textId="0EA1DF32" w:rsidR="00CD7C3F" w:rsidRPr="005E4519" w:rsidRDefault="00CD7C3F" w:rsidP="00CD7C3F">
      <w:pPr>
        <w:pStyle w:val="CETReferencetext"/>
      </w:pPr>
      <w:r>
        <w:t>Jeong, B., Lee, B.S., Zhou, P., Ha, S.-m., 2018</w:t>
      </w:r>
      <w:r w:rsidR="00D61502">
        <w:t>,</w:t>
      </w:r>
      <w:r>
        <w:t xml:space="preserve"> Determination of safety exclusion zone for LNG bunkering at fuel-supplying point. Ocean Engineering 152, 113–129.</w:t>
      </w:r>
    </w:p>
    <w:p w14:paraId="22438904" w14:textId="77777777" w:rsidR="00CC111A" w:rsidRDefault="00CC111A" w:rsidP="00540487">
      <w:pPr>
        <w:pStyle w:val="CETReferencetext"/>
      </w:pPr>
      <w:r w:rsidRPr="005E4519">
        <w:t>Miranda A., Sanchez A., Marton I., Martorell S.</w:t>
      </w:r>
      <w:r>
        <w:t>, 2025,</w:t>
      </w:r>
      <w:r w:rsidRPr="005E4519">
        <w:t xml:space="preserve"> </w:t>
      </w:r>
      <w:r>
        <w:t xml:space="preserve">Bunkering reliability index for LNG bunkering operations considering uncertainty, </w:t>
      </w:r>
      <w:r w:rsidRPr="005E4519">
        <w:t>Journal of Loss Prevention in the Process Industries</w:t>
      </w:r>
      <w:r>
        <w:t xml:space="preserve"> </w:t>
      </w:r>
      <w:r w:rsidRPr="005E4519">
        <w:t>93</w:t>
      </w:r>
      <w:r>
        <w:t xml:space="preserve">, </w:t>
      </w:r>
      <w:r w:rsidRPr="005E4519">
        <w:t>105485</w:t>
      </w:r>
      <w:r>
        <w:t>.</w:t>
      </w:r>
    </w:p>
    <w:p w14:paraId="13EC171A" w14:textId="77777777" w:rsidR="00CC111A" w:rsidRDefault="00CC111A" w:rsidP="00540487">
      <w:pPr>
        <w:pStyle w:val="CETReferencetext"/>
      </w:pPr>
      <w:proofErr w:type="spellStart"/>
      <w:r w:rsidRPr="005E4519">
        <w:t>Ovidi</w:t>
      </w:r>
      <w:proofErr w:type="spellEnd"/>
      <w:r w:rsidRPr="005E4519">
        <w:t xml:space="preserve"> F., Landucci G., Picconi L., </w:t>
      </w:r>
      <w:proofErr w:type="spellStart"/>
      <w:r w:rsidRPr="005E4519">
        <w:t>Chiavistelli</w:t>
      </w:r>
      <w:proofErr w:type="spellEnd"/>
      <w:r w:rsidRPr="005E4519">
        <w:t xml:space="preserve"> T., 2018, A risk-based approach for the analysis of LNG carriers port operations, In: Proceedings of the 28</w:t>
      </w:r>
      <w:r w:rsidRPr="00FA7E54">
        <w:rPr>
          <w:vertAlign w:val="superscript"/>
        </w:rPr>
        <w:t>th</w:t>
      </w:r>
      <w:r w:rsidRPr="005E4519">
        <w:t xml:space="preserve"> European Safety and Reliability Conference (ESREL), 1655</w:t>
      </w:r>
      <w:r>
        <w:t>-</w:t>
      </w:r>
      <w:r w:rsidRPr="005E4519">
        <w:t>1663, Taylor &amp; Francis Group, London, UK.</w:t>
      </w:r>
    </w:p>
    <w:p w14:paraId="04DD7EDD" w14:textId="7B4B1AA3" w:rsidR="0099519D" w:rsidRDefault="0099519D" w:rsidP="00630853">
      <w:pPr>
        <w:pStyle w:val="CETReferencetext"/>
        <w:rPr>
          <w:lang w:val="en-US"/>
        </w:rPr>
      </w:pPr>
      <w:r w:rsidRPr="0099519D">
        <w:rPr>
          <w:lang w:val="en-US"/>
        </w:rPr>
        <w:t xml:space="preserve">Vairo T., </w:t>
      </w:r>
      <w:proofErr w:type="spellStart"/>
      <w:r w:rsidRPr="0099519D">
        <w:rPr>
          <w:lang w:val="en-US"/>
        </w:rPr>
        <w:t>Gualeni</w:t>
      </w:r>
      <w:proofErr w:type="spellEnd"/>
      <w:r w:rsidRPr="0099519D">
        <w:rPr>
          <w:lang w:val="en-US"/>
        </w:rPr>
        <w:t xml:space="preserve"> P., Reverberi A.P., Fabiano B. 2021, Resilience dynamic assessment based on precursor events: Application to ship </w:t>
      </w:r>
      <w:proofErr w:type="spellStart"/>
      <w:r w:rsidRPr="0099519D">
        <w:rPr>
          <w:lang w:val="en-US"/>
        </w:rPr>
        <w:t>lng</w:t>
      </w:r>
      <w:proofErr w:type="spellEnd"/>
      <w:r w:rsidRPr="0099519D">
        <w:rPr>
          <w:lang w:val="en-US"/>
        </w:rPr>
        <w:t xml:space="preserve"> bunkering operations, Sustainability 13, 6836.</w:t>
      </w:r>
    </w:p>
    <w:p w14:paraId="78A097E9" w14:textId="1407421A" w:rsidR="0099519D" w:rsidRDefault="00CC111A" w:rsidP="00630853">
      <w:pPr>
        <w:pStyle w:val="CETReferencetext"/>
      </w:pPr>
      <w:r w:rsidRPr="007B1BB4">
        <w:rPr>
          <w:lang w:val="en-US"/>
        </w:rPr>
        <w:t>Vairo T., Guarino S., Benvenuto A., Fabiano B., Setola R.</w:t>
      </w:r>
      <w:r>
        <w:rPr>
          <w:lang w:val="en-US"/>
        </w:rPr>
        <w:t>,</w:t>
      </w:r>
      <w:r w:rsidRPr="007B1BB4">
        <w:rPr>
          <w:lang w:val="en-US"/>
        </w:rPr>
        <w:t xml:space="preserve"> 20</w:t>
      </w:r>
      <w:r>
        <w:rPr>
          <w:lang w:val="en-US"/>
        </w:rPr>
        <w:t>26,</w:t>
      </w:r>
      <w:r w:rsidRPr="007B1BB4">
        <w:rPr>
          <w:lang w:val="en-US"/>
        </w:rPr>
        <w:t xml:space="preserve"> </w:t>
      </w:r>
      <w:r w:rsidRPr="007B1BB4">
        <w:t>Emergent risks in complex systems: A Bayesian perspective on uncertainty and prediction, Reliability Engineering &amp; System Safety, 270</w:t>
      </w:r>
      <w:r>
        <w:t>, 112129.</w:t>
      </w:r>
    </w:p>
    <w:p w14:paraId="061603BC" w14:textId="77777777" w:rsidR="00630853" w:rsidRPr="005E4519" w:rsidRDefault="00630853" w:rsidP="00540487">
      <w:pPr>
        <w:pStyle w:val="CETReferencetext"/>
      </w:pPr>
    </w:p>
    <w:p w14:paraId="060F2412" w14:textId="77777777" w:rsidR="00540487" w:rsidRDefault="00540487" w:rsidP="00600535">
      <w:pPr>
        <w:pStyle w:val="CETBodytext"/>
        <w:rPr>
          <w:lang w:val="en-GB"/>
        </w:rPr>
      </w:pPr>
    </w:p>
    <w:sectPr w:rsidR="00540487"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D1E48" w14:textId="77777777" w:rsidR="00D67CD0" w:rsidRDefault="00D67CD0" w:rsidP="004F5E36">
      <w:r>
        <w:separator/>
      </w:r>
    </w:p>
  </w:endnote>
  <w:endnote w:type="continuationSeparator" w:id="0">
    <w:p w14:paraId="4F707D6B" w14:textId="77777777" w:rsidR="00D67CD0" w:rsidRDefault="00D67CD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E2A5E" w14:textId="77777777" w:rsidR="00D67CD0" w:rsidRDefault="00D67CD0" w:rsidP="004F5E36">
      <w:r>
        <w:separator/>
      </w:r>
    </w:p>
  </w:footnote>
  <w:footnote w:type="continuationSeparator" w:id="0">
    <w:p w14:paraId="1725B0EF" w14:textId="77777777" w:rsidR="00D67CD0" w:rsidRDefault="00D67CD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0C71EFF"/>
    <w:multiLevelType w:val="multilevel"/>
    <w:tmpl w:val="A4DACC84"/>
    <w:lvl w:ilvl="0">
      <w:start w:val="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3E253A2"/>
    <w:multiLevelType w:val="multilevel"/>
    <w:tmpl w:val="86C4AE08"/>
    <w:lvl w:ilvl="0">
      <w:start w:val="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438217E"/>
    <w:multiLevelType w:val="multilevel"/>
    <w:tmpl w:val="AD1ED02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9C17C86"/>
    <w:multiLevelType w:val="hybridMultilevel"/>
    <w:tmpl w:val="6A5817F0"/>
    <w:lvl w:ilvl="0" w:tplc="0410000F">
      <w:start w:val="1"/>
      <w:numFmt w:val="decimal"/>
      <w:lvlText w:val="%1."/>
      <w:lvlJc w:val="left"/>
      <w:pPr>
        <w:ind w:left="340" w:hanging="227"/>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BAB6A18"/>
    <w:multiLevelType w:val="multilevel"/>
    <w:tmpl w:val="D588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190944"/>
    <w:multiLevelType w:val="multilevel"/>
    <w:tmpl w:val="3FB0AB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1D16347"/>
    <w:multiLevelType w:val="hybridMultilevel"/>
    <w:tmpl w:val="E2D6DD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1D462E"/>
    <w:multiLevelType w:val="hybridMultilevel"/>
    <w:tmpl w:val="991E832E"/>
    <w:lvl w:ilvl="0" w:tplc="1856104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F3545CD2">
      <w:start w:val="1"/>
      <w:numFmt w:val="decimal"/>
      <w:pStyle w:val="CETheadingx"/>
      <w:lvlText w:val="2.%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6855C95"/>
    <w:multiLevelType w:val="multilevel"/>
    <w:tmpl w:val="2312DDA2"/>
    <w:lvl w:ilvl="0">
      <w:start w:val="3"/>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60D2656"/>
    <w:multiLevelType w:val="hybridMultilevel"/>
    <w:tmpl w:val="DEA03D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73F7BFB"/>
    <w:multiLevelType w:val="hybridMultilevel"/>
    <w:tmpl w:val="D3A29A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8286DCD"/>
    <w:multiLevelType w:val="hybridMultilevel"/>
    <w:tmpl w:val="4956BE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7E3D51"/>
    <w:multiLevelType w:val="hybridMultilevel"/>
    <w:tmpl w:val="0AE2F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0" w15:restartNumberingAfterBreak="0">
    <w:nsid w:val="591E17A0"/>
    <w:multiLevelType w:val="hybridMultilevel"/>
    <w:tmpl w:val="28EEBA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35B7801"/>
    <w:multiLevelType w:val="multilevel"/>
    <w:tmpl w:val="422E5F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B933EE8"/>
    <w:multiLevelType w:val="hybridMultilevel"/>
    <w:tmpl w:val="F5D0EB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B2D4281"/>
    <w:multiLevelType w:val="hybridMultilevel"/>
    <w:tmpl w:val="3894DB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9"/>
  </w:num>
  <w:num w:numId="13" w16cid:durableId="695733619">
    <w:abstractNumId w:val="19"/>
  </w:num>
  <w:num w:numId="14" w16cid:durableId="145903400">
    <w:abstractNumId w:val="31"/>
  </w:num>
  <w:num w:numId="15" w16cid:durableId="19162326">
    <w:abstractNumId w:val="34"/>
  </w:num>
  <w:num w:numId="16" w16cid:durableId="1977102699">
    <w:abstractNumId w:val="33"/>
  </w:num>
  <w:num w:numId="17" w16cid:durableId="860774865">
    <w:abstractNumId w:val="17"/>
  </w:num>
  <w:num w:numId="18" w16cid:durableId="313221457">
    <w:abstractNumId w:val="19"/>
    <w:lvlOverride w:ilvl="0">
      <w:startOverride w:val="1"/>
    </w:lvlOverride>
  </w:num>
  <w:num w:numId="19" w16cid:durableId="534971577">
    <w:abstractNumId w:val="28"/>
  </w:num>
  <w:num w:numId="20" w16cid:durableId="1150947773">
    <w:abstractNumId w:val="27"/>
  </w:num>
  <w:num w:numId="21" w16cid:durableId="124660497">
    <w:abstractNumId w:val="22"/>
  </w:num>
  <w:num w:numId="22" w16cid:durableId="2099861471">
    <w:abstractNumId w:val="21"/>
  </w:num>
  <w:num w:numId="23" w16cid:durableId="973950539">
    <w:abstractNumId w:val="13"/>
  </w:num>
  <w:num w:numId="24" w16cid:durableId="342245380">
    <w:abstractNumId w:val="12"/>
    <w:lvlOverride w:ilvl="0">
      <w:startOverride w:val="1"/>
    </w:lvlOverride>
    <w:lvlOverride w:ilvl="1">
      <w:startOverride w:val="2"/>
    </w:lvlOverride>
    <w:lvlOverride w:ilvl="2">
      <w:startOverride w:val="1"/>
    </w:lvlOverride>
  </w:num>
  <w:num w:numId="25" w16cid:durableId="405496751">
    <w:abstractNumId w:val="12"/>
    <w:lvlOverride w:ilvl="0">
      <w:startOverride w:val="1"/>
    </w:lvlOverride>
    <w:lvlOverride w:ilvl="1">
      <w:startOverride w:val="2"/>
    </w:lvlOverride>
    <w:lvlOverride w:ilvl="2">
      <w:startOverride w:val="1"/>
    </w:lvlOverride>
  </w:num>
  <w:num w:numId="26" w16cid:durableId="603459981">
    <w:abstractNumId w:val="12"/>
  </w:num>
  <w:num w:numId="27" w16cid:durableId="8542662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2673141">
    <w:abstractNumId w:val="26"/>
  </w:num>
  <w:num w:numId="29" w16cid:durableId="471410791">
    <w:abstractNumId w:val="23"/>
  </w:num>
  <w:num w:numId="30" w16cid:durableId="896863465">
    <w:abstractNumId w:val="16"/>
  </w:num>
  <w:num w:numId="31" w16cid:durableId="2055347964">
    <w:abstractNumId w:val="30"/>
  </w:num>
  <w:num w:numId="32" w16cid:durableId="1707606820">
    <w:abstractNumId w:val="12"/>
  </w:num>
  <w:num w:numId="33" w16cid:durableId="31005536">
    <w:abstractNumId w:val="14"/>
  </w:num>
  <w:num w:numId="34" w16cid:durableId="423495146">
    <w:abstractNumId w:val="15"/>
  </w:num>
  <w:num w:numId="35" w16cid:durableId="327752504">
    <w:abstractNumId w:val="36"/>
  </w:num>
  <w:num w:numId="36" w16cid:durableId="163936152">
    <w:abstractNumId w:val="25"/>
  </w:num>
  <w:num w:numId="37" w16cid:durableId="1516261416">
    <w:abstractNumId w:val="24"/>
  </w:num>
  <w:num w:numId="38" w16cid:durableId="1046031141">
    <w:abstractNumId w:val="12"/>
    <w:lvlOverride w:ilvl="0">
      <w:startOverride w:val="1"/>
    </w:lvlOverride>
    <w:lvlOverride w:ilvl="1">
      <w:startOverride w:val="4"/>
    </w:lvlOverride>
  </w:num>
  <w:num w:numId="39" w16cid:durableId="964195044">
    <w:abstractNumId w:val="35"/>
  </w:num>
  <w:num w:numId="40" w16cid:durableId="1859856663">
    <w:abstractNumId w:val="18"/>
  </w:num>
  <w:num w:numId="41" w16cid:durableId="1857881536">
    <w:abstractNumId w:val="18"/>
    <w:lvlOverride w:ilvl="0">
      <w:startOverride w:val="1"/>
    </w:lvlOverride>
  </w:num>
  <w:num w:numId="42" w16cid:durableId="1882207629">
    <w:abstractNumId w:val="18"/>
    <w:lvlOverride w:ilvl="0">
      <w:startOverride w:val="1"/>
    </w:lvlOverride>
  </w:num>
  <w:num w:numId="43" w16cid:durableId="1026637769">
    <w:abstractNumId w:val="32"/>
  </w:num>
  <w:num w:numId="44" w16cid:durableId="2032756349">
    <w:abstractNumId w:val="11"/>
  </w:num>
  <w:num w:numId="45" w16cid:durableId="152380024">
    <w:abstractNumId w:val="20"/>
  </w:num>
  <w:num w:numId="46" w16cid:durableId="10795171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254C7"/>
    <w:rsid w:val="0003148D"/>
    <w:rsid w:val="00031EEC"/>
    <w:rsid w:val="00051566"/>
    <w:rsid w:val="000562A9"/>
    <w:rsid w:val="00062A9A"/>
    <w:rsid w:val="00065058"/>
    <w:rsid w:val="00076970"/>
    <w:rsid w:val="00080275"/>
    <w:rsid w:val="00086C39"/>
    <w:rsid w:val="000A03B2"/>
    <w:rsid w:val="000A7576"/>
    <w:rsid w:val="000C0601"/>
    <w:rsid w:val="000C0C76"/>
    <w:rsid w:val="000C3E2E"/>
    <w:rsid w:val="000D0268"/>
    <w:rsid w:val="000D34BE"/>
    <w:rsid w:val="000E0898"/>
    <w:rsid w:val="000E102F"/>
    <w:rsid w:val="000E36F1"/>
    <w:rsid w:val="000E3A73"/>
    <w:rsid w:val="000E414A"/>
    <w:rsid w:val="000E75FD"/>
    <w:rsid w:val="000F093C"/>
    <w:rsid w:val="000F5A8D"/>
    <w:rsid w:val="000F787B"/>
    <w:rsid w:val="0012091F"/>
    <w:rsid w:val="00124AAD"/>
    <w:rsid w:val="00126BC2"/>
    <w:rsid w:val="001308B6"/>
    <w:rsid w:val="0013121F"/>
    <w:rsid w:val="00131FE6"/>
    <w:rsid w:val="0013263F"/>
    <w:rsid w:val="001331DF"/>
    <w:rsid w:val="00134DE4"/>
    <w:rsid w:val="0014034D"/>
    <w:rsid w:val="00140FE3"/>
    <w:rsid w:val="00144D16"/>
    <w:rsid w:val="00150E59"/>
    <w:rsid w:val="00152DE3"/>
    <w:rsid w:val="00164CF9"/>
    <w:rsid w:val="001667A6"/>
    <w:rsid w:val="0018381B"/>
    <w:rsid w:val="00184AD6"/>
    <w:rsid w:val="001A4AF7"/>
    <w:rsid w:val="001B0349"/>
    <w:rsid w:val="001B1E93"/>
    <w:rsid w:val="001B61A7"/>
    <w:rsid w:val="001B65C1"/>
    <w:rsid w:val="001C18DF"/>
    <w:rsid w:val="001C260F"/>
    <w:rsid w:val="001C33F1"/>
    <w:rsid w:val="001C684B"/>
    <w:rsid w:val="001D0CFB"/>
    <w:rsid w:val="001D21AF"/>
    <w:rsid w:val="001D53FC"/>
    <w:rsid w:val="001E5C72"/>
    <w:rsid w:val="001F42A5"/>
    <w:rsid w:val="001F7B9D"/>
    <w:rsid w:val="00201C93"/>
    <w:rsid w:val="002224B4"/>
    <w:rsid w:val="00236F26"/>
    <w:rsid w:val="002447EF"/>
    <w:rsid w:val="00251550"/>
    <w:rsid w:val="00263B05"/>
    <w:rsid w:val="0027221A"/>
    <w:rsid w:val="00275B61"/>
    <w:rsid w:val="00280FAF"/>
    <w:rsid w:val="00282656"/>
    <w:rsid w:val="0028524A"/>
    <w:rsid w:val="00296B83"/>
    <w:rsid w:val="002A549E"/>
    <w:rsid w:val="002B4015"/>
    <w:rsid w:val="002B78CE"/>
    <w:rsid w:val="002C2FB6"/>
    <w:rsid w:val="002E2119"/>
    <w:rsid w:val="002E5FA7"/>
    <w:rsid w:val="002F20A9"/>
    <w:rsid w:val="002F3309"/>
    <w:rsid w:val="002F755D"/>
    <w:rsid w:val="003008CE"/>
    <w:rsid w:val="003009B7"/>
    <w:rsid w:val="00300E56"/>
    <w:rsid w:val="0030152C"/>
    <w:rsid w:val="0030469C"/>
    <w:rsid w:val="00321CA6"/>
    <w:rsid w:val="00323763"/>
    <w:rsid w:val="00323C5F"/>
    <w:rsid w:val="00334C09"/>
    <w:rsid w:val="0035693B"/>
    <w:rsid w:val="003723D4"/>
    <w:rsid w:val="00381905"/>
    <w:rsid w:val="00382765"/>
    <w:rsid w:val="00384CC8"/>
    <w:rsid w:val="003871FD"/>
    <w:rsid w:val="003A1E30"/>
    <w:rsid w:val="003A2829"/>
    <w:rsid w:val="003A7D1C"/>
    <w:rsid w:val="003B304B"/>
    <w:rsid w:val="003B3146"/>
    <w:rsid w:val="003D1E02"/>
    <w:rsid w:val="003F015E"/>
    <w:rsid w:val="003F1E33"/>
    <w:rsid w:val="00400414"/>
    <w:rsid w:val="00406403"/>
    <w:rsid w:val="00414168"/>
    <w:rsid w:val="0041446B"/>
    <w:rsid w:val="0044071E"/>
    <w:rsid w:val="0044329C"/>
    <w:rsid w:val="0044767B"/>
    <w:rsid w:val="00453E24"/>
    <w:rsid w:val="00457456"/>
    <w:rsid w:val="004577FE"/>
    <w:rsid w:val="00457B9C"/>
    <w:rsid w:val="0046164A"/>
    <w:rsid w:val="004628D2"/>
    <w:rsid w:val="00462DCD"/>
    <w:rsid w:val="004648AD"/>
    <w:rsid w:val="004703A9"/>
    <w:rsid w:val="004760DE"/>
    <w:rsid w:val="004763D7"/>
    <w:rsid w:val="004A004E"/>
    <w:rsid w:val="004A24CF"/>
    <w:rsid w:val="004A5E57"/>
    <w:rsid w:val="004B09A2"/>
    <w:rsid w:val="004C0BEB"/>
    <w:rsid w:val="004C194F"/>
    <w:rsid w:val="004C2399"/>
    <w:rsid w:val="004C3D1D"/>
    <w:rsid w:val="004C3D84"/>
    <w:rsid w:val="004C7913"/>
    <w:rsid w:val="004E4DD6"/>
    <w:rsid w:val="004F5E36"/>
    <w:rsid w:val="0050199E"/>
    <w:rsid w:val="00507B47"/>
    <w:rsid w:val="00507BEF"/>
    <w:rsid w:val="00507CC9"/>
    <w:rsid w:val="005119A5"/>
    <w:rsid w:val="005278B7"/>
    <w:rsid w:val="00532016"/>
    <w:rsid w:val="0053378F"/>
    <w:rsid w:val="005346C8"/>
    <w:rsid w:val="00537ABA"/>
    <w:rsid w:val="00540487"/>
    <w:rsid w:val="00540567"/>
    <w:rsid w:val="00543E7D"/>
    <w:rsid w:val="00547A68"/>
    <w:rsid w:val="005531C9"/>
    <w:rsid w:val="00570C43"/>
    <w:rsid w:val="00573378"/>
    <w:rsid w:val="00592274"/>
    <w:rsid w:val="005B2110"/>
    <w:rsid w:val="005B24D2"/>
    <w:rsid w:val="005B61E6"/>
    <w:rsid w:val="005B7FD6"/>
    <w:rsid w:val="005C77E1"/>
    <w:rsid w:val="005D668A"/>
    <w:rsid w:val="005D6A2F"/>
    <w:rsid w:val="005E0592"/>
    <w:rsid w:val="005E1A82"/>
    <w:rsid w:val="005E794C"/>
    <w:rsid w:val="005F0A28"/>
    <w:rsid w:val="005F0E5E"/>
    <w:rsid w:val="005F2F43"/>
    <w:rsid w:val="00600535"/>
    <w:rsid w:val="00603DBA"/>
    <w:rsid w:val="00610CD6"/>
    <w:rsid w:val="00620DEE"/>
    <w:rsid w:val="00621F92"/>
    <w:rsid w:val="0062280A"/>
    <w:rsid w:val="006231E1"/>
    <w:rsid w:val="00625639"/>
    <w:rsid w:val="00630853"/>
    <w:rsid w:val="00631B33"/>
    <w:rsid w:val="0064184D"/>
    <w:rsid w:val="006422CC"/>
    <w:rsid w:val="00651D18"/>
    <w:rsid w:val="00660E3E"/>
    <w:rsid w:val="00662E74"/>
    <w:rsid w:val="00680C23"/>
    <w:rsid w:val="00683E23"/>
    <w:rsid w:val="00687EB9"/>
    <w:rsid w:val="00693766"/>
    <w:rsid w:val="006A03E7"/>
    <w:rsid w:val="006A3281"/>
    <w:rsid w:val="006A7617"/>
    <w:rsid w:val="006B4888"/>
    <w:rsid w:val="006C2E45"/>
    <w:rsid w:val="006C359C"/>
    <w:rsid w:val="006C5579"/>
    <w:rsid w:val="006D6E8B"/>
    <w:rsid w:val="006D7209"/>
    <w:rsid w:val="006E497B"/>
    <w:rsid w:val="006E4E8B"/>
    <w:rsid w:val="006E737D"/>
    <w:rsid w:val="006F3B6E"/>
    <w:rsid w:val="00701EAA"/>
    <w:rsid w:val="00707DD1"/>
    <w:rsid w:val="00713973"/>
    <w:rsid w:val="00720A24"/>
    <w:rsid w:val="00732386"/>
    <w:rsid w:val="0073514D"/>
    <w:rsid w:val="007447F3"/>
    <w:rsid w:val="0075499F"/>
    <w:rsid w:val="007610AE"/>
    <w:rsid w:val="007617CC"/>
    <w:rsid w:val="007661C8"/>
    <w:rsid w:val="0077098D"/>
    <w:rsid w:val="00785BF9"/>
    <w:rsid w:val="007931FA"/>
    <w:rsid w:val="007A4861"/>
    <w:rsid w:val="007A6DF8"/>
    <w:rsid w:val="007A7BBA"/>
    <w:rsid w:val="007B0C50"/>
    <w:rsid w:val="007B48F9"/>
    <w:rsid w:val="007C1A43"/>
    <w:rsid w:val="007D0951"/>
    <w:rsid w:val="007F27C8"/>
    <w:rsid w:val="007F3F0A"/>
    <w:rsid w:val="0080013E"/>
    <w:rsid w:val="008102E8"/>
    <w:rsid w:val="00813288"/>
    <w:rsid w:val="008168FC"/>
    <w:rsid w:val="00830996"/>
    <w:rsid w:val="008314D7"/>
    <w:rsid w:val="008345F1"/>
    <w:rsid w:val="00853C2B"/>
    <w:rsid w:val="00854A1D"/>
    <w:rsid w:val="00865B07"/>
    <w:rsid w:val="008667EA"/>
    <w:rsid w:val="0087637F"/>
    <w:rsid w:val="00892AD5"/>
    <w:rsid w:val="008A1512"/>
    <w:rsid w:val="008B169D"/>
    <w:rsid w:val="008B5100"/>
    <w:rsid w:val="008D32B9"/>
    <w:rsid w:val="008D433B"/>
    <w:rsid w:val="008D4A16"/>
    <w:rsid w:val="008E209A"/>
    <w:rsid w:val="008E45BC"/>
    <w:rsid w:val="008E566E"/>
    <w:rsid w:val="008F3D8D"/>
    <w:rsid w:val="0090161A"/>
    <w:rsid w:val="00901EB6"/>
    <w:rsid w:val="009025A5"/>
    <w:rsid w:val="009041F8"/>
    <w:rsid w:val="00904C62"/>
    <w:rsid w:val="00922BA8"/>
    <w:rsid w:val="00924DAC"/>
    <w:rsid w:val="00927058"/>
    <w:rsid w:val="00942750"/>
    <w:rsid w:val="009450CE"/>
    <w:rsid w:val="009459BB"/>
    <w:rsid w:val="00947179"/>
    <w:rsid w:val="0095164B"/>
    <w:rsid w:val="009524E6"/>
    <w:rsid w:val="00954090"/>
    <w:rsid w:val="009573E7"/>
    <w:rsid w:val="00963E05"/>
    <w:rsid w:val="00964A45"/>
    <w:rsid w:val="00967843"/>
    <w:rsid w:val="00967D54"/>
    <w:rsid w:val="00971028"/>
    <w:rsid w:val="00992408"/>
    <w:rsid w:val="00993B84"/>
    <w:rsid w:val="0099519D"/>
    <w:rsid w:val="00996483"/>
    <w:rsid w:val="00996F5A"/>
    <w:rsid w:val="009B041A"/>
    <w:rsid w:val="009B666C"/>
    <w:rsid w:val="009C37C3"/>
    <w:rsid w:val="009C7C86"/>
    <w:rsid w:val="009D2FF7"/>
    <w:rsid w:val="009D5073"/>
    <w:rsid w:val="009E7884"/>
    <w:rsid w:val="009E788A"/>
    <w:rsid w:val="009F0E08"/>
    <w:rsid w:val="00A079AE"/>
    <w:rsid w:val="00A1763D"/>
    <w:rsid w:val="00A17CEC"/>
    <w:rsid w:val="00A26CBB"/>
    <w:rsid w:val="00A27EF0"/>
    <w:rsid w:val="00A4114C"/>
    <w:rsid w:val="00A42361"/>
    <w:rsid w:val="00A43AF0"/>
    <w:rsid w:val="00A50B20"/>
    <w:rsid w:val="00A51390"/>
    <w:rsid w:val="00A60D13"/>
    <w:rsid w:val="00A7223D"/>
    <w:rsid w:val="00A72745"/>
    <w:rsid w:val="00A76EFC"/>
    <w:rsid w:val="00A87D50"/>
    <w:rsid w:val="00A91010"/>
    <w:rsid w:val="00A97F29"/>
    <w:rsid w:val="00AA4471"/>
    <w:rsid w:val="00AA702E"/>
    <w:rsid w:val="00AA7D26"/>
    <w:rsid w:val="00AB0964"/>
    <w:rsid w:val="00AB5011"/>
    <w:rsid w:val="00AC7368"/>
    <w:rsid w:val="00AD0278"/>
    <w:rsid w:val="00AD16B9"/>
    <w:rsid w:val="00AD3C5C"/>
    <w:rsid w:val="00AE377D"/>
    <w:rsid w:val="00AF0EBA"/>
    <w:rsid w:val="00B02C8A"/>
    <w:rsid w:val="00B17FBD"/>
    <w:rsid w:val="00B315A6"/>
    <w:rsid w:val="00B31813"/>
    <w:rsid w:val="00B33365"/>
    <w:rsid w:val="00B41CD8"/>
    <w:rsid w:val="00B57B36"/>
    <w:rsid w:val="00B57E6F"/>
    <w:rsid w:val="00B715DF"/>
    <w:rsid w:val="00B8686D"/>
    <w:rsid w:val="00B93F69"/>
    <w:rsid w:val="00BB1DDC"/>
    <w:rsid w:val="00BC30C9"/>
    <w:rsid w:val="00BD077D"/>
    <w:rsid w:val="00BE3E58"/>
    <w:rsid w:val="00C01616"/>
    <w:rsid w:val="00C0162B"/>
    <w:rsid w:val="00C068ED"/>
    <w:rsid w:val="00C208E9"/>
    <w:rsid w:val="00C22E0C"/>
    <w:rsid w:val="00C345B1"/>
    <w:rsid w:val="00C40142"/>
    <w:rsid w:val="00C52C3C"/>
    <w:rsid w:val="00C57182"/>
    <w:rsid w:val="00C57863"/>
    <w:rsid w:val="00C640AF"/>
    <w:rsid w:val="00C655FD"/>
    <w:rsid w:val="00C75407"/>
    <w:rsid w:val="00C80823"/>
    <w:rsid w:val="00C841C6"/>
    <w:rsid w:val="00C870A8"/>
    <w:rsid w:val="00C94434"/>
    <w:rsid w:val="00CA0D75"/>
    <w:rsid w:val="00CA1C95"/>
    <w:rsid w:val="00CA5A9C"/>
    <w:rsid w:val="00CC111A"/>
    <w:rsid w:val="00CC4C20"/>
    <w:rsid w:val="00CD0811"/>
    <w:rsid w:val="00CD3517"/>
    <w:rsid w:val="00CD5FE2"/>
    <w:rsid w:val="00CD7C3F"/>
    <w:rsid w:val="00CE7C68"/>
    <w:rsid w:val="00D02B4C"/>
    <w:rsid w:val="00D040C4"/>
    <w:rsid w:val="00D20208"/>
    <w:rsid w:val="00D20AD1"/>
    <w:rsid w:val="00D2582C"/>
    <w:rsid w:val="00D27197"/>
    <w:rsid w:val="00D30496"/>
    <w:rsid w:val="00D46B7E"/>
    <w:rsid w:val="00D57C84"/>
    <w:rsid w:val="00D6057D"/>
    <w:rsid w:val="00D61502"/>
    <w:rsid w:val="00D62327"/>
    <w:rsid w:val="00D67CD0"/>
    <w:rsid w:val="00D71640"/>
    <w:rsid w:val="00D836C5"/>
    <w:rsid w:val="00D84576"/>
    <w:rsid w:val="00DA1399"/>
    <w:rsid w:val="00DA24C6"/>
    <w:rsid w:val="00DA4D7B"/>
    <w:rsid w:val="00DD271C"/>
    <w:rsid w:val="00DD3017"/>
    <w:rsid w:val="00DE264A"/>
    <w:rsid w:val="00DF5072"/>
    <w:rsid w:val="00E02D18"/>
    <w:rsid w:val="00E041E7"/>
    <w:rsid w:val="00E23CA1"/>
    <w:rsid w:val="00E409A8"/>
    <w:rsid w:val="00E47D61"/>
    <w:rsid w:val="00E50C12"/>
    <w:rsid w:val="00E65B91"/>
    <w:rsid w:val="00E6686F"/>
    <w:rsid w:val="00E7209D"/>
    <w:rsid w:val="00E72EAD"/>
    <w:rsid w:val="00E77223"/>
    <w:rsid w:val="00E8528B"/>
    <w:rsid w:val="00E85B94"/>
    <w:rsid w:val="00E970CC"/>
    <w:rsid w:val="00E978D0"/>
    <w:rsid w:val="00EA4613"/>
    <w:rsid w:val="00EA7F91"/>
    <w:rsid w:val="00EB1523"/>
    <w:rsid w:val="00EC0E49"/>
    <w:rsid w:val="00EC101F"/>
    <w:rsid w:val="00EC1D9F"/>
    <w:rsid w:val="00EC2FA1"/>
    <w:rsid w:val="00EE0131"/>
    <w:rsid w:val="00EE17B0"/>
    <w:rsid w:val="00EF06D9"/>
    <w:rsid w:val="00EF0982"/>
    <w:rsid w:val="00F06B66"/>
    <w:rsid w:val="00F3049E"/>
    <w:rsid w:val="00F30C64"/>
    <w:rsid w:val="00F32BA2"/>
    <w:rsid w:val="00F32CDB"/>
    <w:rsid w:val="00F3348F"/>
    <w:rsid w:val="00F33535"/>
    <w:rsid w:val="00F37280"/>
    <w:rsid w:val="00F40D22"/>
    <w:rsid w:val="00F41EE4"/>
    <w:rsid w:val="00F51719"/>
    <w:rsid w:val="00F565FE"/>
    <w:rsid w:val="00F63A70"/>
    <w:rsid w:val="00F63D8C"/>
    <w:rsid w:val="00F7534E"/>
    <w:rsid w:val="00F83438"/>
    <w:rsid w:val="00F93EDF"/>
    <w:rsid w:val="00FA1802"/>
    <w:rsid w:val="00FA1CA5"/>
    <w:rsid w:val="00FA21D0"/>
    <w:rsid w:val="00FA5F5F"/>
    <w:rsid w:val="00FB1B8A"/>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32"/>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C0C76"/>
    <w:pPr>
      <w:keepNext/>
      <w:numPr>
        <w:ilvl w:val="2"/>
        <w:numId w:val="40"/>
      </w:numPr>
      <w:suppressAutoHyphens/>
      <w:spacing w:before="120" w:after="120" w:line="240" w:lineRule="auto"/>
      <w:ind w:left="426" w:hanging="426"/>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32"/>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C0C76"/>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2F2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google.com/search?q=Russia-Ukraine+war&amp;sca_esv=7f063fa5aeb92d1e&amp;hl=it&amp;sxsrf=ANbL-n4f_63Trs4ghXlTbJWWD0HQmWbcWw%3A1776499761864&amp;source=hp&amp;ei=MTzjafCRM4K2i-gPlr_CuQw&amp;iflsig=AFdpzrgAAAAAaeNKQe4hof2mItR-cnQI5LpskUf5A-NX&amp;ved=2ahUKEwiXiZ-3-faTAxWI1wIHHfM8FdUQgK4QegQIARAC&amp;oq=implication+of+recent+wars+on+LNG&amp;gs_lp=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-BGXFsh5IHBTE4LjE2oAfLtQGyBwUxNy4xNrgHhxvCBwk0LjEwLjE5LjHIB2SACAA&amp;sclient=gws-wiz&amp;mstk=AUtExfBpb1Of2f6A2RF3ibQPYFyMw2F2rhnlLBCdHK4Vnx-mnEVh5rYJsnfyXwXkwejTiwofvigkFWeFmjSJSsRbqV9LmtmodDCZ1OpDqLeDR-FEb6rkGEnGfdQLe1j4gbdBzHnQREYhIObKkmCEWSIjdcJXnPpiounVCf4R-9Z-7OxDn9o&amp;csui=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6</Pages>
  <Words>3450</Words>
  <Characters>19667</Characters>
  <Application>Microsoft Office Word</Application>
  <DocSecurity>0</DocSecurity>
  <Lines>163</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Bruno Fabiano</cp:lastModifiedBy>
  <cp:revision>35</cp:revision>
  <cp:lastPrinted>2015-05-12T18:31:00Z</cp:lastPrinted>
  <dcterms:created xsi:type="dcterms:W3CDTF">2026-04-17T10:53:00Z</dcterms:created>
  <dcterms:modified xsi:type="dcterms:W3CDTF">2026-05-10T13:52:00Z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