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40"/>
        <w:gridCol w:w="1842"/>
      </w:tblGrid>
      <w:tr w:rsidR="000A03B2" w:rsidRPr="00B57B36" w14:paraId="2A131A54" w14:textId="77777777" w:rsidTr="00031D99">
        <w:trPr>
          <w:trHeight w:val="852"/>
          <w:jc w:val="center"/>
        </w:trPr>
        <w:tc>
          <w:tcPr>
            <w:tcW w:w="6940" w:type="dxa"/>
            <w:vMerge w:val="restart"/>
            <w:tcBorders>
              <w:right w:val="single" w:sz="4" w:space="0" w:color="auto"/>
            </w:tcBorders>
          </w:tcPr>
          <w:p w14:paraId="38C3D2BA" w14:textId="77777777" w:rsidR="000A03B2" w:rsidRPr="00B57B36" w:rsidRDefault="000A03B2" w:rsidP="00DE264A">
            <w:pPr>
              <w:tabs>
                <w:tab w:val="left" w:pos="-108"/>
              </w:tabs>
              <w:ind w:left="-108"/>
              <w:jc w:val="left"/>
              <w:rPr>
                <w:rFonts w:cs="Arial"/>
                <w:b/>
                <w:bCs/>
                <w:i/>
                <w:iCs/>
                <w:color w:val="000066"/>
                <w:sz w:val="12"/>
                <w:szCs w:val="12"/>
                <w:lang w:eastAsia="it-IT"/>
              </w:rPr>
            </w:pPr>
            <w:bookmarkStart w:id="0" w:name="_Hlk145068772"/>
            <w:r w:rsidRPr="00B57B36">
              <w:rPr>
                <w:rFonts w:ascii="AdvP6960" w:hAnsi="AdvP6960" w:cs="AdvP6960"/>
                <w:noProof/>
                <w:color w:val="241F20"/>
                <w:szCs w:val="18"/>
                <w:lang w:val="it-IT" w:eastAsia="it-IT"/>
              </w:rPr>
              <w:drawing>
                <wp:inline distT="0" distB="0" distL="0" distR="0" wp14:anchorId="02B7C3D3" wp14:editId="5EE03112">
                  <wp:extent cx="640080" cy="373380"/>
                  <wp:effectExtent l="0" t="0" r="7620" b="7620"/>
                  <wp:docPr id="5" name="Immagine 5" descr="ce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e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B36">
              <w:rPr>
                <w:rFonts w:ascii="AdvP6960" w:hAnsi="AdvP6960" w:cs="AdvP6960"/>
                <w:color w:val="241F20"/>
                <w:szCs w:val="18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000066"/>
                <w:sz w:val="24"/>
                <w:szCs w:val="24"/>
                <w:lang w:eastAsia="it-IT"/>
              </w:rPr>
              <w:t>CHEMICAL ENGINEERING</w:t>
            </w:r>
            <w:r w:rsidRPr="00B57B36">
              <w:rPr>
                <w:rFonts w:cs="Arial"/>
                <w:b/>
                <w:bCs/>
                <w:i/>
                <w:iCs/>
                <w:color w:val="0033FF"/>
                <w:sz w:val="24"/>
                <w:szCs w:val="24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666666"/>
                <w:sz w:val="24"/>
                <w:szCs w:val="24"/>
                <w:lang w:eastAsia="it-IT"/>
              </w:rPr>
              <w:t>TRANSACTIONS</w:t>
            </w:r>
            <w:r w:rsidRPr="00B57B36">
              <w:rPr>
                <w:color w:val="333333"/>
                <w:sz w:val="24"/>
                <w:szCs w:val="24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000066"/>
                <w:sz w:val="27"/>
                <w:szCs w:val="27"/>
                <w:lang w:eastAsia="it-IT"/>
              </w:rPr>
              <w:br/>
            </w:r>
          </w:p>
          <w:p w14:paraId="4B780582" w14:textId="753620B8" w:rsidR="000A03B2" w:rsidRPr="00B57B36" w:rsidRDefault="00A76EFC" w:rsidP="001D21AF">
            <w:pPr>
              <w:tabs>
                <w:tab w:val="left" w:pos="-108"/>
              </w:tabs>
              <w:ind w:left="-108"/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</w:pPr>
            <w:r w:rsidRPr="00B57B36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VOL.</w:t>
            </w:r>
            <w:r w:rsidR="00785BF9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 </w:t>
            </w:r>
            <w:r w:rsidR="00AD0278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xxx</w:t>
            </w:r>
            <w:r w:rsidR="007B48F9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,</w:t>
            </w:r>
            <w:r w:rsidR="00FA5F5F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 </w:t>
            </w:r>
            <w:r w:rsidR="0030152C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202</w:t>
            </w:r>
            <w:r w:rsidR="00AD0278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782132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A publication of</w:t>
            </w:r>
          </w:p>
          <w:p w14:paraId="599E5441" w14:textId="77777777" w:rsidR="000A03B2" w:rsidRPr="00B57B36" w:rsidRDefault="000A03B2" w:rsidP="00CD5FE2">
            <w:pPr>
              <w:jc w:val="right"/>
            </w:pPr>
            <w:r w:rsidRPr="00B57B36">
              <w:rPr>
                <w:noProof/>
                <w:lang w:val="it-IT" w:eastAsia="it-IT"/>
              </w:rPr>
              <w:drawing>
                <wp:inline distT="0" distB="0" distL="0" distR="0" wp14:anchorId="59C75AF4" wp14:editId="4FF92432">
                  <wp:extent cx="670560" cy="358140"/>
                  <wp:effectExtent l="0" t="0" r="0" b="3810"/>
                  <wp:docPr id="6" name="Immagine 6" descr="aidiclogo_gr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idiclogo_gr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3B2" w:rsidRPr="00B57B36" w14:paraId="380FA3CD" w14:textId="77777777" w:rsidTr="00031D99">
        <w:trPr>
          <w:trHeight w:val="567"/>
          <w:jc w:val="center"/>
        </w:trPr>
        <w:tc>
          <w:tcPr>
            <w:tcW w:w="6940" w:type="dxa"/>
            <w:vMerge/>
            <w:tcBorders>
              <w:right w:val="single" w:sz="4" w:space="0" w:color="auto"/>
            </w:tcBorders>
          </w:tcPr>
          <w:p w14:paraId="39E5E4C1" w14:textId="77777777" w:rsidR="000A03B2" w:rsidRPr="00B57B36" w:rsidRDefault="000A03B2" w:rsidP="00CD5FE2">
            <w:pPr>
              <w:tabs>
                <w:tab w:val="left" w:pos="-108"/>
              </w:tabs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858A98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The Italian Association</w:t>
            </w:r>
          </w:p>
          <w:p w14:paraId="7522B1D2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of Chemical Engineering</w:t>
            </w:r>
          </w:p>
          <w:p w14:paraId="4F0CC5DE" w14:textId="47FDB2FC" w:rsidR="000A03B2" w:rsidRPr="000D0268" w:rsidRDefault="000D0268" w:rsidP="00CD5FE2">
            <w:pPr>
              <w:spacing w:line="140" w:lineRule="atLeast"/>
              <w:jc w:val="right"/>
              <w:rPr>
                <w:rFonts w:cs="Arial"/>
                <w:sz w:val="13"/>
                <w:szCs w:val="13"/>
              </w:rPr>
            </w:pPr>
            <w:r w:rsidRPr="000D0268">
              <w:rPr>
                <w:rFonts w:cs="Arial"/>
                <w:sz w:val="13"/>
                <w:szCs w:val="13"/>
              </w:rPr>
              <w:t>Online at www.cetjournal.it</w:t>
            </w:r>
          </w:p>
        </w:tc>
      </w:tr>
      <w:tr w:rsidR="000A03B2" w:rsidRPr="00B57B36" w14:paraId="2D1B7169" w14:textId="77777777" w:rsidTr="00031D99">
        <w:trPr>
          <w:trHeight w:val="68"/>
          <w:jc w:val="center"/>
        </w:trPr>
        <w:tc>
          <w:tcPr>
            <w:tcW w:w="8782" w:type="dxa"/>
            <w:gridSpan w:val="2"/>
          </w:tcPr>
          <w:p w14:paraId="1D8DD3C9" w14:textId="775EC904" w:rsidR="00AA7D26" w:rsidRPr="007A6DF8" w:rsidRDefault="004A5E57" w:rsidP="007A6DF8">
            <w:pPr>
              <w:ind w:left="-107"/>
              <w:outlineLvl w:val="2"/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</w:pPr>
            <w:r w:rsidRPr="004A5E57">
              <w:rPr>
                <w:rFonts w:ascii="Tahoma" w:hAnsi="Tahoma" w:cs="Tahoma"/>
                <w:iCs/>
                <w:color w:val="333333"/>
                <w:sz w:val="14"/>
                <w:szCs w:val="14"/>
                <w:lang w:val="it-IT" w:eastAsia="it-IT"/>
              </w:rPr>
              <w:t>Guest Editors:</w:t>
            </w:r>
            <w:r w:rsidRPr="004A5E57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 xml:space="preserve"> </w:t>
            </w:r>
            <w:r w:rsidR="007A6DF8" w:rsidRPr="007A6DF8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 xml:space="preserve">Valerio Cozzani, Bruno Fabiano, </w:t>
            </w:r>
            <w:proofErr w:type="spellStart"/>
            <w:r w:rsidR="007A6DF8" w:rsidRPr="007A6DF8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>Genserik</w:t>
            </w:r>
            <w:proofErr w:type="spellEnd"/>
            <w:r w:rsidR="007A6DF8" w:rsidRPr="007A6DF8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 xml:space="preserve"> Reniers</w:t>
            </w:r>
          </w:p>
          <w:p w14:paraId="1B0F1814" w14:textId="710B7B96" w:rsidR="000A03B2" w:rsidRPr="00B57B36" w:rsidRDefault="00AA7D26" w:rsidP="00AA7D26">
            <w:pPr>
              <w:tabs>
                <w:tab w:val="left" w:pos="-108"/>
              </w:tabs>
              <w:spacing w:line="140" w:lineRule="atLeast"/>
              <w:ind w:left="-107"/>
              <w:jc w:val="left"/>
            </w:pPr>
            <w:r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Copyright © 202</w:t>
            </w:r>
            <w:r w:rsidR="00005884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6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, AIDIC Servizi S.r.l.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br/>
            </w:r>
            <w:r w:rsidRPr="00B57B36">
              <w:rPr>
                <w:rFonts w:ascii="Tahoma" w:hAnsi="Tahoma" w:cs="Tahoma"/>
                <w:b/>
                <w:iCs/>
                <w:color w:val="000000"/>
                <w:sz w:val="14"/>
                <w:szCs w:val="14"/>
                <w:lang w:eastAsia="it-IT"/>
              </w:rPr>
              <w:t>ISBN</w:t>
            </w:r>
            <w:r w:rsidRPr="00B57B36">
              <w:rPr>
                <w:rFonts w:ascii="Tahoma" w:hAnsi="Tahoma" w:cs="Tahoma"/>
                <w:iCs/>
                <w:color w:val="000000"/>
                <w:sz w:val="14"/>
                <w:szCs w:val="14"/>
                <w:lang w:eastAsia="it-IT"/>
              </w:rPr>
              <w:t xml:space="preserve"> </w:t>
            </w:r>
            <w:r w:rsidR="00D2582C" w:rsidRPr="000562A9">
              <w:rPr>
                <w:rFonts w:ascii="Tahoma" w:hAnsi="Tahoma" w:cs="Tahoma"/>
                <w:sz w:val="14"/>
                <w:szCs w:val="14"/>
              </w:rPr>
              <w:t>97</w:t>
            </w:r>
            <w:r w:rsidR="00D2582C">
              <w:rPr>
                <w:rFonts w:ascii="Tahoma" w:hAnsi="Tahoma" w:cs="Tahoma"/>
                <w:sz w:val="14"/>
                <w:szCs w:val="14"/>
              </w:rPr>
              <w:t>9</w:t>
            </w:r>
            <w:r w:rsidR="00D2582C" w:rsidRPr="000562A9">
              <w:rPr>
                <w:rFonts w:ascii="Tahoma" w:hAnsi="Tahoma" w:cs="Tahoma"/>
                <w:sz w:val="14"/>
                <w:szCs w:val="14"/>
              </w:rPr>
              <w:t>-</w:t>
            </w:r>
            <w:r w:rsidR="00D2582C">
              <w:rPr>
                <w:rFonts w:ascii="Tahoma" w:hAnsi="Tahoma" w:cs="Tahoma"/>
                <w:sz w:val="14"/>
                <w:szCs w:val="14"/>
              </w:rPr>
              <w:t>12</w:t>
            </w:r>
            <w:r w:rsidR="00D2582C" w:rsidRPr="000562A9">
              <w:rPr>
                <w:rFonts w:ascii="Tahoma" w:hAnsi="Tahoma" w:cs="Tahoma"/>
                <w:sz w:val="14"/>
                <w:szCs w:val="14"/>
              </w:rPr>
              <w:t>-</w:t>
            </w:r>
            <w:r w:rsidR="00D2582C">
              <w:rPr>
                <w:rFonts w:ascii="Tahoma" w:hAnsi="Tahoma" w:cs="Tahoma"/>
                <w:sz w:val="14"/>
                <w:szCs w:val="14"/>
              </w:rPr>
              <w:t>81206-</w:t>
            </w:r>
            <w:r w:rsidR="00005884">
              <w:rPr>
                <w:rFonts w:ascii="Tahoma" w:hAnsi="Tahoma" w:cs="Tahoma"/>
                <w:sz w:val="14"/>
                <w:szCs w:val="14"/>
              </w:rPr>
              <w:t>xx</w:t>
            </w:r>
            <w:r w:rsidR="009041F8">
              <w:rPr>
                <w:rFonts w:ascii="Tahoma" w:hAnsi="Tahoma" w:cs="Tahoma"/>
                <w:sz w:val="14"/>
                <w:szCs w:val="14"/>
              </w:rPr>
              <w:t>-</w:t>
            </w:r>
            <w:r w:rsidR="00005884">
              <w:rPr>
                <w:rFonts w:ascii="Tahoma" w:hAnsi="Tahoma" w:cs="Tahoma"/>
                <w:sz w:val="14"/>
                <w:szCs w:val="14"/>
              </w:rPr>
              <w:t>x</w:t>
            </w:r>
            <w:r w:rsidRPr="00EF06D9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;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</w:t>
            </w:r>
            <w:r w:rsidRPr="00B57B36">
              <w:rPr>
                <w:rFonts w:ascii="Tahoma" w:hAnsi="Tahoma" w:cs="Tahoma"/>
                <w:b/>
                <w:iCs/>
                <w:color w:val="333333"/>
                <w:sz w:val="14"/>
                <w:szCs w:val="14"/>
                <w:lang w:eastAsia="it-IT"/>
              </w:rPr>
              <w:t>ISSN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2283-9216</w:t>
            </w:r>
          </w:p>
        </w:tc>
      </w:tr>
    </w:tbl>
    <w:bookmarkEnd w:id="0"/>
    <w:p w14:paraId="2E667253" w14:textId="035D5DA6" w:rsidR="00E978D0" w:rsidRPr="006A6C90" w:rsidRDefault="00031D99" w:rsidP="00E978D0">
      <w:pPr>
        <w:pStyle w:val="CETTitle"/>
      </w:pPr>
      <w:r w:rsidRPr="006A6C90">
        <w:rPr>
          <w:b/>
          <w:bCs/>
        </w:rPr>
        <w:t>CFD analysis of a real</w:t>
      </w:r>
      <w:r w:rsidR="00357D3D">
        <w:rPr>
          <w:b/>
          <w:bCs/>
        </w:rPr>
        <w:t>istic</w:t>
      </w:r>
      <w:r w:rsidRPr="006A6C90">
        <w:rPr>
          <w:b/>
          <w:bCs/>
        </w:rPr>
        <w:t xml:space="preserve"> incidental scenario in a refuelling station: a comparison between </w:t>
      </w:r>
      <w:r w:rsidR="00B11B85">
        <w:rPr>
          <w:b/>
          <w:bCs/>
        </w:rPr>
        <w:t xml:space="preserve">LPG </w:t>
      </w:r>
      <w:r w:rsidRPr="006A6C90">
        <w:rPr>
          <w:b/>
          <w:bCs/>
        </w:rPr>
        <w:t>and hydrogen</w:t>
      </w:r>
    </w:p>
    <w:p w14:paraId="0488FED2" w14:textId="5676BD64" w:rsidR="00B57E6F" w:rsidRPr="00166DE1" w:rsidRDefault="00890E34" w:rsidP="00B57E6F">
      <w:pPr>
        <w:pStyle w:val="CETAuthors"/>
        <w:rPr>
          <w:lang w:val="it-IT"/>
        </w:rPr>
      </w:pPr>
      <w:r w:rsidRPr="00166DE1">
        <w:rPr>
          <w:lang w:val="it-IT"/>
        </w:rPr>
        <w:t>Sara Ciria, Valentina Busini*</w:t>
      </w:r>
    </w:p>
    <w:p w14:paraId="7F581827" w14:textId="77777777" w:rsidR="008E46B7" w:rsidRPr="0047423D" w:rsidRDefault="008E46B7" w:rsidP="008E46B7">
      <w:pPr>
        <w:rPr>
          <w:i/>
          <w:iCs/>
          <w:lang w:val="it-IT"/>
        </w:rPr>
      </w:pPr>
      <w:r w:rsidRPr="0047423D">
        <w:rPr>
          <w:i/>
          <w:iCs/>
          <w:lang w:val="it-IT"/>
        </w:rPr>
        <w:t xml:space="preserve">Politecnico di Milano, Department of </w:t>
      </w:r>
      <w:proofErr w:type="spellStart"/>
      <w:r w:rsidRPr="0047423D">
        <w:rPr>
          <w:i/>
          <w:iCs/>
          <w:lang w:val="it-IT"/>
        </w:rPr>
        <w:t>Chemistry</w:t>
      </w:r>
      <w:proofErr w:type="spellEnd"/>
      <w:r w:rsidRPr="0047423D">
        <w:rPr>
          <w:i/>
          <w:iCs/>
          <w:lang w:val="it-IT"/>
        </w:rPr>
        <w:t xml:space="preserve">, </w:t>
      </w:r>
      <w:proofErr w:type="spellStart"/>
      <w:r w:rsidRPr="0047423D">
        <w:rPr>
          <w:i/>
          <w:iCs/>
          <w:lang w:val="it-IT"/>
        </w:rPr>
        <w:t>Materials</w:t>
      </w:r>
      <w:proofErr w:type="spellEnd"/>
      <w:r w:rsidRPr="0047423D">
        <w:rPr>
          <w:i/>
          <w:iCs/>
          <w:lang w:val="it-IT"/>
        </w:rPr>
        <w:t xml:space="preserve"> and Chemical Engineering "Giulio Natta", Piazza Leonardo da Vinci, 32, 20133, Milan, Italy</w:t>
      </w:r>
    </w:p>
    <w:p w14:paraId="73F1267A" w14:textId="50F5BB11" w:rsidR="00B57E6F" w:rsidRPr="006A6C90" w:rsidRDefault="00BB77A3" w:rsidP="00B57E6F">
      <w:pPr>
        <w:pStyle w:val="CETemail"/>
      </w:pPr>
      <w:r w:rsidRPr="006A6C90">
        <w:t>valentina.busini@polimi.it</w:t>
      </w:r>
    </w:p>
    <w:p w14:paraId="4144E867" w14:textId="582B821C" w:rsidR="001752D2" w:rsidRDefault="007708ED" w:rsidP="00600535">
      <w:pPr>
        <w:pStyle w:val="CETBodytext"/>
        <w:rPr>
          <w:lang w:val="en-GB"/>
        </w:rPr>
      </w:pPr>
      <w:r>
        <w:rPr>
          <w:lang w:val="en-GB"/>
        </w:rPr>
        <w:t>Due to t</w:t>
      </w:r>
      <w:r w:rsidR="00FC0E89">
        <w:rPr>
          <w:lang w:val="en-GB"/>
        </w:rPr>
        <w:t xml:space="preserve">he constantly increasing energy demand and the necessity to find an alternative to </w:t>
      </w:r>
      <w:r w:rsidR="00EF1F1C">
        <w:rPr>
          <w:lang w:val="en-GB"/>
        </w:rPr>
        <w:t>polluting sources</w:t>
      </w:r>
      <w:r>
        <w:rPr>
          <w:lang w:val="en-GB"/>
        </w:rPr>
        <w:t>, hydrogen has been found as a viable alternative</w:t>
      </w:r>
      <w:r w:rsidR="00EF1F1C">
        <w:rPr>
          <w:lang w:val="en-GB"/>
        </w:rPr>
        <w:t xml:space="preserve"> fuel, </w:t>
      </w:r>
      <w:r w:rsidR="0021109F">
        <w:rPr>
          <w:lang w:val="en-GB"/>
        </w:rPr>
        <w:t>suitable for both the domestic and industrial usage</w:t>
      </w:r>
      <w:r w:rsidR="00EF1F1C">
        <w:rPr>
          <w:lang w:val="en-GB"/>
        </w:rPr>
        <w:t>.</w:t>
      </w:r>
      <w:r w:rsidR="0021109F">
        <w:rPr>
          <w:lang w:val="en-GB"/>
        </w:rPr>
        <w:t xml:space="preserve"> In the latest years, it</w:t>
      </w:r>
      <w:r w:rsidR="00A74056">
        <w:rPr>
          <w:lang w:val="en-GB"/>
        </w:rPr>
        <w:t xml:space="preserve">s suitability for the automotive sector has been investigated, leading to the conclusion that </w:t>
      </w:r>
      <w:r w:rsidR="00432878">
        <w:rPr>
          <w:lang w:val="en-GB"/>
        </w:rPr>
        <w:t xml:space="preserve">hydrogen might be the future of the transportation sector. However, </w:t>
      </w:r>
      <w:r w:rsidR="001752D2">
        <w:rPr>
          <w:lang w:val="en-GB"/>
        </w:rPr>
        <w:t xml:space="preserve">because of its physical properties and reactivity, </w:t>
      </w:r>
      <w:r w:rsidR="00432878">
        <w:rPr>
          <w:lang w:val="en-GB"/>
        </w:rPr>
        <w:t xml:space="preserve">its handling </w:t>
      </w:r>
      <w:r w:rsidR="00DC1B49">
        <w:rPr>
          <w:lang w:val="en-GB"/>
        </w:rPr>
        <w:t xml:space="preserve">denotes the growth of </w:t>
      </w:r>
      <w:r w:rsidR="001752D2">
        <w:rPr>
          <w:lang w:val="en-GB"/>
        </w:rPr>
        <w:t xml:space="preserve">the </w:t>
      </w:r>
      <w:r w:rsidR="00DC1B49">
        <w:rPr>
          <w:lang w:val="en-GB"/>
        </w:rPr>
        <w:t>safety issues</w:t>
      </w:r>
      <w:r w:rsidR="001752D2">
        <w:rPr>
          <w:lang w:val="en-GB"/>
        </w:rPr>
        <w:t xml:space="preserve"> already affective the usage of fossil fuels.</w:t>
      </w:r>
    </w:p>
    <w:p w14:paraId="6893AF25" w14:textId="4F78F11D" w:rsidR="00600535" w:rsidRDefault="001752D2" w:rsidP="00600535">
      <w:pPr>
        <w:pStyle w:val="CETBodytext"/>
        <w:rPr>
          <w:lang w:val="en-GB"/>
        </w:rPr>
      </w:pPr>
      <w:r>
        <w:rPr>
          <w:lang w:val="en-GB"/>
        </w:rPr>
        <w:t xml:space="preserve">The aim of this </w:t>
      </w:r>
      <w:r w:rsidR="00A317A1">
        <w:rPr>
          <w:lang w:val="en-GB"/>
        </w:rPr>
        <w:t xml:space="preserve">paper is </w:t>
      </w:r>
      <w:r w:rsidR="008D1082">
        <w:rPr>
          <w:lang w:val="en-GB"/>
        </w:rPr>
        <w:t xml:space="preserve">to </w:t>
      </w:r>
      <w:r w:rsidR="00CD3F13">
        <w:rPr>
          <w:lang w:val="en-GB"/>
        </w:rPr>
        <w:t xml:space="preserve">simulate </w:t>
      </w:r>
      <w:r w:rsidR="005F67D1">
        <w:rPr>
          <w:lang w:val="en-GB"/>
        </w:rPr>
        <w:t xml:space="preserve">via CFD </w:t>
      </w:r>
      <w:r w:rsidR="00CD3F13">
        <w:rPr>
          <w:lang w:val="en-GB"/>
        </w:rPr>
        <w:t xml:space="preserve">the leakage of LPG </w:t>
      </w:r>
      <w:r w:rsidR="00C76F3A">
        <w:rPr>
          <w:lang w:val="en-GB"/>
        </w:rPr>
        <w:t>built on</w:t>
      </w:r>
      <w:r w:rsidR="00CD3F13">
        <w:rPr>
          <w:lang w:val="en-GB"/>
        </w:rPr>
        <w:t xml:space="preserve"> </w:t>
      </w:r>
      <w:r w:rsidR="008D1082">
        <w:rPr>
          <w:lang w:val="en-GB"/>
        </w:rPr>
        <w:t>a real</w:t>
      </w:r>
      <w:r w:rsidR="00781AF8">
        <w:rPr>
          <w:lang w:val="en-GB"/>
        </w:rPr>
        <w:t>istic</w:t>
      </w:r>
      <w:r w:rsidR="00CD3F13">
        <w:rPr>
          <w:lang w:val="en-GB"/>
        </w:rPr>
        <w:t xml:space="preserve"> accidental scenario</w:t>
      </w:r>
      <w:r w:rsidR="006F37D5">
        <w:rPr>
          <w:lang w:val="en-GB"/>
        </w:rPr>
        <w:t>, occurred in Rome</w:t>
      </w:r>
      <w:r w:rsidR="00590F59">
        <w:rPr>
          <w:lang w:val="en-GB"/>
        </w:rPr>
        <w:t>, Italy,</w:t>
      </w:r>
      <w:r w:rsidR="006F37D5">
        <w:rPr>
          <w:lang w:val="en-GB"/>
        </w:rPr>
        <w:t xml:space="preserve"> on July 4</w:t>
      </w:r>
      <w:r w:rsidR="006F37D5" w:rsidRPr="006F37D5">
        <w:rPr>
          <w:vertAlign w:val="superscript"/>
          <w:lang w:val="en-GB"/>
        </w:rPr>
        <w:t>th</w:t>
      </w:r>
      <w:r w:rsidR="00335CE4">
        <w:rPr>
          <w:lang w:val="en-GB"/>
        </w:rPr>
        <w:t>, 2025,</w:t>
      </w:r>
      <w:r w:rsidR="00590F59">
        <w:rPr>
          <w:lang w:val="en-GB"/>
        </w:rPr>
        <w:t xml:space="preserve"> </w:t>
      </w:r>
      <w:r w:rsidR="00A778E6">
        <w:rPr>
          <w:lang w:val="en-GB"/>
        </w:rPr>
        <w:t>with a simplified model.</w:t>
      </w:r>
      <w:r w:rsidR="006F37D5">
        <w:rPr>
          <w:lang w:val="en-GB"/>
        </w:rPr>
        <w:t xml:space="preserve"> </w:t>
      </w:r>
      <w:r w:rsidR="009E027E">
        <w:rPr>
          <w:lang w:val="en-GB"/>
        </w:rPr>
        <w:t xml:space="preserve">The simulation </w:t>
      </w:r>
      <w:r w:rsidR="004E5AF1">
        <w:rPr>
          <w:lang w:val="en-GB"/>
        </w:rPr>
        <w:t>is</w:t>
      </w:r>
      <w:r w:rsidR="009E027E">
        <w:rPr>
          <w:lang w:val="en-GB"/>
        </w:rPr>
        <w:t xml:space="preserve"> </w:t>
      </w:r>
      <w:r w:rsidR="00A778E6">
        <w:rPr>
          <w:lang w:val="en-GB"/>
        </w:rPr>
        <w:t xml:space="preserve">then </w:t>
      </w:r>
      <w:r w:rsidR="009E027E">
        <w:rPr>
          <w:lang w:val="en-GB"/>
        </w:rPr>
        <w:t xml:space="preserve">compared </w:t>
      </w:r>
      <w:r w:rsidR="004E5AF1">
        <w:rPr>
          <w:lang w:val="en-GB"/>
        </w:rPr>
        <w:t>to</w:t>
      </w:r>
      <w:r w:rsidR="009E027E">
        <w:rPr>
          <w:lang w:val="en-GB"/>
        </w:rPr>
        <w:t xml:space="preserve"> </w:t>
      </w:r>
      <w:r w:rsidR="007B0AEE">
        <w:rPr>
          <w:lang w:val="en-GB"/>
        </w:rPr>
        <w:t>a</w:t>
      </w:r>
      <w:r w:rsidR="009E027E">
        <w:rPr>
          <w:lang w:val="en-GB"/>
        </w:rPr>
        <w:t xml:space="preserve"> hypothetic scenario</w:t>
      </w:r>
      <w:r w:rsidR="001C0054">
        <w:rPr>
          <w:lang w:val="en-GB"/>
        </w:rPr>
        <w:t xml:space="preserve"> with the same geometric model</w:t>
      </w:r>
      <w:r w:rsidR="009E027E">
        <w:rPr>
          <w:lang w:val="en-GB"/>
        </w:rPr>
        <w:t>, where</w:t>
      </w:r>
      <w:r w:rsidR="002648E6">
        <w:rPr>
          <w:lang w:val="en-GB"/>
        </w:rPr>
        <w:t xml:space="preserve"> hydrogen</w:t>
      </w:r>
      <w:r w:rsidR="00573EB8">
        <w:rPr>
          <w:lang w:val="en-GB"/>
        </w:rPr>
        <w:t xml:space="preserve"> is the fuel and </w:t>
      </w:r>
      <w:r w:rsidR="004E5AF1">
        <w:rPr>
          <w:lang w:val="en-GB"/>
        </w:rPr>
        <w:t xml:space="preserve">it </w:t>
      </w:r>
      <w:r w:rsidR="00573EB8">
        <w:rPr>
          <w:lang w:val="en-GB"/>
        </w:rPr>
        <w:t>is stored in the tank at its typical storage conditions</w:t>
      </w:r>
      <w:r w:rsidR="007B0AEE">
        <w:rPr>
          <w:lang w:val="en-GB"/>
        </w:rPr>
        <w:t xml:space="preserve"> </w:t>
      </w:r>
      <w:r w:rsidR="004E5AF1">
        <w:rPr>
          <w:lang w:val="en-GB"/>
        </w:rPr>
        <w:t>for</w:t>
      </w:r>
      <w:r w:rsidR="007B0AEE">
        <w:rPr>
          <w:lang w:val="en-GB"/>
        </w:rPr>
        <w:t xml:space="preserve"> the gaseous phase</w:t>
      </w:r>
      <w:r w:rsidR="00573EB8">
        <w:rPr>
          <w:lang w:val="en-GB"/>
        </w:rPr>
        <w:t>.</w:t>
      </w:r>
      <w:r w:rsidR="007B0AEE">
        <w:rPr>
          <w:lang w:val="en-GB"/>
        </w:rPr>
        <w:t xml:space="preserve"> In this way, it </w:t>
      </w:r>
      <w:r w:rsidR="009C4EB5">
        <w:rPr>
          <w:lang w:val="en-GB"/>
        </w:rPr>
        <w:t>is p</w:t>
      </w:r>
      <w:r w:rsidR="001C0054">
        <w:rPr>
          <w:lang w:val="en-GB"/>
        </w:rPr>
        <w:t xml:space="preserve">ossible to check the </w:t>
      </w:r>
      <w:r w:rsidR="00F535B8">
        <w:rPr>
          <w:lang w:val="en-GB"/>
        </w:rPr>
        <w:t>difference in the dimension of the flammable cloud created and the values of overpressure generated by the two potential explosions</w:t>
      </w:r>
      <w:r w:rsidR="005A71A2">
        <w:rPr>
          <w:lang w:val="en-GB"/>
        </w:rPr>
        <w:t>.</w:t>
      </w:r>
    </w:p>
    <w:p w14:paraId="2C521BC9" w14:textId="4CED77BF" w:rsidR="00C03196" w:rsidRPr="006A6C90" w:rsidRDefault="00C03196" w:rsidP="00600535">
      <w:pPr>
        <w:pStyle w:val="CETBodytext"/>
        <w:rPr>
          <w:lang w:val="en-GB"/>
        </w:rPr>
      </w:pPr>
      <w:r>
        <w:rPr>
          <w:lang w:val="en-GB"/>
        </w:rPr>
        <w:t xml:space="preserve">The results of this comparison prove the need for more investigations on hydrogen safety </w:t>
      </w:r>
      <w:r w:rsidR="00B24E49">
        <w:rPr>
          <w:lang w:val="en-GB"/>
        </w:rPr>
        <w:t>if used for daily life applications</w:t>
      </w:r>
      <w:r w:rsidR="00B42EA2">
        <w:rPr>
          <w:lang w:val="en-GB"/>
        </w:rPr>
        <w:t>, to determine which are the more suitable prevention and protection measures</w:t>
      </w:r>
      <w:r w:rsidR="00253AFB">
        <w:rPr>
          <w:lang w:val="en-GB"/>
        </w:rPr>
        <w:t>.</w:t>
      </w:r>
    </w:p>
    <w:p w14:paraId="476B2F2E" w14:textId="397F877B" w:rsidR="00600535" w:rsidRPr="006A6C90" w:rsidRDefault="00600535" w:rsidP="00600535">
      <w:pPr>
        <w:pStyle w:val="CETHeading1"/>
        <w:rPr>
          <w:lang w:val="en-GB"/>
        </w:rPr>
      </w:pPr>
      <w:r w:rsidRPr="006A6C90">
        <w:rPr>
          <w:lang w:val="en-GB"/>
        </w:rPr>
        <w:t>Introduction</w:t>
      </w:r>
    </w:p>
    <w:p w14:paraId="7EE65B70" w14:textId="39EDD8A5" w:rsidR="008D43DA" w:rsidRDefault="00A57A17" w:rsidP="00FE2977">
      <w:r>
        <w:t xml:space="preserve">Nowadays the world is facing a constant increase in the energy demand. However, this </w:t>
      </w:r>
      <w:r w:rsidR="009E3E50">
        <w:t>must</w:t>
      </w:r>
      <w:r>
        <w:t xml:space="preserve"> be compatible with</w:t>
      </w:r>
      <w:r w:rsidR="00F83F61">
        <w:t xml:space="preserve"> </w:t>
      </w:r>
      <w:r w:rsidR="00F83F61" w:rsidRPr="00F83F61">
        <w:t>the targets imposed by law for the emissions in atmosphere</w:t>
      </w:r>
      <w:r w:rsidR="00A067B2">
        <w:t xml:space="preserve"> to </w:t>
      </w:r>
      <w:r w:rsidR="00557B2A">
        <w:t>limit the emission of CO</w:t>
      </w:r>
      <w:r w:rsidR="00557B2A" w:rsidRPr="00557B2A">
        <w:rPr>
          <w:vertAlign w:val="subscript"/>
        </w:rPr>
        <w:t>2</w:t>
      </w:r>
      <w:r w:rsidR="00557B2A">
        <w:t xml:space="preserve"> (Suzuki et al., </w:t>
      </w:r>
      <w:r w:rsidR="001A6377">
        <w:t>2021)</w:t>
      </w:r>
      <w:r w:rsidR="00557B2A">
        <w:t xml:space="preserve">, </w:t>
      </w:r>
      <w:r w:rsidR="00A067B2">
        <w:t>reach the</w:t>
      </w:r>
      <w:r w:rsidR="00F83F61" w:rsidRPr="00F83F61">
        <w:t xml:space="preserve"> net-zero goal</w:t>
      </w:r>
      <w:r w:rsidR="00A067B2">
        <w:t xml:space="preserve"> and </w:t>
      </w:r>
      <w:r w:rsidR="00D07B0B">
        <w:t xml:space="preserve">limit to 1.5°C the </w:t>
      </w:r>
      <w:r w:rsidR="00683971">
        <w:t>temperature increase, as stated in the Paris Agreement</w:t>
      </w:r>
      <w:r w:rsidR="00F83F61" w:rsidRPr="00F83F61">
        <w:t>.</w:t>
      </w:r>
      <w:r w:rsidR="00F83F61">
        <w:t xml:space="preserve"> </w:t>
      </w:r>
    </w:p>
    <w:p w14:paraId="7D2FEBB6" w14:textId="406FFDF6" w:rsidR="00F83F61" w:rsidRDefault="00B809FE" w:rsidP="00FE2977">
      <w:r w:rsidRPr="006A6C90">
        <w:t xml:space="preserve">Given its nature of efficient energy carrier and substitute for fossil fuels, hydrogen was found as a viable alternative </w:t>
      </w:r>
      <w:r w:rsidR="001A6377">
        <w:t>for providing energy at limited emissions</w:t>
      </w:r>
      <w:r w:rsidR="00FB38D7">
        <w:t xml:space="preserve">, and its implementation would cover </w:t>
      </w:r>
      <w:r w:rsidR="00B10487">
        <w:t xml:space="preserve">several applications, </w:t>
      </w:r>
      <w:r w:rsidR="0020169E">
        <w:t xml:space="preserve">from the domestic </w:t>
      </w:r>
      <w:r w:rsidR="006229AC">
        <w:t>to the industrial sector</w:t>
      </w:r>
      <w:r w:rsidR="0020169E">
        <w:t xml:space="preserve">. </w:t>
      </w:r>
      <w:r w:rsidR="007E047B">
        <w:t>However</w:t>
      </w:r>
      <w:r w:rsidR="005B08BA">
        <w:t>, its physical-chemical properties</w:t>
      </w:r>
      <w:r w:rsidR="003F2CDE">
        <w:t xml:space="preserve">, such as </w:t>
      </w:r>
      <w:r w:rsidR="00F453FB" w:rsidRPr="00F453FB">
        <w:t>wide explosive range</w:t>
      </w:r>
      <w:r w:rsidR="00F453FB">
        <w:t xml:space="preserve">, </w:t>
      </w:r>
      <w:r w:rsidR="00F453FB" w:rsidRPr="00F453FB">
        <w:t>low minimum ignition energy</w:t>
      </w:r>
      <w:r w:rsidR="0020169E">
        <w:t xml:space="preserve"> </w:t>
      </w:r>
      <w:r w:rsidR="003F2CDE">
        <w:t>(Suzuki et al., 2021)</w:t>
      </w:r>
      <w:r w:rsidR="00601845">
        <w:t xml:space="preserve">, </w:t>
      </w:r>
      <w:r w:rsidR="00FE2977">
        <w:t>fast flame speed (Xiao et al., 2024)</w:t>
      </w:r>
      <w:r w:rsidR="003D31C5">
        <w:t xml:space="preserve"> </w:t>
      </w:r>
      <w:r w:rsidR="00601845">
        <w:t>and high chemical reactivity</w:t>
      </w:r>
      <w:r w:rsidR="00DC4527">
        <w:t>,</w:t>
      </w:r>
      <w:r w:rsidR="00601845">
        <w:t xml:space="preserve"> </w:t>
      </w:r>
      <w:r w:rsidR="005610A0">
        <w:t xml:space="preserve">prove the presence of hazards in </w:t>
      </w:r>
      <w:r w:rsidR="00407BC0">
        <w:t xml:space="preserve">hydrogen handling. In addition, due to its nature it is complicated to detect the ignition source in presence of fires once a leakage has occurred and hydrogen has mixed with air because of its nature </w:t>
      </w:r>
      <w:r w:rsidR="00407BC0" w:rsidRPr="003D1F1A">
        <w:t>(Astbury and Hawksworth, 2007)</w:t>
      </w:r>
      <w:r w:rsidR="00407BC0">
        <w:t xml:space="preserve">. The historical analysis on </w:t>
      </w:r>
      <w:r w:rsidR="00D261AF">
        <w:t>accident</w:t>
      </w:r>
      <w:r w:rsidR="00631950">
        <w:t>al scenarios</w:t>
      </w:r>
      <w:r w:rsidR="00D261AF">
        <w:t xml:space="preserve"> involving hydrogen </w:t>
      </w:r>
      <w:r w:rsidR="00407BC0">
        <w:t>has shown</w:t>
      </w:r>
      <w:r w:rsidR="00DC4527">
        <w:t>, in fact,</w:t>
      </w:r>
      <w:r w:rsidR="00407BC0">
        <w:t xml:space="preserve"> that </w:t>
      </w:r>
      <w:r w:rsidR="00D261AF">
        <w:t>most of the</w:t>
      </w:r>
      <w:r w:rsidR="00631950">
        <w:t xml:space="preserve">m start with the release of the gas, and the consequent development of </w:t>
      </w:r>
      <w:r w:rsidR="00021038">
        <w:t xml:space="preserve">jet fires, flash fires, </w:t>
      </w:r>
      <w:r w:rsidR="00392663" w:rsidRPr="00392663">
        <w:t>boiling liquid expanding vapor explosion</w:t>
      </w:r>
      <w:r w:rsidR="00392663">
        <w:t xml:space="preserve"> (BLEVE). </w:t>
      </w:r>
      <w:r w:rsidR="00BD1C5D">
        <w:t xml:space="preserve">For </w:t>
      </w:r>
      <w:r w:rsidR="00B85F94">
        <w:t>these reasons</w:t>
      </w:r>
      <w:r w:rsidR="004C56D1">
        <w:t xml:space="preserve">, risk </w:t>
      </w:r>
      <w:r w:rsidR="003007EE">
        <w:t>analysis</w:t>
      </w:r>
      <w:r w:rsidR="004C56D1">
        <w:t xml:space="preserve"> </w:t>
      </w:r>
      <w:r w:rsidR="00B85F94">
        <w:t>is</w:t>
      </w:r>
      <w:r w:rsidR="004C56D1">
        <w:t xml:space="preserve"> </w:t>
      </w:r>
      <w:r w:rsidR="00D261AF">
        <w:t>fundamental for the hydrogen</w:t>
      </w:r>
      <w:r w:rsidR="00B018A5">
        <w:t xml:space="preserve"> economy.</w:t>
      </w:r>
    </w:p>
    <w:p w14:paraId="7643ACCC" w14:textId="222BCCE4" w:rsidR="00B11B85" w:rsidRDefault="00DB519C" w:rsidP="00FE2977">
      <w:r>
        <w:t xml:space="preserve">Currently, one of the applications of intertest is the </w:t>
      </w:r>
      <w:r w:rsidR="003007EE">
        <w:t>assessment of hydrogen refuelling stations</w:t>
      </w:r>
      <w:r w:rsidR="00BD3263">
        <w:t xml:space="preserve"> (HRS)</w:t>
      </w:r>
      <w:r w:rsidR="00B90F4E">
        <w:t xml:space="preserve">, to </w:t>
      </w:r>
      <w:r w:rsidR="00392663">
        <w:t>support</w:t>
      </w:r>
      <w:r w:rsidR="00B90F4E">
        <w:t xml:space="preserve"> the </w:t>
      </w:r>
      <w:r w:rsidR="00522290">
        <w:t xml:space="preserve">transportation </w:t>
      </w:r>
      <w:r w:rsidR="00C829D8">
        <w:t xml:space="preserve">infrastructure </w:t>
      </w:r>
      <w:r w:rsidR="00B16276">
        <w:t>and favour the spread</w:t>
      </w:r>
      <w:r w:rsidR="00C829D8">
        <w:t xml:space="preserve"> hy</w:t>
      </w:r>
      <w:r w:rsidR="00A46890">
        <w:t>drogen as fue</w:t>
      </w:r>
      <w:r w:rsidR="00B16276">
        <w:t>l, instead of fossil fuels (e.g. Liquified petrol gas</w:t>
      </w:r>
      <w:r w:rsidR="00D51014">
        <w:t>,</w:t>
      </w:r>
      <w:r w:rsidR="00B16276">
        <w:t xml:space="preserve"> LPG)</w:t>
      </w:r>
      <w:r w:rsidR="00A46890">
        <w:t>. This means that identify</w:t>
      </w:r>
      <w:r w:rsidR="004E606B">
        <w:t>ing</w:t>
      </w:r>
      <w:r w:rsidR="00A46890">
        <w:t xml:space="preserve"> all the hazards present in the </w:t>
      </w:r>
      <w:r w:rsidR="00F347D3">
        <w:t>station and the possible equipment failures</w:t>
      </w:r>
      <w:r w:rsidR="004E606B">
        <w:t xml:space="preserve"> is crucial for a correct estimation of the </w:t>
      </w:r>
      <w:r w:rsidR="000A3FE9">
        <w:t>probability of occurrence of accidental scenarios</w:t>
      </w:r>
      <w:r w:rsidR="00425BAC">
        <w:t xml:space="preserve">, and for the application of the </w:t>
      </w:r>
      <w:r w:rsidR="00A27BC3">
        <w:t>proper safety measures, in terms of prevention and mitigation of the risks.</w:t>
      </w:r>
      <w:r w:rsidR="00AD4873">
        <w:t xml:space="preserve"> </w:t>
      </w:r>
      <w:r w:rsidR="005F7BB0">
        <w:t xml:space="preserve">Indeed, </w:t>
      </w:r>
      <w:r w:rsidR="00CF28F7">
        <w:t>t</w:t>
      </w:r>
      <w:r w:rsidR="00AD4873">
        <w:t>he ai</w:t>
      </w:r>
      <w:r w:rsidR="00CF28F7">
        <w:t xml:space="preserve">m is </w:t>
      </w:r>
      <w:r w:rsidR="0064150E">
        <w:t xml:space="preserve">to globally </w:t>
      </w:r>
      <w:r w:rsidR="001947AF">
        <w:t xml:space="preserve">single out which are the </w:t>
      </w:r>
      <w:r w:rsidR="006A7FA6">
        <w:t>safety barriers and distances required in each step of the design and construction of the refuelling station</w:t>
      </w:r>
      <w:r w:rsidR="00CE6765">
        <w:t xml:space="preserve"> (Pique et al., 2017).</w:t>
      </w:r>
    </w:p>
    <w:p w14:paraId="4628A6B6" w14:textId="4E5826DF" w:rsidR="00872D21" w:rsidRDefault="63CC0830" w:rsidP="00FE2977">
      <w:r>
        <w:t>T</w:t>
      </w:r>
      <w:r w:rsidR="00145362">
        <w:t>o evaluate the advantages of HRS, studies were perform</w:t>
      </w:r>
      <w:r w:rsidR="00576409">
        <w:t xml:space="preserve">ed </w:t>
      </w:r>
      <w:r w:rsidR="007C1D17">
        <w:t xml:space="preserve">to compare the feasibility of hydrogen as </w:t>
      </w:r>
      <w:r w:rsidR="001C6CEF">
        <w:t xml:space="preserve">substitute </w:t>
      </w:r>
      <w:r w:rsidR="00182ACC">
        <w:t>(</w:t>
      </w:r>
      <w:r w:rsidR="001C7C43">
        <w:t xml:space="preserve">Casson Moreno et al., </w:t>
      </w:r>
      <w:r w:rsidR="00EE0490">
        <w:t>2025</w:t>
      </w:r>
      <w:r w:rsidR="00182ACC">
        <w:t xml:space="preserve">). </w:t>
      </w:r>
      <w:r w:rsidR="007E058D">
        <w:t>In this study</w:t>
      </w:r>
      <w:r w:rsidR="00FA3B36">
        <w:t xml:space="preserve">, </w:t>
      </w:r>
      <w:r w:rsidR="00F04E4C">
        <w:t>the</w:t>
      </w:r>
      <w:r w:rsidR="00FA3B36">
        <w:t xml:space="preserve"> comprehensive analysis of </w:t>
      </w:r>
      <w:r w:rsidR="00664E64">
        <w:t xml:space="preserve">different fuels, such as compressed </w:t>
      </w:r>
      <w:r w:rsidR="00664E64">
        <w:lastRenderedPageBreak/>
        <w:t xml:space="preserve">hydrogen </w:t>
      </w:r>
      <w:r w:rsidR="00267B58">
        <w:t>(CH</w:t>
      </w:r>
      <w:r w:rsidR="00267B58" w:rsidRPr="009E6311">
        <w:rPr>
          <w:vertAlign w:val="subscript"/>
        </w:rPr>
        <w:t>2</w:t>
      </w:r>
      <w:r w:rsidR="00267B58">
        <w:t xml:space="preserve">), </w:t>
      </w:r>
      <w:r w:rsidR="00664E64">
        <w:t>liquid hydrogen</w:t>
      </w:r>
      <w:r w:rsidR="00267B58">
        <w:t xml:space="preserve"> (LH</w:t>
      </w:r>
      <w:r w:rsidR="00267B58" w:rsidRPr="009E6311">
        <w:rPr>
          <w:vertAlign w:val="subscript"/>
        </w:rPr>
        <w:t>2</w:t>
      </w:r>
      <w:r w:rsidR="00267B58">
        <w:t>)</w:t>
      </w:r>
      <w:r w:rsidR="00664E64">
        <w:t xml:space="preserve">, </w:t>
      </w:r>
      <w:r w:rsidR="00027737">
        <w:t xml:space="preserve">LPG, </w:t>
      </w:r>
      <w:r w:rsidR="00486561">
        <w:t>liquefied</w:t>
      </w:r>
      <w:r w:rsidR="00AC6BB3">
        <w:t xml:space="preserve"> natural gas (LNG), compressed natural gas (CNG)</w:t>
      </w:r>
      <w:r w:rsidR="007A207C">
        <w:t>, diesel</w:t>
      </w:r>
      <w:r w:rsidR="00486561">
        <w:t xml:space="preserve"> and gasoline</w:t>
      </w:r>
      <w:r w:rsidR="00F04E4C">
        <w:t xml:space="preserve">, confirmed hydrogen </w:t>
      </w:r>
      <w:r w:rsidR="005E6C4D">
        <w:t>advantages for the environment. However, in terms of safety</w:t>
      </w:r>
      <w:r w:rsidR="00E25E54">
        <w:t xml:space="preserve">, </w:t>
      </w:r>
      <w:r w:rsidR="00935237">
        <w:t xml:space="preserve">LPG is still the best alternative. </w:t>
      </w:r>
      <w:r w:rsidR="00505361">
        <w:t>In fact</w:t>
      </w:r>
      <w:r w:rsidR="00EB5630">
        <w:t xml:space="preserve">, </w:t>
      </w:r>
      <w:r w:rsidR="00F223ED">
        <w:t xml:space="preserve">this </w:t>
      </w:r>
      <w:r w:rsidR="00237FA8">
        <w:t>technology</w:t>
      </w:r>
      <w:r w:rsidR="00F223ED">
        <w:t xml:space="preserve"> has been already well implemented and </w:t>
      </w:r>
      <w:r w:rsidR="00237FA8">
        <w:t>validated</w:t>
      </w:r>
      <w:r w:rsidR="00F223ED">
        <w:t>, an</w:t>
      </w:r>
      <w:r w:rsidR="00237FA8">
        <w:t xml:space="preserve">d </w:t>
      </w:r>
      <w:proofErr w:type="gramStart"/>
      <w:r w:rsidR="00EB5630">
        <w:t>the majority of</w:t>
      </w:r>
      <w:proofErr w:type="gramEnd"/>
      <w:r w:rsidR="00EB5630">
        <w:t xml:space="preserve"> the </w:t>
      </w:r>
      <w:r w:rsidR="00AD5FD4">
        <w:t xml:space="preserve">accidents </w:t>
      </w:r>
      <w:r w:rsidR="00AD29D1">
        <w:t xml:space="preserve">in LNG refuelling stations </w:t>
      </w:r>
      <w:r w:rsidR="00237FA8">
        <w:t xml:space="preserve">which </w:t>
      </w:r>
      <w:r w:rsidR="005129EF">
        <w:t xml:space="preserve">regard the storage tanks </w:t>
      </w:r>
      <w:r w:rsidR="00237FA8">
        <w:t xml:space="preserve">have already been </w:t>
      </w:r>
      <w:r w:rsidR="00143DC7">
        <w:t xml:space="preserve">analysed and assessed </w:t>
      </w:r>
      <w:r w:rsidR="005129EF">
        <w:t xml:space="preserve">(Pique et al., 2022). </w:t>
      </w:r>
    </w:p>
    <w:p w14:paraId="275BB4EF" w14:textId="33496C53" w:rsidR="00BC6263" w:rsidRDefault="00360D01" w:rsidP="00FE2977">
      <w:r>
        <w:t xml:space="preserve">From the risk assessments performed, </w:t>
      </w:r>
      <w:r w:rsidR="00615CCA">
        <w:t xml:space="preserve">it was noticed that the typical </w:t>
      </w:r>
      <w:r w:rsidR="00A43567">
        <w:t>mechanical failure</w:t>
      </w:r>
      <w:r w:rsidR="00E45700">
        <w:t>s</w:t>
      </w:r>
      <w:r w:rsidR="00A43567">
        <w:t xml:space="preserve"> involve </w:t>
      </w:r>
      <w:r w:rsidR="00D93064">
        <w:t xml:space="preserve">vessels, </w:t>
      </w:r>
      <w:r w:rsidR="00A43567">
        <w:t xml:space="preserve">pumps, compressors, </w:t>
      </w:r>
      <w:r w:rsidR="007A0395">
        <w:t>pipelines and valves</w:t>
      </w:r>
      <w:r w:rsidR="00B97C2E">
        <w:t xml:space="preserve"> (Di Girolamo et al.,</w:t>
      </w:r>
      <w:r w:rsidR="00D93064">
        <w:t xml:space="preserve"> 2023)</w:t>
      </w:r>
      <w:r w:rsidR="007A0395">
        <w:t xml:space="preserve">, resulting in </w:t>
      </w:r>
      <w:r w:rsidR="00F31D8C">
        <w:t>fires and explosions (Giannelli et al., 2023).</w:t>
      </w:r>
      <w:r w:rsidR="00872D21">
        <w:t xml:space="preserve"> It is true that these scenarios are common also in HRSs, but the </w:t>
      </w:r>
      <w:r w:rsidR="009E3495">
        <w:t>critical difference is in the storage conditions of the two fuels</w:t>
      </w:r>
      <w:r w:rsidR="00D25B7D">
        <w:t>, being the pressure of CH</w:t>
      </w:r>
      <w:r w:rsidR="00D25B7D" w:rsidRPr="00700339">
        <w:rPr>
          <w:vertAlign w:val="subscript"/>
        </w:rPr>
        <w:t>2</w:t>
      </w:r>
      <w:r w:rsidR="00D25B7D">
        <w:t xml:space="preserve"> </w:t>
      </w:r>
      <w:r w:rsidR="004E6558">
        <w:t>higher</w:t>
      </w:r>
      <w:r w:rsidR="00D25B7D">
        <w:t xml:space="preserve"> than the one of LPG (</w:t>
      </w:r>
      <w:r w:rsidR="1AE8C781">
        <w:t xml:space="preserve">i.e., </w:t>
      </w:r>
      <w:r w:rsidR="004E6558">
        <w:t xml:space="preserve">typically between 5 bar and 20 bar). In fact, </w:t>
      </w:r>
      <w:r w:rsidR="00BC6263">
        <w:t xml:space="preserve">HRSs are generally equipped with </w:t>
      </w:r>
      <w:r w:rsidR="00D25B7D">
        <w:t xml:space="preserve">two levels of hydrogen compression, one at </w:t>
      </w:r>
      <w:r w:rsidR="004E6558">
        <w:t xml:space="preserve">200 </w:t>
      </w:r>
      <w:proofErr w:type="gramStart"/>
      <w:r w:rsidR="004E6558">
        <w:t>bar</w:t>
      </w:r>
      <w:proofErr w:type="gramEnd"/>
      <w:r w:rsidR="004E6558">
        <w:t xml:space="preserve"> for the </w:t>
      </w:r>
      <w:r w:rsidR="00AA3018">
        <w:t xml:space="preserve">first level of storage of the gas, and one at 700 </w:t>
      </w:r>
      <w:proofErr w:type="gramStart"/>
      <w:r w:rsidR="00AA3018">
        <w:t>bar</w:t>
      </w:r>
      <w:proofErr w:type="gramEnd"/>
      <w:r w:rsidR="00AA3018">
        <w:t xml:space="preserve"> for the dispensing of the gas.</w:t>
      </w:r>
    </w:p>
    <w:p w14:paraId="3BAA292C" w14:textId="3A07348A" w:rsidR="001C6CEF" w:rsidRDefault="001C6CEF" w:rsidP="00FE2977">
      <w:r>
        <w:t xml:space="preserve">In this paper, </w:t>
      </w:r>
      <w:r w:rsidR="008D5B1A">
        <w:t xml:space="preserve">the comparison between an accidental leakage scenario of </w:t>
      </w:r>
      <w:r w:rsidR="00332427">
        <w:t xml:space="preserve">compressed </w:t>
      </w:r>
      <w:r w:rsidR="008D5B1A">
        <w:t>hydrogen</w:t>
      </w:r>
      <w:r w:rsidR="00332427">
        <w:t xml:space="preserve"> gas</w:t>
      </w:r>
      <w:r w:rsidR="008D5B1A">
        <w:t xml:space="preserve"> and LPG </w:t>
      </w:r>
      <w:r w:rsidR="00D8174F">
        <w:t xml:space="preserve">from a storage tank </w:t>
      </w:r>
      <w:r w:rsidR="008D5B1A">
        <w:t>is presented, taking as reference a real accident occurred in Rome, Italy</w:t>
      </w:r>
      <w:r w:rsidR="00335CE4" w:rsidRPr="00335CE4">
        <w:t xml:space="preserve"> on July 4th, 2025</w:t>
      </w:r>
      <w:r w:rsidR="008D5B1A">
        <w:t>.</w:t>
      </w:r>
      <w:r w:rsidR="00235ECE">
        <w:t xml:space="preserve"> The aim is to compare the consequences of the two releases</w:t>
      </w:r>
      <w:r w:rsidR="001B5194">
        <w:t>, and so highlight wh</w:t>
      </w:r>
      <w:r w:rsidR="002258F4">
        <w:t xml:space="preserve">at </w:t>
      </w:r>
      <w:r w:rsidR="0087492C">
        <w:t xml:space="preserve">is </w:t>
      </w:r>
      <w:r w:rsidR="006A54D8">
        <w:t xml:space="preserve">still missing </w:t>
      </w:r>
      <w:r w:rsidR="00CF1BB0">
        <w:t>for a safe shift towards HRSs.</w:t>
      </w:r>
    </w:p>
    <w:p w14:paraId="5741900F" w14:textId="5A064B01" w:rsidR="00453E24" w:rsidRPr="006A6C90" w:rsidRDefault="00AB19FB" w:rsidP="00453E24">
      <w:pPr>
        <w:pStyle w:val="CETHeading1"/>
        <w:rPr>
          <w:lang w:val="en-GB"/>
        </w:rPr>
      </w:pPr>
      <w:r w:rsidRPr="006A6C90">
        <w:rPr>
          <w:lang w:val="en-GB"/>
        </w:rPr>
        <w:t>Materials and methods</w:t>
      </w:r>
    </w:p>
    <w:p w14:paraId="09406386" w14:textId="4EFC9B21" w:rsidR="00453E24" w:rsidRPr="006A6C90" w:rsidRDefault="001E0640" w:rsidP="00453E24">
      <w:pPr>
        <w:pStyle w:val="CETBodytext"/>
        <w:rPr>
          <w:lang w:val="en-GB"/>
        </w:rPr>
      </w:pPr>
      <w:r w:rsidRPr="006A6C90">
        <w:rPr>
          <w:lang w:val="en-GB"/>
        </w:rPr>
        <w:t>This section provides an overview of the scenario under investigation</w:t>
      </w:r>
      <w:r w:rsidR="003C2745" w:rsidRPr="006A6C90">
        <w:rPr>
          <w:lang w:val="en-GB"/>
        </w:rPr>
        <w:t xml:space="preserve"> </w:t>
      </w:r>
      <w:r w:rsidR="00AD02E8">
        <w:rPr>
          <w:lang w:val="en-GB"/>
        </w:rPr>
        <w:t>together with</w:t>
      </w:r>
      <w:r w:rsidR="003C2745" w:rsidRPr="006A6C90">
        <w:rPr>
          <w:lang w:val="en-GB"/>
        </w:rPr>
        <w:t xml:space="preserve"> the construction o</w:t>
      </w:r>
      <w:r w:rsidR="007F1693" w:rsidRPr="006A6C90">
        <w:rPr>
          <w:lang w:val="en-GB"/>
        </w:rPr>
        <w:t xml:space="preserve">f the model for the </w:t>
      </w:r>
      <w:r w:rsidR="005F67D1">
        <w:rPr>
          <w:lang w:val="en-GB"/>
        </w:rPr>
        <w:t>computational fluid dynamics (</w:t>
      </w:r>
      <w:r w:rsidR="007F1693" w:rsidRPr="006A6C90">
        <w:rPr>
          <w:lang w:val="en-GB"/>
        </w:rPr>
        <w:t>CFD</w:t>
      </w:r>
      <w:r w:rsidR="005F67D1">
        <w:rPr>
          <w:lang w:val="en-GB"/>
        </w:rPr>
        <w:t>)</w:t>
      </w:r>
      <w:r w:rsidR="007F1693" w:rsidRPr="006A6C90">
        <w:rPr>
          <w:lang w:val="en-GB"/>
        </w:rPr>
        <w:t xml:space="preserve"> </w:t>
      </w:r>
      <w:r w:rsidR="00AD02E8">
        <w:rPr>
          <w:lang w:val="en-GB"/>
        </w:rPr>
        <w:t>simulations of the LPG and hydrogen leakages,</w:t>
      </w:r>
      <w:r w:rsidR="007F1693" w:rsidRPr="006A6C90">
        <w:rPr>
          <w:lang w:val="en-GB"/>
        </w:rPr>
        <w:t xml:space="preserve"> carried out through Ansys Fluent 2024R2.</w:t>
      </w:r>
    </w:p>
    <w:p w14:paraId="57DBF42E" w14:textId="29112AE7" w:rsidR="001D1C96" w:rsidRDefault="008F243B" w:rsidP="001D1C96">
      <w:pPr>
        <w:pStyle w:val="CETheadingx"/>
        <w:rPr>
          <w:lang w:val="en-GB"/>
        </w:rPr>
      </w:pPr>
      <w:r w:rsidRPr="006A6C90">
        <w:rPr>
          <w:lang w:val="en-GB"/>
        </w:rPr>
        <w:t>Description of the scenario</w:t>
      </w:r>
      <w:r w:rsidR="001D1C96">
        <w:rPr>
          <w:lang w:val="en-GB"/>
        </w:rPr>
        <w:t xml:space="preserve"> and </w:t>
      </w:r>
      <w:r w:rsidR="001D1C96" w:rsidRPr="006A6C90">
        <w:rPr>
          <w:lang w:val="en-GB"/>
        </w:rPr>
        <w:t>construction of the geometry</w:t>
      </w:r>
    </w:p>
    <w:p w14:paraId="0293BFF7" w14:textId="26269935" w:rsidR="00022F79" w:rsidRDefault="00A2340F" w:rsidP="00CD6E8A">
      <w:pPr>
        <w:pStyle w:val="CETBodytext"/>
        <w:rPr>
          <w:lang w:val="en-GB"/>
        </w:rPr>
      </w:pPr>
      <w:r w:rsidRPr="006A6C90">
        <w:rPr>
          <w:lang w:val="en-GB"/>
        </w:rPr>
        <w:t>On July 4</w:t>
      </w:r>
      <w:r w:rsidRPr="006A6C90">
        <w:rPr>
          <w:vertAlign w:val="superscript"/>
          <w:lang w:val="en-GB"/>
        </w:rPr>
        <w:t>th</w:t>
      </w:r>
      <w:r w:rsidRPr="006A6C90">
        <w:rPr>
          <w:lang w:val="en-GB"/>
        </w:rPr>
        <w:t>,</w:t>
      </w:r>
      <w:r w:rsidR="00151737">
        <w:rPr>
          <w:lang w:val="en-GB"/>
        </w:rPr>
        <w:t xml:space="preserve"> 2025,</w:t>
      </w:r>
      <w:r w:rsidRPr="006A6C90">
        <w:rPr>
          <w:lang w:val="en-GB"/>
        </w:rPr>
        <w:t xml:space="preserve"> a</w:t>
      </w:r>
      <w:r w:rsidR="0071166E">
        <w:rPr>
          <w:lang w:val="en-GB"/>
        </w:rPr>
        <w:t xml:space="preserve">n </w:t>
      </w:r>
      <w:r w:rsidR="00EB319F" w:rsidRPr="006A6C90">
        <w:rPr>
          <w:lang w:val="en-GB"/>
        </w:rPr>
        <w:t>accident</w:t>
      </w:r>
      <w:r w:rsidR="0071166E">
        <w:rPr>
          <w:lang w:val="en-GB"/>
        </w:rPr>
        <w:t>a</w:t>
      </w:r>
      <w:r w:rsidR="004D7157">
        <w:rPr>
          <w:lang w:val="en-GB"/>
        </w:rPr>
        <w:t>l</w:t>
      </w:r>
      <w:r w:rsidR="00284C8E">
        <w:rPr>
          <w:lang w:val="en-GB"/>
        </w:rPr>
        <w:t xml:space="preserve"> </w:t>
      </w:r>
      <w:r w:rsidR="0077098E" w:rsidRPr="006A6C90">
        <w:rPr>
          <w:lang w:val="en-GB"/>
        </w:rPr>
        <w:t xml:space="preserve">explosion </w:t>
      </w:r>
      <w:r w:rsidR="00BA271B" w:rsidRPr="006A6C90">
        <w:rPr>
          <w:lang w:val="en-GB"/>
        </w:rPr>
        <w:t>occurred</w:t>
      </w:r>
      <w:r w:rsidR="0077098E" w:rsidRPr="006A6C90">
        <w:rPr>
          <w:lang w:val="en-GB"/>
        </w:rPr>
        <w:t xml:space="preserve"> at a petrol and LPG </w:t>
      </w:r>
      <w:r w:rsidR="00BA271B" w:rsidRPr="006A6C90">
        <w:rPr>
          <w:lang w:val="en-GB"/>
        </w:rPr>
        <w:t>station in Rome</w:t>
      </w:r>
      <w:r w:rsidR="008D5B1A">
        <w:rPr>
          <w:lang w:val="en-GB"/>
        </w:rPr>
        <w:t>, Italy</w:t>
      </w:r>
      <w:r w:rsidR="00BA271B" w:rsidRPr="006A6C90">
        <w:rPr>
          <w:lang w:val="en-GB"/>
        </w:rPr>
        <w:t xml:space="preserve">. </w:t>
      </w:r>
      <w:r w:rsidR="00F16A75">
        <w:rPr>
          <w:lang w:val="en-GB"/>
        </w:rPr>
        <w:t>From a</w:t>
      </w:r>
      <w:r w:rsidR="00BA271B" w:rsidRPr="006A6C90">
        <w:rPr>
          <w:lang w:val="en-GB"/>
        </w:rPr>
        <w:t xml:space="preserve"> preliminary assessment</w:t>
      </w:r>
      <w:r w:rsidR="00F16A75">
        <w:rPr>
          <w:lang w:val="en-GB"/>
        </w:rPr>
        <w:t xml:space="preserve"> performed</w:t>
      </w:r>
      <w:r w:rsidR="00BA271B" w:rsidRPr="006A6C90">
        <w:rPr>
          <w:lang w:val="en-GB"/>
        </w:rPr>
        <w:t xml:space="preserve"> </w:t>
      </w:r>
      <w:r w:rsidR="00326BE8">
        <w:rPr>
          <w:lang w:val="en-GB"/>
        </w:rPr>
        <w:t xml:space="preserve">to trace back the causes of the accident, it </w:t>
      </w:r>
      <w:r w:rsidR="6872A016" w:rsidRPr="222BB01A">
        <w:rPr>
          <w:lang w:val="en-GB"/>
        </w:rPr>
        <w:t>has been</w:t>
      </w:r>
      <w:r w:rsidR="00326BE8">
        <w:rPr>
          <w:lang w:val="en-GB"/>
        </w:rPr>
        <w:t xml:space="preserve"> found that </w:t>
      </w:r>
      <w:r w:rsidR="00180041">
        <w:rPr>
          <w:lang w:val="en-GB"/>
        </w:rPr>
        <w:t>the refilling of the</w:t>
      </w:r>
      <w:r w:rsidR="00DB0E15">
        <w:rPr>
          <w:lang w:val="en-GB"/>
        </w:rPr>
        <w:t xml:space="preserve"> fixed</w:t>
      </w:r>
      <w:r w:rsidR="00180041">
        <w:rPr>
          <w:lang w:val="en-GB"/>
        </w:rPr>
        <w:t xml:space="preserve"> underground tank </w:t>
      </w:r>
      <w:r w:rsidR="00DB0E15">
        <w:rPr>
          <w:lang w:val="en-GB"/>
        </w:rPr>
        <w:t>of LPG</w:t>
      </w:r>
      <w:r w:rsidR="0071166E">
        <w:rPr>
          <w:lang w:val="en-GB"/>
        </w:rPr>
        <w:t xml:space="preserve"> </w:t>
      </w:r>
      <w:r w:rsidR="00F07E6C">
        <w:rPr>
          <w:lang w:val="en-GB"/>
        </w:rPr>
        <w:t>might have been an initiator of the incident</w:t>
      </w:r>
      <w:r w:rsidR="000D5BB6">
        <w:rPr>
          <w:lang w:val="en-GB"/>
        </w:rPr>
        <w:t>.</w:t>
      </w:r>
      <w:r w:rsidR="00A84D40">
        <w:rPr>
          <w:lang w:val="en-GB"/>
        </w:rPr>
        <w:t xml:space="preserve"> </w:t>
      </w:r>
      <w:r w:rsidR="2B18E40F" w:rsidRPr="0C4B6BED">
        <w:rPr>
          <w:lang w:val="en-GB"/>
        </w:rPr>
        <w:t>T</w:t>
      </w:r>
      <w:r w:rsidR="00081D3B">
        <w:rPr>
          <w:lang w:val="en-GB"/>
        </w:rPr>
        <w:t>his hypothesis</w:t>
      </w:r>
      <w:r w:rsidR="621A56EB" w:rsidRPr="05DA7737">
        <w:rPr>
          <w:lang w:val="en-GB"/>
        </w:rPr>
        <w:t xml:space="preserve"> </w:t>
      </w:r>
      <w:r w:rsidR="621A56EB" w:rsidRPr="02186EDA">
        <w:rPr>
          <w:lang w:val="en-GB"/>
        </w:rPr>
        <w:t>finds</w:t>
      </w:r>
      <w:r w:rsidR="621A56EB" w:rsidRPr="5BD14ED5">
        <w:rPr>
          <w:lang w:val="en-GB"/>
        </w:rPr>
        <w:t xml:space="preserve"> support </w:t>
      </w:r>
      <w:r w:rsidR="5C05A05B" w:rsidRPr="2A7CA1A8">
        <w:rPr>
          <w:lang w:val="en-GB"/>
        </w:rPr>
        <w:t>in</w:t>
      </w:r>
      <w:r w:rsidR="00081D3B">
        <w:rPr>
          <w:lang w:val="en-GB"/>
        </w:rPr>
        <w:t xml:space="preserve"> several studies performed in the past years regarding which are the criticalities of the </w:t>
      </w:r>
      <w:r w:rsidR="00032D13">
        <w:rPr>
          <w:lang w:val="en-GB"/>
        </w:rPr>
        <w:t xml:space="preserve">LPG chain </w:t>
      </w:r>
      <w:r w:rsidR="00BB2B09">
        <w:rPr>
          <w:lang w:val="en-GB"/>
        </w:rPr>
        <w:t xml:space="preserve">and </w:t>
      </w:r>
      <w:r w:rsidR="00144CF5">
        <w:rPr>
          <w:lang w:val="en-GB"/>
        </w:rPr>
        <w:t>assessing the risks related</w:t>
      </w:r>
      <w:r w:rsidR="007E761B">
        <w:rPr>
          <w:lang w:val="en-GB"/>
        </w:rPr>
        <w:t xml:space="preserve"> </w:t>
      </w:r>
      <w:r w:rsidR="007E761B" w:rsidRPr="5E8D5768">
        <w:rPr>
          <w:lang w:val="en-GB"/>
        </w:rPr>
        <w:t>(</w:t>
      </w:r>
      <w:r w:rsidR="1D0AC5A3" w:rsidRPr="5E8D5768">
        <w:rPr>
          <w:lang w:val="en-GB"/>
        </w:rPr>
        <w:t>see the Introduction s</w:t>
      </w:r>
      <w:r w:rsidR="007E761B" w:rsidRPr="5E8D5768">
        <w:rPr>
          <w:lang w:val="en-GB"/>
        </w:rPr>
        <w:t>ection</w:t>
      </w:r>
      <w:r w:rsidR="007E761B" w:rsidRPr="337AE9E8">
        <w:rPr>
          <w:lang w:val="en-GB"/>
        </w:rPr>
        <w:t>)</w:t>
      </w:r>
      <w:r w:rsidR="00081D3B" w:rsidRPr="337AE9E8">
        <w:rPr>
          <w:lang w:val="en-GB"/>
        </w:rPr>
        <w:t>.</w:t>
      </w:r>
      <w:r w:rsidR="00081D3B">
        <w:rPr>
          <w:lang w:val="en-GB"/>
        </w:rPr>
        <w:t xml:space="preserve"> </w:t>
      </w:r>
      <w:r w:rsidR="00A84D40">
        <w:rPr>
          <w:lang w:val="en-GB"/>
        </w:rPr>
        <w:t xml:space="preserve">The </w:t>
      </w:r>
      <w:r w:rsidR="00C539B2">
        <w:rPr>
          <w:lang w:val="en-GB"/>
        </w:rPr>
        <w:t>phenomenon generated was a BLEVE</w:t>
      </w:r>
      <w:r w:rsidR="00CB4369">
        <w:rPr>
          <w:lang w:val="en-GB"/>
        </w:rPr>
        <w:t>.</w:t>
      </w:r>
      <w:r w:rsidR="00860FD7">
        <w:rPr>
          <w:lang w:val="en-GB"/>
        </w:rPr>
        <w:t xml:space="preserve"> This means that </w:t>
      </w:r>
      <w:r w:rsidR="00DD7AE9">
        <w:rPr>
          <w:lang w:val="en-GB"/>
        </w:rPr>
        <w:t xml:space="preserve">the LPG inside the tank might have undergone </w:t>
      </w:r>
      <w:r w:rsidR="00F95CF3">
        <w:rPr>
          <w:lang w:val="en-GB"/>
        </w:rPr>
        <w:t>excessive heating, becoming a superheated liquid above the boiling point</w:t>
      </w:r>
      <w:r w:rsidR="00E331E9">
        <w:rPr>
          <w:lang w:val="en-GB"/>
        </w:rPr>
        <w:t xml:space="preserve"> and causing the rupture of the vessel due to the vapour expansion</w:t>
      </w:r>
      <w:r w:rsidR="006E3BCB">
        <w:rPr>
          <w:lang w:val="en-GB"/>
        </w:rPr>
        <w:t>, with the further leakage</w:t>
      </w:r>
      <w:r w:rsidR="00E331E9">
        <w:rPr>
          <w:lang w:val="en-GB"/>
        </w:rPr>
        <w:t>.</w:t>
      </w:r>
    </w:p>
    <w:p w14:paraId="61325D7F" w14:textId="23EECBD1" w:rsidR="00CD6E8A" w:rsidRDefault="00CD6E8A" w:rsidP="00CD6E8A">
      <w:pPr>
        <w:pStyle w:val="CETBodytext"/>
        <w:rPr>
          <w:lang w:val="en-GB"/>
        </w:rPr>
      </w:pPr>
      <w:r>
        <w:rPr>
          <w:lang w:val="en-GB"/>
        </w:rPr>
        <w:t>A simplified model for a generic refuelling station was considered</w:t>
      </w:r>
      <w:r w:rsidR="00AD2D93">
        <w:rPr>
          <w:lang w:val="en-GB"/>
        </w:rPr>
        <w:t>, and it includes the area for the storage</w:t>
      </w:r>
      <w:r w:rsidR="00954C00">
        <w:rPr>
          <w:lang w:val="en-GB"/>
        </w:rPr>
        <w:t xml:space="preserve">, </w:t>
      </w:r>
      <w:r w:rsidR="00AD2D93">
        <w:rPr>
          <w:lang w:val="en-GB"/>
        </w:rPr>
        <w:t xml:space="preserve">the area for the dispensers and </w:t>
      </w:r>
      <w:r w:rsidR="00881D5C">
        <w:rPr>
          <w:lang w:val="en-GB"/>
        </w:rPr>
        <w:t>the shop</w:t>
      </w:r>
      <w:r>
        <w:rPr>
          <w:lang w:val="en-GB"/>
        </w:rPr>
        <w:t xml:space="preserve">. </w:t>
      </w:r>
      <w:r w:rsidR="00881D5C">
        <w:rPr>
          <w:lang w:val="en-GB"/>
        </w:rPr>
        <w:t>For thi</w:t>
      </w:r>
      <w:r w:rsidR="00E16D49">
        <w:rPr>
          <w:lang w:val="en-GB"/>
        </w:rPr>
        <w:t>s analysis, it was assumed t</w:t>
      </w:r>
      <w:r w:rsidR="00FD3913">
        <w:rPr>
          <w:lang w:val="en-GB"/>
        </w:rPr>
        <w:t xml:space="preserve">hat the LPG discharge from the tank </w:t>
      </w:r>
      <w:r w:rsidR="00150FA0">
        <w:rPr>
          <w:lang w:val="en-GB"/>
        </w:rPr>
        <w:t>occurred in the area</w:t>
      </w:r>
      <w:r w:rsidR="00FD3913">
        <w:rPr>
          <w:lang w:val="en-GB"/>
        </w:rPr>
        <w:t xml:space="preserve"> close to the shop</w:t>
      </w:r>
      <w:r w:rsidR="00687193">
        <w:rPr>
          <w:lang w:val="en-GB"/>
        </w:rPr>
        <w:t xml:space="preserve">, </w:t>
      </w:r>
      <w:r w:rsidR="008F3D9A">
        <w:rPr>
          <w:lang w:val="en-GB"/>
        </w:rPr>
        <w:t>to</w:t>
      </w:r>
      <w:r w:rsidR="001B133F">
        <w:rPr>
          <w:lang w:val="en-GB"/>
        </w:rPr>
        <w:t xml:space="preserve"> consider a worse scenario for the safety of the people present in the store.</w:t>
      </w:r>
      <w:r w:rsidR="0052432C">
        <w:rPr>
          <w:lang w:val="en-GB"/>
        </w:rPr>
        <w:t xml:space="preserve"> </w:t>
      </w:r>
      <w:r w:rsidR="009F68A4">
        <w:rPr>
          <w:lang w:val="en-GB"/>
        </w:rPr>
        <w:t xml:space="preserve">The distance between the leakage and the </w:t>
      </w:r>
      <w:r w:rsidR="00AF20DF">
        <w:rPr>
          <w:lang w:val="en-GB"/>
        </w:rPr>
        <w:t>area of</w:t>
      </w:r>
      <w:r w:rsidR="00EC2B95">
        <w:rPr>
          <w:lang w:val="en-GB"/>
        </w:rPr>
        <w:t xml:space="preserve"> the store and dispensers</w:t>
      </w:r>
      <w:r w:rsidR="009F68A4">
        <w:rPr>
          <w:lang w:val="en-GB"/>
        </w:rPr>
        <w:t xml:space="preserve"> </w:t>
      </w:r>
      <w:r w:rsidR="009F68A4" w:rsidRPr="7FE7BADA">
        <w:rPr>
          <w:lang w:val="en-GB"/>
        </w:rPr>
        <w:t>was</w:t>
      </w:r>
      <w:r w:rsidR="009F68A4">
        <w:rPr>
          <w:lang w:val="en-GB"/>
        </w:rPr>
        <w:t xml:space="preserve"> set at 20 m.</w:t>
      </w:r>
      <w:r w:rsidR="00E7218C">
        <w:rPr>
          <w:lang w:val="en-GB"/>
        </w:rPr>
        <w:t xml:space="preserve"> </w:t>
      </w:r>
      <w:r w:rsidR="00012530">
        <w:rPr>
          <w:lang w:val="en-GB"/>
        </w:rPr>
        <w:t xml:space="preserve">Only the </w:t>
      </w:r>
      <w:r w:rsidR="00132F35">
        <w:rPr>
          <w:lang w:val="en-GB"/>
        </w:rPr>
        <w:t>environment above the ground was considered a</w:t>
      </w:r>
      <w:r w:rsidR="00F425AA">
        <w:rPr>
          <w:lang w:val="en-GB"/>
        </w:rPr>
        <w:t>s</w:t>
      </w:r>
      <w:r w:rsidR="00132F35">
        <w:rPr>
          <w:lang w:val="en-GB"/>
        </w:rPr>
        <w:t xml:space="preserve"> domain and built as a box</w:t>
      </w:r>
      <w:r w:rsidR="00154667">
        <w:rPr>
          <w:lang w:val="en-GB"/>
        </w:rPr>
        <w:t xml:space="preserve"> of dimensions 200x300x100 m</w:t>
      </w:r>
      <w:r w:rsidR="00154667" w:rsidRPr="00154667">
        <w:rPr>
          <w:vertAlign w:val="superscript"/>
          <w:lang w:val="en-GB"/>
        </w:rPr>
        <w:t>3</w:t>
      </w:r>
      <w:r w:rsidR="0017417C">
        <w:rPr>
          <w:lang w:val="en-GB"/>
        </w:rPr>
        <w:t>.</w:t>
      </w:r>
      <w:r w:rsidR="00132F35">
        <w:rPr>
          <w:lang w:val="en-GB"/>
        </w:rPr>
        <w:t xml:space="preserve"> In this way, the </w:t>
      </w:r>
      <w:r w:rsidR="00161338">
        <w:rPr>
          <w:lang w:val="en-GB"/>
        </w:rPr>
        <w:t>leakage</w:t>
      </w:r>
      <w:r w:rsidR="00132F35">
        <w:rPr>
          <w:lang w:val="en-GB"/>
        </w:rPr>
        <w:t xml:space="preserve"> of LPG</w:t>
      </w:r>
      <w:r w:rsidR="000F5A4B">
        <w:rPr>
          <w:lang w:val="en-GB"/>
        </w:rPr>
        <w:t xml:space="preserve"> </w:t>
      </w:r>
      <w:r w:rsidR="00F425AA">
        <w:rPr>
          <w:lang w:val="en-GB"/>
        </w:rPr>
        <w:t>was set to occur</w:t>
      </w:r>
      <w:r w:rsidR="000F5A4B">
        <w:rPr>
          <w:lang w:val="en-GB"/>
        </w:rPr>
        <w:t xml:space="preserve"> from a hole from the ground</w:t>
      </w:r>
      <w:r w:rsidR="00161338">
        <w:rPr>
          <w:lang w:val="en-GB"/>
        </w:rPr>
        <w:t>.</w:t>
      </w:r>
      <w:r w:rsidR="00145310">
        <w:rPr>
          <w:lang w:val="en-GB"/>
        </w:rPr>
        <w:t xml:space="preserve"> </w:t>
      </w:r>
      <w:r w:rsidR="00ED7AD1">
        <w:rPr>
          <w:lang w:val="en-GB"/>
        </w:rPr>
        <w:t>Also,</w:t>
      </w:r>
      <w:r w:rsidR="00A10265">
        <w:rPr>
          <w:lang w:val="en-GB"/>
        </w:rPr>
        <w:t xml:space="preserve"> the presence of wind was considered in the domain, and was </w:t>
      </w:r>
      <w:r w:rsidR="00B20DE8">
        <w:rPr>
          <w:lang w:val="en-GB"/>
        </w:rPr>
        <w:t xml:space="preserve">set as power law </w:t>
      </w:r>
      <w:r w:rsidR="00B91555">
        <w:rPr>
          <w:lang w:val="en-GB"/>
        </w:rPr>
        <w:t>using the parameters of the atmospheric class D</w:t>
      </w:r>
      <w:r w:rsidR="00F6044D">
        <w:rPr>
          <w:lang w:val="en-GB"/>
        </w:rPr>
        <w:t xml:space="preserve">, which is </w:t>
      </w:r>
      <w:r w:rsidR="39BCBE42" w:rsidRPr="4F81448D">
        <w:rPr>
          <w:lang w:val="en-GB"/>
        </w:rPr>
        <w:t xml:space="preserve">one of </w:t>
      </w:r>
      <w:r w:rsidR="00F6044D" w:rsidRPr="4F81448D">
        <w:rPr>
          <w:lang w:val="en-GB"/>
        </w:rPr>
        <w:t>the</w:t>
      </w:r>
      <w:r w:rsidR="00F6044D">
        <w:rPr>
          <w:lang w:val="en-GB"/>
        </w:rPr>
        <w:t xml:space="preserve"> </w:t>
      </w:r>
      <w:r w:rsidR="00F6044D" w:rsidRPr="242BF018">
        <w:rPr>
          <w:lang w:val="en-GB"/>
        </w:rPr>
        <w:t>class</w:t>
      </w:r>
      <w:r w:rsidR="2ED8B904" w:rsidRPr="242BF018">
        <w:rPr>
          <w:lang w:val="en-GB"/>
        </w:rPr>
        <w:t>es</w:t>
      </w:r>
      <w:r w:rsidR="00F6044D" w:rsidRPr="242BF018">
        <w:rPr>
          <w:lang w:val="en-GB"/>
        </w:rPr>
        <w:t xml:space="preserve"> </w:t>
      </w:r>
      <w:r w:rsidR="0812EC4E" w:rsidRPr="6207C75F">
        <w:rPr>
          <w:lang w:val="en-GB"/>
        </w:rPr>
        <w:t xml:space="preserve">usually </w:t>
      </w:r>
      <w:r w:rsidR="00F6044D" w:rsidRPr="6207C75F">
        <w:rPr>
          <w:lang w:val="en-GB"/>
        </w:rPr>
        <w:t>used</w:t>
      </w:r>
      <w:r w:rsidR="00F6044D">
        <w:rPr>
          <w:lang w:val="en-GB"/>
        </w:rPr>
        <w:t xml:space="preserve"> for the environmental assessments of accidental leakage scenarios</w:t>
      </w:r>
      <w:r w:rsidR="6220A648" w:rsidRPr="4FFBD3C7">
        <w:rPr>
          <w:lang w:val="en-GB"/>
        </w:rPr>
        <w:t xml:space="preserve"> </w:t>
      </w:r>
      <w:r w:rsidR="00A95CED" w:rsidRPr="00A95CED">
        <w:rPr>
          <w:lang w:val="en-GB"/>
        </w:rPr>
        <w:t>Ministry of the Environment</w:t>
      </w:r>
      <w:r w:rsidR="009C1657">
        <w:rPr>
          <w:lang w:val="en-GB"/>
        </w:rPr>
        <w:t xml:space="preserve">, Italy, </w:t>
      </w:r>
      <w:r w:rsidR="00A95CED" w:rsidRPr="00A95CED">
        <w:rPr>
          <w:lang w:val="en-GB"/>
        </w:rPr>
        <w:t>1996</w:t>
      </w:r>
      <w:r w:rsidR="6220A648" w:rsidRPr="2CBA7320">
        <w:rPr>
          <w:lang w:val="en-GB"/>
        </w:rPr>
        <w:t>)</w:t>
      </w:r>
      <w:r w:rsidR="00B91555" w:rsidRPr="2CBA7320">
        <w:rPr>
          <w:lang w:val="en-GB"/>
        </w:rPr>
        <w:t>.</w:t>
      </w:r>
      <w:r w:rsidR="00B91555">
        <w:rPr>
          <w:lang w:val="en-GB"/>
        </w:rPr>
        <w:t xml:space="preserve"> </w:t>
      </w:r>
      <w:r w:rsidR="00406B72">
        <w:rPr>
          <w:lang w:val="en-GB"/>
        </w:rPr>
        <w:t>The same model was used for the simulation of the accidental release of hydrogen instead of LPG</w:t>
      </w:r>
      <w:r w:rsidR="005C69D7">
        <w:rPr>
          <w:lang w:val="en-GB"/>
        </w:rPr>
        <w:t>.</w:t>
      </w:r>
    </w:p>
    <w:p w14:paraId="06785F66" w14:textId="35FBE71E" w:rsidR="0017417C" w:rsidRDefault="0017417C" w:rsidP="00CD6E8A">
      <w:pPr>
        <w:pStyle w:val="CETBodytext"/>
        <w:rPr>
          <w:lang w:val="en-GB"/>
        </w:rPr>
      </w:pPr>
      <w:r>
        <w:rPr>
          <w:lang w:val="en-GB"/>
        </w:rPr>
        <w:t>Figure 1</w:t>
      </w:r>
      <w:r w:rsidR="00783646">
        <w:rPr>
          <w:lang w:val="en-GB"/>
        </w:rPr>
        <w:t xml:space="preserve"> show</w:t>
      </w:r>
      <w:r w:rsidR="006C53EF">
        <w:rPr>
          <w:lang w:val="en-GB"/>
        </w:rPr>
        <w:t>s</w:t>
      </w:r>
      <w:r w:rsidR="00783646">
        <w:rPr>
          <w:lang w:val="en-GB"/>
        </w:rPr>
        <w:t xml:space="preserve"> the </w:t>
      </w:r>
      <w:r w:rsidR="00FB6C1A">
        <w:rPr>
          <w:lang w:val="en-GB"/>
        </w:rPr>
        <w:t>geometric model</w:t>
      </w:r>
      <w:r w:rsidR="00A84D40">
        <w:rPr>
          <w:lang w:val="en-GB"/>
        </w:rPr>
        <w:t xml:space="preserve"> used for the CFD simulations</w:t>
      </w:r>
      <w:r w:rsidR="00001DAD">
        <w:rPr>
          <w:lang w:val="en-GB"/>
        </w:rPr>
        <w:t>.</w:t>
      </w:r>
    </w:p>
    <w:p w14:paraId="5333DD06" w14:textId="77777777" w:rsidR="002F4F2F" w:rsidRDefault="002F4F2F" w:rsidP="00CD6E8A">
      <w:pPr>
        <w:pStyle w:val="CETBodytext"/>
        <w:rPr>
          <w:lang w:val="en-GB"/>
        </w:rPr>
      </w:pPr>
    </w:p>
    <w:p w14:paraId="1C4D6B8A" w14:textId="057094AA" w:rsidR="00783646" w:rsidRDefault="00CC12C1" w:rsidP="00BD753F">
      <w:pPr>
        <w:pStyle w:val="CETBodytext"/>
        <w:keepNext/>
      </w:pPr>
      <w:r w:rsidRPr="00CC12C1">
        <w:rPr>
          <w:noProof/>
        </w:rPr>
        <w:drawing>
          <wp:inline distT="0" distB="0" distL="0" distR="0" wp14:anchorId="7E5C6417" wp14:editId="148D7783">
            <wp:extent cx="3048000" cy="1679227"/>
            <wp:effectExtent l="0" t="0" r="0" b="0"/>
            <wp:docPr id="931593235" name="Immagine 1" descr="Immagine che contiene testo, Proprietà materiale, viola, ros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93235" name="Immagine 1" descr="Immagine che contiene testo, Proprietà materiale, viola, rosa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7877" cy="169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043036" w:rsidRPr="00043036">
        <w:rPr>
          <w:noProof/>
        </w:rPr>
        <w:drawing>
          <wp:inline distT="0" distB="0" distL="0" distR="0" wp14:anchorId="4B04040A" wp14:editId="01267541">
            <wp:extent cx="2486025" cy="1719026"/>
            <wp:effectExtent l="0" t="0" r="0" b="0"/>
            <wp:docPr id="624923442" name="Immagine 1" descr="Immagine che contiene testo, schermata, schermo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23442" name="Immagine 1" descr="Immagine che contiene testo, schermata, schermo, diagramma&#10;&#10;Il contenuto generato dall'IA potrebbe non essere corret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3262" cy="172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16DB2" w14:textId="52D87785" w:rsidR="00BD753F" w:rsidRDefault="00E76A65" w:rsidP="00E76A65">
      <w:pPr>
        <w:pStyle w:val="CETBodytext"/>
        <w:keepNext/>
        <w:numPr>
          <w:ilvl w:val="0"/>
          <w:numId w:val="23"/>
        </w:numPr>
      </w:pPr>
      <w:r>
        <w:t xml:space="preserve">                                                                   (b)</w:t>
      </w:r>
    </w:p>
    <w:p w14:paraId="74FDDAD1" w14:textId="77777777" w:rsidR="00E76A65" w:rsidRDefault="00E76A65" w:rsidP="00CD6E8A">
      <w:pPr>
        <w:pStyle w:val="CETBodytext"/>
        <w:rPr>
          <w:rStyle w:val="CETCaptionCarattere"/>
          <w:lang w:val="en-US"/>
        </w:rPr>
      </w:pPr>
    </w:p>
    <w:p w14:paraId="425EE574" w14:textId="1046537F" w:rsidR="00110030" w:rsidRDefault="008E2172" w:rsidP="00CD6E8A">
      <w:pPr>
        <w:pStyle w:val="CETBodytext"/>
        <w:rPr>
          <w:rStyle w:val="CETCaptionCarattere"/>
          <w:lang w:val="en-US"/>
        </w:rPr>
      </w:pPr>
      <w:r w:rsidRPr="5187DB93">
        <w:rPr>
          <w:rStyle w:val="CETCaptionCarattere"/>
          <w:lang w:val="en-US"/>
        </w:rPr>
        <w:t xml:space="preserve">Figure 1: </w:t>
      </w:r>
      <w:r w:rsidR="004338A6" w:rsidRPr="5187DB93">
        <w:rPr>
          <w:rStyle w:val="CETCaptionCarattere"/>
          <w:lang w:val="en-US"/>
        </w:rPr>
        <w:t xml:space="preserve">(a) </w:t>
      </w:r>
      <w:r w:rsidRPr="5187DB93">
        <w:rPr>
          <w:rStyle w:val="CETCaptionCarattere"/>
          <w:lang w:val="en-US"/>
        </w:rPr>
        <w:t>Close up on the ge</w:t>
      </w:r>
      <w:r w:rsidR="00A963D5" w:rsidRPr="5187DB93">
        <w:rPr>
          <w:rStyle w:val="CETCaptionCarattere"/>
          <w:lang w:val="en-US"/>
        </w:rPr>
        <w:t xml:space="preserve">ometric model for the CFD simulations with the measures of the box and the </w:t>
      </w:r>
      <w:r w:rsidR="00093EE6" w:rsidRPr="5187DB93">
        <w:rPr>
          <w:rStyle w:val="CETCaptionCarattere"/>
          <w:lang w:val="en-US"/>
        </w:rPr>
        <w:t xml:space="preserve">elements </w:t>
      </w:r>
      <w:r w:rsidR="00093EE6" w:rsidRPr="004338A6">
        <w:rPr>
          <w:rStyle w:val="CETCaptionCarattere"/>
          <w:lang w:val="en-US"/>
        </w:rPr>
        <w:t>and</w:t>
      </w:r>
      <w:r w:rsidR="004338A6" w:rsidRPr="5187DB93">
        <w:rPr>
          <w:rStyle w:val="CETCaptionCarattere"/>
          <w:lang w:val="en-US"/>
        </w:rPr>
        <w:t xml:space="preserve"> (b)</w:t>
      </w:r>
      <w:r w:rsidR="004338A6">
        <w:rPr>
          <w:rStyle w:val="CETCaptionCarattere"/>
          <w:lang w:val="en-US"/>
        </w:rPr>
        <w:t xml:space="preserve"> </w:t>
      </w:r>
      <w:r w:rsidR="0064093E" w:rsidRPr="5187DB93">
        <w:rPr>
          <w:rStyle w:val="CETCaptionCarattere"/>
          <w:lang w:val="en-US"/>
        </w:rPr>
        <w:t>leakage position</w:t>
      </w:r>
      <w:r w:rsidR="001E5855" w:rsidRPr="5187DB93">
        <w:rPr>
          <w:rStyle w:val="CETCaptionCarattere"/>
          <w:lang w:val="en-US"/>
        </w:rPr>
        <w:t>.</w:t>
      </w:r>
    </w:p>
    <w:p w14:paraId="3E01D765" w14:textId="77777777" w:rsidR="00F6755A" w:rsidRDefault="00F6755A" w:rsidP="00CD6E8A">
      <w:pPr>
        <w:pStyle w:val="CETBodytext"/>
        <w:rPr>
          <w:lang w:val="en-GB"/>
        </w:rPr>
      </w:pPr>
    </w:p>
    <w:p w14:paraId="51BA16FF" w14:textId="15FAAE8A" w:rsidR="00E52CDB" w:rsidRDefault="0098471E" w:rsidP="00CD6E8A">
      <w:pPr>
        <w:pStyle w:val="CETBodytext"/>
        <w:rPr>
          <w:lang w:val="en-GB"/>
        </w:rPr>
      </w:pPr>
      <w:r>
        <w:rPr>
          <w:lang w:val="en-GB"/>
        </w:rPr>
        <w:lastRenderedPageBreak/>
        <w:t xml:space="preserve">It was chosen to simulate </w:t>
      </w:r>
      <w:r w:rsidR="0A14AB17" w:rsidRPr="618952C3">
        <w:rPr>
          <w:lang w:val="en-GB"/>
        </w:rPr>
        <w:t xml:space="preserve">the </w:t>
      </w:r>
      <w:r w:rsidR="0A14AB17" w:rsidRPr="314CE5F2">
        <w:rPr>
          <w:lang w:val="en-GB"/>
        </w:rPr>
        <w:t>first</w:t>
      </w:r>
      <w:r>
        <w:rPr>
          <w:lang w:val="en-GB"/>
        </w:rPr>
        <w:t xml:space="preserve"> 60 s</w:t>
      </w:r>
      <w:r w:rsidR="003C52F0">
        <w:rPr>
          <w:lang w:val="en-GB"/>
        </w:rPr>
        <w:t>econds</w:t>
      </w:r>
      <w:r w:rsidR="6B36E61D" w:rsidRPr="4EEE5DC0">
        <w:rPr>
          <w:lang w:val="en-GB"/>
        </w:rPr>
        <w:t xml:space="preserve"> of the release</w:t>
      </w:r>
      <w:r w:rsidR="003C52F0">
        <w:rPr>
          <w:lang w:val="en-GB"/>
        </w:rPr>
        <w:t xml:space="preserve"> to analyse the difference between the</w:t>
      </w:r>
      <w:r w:rsidR="00C9127D">
        <w:rPr>
          <w:lang w:val="en-GB"/>
        </w:rPr>
        <w:t xml:space="preserve"> </w:t>
      </w:r>
      <w:r w:rsidR="003C52F0">
        <w:rPr>
          <w:lang w:val="en-GB"/>
        </w:rPr>
        <w:t xml:space="preserve">LPG </w:t>
      </w:r>
      <w:r w:rsidR="00D81AF0">
        <w:rPr>
          <w:lang w:val="en-GB"/>
        </w:rPr>
        <w:t>and</w:t>
      </w:r>
      <w:r w:rsidR="003C52F0">
        <w:rPr>
          <w:lang w:val="en-GB"/>
        </w:rPr>
        <w:t xml:space="preserve"> hydrogen behaviours</w:t>
      </w:r>
      <w:r w:rsidR="00A324B0">
        <w:rPr>
          <w:lang w:val="en-GB"/>
        </w:rPr>
        <w:t>, s</w:t>
      </w:r>
      <w:r w:rsidR="005453DD">
        <w:rPr>
          <w:lang w:val="en-GB"/>
        </w:rPr>
        <w:t xml:space="preserve">ince </w:t>
      </w:r>
      <w:r w:rsidR="0041055C">
        <w:rPr>
          <w:lang w:val="en-GB"/>
        </w:rPr>
        <w:t xml:space="preserve">it was </w:t>
      </w:r>
      <w:r w:rsidR="00430B7B">
        <w:rPr>
          <w:lang w:val="en-GB"/>
        </w:rPr>
        <w:t xml:space="preserve">asserted that the event </w:t>
      </w:r>
      <w:r w:rsidR="00D4556A">
        <w:rPr>
          <w:lang w:val="en-GB"/>
        </w:rPr>
        <w:t xml:space="preserve">generated was a BLEVE, </w:t>
      </w:r>
      <w:r w:rsidR="00327E13">
        <w:rPr>
          <w:lang w:val="en-GB"/>
        </w:rPr>
        <w:t xml:space="preserve">which is typical </w:t>
      </w:r>
      <w:r w:rsidR="00360B1D">
        <w:rPr>
          <w:lang w:val="en-GB"/>
        </w:rPr>
        <w:t>for being an abrupt event.</w:t>
      </w:r>
    </w:p>
    <w:p w14:paraId="0C75B07B" w14:textId="499B0C9A" w:rsidR="0098471E" w:rsidRDefault="004C2A01" w:rsidP="00CD6E8A">
      <w:pPr>
        <w:pStyle w:val="CETBodytext"/>
        <w:rPr>
          <w:lang w:val="en-GB"/>
        </w:rPr>
      </w:pPr>
      <w:r>
        <w:rPr>
          <w:lang w:val="en-GB"/>
        </w:rPr>
        <w:t xml:space="preserve">Table </w:t>
      </w:r>
      <w:r w:rsidR="006B003B">
        <w:rPr>
          <w:lang w:val="en-GB"/>
        </w:rPr>
        <w:t>1</w:t>
      </w:r>
      <w:r w:rsidR="00DE568D">
        <w:rPr>
          <w:lang w:val="en-GB"/>
        </w:rPr>
        <w:t xml:space="preserve"> reports the </w:t>
      </w:r>
      <w:r w:rsidR="000C476E">
        <w:rPr>
          <w:lang w:val="en-GB"/>
        </w:rPr>
        <w:t xml:space="preserve">mass flux, the diameter of the surface of discharge and the composition of the </w:t>
      </w:r>
      <w:r w:rsidR="00ED192F">
        <w:rPr>
          <w:lang w:val="en-GB"/>
        </w:rPr>
        <w:t xml:space="preserve">two </w:t>
      </w:r>
      <w:r w:rsidR="000C476E">
        <w:rPr>
          <w:lang w:val="en-GB"/>
        </w:rPr>
        <w:t>discharge</w:t>
      </w:r>
      <w:r w:rsidR="00ED192F">
        <w:rPr>
          <w:lang w:val="en-GB"/>
        </w:rPr>
        <w:t>s</w:t>
      </w:r>
      <w:r w:rsidR="000C476E">
        <w:rPr>
          <w:lang w:val="en-GB"/>
        </w:rPr>
        <w:t>, which were set in Ansys Fluent for the CFD simulation</w:t>
      </w:r>
      <w:r w:rsidR="00DE568D">
        <w:rPr>
          <w:lang w:val="en-GB"/>
        </w:rPr>
        <w:t>.</w:t>
      </w:r>
      <w:r w:rsidR="005671B2">
        <w:rPr>
          <w:lang w:val="en-GB"/>
        </w:rPr>
        <w:t xml:space="preserve"> </w:t>
      </w:r>
      <w:r w:rsidR="006478B8">
        <w:rPr>
          <w:lang w:val="en-GB"/>
        </w:rPr>
        <w:t xml:space="preserve">A hole of 2 inches </w:t>
      </w:r>
      <w:r w:rsidR="00CA06A1">
        <w:rPr>
          <w:lang w:val="en-GB"/>
        </w:rPr>
        <w:t xml:space="preserve">was set as leakage diameter. </w:t>
      </w:r>
      <w:r w:rsidR="00BC3DEA">
        <w:rPr>
          <w:lang w:val="en-GB"/>
        </w:rPr>
        <w:t>The values of mass flux and equivalent diamete</w:t>
      </w:r>
      <w:r w:rsidR="00CA06A1">
        <w:rPr>
          <w:lang w:val="en-GB"/>
        </w:rPr>
        <w:t>r reported in the table</w:t>
      </w:r>
      <w:r w:rsidR="00BC3DEA">
        <w:rPr>
          <w:lang w:val="en-GB"/>
        </w:rPr>
        <w:t xml:space="preserve"> were estimated with </w:t>
      </w:r>
      <w:r w:rsidR="0013367C">
        <w:rPr>
          <w:lang w:val="en-GB"/>
        </w:rPr>
        <w:t>the Birch correlation</w:t>
      </w:r>
      <w:r w:rsidR="0013367C" w:rsidRPr="00ED192F">
        <w:rPr>
          <w:lang w:val="en-GB"/>
        </w:rPr>
        <w:t xml:space="preserve"> </w:t>
      </w:r>
      <w:r w:rsidR="0013367C">
        <w:rPr>
          <w:lang w:val="en-GB"/>
        </w:rPr>
        <w:t>for the expanded nozzle theory</w:t>
      </w:r>
      <w:r w:rsidR="00BD7E19">
        <w:rPr>
          <w:lang w:val="en-GB"/>
        </w:rPr>
        <w:t xml:space="preserve"> (Birch</w:t>
      </w:r>
      <w:r w:rsidR="004A710B">
        <w:rPr>
          <w:lang w:val="en-GB"/>
        </w:rPr>
        <w:t xml:space="preserve"> et al., 1987)</w:t>
      </w:r>
      <w:r w:rsidR="0013367C">
        <w:rPr>
          <w:lang w:val="en-GB"/>
        </w:rPr>
        <w:t xml:space="preserve">, </w:t>
      </w:r>
      <w:r w:rsidR="00D06BD3">
        <w:rPr>
          <w:lang w:val="en-GB"/>
        </w:rPr>
        <w:t>considering</w:t>
      </w:r>
      <w:r w:rsidR="0013367C">
        <w:rPr>
          <w:lang w:val="en-GB"/>
        </w:rPr>
        <w:t xml:space="preserve"> the storage and discharge chemical and physical properties </w:t>
      </w:r>
      <w:r w:rsidR="00F20448">
        <w:rPr>
          <w:lang w:val="en-GB"/>
        </w:rPr>
        <w:t xml:space="preserve">typical </w:t>
      </w:r>
      <w:r w:rsidR="0F141E80" w:rsidRPr="594F96C1">
        <w:rPr>
          <w:lang w:val="en-GB"/>
        </w:rPr>
        <w:t xml:space="preserve">of </w:t>
      </w:r>
      <w:r w:rsidR="00F20448" w:rsidRPr="594F96C1">
        <w:rPr>
          <w:lang w:val="en-GB"/>
        </w:rPr>
        <w:t>storage</w:t>
      </w:r>
      <w:r w:rsidR="00F20448">
        <w:rPr>
          <w:lang w:val="en-GB"/>
        </w:rPr>
        <w:t xml:space="preserve"> conditions of the two fuels</w:t>
      </w:r>
      <w:r w:rsidR="00ED192F">
        <w:rPr>
          <w:lang w:val="en-GB"/>
        </w:rPr>
        <w:t xml:space="preserve"> </w:t>
      </w:r>
      <w:r w:rsidR="004823BB">
        <w:rPr>
          <w:lang w:val="en-GB"/>
        </w:rPr>
        <w:t>(</w:t>
      </w:r>
      <w:r w:rsidR="00F20448">
        <w:rPr>
          <w:lang w:val="en-GB"/>
        </w:rPr>
        <w:t>5 bar for LPG and 200 bar for hydrogen</w:t>
      </w:r>
      <w:r w:rsidR="004823BB">
        <w:rPr>
          <w:lang w:val="en-GB"/>
        </w:rPr>
        <w:t>)</w:t>
      </w:r>
      <w:r w:rsidR="00E9584C">
        <w:rPr>
          <w:lang w:val="en-GB"/>
        </w:rPr>
        <w:t xml:space="preserve">, as mentioned in </w:t>
      </w:r>
      <w:r w:rsidR="7DD042B7" w:rsidRPr="30978E45">
        <w:rPr>
          <w:lang w:val="en-GB"/>
        </w:rPr>
        <w:t xml:space="preserve">the </w:t>
      </w:r>
      <w:r w:rsidR="7DD042B7" w:rsidRPr="339DE47D">
        <w:rPr>
          <w:lang w:val="en-GB"/>
        </w:rPr>
        <w:t>Introduction</w:t>
      </w:r>
      <w:r w:rsidR="00E9584C" w:rsidRPr="339DE47D">
        <w:rPr>
          <w:lang w:val="en-GB"/>
        </w:rPr>
        <w:t>.</w:t>
      </w:r>
      <w:r w:rsidR="00B66327">
        <w:rPr>
          <w:lang w:val="en-GB"/>
        </w:rPr>
        <w:t xml:space="preserve"> </w:t>
      </w:r>
      <w:r w:rsidR="00884727">
        <w:rPr>
          <w:lang w:val="en-GB"/>
        </w:rPr>
        <w:t xml:space="preserve">These two different storage conditions imply that the </w:t>
      </w:r>
      <w:r w:rsidR="00FF7775">
        <w:rPr>
          <w:lang w:val="en-GB"/>
        </w:rPr>
        <w:t xml:space="preserve">release of hydrogen </w:t>
      </w:r>
      <w:r w:rsidR="0013367C">
        <w:rPr>
          <w:lang w:val="en-GB"/>
        </w:rPr>
        <w:t>will occur at</w:t>
      </w:r>
      <w:r w:rsidR="008D5D58">
        <w:rPr>
          <w:lang w:val="en-GB"/>
        </w:rPr>
        <w:t xml:space="preserve"> </w:t>
      </w:r>
      <w:r w:rsidR="3CAB068C" w:rsidRPr="714901AC">
        <w:rPr>
          <w:lang w:val="en-GB"/>
        </w:rPr>
        <w:t xml:space="preserve">a </w:t>
      </w:r>
      <w:r w:rsidR="3CAB068C" w:rsidRPr="65ED9956">
        <w:rPr>
          <w:lang w:val="en-GB"/>
        </w:rPr>
        <w:t>sensibly higher pressure</w:t>
      </w:r>
      <w:r w:rsidR="00730422">
        <w:rPr>
          <w:lang w:val="en-GB"/>
        </w:rPr>
        <w:t xml:space="preserve">, </w:t>
      </w:r>
      <w:r w:rsidR="009670B7">
        <w:rPr>
          <w:lang w:val="en-GB"/>
        </w:rPr>
        <w:t xml:space="preserve">which corresponds to </w:t>
      </w:r>
      <w:r w:rsidR="0099595A">
        <w:rPr>
          <w:lang w:val="en-GB"/>
        </w:rPr>
        <w:t>a</w:t>
      </w:r>
      <w:r w:rsidR="009670B7">
        <w:rPr>
          <w:lang w:val="en-GB"/>
        </w:rPr>
        <w:t xml:space="preserve"> higher mass flux and equivalent diameter, </w:t>
      </w:r>
      <w:r w:rsidR="00730422">
        <w:rPr>
          <w:lang w:val="en-GB"/>
        </w:rPr>
        <w:t>resulting in a more catastrophic scenario</w:t>
      </w:r>
      <w:r w:rsidR="02792E7E" w:rsidRPr="08329ECF">
        <w:rPr>
          <w:lang w:val="en-GB"/>
        </w:rPr>
        <w:t xml:space="preserve">, further </w:t>
      </w:r>
      <w:r w:rsidR="02792E7E" w:rsidRPr="653B080E">
        <w:rPr>
          <w:lang w:val="en-GB"/>
        </w:rPr>
        <w:t xml:space="preserve">enhanced </w:t>
      </w:r>
      <w:r w:rsidR="02792E7E" w:rsidRPr="3B98590A">
        <w:rPr>
          <w:lang w:val="en-GB"/>
        </w:rPr>
        <w:t xml:space="preserve">by the larger limits of </w:t>
      </w:r>
      <w:r w:rsidR="02792E7E" w:rsidRPr="68B03D9A">
        <w:rPr>
          <w:lang w:val="en-GB"/>
        </w:rPr>
        <w:t>flammability</w:t>
      </w:r>
      <w:r w:rsidR="00730422" w:rsidRPr="08329ECF">
        <w:rPr>
          <w:lang w:val="en-GB"/>
        </w:rPr>
        <w:t>.</w:t>
      </w:r>
      <w:r w:rsidR="00855E64">
        <w:rPr>
          <w:lang w:val="en-GB"/>
        </w:rPr>
        <w:t xml:space="preserve"> </w:t>
      </w:r>
    </w:p>
    <w:p w14:paraId="3CD5DB9D" w14:textId="5F68C3A4" w:rsidR="006B003B" w:rsidRPr="00B57B36" w:rsidRDefault="006B003B" w:rsidP="006B003B">
      <w:pPr>
        <w:pStyle w:val="CETTabletitle"/>
      </w:pPr>
      <w:r w:rsidRPr="00B57B36">
        <w:t xml:space="preserve">Table </w:t>
      </w:r>
      <w:r>
        <w:t>1</w:t>
      </w:r>
      <w:r w:rsidRPr="00B57B36">
        <w:t xml:space="preserve">: </w:t>
      </w:r>
      <w:r w:rsidR="000C476E">
        <w:t xml:space="preserve">Properties </w:t>
      </w:r>
      <w:r w:rsidR="0277328E">
        <w:t>of the releases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134"/>
        <w:gridCol w:w="1984"/>
        <w:gridCol w:w="993"/>
      </w:tblGrid>
      <w:tr w:rsidR="00937556" w:rsidRPr="00B57B36" w14:paraId="102BBE21" w14:textId="77777777" w:rsidTr="00022A65">
        <w:trPr>
          <w:trHeight w:val="283"/>
        </w:trPr>
        <w:tc>
          <w:tcPr>
            <w:tcW w:w="3119" w:type="dxa"/>
            <w:gridSpan w:val="2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6F585ABF" w14:textId="7F59B8B8" w:rsidR="00856764" w:rsidRDefault="00937556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Hydrogen release</w:t>
            </w:r>
            <w:r w:rsidR="00166DE1">
              <w:rPr>
                <w:lang w:val="en-GB"/>
              </w:rPr>
              <w:t xml:space="preserve"> simulation</w:t>
            </w:r>
          </w:p>
          <w:p w14:paraId="66DBD176" w14:textId="23257F1F" w:rsidR="00937556" w:rsidRPr="00B57B36" w:rsidRDefault="00856764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(mixture of hydrogen and air)</w:t>
            </w:r>
            <w:r w:rsidR="005671B2">
              <w:rPr>
                <w:lang w:val="en-GB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0CFBC4DA" w14:textId="11930430" w:rsidR="00937556" w:rsidRDefault="00022A65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LPG release</w:t>
            </w:r>
            <w:r w:rsidR="00166DE1">
              <w:rPr>
                <w:rFonts w:cs="Arial"/>
                <w:szCs w:val="18"/>
                <w:lang w:val="en-GB"/>
              </w:rPr>
              <w:t xml:space="preserve"> simulation</w:t>
            </w:r>
          </w:p>
          <w:p w14:paraId="7CBA3FBA" w14:textId="51BDE050" w:rsidR="00856764" w:rsidRPr="00B57B36" w:rsidRDefault="00856764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(mixture of propane, butane and air)</w:t>
            </w:r>
          </w:p>
        </w:tc>
      </w:tr>
      <w:tr w:rsidR="00044D63" w:rsidRPr="00B57B36" w14:paraId="1F59517B" w14:textId="77777777" w:rsidTr="00044D63">
        <w:trPr>
          <w:trHeight w:val="283"/>
        </w:trPr>
        <w:tc>
          <w:tcPr>
            <w:tcW w:w="1985" w:type="dxa"/>
            <w:shd w:val="clear" w:color="auto" w:fill="FFFFFF"/>
          </w:tcPr>
          <w:p w14:paraId="7929BFB1" w14:textId="6599709E" w:rsidR="00044D63" w:rsidRPr="00B57B36" w:rsidRDefault="00044D63" w:rsidP="00044D63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Mass flux [kg/s]</w:t>
            </w:r>
          </w:p>
        </w:tc>
        <w:tc>
          <w:tcPr>
            <w:tcW w:w="1134" w:type="dxa"/>
            <w:shd w:val="clear" w:color="auto" w:fill="FFFFFF"/>
          </w:tcPr>
          <w:p w14:paraId="51ABE2FC" w14:textId="7276F35A" w:rsidR="00044D63" w:rsidRPr="00B57B36" w:rsidRDefault="00044D63" w:rsidP="00044D63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21.7</w:t>
            </w:r>
          </w:p>
        </w:tc>
        <w:tc>
          <w:tcPr>
            <w:tcW w:w="1984" w:type="dxa"/>
            <w:shd w:val="clear" w:color="auto" w:fill="FFFFFF"/>
          </w:tcPr>
          <w:p w14:paraId="4A2FB6C9" w14:textId="1BA5AC3E" w:rsidR="00044D63" w:rsidRPr="00B57B36" w:rsidRDefault="00044D63" w:rsidP="00044D63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Mass flux [kg/s]</w:t>
            </w:r>
          </w:p>
        </w:tc>
        <w:tc>
          <w:tcPr>
            <w:tcW w:w="993" w:type="dxa"/>
            <w:shd w:val="clear" w:color="auto" w:fill="FFFFFF"/>
          </w:tcPr>
          <w:p w14:paraId="238423AC" w14:textId="6499C81F" w:rsidR="00044D63" w:rsidRPr="00B57B36" w:rsidRDefault="00044D63" w:rsidP="00044D63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2.58</w:t>
            </w:r>
          </w:p>
        </w:tc>
      </w:tr>
      <w:tr w:rsidR="00044D63" w:rsidRPr="00B57B36" w14:paraId="5D745E24" w14:textId="77777777" w:rsidTr="00044D63">
        <w:trPr>
          <w:trHeight w:val="283"/>
        </w:trPr>
        <w:tc>
          <w:tcPr>
            <w:tcW w:w="1985" w:type="dxa"/>
            <w:shd w:val="clear" w:color="auto" w:fill="FFFFFF"/>
          </w:tcPr>
          <w:p w14:paraId="4097A6E9" w14:textId="75F996EB" w:rsidR="00044D63" w:rsidRDefault="00044D63" w:rsidP="00044D63">
            <w:pPr>
              <w:pStyle w:val="CETBodytext"/>
              <w:jc w:val="left"/>
              <w:rPr>
                <w:lang w:val="en-GB"/>
              </w:rPr>
            </w:pPr>
            <w:r>
              <w:rPr>
                <w:lang w:val="en-GB"/>
              </w:rPr>
              <w:t>Equivalent diameter of the hole [cm]</w:t>
            </w:r>
          </w:p>
        </w:tc>
        <w:tc>
          <w:tcPr>
            <w:tcW w:w="1134" w:type="dxa"/>
            <w:shd w:val="clear" w:color="auto" w:fill="FFFFFF"/>
          </w:tcPr>
          <w:p w14:paraId="14EB2093" w14:textId="544C9E77" w:rsidR="00044D63" w:rsidRDefault="00044D63" w:rsidP="00044D63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40.5</w:t>
            </w:r>
          </w:p>
        </w:tc>
        <w:tc>
          <w:tcPr>
            <w:tcW w:w="1984" w:type="dxa"/>
            <w:shd w:val="clear" w:color="auto" w:fill="FFFFFF"/>
          </w:tcPr>
          <w:p w14:paraId="1B4D5868" w14:textId="3DCD9832" w:rsidR="00044D63" w:rsidRDefault="00044D63" w:rsidP="00044D63">
            <w:pPr>
              <w:pStyle w:val="CETBodytext"/>
              <w:jc w:val="left"/>
              <w:rPr>
                <w:lang w:val="en-GB"/>
              </w:rPr>
            </w:pPr>
            <w:r>
              <w:rPr>
                <w:lang w:val="en-GB"/>
              </w:rPr>
              <w:t>Equivalent diameter of the hole [cm]</w:t>
            </w:r>
          </w:p>
        </w:tc>
        <w:tc>
          <w:tcPr>
            <w:tcW w:w="993" w:type="dxa"/>
            <w:shd w:val="clear" w:color="auto" w:fill="FFFFFF"/>
          </w:tcPr>
          <w:p w14:paraId="01455FAF" w14:textId="7D46410F" w:rsidR="00044D63" w:rsidRDefault="005671B2" w:rsidP="00044D63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7</w:t>
            </w:r>
          </w:p>
        </w:tc>
      </w:tr>
      <w:tr w:rsidR="00044D63" w:rsidRPr="00B57B36" w14:paraId="3B6AB56D" w14:textId="77777777" w:rsidTr="00044D63">
        <w:trPr>
          <w:trHeight w:val="283"/>
        </w:trPr>
        <w:tc>
          <w:tcPr>
            <w:tcW w:w="1985" w:type="dxa"/>
            <w:shd w:val="clear" w:color="auto" w:fill="FFFFFF"/>
          </w:tcPr>
          <w:p w14:paraId="544C734E" w14:textId="36A3C95E" w:rsidR="00044D63" w:rsidRDefault="005671B2" w:rsidP="00044D63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 xml:space="preserve">Composition </w:t>
            </w:r>
            <w:r w:rsidR="00856764">
              <w:rPr>
                <w:lang w:val="en-GB"/>
              </w:rPr>
              <w:t>[-]</w:t>
            </w:r>
          </w:p>
        </w:tc>
        <w:tc>
          <w:tcPr>
            <w:tcW w:w="1134" w:type="dxa"/>
            <w:shd w:val="clear" w:color="auto" w:fill="FFFFFF"/>
          </w:tcPr>
          <w:p w14:paraId="13F04FAE" w14:textId="07B2078E" w:rsidR="00044D63" w:rsidRDefault="005671B2" w:rsidP="00044D63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856764">
              <w:rPr>
                <w:lang w:val="en-GB"/>
              </w:rPr>
              <w:t xml:space="preserve"> / 0</w:t>
            </w:r>
          </w:p>
        </w:tc>
        <w:tc>
          <w:tcPr>
            <w:tcW w:w="1984" w:type="dxa"/>
            <w:shd w:val="clear" w:color="auto" w:fill="FFFFFF"/>
          </w:tcPr>
          <w:p w14:paraId="052D7F9C" w14:textId="2A24690F" w:rsidR="00044D63" w:rsidRPr="00B57B36" w:rsidRDefault="005671B2" w:rsidP="00044D63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 xml:space="preserve">Composition </w:t>
            </w:r>
            <w:r w:rsidR="00856764">
              <w:rPr>
                <w:lang w:val="en-GB"/>
              </w:rPr>
              <w:t>[-]</w:t>
            </w:r>
          </w:p>
        </w:tc>
        <w:tc>
          <w:tcPr>
            <w:tcW w:w="993" w:type="dxa"/>
            <w:shd w:val="clear" w:color="auto" w:fill="FFFFFF"/>
          </w:tcPr>
          <w:p w14:paraId="3D853C65" w14:textId="5291B655" w:rsidR="00044D63" w:rsidRPr="00B57B36" w:rsidRDefault="00856764" w:rsidP="00044D63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0.7 / 0.3 / 0</w:t>
            </w:r>
          </w:p>
        </w:tc>
      </w:tr>
    </w:tbl>
    <w:p w14:paraId="4160FCE5" w14:textId="77777777" w:rsidR="003A60FA" w:rsidRDefault="003A60FA" w:rsidP="00CD6E8A">
      <w:pPr>
        <w:pStyle w:val="CETBodytext"/>
        <w:rPr>
          <w:lang w:val="en-GB"/>
        </w:rPr>
      </w:pPr>
    </w:p>
    <w:p w14:paraId="631D363B" w14:textId="2A5FF8C7" w:rsidR="00E925D5" w:rsidRPr="006A6C90" w:rsidRDefault="00E925D5" w:rsidP="00453E24">
      <w:pPr>
        <w:pStyle w:val="CETheadingx"/>
        <w:rPr>
          <w:lang w:val="en-GB"/>
        </w:rPr>
      </w:pPr>
      <w:r w:rsidRPr="006A6C90">
        <w:rPr>
          <w:lang w:val="en-GB"/>
        </w:rPr>
        <w:t xml:space="preserve">Mesh </w:t>
      </w:r>
    </w:p>
    <w:p w14:paraId="344947E6" w14:textId="6F4010B4" w:rsidR="006B5886" w:rsidRDefault="00795DF7" w:rsidP="00E925D5">
      <w:pPr>
        <w:pStyle w:val="CETBodytext"/>
        <w:rPr>
          <w:lang w:val="en-GB"/>
        </w:rPr>
      </w:pPr>
      <w:r>
        <w:rPr>
          <w:lang w:val="en-GB"/>
        </w:rPr>
        <w:t xml:space="preserve">The construction of the mesh was performed </w:t>
      </w:r>
      <w:r w:rsidR="00990832">
        <w:rPr>
          <w:lang w:val="en-GB"/>
        </w:rPr>
        <w:t>using the Body of Influence tool</w:t>
      </w:r>
      <w:r w:rsidR="00FA280E">
        <w:rPr>
          <w:lang w:val="en-GB"/>
        </w:rPr>
        <w:t xml:space="preserve"> of Ansys</w:t>
      </w:r>
      <w:r w:rsidR="00E22987">
        <w:rPr>
          <w:lang w:val="en-GB"/>
        </w:rPr>
        <w:t xml:space="preserve"> (</w:t>
      </w:r>
      <w:r w:rsidR="00050169">
        <w:rPr>
          <w:lang w:val="en-GB"/>
        </w:rPr>
        <w:t>Ferrario and Busini, 2024</w:t>
      </w:r>
      <w:r w:rsidR="00E22987">
        <w:rPr>
          <w:lang w:val="en-GB"/>
        </w:rPr>
        <w:t>)</w:t>
      </w:r>
      <w:r w:rsidR="00990832">
        <w:rPr>
          <w:lang w:val="en-GB"/>
        </w:rPr>
        <w:t xml:space="preserve">, which </w:t>
      </w:r>
      <w:r w:rsidR="0081206F">
        <w:rPr>
          <w:lang w:val="en-GB"/>
        </w:rPr>
        <w:t>helps wit</w:t>
      </w:r>
      <w:r w:rsidR="009B37EE">
        <w:rPr>
          <w:lang w:val="en-GB"/>
        </w:rPr>
        <w:t>h</w:t>
      </w:r>
      <w:r w:rsidR="0081206F">
        <w:rPr>
          <w:lang w:val="en-GB"/>
        </w:rPr>
        <w:t xml:space="preserve"> the </w:t>
      </w:r>
      <w:r w:rsidR="008E0B6E">
        <w:rPr>
          <w:lang w:val="en-GB"/>
        </w:rPr>
        <w:t xml:space="preserve">refinement of the mesh in specific areas of the domain. </w:t>
      </w:r>
      <w:r w:rsidR="008F1A69">
        <w:rPr>
          <w:lang w:val="en-GB"/>
        </w:rPr>
        <w:t>Two mesh</w:t>
      </w:r>
      <w:r w:rsidR="000D6508">
        <w:rPr>
          <w:lang w:val="en-GB"/>
        </w:rPr>
        <w:t xml:space="preserve">es </w:t>
      </w:r>
      <w:r w:rsidR="00414C1D">
        <w:rPr>
          <w:lang w:val="en-GB"/>
        </w:rPr>
        <w:t xml:space="preserve">were </w:t>
      </w:r>
      <w:r w:rsidR="007A62AE">
        <w:rPr>
          <w:lang w:val="en-GB"/>
        </w:rPr>
        <w:t xml:space="preserve">created, </w:t>
      </w:r>
      <w:r w:rsidR="00143103">
        <w:rPr>
          <w:lang w:val="en-GB"/>
        </w:rPr>
        <w:t>the first with finer elements</w:t>
      </w:r>
      <w:r w:rsidR="00FC0E0B">
        <w:rPr>
          <w:lang w:val="en-GB"/>
        </w:rPr>
        <w:t>.</w:t>
      </w:r>
    </w:p>
    <w:p w14:paraId="5BDF423B" w14:textId="7CC831D1" w:rsidR="00E925D5" w:rsidRDefault="008E0B6E" w:rsidP="00E925D5">
      <w:pPr>
        <w:pStyle w:val="CETBodytext"/>
        <w:rPr>
          <w:lang w:val="en-GB"/>
        </w:rPr>
      </w:pPr>
      <w:r w:rsidRPr="330B7A4C">
        <w:rPr>
          <w:lang w:val="en-GB"/>
        </w:rPr>
        <w:t xml:space="preserve">For this </w:t>
      </w:r>
      <w:r w:rsidR="006B5886" w:rsidRPr="330B7A4C">
        <w:rPr>
          <w:lang w:val="en-GB"/>
        </w:rPr>
        <w:t>case study</w:t>
      </w:r>
      <w:r w:rsidRPr="330B7A4C">
        <w:rPr>
          <w:lang w:val="en-GB"/>
        </w:rPr>
        <w:t>, an axis</w:t>
      </w:r>
      <w:r w:rsidR="00350A09" w:rsidRPr="330B7A4C">
        <w:rPr>
          <w:lang w:val="en-GB"/>
        </w:rPr>
        <w:t xml:space="preserve"> passing through the area of discharge was used for the definition of 5 </w:t>
      </w:r>
      <w:r w:rsidR="006B1C11" w:rsidRPr="330B7A4C">
        <w:rPr>
          <w:lang w:val="en-GB"/>
        </w:rPr>
        <w:t>bodies, and specific element size and growth rate</w:t>
      </w:r>
      <w:r w:rsidR="008D5D7F" w:rsidRPr="330B7A4C">
        <w:rPr>
          <w:lang w:val="en-GB"/>
        </w:rPr>
        <w:t xml:space="preserve"> values</w:t>
      </w:r>
      <w:r w:rsidR="00FE60A8" w:rsidRPr="330B7A4C">
        <w:rPr>
          <w:lang w:val="en-GB"/>
        </w:rPr>
        <w:t xml:space="preserve"> were associated to</w:t>
      </w:r>
      <w:r w:rsidR="006B1C11" w:rsidRPr="330B7A4C">
        <w:rPr>
          <w:lang w:val="en-GB"/>
        </w:rPr>
        <w:t xml:space="preserve"> each </w:t>
      </w:r>
      <w:r w:rsidR="00FE60A8" w:rsidRPr="330B7A4C">
        <w:rPr>
          <w:lang w:val="en-GB"/>
        </w:rPr>
        <w:t xml:space="preserve">body. </w:t>
      </w:r>
      <w:r w:rsidR="00742389" w:rsidRPr="330B7A4C">
        <w:rPr>
          <w:lang w:val="en-GB"/>
        </w:rPr>
        <w:t>Considering the overall height of the domain</w:t>
      </w:r>
      <w:r w:rsidR="59B66277" w:rsidRPr="330B7A4C">
        <w:rPr>
          <w:lang w:val="en-GB"/>
        </w:rPr>
        <w:t xml:space="preserve"> </w:t>
      </w:r>
      <w:r w:rsidR="00742389" w:rsidRPr="330B7A4C">
        <w:rPr>
          <w:lang w:val="en-GB"/>
        </w:rPr>
        <w:t>the bodies were created so that they reached respectively</w:t>
      </w:r>
      <w:r w:rsidR="00F64B5F" w:rsidRPr="330B7A4C">
        <w:rPr>
          <w:lang w:val="en-GB"/>
        </w:rPr>
        <w:t xml:space="preserve"> the height of</w:t>
      </w:r>
      <w:r w:rsidR="00742389" w:rsidRPr="330B7A4C">
        <w:rPr>
          <w:lang w:val="en-GB"/>
        </w:rPr>
        <w:t xml:space="preserve"> 5</w:t>
      </w:r>
      <w:r w:rsidR="00005667" w:rsidRPr="330B7A4C">
        <w:rPr>
          <w:lang w:val="en-GB"/>
        </w:rPr>
        <w:t xml:space="preserve"> m, </w:t>
      </w:r>
      <w:r w:rsidR="00742389" w:rsidRPr="330B7A4C">
        <w:rPr>
          <w:lang w:val="en-GB"/>
        </w:rPr>
        <w:t>10</w:t>
      </w:r>
      <w:r w:rsidR="00005667" w:rsidRPr="330B7A4C">
        <w:rPr>
          <w:lang w:val="en-GB"/>
        </w:rPr>
        <w:t xml:space="preserve"> m, 1</w:t>
      </w:r>
      <w:r w:rsidR="00742389" w:rsidRPr="330B7A4C">
        <w:rPr>
          <w:lang w:val="en-GB"/>
        </w:rPr>
        <w:t>0</w:t>
      </w:r>
      <w:r w:rsidR="00005667" w:rsidRPr="330B7A4C">
        <w:rPr>
          <w:lang w:val="en-GB"/>
        </w:rPr>
        <w:t xml:space="preserve"> m, </w:t>
      </w:r>
      <w:r w:rsidR="00742389" w:rsidRPr="330B7A4C">
        <w:rPr>
          <w:lang w:val="en-GB"/>
        </w:rPr>
        <w:t>25</w:t>
      </w:r>
      <w:r w:rsidR="00005667" w:rsidRPr="330B7A4C">
        <w:rPr>
          <w:lang w:val="en-GB"/>
        </w:rPr>
        <w:t xml:space="preserve"> m and </w:t>
      </w:r>
      <w:r w:rsidR="00742389" w:rsidRPr="330B7A4C">
        <w:rPr>
          <w:lang w:val="en-GB"/>
        </w:rPr>
        <w:t>50 m.</w:t>
      </w:r>
      <w:r w:rsidR="00FF7CB3" w:rsidRPr="330B7A4C">
        <w:rPr>
          <w:lang w:val="en-GB"/>
        </w:rPr>
        <w:t xml:space="preserve"> In this way, a </w:t>
      </w:r>
      <w:r w:rsidR="00267A3D" w:rsidRPr="330B7A4C">
        <w:rPr>
          <w:lang w:val="en-GB"/>
        </w:rPr>
        <w:t xml:space="preserve">small cell size was chosen </w:t>
      </w:r>
      <w:r w:rsidR="008744BC" w:rsidRPr="330B7A4C">
        <w:rPr>
          <w:lang w:val="en-GB"/>
        </w:rPr>
        <w:t>for the mesh close to the release area</w:t>
      </w:r>
      <w:r w:rsidR="003C7DAD" w:rsidRPr="330B7A4C">
        <w:rPr>
          <w:lang w:val="en-GB"/>
        </w:rPr>
        <w:t xml:space="preserve">, for the behaviour of the leakage </w:t>
      </w:r>
      <w:r w:rsidR="005B1C20" w:rsidRPr="330B7A4C">
        <w:rPr>
          <w:lang w:val="en-GB"/>
        </w:rPr>
        <w:t>defined by the calculation</w:t>
      </w:r>
      <w:r w:rsidR="003C7DAD" w:rsidRPr="330B7A4C">
        <w:rPr>
          <w:lang w:val="en-GB"/>
        </w:rPr>
        <w:t xml:space="preserve"> to be as close as</w:t>
      </w:r>
      <w:r w:rsidR="005B1C20" w:rsidRPr="330B7A4C">
        <w:rPr>
          <w:lang w:val="en-GB"/>
        </w:rPr>
        <w:t xml:space="preserve"> possible to the real one.</w:t>
      </w:r>
      <w:r w:rsidR="006C0966" w:rsidRPr="330B7A4C">
        <w:rPr>
          <w:lang w:val="en-GB"/>
        </w:rPr>
        <w:t xml:space="preserve"> </w:t>
      </w:r>
      <w:r w:rsidR="75B20A48" w:rsidRPr="330B7A4C">
        <w:rPr>
          <w:lang w:val="en-GB"/>
        </w:rPr>
        <w:t>Thanks to the mesh independence analysis, o</w:t>
      </w:r>
      <w:r w:rsidR="00F32ACA" w:rsidRPr="330B7A4C">
        <w:rPr>
          <w:lang w:val="en-GB"/>
        </w:rPr>
        <w:t>nce</w:t>
      </w:r>
      <w:r w:rsidR="006C0966" w:rsidRPr="330B7A4C">
        <w:rPr>
          <w:lang w:val="en-GB"/>
        </w:rPr>
        <w:t xml:space="preserve"> the height increase</w:t>
      </w:r>
      <w:r w:rsidR="003613A2" w:rsidRPr="330B7A4C">
        <w:rPr>
          <w:lang w:val="en-GB"/>
        </w:rPr>
        <w:t>d</w:t>
      </w:r>
      <w:r w:rsidR="00F32ACA" w:rsidRPr="330B7A4C">
        <w:rPr>
          <w:lang w:val="en-GB"/>
        </w:rPr>
        <w:t xml:space="preserve">, as </w:t>
      </w:r>
      <w:r w:rsidR="004D6A68" w:rsidRPr="330B7A4C">
        <w:rPr>
          <w:lang w:val="en-GB"/>
        </w:rPr>
        <w:t>reported</w:t>
      </w:r>
      <w:r w:rsidR="00F32ACA" w:rsidRPr="330B7A4C">
        <w:rPr>
          <w:lang w:val="en-GB"/>
        </w:rPr>
        <w:t xml:space="preserve"> in Table </w:t>
      </w:r>
      <w:r w:rsidR="27ADD776" w:rsidRPr="330B7A4C">
        <w:rPr>
          <w:lang w:val="en-GB"/>
        </w:rPr>
        <w:t>2</w:t>
      </w:r>
      <w:r w:rsidR="005770A6" w:rsidRPr="330B7A4C">
        <w:rPr>
          <w:lang w:val="en-GB"/>
        </w:rPr>
        <w:t xml:space="preserve">, the </w:t>
      </w:r>
      <w:r w:rsidR="008245FE" w:rsidRPr="330B7A4C">
        <w:rPr>
          <w:lang w:val="en-GB"/>
        </w:rPr>
        <w:t xml:space="preserve">cell size </w:t>
      </w:r>
      <w:r w:rsidR="003613A2" w:rsidRPr="330B7A4C">
        <w:rPr>
          <w:lang w:val="en-GB"/>
        </w:rPr>
        <w:t xml:space="preserve">was </w:t>
      </w:r>
      <w:r w:rsidR="008245FE" w:rsidRPr="330B7A4C">
        <w:rPr>
          <w:lang w:val="en-GB"/>
        </w:rPr>
        <w:t>increase</w:t>
      </w:r>
      <w:r w:rsidR="003613A2" w:rsidRPr="330B7A4C">
        <w:rPr>
          <w:lang w:val="en-GB"/>
        </w:rPr>
        <w:t>d</w:t>
      </w:r>
      <w:r w:rsidR="008245FE" w:rsidRPr="330B7A4C">
        <w:rPr>
          <w:lang w:val="en-GB"/>
        </w:rPr>
        <w:t xml:space="preserve"> as well to cover the boarder parts of the domain </w:t>
      </w:r>
      <w:r w:rsidR="00312B9C" w:rsidRPr="330B7A4C">
        <w:rPr>
          <w:lang w:val="en-GB"/>
        </w:rPr>
        <w:t>to avoid heavying the computational time, since those areas</w:t>
      </w:r>
      <w:r w:rsidR="00D607D1" w:rsidRPr="330B7A4C">
        <w:rPr>
          <w:lang w:val="en-GB"/>
        </w:rPr>
        <w:t xml:space="preserve"> </w:t>
      </w:r>
      <w:r w:rsidR="008245FE" w:rsidRPr="330B7A4C">
        <w:rPr>
          <w:lang w:val="en-GB"/>
        </w:rPr>
        <w:t xml:space="preserve">are less interested </w:t>
      </w:r>
      <w:r w:rsidR="00F32ACA" w:rsidRPr="330B7A4C">
        <w:rPr>
          <w:lang w:val="en-GB"/>
        </w:rPr>
        <w:t>b</w:t>
      </w:r>
      <w:r w:rsidR="008245FE" w:rsidRPr="330B7A4C">
        <w:rPr>
          <w:lang w:val="en-GB"/>
        </w:rPr>
        <w:t>y the phenomenon</w:t>
      </w:r>
      <w:r w:rsidR="00F32ACA" w:rsidRPr="330B7A4C">
        <w:rPr>
          <w:lang w:val="en-GB"/>
        </w:rPr>
        <w:t>.</w:t>
      </w:r>
      <w:r w:rsidR="00BE681D" w:rsidRPr="330B7A4C">
        <w:rPr>
          <w:lang w:val="en-GB"/>
        </w:rPr>
        <w:t xml:space="preserve"> </w:t>
      </w:r>
      <w:r w:rsidR="009E4E39" w:rsidRPr="330B7A4C">
        <w:rPr>
          <w:lang w:val="en-GB"/>
        </w:rPr>
        <w:t>The table</w:t>
      </w:r>
      <w:r w:rsidR="000C2D98" w:rsidRPr="330B7A4C">
        <w:rPr>
          <w:lang w:val="en-GB"/>
        </w:rPr>
        <w:t xml:space="preserve"> also report</w:t>
      </w:r>
      <w:r w:rsidR="00A120C2">
        <w:rPr>
          <w:lang w:val="en-GB"/>
        </w:rPr>
        <w:t>s</w:t>
      </w:r>
      <w:r w:rsidR="000C2D98" w:rsidRPr="330B7A4C">
        <w:rPr>
          <w:lang w:val="en-GB"/>
        </w:rPr>
        <w:t xml:space="preserve"> the element size used for the leakage surface</w:t>
      </w:r>
      <w:r w:rsidR="009E4E39" w:rsidRPr="330B7A4C">
        <w:rPr>
          <w:lang w:val="en-GB"/>
        </w:rPr>
        <w:t>, which was not variated</w:t>
      </w:r>
      <w:r w:rsidR="000C2D98" w:rsidRPr="330B7A4C">
        <w:rPr>
          <w:lang w:val="en-GB"/>
        </w:rPr>
        <w:t>.</w:t>
      </w:r>
    </w:p>
    <w:p w14:paraId="5CECDC4D" w14:textId="5910C332" w:rsidR="00AF1739" w:rsidRPr="00B57B36" w:rsidRDefault="00AF1739" w:rsidP="00AF1739">
      <w:pPr>
        <w:pStyle w:val="CETTabletitle"/>
      </w:pPr>
      <w:r w:rsidRPr="00B57B36">
        <w:t xml:space="preserve">Table </w:t>
      </w:r>
      <w:r>
        <w:t>2</w:t>
      </w:r>
      <w:r w:rsidRPr="00B57B36">
        <w:t xml:space="preserve">: </w:t>
      </w:r>
      <w:r>
        <w:t>Sizing of the elements of the</w:t>
      </w:r>
      <w:r w:rsidR="008F1A69">
        <w:t xml:space="preserve"> </w:t>
      </w:r>
      <w:r>
        <w:t>mesh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0"/>
        <w:gridCol w:w="708"/>
        <w:gridCol w:w="1063"/>
        <w:gridCol w:w="1063"/>
        <w:gridCol w:w="1063"/>
        <w:gridCol w:w="1063"/>
      </w:tblGrid>
      <w:tr w:rsidR="002A3D04" w:rsidRPr="00B57B36" w14:paraId="69B1412B" w14:textId="21E3781D" w:rsidTr="006A3A56">
        <w:trPr>
          <w:trHeight w:val="283"/>
        </w:trPr>
        <w:tc>
          <w:tcPr>
            <w:tcW w:w="156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05CC6851" w14:textId="3BF8C41A" w:rsidR="009F73ED" w:rsidRPr="00B57B36" w:rsidRDefault="009F73ED">
            <w:pPr>
              <w:pStyle w:val="CETBodytext"/>
              <w:rPr>
                <w:lang w:val="en-GB"/>
              </w:rPr>
            </w:pPr>
          </w:p>
        </w:tc>
        <w:tc>
          <w:tcPr>
            <w:tcW w:w="708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0DCAA5F3" w14:textId="405B7B5F" w:rsidR="009F73ED" w:rsidRPr="00B57B36" w:rsidRDefault="009F73ED">
            <w:pPr>
              <w:pStyle w:val="CETBodytext"/>
              <w:rPr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506FBCF7" w14:textId="7D46189B" w:rsidR="009F73ED" w:rsidRPr="00B57B36" w:rsidRDefault="009F73ED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Finer mesh</w:t>
            </w:r>
          </w:p>
        </w:tc>
        <w:tc>
          <w:tcPr>
            <w:tcW w:w="2126" w:type="dxa"/>
            <w:gridSpan w:val="2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2E83B865" w14:textId="5C3BB9A8" w:rsidR="009F73ED" w:rsidRDefault="009F73ED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Wider mesh</w:t>
            </w:r>
          </w:p>
        </w:tc>
      </w:tr>
      <w:tr w:rsidR="00546A48" w:rsidRPr="00B57B36" w14:paraId="51175828" w14:textId="77777777" w:rsidTr="00546A48">
        <w:trPr>
          <w:trHeight w:val="283"/>
        </w:trPr>
        <w:tc>
          <w:tcPr>
            <w:tcW w:w="156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0DA1F2D0" w14:textId="5187DC0E" w:rsidR="00546A48" w:rsidRDefault="00546A48" w:rsidP="00DD6D12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08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18ECBB7B" w14:textId="009E8895" w:rsidR="00546A48" w:rsidRDefault="00546A48" w:rsidP="00DD6D12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 xml:space="preserve">Height </w:t>
            </w:r>
          </w:p>
        </w:tc>
        <w:tc>
          <w:tcPr>
            <w:tcW w:w="1063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4CE10DB6" w14:textId="5CEA60D8" w:rsidR="00546A48" w:rsidRDefault="00546A48" w:rsidP="00DD6D12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Element size</w:t>
            </w:r>
          </w:p>
        </w:tc>
        <w:tc>
          <w:tcPr>
            <w:tcW w:w="1063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70D7E983" w14:textId="26921876" w:rsidR="00546A48" w:rsidRDefault="00546A48" w:rsidP="00DD6D12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Growth rate</w:t>
            </w:r>
          </w:p>
        </w:tc>
        <w:tc>
          <w:tcPr>
            <w:tcW w:w="1063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250F3027" w14:textId="4063E17B" w:rsidR="00546A48" w:rsidRDefault="00546A48" w:rsidP="00DD6D12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Element size</w:t>
            </w:r>
          </w:p>
        </w:tc>
        <w:tc>
          <w:tcPr>
            <w:tcW w:w="1063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52B6FD11" w14:textId="52CDFD48" w:rsidR="00546A48" w:rsidRDefault="00546A48" w:rsidP="00DD6D12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Growth rate</w:t>
            </w:r>
          </w:p>
        </w:tc>
      </w:tr>
      <w:tr w:rsidR="00546A48" w:rsidRPr="00B57B36" w14:paraId="39F6FCD9" w14:textId="6A6FFECF" w:rsidTr="00546A48">
        <w:trPr>
          <w:trHeight w:val="283"/>
        </w:trPr>
        <w:tc>
          <w:tcPr>
            <w:tcW w:w="1560" w:type="dxa"/>
            <w:shd w:val="clear" w:color="auto" w:fill="FFFFFF"/>
          </w:tcPr>
          <w:p w14:paraId="501E0EF9" w14:textId="77777777" w:rsidR="00546A48" w:rsidRPr="00B57B36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Area of discharge</w:t>
            </w:r>
          </w:p>
        </w:tc>
        <w:tc>
          <w:tcPr>
            <w:tcW w:w="708" w:type="dxa"/>
            <w:shd w:val="clear" w:color="auto" w:fill="FFFFFF"/>
          </w:tcPr>
          <w:p w14:paraId="2C314611" w14:textId="77777777" w:rsidR="00546A48" w:rsidRPr="00B57B36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0 m</w:t>
            </w:r>
          </w:p>
        </w:tc>
        <w:tc>
          <w:tcPr>
            <w:tcW w:w="1063" w:type="dxa"/>
            <w:shd w:val="clear" w:color="auto" w:fill="FFFFFF"/>
          </w:tcPr>
          <w:p w14:paraId="7959CB52" w14:textId="77777777" w:rsidR="00546A48" w:rsidRPr="00B57B36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0.01 m</w:t>
            </w:r>
          </w:p>
        </w:tc>
        <w:tc>
          <w:tcPr>
            <w:tcW w:w="1063" w:type="dxa"/>
            <w:shd w:val="clear" w:color="auto" w:fill="FFFFFF"/>
          </w:tcPr>
          <w:p w14:paraId="04D9FE21" w14:textId="77777777" w:rsidR="00546A48" w:rsidRPr="00B57B36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</w:t>
            </w:r>
          </w:p>
        </w:tc>
        <w:tc>
          <w:tcPr>
            <w:tcW w:w="1063" w:type="dxa"/>
            <w:shd w:val="clear" w:color="auto" w:fill="FFFFFF"/>
          </w:tcPr>
          <w:p w14:paraId="33CC693C" w14:textId="482CB397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>0.01 m</w:t>
            </w:r>
          </w:p>
        </w:tc>
        <w:tc>
          <w:tcPr>
            <w:tcW w:w="1063" w:type="dxa"/>
            <w:shd w:val="clear" w:color="auto" w:fill="FFFFFF"/>
          </w:tcPr>
          <w:p w14:paraId="658F3E83" w14:textId="75F28F8E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</w:t>
            </w:r>
          </w:p>
        </w:tc>
      </w:tr>
      <w:tr w:rsidR="00546A48" w:rsidRPr="00B57B36" w14:paraId="3A6DF878" w14:textId="078149BD" w:rsidTr="00546A48">
        <w:trPr>
          <w:trHeight w:val="283"/>
        </w:trPr>
        <w:tc>
          <w:tcPr>
            <w:tcW w:w="1560" w:type="dxa"/>
            <w:shd w:val="clear" w:color="auto" w:fill="FFFFFF"/>
          </w:tcPr>
          <w:p w14:paraId="534EE7E6" w14:textId="77777777" w:rsidR="00546A48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Core</w:t>
            </w:r>
          </w:p>
        </w:tc>
        <w:tc>
          <w:tcPr>
            <w:tcW w:w="708" w:type="dxa"/>
            <w:shd w:val="clear" w:color="auto" w:fill="FFFFFF"/>
          </w:tcPr>
          <w:p w14:paraId="15233EF2" w14:textId="77777777" w:rsidR="00546A48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5 m</w:t>
            </w:r>
          </w:p>
        </w:tc>
        <w:tc>
          <w:tcPr>
            <w:tcW w:w="1063" w:type="dxa"/>
            <w:shd w:val="clear" w:color="auto" w:fill="FFFFFF"/>
          </w:tcPr>
          <w:p w14:paraId="04327BF8" w14:textId="4EA061FF" w:rsidR="00546A48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0.025 m</w:t>
            </w:r>
          </w:p>
        </w:tc>
        <w:tc>
          <w:tcPr>
            <w:tcW w:w="1063" w:type="dxa"/>
            <w:shd w:val="clear" w:color="auto" w:fill="FFFFFF"/>
          </w:tcPr>
          <w:p w14:paraId="1FCA9976" w14:textId="77777777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1.05</w:t>
            </w:r>
          </w:p>
        </w:tc>
        <w:tc>
          <w:tcPr>
            <w:tcW w:w="1063" w:type="dxa"/>
            <w:shd w:val="clear" w:color="auto" w:fill="FFFFFF"/>
          </w:tcPr>
          <w:p w14:paraId="59BD58AE" w14:textId="757A2368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>0.05 m</w:t>
            </w:r>
          </w:p>
        </w:tc>
        <w:tc>
          <w:tcPr>
            <w:tcW w:w="1063" w:type="dxa"/>
            <w:shd w:val="clear" w:color="auto" w:fill="FFFFFF"/>
          </w:tcPr>
          <w:p w14:paraId="05F69B53" w14:textId="69AD517A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1.05</w:t>
            </w:r>
          </w:p>
        </w:tc>
      </w:tr>
      <w:tr w:rsidR="00546A48" w:rsidRPr="00B57B36" w14:paraId="6A9C7D11" w14:textId="2AEDF715" w:rsidTr="00546A48">
        <w:trPr>
          <w:trHeight w:val="283"/>
        </w:trPr>
        <w:tc>
          <w:tcPr>
            <w:tcW w:w="1560" w:type="dxa"/>
            <w:shd w:val="clear" w:color="auto" w:fill="FFFFFF"/>
          </w:tcPr>
          <w:p w14:paraId="27E1DAB4" w14:textId="77777777" w:rsidR="00546A48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Far_1</w:t>
            </w:r>
          </w:p>
        </w:tc>
        <w:tc>
          <w:tcPr>
            <w:tcW w:w="708" w:type="dxa"/>
            <w:shd w:val="clear" w:color="auto" w:fill="FFFFFF"/>
          </w:tcPr>
          <w:p w14:paraId="1E8FED54" w14:textId="77777777" w:rsidR="00546A48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10 m</w:t>
            </w:r>
          </w:p>
        </w:tc>
        <w:tc>
          <w:tcPr>
            <w:tcW w:w="1063" w:type="dxa"/>
            <w:shd w:val="clear" w:color="auto" w:fill="FFFFFF"/>
          </w:tcPr>
          <w:p w14:paraId="1290835D" w14:textId="7D45A483" w:rsidR="00546A48" w:rsidRPr="00B57B36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0.05 m</w:t>
            </w:r>
          </w:p>
        </w:tc>
        <w:tc>
          <w:tcPr>
            <w:tcW w:w="1063" w:type="dxa"/>
            <w:shd w:val="clear" w:color="auto" w:fill="FFFFFF"/>
          </w:tcPr>
          <w:p w14:paraId="4D0C4413" w14:textId="77777777" w:rsidR="00546A48" w:rsidRPr="00B57B36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1.1</w:t>
            </w:r>
          </w:p>
        </w:tc>
        <w:tc>
          <w:tcPr>
            <w:tcW w:w="1063" w:type="dxa"/>
            <w:shd w:val="clear" w:color="auto" w:fill="FFFFFF"/>
          </w:tcPr>
          <w:p w14:paraId="74892778" w14:textId="391BA989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>0.1 m</w:t>
            </w:r>
          </w:p>
        </w:tc>
        <w:tc>
          <w:tcPr>
            <w:tcW w:w="1063" w:type="dxa"/>
            <w:shd w:val="clear" w:color="auto" w:fill="FFFFFF"/>
          </w:tcPr>
          <w:p w14:paraId="062CB2FB" w14:textId="7543BC0A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1.1</w:t>
            </w:r>
          </w:p>
        </w:tc>
      </w:tr>
      <w:tr w:rsidR="00546A48" w:rsidRPr="00B57B36" w14:paraId="45C87D06" w14:textId="6DD34BBD" w:rsidTr="00546A48">
        <w:trPr>
          <w:trHeight w:val="283"/>
        </w:trPr>
        <w:tc>
          <w:tcPr>
            <w:tcW w:w="1560" w:type="dxa"/>
            <w:shd w:val="clear" w:color="auto" w:fill="FFFFFF"/>
          </w:tcPr>
          <w:p w14:paraId="1076F229" w14:textId="77777777" w:rsidR="00546A48" w:rsidRPr="00565A74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Far_2</w:t>
            </w:r>
          </w:p>
        </w:tc>
        <w:tc>
          <w:tcPr>
            <w:tcW w:w="708" w:type="dxa"/>
            <w:shd w:val="clear" w:color="auto" w:fill="FFFFFF"/>
          </w:tcPr>
          <w:p w14:paraId="3E34C179" w14:textId="77777777" w:rsidR="00546A48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10 m</w:t>
            </w:r>
          </w:p>
        </w:tc>
        <w:tc>
          <w:tcPr>
            <w:tcW w:w="1063" w:type="dxa"/>
            <w:shd w:val="clear" w:color="auto" w:fill="FFFFFF"/>
          </w:tcPr>
          <w:p w14:paraId="08EF09BD" w14:textId="49003627" w:rsidR="00546A48" w:rsidRPr="00B57B36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 xml:space="preserve">0.1 m </w:t>
            </w:r>
          </w:p>
        </w:tc>
        <w:tc>
          <w:tcPr>
            <w:tcW w:w="1063" w:type="dxa"/>
            <w:shd w:val="clear" w:color="auto" w:fill="FFFFFF"/>
          </w:tcPr>
          <w:p w14:paraId="555555C6" w14:textId="77777777" w:rsidR="00546A48" w:rsidRPr="00B57B36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1.15</w:t>
            </w:r>
          </w:p>
        </w:tc>
        <w:tc>
          <w:tcPr>
            <w:tcW w:w="1063" w:type="dxa"/>
            <w:shd w:val="clear" w:color="auto" w:fill="FFFFFF"/>
          </w:tcPr>
          <w:p w14:paraId="51EBF810" w14:textId="4291D294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 xml:space="preserve">0.5 m </w:t>
            </w:r>
          </w:p>
        </w:tc>
        <w:tc>
          <w:tcPr>
            <w:tcW w:w="1063" w:type="dxa"/>
            <w:shd w:val="clear" w:color="auto" w:fill="FFFFFF"/>
          </w:tcPr>
          <w:p w14:paraId="5E0D91A3" w14:textId="6F4856D9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1.15</w:t>
            </w:r>
          </w:p>
        </w:tc>
      </w:tr>
      <w:tr w:rsidR="00546A48" w:rsidRPr="00B57B36" w14:paraId="00E5649A" w14:textId="51A7CC4F" w:rsidTr="00546A48">
        <w:trPr>
          <w:trHeight w:val="283"/>
        </w:trPr>
        <w:tc>
          <w:tcPr>
            <w:tcW w:w="1560" w:type="dxa"/>
            <w:shd w:val="clear" w:color="auto" w:fill="FFFFFF"/>
          </w:tcPr>
          <w:p w14:paraId="37711ED4" w14:textId="77777777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Far_3</w:t>
            </w:r>
          </w:p>
        </w:tc>
        <w:tc>
          <w:tcPr>
            <w:tcW w:w="708" w:type="dxa"/>
            <w:shd w:val="clear" w:color="auto" w:fill="FFFFFF"/>
          </w:tcPr>
          <w:p w14:paraId="09B88815" w14:textId="77777777" w:rsidR="00546A48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 xml:space="preserve">25 m </w:t>
            </w:r>
          </w:p>
        </w:tc>
        <w:tc>
          <w:tcPr>
            <w:tcW w:w="1063" w:type="dxa"/>
            <w:shd w:val="clear" w:color="auto" w:fill="FFFFFF"/>
          </w:tcPr>
          <w:p w14:paraId="074931AC" w14:textId="3428FBD7" w:rsidR="00546A48" w:rsidRPr="00B57B36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0.75 m</w:t>
            </w:r>
          </w:p>
        </w:tc>
        <w:tc>
          <w:tcPr>
            <w:tcW w:w="1063" w:type="dxa"/>
            <w:shd w:val="clear" w:color="auto" w:fill="FFFFFF"/>
          </w:tcPr>
          <w:p w14:paraId="1E035520" w14:textId="77777777" w:rsidR="00546A48" w:rsidRPr="00B57B36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1.2</w:t>
            </w:r>
          </w:p>
        </w:tc>
        <w:tc>
          <w:tcPr>
            <w:tcW w:w="1063" w:type="dxa"/>
            <w:shd w:val="clear" w:color="auto" w:fill="FFFFFF"/>
          </w:tcPr>
          <w:p w14:paraId="79C5BA23" w14:textId="4538AFED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>1 m</w:t>
            </w:r>
          </w:p>
        </w:tc>
        <w:tc>
          <w:tcPr>
            <w:tcW w:w="1063" w:type="dxa"/>
            <w:shd w:val="clear" w:color="auto" w:fill="FFFFFF"/>
          </w:tcPr>
          <w:p w14:paraId="2D55C905" w14:textId="2AC202EC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1.2</w:t>
            </w:r>
          </w:p>
        </w:tc>
      </w:tr>
      <w:tr w:rsidR="00546A48" w:rsidRPr="00B57B36" w14:paraId="4C91B062" w14:textId="336150C4" w:rsidTr="00546A48">
        <w:trPr>
          <w:trHeight w:val="283"/>
        </w:trPr>
        <w:tc>
          <w:tcPr>
            <w:tcW w:w="1560" w:type="dxa"/>
            <w:shd w:val="clear" w:color="auto" w:fill="FFFFFF"/>
          </w:tcPr>
          <w:p w14:paraId="7B510F5B" w14:textId="77777777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Far_4</w:t>
            </w:r>
          </w:p>
        </w:tc>
        <w:tc>
          <w:tcPr>
            <w:tcW w:w="708" w:type="dxa"/>
            <w:shd w:val="clear" w:color="auto" w:fill="FFFFFF"/>
          </w:tcPr>
          <w:p w14:paraId="6FC704BA" w14:textId="77777777" w:rsidR="00546A48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50 m</w:t>
            </w:r>
          </w:p>
        </w:tc>
        <w:tc>
          <w:tcPr>
            <w:tcW w:w="1063" w:type="dxa"/>
            <w:shd w:val="clear" w:color="auto" w:fill="FFFFFF"/>
          </w:tcPr>
          <w:p w14:paraId="410D43E3" w14:textId="22FD3355" w:rsidR="00546A48" w:rsidRPr="00B57B36" w:rsidRDefault="00546A48" w:rsidP="00546A4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1 m</w:t>
            </w:r>
          </w:p>
        </w:tc>
        <w:tc>
          <w:tcPr>
            <w:tcW w:w="1063" w:type="dxa"/>
            <w:shd w:val="clear" w:color="auto" w:fill="FFFFFF"/>
          </w:tcPr>
          <w:p w14:paraId="34F24018" w14:textId="77777777" w:rsidR="00546A48" w:rsidRPr="00B57B36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1.2</w:t>
            </w:r>
          </w:p>
        </w:tc>
        <w:tc>
          <w:tcPr>
            <w:tcW w:w="1063" w:type="dxa"/>
            <w:shd w:val="clear" w:color="auto" w:fill="FFFFFF"/>
          </w:tcPr>
          <w:p w14:paraId="13F7C1D3" w14:textId="6FF6D9D2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>1.5 m</w:t>
            </w:r>
          </w:p>
        </w:tc>
        <w:tc>
          <w:tcPr>
            <w:tcW w:w="1063" w:type="dxa"/>
            <w:shd w:val="clear" w:color="auto" w:fill="FFFFFF"/>
          </w:tcPr>
          <w:p w14:paraId="37644705" w14:textId="6C0F2F11" w:rsidR="00546A48" w:rsidRDefault="00546A48" w:rsidP="00546A4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1.2</w:t>
            </w:r>
          </w:p>
        </w:tc>
      </w:tr>
    </w:tbl>
    <w:p w14:paraId="3CA68FF1" w14:textId="77777777" w:rsidR="00AF1739" w:rsidRDefault="00AF1739" w:rsidP="00E925D5">
      <w:pPr>
        <w:pStyle w:val="CETBodytext"/>
        <w:rPr>
          <w:lang w:val="en-GB"/>
        </w:rPr>
      </w:pPr>
    </w:p>
    <w:p w14:paraId="191CC8FD" w14:textId="77777777" w:rsidR="00FC0E0B" w:rsidRDefault="00FC0E0B" w:rsidP="00E925D5">
      <w:pPr>
        <w:pStyle w:val="CETBodytext"/>
        <w:rPr>
          <w:lang w:val="en-GB"/>
        </w:rPr>
      </w:pPr>
    </w:p>
    <w:p w14:paraId="7B88520D" w14:textId="77777777" w:rsidR="003E3FC1" w:rsidRDefault="003E3FC1" w:rsidP="00E925D5">
      <w:pPr>
        <w:pStyle w:val="CETBodytext"/>
        <w:rPr>
          <w:lang w:val="en-GB"/>
        </w:rPr>
      </w:pPr>
    </w:p>
    <w:p w14:paraId="7858FF0D" w14:textId="77777777" w:rsidR="003E3FC1" w:rsidRDefault="003E3FC1" w:rsidP="00E925D5">
      <w:pPr>
        <w:pStyle w:val="CETBodytext"/>
        <w:rPr>
          <w:lang w:val="en-GB"/>
        </w:rPr>
      </w:pPr>
    </w:p>
    <w:p w14:paraId="1923A8A4" w14:textId="77777777" w:rsidR="003E3FC1" w:rsidRDefault="003E3FC1" w:rsidP="00E925D5">
      <w:pPr>
        <w:pStyle w:val="CETBodytext"/>
        <w:rPr>
          <w:lang w:val="en-GB"/>
        </w:rPr>
      </w:pPr>
    </w:p>
    <w:p w14:paraId="688F393B" w14:textId="77777777" w:rsidR="003E3FC1" w:rsidRDefault="003E3FC1" w:rsidP="00E925D5">
      <w:pPr>
        <w:pStyle w:val="CETBodytext"/>
        <w:rPr>
          <w:lang w:val="en-GB"/>
        </w:rPr>
      </w:pPr>
    </w:p>
    <w:p w14:paraId="0817ADF9" w14:textId="77777777" w:rsidR="003E3FC1" w:rsidRDefault="003E3FC1" w:rsidP="00E925D5">
      <w:pPr>
        <w:pStyle w:val="CETBodytext"/>
        <w:rPr>
          <w:lang w:val="en-GB"/>
        </w:rPr>
      </w:pPr>
    </w:p>
    <w:p w14:paraId="538792B1" w14:textId="77777777" w:rsidR="003E3FC1" w:rsidRDefault="003E3FC1" w:rsidP="00E925D5">
      <w:pPr>
        <w:pStyle w:val="CETBodytext"/>
        <w:rPr>
          <w:lang w:val="en-GB"/>
        </w:rPr>
      </w:pPr>
    </w:p>
    <w:p w14:paraId="6A3D9FDC" w14:textId="77777777" w:rsidR="003E3FC1" w:rsidRDefault="003E3FC1" w:rsidP="00E925D5">
      <w:pPr>
        <w:pStyle w:val="CETBodytext"/>
        <w:rPr>
          <w:lang w:val="en-GB"/>
        </w:rPr>
      </w:pPr>
    </w:p>
    <w:p w14:paraId="56C13326" w14:textId="77777777" w:rsidR="003E3FC1" w:rsidRDefault="003E3FC1" w:rsidP="00E925D5">
      <w:pPr>
        <w:pStyle w:val="CETBodytext"/>
        <w:rPr>
          <w:lang w:val="en-GB"/>
        </w:rPr>
      </w:pPr>
    </w:p>
    <w:p w14:paraId="02C7487C" w14:textId="77777777" w:rsidR="003E3FC1" w:rsidRDefault="003E3FC1" w:rsidP="00E925D5">
      <w:pPr>
        <w:pStyle w:val="CETBodytext"/>
        <w:rPr>
          <w:lang w:val="en-GB"/>
        </w:rPr>
      </w:pPr>
    </w:p>
    <w:p w14:paraId="1DEAD798" w14:textId="77777777" w:rsidR="003E3FC1" w:rsidRDefault="003E3FC1" w:rsidP="00E925D5">
      <w:pPr>
        <w:pStyle w:val="CETBodytext"/>
        <w:rPr>
          <w:lang w:val="en-GB"/>
        </w:rPr>
      </w:pPr>
    </w:p>
    <w:p w14:paraId="6CA0E4E2" w14:textId="4897E3F9" w:rsidR="003E1913" w:rsidRDefault="003E1913" w:rsidP="00E925D5">
      <w:pPr>
        <w:pStyle w:val="CETBodytext"/>
        <w:rPr>
          <w:lang w:val="en-GB"/>
        </w:rPr>
      </w:pPr>
      <w:r>
        <w:rPr>
          <w:lang w:val="en-GB"/>
        </w:rPr>
        <w:lastRenderedPageBreak/>
        <w:t>Figure 2 shows the</w:t>
      </w:r>
      <w:r w:rsidR="000C1BAC">
        <w:rPr>
          <w:lang w:val="en-GB"/>
        </w:rPr>
        <w:t xml:space="preserve"> wider</w:t>
      </w:r>
      <w:r>
        <w:rPr>
          <w:lang w:val="en-GB"/>
        </w:rPr>
        <w:t xml:space="preserve"> mesh created.</w:t>
      </w:r>
    </w:p>
    <w:p w14:paraId="425D8DC0" w14:textId="77777777" w:rsidR="00566F8E" w:rsidRDefault="00566F8E" w:rsidP="00E925D5">
      <w:pPr>
        <w:pStyle w:val="CETBodytext"/>
        <w:rPr>
          <w:lang w:val="en-GB"/>
        </w:rPr>
      </w:pPr>
    </w:p>
    <w:p w14:paraId="088B11F6" w14:textId="5F60F499" w:rsidR="00566F8E" w:rsidRDefault="0002734E" w:rsidP="00E925D5">
      <w:pPr>
        <w:pStyle w:val="CETBodytext"/>
        <w:rPr>
          <w:lang w:val="en-GB"/>
        </w:rPr>
      </w:pPr>
      <w:r w:rsidRPr="0002734E">
        <w:rPr>
          <w:noProof/>
        </w:rPr>
        <w:drawing>
          <wp:inline distT="0" distB="0" distL="0" distR="0" wp14:anchorId="25947BE8" wp14:editId="7C93276E">
            <wp:extent cx="4810125" cy="1685487"/>
            <wp:effectExtent l="0" t="0" r="0" b="0"/>
            <wp:docPr id="79999409" name="Immagine 1" descr="Immagine che contiene bianco e nero, grigio, modello, monocromat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9409" name="Immagine 1" descr="Immagine che contiene bianco e nero, grigio, modello, monocromatico&#10;&#10;Il contenuto generato dall'IA potrebbe non essere corret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49204" cy="169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9A8FB" w14:textId="5CA331C4" w:rsidR="00566F8E" w:rsidRPr="00566F8E" w:rsidRDefault="00566F8E" w:rsidP="00E925D5">
      <w:pPr>
        <w:pStyle w:val="CETBodytext"/>
        <w:rPr>
          <w:i/>
          <w:iCs/>
          <w:lang w:val="en-GB"/>
        </w:rPr>
      </w:pPr>
      <w:r w:rsidRPr="00566F8E">
        <w:rPr>
          <w:i/>
          <w:iCs/>
          <w:lang w:val="en-GB"/>
        </w:rPr>
        <w:t xml:space="preserve">Figure </w:t>
      </w:r>
      <w:r w:rsidR="003E1913">
        <w:rPr>
          <w:i/>
          <w:iCs/>
          <w:lang w:val="en-GB"/>
        </w:rPr>
        <w:t>2</w:t>
      </w:r>
      <w:r w:rsidRPr="00566F8E">
        <w:rPr>
          <w:i/>
          <w:iCs/>
          <w:lang w:val="en-GB"/>
        </w:rPr>
        <w:t>: Effect of the Body of Influence tool in the construction of the mesh</w:t>
      </w:r>
      <w:r w:rsidR="00D73C69">
        <w:rPr>
          <w:i/>
          <w:iCs/>
          <w:lang w:val="en-GB"/>
        </w:rPr>
        <w:t xml:space="preserve"> of the domain of simulation</w:t>
      </w:r>
      <w:r w:rsidR="001E5855">
        <w:rPr>
          <w:i/>
          <w:iCs/>
          <w:lang w:val="en-GB"/>
        </w:rPr>
        <w:t>.</w:t>
      </w:r>
    </w:p>
    <w:p w14:paraId="5CAE0411" w14:textId="29A57B69" w:rsidR="008F243B" w:rsidRPr="006A6C90" w:rsidRDefault="000B469A" w:rsidP="00600535">
      <w:pPr>
        <w:pStyle w:val="CETHeading1"/>
        <w:rPr>
          <w:lang w:val="en-GB"/>
        </w:rPr>
      </w:pPr>
      <w:r w:rsidRPr="006A6C90">
        <w:rPr>
          <w:lang w:val="en-GB"/>
        </w:rPr>
        <w:t>Results</w:t>
      </w:r>
      <w:r w:rsidR="00C70984">
        <w:rPr>
          <w:lang w:val="en-GB"/>
        </w:rPr>
        <w:t xml:space="preserve"> and discussion</w:t>
      </w:r>
    </w:p>
    <w:p w14:paraId="580F5A16" w14:textId="46DC9829" w:rsidR="000B469A" w:rsidRDefault="00214161" w:rsidP="000B469A">
      <w:pPr>
        <w:pStyle w:val="CETBodytext"/>
        <w:rPr>
          <w:lang w:val="en-GB"/>
        </w:rPr>
      </w:pPr>
      <w:r>
        <w:rPr>
          <w:lang w:val="en-GB"/>
        </w:rPr>
        <w:t xml:space="preserve">The </w:t>
      </w:r>
      <w:r w:rsidR="0060616E">
        <w:rPr>
          <w:lang w:val="en-GB"/>
        </w:rPr>
        <w:t>relevant data to observe are the ones related to th</w:t>
      </w:r>
      <w:r w:rsidR="00647579">
        <w:rPr>
          <w:lang w:val="en-GB"/>
        </w:rPr>
        <w:t xml:space="preserve">e volume of the </w:t>
      </w:r>
      <w:r w:rsidR="008D23C3">
        <w:rPr>
          <w:lang w:val="en-GB"/>
        </w:rPr>
        <w:t>flammable</w:t>
      </w:r>
      <w:r w:rsidR="00647579">
        <w:rPr>
          <w:lang w:val="en-GB"/>
        </w:rPr>
        <w:t xml:space="preserve"> cloud</w:t>
      </w:r>
      <w:r w:rsidR="00CA1955">
        <w:rPr>
          <w:lang w:val="en-GB"/>
        </w:rPr>
        <w:t xml:space="preserve"> created by the mixing with air. </w:t>
      </w:r>
      <w:r w:rsidR="004A684F">
        <w:rPr>
          <w:lang w:val="en-GB"/>
        </w:rPr>
        <w:t xml:space="preserve">Table </w:t>
      </w:r>
      <w:r w:rsidR="007274F4">
        <w:rPr>
          <w:lang w:val="en-GB"/>
        </w:rPr>
        <w:t>3</w:t>
      </w:r>
      <w:r w:rsidR="004A684F">
        <w:rPr>
          <w:lang w:val="en-GB"/>
        </w:rPr>
        <w:t xml:space="preserve"> reports the flammability limits considered.</w:t>
      </w:r>
      <w:r w:rsidR="00FF7775">
        <w:rPr>
          <w:lang w:val="en-GB"/>
        </w:rPr>
        <w:t xml:space="preserve"> The </w:t>
      </w:r>
      <w:r w:rsidR="002E7363">
        <w:rPr>
          <w:lang w:val="en-GB"/>
        </w:rPr>
        <w:t>flammability limits for LPG are always given in as a range of values</w:t>
      </w:r>
      <w:r w:rsidR="00EB4B63">
        <w:rPr>
          <w:lang w:val="en-GB"/>
        </w:rPr>
        <w:t xml:space="preserve">, </w:t>
      </w:r>
      <w:proofErr w:type="gramStart"/>
      <w:r w:rsidR="00EB4B63">
        <w:rPr>
          <w:lang w:val="en-GB"/>
        </w:rPr>
        <w:t>provided that</w:t>
      </w:r>
      <w:proofErr w:type="gramEnd"/>
      <w:r w:rsidR="00EB4B63">
        <w:rPr>
          <w:lang w:val="en-GB"/>
        </w:rPr>
        <w:t xml:space="preserve"> LPG composition might be slightly different depending on LPG application</w:t>
      </w:r>
      <w:r w:rsidR="001F2534">
        <w:rPr>
          <w:lang w:val="en-GB"/>
        </w:rPr>
        <w:t>.</w:t>
      </w:r>
      <w:r w:rsidR="00730422">
        <w:rPr>
          <w:lang w:val="en-GB"/>
        </w:rPr>
        <w:t xml:space="preserve"> </w:t>
      </w:r>
    </w:p>
    <w:p w14:paraId="3533D239" w14:textId="7CF2D605" w:rsidR="00FF7775" w:rsidRPr="00B57B36" w:rsidRDefault="00FF7775" w:rsidP="00FF7775">
      <w:pPr>
        <w:pStyle w:val="CETTabletitle"/>
      </w:pPr>
      <w:r w:rsidRPr="00B57B36">
        <w:t xml:space="preserve">Table </w:t>
      </w:r>
      <w:r w:rsidR="007274F4">
        <w:t>3:</w:t>
      </w:r>
      <w:r w:rsidRPr="00B57B36">
        <w:t xml:space="preserve"> </w:t>
      </w:r>
      <w:r w:rsidR="00FC5A90">
        <w:t>Flammability limits of the two fuels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0"/>
        <w:gridCol w:w="708"/>
        <w:gridCol w:w="709"/>
      </w:tblGrid>
      <w:tr w:rsidR="00FF7775" w:rsidRPr="00B57B36" w14:paraId="4A0037AE" w14:textId="77777777" w:rsidTr="001F2534">
        <w:trPr>
          <w:trHeight w:val="283"/>
        </w:trPr>
        <w:tc>
          <w:tcPr>
            <w:tcW w:w="156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2014B597" w14:textId="2E392274" w:rsidR="00FF7775" w:rsidRPr="00B57B36" w:rsidRDefault="00FF7775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 xml:space="preserve">Gas </w:t>
            </w:r>
          </w:p>
        </w:tc>
        <w:tc>
          <w:tcPr>
            <w:tcW w:w="708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55873660" w14:textId="366B2B1E" w:rsidR="00FF7775" w:rsidRPr="00B57B36" w:rsidRDefault="00FF7775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 xml:space="preserve">LFL </w:t>
            </w:r>
          </w:p>
        </w:tc>
        <w:tc>
          <w:tcPr>
            <w:tcW w:w="709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3F3DD685" w14:textId="0F1B45BA" w:rsidR="00FF7775" w:rsidRPr="00B57B36" w:rsidRDefault="00FF7775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UFL</w:t>
            </w:r>
          </w:p>
        </w:tc>
      </w:tr>
      <w:tr w:rsidR="00FF7775" w:rsidRPr="00B57B36" w14:paraId="5F93C3B9" w14:textId="77777777" w:rsidTr="001F2534">
        <w:trPr>
          <w:trHeight w:val="283"/>
        </w:trPr>
        <w:tc>
          <w:tcPr>
            <w:tcW w:w="1560" w:type="dxa"/>
            <w:shd w:val="clear" w:color="auto" w:fill="FFFFFF"/>
          </w:tcPr>
          <w:p w14:paraId="0564EDD3" w14:textId="31D135A9" w:rsidR="00FF7775" w:rsidRPr="00B57B36" w:rsidRDefault="00FF7775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Hydrogen</w:t>
            </w:r>
          </w:p>
        </w:tc>
        <w:tc>
          <w:tcPr>
            <w:tcW w:w="708" w:type="dxa"/>
            <w:shd w:val="clear" w:color="auto" w:fill="FFFFFF"/>
          </w:tcPr>
          <w:p w14:paraId="0C046271" w14:textId="6568BB1B" w:rsidR="00FF7775" w:rsidRPr="00B57B36" w:rsidRDefault="00FF7775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4%</w:t>
            </w:r>
          </w:p>
        </w:tc>
        <w:tc>
          <w:tcPr>
            <w:tcW w:w="709" w:type="dxa"/>
            <w:shd w:val="clear" w:color="auto" w:fill="FFFFFF"/>
          </w:tcPr>
          <w:p w14:paraId="1F4131AA" w14:textId="5F9377B7" w:rsidR="00FF7775" w:rsidRPr="00B57B36" w:rsidRDefault="00FF7775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75%</w:t>
            </w:r>
          </w:p>
        </w:tc>
      </w:tr>
      <w:tr w:rsidR="00FF7775" w:rsidRPr="00B57B36" w14:paraId="6A96DBA1" w14:textId="77777777" w:rsidTr="001F2534">
        <w:trPr>
          <w:trHeight w:val="283"/>
        </w:trPr>
        <w:tc>
          <w:tcPr>
            <w:tcW w:w="1560" w:type="dxa"/>
            <w:shd w:val="clear" w:color="auto" w:fill="FFFFFF"/>
          </w:tcPr>
          <w:p w14:paraId="42C874D6" w14:textId="69DCF315" w:rsidR="00FF7775" w:rsidRDefault="00FF7775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LPG</w:t>
            </w:r>
          </w:p>
        </w:tc>
        <w:tc>
          <w:tcPr>
            <w:tcW w:w="708" w:type="dxa"/>
            <w:shd w:val="clear" w:color="auto" w:fill="FFFFFF"/>
          </w:tcPr>
          <w:p w14:paraId="1F370D69" w14:textId="5C169294" w:rsidR="00FF7775" w:rsidRDefault="00FF7775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1.9%</w:t>
            </w:r>
          </w:p>
        </w:tc>
        <w:tc>
          <w:tcPr>
            <w:tcW w:w="709" w:type="dxa"/>
            <w:shd w:val="clear" w:color="auto" w:fill="FFFFFF"/>
          </w:tcPr>
          <w:p w14:paraId="1E0A3C8E" w14:textId="3D7D3F9B" w:rsidR="00FF7775" w:rsidRDefault="00FF7775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9.5%</w:t>
            </w:r>
          </w:p>
        </w:tc>
      </w:tr>
    </w:tbl>
    <w:p w14:paraId="0C8F9E0B" w14:textId="0DF6217F" w:rsidR="004A684F" w:rsidRDefault="004A684F" w:rsidP="000B469A">
      <w:pPr>
        <w:pStyle w:val="CETBodytext"/>
        <w:rPr>
          <w:lang w:val="en-GB"/>
        </w:rPr>
      </w:pPr>
    </w:p>
    <w:p w14:paraId="26D7A39B" w14:textId="0D42F405" w:rsidR="00D607D1" w:rsidRDefault="008D23C3" w:rsidP="000B469A">
      <w:pPr>
        <w:pStyle w:val="CETBodytext"/>
        <w:rPr>
          <w:lang w:val="en-GB"/>
        </w:rPr>
      </w:pPr>
      <w:r>
        <w:rPr>
          <w:lang w:val="en-GB"/>
        </w:rPr>
        <w:t>Figure</w:t>
      </w:r>
      <w:r w:rsidR="00F2515F">
        <w:rPr>
          <w:lang w:val="en-GB"/>
        </w:rPr>
        <w:t xml:space="preserve">s </w:t>
      </w:r>
      <w:r w:rsidR="00EF4BF7">
        <w:rPr>
          <w:lang w:val="en-GB"/>
        </w:rPr>
        <w:t>3-8</w:t>
      </w:r>
      <w:r>
        <w:rPr>
          <w:lang w:val="en-GB"/>
        </w:rPr>
        <w:t xml:space="preserve"> show the contours of the flammable clo</w:t>
      </w:r>
      <w:r w:rsidR="004A684F">
        <w:rPr>
          <w:lang w:val="en-GB"/>
        </w:rPr>
        <w:t>ud formed respectively by hydrogen</w:t>
      </w:r>
      <w:r w:rsidR="009C154D">
        <w:rPr>
          <w:lang w:val="en-GB"/>
        </w:rPr>
        <w:t xml:space="preserve"> (on the </w:t>
      </w:r>
      <w:r w:rsidR="00EF4BF7">
        <w:rPr>
          <w:lang w:val="en-GB"/>
        </w:rPr>
        <w:t>left</w:t>
      </w:r>
      <w:r w:rsidR="009C154D">
        <w:rPr>
          <w:lang w:val="en-GB"/>
        </w:rPr>
        <w:t>)</w:t>
      </w:r>
      <w:r w:rsidR="004A684F">
        <w:rPr>
          <w:lang w:val="en-GB"/>
        </w:rPr>
        <w:t xml:space="preserve"> and LPG</w:t>
      </w:r>
      <w:r w:rsidR="009C154D">
        <w:rPr>
          <w:lang w:val="en-GB"/>
        </w:rPr>
        <w:t xml:space="preserve"> (on the </w:t>
      </w:r>
      <w:r w:rsidR="00EF4BF7">
        <w:rPr>
          <w:lang w:val="en-GB"/>
        </w:rPr>
        <w:t>right</w:t>
      </w:r>
      <w:r w:rsidR="009C154D">
        <w:rPr>
          <w:lang w:val="en-GB"/>
        </w:rPr>
        <w:t>)</w:t>
      </w:r>
      <w:r w:rsidR="004A684F">
        <w:rPr>
          <w:lang w:val="en-GB"/>
        </w:rPr>
        <w:t xml:space="preserve"> in air</w:t>
      </w:r>
      <w:r w:rsidR="00B66327">
        <w:rPr>
          <w:lang w:val="en-GB"/>
        </w:rPr>
        <w:t xml:space="preserve"> throughout time</w:t>
      </w:r>
      <w:r w:rsidR="006C2CF0">
        <w:rPr>
          <w:lang w:val="en-GB"/>
        </w:rPr>
        <w:t xml:space="preserve">, given by the mesh with the element sizes reported in Table </w:t>
      </w:r>
      <w:r w:rsidR="003A6367">
        <w:rPr>
          <w:lang w:val="en-GB"/>
        </w:rPr>
        <w:t>2</w:t>
      </w:r>
      <w:r w:rsidR="00B66327">
        <w:rPr>
          <w:lang w:val="en-GB"/>
        </w:rPr>
        <w:t>.</w:t>
      </w:r>
      <w:r w:rsidR="008E632E">
        <w:rPr>
          <w:lang w:val="en-GB"/>
        </w:rPr>
        <w:t xml:space="preserve"> </w:t>
      </w:r>
      <w:r w:rsidR="00F42EC4">
        <w:rPr>
          <w:lang w:val="en-GB"/>
        </w:rPr>
        <w:t xml:space="preserve">The </w:t>
      </w:r>
      <w:r w:rsidR="003A6367">
        <w:rPr>
          <w:lang w:val="en-GB"/>
        </w:rPr>
        <w:t xml:space="preserve">scales refer to the </w:t>
      </w:r>
      <w:r w:rsidR="004E76DD">
        <w:rPr>
          <w:lang w:val="en-GB"/>
        </w:rPr>
        <w:t>flamma</w:t>
      </w:r>
      <w:r w:rsidR="0029151E">
        <w:rPr>
          <w:lang w:val="en-GB"/>
        </w:rPr>
        <w:t>bility limits reported in Table 3.</w:t>
      </w:r>
    </w:p>
    <w:p w14:paraId="6DDD841B" w14:textId="77777777" w:rsidR="00811D2E" w:rsidRDefault="00811D2E" w:rsidP="000B469A">
      <w:pPr>
        <w:pStyle w:val="CETBodytext"/>
        <w:rPr>
          <w:lang w:val="en-GB"/>
        </w:rPr>
      </w:pPr>
    </w:p>
    <w:p w14:paraId="6A8397E3" w14:textId="7381CD83" w:rsidR="00D607D1" w:rsidRDefault="002A5668" w:rsidP="000B469A">
      <w:pPr>
        <w:pStyle w:val="CETBodytext"/>
        <w:rPr>
          <w:lang w:val="en-GB"/>
        </w:rPr>
      </w:pPr>
      <w:r w:rsidRPr="002A5668">
        <w:rPr>
          <w:noProof/>
          <w:lang w:val="en-GB"/>
        </w:rPr>
        <w:drawing>
          <wp:inline distT="0" distB="0" distL="0" distR="0" wp14:anchorId="55B61386" wp14:editId="6B6F8010">
            <wp:extent cx="5327374" cy="1573632"/>
            <wp:effectExtent l="0" t="0" r="6985" b="7620"/>
            <wp:docPr id="17067411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41125" name=""/>
                    <pic:cNvPicPr/>
                  </pic:nvPicPr>
                  <pic:blipFill rotWithShape="1">
                    <a:blip r:embed="rId13"/>
                    <a:srcRect l="2273" t="7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90" cy="1595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CBE43" w14:textId="045A5E00" w:rsidR="00D607D1" w:rsidRPr="008148EA" w:rsidRDefault="0089215B" w:rsidP="000B469A">
      <w:pPr>
        <w:pStyle w:val="CETBodytext"/>
        <w:rPr>
          <w:i/>
          <w:iCs/>
          <w:lang w:val="en-GB"/>
        </w:rPr>
      </w:pPr>
      <w:r w:rsidRPr="008148EA">
        <w:rPr>
          <w:i/>
          <w:iCs/>
          <w:lang w:val="en-GB"/>
        </w:rPr>
        <w:t xml:space="preserve">Figure </w:t>
      </w:r>
      <w:r w:rsidR="00B9273F">
        <w:rPr>
          <w:i/>
          <w:iCs/>
          <w:lang w:val="en-GB"/>
        </w:rPr>
        <w:t>3</w:t>
      </w:r>
      <w:r w:rsidR="002A6BD3" w:rsidRPr="008148EA">
        <w:rPr>
          <w:i/>
          <w:iCs/>
          <w:lang w:val="en-GB"/>
        </w:rPr>
        <w:t xml:space="preserve">: </w:t>
      </w:r>
      <w:r w:rsidR="003732B3">
        <w:rPr>
          <w:i/>
          <w:iCs/>
          <w:lang w:val="en-GB"/>
        </w:rPr>
        <w:t>(a)</w:t>
      </w:r>
      <w:r w:rsidR="00DD6D12">
        <w:rPr>
          <w:i/>
          <w:iCs/>
          <w:lang w:val="en-GB"/>
        </w:rPr>
        <w:t xml:space="preserve"> </w:t>
      </w:r>
      <w:r w:rsidR="00D0691D">
        <w:rPr>
          <w:i/>
          <w:iCs/>
          <w:lang w:val="en-GB"/>
        </w:rPr>
        <w:t>Contour</w:t>
      </w:r>
      <w:r w:rsidR="008148EA">
        <w:rPr>
          <w:i/>
          <w:iCs/>
          <w:lang w:val="en-GB"/>
        </w:rPr>
        <w:t xml:space="preserve"> of the f</w:t>
      </w:r>
      <w:r w:rsidR="006154E6" w:rsidRPr="008148EA">
        <w:rPr>
          <w:i/>
          <w:iCs/>
          <w:lang w:val="en-GB"/>
        </w:rPr>
        <w:t xml:space="preserve">lammable cloud </w:t>
      </w:r>
      <w:r w:rsidR="00114FD0" w:rsidRPr="008148EA">
        <w:rPr>
          <w:i/>
          <w:iCs/>
          <w:lang w:val="en-GB"/>
        </w:rPr>
        <w:t xml:space="preserve">for the hydrogen </w:t>
      </w:r>
      <w:r w:rsidR="00FB22A3" w:rsidRPr="008148EA">
        <w:rPr>
          <w:i/>
          <w:iCs/>
          <w:lang w:val="en-GB"/>
        </w:rPr>
        <w:t>leakage and</w:t>
      </w:r>
      <w:r w:rsidR="00114FD0" w:rsidRPr="008148EA">
        <w:rPr>
          <w:i/>
          <w:iCs/>
          <w:lang w:val="en-GB"/>
        </w:rPr>
        <w:t xml:space="preserve"> </w:t>
      </w:r>
      <w:r w:rsidR="00D0691D">
        <w:rPr>
          <w:i/>
          <w:iCs/>
          <w:lang w:val="en-GB"/>
        </w:rPr>
        <w:t xml:space="preserve">(b) contour of the flammable cloud </w:t>
      </w:r>
      <w:r w:rsidR="00FF4851">
        <w:rPr>
          <w:i/>
          <w:iCs/>
          <w:lang w:val="en-GB"/>
        </w:rPr>
        <w:t xml:space="preserve">for </w:t>
      </w:r>
      <w:r w:rsidR="00114FD0" w:rsidRPr="008148EA">
        <w:rPr>
          <w:i/>
          <w:iCs/>
          <w:lang w:val="en-GB"/>
        </w:rPr>
        <w:t>the LPG leakage (right)</w:t>
      </w:r>
      <w:r w:rsidR="008148EA">
        <w:rPr>
          <w:i/>
          <w:iCs/>
          <w:lang w:val="en-GB"/>
        </w:rPr>
        <w:t xml:space="preserve"> at </w:t>
      </w:r>
      <w:r w:rsidR="00FF4851">
        <w:rPr>
          <w:i/>
          <w:iCs/>
          <w:lang w:val="en-GB"/>
        </w:rPr>
        <w:t>10</w:t>
      </w:r>
      <w:r w:rsidR="008148EA">
        <w:rPr>
          <w:i/>
          <w:iCs/>
          <w:lang w:val="en-GB"/>
        </w:rPr>
        <w:t xml:space="preserve"> seconds</w:t>
      </w:r>
      <w:r w:rsidR="00FF4851">
        <w:rPr>
          <w:i/>
          <w:iCs/>
          <w:lang w:val="en-GB"/>
        </w:rPr>
        <w:t>.</w:t>
      </w:r>
    </w:p>
    <w:p w14:paraId="0E727CB9" w14:textId="77777777" w:rsidR="002A6BD3" w:rsidRDefault="002A6BD3" w:rsidP="000B469A">
      <w:pPr>
        <w:pStyle w:val="CETBodytext"/>
        <w:rPr>
          <w:lang w:val="en-GB"/>
        </w:rPr>
      </w:pPr>
    </w:p>
    <w:p w14:paraId="64CA96B6" w14:textId="56A04791" w:rsidR="00FF4851" w:rsidRDefault="00045BAE" w:rsidP="000B469A">
      <w:pPr>
        <w:pStyle w:val="CETBodytext"/>
        <w:rPr>
          <w:lang w:val="en-GB"/>
        </w:rPr>
      </w:pPr>
      <w:r w:rsidRPr="00045BAE">
        <w:rPr>
          <w:noProof/>
          <w:lang w:val="en-GB"/>
        </w:rPr>
        <w:drawing>
          <wp:inline distT="0" distB="0" distL="0" distR="0" wp14:anchorId="5DE67877" wp14:editId="46680BF7">
            <wp:extent cx="5292000" cy="1571182"/>
            <wp:effectExtent l="0" t="0" r="4445" b="0"/>
            <wp:docPr id="1099701133" name="Immagine 1" descr="Immagine che contiene diagramma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01133" name="Immagine 1" descr="Immagine che contiene diagramma, schermata&#10;&#10;Il contenuto generato dall'IA potrebbe non essere corretto."/>
                    <pic:cNvPicPr/>
                  </pic:nvPicPr>
                  <pic:blipFill rotWithShape="1">
                    <a:blip r:embed="rId14"/>
                    <a:srcRect l="2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1571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994FA" w14:textId="2B8E1222" w:rsidR="00072BFA" w:rsidRPr="008148EA" w:rsidRDefault="00FB22A3" w:rsidP="00FB22A3">
      <w:pPr>
        <w:pStyle w:val="CETBodytext"/>
        <w:rPr>
          <w:i/>
          <w:iCs/>
          <w:lang w:val="en-GB"/>
        </w:rPr>
      </w:pPr>
      <w:r w:rsidRPr="008148EA">
        <w:rPr>
          <w:i/>
          <w:iCs/>
          <w:lang w:val="en-GB"/>
        </w:rPr>
        <w:t xml:space="preserve">Figure </w:t>
      </w:r>
      <w:r w:rsidR="00072BFA">
        <w:rPr>
          <w:i/>
          <w:iCs/>
          <w:lang w:val="en-GB"/>
        </w:rPr>
        <w:t>4</w:t>
      </w:r>
      <w:r w:rsidRPr="008148EA">
        <w:rPr>
          <w:i/>
          <w:iCs/>
          <w:lang w:val="en-GB"/>
        </w:rPr>
        <w:t xml:space="preserve">: </w:t>
      </w:r>
      <w:r>
        <w:rPr>
          <w:i/>
          <w:iCs/>
          <w:lang w:val="en-GB"/>
        </w:rPr>
        <w:t>(a)</w:t>
      </w:r>
      <w:r w:rsidR="00DD6D12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Contour of the f</w:t>
      </w:r>
      <w:r w:rsidRPr="008148EA">
        <w:rPr>
          <w:i/>
          <w:iCs/>
          <w:lang w:val="en-GB"/>
        </w:rPr>
        <w:t xml:space="preserve">lammable cloud for the hydrogen leakage and </w:t>
      </w:r>
      <w:r>
        <w:rPr>
          <w:i/>
          <w:iCs/>
          <w:lang w:val="en-GB"/>
        </w:rPr>
        <w:t xml:space="preserve">(b) contour of the flammable cloud for </w:t>
      </w:r>
      <w:r w:rsidRPr="008148EA">
        <w:rPr>
          <w:i/>
          <w:iCs/>
          <w:lang w:val="en-GB"/>
        </w:rPr>
        <w:t>the LPG leakage (right)</w:t>
      </w:r>
      <w:r>
        <w:rPr>
          <w:i/>
          <w:iCs/>
          <w:lang w:val="en-GB"/>
        </w:rPr>
        <w:t xml:space="preserve"> at 20 seconds.</w:t>
      </w:r>
    </w:p>
    <w:p w14:paraId="354B503D" w14:textId="712E851A" w:rsidR="00FF4851" w:rsidRDefault="005A72E5" w:rsidP="000B469A">
      <w:pPr>
        <w:pStyle w:val="CETBodytext"/>
        <w:rPr>
          <w:lang w:val="en-GB"/>
        </w:rPr>
      </w:pPr>
      <w:r w:rsidRPr="005A72E5">
        <w:rPr>
          <w:noProof/>
          <w:lang w:val="en-GB"/>
        </w:rPr>
        <w:lastRenderedPageBreak/>
        <w:drawing>
          <wp:inline distT="0" distB="0" distL="0" distR="0" wp14:anchorId="20B52052" wp14:editId="5BD0C095">
            <wp:extent cx="5327015" cy="1560812"/>
            <wp:effectExtent l="0" t="0" r="6985" b="1905"/>
            <wp:docPr id="853056418" name="Immagine 1" descr="Immagine che contiene diagramma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056418" name="Immagine 1" descr="Immagine che contiene diagramma, schermata, design&#10;&#10;Il contenuto generato dall'IA potrebbe non essere corretto."/>
                    <pic:cNvPicPr/>
                  </pic:nvPicPr>
                  <pic:blipFill rotWithShape="1">
                    <a:blip r:embed="rId15"/>
                    <a:srcRect l="2273" t="11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600" cy="1564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7B526" w14:textId="16B7FDBE" w:rsidR="00FB22A3" w:rsidRPr="008148EA" w:rsidRDefault="00FB22A3" w:rsidP="00FB22A3">
      <w:pPr>
        <w:pStyle w:val="CETBodytext"/>
        <w:rPr>
          <w:i/>
          <w:iCs/>
          <w:lang w:val="en-GB"/>
        </w:rPr>
      </w:pPr>
      <w:r w:rsidRPr="008148EA">
        <w:rPr>
          <w:i/>
          <w:iCs/>
          <w:lang w:val="en-GB"/>
        </w:rPr>
        <w:t xml:space="preserve">Figure </w:t>
      </w:r>
      <w:r w:rsidR="00072BFA">
        <w:rPr>
          <w:i/>
          <w:iCs/>
          <w:lang w:val="en-GB"/>
        </w:rPr>
        <w:t>5</w:t>
      </w:r>
      <w:r w:rsidRPr="008148EA">
        <w:rPr>
          <w:i/>
          <w:iCs/>
          <w:lang w:val="en-GB"/>
        </w:rPr>
        <w:t xml:space="preserve">: </w:t>
      </w:r>
      <w:r>
        <w:rPr>
          <w:i/>
          <w:iCs/>
          <w:lang w:val="en-GB"/>
        </w:rPr>
        <w:t>(a)</w:t>
      </w:r>
      <w:r w:rsidR="00DD6D12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Contour of the f</w:t>
      </w:r>
      <w:r w:rsidRPr="008148EA">
        <w:rPr>
          <w:i/>
          <w:iCs/>
          <w:lang w:val="en-GB"/>
        </w:rPr>
        <w:t xml:space="preserve">lammable cloud for the hydrogen leakage and </w:t>
      </w:r>
      <w:r>
        <w:rPr>
          <w:i/>
          <w:iCs/>
          <w:lang w:val="en-GB"/>
        </w:rPr>
        <w:t xml:space="preserve">(b) contour of the flammable cloud for </w:t>
      </w:r>
      <w:r w:rsidRPr="008148EA">
        <w:rPr>
          <w:i/>
          <w:iCs/>
          <w:lang w:val="en-GB"/>
        </w:rPr>
        <w:t>the LPG leakage (right)</w:t>
      </w:r>
      <w:r>
        <w:rPr>
          <w:i/>
          <w:iCs/>
          <w:lang w:val="en-GB"/>
        </w:rPr>
        <w:t xml:space="preserve"> at 30 seconds.</w:t>
      </w:r>
    </w:p>
    <w:p w14:paraId="4EEDBFB7" w14:textId="77777777" w:rsidR="00FF4851" w:rsidRDefault="00FF4851" w:rsidP="000B469A">
      <w:pPr>
        <w:pStyle w:val="CETBodytext"/>
        <w:rPr>
          <w:lang w:val="en-GB"/>
        </w:rPr>
      </w:pPr>
    </w:p>
    <w:p w14:paraId="4C2004C9" w14:textId="368831A9" w:rsidR="00C14C33" w:rsidRDefault="00C14C33" w:rsidP="000B469A">
      <w:pPr>
        <w:pStyle w:val="CETBodytext"/>
        <w:rPr>
          <w:lang w:val="en-GB"/>
        </w:rPr>
      </w:pPr>
      <w:r w:rsidRPr="00C14C33">
        <w:rPr>
          <w:noProof/>
          <w:lang w:val="en-GB"/>
        </w:rPr>
        <w:drawing>
          <wp:inline distT="0" distB="0" distL="0" distR="0" wp14:anchorId="21E5FEF5" wp14:editId="5B0C3C9D">
            <wp:extent cx="5239910" cy="1536364"/>
            <wp:effectExtent l="0" t="0" r="0" b="6985"/>
            <wp:docPr id="1337559788" name="Immagine 1" descr="Immagine che contiene diagramma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59788" name="Immagine 1" descr="Immagine che contiene diagramma, schermata, design&#10;&#10;Il contenuto generato dall'IA potrebbe non essere corretto."/>
                    <pic:cNvPicPr/>
                  </pic:nvPicPr>
                  <pic:blipFill rotWithShape="1">
                    <a:blip r:embed="rId16"/>
                    <a:srcRect l="758" t="3887" b="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352" cy="154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8AD16D" w14:textId="19D4C998" w:rsidR="00FB22A3" w:rsidRPr="008148EA" w:rsidRDefault="00FB22A3" w:rsidP="00FB22A3">
      <w:pPr>
        <w:pStyle w:val="CETBodytext"/>
        <w:rPr>
          <w:i/>
          <w:iCs/>
          <w:lang w:val="en-GB"/>
        </w:rPr>
      </w:pPr>
      <w:r w:rsidRPr="008148EA">
        <w:rPr>
          <w:i/>
          <w:iCs/>
          <w:lang w:val="en-GB"/>
        </w:rPr>
        <w:t xml:space="preserve">Figure </w:t>
      </w:r>
      <w:r w:rsidR="00072BFA">
        <w:rPr>
          <w:i/>
          <w:iCs/>
          <w:lang w:val="en-GB"/>
        </w:rPr>
        <w:t>6</w:t>
      </w:r>
      <w:r w:rsidRPr="008148EA">
        <w:rPr>
          <w:i/>
          <w:iCs/>
          <w:lang w:val="en-GB"/>
        </w:rPr>
        <w:t xml:space="preserve">: </w:t>
      </w:r>
      <w:r>
        <w:rPr>
          <w:i/>
          <w:iCs/>
          <w:lang w:val="en-GB"/>
        </w:rPr>
        <w:t>(a)</w:t>
      </w:r>
      <w:r w:rsidR="00DD6D12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Contour of the f</w:t>
      </w:r>
      <w:r w:rsidRPr="008148EA">
        <w:rPr>
          <w:i/>
          <w:iCs/>
          <w:lang w:val="en-GB"/>
        </w:rPr>
        <w:t xml:space="preserve">lammable cloud for the hydrogen leakage and </w:t>
      </w:r>
      <w:r>
        <w:rPr>
          <w:i/>
          <w:iCs/>
          <w:lang w:val="en-GB"/>
        </w:rPr>
        <w:t xml:space="preserve">(b) contour of the flammable cloud for </w:t>
      </w:r>
      <w:r w:rsidRPr="008148EA">
        <w:rPr>
          <w:i/>
          <w:iCs/>
          <w:lang w:val="en-GB"/>
        </w:rPr>
        <w:t>the LPG leakage (right)</w:t>
      </w:r>
      <w:r>
        <w:rPr>
          <w:i/>
          <w:iCs/>
          <w:lang w:val="en-GB"/>
        </w:rPr>
        <w:t xml:space="preserve"> at 40 seconds.</w:t>
      </w:r>
    </w:p>
    <w:p w14:paraId="608C1774" w14:textId="77777777" w:rsidR="00FF4851" w:rsidRDefault="00FF4851" w:rsidP="000B469A">
      <w:pPr>
        <w:pStyle w:val="CETBodytext"/>
        <w:rPr>
          <w:lang w:val="en-GB"/>
        </w:rPr>
      </w:pPr>
    </w:p>
    <w:p w14:paraId="1EE616DC" w14:textId="3D25FEFF" w:rsidR="002611D6" w:rsidRDefault="00B31E0E" w:rsidP="000B469A">
      <w:pPr>
        <w:pStyle w:val="CETBodytext"/>
        <w:rPr>
          <w:lang w:val="en-GB"/>
        </w:rPr>
      </w:pPr>
      <w:r w:rsidRPr="00B31E0E">
        <w:rPr>
          <w:noProof/>
          <w:lang w:val="en-GB"/>
        </w:rPr>
        <w:drawing>
          <wp:inline distT="0" distB="0" distL="0" distR="0" wp14:anchorId="75B44EFB" wp14:editId="62357FA1">
            <wp:extent cx="5292000" cy="1525119"/>
            <wp:effectExtent l="0" t="0" r="4445" b="0"/>
            <wp:docPr id="1911682527" name="Immagine 1" descr="Immagine che contiene diagramma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82527" name="Immagine 1" descr="Immagine che contiene diagramma, schermata, design&#10;&#10;Il contenuto generato dall'IA potrebbe non essere corretto."/>
                    <pic:cNvPicPr/>
                  </pic:nvPicPr>
                  <pic:blipFill rotWithShape="1">
                    <a:blip r:embed="rId17"/>
                    <a:srcRect l="2369" t="4849" b="5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1525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48C81" w14:textId="5D985FFF" w:rsidR="00FB22A3" w:rsidRPr="008148EA" w:rsidRDefault="00FB22A3" w:rsidP="00FB22A3">
      <w:pPr>
        <w:pStyle w:val="CETBodytext"/>
        <w:rPr>
          <w:i/>
          <w:iCs/>
          <w:lang w:val="en-GB"/>
        </w:rPr>
      </w:pPr>
      <w:r w:rsidRPr="008148EA">
        <w:rPr>
          <w:i/>
          <w:iCs/>
          <w:lang w:val="en-GB"/>
        </w:rPr>
        <w:t xml:space="preserve">Figure </w:t>
      </w:r>
      <w:r w:rsidR="00072BFA">
        <w:rPr>
          <w:i/>
          <w:iCs/>
          <w:lang w:val="en-GB"/>
        </w:rPr>
        <w:t>7</w:t>
      </w:r>
      <w:r w:rsidRPr="008148EA">
        <w:rPr>
          <w:i/>
          <w:iCs/>
          <w:lang w:val="en-GB"/>
        </w:rPr>
        <w:t xml:space="preserve">: </w:t>
      </w:r>
      <w:r>
        <w:rPr>
          <w:i/>
          <w:iCs/>
          <w:lang w:val="en-GB"/>
        </w:rPr>
        <w:t>(a)</w:t>
      </w:r>
      <w:r w:rsidR="00DD6D12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Contour of the f</w:t>
      </w:r>
      <w:r w:rsidRPr="008148EA">
        <w:rPr>
          <w:i/>
          <w:iCs/>
          <w:lang w:val="en-GB"/>
        </w:rPr>
        <w:t xml:space="preserve">lammable cloud for the hydrogen leakage and </w:t>
      </w:r>
      <w:r>
        <w:rPr>
          <w:i/>
          <w:iCs/>
          <w:lang w:val="en-GB"/>
        </w:rPr>
        <w:t xml:space="preserve">(b) contour of the flammable cloud for </w:t>
      </w:r>
      <w:r w:rsidRPr="008148EA">
        <w:rPr>
          <w:i/>
          <w:iCs/>
          <w:lang w:val="en-GB"/>
        </w:rPr>
        <w:t>the LPG leakage (right)</w:t>
      </w:r>
      <w:r>
        <w:rPr>
          <w:i/>
          <w:iCs/>
          <w:lang w:val="en-GB"/>
        </w:rPr>
        <w:t xml:space="preserve"> at 50 seconds.</w:t>
      </w:r>
    </w:p>
    <w:p w14:paraId="6372C973" w14:textId="77777777" w:rsidR="00FF4851" w:rsidRDefault="00FF4851" w:rsidP="000B469A">
      <w:pPr>
        <w:pStyle w:val="CETBodytext"/>
        <w:rPr>
          <w:lang w:val="en-GB"/>
        </w:rPr>
      </w:pPr>
    </w:p>
    <w:p w14:paraId="7EE9705E" w14:textId="2E37BDCF" w:rsidR="002611D6" w:rsidRDefault="00317573" w:rsidP="000B469A">
      <w:pPr>
        <w:pStyle w:val="CETBodytext"/>
        <w:rPr>
          <w:lang w:val="en-GB"/>
        </w:rPr>
      </w:pPr>
      <w:r w:rsidRPr="00317573">
        <w:rPr>
          <w:noProof/>
          <w:lang w:val="en-GB"/>
        </w:rPr>
        <w:drawing>
          <wp:inline distT="0" distB="0" distL="0" distR="0" wp14:anchorId="2B798A23" wp14:editId="1CB16796">
            <wp:extent cx="5318760" cy="1573530"/>
            <wp:effectExtent l="0" t="0" r="0" b="7620"/>
            <wp:docPr id="749767410" name="Immagine 1" descr="Immagine che contiene diagramma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67410" name="Immagine 1" descr="Immagine che contiene diagramma, schermata, design&#10;&#10;Il contenuto generato dall'IA potrebbe non essere corretto."/>
                    <pic:cNvPicPr/>
                  </pic:nvPicPr>
                  <pic:blipFill rotWithShape="1">
                    <a:blip r:embed="rId18"/>
                    <a:srcRect l="1870" t="6033" r="4594" b="10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170" cy="1573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5AA009" w14:textId="39A79713" w:rsidR="00FB22A3" w:rsidRPr="008148EA" w:rsidRDefault="00FB22A3" w:rsidP="00FB22A3">
      <w:pPr>
        <w:pStyle w:val="CETBodytext"/>
        <w:rPr>
          <w:i/>
          <w:iCs/>
          <w:lang w:val="en-GB"/>
        </w:rPr>
      </w:pPr>
      <w:r w:rsidRPr="008148EA">
        <w:rPr>
          <w:i/>
          <w:iCs/>
          <w:lang w:val="en-GB"/>
        </w:rPr>
        <w:t xml:space="preserve">Figure </w:t>
      </w:r>
      <w:r w:rsidR="00072BFA">
        <w:rPr>
          <w:i/>
          <w:iCs/>
          <w:lang w:val="en-GB"/>
        </w:rPr>
        <w:t>8</w:t>
      </w:r>
      <w:r w:rsidRPr="008148EA">
        <w:rPr>
          <w:i/>
          <w:iCs/>
          <w:lang w:val="en-GB"/>
        </w:rPr>
        <w:t xml:space="preserve">: </w:t>
      </w:r>
      <w:r>
        <w:rPr>
          <w:i/>
          <w:iCs/>
          <w:lang w:val="en-GB"/>
        </w:rPr>
        <w:t>(a)</w:t>
      </w:r>
      <w:r w:rsidR="00DD6D12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Contour of the f</w:t>
      </w:r>
      <w:r w:rsidRPr="008148EA">
        <w:rPr>
          <w:i/>
          <w:iCs/>
          <w:lang w:val="en-GB"/>
        </w:rPr>
        <w:t xml:space="preserve">lammable cloud for the hydrogen leakage and </w:t>
      </w:r>
      <w:r>
        <w:rPr>
          <w:i/>
          <w:iCs/>
          <w:lang w:val="en-GB"/>
        </w:rPr>
        <w:t xml:space="preserve">(b) contour of the flammable cloud for </w:t>
      </w:r>
      <w:r w:rsidRPr="008148EA">
        <w:rPr>
          <w:i/>
          <w:iCs/>
          <w:lang w:val="en-GB"/>
        </w:rPr>
        <w:t>the LPG leakage (right)</w:t>
      </w:r>
      <w:r>
        <w:rPr>
          <w:i/>
          <w:iCs/>
          <w:lang w:val="en-GB"/>
        </w:rPr>
        <w:t xml:space="preserve"> at 60 seconds.</w:t>
      </w:r>
    </w:p>
    <w:p w14:paraId="32492D4C" w14:textId="77777777" w:rsidR="00FF4851" w:rsidRDefault="00FF4851" w:rsidP="000B469A">
      <w:pPr>
        <w:pStyle w:val="CETBodytext"/>
        <w:rPr>
          <w:lang w:val="en-GB"/>
        </w:rPr>
      </w:pPr>
    </w:p>
    <w:p w14:paraId="6FCC2360" w14:textId="71BF82F8" w:rsidR="002E62E0" w:rsidRDefault="00930C7B" w:rsidP="000B469A">
      <w:pPr>
        <w:pStyle w:val="CETBodytext"/>
        <w:rPr>
          <w:lang w:val="en-GB"/>
        </w:rPr>
      </w:pPr>
      <w:r>
        <w:rPr>
          <w:lang w:val="en-GB"/>
        </w:rPr>
        <w:t xml:space="preserve">The contours </w:t>
      </w:r>
      <w:r w:rsidR="003D5BD9">
        <w:rPr>
          <w:lang w:val="en-GB"/>
        </w:rPr>
        <w:t>show</w:t>
      </w:r>
      <w:r>
        <w:rPr>
          <w:lang w:val="en-GB"/>
        </w:rPr>
        <w:t xml:space="preserve"> that </w:t>
      </w:r>
      <w:r w:rsidR="003D5BD9">
        <w:rPr>
          <w:lang w:val="en-GB"/>
        </w:rPr>
        <w:t xml:space="preserve">the flammable zone created by hydrogen and air is </w:t>
      </w:r>
      <w:r w:rsidR="00196CB1">
        <w:rPr>
          <w:lang w:val="en-GB"/>
        </w:rPr>
        <w:t xml:space="preserve">greater than the one due to LPG and air, as expected given the values for the </w:t>
      </w:r>
      <w:r w:rsidR="001443BB">
        <w:rPr>
          <w:lang w:val="en-GB"/>
        </w:rPr>
        <w:t xml:space="preserve">lower flammability limit (LFL) and upper flammability limit (UFL) </w:t>
      </w:r>
      <w:r w:rsidR="00000C0F">
        <w:rPr>
          <w:lang w:val="en-GB"/>
        </w:rPr>
        <w:t xml:space="preserve">ranges and the boundary conditions of the two discharges. </w:t>
      </w:r>
      <w:r w:rsidR="000669B1">
        <w:rPr>
          <w:lang w:val="en-GB"/>
        </w:rPr>
        <w:t xml:space="preserve">In fact, </w:t>
      </w:r>
      <w:r w:rsidR="00230345">
        <w:rPr>
          <w:lang w:val="en-GB"/>
        </w:rPr>
        <w:t xml:space="preserve">in the first case, the cloud rises </w:t>
      </w:r>
      <w:r w:rsidR="001E5455">
        <w:rPr>
          <w:lang w:val="en-GB"/>
        </w:rPr>
        <w:t xml:space="preserve">far above the </w:t>
      </w:r>
      <w:r w:rsidR="001E5455">
        <w:rPr>
          <w:lang w:val="en-GB"/>
        </w:rPr>
        <w:lastRenderedPageBreak/>
        <w:t>area of the fuel dispensers and the store</w:t>
      </w:r>
      <w:r w:rsidR="0053160A" w:rsidRPr="0053160A">
        <w:rPr>
          <w:lang w:val="en-GB"/>
        </w:rPr>
        <w:t xml:space="preserve"> </w:t>
      </w:r>
      <w:r w:rsidR="0053160A">
        <w:rPr>
          <w:lang w:val="en-GB"/>
        </w:rPr>
        <w:t>already after 20 seconds of release, and it results more turbulent.</w:t>
      </w:r>
      <w:r w:rsidR="00CE4C96">
        <w:rPr>
          <w:lang w:val="en-GB"/>
        </w:rPr>
        <w:t xml:space="preserve"> On the other hand, </w:t>
      </w:r>
      <w:r w:rsidR="0047357B">
        <w:rPr>
          <w:lang w:val="en-GB"/>
        </w:rPr>
        <w:t xml:space="preserve">in the second case, </w:t>
      </w:r>
      <w:r w:rsidR="00CE4C96">
        <w:rPr>
          <w:lang w:val="en-GB"/>
        </w:rPr>
        <w:t>the behaviour of the cloud</w:t>
      </w:r>
      <w:r w:rsidR="0047357B">
        <w:rPr>
          <w:lang w:val="en-GB"/>
        </w:rPr>
        <w:t xml:space="preserve"> </w:t>
      </w:r>
      <w:r w:rsidR="00CE4C96">
        <w:rPr>
          <w:lang w:val="en-GB"/>
        </w:rPr>
        <w:t xml:space="preserve">does not </w:t>
      </w:r>
      <w:r w:rsidR="0047357B">
        <w:rPr>
          <w:lang w:val="en-GB"/>
        </w:rPr>
        <w:t>show significant variations throughout the time, and the cloud is more confined</w:t>
      </w:r>
      <w:r w:rsidR="00FE00A0">
        <w:rPr>
          <w:lang w:val="en-GB"/>
        </w:rPr>
        <w:t xml:space="preserve">. </w:t>
      </w:r>
    </w:p>
    <w:p w14:paraId="2A5364C2" w14:textId="5AB4991B" w:rsidR="0053160A" w:rsidRDefault="00BF5BA6" w:rsidP="000B469A">
      <w:pPr>
        <w:pStyle w:val="CETBodytext"/>
        <w:rPr>
          <w:lang w:val="en-GB"/>
        </w:rPr>
      </w:pPr>
      <w:r>
        <w:rPr>
          <w:lang w:val="en-GB"/>
        </w:rPr>
        <w:t>The volume occupied by the cloud</w:t>
      </w:r>
      <w:r w:rsidR="002E62E0">
        <w:rPr>
          <w:lang w:val="en-GB"/>
        </w:rPr>
        <w:t xml:space="preserve"> after 60 seconds of discharge</w:t>
      </w:r>
      <w:r>
        <w:rPr>
          <w:lang w:val="en-GB"/>
        </w:rPr>
        <w:t xml:space="preserve"> </w:t>
      </w:r>
      <w:r w:rsidR="00E569E5">
        <w:rPr>
          <w:lang w:val="en-GB"/>
        </w:rPr>
        <w:t xml:space="preserve">is </w:t>
      </w:r>
      <w:r w:rsidR="006C2CF0">
        <w:rPr>
          <w:lang w:val="en-GB"/>
        </w:rPr>
        <w:t xml:space="preserve">in the order of magnitude </w:t>
      </w:r>
      <w:r w:rsidR="00E569E5">
        <w:rPr>
          <w:lang w:val="en-GB"/>
        </w:rPr>
        <w:t xml:space="preserve">of </w:t>
      </w:r>
      <w:r w:rsidR="00BC113E">
        <w:rPr>
          <w:lang w:val="en-GB"/>
        </w:rPr>
        <w:t>1</w:t>
      </w:r>
      <w:r w:rsidR="009B4439">
        <w:rPr>
          <w:lang w:val="en-GB"/>
        </w:rPr>
        <w:t>0</w:t>
      </w:r>
      <w:r w:rsidR="00BC113E">
        <w:rPr>
          <w:lang w:val="en-GB"/>
        </w:rPr>
        <w:t>,</w:t>
      </w:r>
      <w:r w:rsidR="009B4439">
        <w:rPr>
          <w:lang w:val="en-GB"/>
        </w:rPr>
        <w:t>000</w:t>
      </w:r>
      <w:r w:rsidR="00BC113E">
        <w:rPr>
          <w:lang w:val="en-GB"/>
        </w:rPr>
        <w:t xml:space="preserve"> m</w:t>
      </w:r>
      <w:r w:rsidR="00BC113E" w:rsidRPr="00BC113E">
        <w:rPr>
          <w:vertAlign w:val="superscript"/>
          <w:lang w:val="en-GB"/>
        </w:rPr>
        <w:t>3</w:t>
      </w:r>
      <w:r w:rsidR="00BC113E">
        <w:rPr>
          <w:lang w:val="en-GB"/>
        </w:rPr>
        <w:t xml:space="preserve"> </w:t>
      </w:r>
      <w:r w:rsidR="00E569E5">
        <w:rPr>
          <w:lang w:val="en-GB"/>
        </w:rPr>
        <w:t>in the case o</w:t>
      </w:r>
      <w:r w:rsidR="0019335F">
        <w:rPr>
          <w:lang w:val="en-GB"/>
        </w:rPr>
        <w:t xml:space="preserve">f hydrogen and </w:t>
      </w:r>
      <w:r w:rsidR="009B4439">
        <w:rPr>
          <w:lang w:val="en-GB"/>
        </w:rPr>
        <w:t>in the order of magnitude of 10</w:t>
      </w:r>
      <w:r w:rsidR="00BC113E">
        <w:rPr>
          <w:lang w:val="en-GB"/>
        </w:rPr>
        <w:t xml:space="preserve"> m</w:t>
      </w:r>
      <w:r w:rsidR="00BC113E" w:rsidRPr="00BC113E">
        <w:rPr>
          <w:vertAlign w:val="superscript"/>
          <w:lang w:val="en-GB"/>
        </w:rPr>
        <w:t>3</w:t>
      </w:r>
      <w:r w:rsidR="00BC113E">
        <w:rPr>
          <w:lang w:val="en-GB"/>
        </w:rPr>
        <w:t xml:space="preserve"> </w:t>
      </w:r>
      <w:r w:rsidR="0019335F">
        <w:rPr>
          <w:lang w:val="en-GB"/>
        </w:rPr>
        <w:t>in the case of LPG</w:t>
      </w:r>
      <w:r w:rsidR="00E569E5">
        <w:rPr>
          <w:lang w:val="en-GB"/>
        </w:rPr>
        <w:t xml:space="preserve">. </w:t>
      </w:r>
    </w:p>
    <w:p w14:paraId="61018DF4" w14:textId="374BB2D5" w:rsidR="003E3FC1" w:rsidRDefault="00BD75F3" w:rsidP="000B469A">
      <w:pPr>
        <w:pStyle w:val="CETBodytext"/>
        <w:rPr>
          <w:lang w:val="en-GB"/>
        </w:rPr>
      </w:pPr>
      <w:r>
        <w:rPr>
          <w:lang w:val="en-GB"/>
        </w:rPr>
        <w:t xml:space="preserve">The overpressure values calculated </w:t>
      </w:r>
      <w:r w:rsidR="00151731">
        <w:rPr>
          <w:lang w:val="en-GB"/>
        </w:rPr>
        <w:t xml:space="preserve">using the TNT Equivalent Method </w:t>
      </w:r>
      <w:r>
        <w:rPr>
          <w:lang w:val="en-GB"/>
        </w:rPr>
        <w:t>at the distance of 20 m from the leakage point</w:t>
      </w:r>
      <w:r w:rsidR="00151731">
        <w:rPr>
          <w:lang w:val="en-GB"/>
        </w:rPr>
        <w:t xml:space="preserve"> resulted in </w:t>
      </w:r>
      <w:r w:rsidR="00435942">
        <w:rPr>
          <w:lang w:val="en-GB"/>
        </w:rPr>
        <w:t xml:space="preserve">almost </w:t>
      </w:r>
      <w:r w:rsidR="00AD0206">
        <w:rPr>
          <w:lang w:val="en-GB"/>
        </w:rPr>
        <w:t>3</w:t>
      </w:r>
      <w:r w:rsidR="00435942">
        <w:rPr>
          <w:lang w:val="en-GB"/>
        </w:rPr>
        <w:t>.4 bar for the H</w:t>
      </w:r>
      <w:r w:rsidR="00435942" w:rsidRPr="00B83507">
        <w:rPr>
          <w:vertAlign w:val="subscript"/>
          <w:lang w:val="en-GB"/>
        </w:rPr>
        <w:t>2</w:t>
      </w:r>
      <w:r w:rsidR="00435942">
        <w:rPr>
          <w:lang w:val="en-GB"/>
        </w:rPr>
        <w:t xml:space="preserve"> release scenario and </w:t>
      </w:r>
      <w:r w:rsidR="00104BF6">
        <w:rPr>
          <w:lang w:val="en-GB"/>
        </w:rPr>
        <w:t>0.4 bar for the LPG release scenario.</w:t>
      </w:r>
    </w:p>
    <w:p w14:paraId="68D26B83" w14:textId="3C928967" w:rsidR="00600535" w:rsidRPr="006A6C90" w:rsidRDefault="00600535" w:rsidP="00600535">
      <w:pPr>
        <w:pStyle w:val="CETHeading1"/>
        <w:rPr>
          <w:lang w:val="en-GB"/>
        </w:rPr>
      </w:pPr>
      <w:r w:rsidRPr="006A6C90">
        <w:rPr>
          <w:lang w:val="en-GB"/>
        </w:rPr>
        <w:t>Conclusions</w:t>
      </w:r>
    </w:p>
    <w:p w14:paraId="52DAFDE0" w14:textId="4E33AF1C" w:rsidR="001D0CFB" w:rsidRDefault="00FB046D" w:rsidP="00DE0464">
      <w:pPr>
        <w:pStyle w:val="CETBodytext"/>
        <w:rPr>
          <w:lang w:val="en-GB"/>
        </w:rPr>
      </w:pPr>
      <w:r>
        <w:rPr>
          <w:lang w:val="en-GB"/>
        </w:rPr>
        <w:t xml:space="preserve">The comparison between </w:t>
      </w:r>
      <w:r w:rsidR="00EA3089">
        <w:rPr>
          <w:lang w:val="en-GB"/>
        </w:rPr>
        <w:t xml:space="preserve">the scenarios of hydrogen and LPG </w:t>
      </w:r>
      <w:r w:rsidR="00EB04C8">
        <w:rPr>
          <w:lang w:val="en-GB"/>
        </w:rPr>
        <w:t>discharges</w:t>
      </w:r>
      <w:r w:rsidR="00EA3089">
        <w:rPr>
          <w:lang w:val="en-GB"/>
        </w:rPr>
        <w:t xml:space="preserve"> from the storage area of a generic refuelling station </w:t>
      </w:r>
      <w:r w:rsidR="31B05B3B" w:rsidRPr="7BEF9144">
        <w:rPr>
          <w:lang w:val="en-GB"/>
        </w:rPr>
        <w:t>was</w:t>
      </w:r>
      <w:r w:rsidR="00EA3089">
        <w:rPr>
          <w:lang w:val="en-GB"/>
        </w:rPr>
        <w:t xml:space="preserve"> presented in this study. Starting from a </w:t>
      </w:r>
      <w:r w:rsidR="00EB04C8">
        <w:rPr>
          <w:lang w:val="en-GB"/>
        </w:rPr>
        <w:t>real case scenario</w:t>
      </w:r>
      <w:r w:rsidR="00025E55">
        <w:rPr>
          <w:lang w:val="en-GB"/>
        </w:rPr>
        <w:t>, the consequences of t</w:t>
      </w:r>
      <w:r w:rsidR="00EB04C8">
        <w:rPr>
          <w:lang w:val="en-GB"/>
        </w:rPr>
        <w:t xml:space="preserve">he two accidental releases in the atmosphere </w:t>
      </w:r>
      <w:r w:rsidR="00BA6A07">
        <w:rPr>
          <w:lang w:val="en-GB"/>
        </w:rPr>
        <w:t xml:space="preserve">were </w:t>
      </w:r>
      <w:r w:rsidR="00250CC6">
        <w:rPr>
          <w:lang w:val="en-GB"/>
        </w:rPr>
        <w:t>analysed and</w:t>
      </w:r>
      <w:r w:rsidR="00BA6A07">
        <w:rPr>
          <w:lang w:val="en-GB"/>
        </w:rPr>
        <w:t xml:space="preserve"> proved that</w:t>
      </w:r>
      <w:r w:rsidR="008A61EB">
        <w:rPr>
          <w:lang w:val="en-GB"/>
        </w:rPr>
        <w:t xml:space="preserve"> the flammable area created by the mixture of hydrogen with air </w:t>
      </w:r>
      <w:r w:rsidR="00E41CE2">
        <w:rPr>
          <w:lang w:val="en-GB"/>
        </w:rPr>
        <w:t xml:space="preserve">resulted in a </w:t>
      </w:r>
      <w:r w:rsidR="00250CC6">
        <w:rPr>
          <w:lang w:val="en-GB"/>
        </w:rPr>
        <w:t xml:space="preserve">volume three order of magnitude greater than the one created by the mixture of LPG with air. This is, of course, related to the </w:t>
      </w:r>
      <w:r w:rsidR="00A003B6">
        <w:rPr>
          <w:lang w:val="en-GB"/>
        </w:rPr>
        <w:t xml:space="preserve">different </w:t>
      </w:r>
      <w:r w:rsidR="00A003B6" w:rsidRPr="00F46077">
        <w:rPr>
          <w:lang w:val="en-GB"/>
        </w:rPr>
        <w:t>physical-chemical properties</w:t>
      </w:r>
      <w:r w:rsidR="00A003B6">
        <w:rPr>
          <w:lang w:val="en-GB"/>
        </w:rPr>
        <w:t xml:space="preserve"> of the two fuels</w:t>
      </w:r>
      <w:r w:rsidR="006517AD">
        <w:rPr>
          <w:lang w:val="en-GB"/>
        </w:rPr>
        <w:t xml:space="preserve"> an</w:t>
      </w:r>
      <w:r w:rsidR="007E761B">
        <w:rPr>
          <w:lang w:val="en-GB"/>
        </w:rPr>
        <w:t xml:space="preserve">d highlights </w:t>
      </w:r>
      <w:r w:rsidR="00100DE5">
        <w:rPr>
          <w:lang w:val="en-GB"/>
        </w:rPr>
        <w:t xml:space="preserve">the need for </w:t>
      </w:r>
      <w:r w:rsidR="00E461FD">
        <w:rPr>
          <w:lang w:val="en-GB"/>
        </w:rPr>
        <w:t>more investigation on the topic</w:t>
      </w:r>
      <w:r w:rsidR="007E761B">
        <w:rPr>
          <w:lang w:val="en-GB"/>
        </w:rPr>
        <w:t>, if hydrogen will serve as substitution for LPG as fuel in the future years</w:t>
      </w:r>
      <w:r w:rsidR="00E461FD">
        <w:rPr>
          <w:lang w:val="en-GB"/>
        </w:rPr>
        <w:t xml:space="preserve">. </w:t>
      </w:r>
    </w:p>
    <w:p w14:paraId="4F1327F8" w14:textId="77777777" w:rsidR="00600535" w:rsidRPr="003E3FC1" w:rsidRDefault="00600535" w:rsidP="00600535">
      <w:pPr>
        <w:pStyle w:val="CETReference"/>
        <w:rPr>
          <w:lang w:val="it-IT"/>
        </w:rPr>
      </w:pPr>
      <w:proofErr w:type="spellStart"/>
      <w:r w:rsidRPr="003E3FC1">
        <w:rPr>
          <w:lang w:val="it-IT"/>
        </w:rPr>
        <w:t>References</w:t>
      </w:r>
      <w:proofErr w:type="spellEnd"/>
    </w:p>
    <w:p w14:paraId="4328B28E" w14:textId="21DF84B7" w:rsidR="0091753C" w:rsidRPr="00BA4606" w:rsidRDefault="0091753C" w:rsidP="00AD2CE3">
      <w:pPr>
        <w:pStyle w:val="CETReferencetext"/>
        <w:rPr>
          <w:lang w:val="en-US"/>
        </w:rPr>
      </w:pPr>
      <w:r w:rsidRPr="00BA4606">
        <w:rPr>
          <w:lang w:val="en-US"/>
        </w:rPr>
        <w:t>Astbury, G.R.</w:t>
      </w:r>
      <w:r w:rsidR="00AD2CE3" w:rsidRPr="00BA4606">
        <w:rPr>
          <w:lang w:val="en-US"/>
        </w:rPr>
        <w:t>,</w:t>
      </w:r>
      <w:r w:rsidRPr="00BA4606">
        <w:rPr>
          <w:lang w:val="en-US"/>
        </w:rPr>
        <w:t xml:space="preserve"> Hawksworth, S.J.</w:t>
      </w:r>
      <w:r w:rsidR="00AD2CE3" w:rsidRPr="00BA4606">
        <w:rPr>
          <w:lang w:val="en-US"/>
        </w:rPr>
        <w:t>,</w:t>
      </w:r>
      <w:r w:rsidRPr="00BA4606">
        <w:rPr>
          <w:lang w:val="en-US"/>
        </w:rPr>
        <w:t xml:space="preserve"> 2007</w:t>
      </w:r>
      <w:r w:rsidR="00AD2CE3" w:rsidRPr="00BA4606">
        <w:rPr>
          <w:lang w:val="en-US"/>
        </w:rPr>
        <w:t>,</w:t>
      </w:r>
      <w:r w:rsidRPr="00BA4606">
        <w:rPr>
          <w:lang w:val="en-US"/>
        </w:rPr>
        <w:t xml:space="preserve"> Spontaneous ignition of hydrogen leaks: A review of postulated mechanisms</w:t>
      </w:r>
      <w:r w:rsidR="00AD2CE3" w:rsidRPr="00BA4606">
        <w:rPr>
          <w:lang w:val="en-US"/>
        </w:rPr>
        <w:t xml:space="preserve">, </w:t>
      </w:r>
      <w:r w:rsidRPr="00BA4606">
        <w:rPr>
          <w:lang w:val="en-US"/>
        </w:rPr>
        <w:t>International Journal of Hydrogen Energy, 32(13),</w:t>
      </w:r>
      <w:r w:rsidR="00AD2CE3" w:rsidRPr="00BA4606">
        <w:rPr>
          <w:lang w:val="en-US"/>
        </w:rPr>
        <w:t xml:space="preserve"> </w:t>
      </w:r>
      <w:r w:rsidRPr="00BA4606">
        <w:rPr>
          <w:lang w:val="en-US"/>
        </w:rPr>
        <w:t xml:space="preserve">2178–2185. </w:t>
      </w:r>
    </w:p>
    <w:p w14:paraId="768A045E" w14:textId="1C5A63EA" w:rsidR="002E63A9" w:rsidRPr="00BA4606" w:rsidRDefault="00182456" w:rsidP="00532756">
      <w:pPr>
        <w:pStyle w:val="CETReferencetext"/>
        <w:rPr>
          <w:lang w:val="en-US"/>
        </w:rPr>
      </w:pPr>
      <w:r w:rsidRPr="00BA4606">
        <w:rPr>
          <w:lang w:val="en-US"/>
        </w:rPr>
        <w:t xml:space="preserve">Birch </w:t>
      </w:r>
      <w:r w:rsidR="001551D9" w:rsidRPr="00BA4606">
        <w:rPr>
          <w:lang w:val="en-US"/>
        </w:rPr>
        <w:t>A</w:t>
      </w:r>
      <w:r w:rsidR="004A710B" w:rsidRPr="00BA4606">
        <w:rPr>
          <w:lang w:val="en-US"/>
        </w:rPr>
        <w:t xml:space="preserve">.D., </w:t>
      </w:r>
      <w:r w:rsidR="001551D9" w:rsidRPr="00BA4606">
        <w:rPr>
          <w:lang w:val="en-US"/>
        </w:rPr>
        <w:t>H</w:t>
      </w:r>
      <w:r w:rsidR="004A710B" w:rsidRPr="00BA4606">
        <w:rPr>
          <w:lang w:val="en-US"/>
        </w:rPr>
        <w:t xml:space="preserve">ughes </w:t>
      </w:r>
      <w:r w:rsidR="001551D9" w:rsidRPr="00BA4606">
        <w:rPr>
          <w:lang w:val="en-US"/>
        </w:rPr>
        <w:t>D</w:t>
      </w:r>
      <w:r w:rsidR="004A710B" w:rsidRPr="00BA4606">
        <w:rPr>
          <w:lang w:val="en-US"/>
        </w:rPr>
        <w:t xml:space="preserve">.J., </w:t>
      </w:r>
      <w:r w:rsidR="001551D9" w:rsidRPr="00BA4606">
        <w:rPr>
          <w:lang w:val="en-US"/>
        </w:rPr>
        <w:t>S</w:t>
      </w:r>
      <w:r w:rsidR="004A710B" w:rsidRPr="00BA4606">
        <w:rPr>
          <w:lang w:val="en-US"/>
        </w:rPr>
        <w:t xml:space="preserve">waffield, </w:t>
      </w:r>
      <w:r w:rsidR="0038271F" w:rsidRPr="00BA4606">
        <w:rPr>
          <w:lang w:val="en-US"/>
        </w:rPr>
        <w:t>F</w:t>
      </w:r>
      <w:r w:rsidR="004A710B" w:rsidRPr="00BA4606">
        <w:rPr>
          <w:lang w:val="en-US"/>
        </w:rPr>
        <w:t>.</w:t>
      </w:r>
      <w:r w:rsidR="0038271F" w:rsidRPr="00BA4606">
        <w:rPr>
          <w:lang w:val="en-US"/>
        </w:rPr>
        <w:t xml:space="preserve">, </w:t>
      </w:r>
      <w:r w:rsidR="004A710B" w:rsidRPr="00BA4606">
        <w:rPr>
          <w:lang w:val="en-US"/>
        </w:rPr>
        <w:t>1987</w:t>
      </w:r>
      <w:r w:rsidR="002B741C" w:rsidRPr="00BA4606">
        <w:rPr>
          <w:lang w:val="en-US"/>
        </w:rPr>
        <w:t>,</w:t>
      </w:r>
      <w:r w:rsidR="004A710B" w:rsidRPr="00BA4606">
        <w:rPr>
          <w:lang w:val="en-US"/>
        </w:rPr>
        <w:t xml:space="preserve"> Velocity Decay of </w:t>
      </w:r>
      <w:proofErr w:type="gramStart"/>
      <w:r w:rsidR="004A710B" w:rsidRPr="00BA4606">
        <w:rPr>
          <w:lang w:val="en-US"/>
        </w:rPr>
        <w:t>High Pressure</w:t>
      </w:r>
      <w:proofErr w:type="gramEnd"/>
      <w:r w:rsidR="004A710B" w:rsidRPr="00BA4606">
        <w:rPr>
          <w:lang w:val="en-US"/>
        </w:rPr>
        <w:t xml:space="preserve"> Jets</w:t>
      </w:r>
      <w:r w:rsidR="002B741C" w:rsidRPr="00BA4606">
        <w:rPr>
          <w:lang w:val="en-US"/>
        </w:rPr>
        <w:t>,</w:t>
      </w:r>
      <w:r w:rsidR="004A710B" w:rsidRPr="00BA4606">
        <w:rPr>
          <w:lang w:val="en-US"/>
        </w:rPr>
        <w:t xml:space="preserve"> Combustion Science and Technology, 52(1–3), 161–171. </w:t>
      </w:r>
    </w:p>
    <w:p w14:paraId="0F369B5E" w14:textId="41A17588" w:rsidR="00C441DE" w:rsidRPr="00BA4606" w:rsidRDefault="00EB2466" w:rsidP="00532756">
      <w:pPr>
        <w:pStyle w:val="CETReferencetext"/>
        <w:rPr>
          <w:lang w:val="en-US"/>
        </w:rPr>
      </w:pPr>
      <w:r w:rsidRPr="00BA4606">
        <w:rPr>
          <w:lang w:val="en-US"/>
        </w:rPr>
        <w:t xml:space="preserve">Casson Moreno V., </w:t>
      </w:r>
      <w:r w:rsidR="002E66E9" w:rsidRPr="00BA4606">
        <w:rPr>
          <w:lang w:val="en-US"/>
        </w:rPr>
        <w:t>Vianna</w:t>
      </w:r>
      <w:r w:rsidR="00D3567D" w:rsidRPr="00BA4606">
        <w:rPr>
          <w:lang w:val="en-US"/>
        </w:rPr>
        <w:t xml:space="preserve"> S., </w:t>
      </w:r>
      <w:r w:rsidRPr="00BA4606">
        <w:rPr>
          <w:lang w:val="en-US"/>
        </w:rPr>
        <w:t xml:space="preserve">Landucci G., 2025, </w:t>
      </w:r>
      <w:r w:rsidR="000F2634" w:rsidRPr="00BA4606">
        <w:rPr>
          <w:lang w:val="en-US"/>
        </w:rPr>
        <w:t>An integrated assessment of the safety, economic, and environmental impacts of hydrogen refueling stations in comparison to conventional fuel stations</w:t>
      </w:r>
      <w:r w:rsidR="00D3567D" w:rsidRPr="00BA4606">
        <w:rPr>
          <w:lang w:val="en-US"/>
        </w:rPr>
        <w:t xml:space="preserve">, </w:t>
      </w:r>
      <w:r w:rsidR="00430360" w:rsidRPr="00BA4606">
        <w:rPr>
          <w:lang w:val="en-US"/>
        </w:rPr>
        <w:t xml:space="preserve">International Journal of Hydrogen Energy, 185, </w:t>
      </w:r>
      <w:r w:rsidR="00CA0469" w:rsidRPr="00BA4606">
        <w:rPr>
          <w:lang w:val="en-US"/>
        </w:rPr>
        <w:t>151929.</w:t>
      </w:r>
    </w:p>
    <w:p w14:paraId="2891938D" w14:textId="78B2F0B6" w:rsidR="00DB2F9F" w:rsidRPr="00BA4606" w:rsidRDefault="00DB2F9F" w:rsidP="00532756">
      <w:pPr>
        <w:pStyle w:val="CETReferencetext"/>
        <w:rPr>
          <w:lang w:val="en-US"/>
        </w:rPr>
      </w:pPr>
      <w:r w:rsidRPr="00BA4606">
        <w:t>Di Girolamo C., Carra S., Monica L., Tonti A., 2023, Risks in Loading and Unloading LPG at Storage Sites: Analysis of a set of Quasi-accidental Events, Chemical Engineering Transactions, 99, 343-348.</w:t>
      </w:r>
    </w:p>
    <w:p w14:paraId="6863319F" w14:textId="2A4AB60B" w:rsidR="00050169" w:rsidRPr="00BA4606" w:rsidRDefault="00E51B74" w:rsidP="00532756">
      <w:pPr>
        <w:pStyle w:val="CETReferencetext"/>
        <w:rPr>
          <w:lang w:val="en-US"/>
        </w:rPr>
      </w:pPr>
      <w:r w:rsidRPr="00BA4606">
        <w:rPr>
          <w:lang w:val="en-US"/>
        </w:rPr>
        <w:t xml:space="preserve">Ferrario F., Busini V., 2024, </w:t>
      </w:r>
      <w:r w:rsidR="003A4598" w:rsidRPr="00BA4606">
        <w:rPr>
          <w:lang w:val="en-US"/>
        </w:rPr>
        <w:t>Statistical analysis of modelling approaches for CFD simulations of high-pressure natural gas releases, Results in Engineering, 21,</w:t>
      </w:r>
      <w:r w:rsidR="001901AC" w:rsidRPr="00BA4606">
        <w:rPr>
          <w:lang w:val="en-US"/>
        </w:rPr>
        <w:t xml:space="preserve"> 101770.</w:t>
      </w:r>
    </w:p>
    <w:p w14:paraId="6072A18B" w14:textId="47567097" w:rsidR="00EF4F05" w:rsidRPr="00BA4606" w:rsidRDefault="00EF4F05" w:rsidP="00532756">
      <w:pPr>
        <w:pStyle w:val="CETReferencetext"/>
        <w:rPr>
          <w:lang w:val="en-US"/>
        </w:rPr>
      </w:pPr>
      <w:r w:rsidRPr="00BA4606">
        <w:rPr>
          <w:lang w:val="en-US"/>
        </w:rPr>
        <w:t xml:space="preserve">Gao X., Chen H., Zhou C., Xiong C., Pu W., Zeng T., Men J., </w:t>
      </w:r>
      <w:proofErr w:type="spellStart"/>
      <w:r w:rsidRPr="00BA4606">
        <w:rPr>
          <w:lang w:val="en-US"/>
        </w:rPr>
        <w:t>Lv</w:t>
      </w:r>
      <w:proofErr w:type="spellEnd"/>
      <w:r w:rsidRPr="00BA4606">
        <w:rPr>
          <w:lang w:val="en-US"/>
        </w:rPr>
        <w:t xml:space="preserve"> H., </w:t>
      </w:r>
      <w:r w:rsidR="00312262" w:rsidRPr="00BA4606">
        <w:rPr>
          <w:lang w:val="en-US"/>
        </w:rPr>
        <w:t xml:space="preserve">Zhao Y., Chen G., 2026, A review of safety risk management strategies for hydrogen refueling stations, </w:t>
      </w:r>
      <w:r w:rsidR="00E8680D" w:rsidRPr="00BA4606">
        <w:rPr>
          <w:lang w:val="en-US"/>
        </w:rPr>
        <w:t>Renewable and Sustainable Energy Reviews, 116297.</w:t>
      </w:r>
    </w:p>
    <w:p w14:paraId="78D31E02" w14:textId="5892A6D0" w:rsidR="00AD4873" w:rsidRPr="00BA4606" w:rsidRDefault="00E467BD" w:rsidP="00D26844">
      <w:pPr>
        <w:pStyle w:val="CETReferencetext"/>
      </w:pPr>
      <w:r w:rsidRPr="00BA4606">
        <w:t xml:space="preserve">Giannelli G., Grillone G., Muratore A., Nastasi V., 2023, Risk Assessment of </w:t>
      </w:r>
      <w:proofErr w:type="spellStart"/>
      <w:r w:rsidRPr="00BA4606">
        <w:t>Lpg</w:t>
      </w:r>
      <w:proofErr w:type="spellEnd"/>
      <w:r w:rsidRPr="00BA4606">
        <w:t xml:space="preserve"> Release Scenarios, Chemical Engineering Transactions, 104, 127-132.</w:t>
      </w:r>
    </w:p>
    <w:p w14:paraId="5EDDCFFD" w14:textId="586F4F55" w:rsidR="001D46EA" w:rsidRPr="002D1E23" w:rsidRDefault="0032791B" w:rsidP="00D26844">
      <w:pPr>
        <w:pStyle w:val="CETReferencetext"/>
      </w:pPr>
      <w:r w:rsidRPr="002D1E23">
        <w:t xml:space="preserve">Ministry of the Environment. (1996). Criteria for the analysis and evaluation of safety reports concerning liquefied petroleum gas (LPG) and petroleum storage facilities. </w:t>
      </w:r>
      <w:r w:rsidR="005A4078" w:rsidRPr="002D1E23">
        <w:t>(</w:t>
      </w:r>
      <w:r w:rsidR="003D5030" w:rsidRPr="002D1E23">
        <w:t xml:space="preserve">Ministerial Decree of </w:t>
      </w:r>
      <w:r w:rsidR="001449E9" w:rsidRPr="002D1E23">
        <w:t>May 15th, 199</w:t>
      </w:r>
      <w:r w:rsidR="003B5A98" w:rsidRPr="002D1E23">
        <w:t>6</w:t>
      </w:r>
      <w:r w:rsidR="00C50488" w:rsidRPr="002D1E23">
        <w:t xml:space="preserve">), Official Gazette, </w:t>
      </w:r>
      <w:r w:rsidR="00C92106" w:rsidRPr="002D1E23">
        <w:t xml:space="preserve">General Series, n. 113, </w:t>
      </w:r>
      <w:r w:rsidR="00D331BF" w:rsidRPr="002D1E23">
        <w:t>July 9</w:t>
      </w:r>
      <w:r w:rsidR="00D331BF" w:rsidRPr="002D1E23">
        <w:rPr>
          <w:vertAlign w:val="superscript"/>
        </w:rPr>
        <w:t>th</w:t>
      </w:r>
      <w:r w:rsidR="00D331BF" w:rsidRPr="002D1E23">
        <w:t>, 1996</w:t>
      </w:r>
      <w:r w:rsidR="00D73742" w:rsidRPr="002D1E23">
        <w:t xml:space="preserve"> (in Italian).</w:t>
      </w:r>
    </w:p>
    <w:p w14:paraId="6FAA4342" w14:textId="2E511D05" w:rsidR="00C52C3C" w:rsidRPr="00BA4606" w:rsidRDefault="00C70B1D" w:rsidP="00D26844">
      <w:pPr>
        <w:pStyle w:val="CETReferencetext"/>
        <w:rPr>
          <w:lang w:val="en-US"/>
        </w:rPr>
      </w:pPr>
      <w:r w:rsidRPr="00BA4606">
        <w:rPr>
          <w:lang w:val="en-US"/>
        </w:rPr>
        <w:t>Pique S., Weinberger B., De-</w:t>
      </w:r>
      <w:proofErr w:type="spellStart"/>
      <w:r w:rsidRPr="00BA4606">
        <w:rPr>
          <w:lang w:val="en-US"/>
        </w:rPr>
        <w:t>Dianous</w:t>
      </w:r>
      <w:proofErr w:type="spellEnd"/>
      <w:r w:rsidR="008D40B5" w:rsidRPr="00BA4606">
        <w:rPr>
          <w:lang w:val="en-US"/>
        </w:rPr>
        <w:t xml:space="preserve"> V., Deb</w:t>
      </w:r>
      <w:r w:rsidR="00532756" w:rsidRPr="00BA4606">
        <w:rPr>
          <w:lang w:val="en-US"/>
        </w:rPr>
        <w:t>ray B., 201</w:t>
      </w:r>
      <w:r w:rsidR="00D26844" w:rsidRPr="00BA4606">
        <w:rPr>
          <w:lang w:val="en-US"/>
        </w:rPr>
        <w:t>7</w:t>
      </w:r>
      <w:r w:rsidR="00532756" w:rsidRPr="00BA4606">
        <w:rPr>
          <w:lang w:val="en-US"/>
        </w:rPr>
        <w:t>,</w:t>
      </w:r>
      <w:r w:rsidR="00532756" w:rsidRPr="00BA4606">
        <w:t xml:space="preserve"> </w:t>
      </w:r>
      <w:r w:rsidR="00532756" w:rsidRPr="00BA4606">
        <w:rPr>
          <w:lang w:val="en-US"/>
        </w:rPr>
        <w:t xml:space="preserve">Comparative study of regulations, codes and standards and practices on hydrogen </w:t>
      </w:r>
      <w:proofErr w:type="spellStart"/>
      <w:r w:rsidR="00532756" w:rsidRPr="00BA4606">
        <w:rPr>
          <w:lang w:val="en-US"/>
        </w:rPr>
        <w:t>fuelling</w:t>
      </w:r>
      <w:proofErr w:type="spellEnd"/>
      <w:r w:rsidR="00532756" w:rsidRPr="00BA4606">
        <w:rPr>
          <w:lang w:val="en-US"/>
        </w:rPr>
        <w:t xml:space="preserve"> stations</w:t>
      </w:r>
      <w:r w:rsidR="00D26844" w:rsidRPr="00BA4606">
        <w:rPr>
          <w:lang w:val="en-US"/>
        </w:rPr>
        <w:t>, International Journal of Hydrogen Energy, 42, 7</w:t>
      </w:r>
      <w:r w:rsidR="007230D8" w:rsidRPr="00BA4606">
        <w:rPr>
          <w:lang w:val="en-US"/>
        </w:rPr>
        <w:t>429</w:t>
      </w:r>
      <w:r w:rsidR="00D26844" w:rsidRPr="00BA4606">
        <w:rPr>
          <w:lang w:val="en-US"/>
        </w:rPr>
        <w:t>-</w:t>
      </w:r>
      <w:r w:rsidR="007230D8" w:rsidRPr="00BA4606">
        <w:rPr>
          <w:lang w:val="en-US"/>
        </w:rPr>
        <w:t>7439</w:t>
      </w:r>
      <w:r w:rsidR="00D26844" w:rsidRPr="00BA4606">
        <w:rPr>
          <w:lang w:val="en-US"/>
        </w:rPr>
        <w:t>.</w:t>
      </w:r>
      <w:r w:rsidR="00532756" w:rsidRPr="00BA4606">
        <w:rPr>
          <w:lang w:val="en-US"/>
        </w:rPr>
        <w:t xml:space="preserve"> </w:t>
      </w:r>
    </w:p>
    <w:p w14:paraId="594B35BA" w14:textId="77777777" w:rsidR="00A55B4C" w:rsidRPr="00BA4606" w:rsidRDefault="00A55B4C" w:rsidP="00E65B91">
      <w:pPr>
        <w:pStyle w:val="CETReferencetext"/>
      </w:pPr>
      <w:r w:rsidRPr="00BA4606">
        <w:t xml:space="preserve">Pique S., Quesnel S., Weinberger B., </w:t>
      </w:r>
      <w:proofErr w:type="spellStart"/>
      <w:r w:rsidRPr="00BA4606">
        <w:t>Nouvelot</w:t>
      </w:r>
      <w:proofErr w:type="spellEnd"/>
      <w:r w:rsidRPr="00BA4606">
        <w:t xml:space="preserve"> Q., Houssin D., </w:t>
      </w:r>
      <w:proofErr w:type="spellStart"/>
      <w:r w:rsidRPr="00BA4606">
        <w:t>Vyazmina</w:t>
      </w:r>
      <w:proofErr w:type="spellEnd"/>
      <w:r w:rsidRPr="00BA4606">
        <w:t xml:space="preserve"> E., Torrado D., Saw J.-L., 2022, Preliminary risk assessment of hydrogen refuelling stations in a multifuel context, Chemical Engineering Transactions, 90, 229-234.</w:t>
      </w:r>
    </w:p>
    <w:p w14:paraId="472500C4" w14:textId="7BD0C7EE" w:rsidR="00124112" w:rsidRPr="00BA4606" w:rsidRDefault="00124112" w:rsidP="00E65B91">
      <w:pPr>
        <w:pStyle w:val="CETReferencetext"/>
        <w:rPr>
          <w:lang w:val="en-US"/>
        </w:rPr>
      </w:pPr>
      <w:r w:rsidRPr="00BA4606">
        <w:rPr>
          <w:lang w:val="en-US"/>
        </w:rPr>
        <w:t xml:space="preserve">Suzuki T., Shiota K., </w:t>
      </w:r>
      <w:proofErr w:type="spellStart"/>
      <w:r w:rsidR="00A8043C" w:rsidRPr="00BA4606">
        <w:rPr>
          <w:lang w:val="en-US"/>
        </w:rPr>
        <w:t>Izato</w:t>
      </w:r>
      <w:proofErr w:type="spellEnd"/>
      <w:r w:rsidR="00A8043C" w:rsidRPr="00BA4606">
        <w:rPr>
          <w:lang w:val="en-US"/>
        </w:rPr>
        <w:t xml:space="preserve"> Y., Komori M., Sato K., Takai Y., Ninomiya T., </w:t>
      </w:r>
      <w:proofErr w:type="spellStart"/>
      <w:r w:rsidR="00A8043C" w:rsidRPr="00BA4606">
        <w:rPr>
          <w:lang w:val="en-US"/>
        </w:rPr>
        <w:t>Mikaye</w:t>
      </w:r>
      <w:proofErr w:type="spellEnd"/>
      <w:r w:rsidR="00A8043C" w:rsidRPr="00BA4606">
        <w:rPr>
          <w:lang w:val="en-US"/>
        </w:rPr>
        <w:t xml:space="preserve"> A., </w:t>
      </w:r>
      <w:r w:rsidR="00030857" w:rsidRPr="00BA4606">
        <w:rPr>
          <w:lang w:val="en-US"/>
        </w:rPr>
        <w:t>Quantitative risk assessment using a Japanese hydrogen refueling station model, International Journal of Hydrogen Energy, 46, 83</w:t>
      </w:r>
      <w:r w:rsidR="009912C3" w:rsidRPr="00BA4606">
        <w:rPr>
          <w:lang w:val="en-US"/>
        </w:rPr>
        <w:t>29-8343</w:t>
      </w:r>
      <w:r w:rsidR="00030857" w:rsidRPr="00BA4606">
        <w:rPr>
          <w:lang w:val="en-US"/>
        </w:rPr>
        <w:t>.</w:t>
      </w:r>
    </w:p>
    <w:p w14:paraId="4D0237E5" w14:textId="479B44B0" w:rsidR="00463FBB" w:rsidRPr="00BA4606" w:rsidRDefault="00284042" w:rsidP="00463FBB">
      <w:pPr>
        <w:pStyle w:val="CETReferencetext"/>
        <w:rPr>
          <w:lang w:val="en-US"/>
        </w:rPr>
      </w:pPr>
      <w:r w:rsidRPr="00BA4606">
        <w:rPr>
          <w:lang w:val="en-US"/>
        </w:rPr>
        <w:t>Xiao H., Li B., Shu</w:t>
      </w:r>
      <w:r w:rsidR="00463FBB" w:rsidRPr="00BA4606">
        <w:rPr>
          <w:lang w:val="en-US"/>
        </w:rPr>
        <w:t xml:space="preserve"> C.-M., Dynamic risk analysis of hydrogen refueling station gas cloud explosions based upon the bow-tie perspective, 2024, International Journal of Hydrogen Energy, 82, </w:t>
      </w:r>
      <w:r w:rsidR="005D1BC1" w:rsidRPr="00BA4606">
        <w:rPr>
          <w:lang w:val="en-US"/>
        </w:rPr>
        <w:t>89</w:t>
      </w:r>
      <w:r w:rsidR="00463FBB" w:rsidRPr="00BA4606">
        <w:rPr>
          <w:lang w:val="en-US"/>
        </w:rPr>
        <w:t>-</w:t>
      </w:r>
      <w:r w:rsidR="005D1BC1" w:rsidRPr="00BA4606">
        <w:rPr>
          <w:lang w:val="en-US"/>
        </w:rPr>
        <w:t>101</w:t>
      </w:r>
      <w:r w:rsidR="00463FBB" w:rsidRPr="00BA4606">
        <w:rPr>
          <w:lang w:val="en-US"/>
        </w:rPr>
        <w:t>.</w:t>
      </w:r>
    </w:p>
    <w:p w14:paraId="6E456BB0" w14:textId="69273085" w:rsidR="00284042" w:rsidRPr="00463FBB" w:rsidRDefault="00284042" w:rsidP="00E65B91">
      <w:pPr>
        <w:pStyle w:val="CETReferencetext"/>
        <w:rPr>
          <w:lang w:val="en-US"/>
        </w:rPr>
      </w:pPr>
    </w:p>
    <w:p w14:paraId="19C4FC68" w14:textId="77777777" w:rsidR="004628D2" w:rsidRPr="00463FBB" w:rsidRDefault="004628D2" w:rsidP="00FA5F5F">
      <w:pPr>
        <w:pStyle w:val="CETHeading1"/>
        <w:numPr>
          <w:ilvl w:val="0"/>
          <w:numId w:val="0"/>
        </w:numPr>
      </w:pPr>
    </w:p>
    <w:sectPr w:rsidR="004628D2" w:rsidRPr="00463FBB" w:rsidSect="008314D7">
      <w:type w:val="continuous"/>
      <w:pgSz w:w="11906" w:h="16838" w:code="9"/>
      <w:pgMar w:top="1701" w:right="1418" w:bottom="1701" w:left="1701" w:header="170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8CD8" w14:textId="77777777" w:rsidR="00F04BE7" w:rsidRDefault="00F04BE7" w:rsidP="004F5E36">
      <w:r>
        <w:separator/>
      </w:r>
    </w:p>
  </w:endnote>
  <w:endnote w:type="continuationSeparator" w:id="0">
    <w:p w14:paraId="31CBB149" w14:textId="77777777" w:rsidR="00F04BE7" w:rsidRDefault="00F04BE7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P6960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806F" w14:textId="77777777" w:rsidR="00F04BE7" w:rsidRDefault="00F04BE7" w:rsidP="004F5E36">
      <w:r>
        <w:separator/>
      </w:r>
    </w:p>
  </w:footnote>
  <w:footnote w:type="continuationSeparator" w:id="0">
    <w:p w14:paraId="06BD4342" w14:textId="77777777" w:rsidR="00F04BE7" w:rsidRDefault="00F04BE7" w:rsidP="004F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D1755"/>
    <w:multiLevelType w:val="hybridMultilevel"/>
    <w:tmpl w:val="C79C47B2"/>
    <w:lvl w:ilvl="0" w:tplc="84E2308C">
      <w:start w:val="1"/>
      <w:numFmt w:val="lowerLetter"/>
      <w:lvlText w:val="(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2438217E"/>
    <w:multiLevelType w:val="multilevel"/>
    <w:tmpl w:val="F17228D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0B7370"/>
    <w:multiLevelType w:val="hybridMultilevel"/>
    <w:tmpl w:val="12E2A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E0394"/>
    <w:multiLevelType w:val="hybridMultilevel"/>
    <w:tmpl w:val="806658E2"/>
    <w:lvl w:ilvl="0" w:tplc="14B0F7A8">
      <w:start w:val="1"/>
      <w:numFmt w:val="bullet"/>
      <w:pStyle w:val="CETnumberingbullets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29B9"/>
    <w:multiLevelType w:val="hybridMultilevel"/>
    <w:tmpl w:val="A2E6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100E8"/>
    <w:multiLevelType w:val="hybridMultilevel"/>
    <w:tmpl w:val="6F34C07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87BA7"/>
    <w:multiLevelType w:val="hybridMultilevel"/>
    <w:tmpl w:val="1F6A8AD4"/>
    <w:lvl w:ilvl="0" w:tplc="14B0F7A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17387"/>
    <w:multiLevelType w:val="hybridMultilevel"/>
    <w:tmpl w:val="C2AE185A"/>
    <w:lvl w:ilvl="0" w:tplc="14090011">
      <w:start w:val="1"/>
      <w:numFmt w:val="decimal"/>
      <w:lvlText w:val="%1)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015B5"/>
    <w:multiLevelType w:val="hybridMultilevel"/>
    <w:tmpl w:val="CCDE09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5266D"/>
    <w:multiLevelType w:val="hybridMultilevel"/>
    <w:tmpl w:val="F5BE3C4A"/>
    <w:lvl w:ilvl="0" w:tplc="9FC4D28C">
      <w:start w:val="1"/>
      <w:numFmt w:val="lowerLetter"/>
      <w:pStyle w:val="CETnumberinga"/>
      <w:lvlText w:val="%1.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82765">
    <w:abstractNumId w:val="11"/>
  </w:num>
  <w:num w:numId="2" w16cid:durableId="1954094313">
    <w:abstractNumId w:val="8"/>
  </w:num>
  <w:num w:numId="3" w16cid:durableId="2001083081">
    <w:abstractNumId w:val="3"/>
  </w:num>
  <w:num w:numId="4" w16cid:durableId="665287687">
    <w:abstractNumId w:val="2"/>
  </w:num>
  <w:num w:numId="5" w16cid:durableId="1763211618">
    <w:abstractNumId w:val="1"/>
  </w:num>
  <w:num w:numId="6" w16cid:durableId="733351894">
    <w:abstractNumId w:val="0"/>
  </w:num>
  <w:num w:numId="7" w16cid:durableId="1265187038">
    <w:abstractNumId w:val="9"/>
  </w:num>
  <w:num w:numId="8" w16cid:durableId="458382672">
    <w:abstractNumId w:val="7"/>
  </w:num>
  <w:num w:numId="9" w16cid:durableId="652636510">
    <w:abstractNumId w:val="6"/>
  </w:num>
  <w:num w:numId="10" w16cid:durableId="1972591888">
    <w:abstractNumId w:val="5"/>
  </w:num>
  <w:num w:numId="11" w16cid:durableId="1179278139">
    <w:abstractNumId w:val="4"/>
  </w:num>
  <w:num w:numId="12" w16cid:durableId="1575509198">
    <w:abstractNumId w:val="18"/>
  </w:num>
  <w:num w:numId="13" w16cid:durableId="695733619">
    <w:abstractNumId w:val="13"/>
  </w:num>
  <w:num w:numId="14" w16cid:durableId="145903400">
    <w:abstractNumId w:val="19"/>
  </w:num>
  <w:num w:numId="15" w16cid:durableId="19162326">
    <w:abstractNumId w:val="21"/>
  </w:num>
  <w:num w:numId="16" w16cid:durableId="1977102699">
    <w:abstractNumId w:val="20"/>
  </w:num>
  <w:num w:numId="17" w16cid:durableId="860774865">
    <w:abstractNumId w:val="12"/>
  </w:num>
  <w:num w:numId="18" w16cid:durableId="313221457">
    <w:abstractNumId w:val="13"/>
    <w:lvlOverride w:ilvl="0">
      <w:startOverride w:val="1"/>
    </w:lvlOverride>
  </w:num>
  <w:num w:numId="19" w16cid:durableId="534971577">
    <w:abstractNumId w:val="17"/>
  </w:num>
  <w:num w:numId="20" w16cid:durableId="1150947773">
    <w:abstractNumId w:val="16"/>
  </w:num>
  <w:num w:numId="21" w16cid:durableId="124660497">
    <w:abstractNumId w:val="15"/>
  </w:num>
  <w:num w:numId="22" w16cid:durableId="2099861471">
    <w:abstractNumId w:val="14"/>
  </w:num>
  <w:num w:numId="23" w16cid:durableId="1792168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autoFormatOverride/>
  <w:styleLockTheme/>
  <w:styleLockQFSet/>
  <w:defaultTabStop w:val="708"/>
  <w:hyphenationZone w:val="283"/>
  <w:clickAndTypeStyle w:val="CETBodytex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NzezsDA3M7MwMTJW0lEKTi0uzszPAymwrAUAugS3IywAAAA="/>
  </w:docVars>
  <w:rsids>
    <w:rsidRoot w:val="000E414A"/>
    <w:rsid w:val="00000C0F"/>
    <w:rsid w:val="000010D9"/>
    <w:rsid w:val="00001795"/>
    <w:rsid w:val="00001DAD"/>
    <w:rsid w:val="000027C0"/>
    <w:rsid w:val="000052FB"/>
    <w:rsid w:val="00005667"/>
    <w:rsid w:val="00005884"/>
    <w:rsid w:val="00005A19"/>
    <w:rsid w:val="00011377"/>
    <w:rsid w:val="00011486"/>
    <w:rsid w:val="0001174A"/>
    <w:rsid w:val="000117CB"/>
    <w:rsid w:val="00012530"/>
    <w:rsid w:val="000128F2"/>
    <w:rsid w:val="00014930"/>
    <w:rsid w:val="00020E91"/>
    <w:rsid w:val="00021038"/>
    <w:rsid w:val="00022A65"/>
    <w:rsid w:val="00022F79"/>
    <w:rsid w:val="00024DAF"/>
    <w:rsid w:val="0002535D"/>
    <w:rsid w:val="00025E55"/>
    <w:rsid w:val="0002734E"/>
    <w:rsid w:val="00027737"/>
    <w:rsid w:val="000306E0"/>
    <w:rsid w:val="00030857"/>
    <w:rsid w:val="0003148D"/>
    <w:rsid w:val="00031D99"/>
    <w:rsid w:val="00031EEC"/>
    <w:rsid w:val="00032D13"/>
    <w:rsid w:val="00043036"/>
    <w:rsid w:val="00044062"/>
    <w:rsid w:val="00044D63"/>
    <w:rsid w:val="00045BAE"/>
    <w:rsid w:val="00050169"/>
    <w:rsid w:val="0005060E"/>
    <w:rsid w:val="00051566"/>
    <w:rsid w:val="00052B66"/>
    <w:rsid w:val="00052DDA"/>
    <w:rsid w:val="000531F7"/>
    <w:rsid w:val="0005324C"/>
    <w:rsid w:val="00053990"/>
    <w:rsid w:val="000562A9"/>
    <w:rsid w:val="00062A9A"/>
    <w:rsid w:val="00063DC5"/>
    <w:rsid w:val="00063F39"/>
    <w:rsid w:val="00065058"/>
    <w:rsid w:val="000669B1"/>
    <w:rsid w:val="00066FD0"/>
    <w:rsid w:val="00072BFA"/>
    <w:rsid w:val="00073E90"/>
    <w:rsid w:val="00081A44"/>
    <w:rsid w:val="00081B05"/>
    <w:rsid w:val="00081D3B"/>
    <w:rsid w:val="00085F28"/>
    <w:rsid w:val="00086BDC"/>
    <w:rsid w:val="00086C39"/>
    <w:rsid w:val="000870E1"/>
    <w:rsid w:val="000909DB"/>
    <w:rsid w:val="00093A2F"/>
    <w:rsid w:val="00093EE6"/>
    <w:rsid w:val="000A03B2"/>
    <w:rsid w:val="000A3FE9"/>
    <w:rsid w:val="000A71B1"/>
    <w:rsid w:val="000B0B05"/>
    <w:rsid w:val="000B0D42"/>
    <w:rsid w:val="000B469A"/>
    <w:rsid w:val="000B590C"/>
    <w:rsid w:val="000C1BAC"/>
    <w:rsid w:val="000C2C76"/>
    <w:rsid w:val="000C2D98"/>
    <w:rsid w:val="000C32A2"/>
    <w:rsid w:val="000C476E"/>
    <w:rsid w:val="000C647B"/>
    <w:rsid w:val="000C6D53"/>
    <w:rsid w:val="000C7091"/>
    <w:rsid w:val="000D0268"/>
    <w:rsid w:val="000D0B59"/>
    <w:rsid w:val="000D2867"/>
    <w:rsid w:val="000D34BE"/>
    <w:rsid w:val="000D4052"/>
    <w:rsid w:val="000D511F"/>
    <w:rsid w:val="000D5BB6"/>
    <w:rsid w:val="000D6508"/>
    <w:rsid w:val="000E102F"/>
    <w:rsid w:val="000E10CC"/>
    <w:rsid w:val="000E2137"/>
    <w:rsid w:val="000E36F1"/>
    <w:rsid w:val="000E3A73"/>
    <w:rsid w:val="000E414A"/>
    <w:rsid w:val="000E75FD"/>
    <w:rsid w:val="000E7F86"/>
    <w:rsid w:val="000F0326"/>
    <w:rsid w:val="000F093C"/>
    <w:rsid w:val="000F2634"/>
    <w:rsid w:val="000F5A4B"/>
    <w:rsid w:val="000F787B"/>
    <w:rsid w:val="00100DE5"/>
    <w:rsid w:val="00101AE7"/>
    <w:rsid w:val="0010416D"/>
    <w:rsid w:val="00104BF6"/>
    <w:rsid w:val="0010723A"/>
    <w:rsid w:val="00107D90"/>
    <w:rsid w:val="00110030"/>
    <w:rsid w:val="00111FBC"/>
    <w:rsid w:val="00114FD0"/>
    <w:rsid w:val="001150F3"/>
    <w:rsid w:val="001158FA"/>
    <w:rsid w:val="00115AC0"/>
    <w:rsid w:val="00115F04"/>
    <w:rsid w:val="00117FA2"/>
    <w:rsid w:val="0012091F"/>
    <w:rsid w:val="00123CC7"/>
    <w:rsid w:val="00124112"/>
    <w:rsid w:val="00124537"/>
    <w:rsid w:val="00124AAD"/>
    <w:rsid w:val="00126BC2"/>
    <w:rsid w:val="00127288"/>
    <w:rsid w:val="001308B6"/>
    <w:rsid w:val="0013121F"/>
    <w:rsid w:val="00131C76"/>
    <w:rsid w:val="00131FE6"/>
    <w:rsid w:val="0013263F"/>
    <w:rsid w:val="00132F35"/>
    <w:rsid w:val="001331DF"/>
    <w:rsid w:val="0013367C"/>
    <w:rsid w:val="00133AA4"/>
    <w:rsid w:val="00134DE4"/>
    <w:rsid w:val="00135AA1"/>
    <w:rsid w:val="00136480"/>
    <w:rsid w:val="0014034D"/>
    <w:rsid w:val="001406B3"/>
    <w:rsid w:val="00140FE3"/>
    <w:rsid w:val="00143103"/>
    <w:rsid w:val="001432C0"/>
    <w:rsid w:val="00143DC7"/>
    <w:rsid w:val="00144361"/>
    <w:rsid w:val="001443BB"/>
    <w:rsid w:val="001449E9"/>
    <w:rsid w:val="00144CF5"/>
    <w:rsid w:val="00144D16"/>
    <w:rsid w:val="00144F29"/>
    <w:rsid w:val="00145310"/>
    <w:rsid w:val="00145362"/>
    <w:rsid w:val="00150E59"/>
    <w:rsid w:val="00150FA0"/>
    <w:rsid w:val="001514B2"/>
    <w:rsid w:val="00151731"/>
    <w:rsid w:val="00151737"/>
    <w:rsid w:val="00152DE3"/>
    <w:rsid w:val="00153716"/>
    <w:rsid w:val="00154667"/>
    <w:rsid w:val="001551D9"/>
    <w:rsid w:val="001572F2"/>
    <w:rsid w:val="00161338"/>
    <w:rsid w:val="00161A19"/>
    <w:rsid w:val="00162CC3"/>
    <w:rsid w:val="00163E14"/>
    <w:rsid w:val="0016497C"/>
    <w:rsid w:val="00164CF9"/>
    <w:rsid w:val="00166279"/>
    <w:rsid w:val="001667A6"/>
    <w:rsid w:val="00166DE1"/>
    <w:rsid w:val="00167FCA"/>
    <w:rsid w:val="00171A50"/>
    <w:rsid w:val="00172467"/>
    <w:rsid w:val="0017417C"/>
    <w:rsid w:val="001752D2"/>
    <w:rsid w:val="00180041"/>
    <w:rsid w:val="00182456"/>
    <w:rsid w:val="00182ACC"/>
    <w:rsid w:val="00183968"/>
    <w:rsid w:val="00184AD6"/>
    <w:rsid w:val="001862CE"/>
    <w:rsid w:val="001901AC"/>
    <w:rsid w:val="0019206C"/>
    <w:rsid w:val="001923CB"/>
    <w:rsid w:val="0019335F"/>
    <w:rsid w:val="001945AF"/>
    <w:rsid w:val="001946BC"/>
    <w:rsid w:val="001947AF"/>
    <w:rsid w:val="00195664"/>
    <w:rsid w:val="00195BF0"/>
    <w:rsid w:val="00195E70"/>
    <w:rsid w:val="00196CB1"/>
    <w:rsid w:val="00197BF3"/>
    <w:rsid w:val="001A1CD6"/>
    <w:rsid w:val="001A3140"/>
    <w:rsid w:val="001A3F37"/>
    <w:rsid w:val="001A4AF7"/>
    <w:rsid w:val="001A5FC2"/>
    <w:rsid w:val="001A6377"/>
    <w:rsid w:val="001A738F"/>
    <w:rsid w:val="001A7A4D"/>
    <w:rsid w:val="001B0349"/>
    <w:rsid w:val="001B133F"/>
    <w:rsid w:val="001B1E93"/>
    <w:rsid w:val="001B35C5"/>
    <w:rsid w:val="001B5194"/>
    <w:rsid w:val="001B61A7"/>
    <w:rsid w:val="001B65C1"/>
    <w:rsid w:val="001B7A0E"/>
    <w:rsid w:val="001C0054"/>
    <w:rsid w:val="001C185D"/>
    <w:rsid w:val="001C260F"/>
    <w:rsid w:val="001C2AE4"/>
    <w:rsid w:val="001C33F1"/>
    <w:rsid w:val="001C499F"/>
    <w:rsid w:val="001C512F"/>
    <w:rsid w:val="001C5671"/>
    <w:rsid w:val="001C5730"/>
    <w:rsid w:val="001C684B"/>
    <w:rsid w:val="001C6CEF"/>
    <w:rsid w:val="001C7C43"/>
    <w:rsid w:val="001D0CFB"/>
    <w:rsid w:val="001D1C96"/>
    <w:rsid w:val="001D21AF"/>
    <w:rsid w:val="001D46EA"/>
    <w:rsid w:val="001D4B51"/>
    <w:rsid w:val="001D53FC"/>
    <w:rsid w:val="001E0640"/>
    <w:rsid w:val="001E453A"/>
    <w:rsid w:val="001E5455"/>
    <w:rsid w:val="001E5855"/>
    <w:rsid w:val="001E6CA5"/>
    <w:rsid w:val="001E776C"/>
    <w:rsid w:val="001F1DF4"/>
    <w:rsid w:val="001F2534"/>
    <w:rsid w:val="001F3B46"/>
    <w:rsid w:val="001F42A5"/>
    <w:rsid w:val="001F44F3"/>
    <w:rsid w:val="001F7B9D"/>
    <w:rsid w:val="0020068C"/>
    <w:rsid w:val="0020169E"/>
    <w:rsid w:val="00201C93"/>
    <w:rsid w:val="00206371"/>
    <w:rsid w:val="00210D87"/>
    <w:rsid w:val="0021109F"/>
    <w:rsid w:val="002114FC"/>
    <w:rsid w:val="00214161"/>
    <w:rsid w:val="00220FB5"/>
    <w:rsid w:val="00221288"/>
    <w:rsid w:val="002224B4"/>
    <w:rsid w:val="002258F4"/>
    <w:rsid w:val="00226696"/>
    <w:rsid w:val="00230345"/>
    <w:rsid w:val="0023104F"/>
    <w:rsid w:val="0023268A"/>
    <w:rsid w:val="00235635"/>
    <w:rsid w:val="00235ECE"/>
    <w:rsid w:val="002367DF"/>
    <w:rsid w:val="00237FA8"/>
    <w:rsid w:val="00240D51"/>
    <w:rsid w:val="00243A21"/>
    <w:rsid w:val="00244495"/>
    <w:rsid w:val="002447EF"/>
    <w:rsid w:val="00244AE0"/>
    <w:rsid w:val="0024587A"/>
    <w:rsid w:val="00250CC6"/>
    <w:rsid w:val="00251550"/>
    <w:rsid w:val="002520A6"/>
    <w:rsid w:val="0025275E"/>
    <w:rsid w:val="00253AFB"/>
    <w:rsid w:val="0025453E"/>
    <w:rsid w:val="002611D6"/>
    <w:rsid w:val="00263B05"/>
    <w:rsid w:val="002648E6"/>
    <w:rsid w:val="00266C58"/>
    <w:rsid w:val="00267A3D"/>
    <w:rsid w:val="00267A87"/>
    <w:rsid w:val="00267B58"/>
    <w:rsid w:val="00270D37"/>
    <w:rsid w:val="0027221A"/>
    <w:rsid w:val="00273373"/>
    <w:rsid w:val="00275785"/>
    <w:rsid w:val="00275B61"/>
    <w:rsid w:val="00276097"/>
    <w:rsid w:val="00277B94"/>
    <w:rsid w:val="0028009F"/>
    <w:rsid w:val="00280FAF"/>
    <w:rsid w:val="00282656"/>
    <w:rsid w:val="00282CEC"/>
    <w:rsid w:val="00284042"/>
    <w:rsid w:val="00284B5E"/>
    <w:rsid w:val="00284C8E"/>
    <w:rsid w:val="00286C6E"/>
    <w:rsid w:val="0029151E"/>
    <w:rsid w:val="00296B83"/>
    <w:rsid w:val="002A2964"/>
    <w:rsid w:val="002A3D04"/>
    <w:rsid w:val="002A5668"/>
    <w:rsid w:val="002A6537"/>
    <w:rsid w:val="002A6BD3"/>
    <w:rsid w:val="002A76BC"/>
    <w:rsid w:val="002A7BD2"/>
    <w:rsid w:val="002B1981"/>
    <w:rsid w:val="002B275D"/>
    <w:rsid w:val="002B4015"/>
    <w:rsid w:val="002B5F72"/>
    <w:rsid w:val="002B741C"/>
    <w:rsid w:val="002B7799"/>
    <w:rsid w:val="002B78CE"/>
    <w:rsid w:val="002C2FB6"/>
    <w:rsid w:val="002C3BF3"/>
    <w:rsid w:val="002D1E23"/>
    <w:rsid w:val="002D7013"/>
    <w:rsid w:val="002D7211"/>
    <w:rsid w:val="002E010C"/>
    <w:rsid w:val="002E5FA7"/>
    <w:rsid w:val="002E62E0"/>
    <w:rsid w:val="002E63A9"/>
    <w:rsid w:val="002E65B4"/>
    <w:rsid w:val="002E66E9"/>
    <w:rsid w:val="002E695C"/>
    <w:rsid w:val="002E7363"/>
    <w:rsid w:val="002F0509"/>
    <w:rsid w:val="002F2125"/>
    <w:rsid w:val="002F3309"/>
    <w:rsid w:val="002F41CA"/>
    <w:rsid w:val="002F4959"/>
    <w:rsid w:val="002F4F2F"/>
    <w:rsid w:val="002F784C"/>
    <w:rsid w:val="003006CF"/>
    <w:rsid w:val="003007EE"/>
    <w:rsid w:val="003008CE"/>
    <w:rsid w:val="003009B7"/>
    <w:rsid w:val="00300E56"/>
    <w:rsid w:val="0030152C"/>
    <w:rsid w:val="0030198C"/>
    <w:rsid w:val="0030296E"/>
    <w:rsid w:val="00302C1C"/>
    <w:rsid w:val="003044F0"/>
    <w:rsid w:val="0030469C"/>
    <w:rsid w:val="00312262"/>
    <w:rsid w:val="00312B9C"/>
    <w:rsid w:val="0031318D"/>
    <w:rsid w:val="003139C9"/>
    <w:rsid w:val="0031409A"/>
    <w:rsid w:val="00315091"/>
    <w:rsid w:val="00317573"/>
    <w:rsid w:val="00317914"/>
    <w:rsid w:val="003207D5"/>
    <w:rsid w:val="00320D93"/>
    <w:rsid w:val="00321CA6"/>
    <w:rsid w:val="00322C5F"/>
    <w:rsid w:val="00323763"/>
    <w:rsid w:val="00323C5F"/>
    <w:rsid w:val="003259DE"/>
    <w:rsid w:val="00326BE8"/>
    <w:rsid w:val="0032791B"/>
    <w:rsid w:val="00327E13"/>
    <w:rsid w:val="00330D01"/>
    <w:rsid w:val="00332427"/>
    <w:rsid w:val="0033461B"/>
    <w:rsid w:val="00334C09"/>
    <w:rsid w:val="0033564B"/>
    <w:rsid w:val="00335CE4"/>
    <w:rsid w:val="00340398"/>
    <w:rsid w:val="00342841"/>
    <w:rsid w:val="00345499"/>
    <w:rsid w:val="0034785D"/>
    <w:rsid w:val="00350A09"/>
    <w:rsid w:val="003514A9"/>
    <w:rsid w:val="00351E4B"/>
    <w:rsid w:val="00353116"/>
    <w:rsid w:val="00356C38"/>
    <w:rsid w:val="00357A3F"/>
    <w:rsid w:val="00357D3D"/>
    <w:rsid w:val="00360B1D"/>
    <w:rsid w:val="00360D01"/>
    <w:rsid w:val="003613A2"/>
    <w:rsid w:val="00361DC3"/>
    <w:rsid w:val="003621C9"/>
    <w:rsid w:val="003664A0"/>
    <w:rsid w:val="0037051B"/>
    <w:rsid w:val="003721A8"/>
    <w:rsid w:val="003723D4"/>
    <w:rsid w:val="003732B3"/>
    <w:rsid w:val="00377A35"/>
    <w:rsid w:val="00377CC9"/>
    <w:rsid w:val="00381409"/>
    <w:rsid w:val="00381905"/>
    <w:rsid w:val="0038271F"/>
    <w:rsid w:val="00384CC8"/>
    <w:rsid w:val="003871FD"/>
    <w:rsid w:val="00390492"/>
    <w:rsid w:val="00392663"/>
    <w:rsid w:val="00395F52"/>
    <w:rsid w:val="00397E6F"/>
    <w:rsid w:val="003A0530"/>
    <w:rsid w:val="003A1E30"/>
    <w:rsid w:val="003A2829"/>
    <w:rsid w:val="003A2C1A"/>
    <w:rsid w:val="003A4598"/>
    <w:rsid w:val="003A60FA"/>
    <w:rsid w:val="003A6367"/>
    <w:rsid w:val="003A6D30"/>
    <w:rsid w:val="003A7D1C"/>
    <w:rsid w:val="003B0CCA"/>
    <w:rsid w:val="003B304B"/>
    <w:rsid w:val="003B3146"/>
    <w:rsid w:val="003B5A98"/>
    <w:rsid w:val="003C2745"/>
    <w:rsid w:val="003C360A"/>
    <w:rsid w:val="003C52F0"/>
    <w:rsid w:val="003C79F9"/>
    <w:rsid w:val="003C7DAD"/>
    <w:rsid w:val="003D0BEC"/>
    <w:rsid w:val="003D1E02"/>
    <w:rsid w:val="003D1F1A"/>
    <w:rsid w:val="003D29F6"/>
    <w:rsid w:val="003D31C5"/>
    <w:rsid w:val="003D37D3"/>
    <w:rsid w:val="003D3AFC"/>
    <w:rsid w:val="003D5030"/>
    <w:rsid w:val="003D51B7"/>
    <w:rsid w:val="003D582F"/>
    <w:rsid w:val="003D5BD9"/>
    <w:rsid w:val="003D6B9C"/>
    <w:rsid w:val="003D6E13"/>
    <w:rsid w:val="003E12EE"/>
    <w:rsid w:val="003E1913"/>
    <w:rsid w:val="003E3FC1"/>
    <w:rsid w:val="003E44A7"/>
    <w:rsid w:val="003E66AD"/>
    <w:rsid w:val="003F015E"/>
    <w:rsid w:val="003F2CDE"/>
    <w:rsid w:val="00400414"/>
    <w:rsid w:val="004016D3"/>
    <w:rsid w:val="00401CFE"/>
    <w:rsid w:val="00402BD2"/>
    <w:rsid w:val="00403849"/>
    <w:rsid w:val="00406B72"/>
    <w:rsid w:val="00407857"/>
    <w:rsid w:val="00407BC0"/>
    <w:rsid w:val="0041055C"/>
    <w:rsid w:val="004114CA"/>
    <w:rsid w:val="0041446B"/>
    <w:rsid w:val="00414C1D"/>
    <w:rsid w:val="0041633E"/>
    <w:rsid w:val="00425BAC"/>
    <w:rsid w:val="00426B6C"/>
    <w:rsid w:val="00430360"/>
    <w:rsid w:val="00430B7B"/>
    <w:rsid w:val="00430DA2"/>
    <w:rsid w:val="00432878"/>
    <w:rsid w:val="004338A6"/>
    <w:rsid w:val="00435942"/>
    <w:rsid w:val="00435D74"/>
    <w:rsid w:val="0044071E"/>
    <w:rsid w:val="0044329C"/>
    <w:rsid w:val="004440E9"/>
    <w:rsid w:val="004456DF"/>
    <w:rsid w:val="00445F36"/>
    <w:rsid w:val="00453E24"/>
    <w:rsid w:val="00454202"/>
    <w:rsid w:val="00455360"/>
    <w:rsid w:val="00456352"/>
    <w:rsid w:val="00456A26"/>
    <w:rsid w:val="00457456"/>
    <w:rsid w:val="004577FE"/>
    <w:rsid w:val="00457B9C"/>
    <w:rsid w:val="0046164A"/>
    <w:rsid w:val="004628D2"/>
    <w:rsid w:val="00462DCD"/>
    <w:rsid w:val="00463F0E"/>
    <w:rsid w:val="00463FBB"/>
    <w:rsid w:val="004648AD"/>
    <w:rsid w:val="00464FF3"/>
    <w:rsid w:val="004654C5"/>
    <w:rsid w:val="004664ED"/>
    <w:rsid w:val="00466AEE"/>
    <w:rsid w:val="004703A9"/>
    <w:rsid w:val="004714BF"/>
    <w:rsid w:val="0047357B"/>
    <w:rsid w:val="0047423D"/>
    <w:rsid w:val="004753A5"/>
    <w:rsid w:val="004760DE"/>
    <w:rsid w:val="004763D7"/>
    <w:rsid w:val="00476A07"/>
    <w:rsid w:val="004823BB"/>
    <w:rsid w:val="0048340F"/>
    <w:rsid w:val="004835B3"/>
    <w:rsid w:val="00485D98"/>
    <w:rsid w:val="00485E6C"/>
    <w:rsid w:val="00486561"/>
    <w:rsid w:val="004869FF"/>
    <w:rsid w:val="004874EA"/>
    <w:rsid w:val="00493D91"/>
    <w:rsid w:val="004A004E"/>
    <w:rsid w:val="004A08A3"/>
    <w:rsid w:val="004A2475"/>
    <w:rsid w:val="004A24CF"/>
    <w:rsid w:val="004A54C0"/>
    <w:rsid w:val="004A5E57"/>
    <w:rsid w:val="004A684F"/>
    <w:rsid w:val="004A710B"/>
    <w:rsid w:val="004B01AD"/>
    <w:rsid w:val="004C194F"/>
    <w:rsid w:val="004C2A01"/>
    <w:rsid w:val="004C3882"/>
    <w:rsid w:val="004C3D1D"/>
    <w:rsid w:val="004C3D84"/>
    <w:rsid w:val="004C56D1"/>
    <w:rsid w:val="004C6D15"/>
    <w:rsid w:val="004C7913"/>
    <w:rsid w:val="004C7CEA"/>
    <w:rsid w:val="004D1953"/>
    <w:rsid w:val="004D1FF7"/>
    <w:rsid w:val="004D5F01"/>
    <w:rsid w:val="004D6A68"/>
    <w:rsid w:val="004D7157"/>
    <w:rsid w:val="004E4DD6"/>
    <w:rsid w:val="004E5AAD"/>
    <w:rsid w:val="004E5AF1"/>
    <w:rsid w:val="004E606B"/>
    <w:rsid w:val="004E6558"/>
    <w:rsid w:val="004E7153"/>
    <w:rsid w:val="004E76DD"/>
    <w:rsid w:val="004E7A01"/>
    <w:rsid w:val="004F0010"/>
    <w:rsid w:val="004F0759"/>
    <w:rsid w:val="004F3248"/>
    <w:rsid w:val="004F4B89"/>
    <w:rsid w:val="004F5E36"/>
    <w:rsid w:val="004F74DF"/>
    <w:rsid w:val="00505361"/>
    <w:rsid w:val="00506B31"/>
    <w:rsid w:val="00507B47"/>
    <w:rsid w:val="00507BEF"/>
    <w:rsid w:val="00507CC9"/>
    <w:rsid w:val="005119A5"/>
    <w:rsid w:val="00511D31"/>
    <w:rsid w:val="005129EF"/>
    <w:rsid w:val="00512C03"/>
    <w:rsid w:val="00514880"/>
    <w:rsid w:val="00515B42"/>
    <w:rsid w:val="005202F9"/>
    <w:rsid w:val="00522087"/>
    <w:rsid w:val="00522290"/>
    <w:rsid w:val="00522C0B"/>
    <w:rsid w:val="0052432C"/>
    <w:rsid w:val="005256D0"/>
    <w:rsid w:val="005278B7"/>
    <w:rsid w:val="005309E6"/>
    <w:rsid w:val="0053160A"/>
    <w:rsid w:val="00532016"/>
    <w:rsid w:val="00532051"/>
    <w:rsid w:val="00532549"/>
    <w:rsid w:val="00532756"/>
    <w:rsid w:val="00533AB0"/>
    <w:rsid w:val="005346C8"/>
    <w:rsid w:val="00543E7D"/>
    <w:rsid w:val="00544A44"/>
    <w:rsid w:val="005453DD"/>
    <w:rsid w:val="00546A48"/>
    <w:rsid w:val="005473C5"/>
    <w:rsid w:val="00547A68"/>
    <w:rsid w:val="005524F0"/>
    <w:rsid w:val="005531C9"/>
    <w:rsid w:val="00555579"/>
    <w:rsid w:val="00557B2A"/>
    <w:rsid w:val="005610A0"/>
    <w:rsid w:val="00563843"/>
    <w:rsid w:val="00565A74"/>
    <w:rsid w:val="00566F8E"/>
    <w:rsid w:val="005671B2"/>
    <w:rsid w:val="00570C43"/>
    <w:rsid w:val="0057142C"/>
    <w:rsid w:val="00573EB8"/>
    <w:rsid w:val="005750E1"/>
    <w:rsid w:val="00576409"/>
    <w:rsid w:val="005770A6"/>
    <w:rsid w:val="00581542"/>
    <w:rsid w:val="00584738"/>
    <w:rsid w:val="00584A09"/>
    <w:rsid w:val="00585F9B"/>
    <w:rsid w:val="00587343"/>
    <w:rsid w:val="00590F59"/>
    <w:rsid w:val="00592274"/>
    <w:rsid w:val="005922A8"/>
    <w:rsid w:val="005954AF"/>
    <w:rsid w:val="005A1549"/>
    <w:rsid w:val="005A4078"/>
    <w:rsid w:val="005A480D"/>
    <w:rsid w:val="005A71A2"/>
    <w:rsid w:val="005A72E5"/>
    <w:rsid w:val="005B08BA"/>
    <w:rsid w:val="005B0EA8"/>
    <w:rsid w:val="005B1C20"/>
    <w:rsid w:val="005B2110"/>
    <w:rsid w:val="005B604B"/>
    <w:rsid w:val="005B61E6"/>
    <w:rsid w:val="005B6362"/>
    <w:rsid w:val="005C252E"/>
    <w:rsid w:val="005C4660"/>
    <w:rsid w:val="005C69D7"/>
    <w:rsid w:val="005C77E1"/>
    <w:rsid w:val="005D16C5"/>
    <w:rsid w:val="005D1BC1"/>
    <w:rsid w:val="005D259A"/>
    <w:rsid w:val="005D2A60"/>
    <w:rsid w:val="005D64BB"/>
    <w:rsid w:val="005D668A"/>
    <w:rsid w:val="005D6A2F"/>
    <w:rsid w:val="005D76A7"/>
    <w:rsid w:val="005E0592"/>
    <w:rsid w:val="005E07C4"/>
    <w:rsid w:val="005E1836"/>
    <w:rsid w:val="005E1A82"/>
    <w:rsid w:val="005E662D"/>
    <w:rsid w:val="005E6C4D"/>
    <w:rsid w:val="005E794C"/>
    <w:rsid w:val="005F0A28"/>
    <w:rsid w:val="005F0AE6"/>
    <w:rsid w:val="005F0E5E"/>
    <w:rsid w:val="005F1E76"/>
    <w:rsid w:val="005F267E"/>
    <w:rsid w:val="005F67D1"/>
    <w:rsid w:val="005F7BB0"/>
    <w:rsid w:val="00600535"/>
    <w:rsid w:val="00601361"/>
    <w:rsid w:val="00601738"/>
    <w:rsid w:val="00601845"/>
    <w:rsid w:val="00603039"/>
    <w:rsid w:val="0060616E"/>
    <w:rsid w:val="00610CD6"/>
    <w:rsid w:val="00610F4F"/>
    <w:rsid w:val="0061409F"/>
    <w:rsid w:val="006154E6"/>
    <w:rsid w:val="00615CCA"/>
    <w:rsid w:val="00616ED6"/>
    <w:rsid w:val="00617619"/>
    <w:rsid w:val="00620DEE"/>
    <w:rsid w:val="00621F92"/>
    <w:rsid w:val="0062280A"/>
    <w:rsid w:val="006229AC"/>
    <w:rsid w:val="00622C08"/>
    <w:rsid w:val="006231E1"/>
    <w:rsid w:val="00625639"/>
    <w:rsid w:val="00626131"/>
    <w:rsid w:val="00631950"/>
    <w:rsid w:val="00631B33"/>
    <w:rsid w:val="00632AE4"/>
    <w:rsid w:val="00632DE9"/>
    <w:rsid w:val="00636CD1"/>
    <w:rsid w:val="00637A8F"/>
    <w:rsid w:val="0064093E"/>
    <w:rsid w:val="006409C8"/>
    <w:rsid w:val="0064150E"/>
    <w:rsid w:val="0064184D"/>
    <w:rsid w:val="006422CC"/>
    <w:rsid w:val="00647579"/>
    <w:rsid w:val="006478B8"/>
    <w:rsid w:val="006517AD"/>
    <w:rsid w:val="00651D18"/>
    <w:rsid w:val="00652554"/>
    <w:rsid w:val="00652CB4"/>
    <w:rsid w:val="00660C2C"/>
    <w:rsid w:val="00660E3E"/>
    <w:rsid w:val="00661964"/>
    <w:rsid w:val="00661EA7"/>
    <w:rsid w:val="00662E74"/>
    <w:rsid w:val="0066304B"/>
    <w:rsid w:val="00664964"/>
    <w:rsid w:val="00664E64"/>
    <w:rsid w:val="00667D35"/>
    <w:rsid w:val="00672A22"/>
    <w:rsid w:val="00673F0A"/>
    <w:rsid w:val="00680C23"/>
    <w:rsid w:val="00681393"/>
    <w:rsid w:val="00681C45"/>
    <w:rsid w:val="0068376C"/>
    <w:rsid w:val="00683971"/>
    <w:rsid w:val="00683E23"/>
    <w:rsid w:val="00684AC0"/>
    <w:rsid w:val="00684D89"/>
    <w:rsid w:val="00686CCD"/>
    <w:rsid w:val="00687193"/>
    <w:rsid w:val="00691577"/>
    <w:rsid w:val="00691C4F"/>
    <w:rsid w:val="00693766"/>
    <w:rsid w:val="00693BDA"/>
    <w:rsid w:val="006A3281"/>
    <w:rsid w:val="006A4C30"/>
    <w:rsid w:val="006A54D8"/>
    <w:rsid w:val="006A6C80"/>
    <w:rsid w:val="006A6C90"/>
    <w:rsid w:val="006A7617"/>
    <w:rsid w:val="006A7FA6"/>
    <w:rsid w:val="006B003B"/>
    <w:rsid w:val="006B1C11"/>
    <w:rsid w:val="006B4888"/>
    <w:rsid w:val="006B555F"/>
    <w:rsid w:val="006B5886"/>
    <w:rsid w:val="006C0966"/>
    <w:rsid w:val="006C2CF0"/>
    <w:rsid w:val="006C2E45"/>
    <w:rsid w:val="006C33FF"/>
    <w:rsid w:val="006C359C"/>
    <w:rsid w:val="006C53EF"/>
    <w:rsid w:val="006C5579"/>
    <w:rsid w:val="006C5A90"/>
    <w:rsid w:val="006C6858"/>
    <w:rsid w:val="006C77EC"/>
    <w:rsid w:val="006D0088"/>
    <w:rsid w:val="006D488E"/>
    <w:rsid w:val="006D6E8B"/>
    <w:rsid w:val="006D7209"/>
    <w:rsid w:val="006E0524"/>
    <w:rsid w:val="006E29A8"/>
    <w:rsid w:val="006E3BCB"/>
    <w:rsid w:val="006E47A6"/>
    <w:rsid w:val="006E737D"/>
    <w:rsid w:val="006E790D"/>
    <w:rsid w:val="006F04A5"/>
    <w:rsid w:val="006F37D5"/>
    <w:rsid w:val="006F44BB"/>
    <w:rsid w:val="006F5724"/>
    <w:rsid w:val="006F6BD8"/>
    <w:rsid w:val="00700339"/>
    <w:rsid w:val="00701C49"/>
    <w:rsid w:val="00707DD1"/>
    <w:rsid w:val="007106FA"/>
    <w:rsid w:val="0071166E"/>
    <w:rsid w:val="00712B89"/>
    <w:rsid w:val="00713973"/>
    <w:rsid w:val="00713D2D"/>
    <w:rsid w:val="00715126"/>
    <w:rsid w:val="00716772"/>
    <w:rsid w:val="00716929"/>
    <w:rsid w:val="00720A24"/>
    <w:rsid w:val="007230D8"/>
    <w:rsid w:val="00725613"/>
    <w:rsid w:val="007274F4"/>
    <w:rsid w:val="00730422"/>
    <w:rsid w:val="00731C1A"/>
    <w:rsid w:val="00732386"/>
    <w:rsid w:val="00732A51"/>
    <w:rsid w:val="00732B1F"/>
    <w:rsid w:val="007348F5"/>
    <w:rsid w:val="0073514D"/>
    <w:rsid w:val="00740281"/>
    <w:rsid w:val="00742389"/>
    <w:rsid w:val="007424EE"/>
    <w:rsid w:val="00744139"/>
    <w:rsid w:val="00744391"/>
    <w:rsid w:val="007447F3"/>
    <w:rsid w:val="00745C78"/>
    <w:rsid w:val="00751DCB"/>
    <w:rsid w:val="0075499F"/>
    <w:rsid w:val="00761674"/>
    <w:rsid w:val="007617CC"/>
    <w:rsid w:val="00764FB7"/>
    <w:rsid w:val="007661C8"/>
    <w:rsid w:val="007678D7"/>
    <w:rsid w:val="007708ED"/>
    <w:rsid w:val="0077098D"/>
    <w:rsid w:val="0077098E"/>
    <w:rsid w:val="007724A7"/>
    <w:rsid w:val="00772FCE"/>
    <w:rsid w:val="00774117"/>
    <w:rsid w:val="00776565"/>
    <w:rsid w:val="0078035E"/>
    <w:rsid w:val="00781215"/>
    <w:rsid w:val="00781AF8"/>
    <w:rsid w:val="00782AF4"/>
    <w:rsid w:val="00783646"/>
    <w:rsid w:val="00785BF9"/>
    <w:rsid w:val="00790058"/>
    <w:rsid w:val="00791808"/>
    <w:rsid w:val="00791FF6"/>
    <w:rsid w:val="00792AA0"/>
    <w:rsid w:val="007931FA"/>
    <w:rsid w:val="00793A83"/>
    <w:rsid w:val="00795DF7"/>
    <w:rsid w:val="007A0395"/>
    <w:rsid w:val="007A207C"/>
    <w:rsid w:val="007A2F0B"/>
    <w:rsid w:val="007A4046"/>
    <w:rsid w:val="007A4861"/>
    <w:rsid w:val="007A62AE"/>
    <w:rsid w:val="007A6DF8"/>
    <w:rsid w:val="007A7625"/>
    <w:rsid w:val="007A7BBA"/>
    <w:rsid w:val="007A7C73"/>
    <w:rsid w:val="007B0AEE"/>
    <w:rsid w:val="007B0C50"/>
    <w:rsid w:val="007B48F9"/>
    <w:rsid w:val="007B49E3"/>
    <w:rsid w:val="007B7AEF"/>
    <w:rsid w:val="007C1A43"/>
    <w:rsid w:val="007C1D17"/>
    <w:rsid w:val="007C2073"/>
    <w:rsid w:val="007C4D62"/>
    <w:rsid w:val="007C5353"/>
    <w:rsid w:val="007D0951"/>
    <w:rsid w:val="007D2FAE"/>
    <w:rsid w:val="007D4A2B"/>
    <w:rsid w:val="007D5A4D"/>
    <w:rsid w:val="007D76EA"/>
    <w:rsid w:val="007E047B"/>
    <w:rsid w:val="007E058D"/>
    <w:rsid w:val="007E761B"/>
    <w:rsid w:val="007F08EF"/>
    <w:rsid w:val="007F1278"/>
    <w:rsid w:val="007F1693"/>
    <w:rsid w:val="007F27C8"/>
    <w:rsid w:val="007F2888"/>
    <w:rsid w:val="007F2F84"/>
    <w:rsid w:val="007F453B"/>
    <w:rsid w:val="007F6465"/>
    <w:rsid w:val="007F6CD4"/>
    <w:rsid w:val="0080013E"/>
    <w:rsid w:val="00802547"/>
    <w:rsid w:val="00803BFE"/>
    <w:rsid w:val="0080614B"/>
    <w:rsid w:val="00811D2E"/>
    <w:rsid w:val="00811E66"/>
    <w:rsid w:val="0081206F"/>
    <w:rsid w:val="0081290E"/>
    <w:rsid w:val="00813288"/>
    <w:rsid w:val="008144C1"/>
    <w:rsid w:val="008148EA"/>
    <w:rsid w:val="008168FC"/>
    <w:rsid w:val="00820971"/>
    <w:rsid w:val="0082215B"/>
    <w:rsid w:val="00823B42"/>
    <w:rsid w:val="00823E54"/>
    <w:rsid w:val="008245FE"/>
    <w:rsid w:val="00830070"/>
    <w:rsid w:val="00830996"/>
    <w:rsid w:val="008314D7"/>
    <w:rsid w:val="00833CC5"/>
    <w:rsid w:val="008345F1"/>
    <w:rsid w:val="008407CD"/>
    <w:rsid w:val="00842AAE"/>
    <w:rsid w:val="008436B7"/>
    <w:rsid w:val="00847E31"/>
    <w:rsid w:val="008519EC"/>
    <w:rsid w:val="008533C1"/>
    <w:rsid w:val="00854102"/>
    <w:rsid w:val="00855E64"/>
    <w:rsid w:val="00856764"/>
    <w:rsid w:val="00860FD7"/>
    <w:rsid w:val="00863A12"/>
    <w:rsid w:val="008647E6"/>
    <w:rsid w:val="00865B07"/>
    <w:rsid w:val="008667EA"/>
    <w:rsid w:val="00870C52"/>
    <w:rsid w:val="00872A06"/>
    <w:rsid w:val="00872D21"/>
    <w:rsid w:val="0087392F"/>
    <w:rsid w:val="008744BC"/>
    <w:rsid w:val="0087492C"/>
    <w:rsid w:val="008762D8"/>
    <w:rsid w:val="0087637F"/>
    <w:rsid w:val="008773B1"/>
    <w:rsid w:val="00881D5C"/>
    <w:rsid w:val="0088325A"/>
    <w:rsid w:val="0088429D"/>
    <w:rsid w:val="00884727"/>
    <w:rsid w:val="008849FC"/>
    <w:rsid w:val="008901F2"/>
    <w:rsid w:val="0089049D"/>
    <w:rsid w:val="00890E34"/>
    <w:rsid w:val="0089215B"/>
    <w:rsid w:val="00892AD5"/>
    <w:rsid w:val="00894D5E"/>
    <w:rsid w:val="00895098"/>
    <w:rsid w:val="00896F9E"/>
    <w:rsid w:val="00897685"/>
    <w:rsid w:val="008A1512"/>
    <w:rsid w:val="008A159E"/>
    <w:rsid w:val="008A61EB"/>
    <w:rsid w:val="008A6593"/>
    <w:rsid w:val="008A6EEA"/>
    <w:rsid w:val="008A6F91"/>
    <w:rsid w:val="008B0948"/>
    <w:rsid w:val="008B399A"/>
    <w:rsid w:val="008B4238"/>
    <w:rsid w:val="008C38E4"/>
    <w:rsid w:val="008C7B78"/>
    <w:rsid w:val="008D1082"/>
    <w:rsid w:val="008D1386"/>
    <w:rsid w:val="008D1976"/>
    <w:rsid w:val="008D23C3"/>
    <w:rsid w:val="008D32B9"/>
    <w:rsid w:val="008D3680"/>
    <w:rsid w:val="008D40B5"/>
    <w:rsid w:val="008D433B"/>
    <w:rsid w:val="008D43DA"/>
    <w:rsid w:val="008D4A16"/>
    <w:rsid w:val="008D59B8"/>
    <w:rsid w:val="008D5B1A"/>
    <w:rsid w:val="008D5CF3"/>
    <w:rsid w:val="008D5D58"/>
    <w:rsid w:val="008D5D7F"/>
    <w:rsid w:val="008D5DA2"/>
    <w:rsid w:val="008D6921"/>
    <w:rsid w:val="008D70C4"/>
    <w:rsid w:val="008E0B6E"/>
    <w:rsid w:val="008E1446"/>
    <w:rsid w:val="008E209A"/>
    <w:rsid w:val="008E2172"/>
    <w:rsid w:val="008E2F02"/>
    <w:rsid w:val="008E45BC"/>
    <w:rsid w:val="008E46B7"/>
    <w:rsid w:val="008E566E"/>
    <w:rsid w:val="008E632E"/>
    <w:rsid w:val="008F1A69"/>
    <w:rsid w:val="008F243B"/>
    <w:rsid w:val="008F29DD"/>
    <w:rsid w:val="008F3D9A"/>
    <w:rsid w:val="009014F5"/>
    <w:rsid w:val="0090161A"/>
    <w:rsid w:val="00901EB6"/>
    <w:rsid w:val="00902653"/>
    <w:rsid w:val="009041F8"/>
    <w:rsid w:val="00904C62"/>
    <w:rsid w:val="00905C57"/>
    <w:rsid w:val="00913968"/>
    <w:rsid w:val="00915711"/>
    <w:rsid w:val="0091753C"/>
    <w:rsid w:val="00920404"/>
    <w:rsid w:val="00922BA8"/>
    <w:rsid w:val="009237E1"/>
    <w:rsid w:val="00923ED3"/>
    <w:rsid w:val="00924DAC"/>
    <w:rsid w:val="00926D81"/>
    <w:rsid w:val="00927058"/>
    <w:rsid w:val="00930C7B"/>
    <w:rsid w:val="009320EA"/>
    <w:rsid w:val="00932A2F"/>
    <w:rsid w:val="0093401E"/>
    <w:rsid w:val="00935237"/>
    <w:rsid w:val="00936688"/>
    <w:rsid w:val="00936907"/>
    <w:rsid w:val="00937556"/>
    <w:rsid w:val="00942750"/>
    <w:rsid w:val="0094367A"/>
    <w:rsid w:val="009438E4"/>
    <w:rsid w:val="009450CE"/>
    <w:rsid w:val="009459BB"/>
    <w:rsid w:val="00947179"/>
    <w:rsid w:val="009507AE"/>
    <w:rsid w:val="00951427"/>
    <w:rsid w:val="0095164B"/>
    <w:rsid w:val="00954090"/>
    <w:rsid w:val="00954C00"/>
    <w:rsid w:val="009573E7"/>
    <w:rsid w:val="00963A94"/>
    <w:rsid w:val="00963E05"/>
    <w:rsid w:val="00964A45"/>
    <w:rsid w:val="00964D31"/>
    <w:rsid w:val="00966D55"/>
    <w:rsid w:val="009670B7"/>
    <w:rsid w:val="00967843"/>
    <w:rsid w:val="00967D54"/>
    <w:rsid w:val="00971028"/>
    <w:rsid w:val="00972267"/>
    <w:rsid w:val="00973C05"/>
    <w:rsid w:val="009774AD"/>
    <w:rsid w:val="0098115B"/>
    <w:rsid w:val="00983E38"/>
    <w:rsid w:val="0098471E"/>
    <w:rsid w:val="00986153"/>
    <w:rsid w:val="00990832"/>
    <w:rsid w:val="00990CD0"/>
    <w:rsid w:val="009912C3"/>
    <w:rsid w:val="009923B8"/>
    <w:rsid w:val="00992C4F"/>
    <w:rsid w:val="00993B84"/>
    <w:rsid w:val="009941E9"/>
    <w:rsid w:val="0099595A"/>
    <w:rsid w:val="00996483"/>
    <w:rsid w:val="00996F5A"/>
    <w:rsid w:val="009A5A43"/>
    <w:rsid w:val="009A789A"/>
    <w:rsid w:val="009B041A"/>
    <w:rsid w:val="009B0C8D"/>
    <w:rsid w:val="009B1C92"/>
    <w:rsid w:val="009B37EE"/>
    <w:rsid w:val="009B4439"/>
    <w:rsid w:val="009B5ED3"/>
    <w:rsid w:val="009B734A"/>
    <w:rsid w:val="009C154D"/>
    <w:rsid w:val="009C1657"/>
    <w:rsid w:val="009C285E"/>
    <w:rsid w:val="009C37C3"/>
    <w:rsid w:val="009C4261"/>
    <w:rsid w:val="009C4EB5"/>
    <w:rsid w:val="009C6FBB"/>
    <w:rsid w:val="009C718B"/>
    <w:rsid w:val="009C7C86"/>
    <w:rsid w:val="009D2FF7"/>
    <w:rsid w:val="009D43F7"/>
    <w:rsid w:val="009D5792"/>
    <w:rsid w:val="009D7F7A"/>
    <w:rsid w:val="009E027E"/>
    <w:rsid w:val="009E0A51"/>
    <w:rsid w:val="009E19C8"/>
    <w:rsid w:val="009E3495"/>
    <w:rsid w:val="009E3E50"/>
    <w:rsid w:val="009E4E39"/>
    <w:rsid w:val="009E6311"/>
    <w:rsid w:val="009E64B1"/>
    <w:rsid w:val="009E6E71"/>
    <w:rsid w:val="009E7884"/>
    <w:rsid w:val="009E788A"/>
    <w:rsid w:val="009F0AFD"/>
    <w:rsid w:val="009F0E08"/>
    <w:rsid w:val="009F2E96"/>
    <w:rsid w:val="009F52D4"/>
    <w:rsid w:val="009F68A4"/>
    <w:rsid w:val="009F73ED"/>
    <w:rsid w:val="00A00104"/>
    <w:rsid w:val="00A003B6"/>
    <w:rsid w:val="00A046F4"/>
    <w:rsid w:val="00A067B2"/>
    <w:rsid w:val="00A079AE"/>
    <w:rsid w:val="00A07A60"/>
    <w:rsid w:val="00A10158"/>
    <w:rsid w:val="00A10265"/>
    <w:rsid w:val="00A10EC4"/>
    <w:rsid w:val="00A120C2"/>
    <w:rsid w:val="00A13C58"/>
    <w:rsid w:val="00A15A18"/>
    <w:rsid w:val="00A1763D"/>
    <w:rsid w:val="00A17CEC"/>
    <w:rsid w:val="00A20F4E"/>
    <w:rsid w:val="00A229DE"/>
    <w:rsid w:val="00A2340F"/>
    <w:rsid w:val="00A235D8"/>
    <w:rsid w:val="00A24BEB"/>
    <w:rsid w:val="00A26CBB"/>
    <w:rsid w:val="00A27328"/>
    <w:rsid w:val="00A27BC3"/>
    <w:rsid w:val="00A27EF0"/>
    <w:rsid w:val="00A30FA7"/>
    <w:rsid w:val="00A317A1"/>
    <w:rsid w:val="00A324B0"/>
    <w:rsid w:val="00A32D8A"/>
    <w:rsid w:val="00A3348B"/>
    <w:rsid w:val="00A3735E"/>
    <w:rsid w:val="00A406A3"/>
    <w:rsid w:val="00A42361"/>
    <w:rsid w:val="00A43567"/>
    <w:rsid w:val="00A439D2"/>
    <w:rsid w:val="00A46797"/>
    <w:rsid w:val="00A46890"/>
    <w:rsid w:val="00A50B20"/>
    <w:rsid w:val="00A51390"/>
    <w:rsid w:val="00A51A1C"/>
    <w:rsid w:val="00A557BE"/>
    <w:rsid w:val="00A55B4C"/>
    <w:rsid w:val="00A57A17"/>
    <w:rsid w:val="00A6059F"/>
    <w:rsid w:val="00A60D13"/>
    <w:rsid w:val="00A62BD5"/>
    <w:rsid w:val="00A6636C"/>
    <w:rsid w:val="00A6787F"/>
    <w:rsid w:val="00A704A7"/>
    <w:rsid w:val="00A7223D"/>
    <w:rsid w:val="00A72745"/>
    <w:rsid w:val="00A74056"/>
    <w:rsid w:val="00A74FFC"/>
    <w:rsid w:val="00A76EFC"/>
    <w:rsid w:val="00A771E4"/>
    <w:rsid w:val="00A778E6"/>
    <w:rsid w:val="00A77C45"/>
    <w:rsid w:val="00A8043C"/>
    <w:rsid w:val="00A815E4"/>
    <w:rsid w:val="00A83145"/>
    <w:rsid w:val="00A84D40"/>
    <w:rsid w:val="00A87D50"/>
    <w:rsid w:val="00A91010"/>
    <w:rsid w:val="00A95CED"/>
    <w:rsid w:val="00A963D5"/>
    <w:rsid w:val="00A966A6"/>
    <w:rsid w:val="00A97379"/>
    <w:rsid w:val="00A97F29"/>
    <w:rsid w:val="00AA1A6A"/>
    <w:rsid w:val="00AA3018"/>
    <w:rsid w:val="00AA702E"/>
    <w:rsid w:val="00AA7D26"/>
    <w:rsid w:val="00AB0964"/>
    <w:rsid w:val="00AB0E70"/>
    <w:rsid w:val="00AB102F"/>
    <w:rsid w:val="00AB19FB"/>
    <w:rsid w:val="00AB3C9F"/>
    <w:rsid w:val="00AB4E3D"/>
    <w:rsid w:val="00AB5011"/>
    <w:rsid w:val="00AB6187"/>
    <w:rsid w:val="00AC1033"/>
    <w:rsid w:val="00AC22EA"/>
    <w:rsid w:val="00AC6BB3"/>
    <w:rsid w:val="00AC7368"/>
    <w:rsid w:val="00AD0206"/>
    <w:rsid w:val="00AD0278"/>
    <w:rsid w:val="00AD02E8"/>
    <w:rsid w:val="00AD16B9"/>
    <w:rsid w:val="00AD29D1"/>
    <w:rsid w:val="00AD2CE3"/>
    <w:rsid w:val="00AD2D93"/>
    <w:rsid w:val="00AD4668"/>
    <w:rsid w:val="00AD4873"/>
    <w:rsid w:val="00AD5FD4"/>
    <w:rsid w:val="00AD6D22"/>
    <w:rsid w:val="00AE36A5"/>
    <w:rsid w:val="00AE377D"/>
    <w:rsid w:val="00AE38DA"/>
    <w:rsid w:val="00AE3C23"/>
    <w:rsid w:val="00AF0DFC"/>
    <w:rsid w:val="00AF0EBA"/>
    <w:rsid w:val="00AF1739"/>
    <w:rsid w:val="00AF20DF"/>
    <w:rsid w:val="00AF624C"/>
    <w:rsid w:val="00B018A5"/>
    <w:rsid w:val="00B02C8A"/>
    <w:rsid w:val="00B035F5"/>
    <w:rsid w:val="00B0447D"/>
    <w:rsid w:val="00B04804"/>
    <w:rsid w:val="00B06B0A"/>
    <w:rsid w:val="00B10487"/>
    <w:rsid w:val="00B11B85"/>
    <w:rsid w:val="00B13677"/>
    <w:rsid w:val="00B1528D"/>
    <w:rsid w:val="00B154EB"/>
    <w:rsid w:val="00B16276"/>
    <w:rsid w:val="00B17FBD"/>
    <w:rsid w:val="00B2085D"/>
    <w:rsid w:val="00B20D4F"/>
    <w:rsid w:val="00B20DE8"/>
    <w:rsid w:val="00B24A47"/>
    <w:rsid w:val="00B24E49"/>
    <w:rsid w:val="00B313D4"/>
    <w:rsid w:val="00B315A6"/>
    <w:rsid w:val="00B31813"/>
    <w:rsid w:val="00B31E0E"/>
    <w:rsid w:val="00B32275"/>
    <w:rsid w:val="00B33365"/>
    <w:rsid w:val="00B42EA2"/>
    <w:rsid w:val="00B46AD6"/>
    <w:rsid w:val="00B474C9"/>
    <w:rsid w:val="00B535FA"/>
    <w:rsid w:val="00B54634"/>
    <w:rsid w:val="00B57B36"/>
    <w:rsid w:val="00B57E6F"/>
    <w:rsid w:val="00B66327"/>
    <w:rsid w:val="00B668D6"/>
    <w:rsid w:val="00B678A6"/>
    <w:rsid w:val="00B72A74"/>
    <w:rsid w:val="00B809FE"/>
    <w:rsid w:val="00B83507"/>
    <w:rsid w:val="00B85F94"/>
    <w:rsid w:val="00B8686D"/>
    <w:rsid w:val="00B87A9D"/>
    <w:rsid w:val="00B90F4E"/>
    <w:rsid w:val="00B91555"/>
    <w:rsid w:val="00B9273F"/>
    <w:rsid w:val="00B93F2E"/>
    <w:rsid w:val="00B93F69"/>
    <w:rsid w:val="00B95DFC"/>
    <w:rsid w:val="00B97B7B"/>
    <w:rsid w:val="00B97C2E"/>
    <w:rsid w:val="00BA271B"/>
    <w:rsid w:val="00BA4606"/>
    <w:rsid w:val="00BA6A07"/>
    <w:rsid w:val="00BA6E87"/>
    <w:rsid w:val="00BA7216"/>
    <w:rsid w:val="00BB0435"/>
    <w:rsid w:val="00BB1DDC"/>
    <w:rsid w:val="00BB2624"/>
    <w:rsid w:val="00BB2B09"/>
    <w:rsid w:val="00BB332B"/>
    <w:rsid w:val="00BB515B"/>
    <w:rsid w:val="00BB5D09"/>
    <w:rsid w:val="00BB619A"/>
    <w:rsid w:val="00BB77A3"/>
    <w:rsid w:val="00BC113E"/>
    <w:rsid w:val="00BC2AF9"/>
    <w:rsid w:val="00BC30C9"/>
    <w:rsid w:val="00BC3DEA"/>
    <w:rsid w:val="00BC5177"/>
    <w:rsid w:val="00BC6263"/>
    <w:rsid w:val="00BC6F6F"/>
    <w:rsid w:val="00BD077D"/>
    <w:rsid w:val="00BD1C5D"/>
    <w:rsid w:val="00BD3263"/>
    <w:rsid w:val="00BD4748"/>
    <w:rsid w:val="00BD53DF"/>
    <w:rsid w:val="00BD5BB5"/>
    <w:rsid w:val="00BD6E78"/>
    <w:rsid w:val="00BD753F"/>
    <w:rsid w:val="00BD75F3"/>
    <w:rsid w:val="00BD7E19"/>
    <w:rsid w:val="00BE2AAB"/>
    <w:rsid w:val="00BE3131"/>
    <w:rsid w:val="00BE3E58"/>
    <w:rsid w:val="00BE681D"/>
    <w:rsid w:val="00BF13F9"/>
    <w:rsid w:val="00BF3A10"/>
    <w:rsid w:val="00BF5BA6"/>
    <w:rsid w:val="00C01616"/>
    <w:rsid w:val="00C0162B"/>
    <w:rsid w:val="00C03196"/>
    <w:rsid w:val="00C04CA3"/>
    <w:rsid w:val="00C068ED"/>
    <w:rsid w:val="00C1271E"/>
    <w:rsid w:val="00C14C33"/>
    <w:rsid w:val="00C1596E"/>
    <w:rsid w:val="00C175CC"/>
    <w:rsid w:val="00C1772C"/>
    <w:rsid w:val="00C208E9"/>
    <w:rsid w:val="00C22E0C"/>
    <w:rsid w:val="00C26073"/>
    <w:rsid w:val="00C31821"/>
    <w:rsid w:val="00C31872"/>
    <w:rsid w:val="00C345B1"/>
    <w:rsid w:val="00C34B1B"/>
    <w:rsid w:val="00C36ADB"/>
    <w:rsid w:val="00C372B2"/>
    <w:rsid w:val="00C37350"/>
    <w:rsid w:val="00C37A7D"/>
    <w:rsid w:val="00C40142"/>
    <w:rsid w:val="00C441DE"/>
    <w:rsid w:val="00C469FF"/>
    <w:rsid w:val="00C50488"/>
    <w:rsid w:val="00C52831"/>
    <w:rsid w:val="00C52C3C"/>
    <w:rsid w:val="00C539B2"/>
    <w:rsid w:val="00C57182"/>
    <w:rsid w:val="00C57863"/>
    <w:rsid w:val="00C640AF"/>
    <w:rsid w:val="00C655FD"/>
    <w:rsid w:val="00C666CB"/>
    <w:rsid w:val="00C66D72"/>
    <w:rsid w:val="00C677DB"/>
    <w:rsid w:val="00C70461"/>
    <w:rsid w:val="00C70984"/>
    <w:rsid w:val="00C70B1D"/>
    <w:rsid w:val="00C726CD"/>
    <w:rsid w:val="00C744FE"/>
    <w:rsid w:val="00C75407"/>
    <w:rsid w:val="00C76F3A"/>
    <w:rsid w:val="00C7756A"/>
    <w:rsid w:val="00C77B61"/>
    <w:rsid w:val="00C80E8E"/>
    <w:rsid w:val="00C81F89"/>
    <w:rsid w:val="00C829D8"/>
    <w:rsid w:val="00C82A61"/>
    <w:rsid w:val="00C841C6"/>
    <w:rsid w:val="00C870A8"/>
    <w:rsid w:val="00C9127D"/>
    <w:rsid w:val="00C92106"/>
    <w:rsid w:val="00C92879"/>
    <w:rsid w:val="00C929BF"/>
    <w:rsid w:val="00C939D2"/>
    <w:rsid w:val="00C93AE7"/>
    <w:rsid w:val="00C94434"/>
    <w:rsid w:val="00CA0469"/>
    <w:rsid w:val="00CA06A1"/>
    <w:rsid w:val="00CA0D75"/>
    <w:rsid w:val="00CA1955"/>
    <w:rsid w:val="00CA1C95"/>
    <w:rsid w:val="00CA4AA6"/>
    <w:rsid w:val="00CA5A9C"/>
    <w:rsid w:val="00CB1935"/>
    <w:rsid w:val="00CB2C23"/>
    <w:rsid w:val="00CB4369"/>
    <w:rsid w:val="00CB67C1"/>
    <w:rsid w:val="00CB6852"/>
    <w:rsid w:val="00CC00F0"/>
    <w:rsid w:val="00CC12C1"/>
    <w:rsid w:val="00CC3727"/>
    <w:rsid w:val="00CC4331"/>
    <w:rsid w:val="00CC4C20"/>
    <w:rsid w:val="00CC4D84"/>
    <w:rsid w:val="00CD3517"/>
    <w:rsid w:val="00CD3F13"/>
    <w:rsid w:val="00CD5FE2"/>
    <w:rsid w:val="00CD6E8A"/>
    <w:rsid w:val="00CE068E"/>
    <w:rsid w:val="00CE1CB8"/>
    <w:rsid w:val="00CE4C96"/>
    <w:rsid w:val="00CE6765"/>
    <w:rsid w:val="00CE7C68"/>
    <w:rsid w:val="00CF1BB0"/>
    <w:rsid w:val="00CF28F7"/>
    <w:rsid w:val="00CF34B5"/>
    <w:rsid w:val="00CF391C"/>
    <w:rsid w:val="00CF42FE"/>
    <w:rsid w:val="00CF6DA9"/>
    <w:rsid w:val="00D02B4C"/>
    <w:rsid w:val="00D040C4"/>
    <w:rsid w:val="00D0691D"/>
    <w:rsid w:val="00D06A69"/>
    <w:rsid w:val="00D06BD3"/>
    <w:rsid w:val="00D07083"/>
    <w:rsid w:val="00D070B3"/>
    <w:rsid w:val="00D07B0B"/>
    <w:rsid w:val="00D12E36"/>
    <w:rsid w:val="00D1319C"/>
    <w:rsid w:val="00D14794"/>
    <w:rsid w:val="00D14ED3"/>
    <w:rsid w:val="00D155D1"/>
    <w:rsid w:val="00D20AD1"/>
    <w:rsid w:val="00D24C09"/>
    <w:rsid w:val="00D24CBB"/>
    <w:rsid w:val="00D2582C"/>
    <w:rsid w:val="00D25B7D"/>
    <w:rsid w:val="00D261AF"/>
    <w:rsid w:val="00D26844"/>
    <w:rsid w:val="00D30D1B"/>
    <w:rsid w:val="00D331BF"/>
    <w:rsid w:val="00D33452"/>
    <w:rsid w:val="00D3394E"/>
    <w:rsid w:val="00D33C38"/>
    <w:rsid w:val="00D3567D"/>
    <w:rsid w:val="00D370F9"/>
    <w:rsid w:val="00D40120"/>
    <w:rsid w:val="00D42FC1"/>
    <w:rsid w:val="00D44EE4"/>
    <w:rsid w:val="00D452E7"/>
    <w:rsid w:val="00D4556A"/>
    <w:rsid w:val="00D46B7E"/>
    <w:rsid w:val="00D51014"/>
    <w:rsid w:val="00D540A2"/>
    <w:rsid w:val="00D57105"/>
    <w:rsid w:val="00D57C84"/>
    <w:rsid w:val="00D57CE0"/>
    <w:rsid w:val="00D602CA"/>
    <w:rsid w:val="00D6057D"/>
    <w:rsid w:val="00D607D1"/>
    <w:rsid w:val="00D6083B"/>
    <w:rsid w:val="00D619D2"/>
    <w:rsid w:val="00D70DCA"/>
    <w:rsid w:val="00D71640"/>
    <w:rsid w:val="00D73742"/>
    <w:rsid w:val="00D73C69"/>
    <w:rsid w:val="00D74621"/>
    <w:rsid w:val="00D76326"/>
    <w:rsid w:val="00D803FC"/>
    <w:rsid w:val="00D80974"/>
    <w:rsid w:val="00D816B9"/>
    <w:rsid w:val="00D8174F"/>
    <w:rsid w:val="00D817CD"/>
    <w:rsid w:val="00D81AF0"/>
    <w:rsid w:val="00D836C5"/>
    <w:rsid w:val="00D8431A"/>
    <w:rsid w:val="00D84576"/>
    <w:rsid w:val="00D867EC"/>
    <w:rsid w:val="00D87A01"/>
    <w:rsid w:val="00D921D6"/>
    <w:rsid w:val="00D9235B"/>
    <w:rsid w:val="00D93064"/>
    <w:rsid w:val="00D94655"/>
    <w:rsid w:val="00D96A02"/>
    <w:rsid w:val="00DA06B4"/>
    <w:rsid w:val="00DA09E1"/>
    <w:rsid w:val="00DA1399"/>
    <w:rsid w:val="00DA192A"/>
    <w:rsid w:val="00DA21BB"/>
    <w:rsid w:val="00DA228E"/>
    <w:rsid w:val="00DA24C6"/>
    <w:rsid w:val="00DA3972"/>
    <w:rsid w:val="00DA4D7B"/>
    <w:rsid w:val="00DA796A"/>
    <w:rsid w:val="00DB0E15"/>
    <w:rsid w:val="00DB223B"/>
    <w:rsid w:val="00DB2F4B"/>
    <w:rsid w:val="00DB2F9F"/>
    <w:rsid w:val="00DB519C"/>
    <w:rsid w:val="00DC1B49"/>
    <w:rsid w:val="00DC4527"/>
    <w:rsid w:val="00DC52B2"/>
    <w:rsid w:val="00DC6429"/>
    <w:rsid w:val="00DD271C"/>
    <w:rsid w:val="00DD4FCD"/>
    <w:rsid w:val="00DD5185"/>
    <w:rsid w:val="00DD6D12"/>
    <w:rsid w:val="00DD7AE9"/>
    <w:rsid w:val="00DE0464"/>
    <w:rsid w:val="00DE0A3F"/>
    <w:rsid w:val="00DE264A"/>
    <w:rsid w:val="00DE4C86"/>
    <w:rsid w:val="00DE568D"/>
    <w:rsid w:val="00DF1021"/>
    <w:rsid w:val="00DF15D3"/>
    <w:rsid w:val="00DF477C"/>
    <w:rsid w:val="00DF5072"/>
    <w:rsid w:val="00E00216"/>
    <w:rsid w:val="00E02D18"/>
    <w:rsid w:val="00E041E7"/>
    <w:rsid w:val="00E079B6"/>
    <w:rsid w:val="00E140B9"/>
    <w:rsid w:val="00E14D62"/>
    <w:rsid w:val="00E152D3"/>
    <w:rsid w:val="00E16D49"/>
    <w:rsid w:val="00E173EC"/>
    <w:rsid w:val="00E17434"/>
    <w:rsid w:val="00E213B6"/>
    <w:rsid w:val="00E2200D"/>
    <w:rsid w:val="00E22987"/>
    <w:rsid w:val="00E233A0"/>
    <w:rsid w:val="00E23CA1"/>
    <w:rsid w:val="00E25E54"/>
    <w:rsid w:val="00E331E9"/>
    <w:rsid w:val="00E409A8"/>
    <w:rsid w:val="00E40B53"/>
    <w:rsid w:val="00E41CE2"/>
    <w:rsid w:val="00E421D3"/>
    <w:rsid w:val="00E425E8"/>
    <w:rsid w:val="00E43774"/>
    <w:rsid w:val="00E45700"/>
    <w:rsid w:val="00E461FD"/>
    <w:rsid w:val="00E467BD"/>
    <w:rsid w:val="00E47D61"/>
    <w:rsid w:val="00E50C12"/>
    <w:rsid w:val="00E51B74"/>
    <w:rsid w:val="00E52CDB"/>
    <w:rsid w:val="00E538E5"/>
    <w:rsid w:val="00E569E5"/>
    <w:rsid w:val="00E57CE4"/>
    <w:rsid w:val="00E62812"/>
    <w:rsid w:val="00E63AE8"/>
    <w:rsid w:val="00E65B91"/>
    <w:rsid w:val="00E65C70"/>
    <w:rsid w:val="00E70ECC"/>
    <w:rsid w:val="00E7209D"/>
    <w:rsid w:val="00E7218C"/>
    <w:rsid w:val="00E72EAD"/>
    <w:rsid w:val="00E73CCF"/>
    <w:rsid w:val="00E76A65"/>
    <w:rsid w:val="00E76DE9"/>
    <w:rsid w:val="00E76FC3"/>
    <w:rsid w:val="00E77223"/>
    <w:rsid w:val="00E778DD"/>
    <w:rsid w:val="00E8048C"/>
    <w:rsid w:val="00E827F8"/>
    <w:rsid w:val="00E83FA0"/>
    <w:rsid w:val="00E850E2"/>
    <w:rsid w:val="00E8528B"/>
    <w:rsid w:val="00E85B94"/>
    <w:rsid w:val="00E8680D"/>
    <w:rsid w:val="00E873C3"/>
    <w:rsid w:val="00E925D5"/>
    <w:rsid w:val="00E92B36"/>
    <w:rsid w:val="00E9371B"/>
    <w:rsid w:val="00E9584C"/>
    <w:rsid w:val="00E978D0"/>
    <w:rsid w:val="00E9EF5F"/>
    <w:rsid w:val="00EA0043"/>
    <w:rsid w:val="00EA2829"/>
    <w:rsid w:val="00EA3089"/>
    <w:rsid w:val="00EA35F5"/>
    <w:rsid w:val="00EA4225"/>
    <w:rsid w:val="00EA4613"/>
    <w:rsid w:val="00EA653C"/>
    <w:rsid w:val="00EA7CF9"/>
    <w:rsid w:val="00EA7F91"/>
    <w:rsid w:val="00EB04C8"/>
    <w:rsid w:val="00EB12C1"/>
    <w:rsid w:val="00EB1523"/>
    <w:rsid w:val="00EB2466"/>
    <w:rsid w:val="00EB319F"/>
    <w:rsid w:val="00EB32AF"/>
    <w:rsid w:val="00EB4B63"/>
    <w:rsid w:val="00EB5630"/>
    <w:rsid w:val="00EB5D3C"/>
    <w:rsid w:val="00EB5F43"/>
    <w:rsid w:val="00EC0E49"/>
    <w:rsid w:val="00EC101F"/>
    <w:rsid w:val="00EC11BF"/>
    <w:rsid w:val="00EC1D9F"/>
    <w:rsid w:val="00EC2B95"/>
    <w:rsid w:val="00EC3555"/>
    <w:rsid w:val="00EC5C8A"/>
    <w:rsid w:val="00ED1683"/>
    <w:rsid w:val="00ED192F"/>
    <w:rsid w:val="00ED24F4"/>
    <w:rsid w:val="00ED33D2"/>
    <w:rsid w:val="00ED7413"/>
    <w:rsid w:val="00ED7AD1"/>
    <w:rsid w:val="00EE0131"/>
    <w:rsid w:val="00EE0490"/>
    <w:rsid w:val="00EE17B0"/>
    <w:rsid w:val="00EE1D2E"/>
    <w:rsid w:val="00EE54E5"/>
    <w:rsid w:val="00EE5E14"/>
    <w:rsid w:val="00EE69BF"/>
    <w:rsid w:val="00EF06D9"/>
    <w:rsid w:val="00EF0982"/>
    <w:rsid w:val="00EF1F1C"/>
    <w:rsid w:val="00EF2450"/>
    <w:rsid w:val="00EF4B82"/>
    <w:rsid w:val="00EF4BF7"/>
    <w:rsid w:val="00EF4F05"/>
    <w:rsid w:val="00EF76EA"/>
    <w:rsid w:val="00F02CED"/>
    <w:rsid w:val="00F04516"/>
    <w:rsid w:val="00F04BE7"/>
    <w:rsid w:val="00F04E4C"/>
    <w:rsid w:val="00F05A81"/>
    <w:rsid w:val="00F07E6C"/>
    <w:rsid w:val="00F103DD"/>
    <w:rsid w:val="00F10E30"/>
    <w:rsid w:val="00F12036"/>
    <w:rsid w:val="00F12A2C"/>
    <w:rsid w:val="00F16A75"/>
    <w:rsid w:val="00F20448"/>
    <w:rsid w:val="00F223ED"/>
    <w:rsid w:val="00F2289E"/>
    <w:rsid w:val="00F2515F"/>
    <w:rsid w:val="00F26F79"/>
    <w:rsid w:val="00F270A7"/>
    <w:rsid w:val="00F3049E"/>
    <w:rsid w:val="00F30999"/>
    <w:rsid w:val="00F30C64"/>
    <w:rsid w:val="00F31D8C"/>
    <w:rsid w:val="00F32ACA"/>
    <w:rsid w:val="00F32BA2"/>
    <w:rsid w:val="00F32CDB"/>
    <w:rsid w:val="00F3348F"/>
    <w:rsid w:val="00F33714"/>
    <w:rsid w:val="00F347D3"/>
    <w:rsid w:val="00F35128"/>
    <w:rsid w:val="00F354C2"/>
    <w:rsid w:val="00F37280"/>
    <w:rsid w:val="00F41EE4"/>
    <w:rsid w:val="00F425AA"/>
    <w:rsid w:val="00F42EC4"/>
    <w:rsid w:val="00F453FB"/>
    <w:rsid w:val="00F46103"/>
    <w:rsid w:val="00F502B1"/>
    <w:rsid w:val="00F535B8"/>
    <w:rsid w:val="00F552F1"/>
    <w:rsid w:val="00F565FE"/>
    <w:rsid w:val="00F571FB"/>
    <w:rsid w:val="00F6044D"/>
    <w:rsid w:val="00F63A70"/>
    <w:rsid w:val="00F63D8C"/>
    <w:rsid w:val="00F64B5F"/>
    <w:rsid w:val="00F6755A"/>
    <w:rsid w:val="00F70B77"/>
    <w:rsid w:val="00F73E04"/>
    <w:rsid w:val="00F7442B"/>
    <w:rsid w:val="00F74F15"/>
    <w:rsid w:val="00F7534E"/>
    <w:rsid w:val="00F819A4"/>
    <w:rsid w:val="00F83F61"/>
    <w:rsid w:val="00F914FC"/>
    <w:rsid w:val="00F93EDF"/>
    <w:rsid w:val="00F94F3E"/>
    <w:rsid w:val="00F95CF3"/>
    <w:rsid w:val="00FA1802"/>
    <w:rsid w:val="00FA1B0B"/>
    <w:rsid w:val="00FA21D0"/>
    <w:rsid w:val="00FA280E"/>
    <w:rsid w:val="00FA3B36"/>
    <w:rsid w:val="00FA5C1E"/>
    <w:rsid w:val="00FA5F5F"/>
    <w:rsid w:val="00FA650F"/>
    <w:rsid w:val="00FB046D"/>
    <w:rsid w:val="00FB1ABC"/>
    <w:rsid w:val="00FB22A3"/>
    <w:rsid w:val="00FB347A"/>
    <w:rsid w:val="00FB38D7"/>
    <w:rsid w:val="00FB5E34"/>
    <w:rsid w:val="00FB6C1A"/>
    <w:rsid w:val="00FB730C"/>
    <w:rsid w:val="00FC0E0B"/>
    <w:rsid w:val="00FC0E89"/>
    <w:rsid w:val="00FC2695"/>
    <w:rsid w:val="00FC3E03"/>
    <w:rsid w:val="00FC3FC1"/>
    <w:rsid w:val="00FC417A"/>
    <w:rsid w:val="00FC5A90"/>
    <w:rsid w:val="00FC5A92"/>
    <w:rsid w:val="00FD13A1"/>
    <w:rsid w:val="00FD1458"/>
    <w:rsid w:val="00FD2FD5"/>
    <w:rsid w:val="00FD3913"/>
    <w:rsid w:val="00FD5A42"/>
    <w:rsid w:val="00FE00A0"/>
    <w:rsid w:val="00FE2977"/>
    <w:rsid w:val="00FE3639"/>
    <w:rsid w:val="00FE4BF0"/>
    <w:rsid w:val="00FE60A8"/>
    <w:rsid w:val="00FE68DE"/>
    <w:rsid w:val="00FF014A"/>
    <w:rsid w:val="00FF1EF0"/>
    <w:rsid w:val="00FF4851"/>
    <w:rsid w:val="00FF54B1"/>
    <w:rsid w:val="00FF7775"/>
    <w:rsid w:val="00FF7B27"/>
    <w:rsid w:val="00FF7CB3"/>
    <w:rsid w:val="01EFA38B"/>
    <w:rsid w:val="02186EDA"/>
    <w:rsid w:val="0277328E"/>
    <w:rsid w:val="02792E7E"/>
    <w:rsid w:val="028FE7DD"/>
    <w:rsid w:val="03C189E0"/>
    <w:rsid w:val="05DA7737"/>
    <w:rsid w:val="0812EC4E"/>
    <w:rsid w:val="08329ECF"/>
    <w:rsid w:val="08463807"/>
    <w:rsid w:val="0852F822"/>
    <w:rsid w:val="09B90E8E"/>
    <w:rsid w:val="0A14AB17"/>
    <w:rsid w:val="0C4B6BED"/>
    <w:rsid w:val="0E658E0D"/>
    <w:rsid w:val="0F141E80"/>
    <w:rsid w:val="0F3DD745"/>
    <w:rsid w:val="10C2A812"/>
    <w:rsid w:val="1176896A"/>
    <w:rsid w:val="12638861"/>
    <w:rsid w:val="13B36B80"/>
    <w:rsid w:val="13D90674"/>
    <w:rsid w:val="14802C34"/>
    <w:rsid w:val="157B729F"/>
    <w:rsid w:val="1AE8C781"/>
    <w:rsid w:val="1CEE91C7"/>
    <w:rsid w:val="1D0AC5A3"/>
    <w:rsid w:val="1DCBD0B0"/>
    <w:rsid w:val="206BBD89"/>
    <w:rsid w:val="22033876"/>
    <w:rsid w:val="222BB01A"/>
    <w:rsid w:val="22AE308F"/>
    <w:rsid w:val="2384EB44"/>
    <w:rsid w:val="242BF018"/>
    <w:rsid w:val="264E60F0"/>
    <w:rsid w:val="27ADD776"/>
    <w:rsid w:val="28C19D68"/>
    <w:rsid w:val="2A7CA1A8"/>
    <w:rsid w:val="2AA00D0C"/>
    <w:rsid w:val="2B18E40F"/>
    <w:rsid w:val="2BD3C835"/>
    <w:rsid w:val="2CBA7320"/>
    <w:rsid w:val="2CFE657D"/>
    <w:rsid w:val="2D20ABCE"/>
    <w:rsid w:val="2E65E8DB"/>
    <w:rsid w:val="2ECFD7DB"/>
    <w:rsid w:val="2ED8B904"/>
    <w:rsid w:val="308867CA"/>
    <w:rsid w:val="30978E45"/>
    <w:rsid w:val="30A815AA"/>
    <w:rsid w:val="314CE5F2"/>
    <w:rsid w:val="31B05B3B"/>
    <w:rsid w:val="326A36A7"/>
    <w:rsid w:val="330B7A4C"/>
    <w:rsid w:val="337AE9E8"/>
    <w:rsid w:val="339DE47D"/>
    <w:rsid w:val="3400B47B"/>
    <w:rsid w:val="34D20CF9"/>
    <w:rsid w:val="36A16BB4"/>
    <w:rsid w:val="36C0F65A"/>
    <w:rsid w:val="39662637"/>
    <w:rsid w:val="39BCBE42"/>
    <w:rsid w:val="3AC96BC1"/>
    <w:rsid w:val="3B98590A"/>
    <w:rsid w:val="3CAB068C"/>
    <w:rsid w:val="3E496200"/>
    <w:rsid w:val="3EAB4FC4"/>
    <w:rsid w:val="3EE8BD91"/>
    <w:rsid w:val="40BBAA83"/>
    <w:rsid w:val="41C624EC"/>
    <w:rsid w:val="43B30EB0"/>
    <w:rsid w:val="4426DAB5"/>
    <w:rsid w:val="4622D99C"/>
    <w:rsid w:val="46461151"/>
    <w:rsid w:val="46CEC897"/>
    <w:rsid w:val="4B4B22B6"/>
    <w:rsid w:val="4B5C0ECE"/>
    <w:rsid w:val="4D2AE30B"/>
    <w:rsid w:val="4EA15E56"/>
    <w:rsid w:val="4EEE5DC0"/>
    <w:rsid w:val="4F81448D"/>
    <w:rsid w:val="4FFBD3C7"/>
    <w:rsid w:val="50EEB950"/>
    <w:rsid w:val="5187DB93"/>
    <w:rsid w:val="579B626B"/>
    <w:rsid w:val="58A54681"/>
    <w:rsid w:val="594F96C1"/>
    <w:rsid w:val="59B66277"/>
    <w:rsid w:val="5A16137B"/>
    <w:rsid w:val="5BD14ED5"/>
    <w:rsid w:val="5C05A05B"/>
    <w:rsid w:val="5E8D5768"/>
    <w:rsid w:val="61013353"/>
    <w:rsid w:val="618952C3"/>
    <w:rsid w:val="6207C75F"/>
    <w:rsid w:val="621A56EB"/>
    <w:rsid w:val="6220A648"/>
    <w:rsid w:val="62D82E33"/>
    <w:rsid w:val="63CC0830"/>
    <w:rsid w:val="6498FFAC"/>
    <w:rsid w:val="653B080E"/>
    <w:rsid w:val="65ED9956"/>
    <w:rsid w:val="6614B855"/>
    <w:rsid w:val="666D99FA"/>
    <w:rsid w:val="66C1FC7C"/>
    <w:rsid w:val="6872A016"/>
    <w:rsid w:val="68B03D9A"/>
    <w:rsid w:val="69624C62"/>
    <w:rsid w:val="6965D659"/>
    <w:rsid w:val="6B36E61D"/>
    <w:rsid w:val="6E25C8D1"/>
    <w:rsid w:val="6E2BCC98"/>
    <w:rsid w:val="6E2E54DC"/>
    <w:rsid w:val="714901AC"/>
    <w:rsid w:val="71C5BB94"/>
    <w:rsid w:val="753189F2"/>
    <w:rsid w:val="75876174"/>
    <w:rsid w:val="75B20A48"/>
    <w:rsid w:val="760DC5D1"/>
    <w:rsid w:val="767F32BD"/>
    <w:rsid w:val="795039E4"/>
    <w:rsid w:val="7A389DBB"/>
    <w:rsid w:val="7BEF9144"/>
    <w:rsid w:val="7DD042B7"/>
    <w:rsid w:val="7FE7B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E0CC22"/>
  <w14:defaultImageDpi w14:val="330"/>
  <w15:docId w15:val="{C696956D-3C7C-42B8-8E37-E3ADF9DC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qFormat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qFormat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qFormat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qFormat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autoRedefine/>
    <w:qFormat/>
    <w:rsid w:val="00FA5F5F"/>
    <w:pPr>
      <w:keepNext/>
      <w:numPr>
        <w:ilvl w:val="2"/>
        <w:numId w:val="1"/>
      </w:numPr>
      <w:suppressAutoHyphens/>
      <w:spacing w:before="120" w:after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qFormat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qFormat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Caption">
    <w:name w:val="CET Caption"/>
    <w:link w:val="CETCaptionCarattere"/>
    <w:qFormat/>
    <w:rsid w:val="00F7534E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CETheadingxCarattere">
    <w:name w:val="CET headingx Carattere"/>
    <w:link w:val="CETheadingx"/>
    <w:rsid w:val="00FA5F5F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F7534E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4577F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CETReferencetext"/>
    <w:uiPriority w:val="37"/>
    <w:unhideWhenUsed/>
    <w:rsid w:val="00631B33"/>
    <w:pPr>
      <w:spacing w:line="240" w:lineRule="auto"/>
      <w:ind w:left="720" w:hanging="72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unhideWhenUsed/>
    <w:qFormat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unhideWhenUs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rsid w:val="00901EB6"/>
    <w:rPr>
      <w:b/>
    </w:rPr>
  </w:style>
  <w:style w:type="paragraph" w:customStyle="1" w:styleId="CETnumberingbullets">
    <w:name w:val="CET numbering (bullets)"/>
    <w:rsid w:val="008D433B"/>
    <w:pPr>
      <w:numPr>
        <w:numId w:val="13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B57B36"/>
    <w:pPr>
      <w:numPr>
        <w:numId w:val="14"/>
      </w:numPr>
      <w:spacing w:after="0" w:line="264" w:lineRule="auto"/>
      <w:ind w:left="340" w:hanging="22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B57B36"/>
    <w:pPr>
      <w:numPr>
        <w:numId w:val="15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59"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4C62"/>
    <w:rPr>
      <w:color w:val="0000FF" w:themeColor="hyperlink"/>
      <w:u w:val="single"/>
    </w:rPr>
  </w:style>
  <w:style w:type="character" w:customStyle="1" w:styleId="eudoraheader">
    <w:name w:val="eudoraheader"/>
    <w:basedOn w:val="Carpredefinitoparagrafo"/>
    <w:rsid w:val="00904C62"/>
  </w:style>
  <w:style w:type="paragraph" w:customStyle="1" w:styleId="CETListbullets">
    <w:name w:val="CET List bullets"/>
    <w:qFormat/>
    <w:rsid w:val="004577FE"/>
    <w:pPr>
      <w:spacing w:after="0" w:line="264" w:lineRule="auto"/>
      <w:ind w:left="340" w:hanging="227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Referencetext">
    <w:name w:val="CET Reference text"/>
    <w:qFormat/>
    <w:rsid w:val="00600535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Tabletitle">
    <w:name w:val="CET Table title"/>
    <w:qFormat/>
    <w:rsid w:val="00600535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Acknowledgementstitle">
    <w:name w:val="CET Acknowledgements title"/>
    <w:next w:val="CETBodytext"/>
    <w:qFormat/>
    <w:rsid w:val="0060053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Equation">
    <w:name w:val="CET Equation"/>
    <w:basedOn w:val="CETBodytext"/>
    <w:next w:val="CETBodytext"/>
    <w:qFormat/>
    <w:rsid w:val="00600535"/>
    <w:pPr>
      <w:spacing w:before="120" w:after="120"/>
      <w:jc w:val="left"/>
    </w:pPr>
    <w:rPr>
      <w:lang w:val="en-GB"/>
    </w:rPr>
  </w:style>
  <w:style w:type="paragraph" w:customStyle="1" w:styleId="CETHeadingxx">
    <w:name w:val="CET Headingxx"/>
    <w:basedOn w:val="CETheadingx"/>
    <w:link w:val="CETHeadingxxChar"/>
    <w:qFormat/>
    <w:rsid w:val="000F787B"/>
    <w:pPr>
      <w:numPr>
        <w:ilvl w:val="0"/>
        <w:numId w:val="0"/>
      </w:numPr>
    </w:pPr>
  </w:style>
  <w:style w:type="character" w:customStyle="1" w:styleId="CETHeadingxxChar">
    <w:name w:val="CET Headingxx Char"/>
    <w:basedOn w:val="CETheadingxCarattere"/>
    <w:link w:val="CETHeadingxx"/>
    <w:rsid w:val="000F787B"/>
    <w:rPr>
      <w:rFonts w:ascii="Arial" w:eastAsia="Times New Roman" w:hAnsi="Arial" w:cs="Times New Roman"/>
      <w:b/>
      <w:sz w:val="18"/>
      <w:szCs w:val="20"/>
      <w:lang w:val="en-US"/>
    </w:rPr>
  </w:style>
  <w:style w:type="paragraph" w:styleId="Paragrafoelenco">
    <w:name w:val="List Paragraph"/>
    <w:basedOn w:val="Normale"/>
    <w:uiPriority w:val="34"/>
    <w:rsid w:val="00280FAF"/>
    <w:pPr>
      <w:ind w:left="720"/>
      <w:contextualSpacing/>
    </w:pPr>
  </w:style>
  <w:style w:type="character" w:customStyle="1" w:styleId="gmail-apple-converted-space">
    <w:name w:val="gmail-apple-converted-space"/>
    <w:basedOn w:val="Carpredefinitoparagrafo"/>
    <w:rsid w:val="00005A19"/>
  </w:style>
  <w:style w:type="paragraph" w:styleId="Revisione">
    <w:name w:val="Revision"/>
    <w:hidden/>
    <w:uiPriority w:val="99"/>
    <w:semiHidden/>
    <w:rsid w:val="00EA4225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83C9-6D0A-480C-BF79-A63BD3D9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2534</Words>
  <Characters>14448</Characters>
  <Application>Microsoft Office Word</Application>
  <DocSecurity>0</DocSecurity>
  <Lines>120</Lines>
  <Paragraphs>33</Paragraphs>
  <ScaleCrop>false</ScaleCrop>
  <Company>Dipartimento CMIC - Politecnico di Milano</Company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</dc:creator>
  <cp:keywords/>
  <cp:lastModifiedBy>Valentina Busini</cp:lastModifiedBy>
  <cp:revision>2</cp:revision>
  <cp:lastPrinted>2026-01-31T06:39:00Z</cp:lastPrinted>
  <dcterms:created xsi:type="dcterms:W3CDTF">2026-04-14T09:46:00Z</dcterms:created>
  <dcterms:modified xsi:type="dcterms:W3CDTF">2026-04-14T09:46:00Z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id="s8VwuD2U"/&gt;&lt;style id="http://www.zotero.org/styles/chemical-engineering-transactions" hasBibliography="1" bibliographyStyleHasBeenSet="1"/&gt;&lt;prefs&gt;&lt;pref name="fieldType" value="Field"/&gt;&lt;pref na</vt:lpwstr>
  </property>
  <property fmtid="{D5CDD505-2E9C-101B-9397-08002B2CF9AE}" pid="3" name="ZOTERO_PREF_2">
    <vt:lpwstr>me="storeReferences" value="true"/&gt;&lt;pref name="automaticJournalAbbreviations" value=""/&gt;&lt;pref name="noteType" value=""/&gt;&lt;/prefs&gt;&lt;/data&gt;</vt:lpwstr>
  </property>
</Properties>
</file>