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775EC904" w:rsidR="00AA7D26" w:rsidRPr="007A6DF8" w:rsidRDefault="004A5E57" w:rsidP="007A6DF8">
            <w:pPr>
              <w:ind w:left="-107"/>
              <w:outlineLvl w:val="2"/>
              <w:rPr>
                <w:rFonts w:ascii="Tahoma" w:hAnsi="Tahoma" w:cs="Tahoma"/>
                <w:color w:val="000000"/>
                <w:sz w:val="14"/>
                <w:szCs w:val="14"/>
                <w:shd w:val="clear" w:color="auto" w:fill="FFFFFF"/>
                <w:lang w:val="it-IT"/>
              </w:rPr>
            </w:pPr>
            <w:r w:rsidRPr="004A5E57">
              <w:rPr>
                <w:rFonts w:ascii="Tahoma" w:hAnsi="Tahoma" w:cs="Tahoma"/>
                <w:iCs/>
                <w:color w:val="333333"/>
                <w:sz w:val="14"/>
                <w:szCs w:val="14"/>
                <w:lang w:val="it-IT" w:eastAsia="it-IT"/>
              </w:rPr>
              <w:t>Guest Editors:</w:t>
            </w:r>
            <w:r w:rsidRPr="004A5E57">
              <w:rPr>
                <w:rFonts w:ascii="Tahoma" w:hAnsi="Tahoma" w:cs="Tahoma"/>
                <w:color w:val="000000"/>
                <w:sz w:val="14"/>
                <w:szCs w:val="14"/>
                <w:shd w:val="clear" w:color="auto" w:fill="FFFFFF"/>
                <w:lang w:val="it-IT"/>
              </w:rPr>
              <w:t xml:space="preserve"> </w:t>
            </w:r>
            <w:r w:rsidR="007A6DF8" w:rsidRPr="007A6DF8">
              <w:rPr>
                <w:rFonts w:ascii="Tahoma" w:hAnsi="Tahoma" w:cs="Tahoma"/>
                <w:color w:val="000000"/>
                <w:sz w:val="14"/>
                <w:szCs w:val="14"/>
                <w:shd w:val="clear" w:color="auto" w:fill="FFFFFF"/>
                <w:lang w:val="it-IT"/>
              </w:rPr>
              <w:t xml:space="preserve">Valerio Cozzani, Bruno Fabiano, </w:t>
            </w:r>
            <w:proofErr w:type="spellStart"/>
            <w:r w:rsidR="007A6DF8" w:rsidRPr="007A6DF8">
              <w:rPr>
                <w:rFonts w:ascii="Tahoma" w:hAnsi="Tahoma" w:cs="Tahoma"/>
                <w:color w:val="000000"/>
                <w:sz w:val="14"/>
                <w:szCs w:val="14"/>
                <w:shd w:val="clear" w:color="auto" w:fill="FFFFFF"/>
                <w:lang w:val="it-IT"/>
              </w:rPr>
              <w:t>Genserik</w:t>
            </w:r>
            <w:proofErr w:type="spellEnd"/>
            <w:r w:rsidR="007A6DF8" w:rsidRPr="007A6DF8">
              <w:rPr>
                <w:rFonts w:ascii="Tahoma" w:hAnsi="Tahoma" w:cs="Tahoma"/>
                <w:color w:val="000000"/>
                <w:sz w:val="14"/>
                <w:szCs w:val="14"/>
                <w:shd w:val="clear" w:color="auto" w:fill="FFFFFF"/>
                <w:lang w:val="it-IT"/>
              </w:rPr>
              <w:t xml:space="preserve"> </w:t>
            </w:r>
            <w:proofErr w:type="spellStart"/>
            <w:r w:rsidR="007A6DF8" w:rsidRPr="007A6DF8">
              <w:rPr>
                <w:rFonts w:ascii="Tahoma" w:hAnsi="Tahoma" w:cs="Tahoma"/>
                <w:color w:val="000000"/>
                <w:sz w:val="14"/>
                <w:szCs w:val="14"/>
                <w:shd w:val="clear" w:color="auto" w:fill="FFFFFF"/>
                <w:lang w:val="it-IT"/>
              </w:rPr>
              <w:t>Reniers</w:t>
            </w:r>
            <w:proofErr w:type="spellEnd"/>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7979C630" w:rsidR="00E978D0" w:rsidRPr="00B57B36" w:rsidRDefault="00C727E6" w:rsidP="00E978D0">
      <w:pPr>
        <w:pStyle w:val="CETTitle"/>
      </w:pPr>
      <w:r w:rsidRPr="00A7559D">
        <w:t xml:space="preserve">Prewetted </w:t>
      </w:r>
      <w:r>
        <w:t>P</w:t>
      </w:r>
      <w:r w:rsidRPr="00A7559D">
        <w:t xml:space="preserve">owder </w:t>
      </w:r>
      <w:r>
        <w:t>E</w:t>
      </w:r>
      <w:r w:rsidRPr="00A7559D">
        <w:t xml:space="preserve">xplosion: For a few </w:t>
      </w:r>
      <w:r>
        <w:t>D</w:t>
      </w:r>
      <w:r w:rsidRPr="00A7559D">
        <w:t>rops more</w:t>
      </w:r>
      <w:r w:rsidRPr="00B57B36">
        <w:t xml:space="preserve"> </w:t>
      </w:r>
    </w:p>
    <w:p w14:paraId="0488FED2" w14:textId="5A4DC1A7" w:rsidR="00B57E6F" w:rsidRPr="00C727E6" w:rsidRDefault="00C727E6" w:rsidP="00B57E6F">
      <w:pPr>
        <w:pStyle w:val="CETAuthors"/>
        <w:rPr>
          <w:lang w:val="fr-FR"/>
        </w:rPr>
      </w:pPr>
      <w:r w:rsidRPr="00A7559D">
        <w:rPr>
          <w:lang w:val="fr-FR"/>
        </w:rPr>
        <w:t>Ilyana Ben Younes</w:t>
      </w:r>
      <w:r w:rsidRPr="00A7559D">
        <w:rPr>
          <w:vertAlign w:val="superscript"/>
          <w:lang w:val="fr-FR"/>
        </w:rPr>
        <w:t>a</w:t>
      </w:r>
      <w:r w:rsidRPr="00A7559D">
        <w:rPr>
          <w:lang w:val="fr-FR"/>
        </w:rPr>
        <w:t>, Marius Petat-Lenoir</w:t>
      </w:r>
      <w:r w:rsidRPr="00A7559D">
        <w:rPr>
          <w:vertAlign w:val="superscript"/>
          <w:lang w:val="fr-FR"/>
        </w:rPr>
        <w:t>a</w:t>
      </w:r>
      <w:r w:rsidRPr="00A7559D">
        <w:rPr>
          <w:lang w:val="fr-FR"/>
        </w:rPr>
        <w:t>, Enrico Danzi</w:t>
      </w:r>
      <w:r w:rsidRPr="00A7559D">
        <w:rPr>
          <w:vertAlign w:val="superscript"/>
          <w:lang w:val="fr-FR"/>
        </w:rPr>
        <w:t>b</w:t>
      </w:r>
      <w:r w:rsidRPr="00A7559D">
        <w:rPr>
          <w:lang w:val="fr-FR"/>
        </w:rPr>
        <w:t>, Olivier Dufaud</w:t>
      </w:r>
      <w:r w:rsidRPr="00A7559D">
        <w:rPr>
          <w:vertAlign w:val="superscript"/>
          <w:lang w:val="fr-FR"/>
        </w:rPr>
        <w:t>a,*</w:t>
      </w:r>
    </w:p>
    <w:p w14:paraId="6B2D21B3" w14:textId="63A8E25C" w:rsidR="00B57E6F" w:rsidRPr="00B57B36" w:rsidRDefault="00B57E6F" w:rsidP="00B57E6F">
      <w:pPr>
        <w:pStyle w:val="CETAddress"/>
      </w:pPr>
      <w:r w:rsidRPr="00B57B36">
        <w:rPr>
          <w:vertAlign w:val="superscript"/>
        </w:rPr>
        <w:t>a</w:t>
      </w:r>
      <w:r w:rsidR="00C727E6" w:rsidRPr="00C727E6">
        <w:t>Université de Lorraine, CNRS, LRGP, F-54000 Nancy, France</w:t>
      </w:r>
    </w:p>
    <w:p w14:paraId="3D72B0B0" w14:textId="25ADFDE1" w:rsidR="00B57E6F" w:rsidRPr="00B57B36" w:rsidRDefault="00B57E6F" w:rsidP="00B57E6F">
      <w:pPr>
        <w:pStyle w:val="CETAddress"/>
      </w:pPr>
      <w:r w:rsidRPr="00B57B36">
        <w:rPr>
          <w:vertAlign w:val="superscript"/>
        </w:rPr>
        <w:t>b</w:t>
      </w:r>
      <w:r w:rsidR="00C727E6" w:rsidRPr="00C727E6">
        <w:t>VSB – Technical University of Ostrava, 70800 Ostrava-Poruba, Czech Republic</w:t>
      </w:r>
      <w:r w:rsidRPr="00B57B36">
        <w:t xml:space="preserve"> </w:t>
      </w:r>
    </w:p>
    <w:p w14:paraId="73F1267A" w14:textId="36139BDD" w:rsidR="00B57E6F" w:rsidRPr="00B57B36" w:rsidRDefault="00B57E6F" w:rsidP="00B57E6F">
      <w:pPr>
        <w:pStyle w:val="CETemail"/>
      </w:pPr>
      <w:r>
        <w:t xml:space="preserve"> </w:t>
      </w:r>
      <w:r w:rsidR="00C727E6" w:rsidRPr="00C727E6">
        <w:t>olivier.dufaud@univ-lorraine.fr</w:t>
      </w:r>
    </w:p>
    <w:p w14:paraId="37A61FCE" w14:textId="285FBF54" w:rsidR="00DA24C6" w:rsidRPr="001A6D0F" w:rsidRDefault="009E273D" w:rsidP="001A6D0F">
      <w:pPr>
        <w:spacing w:after="120"/>
        <w:rPr>
          <w:rFonts w:cs="Arial"/>
          <w:szCs w:val="18"/>
        </w:rPr>
      </w:pPr>
      <w:r w:rsidRPr="009E273D">
        <w:t xml:space="preserve">This </w:t>
      </w:r>
      <w:r w:rsidR="001A6D0F" w:rsidRPr="009E273D">
        <w:rPr>
          <w:rFonts w:cs="Arial"/>
          <w:szCs w:val="18"/>
        </w:rPr>
        <w:t xml:space="preserve">project focuses on the importance of solvent content in prewetted powders to assess their impact on ignition sensitivity and explosion severity. Various mixtures were studied, including magnesium stearate-ethanol and wheat </w:t>
      </w:r>
      <w:proofErr w:type="spellStart"/>
      <w:r w:rsidR="001A6D0F" w:rsidRPr="009E273D">
        <w:rPr>
          <w:rFonts w:cs="Arial"/>
          <w:szCs w:val="18"/>
        </w:rPr>
        <w:t>middling</w:t>
      </w:r>
      <w:r w:rsidR="00B938E6">
        <w:rPr>
          <w:rFonts w:cs="Arial"/>
          <w:szCs w:val="18"/>
        </w:rPr>
        <w:t>s</w:t>
      </w:r>
      <w:proofErr w:type="spellEnd"/>
      <w:r w:rsidR="001A6D0F" w:rsidRPr="009E273D">
        <w:rPr>
          <w:rFonts w:cs="Arial"/>
          <w:szCs w:val="18"/>
        </w:rPr>
        <w:t xml:space="preserve">-eucalyptus oil. The mixtures were prepared by liquid granulation and then mixed in a chaotic stirrer. Their </w:t>
      </w:r>
      <w:r w:rsidRPr="009E273D">
        <w:rPr>
          <w:rFonts w:cs="Arial"/>
          <w:szCs w:val="18"/>
        </w:rPr>
        <w:t xml:space="preserve">minimum ignition energy (MIE) and </w:t>
      </w:r>
      <w:r w:rsidR="001A6D0F" w:rsidRPr="009E273D">
        <w:rPr>
          <w:rFonts w:cs="Arial"/>
          <w:szCs w:val="18"/>
        </w:rPr>
        <w:t xml:space="preserve">explosion severity were determined using a </w:t>
      </w:r>
      <w:r w:rsidRPr="009E273D">
        <w:rPr>
          <w:rFonts w:cs="Arial"/>
          <w:szCs w:val="18"/>
        </w:rPr>
        <w:t xml:space="preserve">modified Hartmann tube and a </w:t>
      </w:r>
      <w:r w:rsidR="001A6D0F" w:rsidRPr="009E273D">
        <w:rPr>
          <w:rFonts w:cs="Arial"/>
          <w:szCs w:val="18"/>
        </w:rPr>
        <w:t>20L explosion sphere</w:t>
      </w:r>
      <w:r w:rsidRPr="009E273D">
        <w:rPr>
          <w:rFonts w:cs="Arial"/>
          <w:szCs w:val="18"/>
        </w:rPr>
        <w:t>, respectively</w:t>
      </w:r>
      <w:r w:rsidR="001A6D0F" w:rsidRPr="009E273D">
        <w:rPr>
          <w:rFonts w:cs="Arial"/>
          <w:szCs w:val="18"/>
        </w:rPr>
        <w:t xml:space="preserve">.  A statistical approach was used to model the impact of variations </w:t>
      </w:r>
      <w:r w:rsidR="001A6D0F" w:rsidRPr="00E36D8B">
        <w:rPr>
          <w:rFonts w:cs="Arial"/>
          <w:szCs w:val="18"/>
        </w:rPr>
        <w:t>in fuel concentration, solvent content, and ignition energy through a Box-Behnken experimental design, confirming that adding ‘a few drops’ of a flammable liquid to a powder can significantly alter its explosive behaviour, either positively or negatively</w:t>
      </w:r>
      <w:r w:rsidR="00134928">
        <w:rPr>
          <w:rFonts w:cs="Arial"/>
          <w:szCs w:val="18"/>
        </w:rPr>
        <w:t>, depending on the powder</w:t>
      </w:r>
      <w:r w:rsidR="00AC5471">
        <w:rPr>
          <w:rFonts w:cs="Arial"/>
          <w:szCs w:val="18"/>
        </w:rPr>
        <w:t>’s</w:t>
      </w:r>
      <w:r w:rsidR="00134928">
        <w:rPr>
          <w:rFonts w:cs="Arial"/>
          <w:szCs w:val="18"/>
        </w:rPr>
        <w:t xml:space="preserve"> flammability. </w:t>
      </w:r>
      <w:r w:rsidR="00C43F85">
        <w:rPr>
          <w:rFonts w:cs="Arial"/>
          <w:szCs w:val="18"/>
        </w:rPr>
        <w:t xml:space="preserve">The most influential parameter is the </w:t>
      </w:r>
      <w:r w:rsidR="00C43F85">
        <w:t xml:space="preserve">global fuel equivalence ratio (of both powder and solvent). </w:t>
      </w:r>
      <w:r w:rsidR="00134928" w:rsidRPr="00134928">
        <w:rPr>
          <w:rFonts w:cs="Arial"/>
          <w:szCs w:val="18"/>
        </w:rPr>
        <w:t xml:space="preserve">Adding a small amount of solvent often tends to increase the explosion severity of mixtures, but as the proportion of liquid increases, the resulting change in particle size (agglomeration) and energy loss due to fragmentation </w:t>
      </w:r>
      <w:r w:rsidR="00F74494">
        <w:rPr>
          <w:rFonts w:cs="Arial"/>
          <w:szCs w:val="18"/>
        </w:rPr>
        <w:t>notab</w:t>
      </w:r>
      <w:r w:rsidR="00134928" w:rsidRPr="00134928">
        <w:rPr>
          <w:rFonts w:cs="Arial"/>
          <w:szCs w:val="18"/>
        </w:rPr>
        <w:t>ly moderate</w:t>
      </w:r>
      <w:r w:rsidR="00F74494">
        <w:rPr>
          <w:rFonts w:cs="Arial"/>
          <w:szCs w:val="18"/>
        </w:rPr>
        <w:t>s</w:t>
      </w:r>
      <w:r w:rsidR="00134928" w:rsidRPr="00134928">
        <w:rPr>
          <w:rFonts w:cs="Arial"/>
          <w:szCs w:val="18"/>
        </w:rPr>
        <w:t xml:space="preserve"> the mixtures’ reactivity.</w:t>
      </w:r>
      <w:r w:rsidR="00134928">
        <w:rPr>
          <w:rFonts w:cs="Arial"/>
          <w:szCs w:val="18"/>
        </w:rPr>
        <w:t xml:space="preserve"> </w:t>
      </w:r>
      <w:r w:rsidR="005015B4">
        <w:rPr>
          <w:rFonts w:cs="Arial"/>
          <w:szCs w:val="18"/>
        </w:rPr>
        <w:t>From a thermodynamic point of view, the vaporization of the liquid does not seem to impact the maximum explosion pressure</w:t>
      </w:r>
      <w:r w:rsidR="00F74494">
        <w:rPr>
          <w:rFonts w:cs="Arial"/>
          <w:szCs w:val="18"/>
        </w:rPr>
        <w:t xml:space="preserve"> significantly</w:t>
      </w:r>
      <w:r w:rsidR="005015B4">
        <w:rPr>
          <w:rFonts w:cs="Arial"/>
          <w:szCs w:val="18"/>
        </w:rPr>
        <w:t xml:space="preserve">. </w:t>
      </w:r>
      <w:r w:rsidR="00AC7CBD" w:rsidRPr="00AC7CBD">
        <w:rPr>
          <w:rFonts w:cs="Arial"/>
          <w:szCs w:val="18"/>
        </w:rPr>
        <w:t>Ad</w:t>
      </w:r>
      <w:r w:rsidR="001A6D0F" w:rsidRPr="00AC7CBD">
        <w:rPr>
          <w:rFonts w:cs="Arial"/>
          <w:szCs w:val="18"/>
        </w:rPr>
        <w:t>mixtures of prewetted powder must be subject to a thorough risk assessment. In particular, a change in explosivity class (St) must lead to a change in the vent sizing procedure and a modification of safety measures.</w:t>
      </w:r>
      <w:r w:rsidR="001A6D0F" w:rsidRPr="001708E8">
        <w:rPr>
          <w:rFonts w:cs="Arial"/>
          <w:szCs w:val="18"/>
        </w:rPr>
        <w:t xml:space="preserve"> </w:t>
      </w:r>
    </w:p>
    <w:p w14:paraId="476B2F2E" w14:textId="77777777" w:rsidR="00600535" w:rsidRPr="00B57B36" w:rsidRDefault="00600535" w:rsidP="00600535">
      <w:pPr>
        <w:pStyle w:val="CETHeading1"/>
        <w:rPr>
          <w:lang w:val="en-GB"/>
        </w:rPr>
      </w:pPr>
      <w:r w:rsidRPr="00B57B36">
        <w:rPr>
          <w:lang w:val="en-GB"/>
        </w:rPr>
        <w:t>Introduction</w:t>
      </w:r>
    </w:p>
    <w:p w14:paraId="45A4FF12" w14:textId="32003D46" w:rsidR="00F35359" w:rsidRDefault="001A6D0F" w:rsidP="00600535">
      <w:pPr>
        <w:pStyle w:val="CETBodytext"/>
        <w:rPr>
          <w:lang w:val="en-GB"/>
        </w:rPr>
      </w:pPr>
      <w:r w:rsidRPr="001A6D0F">
        <w:rPr>
          <w:lang w:val="en-GB"/>
        </w:rPr>
        <w:t>For centuries, dust and gas explosions have been recognized as a major hazard in various industrial sectors, posing significant risks to the safety of operators and facilities. Although this phenomenon has been extensively studied for dust or gas alone, hybrid gas/solid mixtures are less commonly studied (</w:t>
      </w:r>
      <w:r w:rsidR="00280377">
        <w:rPr>
          <w:lang w:val="en-GB"/>
        </w:rPr>
        <w:t xml:space="preserve">Spitzer et al., 2026; </w:t>
      </w:r>
      <w:r w:rsidRPr="001A6D0F">
        <w:rPr>
          <w:lang w:val="en-GB"/>
        </w:rPr>
        <w:t>Wu et al., 2023), and even less so are mixtures of powders prewetted with flammable liquids (Hossain et al., 2014) (Dufaud et al., 2025). However, these types of mixtures have many industrial applications</w:t>
      </w:r>
      <w:r w:rsidR="00804F66">
        <w:rPr>
          <w:lang w:val="en-GB"/>
        </w:rPr>
        <w:t>. W</w:t>
      </w:r>
      <w:r w:rsidR="00804F66" w:rsidRPr="00804F66">
        <w:rPr>
          <w:lang w:val="en-GB"/>
        </w:rPr>
        <w:t>ithout this list being exhaustive, it is possible to mention</w:t>
      </w:r>
      <w:r w:rsidR="00804F66">
        <w:rPr>
          <w:lang w:val="en-GB"/>
        </w:rPr>
        <w:t xml:space="preserve"> </w:t>
      </w:r>
      <w:r w:rsidR="001D0D75">
        <w:rPr>
          <w:lang w:val="en-GB"/>
        </w:rPr>
        <w:t xml:space="preserve">the </w:t>
      </w:r>
      <w:r w:rsidRPr="001A6D0F">
        <w:rPr>
          <w:lang w:val="en-GB"/>
        </w:rPr>
        <w:t>animal feed</w:t>
      </w:r>
      <w:r w:rsidR="00804F66">
        <w:rPr>
          <w:lang w:val="en-GB"/>
        </w:rPr>
        <w:t xml:space="preserve"> industry (e.g.</w:t>
      </w:r>
      <w:r w:rsidR="00684796">
        <w:rPr>
          <w:lang w:val="en-GB"/>
        </w:rPr>
        <w:t>,</w:t>
      </w:r>
      <w:r w:rsidR="00804F66">
        <w:rPr>
          <w:lang w:val="en-GB"/>
        </w:rPr>
        <w:t xml:space="preserve"> </w:t>
      </w:r>
      <w:r w:rsidRPr="001A6D0F">
        <w:rPr>
          <w:lang w:val="en-GB"/>
        </w:rPr>
        <w:t>cereals/essential oils</w:t>
      </w:r>
      <w:r w:rsidR="00804F66">
        <w:rPr>
          <w:lang w:val="en-GB"/>
        </w:rPr>
        <w:t>)</w:t>
      </w:r>
      <w:r w:rsidRPr="001A6D0F">
        <w:rPr>
          <w:lang w:val="en-GB"/>
        </w:rPr>
        <w:t xml:space="preserve">, metallurgy </w:t>
      </w:r>
      <w:r w:rsidR="00804F66">
        <w:rPr>
          <w:lang w:val="en-GB"/>
        </w:rPr>
        <w:t>(e.g.</w:t>
      </w:r>
      <w:r w:rsidR="00684796">
        <w:rPr>
          <w:lang w:val="en-GB"/>
        </w:rPr>
        <w:t>,</w:t>
      </w:r>
      <w:r w:rsidR="00804F66">
        <w:rPr>
          <w:lang w:val="en-GB"/>
        </w:rPr>
        <w:t xml:space="preserve"> </w:t>
      </w:r>
      <w:r w:rsidRPr="001A6D0F">
        <w:rPr>
          <w:lang w:val="en-GB"/>
        </w:rPr>
        <w:t>metals/cutting oils</w:t>
      </w:r>
      <w:r w:rsidR="00804F66">
        <w:rPr>
          <w:lang w:val="en-GB"/>
        </w:rPr>
        <w:t>)</w:t>
      </w:r>
      <w:r w:rsidRPr="001A6D0F">
        <w:rPr>
          <w:lang w:val="en-GB"/>
        </w:rPr>
        <w:t>, pharmaceutical</w:t>
      </w:r>
      <w:r w:rsidR="00804F66">
        <w:rPr>
          <w:lang w:val="en-GB"/>
        </w:rPr>
        <w:t xml:space="preserve"> industry (e.g.</w:t>
      </w:r>
      <w:r w:rsidR="00684796">
        <w:rPr>
          <w:lang w:val="en-GB"/>
        </w:rPr>
        <w:t>,</w:t>
      </w:r>
      <w:r w:rsidR="00804F66">
        <w:rPr>
          <w:lang w:val="en-GB"/>
        </w:rPr>
        <w:t xml:space="preserve"> </w:t>
      </w:r>
      <w:r w:rsidRPr="001A6D0F">
        <w:rPr>
          <w:lang w:val="en-GB"/>
        </w:rPr>
        <w:t>excipients/solvents)</w:t>
      </w:r>
      <w:r w:rsidR="00684796">
        <w:rPr>
          <w:lang w:val="en-GB"/>
        </w:rPr>
        <w:t>,</w:t>
      </w:r>
      <w:r w:rsidR="00804F66">
        <w:rPr>
          <w:lang w:val="en-GB"/>
        </w:rPr>
        <w:t xml:space="preserve"> biofuel production (e.g.</w:t>
      </w:r>
      <w:r w:rsidR="00684796">
        <w:rPr>
          <w:lang w:val="en-GB"/>
        </w:rPr>
        <w:t>,</w:t>
      </w:r>
      <w:r w:rsidR="00804F66">
        <w:rPr>
          <w:lang w:val="en-GB"/>
        </w:rPr>
        <w:t xml:space="preserve"> oil cakes/hexane).</w:t>
      </w:r>
      <w:r w:rsidR="00804F66" w:rsidRPr="00804F66">
        <w:t xml:space="preserve"> </w:t>
      </w:r>
      <w:r w:rsidR="00804F66">
        <w:t xml:space="preserve">Moreover, </w:t>
      </w:r>
      <w:r w:rsidR="00804F66">
        <w:rPr>
          <w:lang w:val="en-GB"/>
        </w:rPr>
        <w:t>t</w:t>
      </w:r>
      <w:r w:rsidR="00804F66" w:rsidRPr="00804F66">
        <w:rPr>
          <w:lang w:val="en-GB"/>
        </w:rPr>
        <w:t xml:space="preserve">here have been </w:t>
      </w:r>
      <w:r w:rsidR="00804F66">
        <w:rPr>
          <w:lang w:val="en-GB"/>
        </w:rPr>
        <w:t>several</w:t>
      </w:r>
      <w:r w:rsidR="00804F66" w:rsidRPr="00804F66">
        <w:rPr>
          <w:lang w:val="en-GB"/>
        </w:rPr>
        <w:t xml:space="preserve"> accidents caused by this type of mixture. Examples include the explosion reported by SUVA (2005) of a plastic additive mixture containing 0.5% solvent during a grinding phase, and the explosion at a waste plant in</w:t>
      </w:r>
      <w:r w:rsidR="00804F66">
        <w:rPr>
          <w:lang w:val="en-GB"/>
        </w:rPr>
        <w:t xml:space="preserve"> 1994 in</w:t>
      </w:r>
      <w:r w:rsidR="00804F66" w:rsidRPr="00804F66">
        <w:rPr>
          <w:lang w:val="en-GB"/>
        </w:rPr>
        <w:t xml:space="preserve"> </w:t>
      </w:r>
      <w:proofErr w:type="spellStart"/>
      <w:r w:rsidR="00804F66" w:rsidRPr="00804F66">
        <w:rPr>
          <w:lang w:val="en-GB"/>
        </w:rPr>
        <w:t>Groß</w:t>
      </w:r>
      <w:proofErr w:type="spellEnd"/>
      <w:r w:rsidR="00804F66" w:rsidRPr="00804F66">
        <w:rPr>
          <w:lang w:val="en-GB"/>
        </w:rPr>
        <w:t>-Umstadt</w:t>
      </w:r>
      <w:r w:rsidR="00804F66">
        <w:rPr>
          <w:lang w:val="en-GB"/>
        </w:rPr>
        <w:t>,</w:t>
      </w:r>
      <w:r w:rsidR="00804F66" w:rsidRPr="00804F66">
        <w:rPr>
          <w:lang w:val="en-GB"/>
        </w:rPr>
        <w:t xml:space="preserve"> Germany, due to a mixture of organic dust and phenol igniting in a knife mill (BARPI, </w:t>
      </w:r>
      <w:r w:rsidR="00804F66">
        <w:rPr>
          <w:lang w:val="en-GB"/>
        </w:rPr>
        <w:t>202</w:t>
      </w:r>
      <w:r w:rsidR="00D90B71">
        <w:rPr>
          <w:lang w:val="en-GB"/>
        </w:rPr>
        <w:t>6</w:t>
      </w:r>
      <w:r w:rsidR="00804F66" w:rsidRPr="00804F66">
        <w:rPr>
          <w:lang w:val="en-GB"/>
        </w:rPr>
        <w:t>).</w:t>
      </w:r>
    </w:p>
    <w:p w14:paraId="33E9A7EA" w14:textId="47D44BD6" w:rsidR="00804F66" w:rsidRDefault="00F35359" w:rsidP="00600535">
      <w:pPr>
        <w:pStyle w:val="CETBodytext"/>
        <w:rPr>
          <w:lang w:val="en-GB"/>
        </w:rPr>
      </w:pPr>
      <w:r w:rsidRPr="00F35359">
        <w:rPr>
          <w:lang w:val="en-GB"/>
        </w:rPr>
        <w:t>It is therefore legitimate to ask whether this type of mixture requires special treatment, both in terms of characterizing its explosive properties and assessing the associated risk.</w:t>
      </w:r>
      <w:r w:rsidR="005B1B46">
        <w:rPr>
          <w:lang w:val="en-GB"/>
        </w:rPr>
        <w:t xml:space="preserve"> Hossain et al. (2014) demonstrated the presence of an explosion enhancement when solvent (methanol, ethanol, isopropanol) was added to lactose. They also showed that </w:t>
      </w:r>
      <w:r w:rsidR="006628C7">
        <w:rPr>
          <w:lang w:val="en-GB"/>
        </w:rPr>
        <w:t>the mode of solvent admixture, i.e.</w:t>
      </w:r>
      <w:r w:rsidR="00684796">
        <w:rPr>
          <w:lang w:val="en-GB"/>
        </w:rPr>
        <w:t>,</w:t>
      </w:r>
      <w:r w:rsidR="006628C7">
        <w:rPr>
          <w:lang w:val="en-GB"/>
        </w:rPr>
        <w:t xml:space="preserve"> prewetted or in gaseous phase, has a strong influence on the maximum rate of pressure rise, as confirmed by Dufaud et al. (2025). Therefore, t</w:t>
      </w:r>
      <w:r w:rsidR="006628C7" w:rsidRPr="006628C7">
        <w:rPr>
          <w:lang w:val="en-GB"/>
        </w:rPr>
        <w:t>he behaviour of prewetted powders cannot be equated with that of powder alone, nor with that of corresponding gas-solid hybrid mixtures.</w:t>
      </w:r>
    </w:p>
    <w:p w14:paraId="4BF5A8E9" w14:textId="5B92CF56" w:rsidR="00AC7CBD" w:rsidRPr="00053E77" w:rsidRDefault="006C1C77" w:rsidP="00053E77">
      <w:pPr>
        <w:pStyle w:val="CETBodytext"/>
        <w:rPr>
          <w:lang w:val="en-GB"/>
        </w:rPr>
      </w:pPr>
      <w:r w:rsidRPr="006C1C77">
        <w:rPr>
          <w:lang w:val="en-GB"/>
        </w:rPr>
        <w:t xml:space="preserve">This </w:t>
      </w:r>
      <w:r>
        <w:rPr>
          <w:lang w:val="en-GB"/>
        </w:rPr>
        <w:t>article</w:t>
      </w:r>
      <w:r w:rsidRPr="006C1C77">
        <w:rPr>
          <w:lang w:val="en-GB"/>
        </w:rPr>
        <w:t xml:space="preserve"> </w:t>
      </w:r>
      <w:r>
        <w:rPr>
          <w:lang w:val="en-GB"/>
        </w:rPr>
        <w:t xml:space="preserve">focuses on the ignition sensitivity and explosion severity of some prewetted powders, </w:t>
      </w:r>
      <w:r w:rsidRPr="006C1C77">
        <w:rPr>
          <w:lang w:val="en-GB"/>
        </w:rPr>
        <w:t>both theoretical mixtures that provide a better understanding of the origin of the</w:t>
      </w:r>
      <w:r>
        <w:rPr>
          <w:lang w:val="en-GB"/>
        </w:rPr>
        <w:t>ir</w:t>
      </w:r>
      <w:r w:rsidRPr="006C1C77">
        <w:rPr>
          <w:lang w:val="en-GB"/>
        </w:rPr>
        <w:t xml:space="preserve"> specific characteristics and mixtures intended for industrial use.</w:t>
      </w:r>
      <w:r>
        <w:rPr>
          <w:lang w:val="en-GB"/>
        </w:rPr>
        <w:t xml:space="preserve"> </w:t>
      </w:r>
      <w:r w:rsidRPr="006C1C77">
        <w:rPr>
          <w:lang w:val="en-GB"/>
        </w:rPr>
        <w:t xml:space="preserve">It presents excerpts from a broader study examining the influences of solvent type, solvent concentration, </w:t>
      </w:r>
      <w:r w:rsidR="00C43F85">
        <w:rPr>
          <w:lang w:val="en-GB"/>
        </w:rPr>
        <w:t>global</w:t>
      </w:r>
      <w:r w:rsidRPr="006C1C77">
        <w:rPr>
          <w:lang w:val="en-GB"/>
        </w:rPr>
        <w:t xml:space="preserve"> fuel concentration, and ignition energy on the safety parameters of </w:t>
      </w:r>
      <w:r>
        <w:rPr>
          <w:lang w:val="en-GB"/>
        </w:rPr>
        <w:t>such</w:t>
      </w:r>
      <w:r w:rsidRPr="006C1C77">
        <w:rPr>
          <w:lang w:val="en-GB"/>
        </w:rPr>
        <w:t xml:space="preserve"> mixture</w:t>
      </w:r>
      <w:r>
        <w:rPr>
          <w:lang w:val="en-GB"/>
        </w:rPr>
        <w:t>s</w:t>
      </w:r>
      <w:r w:rsidRPr="006C1C77">
        <w:rPr>
          <w:lang w:val="en-GB"/>
        </w:rPr>
        <w:t>.</w:t>
      </w:r>
    </w:p>
    <w:p w14:paraId="5741900F" w14:textId="79FF11A5" w:rsidR="00453E24" w:rsidRDefault="001A6D0F" w:rsidP="00453E24">
      <w:pPr>
        <w:pStyle w:val="CETHeading1"/>
      </w:pPr>
      <w:r>
        <w:lastRenderedPageBreak/>
        <w:t>Materials and methods</w:t>
      </w:r>
    </w:p>
    <w:p w14:paraId="09406386" w14:textId="51B3D525" w:rsidR="00453E24" w:rsidRDefault="00D124FB" w:rsidP="00453E24">
      <w:pPr>
        <w:pStyle w:val="CETBodytext"/>
      </w:pPr>
      <w:r w:rsidRPr="00D124FB">
        <w:t>The tests were carried out using industrial products for mixtures of academic and/or operational interest. The protocols and equipment used comply with the dedicated international standards.</w:t>
      </w:r>
    </w:p>
    <w:p w14:paraId="0636B784" w14:textId="62E31C13" w:rsidR="00453E24" w:rsidRDefault="001A6D0F" w:rsidP="001B5E27">
      <w:pPr>
        <w:pStyle w:val="CETheadingx"/>
        <w:spacing w:before="120"/>
      </w:pPr>
      <w:r>
        <w:t>Materials</w:t>
      </w:r>
      <w:r w:rsidR="001A370F">
        <w:t xml:space="preserve"> and wet granulation</w:t>
      </w:r>
    </w:p>
    <w:p w14:paraId="4BDDD262" w14:textId="61D0011B" w:rsidR="00A1236F" w:rsidRDefault="00560165" w:rsidP="00DB7603">
      <w:pPr>
        <w:pStyle w:val="CETBodytext"/>
      </w:pPr>
      <w:r w:rsidRPr="00560165">
        <w:t>T</w:t>
      </w:r>
      <w:r w:rsidR="005D646F">
        <w:t xml:space="preserve">hree powders and three solvents were selected: magnesium stearate (an excipient), ethanol and acetone, </w:t>
      </w:r>
      <w:r w:rsidR="00434237">
        <w:t xml:space="preserve">which </w:t>
      </w:r>
      <w:r w:rsidR="005D646F">
        <w:t xml:space="preserve">were chosen </w:t>
      </w:r>
      <w:r w:rsidR="005D646F" w:rsidRPr="005D646F">
        <w:t>in particular because of their use in the pharmaceutical industry</w:t>
      </w:r>
      <w:r w:rsidR="005D646F">
        <w:t xml:space="preserve">; wheat </w:t>
      </w:r>
      <w:proofErr w:type="spellStart"/>
      <w:r w:rsidR="005D646F">
        <w:t>middlings</w:t>
      </w:r>
      <w:proofErr w:type="spellEnd"/>
      <w:r w:rsidR="00224D91">
        <w:t>,</w:t>
      </w:r>
      <w:r w:rsidR="005D646F">
        <w:t xml:space="preserve"> and eucalyptus oil (sensory additive) </w:t>
      </w:r>
      <w:r w:rsidR="00434237">
        <w:t xml:space="preserve">which </w:t>
      </w:r>
      <w:r w:rsidR="005D646F">
        <w:t xml:space="preserve">are </w:t>
      </w:r>
      <w:r w:rsidR="005D646F" w:rsidRPr="005D646F">
        <w:t>frequently combined in the animal feed industry.</w:t>
      </w:r>
      <w:r w:rsidR="00DB7603">
        <w:t xml:space="preserve"> Magnesium oxide </w:t>
      </w:r>
      <w:r w:rsidR="00104FB5" w:rsidRPr="00104FB5">
        <w:t xml:space="preserve">was used to highlight the effect of solvent vaporization without interaction with the pyrolysis of an organic powder. However, it should be noted that some industrial applications also use mineral carriers to </w:t>
      </w:r>
      <w:r w:rsidR="00104FB5">
        <w:t>introduce</w:t>
      </w:r>
      <w:r w:rsidR="00104FB5" w:rsidRPr="00104FB5">
        <w:t xml:space="preserve"> liquids</w:t>
      </w:r>
      <w:r w:rsidR="00104FB5">
        <w:t xml:space="preserve"> (e.g.</w:t>
      </w:r>
      <w:r w:rsidR="00434237">
        <w:t>,</w:t>
      </w:r>
      <w:r w:rsidR="00104FB5">
        <w:t xml:space="preserve"> liquid vitamins)</w:t>
      </w:r>
      <w:r w:rsidR="00104FB5" w:rsidRPr="00104FB5">
        <w:t>.</w:t>
      </w:r>
      <w:r w:rsidR="00CD433B">
        <w:t xml:space="preserve"> Table 1 shows the main materials properties</w:t>
      </w:r>
      <w:r w:rsidR="00434237">
        <w:t>,</w:t>
      </w:r>
      <w:r w:rsidR="00486298">
        <w:t xml:space="preserve"> especially the mean diameter d</w:t>
      </w:r>
      <w:r w:rsidR="00486298" w:rsidRPr="00486298">
        <w:rPr>
          <w:vertAlign w:val="subscript"/>
        </w:rPr>
        <w:t>50</w:t>
      </w:r>
      <w:r w:rsidR="00486298">
        <w:t xml:space="preserve"> (Malvern </w:t>
      </w:r>
      <w:proofErr w:type="spellStart"/>
      <w:r w:rsidR="00486298">
        <w:t>Mastersizer</w:t>
      </w:r>
      <w:proofErr w:type="spellEnd"/>
      <w:r w:rsidR="00486298">
        <w:t xml:space="preserve"> 3000 - dry dispersion unit 2-bar)</w:t>
      </w:r>
      <w:r w:rsidR="00CD433B">
        <w:t>.</w:t>
      </w:r>
      <w:r w:rsidR="001A370F">
        <w:t xml:space="preserve"> </w:t>
      </w:r>
      <w:r w:rsidR="002D64A7" w:rsidRPr="002D64A7">
        <w:t xml:space="preserve">The particle size distribution </w:t>
      </w:r>
      <w:r w:rsidR="002D64A7">
        <w:t xml:space="preserve">(PSD) </w:t>
      </w:r>
      <w:r w:rsidR="00434237">
        <w:t>was also</w:t>
      </w:r>
      <w:r w:rsidR="002D64A7" w:rsidRPr="002D64A7">
        <w:t xml:space="preserve"> determined in situ, </w:t>
      </w:r>
      <w:r w:rsidR="00170580">
        <w:t>i.e.</w:t>
      </w:r>
      <w:r w:rsidR="00434237">
        <w:t>,</w:t>
      </w:r>
      <w:r w:rsidR="00170580">
        <w:t xml:space="preserve"> </w:t>
      </w:r>
      <w:r w:rsidR="002D64A7">
        <w:t>inside the standard equipment (section</w:t>
      </w:r>
      <w:r w:rsidR="00172FBF">
        <w:t>s</w:t>
      </w:r>
      <w:r w:rsidR="002D64A7">
        <w:t xml:space="preserve"> 2.2 and 2.3)</w:t>
      </w:r>
      <w:r w:rsidR="002D64A7" w:rsidRPr="002D64A7">
        <w:t xml:space="preserve"> </w:t>
      </w:r>
      <w:r w:rsidR="002D64A7">
        <w:t>using a Helos</w:t>
      </w:r>
      <w:r w:rsidR="002D64A7" w:rsidRPr="002D64A7">
        <w:t xml:space="preserve"> particle size analyzer</w:t>
      </w:r>
      <w:r w:rsidR="002D64A7">
        <w:t xml:space="preserve"> (</w:t>
      </w:r>
      <w:proofErr w:type="spellStart"/>
      <w:r w:rsidR="002D64A7">
        <w:t>Sympatec</w:t>
      </w:r>
      <w:proofErr w:type="spellEnd"/>
      <w:r w:rsidR="002D64A7">
        <w:t xml:space="preserve">). </w:t>
      </w:r>
    </w:p>
    <w:p w14:paraId="3B52216F" w14:textId="52062CEB" w:rsidR="009E34FE" w:rsidRDefault="001A370F" w:rsidP="00DB7603">
      <w:pPr>
        <w:pStyle w:val="CETBodytext"/>
      </w:pPr>
      <w:r>
        <w:t>Admixtures were prepared by wet</w:t>
      </w:r>
      <w:r w:rsidRPr="00E82679">
        <w:t xml:space="preserve"> granulation</w:t>
      </w:r>
      <w:r>
        <w:t>, i.e.</w:t>
      </w:r>
      <w:r w:rsidR="00434237">
        <w:t>,</w:t>
      </w:r>
      <w:r>
        <w:t xml:space="preserve"> by spraying a liquid </w:t>
      </w:r>
      <w:r w:rsidR="009E34FE">
        <w:t>on</w:t>
      </w:r>
      <w:r w:rsidR="00434237">
        <w:t xml:space="preserve"> an</w:t>
      </w:r>
      <w:r w:rsidR="009E34FE">
        <w:t xml:space="preserve"> agitated powder bed. The homogeneity of the samples was ensured by mixing them i</w:t>
      </w:r>
      <w:r>
        <w:t>n a chaotic stirrer (</w:t>
      </w:r>
      <w:proofErr w:type="spellStart"/>
      <w:r>
        <w:t>Turbula</w:t>
      </w:r>
      <w:proofErr w:type="spellEnd"/>
      <w:r>
        <w:t>) before testing.</w:t>
      </w:r>
      <w:r w:rsidR="009E34FE">
        <w:t xml:space="preserve"> As noticed by Dufaud et al. (2025), if slight morphological changes are observable at low liquid concentrations, macroscopic agglomerates appear for solvent contents greater than 10 vol.%.</w:t>
      </w:r>
    </w:p>
    <w:p w14:paraId="5E5AA89F" w14:textId="37D44882" w:rsidR="00A1236F" w:rsidRPr="00B57B36" w:rsidRDefault="00A1236F" w:rsidP="00113558">
      <w:pPr>
        <w:pStyle w:val="CETTabletitle"/>
      </w:pPr>
      <w:r w:rsidRPr="00B57B36">
        <w:t xml:space="preserve">Table 1: </w:t>
      </w:r>
      <w:r>
        <w:t>Materials properties</w:t>
      </w:r>
      <w:r w:rsidR="009E34FE">
        <w:t xml:space="preserve"> – d</w:t>
      </w:r>
      <w:r w:rsidR="009E34FE" w:rsidRPr="009E34FE">
        <w:rPr>
          <w:vertAlign w:val="subscript"/>
        </w:rPr>
        <w:t>50</w:t>
      </w:r>
      <w:r w:rsidR="009E34FE">
        <w:t xml:space="preserve"> and combustion heat</w:t>
      </w:r>
    </w:p>
    <w:tbl>
      <w:tblPr>
        <w:tblW w:w="8787"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410"/>
        <w:gridCol w:w="1062"/>
        <w:gridCol w:w="1063"/>
        <w:gridCol w:w="1063"/>
        <w:gridCol w:w="1063"/>
        <w:gridCol w:w="1063"/>
        <w:gridCol w:w="1063"/>
      </w:tblGrid>
      <w:tr w:rsidR="00E752BE" w:rsidRPr="00B57B36" w14:paraId="0836F825" w14:textId="169D8850" w:rsidTr="00E752BE">
        <w:tc>
          <w:tcPr>
            <w:tcW w:w="2410" w:type="dxa"/>
            <w:tcBorders>
              <w:top w:val="single" w:sz="12" w:space="0" w:color="008000"/>
              <w:bottom w:val="single" w:sz="6" w:space="0" w:color="008000"/>
            </w:tcBorders>
            <w:shd w:val="clear" w:color="auto" w:fill="FFFFFF"/>
          </w:tcPr>
          <w:p w14:paraId="5703B78C" w14:textId="1559A599" w:rsidR="00E752BE" w:rsidRPr="00B57B36" w:rsidRDefault="00E752BE" w:rsidP="00CA7FE7">
            <w:pPr>
              <w:pStyle w:val="CETBodytext"/>
              <w:rPr>
                <w:lang w:val="en-GB"/>
              </w:rPr>
            </w:pPr>
            <w:r>
              <w:rPr>
                <w:lang w:val="en-GB"/>
              </w:rPr>
              <w:t>Materials</w:t>
            </w:r>
          </w:p>
        </w:tc>
        <w:tc>
          <w:tcPr>
            <w:tcW w:w="1062" w:type="dxa"/>
            <w:tcBorders>
              <w:top w:val="single" w:sz="12" w:space="0" w:color="008000"/>
              <w:bottom w:val="single" w:sz="6" w:space="0" w:color="008000"/>
            </w:tcBorders>
            <w:shd w:val="clear" w:color="auto" w:fill="FFFFFF"/>
          </w:tcPr>
          <w:p w14:paraId="44A56341" w14:textId="6199BE1A" w:rsidR="00E752BE" w:rsidRPr="00B57B36" w:rsidRDefault="00E752BE" w:rsidP="00CA7FE7">
            <w:pPr>
              <w:pStyle w:val="CETBodytext"/>
              <w:rPr>
                <w:lang w:val="en-GB"/>
              </w:rPr>
            </w:pPr>
            <w:r>
              <w:rPr>
                <w:lang w:val="en-GB"/>
              </w:rPr>
              <w:t>Mg</w:t>
            </w:r>
            <w:r w:rsidR="00DB7603">
              <w:rPr>
                <w:lang w:val="en-GB"/>
              </w:rPr>
              <w:t xml:space="preserve"> oxide</w:t>
            </w:r>
          </w:p>
        </w:tc>
        <w:tc>
          <w:tcPr>
            <w:tcW w:w="1063" w:type="dxa"/>
            <w:tcBorders>
              <w:top w:val="single" w:sz="12" w:space="0" w:color="008000"/>
              <w:bottom w:val="single" w:sz="6" w:space="0" w:color="008000"/>
            </w:tcBorders>
            <w:shd w:val="clear" w:color="auto" w:fill="FFFFFF"/>
          </w:tcPr>
          <w:p w14:paraId="17DD95F3" w14:textId="2E63A9F5" w:rsidR="00E752BE" w:rsidRPr="00B57B36" w:rsidRDefault="00E752BE" w:rsidP="00CA7FE7">
            <w:pPr>
              <w:pStyle w:val="CETBodytext"/>
              <w:rPr>
                <w:lang w:val="en-GB"/>
              </w:rPr>
            </w:pPr>
            <w:r>
              <w:rPr>
                <w:rFonts w:cs="Arial"/>
                <w:szCs w:val="18"/>
                <w:lang w:val="en-GB"/>
              </w:rPr>
              <w:t>Mg stearate</w:t>
            </w:r>
          </w:p>
        </w:tc>
        <w:tc>
          <w:tcPr>
            <w:tcW w:w="1063" w:type="dxa"/>
            <w:tcBorders>
              <w:top w:val="single" w:sz="12" w:space="0" w:color="008000"/>
              <w:bottom w:val="single" w:sz="6" w:space="0" w:color="008000"/>
            </w:tcBorders>
            <w:shd w:val="clear" w:color="auto" w:fill="FFFFFF"/>
          </w:tcPr>
          <w:p w14:paraId="2ACE3CE2" w14:textId="10DAF855" w:rsidR="00E752BE" w:rsidRPr="00B57B36" w:rsidRDefault="00E752BE" w:rsidP="00CA7FE7">
            <w:pPr>
              <w:pStyle w:val="CETBodytext"/>
              <w:ind w:right="-1"/>
              <w:rPr>
                <w:rFonts w:cs="Arial"/>
                <w:szCs w:val="18"/>
                <w:lang w:val="en-GB"/>
              </w:rPr>
            </w:pPr>
            <w:r>
              <w:rPr>
                <w:rFonts w:cs="Arial"/>
                <w:szCs w:val="18"/>
                <w:lang w:val="en-GB"/>
              </w:rPr>
              <w:t>Wheat mid.</w:t>
            </w:r>
          </w:p>
        </w:tc>
        <w:tc>
          <w:tcPr>
            <w:tcW w:w="1063" w:type="dxa"/>
            <w:tcBorders>
              <w:top w:val="single" w:sz="12" w:space="0" w:color="008000"/>
              <w:bottom w:val="single" w:sz="6" w:space="0" w:color="008000"/>
            </w:tcBorders>
            <w:shd w:val="clear" w:color="auto" w:fill="FFFFFF"/>
          </w:tcPr>
          <w:p w14:paraId="45026705" w14:textId="6018B7FA" w:rsidR="00E752BE" w:rsidRDefault="00E752BE" w:rsidP="00CA7FE7">
            <w:pPr>
              <w:pStyle w:val="CETBodytext"/>
              <w:ind w:right="-1"/>
              <w:rPr>
                <w:rFonts w:cs="Arial"/>
                <w:szCs w:val="18"/>
                <w:lang w:val="en-GB"/>
              </w:rPr>
            </w:pPr>
            <w:r>
              <w:rPr>
                <w:rFonts w:cs="Arial"/>
                <w:szCs w:val="18"/>
                <w:lang w:val="en-GB"/>
              </w:rPr>
              <w:t>Ethanol</w:t>
            </w:r>
          </w:p>
        </w:tc>
        <w:tc>
          <w:tcPr>
            <w:tcW w:w="1063" w:type="dxa"/>
            <w:tcBorders>
              <w:top w:val="single" w:sz="12" w:space="0" w:color="008000"/>
              <w:bottom w:val="single" w:sz="6" w:space="0" w:color="008000"/>
            </w:tcBorders>
            <w:shd w:val="clear" w:color="auto" w:fill="FFFFFF"/>
          </w:tcPr>
          <w:p w14:paraId="2F46E673" w14:textId="126001E0" w:rsidR="00E752BE" w:rsidRDefault="00E752BE" w:rsidP="00CA7FE7">
            <w:pPr>
              <w:pStyle w:val="CETBodytext"/>
              <w:ind w:right="-1"/>
              <w:rPr>
                <w:rFonts w:cs="Arial"/>
                <w:szCs w:val="18"/>
                <w:lang w:val="en-GB"/>
              </w:rPr>
            </w:pPr>
            <w:r>
              <w:rPr>
                <w:rFonts w:cs="Arial"/>
                <w:szCs w:val="18"/>
                <w:lang w:val="en-GB"/>
              </w:rPr>
              <w:t>Acetone</w:t>
            </w:r>
          </w:p>
        </w:tc>
        <w:tc>
          <w:tcPr>
            <w:tcW w:w="1063" w:type="dxa"/>
            <w:tcBorders>
              <w:top w:val="single" w:sz="12" w:space="0" w:color="008000"/>
              <w:bottom w:val="single" w:sz="6" w:space="0" w:color="008000"/>
            </w:tcBorders>
            <w:shd w:val="clear" w:color="auto" w:fill="FFFFFF"/>
          </w:tcPr>
          <w:p w14:paraId="348319D0" w14:textId="14EADB46" w:rsidR="00E752BE" w:rsidRDefault="00E752BE" w:rsidP="00CA7FE7">
            <w:pPr>
              <w:pStyle w:val="CETBodytext"/>
              <w:ind w:right="-1"/>
              <w:rPr>
                <w:rFonts w:cs="Arial"/>
                <w:szCs w:val="18"/>
                <w:lang w:val="en-GB"/>
              </w:rPr>
            </w:pPr>
            <w:proofErr w:type="spellStart"/>
            <w:r>
              <w:rPr>
                <w:rFonts w:cs="Arial"/>
                <w:szCs w:val="18"/>
                <w:lang w:val="en-GB"/>
              </w:rPr>
              <w:t>Eucalyp</w:t>
            </w:r>
            <w:proofErr w:type="spellEnd"/>
            <w:r>
              <w:rPr>
                <w:rFonts w:cs="Arial"/>
                <w:szCs w:val="18"/>
                <w:lang w:val="en-GB"/>
              </w:rPr>
              <w:t>. oil</w:t>
            </w:r>
          </w:p>
        </w:tc>
      </w:tr>
      <w:tr w:rsidR="00E752BE" w:rsidRPr="00B57B36" w14:paraId="2DB9A2DC" w14:textId="2482159C" w:rsidTr="00E752BE">
        <w:tc>
          <w:tcPr>
            <w:tcW w:w="2410" w:type="dxa"/>
            <w:shd w:val="clear" w:color="auto" w:fill="FFFFFF"/>
          </w:tcPr>
          <w:p w14:paraId="3FDA684D" w14:textId="3AE82C7C" w:rsidR="00E752BE" w:rsidRPr="00B57B36" w:rsidRDefault="00E752BE" w:rsidP="00CA7FE7">
            <w:pPr>
              <w:pStyle w:val="CETBodytext"/>
              <w:rPr>
                <w:lang w:val="en-GB"/>
              </w:rPr>
            </w:pPr>
            <w:r>
              <w:rPr>
                <w:lang w:val="en-GB"/>
              </w:rPr>
              <w:t>Mean diameter (µm)</w:t>
            </w:r>
          </w:p>
        </w:tc>
        <w:tc>
          <w:tcPr>
            <w:tcW w:w="1062" w:type="dxa"/>
            <w:shd w:val="clear" w:color="auto" w:fill="FFFFFF"/>
          </w:tcPr>
          <w:p w14:paraId="38E0290A" w14:textId="4FFE7178" w:rsidR="00E752BE" w:rsidRPr="00B57B36" w:rsidRDefault="00E752BE" w:rsidP="00CA7FE7">
            <w:pPr>
              <w:pStyle w:val="CETBodytext"/>
              <w:rPr>
                <w:lang w:val="en-GB"/>
              </w:rPr>
            </w:pPr>
            <w:r>
              <w:rPr>
                <w:lang w:val="en-GB"/>
              </w:rPr>
              <w:t>54</w:t>
            </w:r>
          </w:p>
        </w:tc>
        <w:tc>
          <w:tcPr>
            <w:tcW w:w="1063" w:type="dxa"/>
            <w:shd w:val="clear" w:color="auto" w:fill="FFFFFF"/>
          </w:tcPr>
          <w:p w14:paraId="0A934106" w14:textId="0CCE94C7" w:rsidR="00E752BE" w:rsidRPr="00B57B36" w:rsidRDefault="0014456C" w:rsidP="00CA7FE7">
            <w:pPr>
              <w:pStyle w:val="CETBodytext"/>
              <w:rPr>
                <w:lang w:val="en-GB"/>
              </w:rPr>
            </w:pPr>
            <w:r>
              <w:rPr>
                <w:lang w:val="en-GB"/>
              </w:rPr>
              <w:t>6</w:t>
            </w:r>
          </w:p>
        </w:tc>
        <w:tc>
          <w:tcPr>
            <w:tcW w:w="1063" w:type="dxa"/>
            <w:shd w:val="clear" w:color="auto" w:fill="FFFFFF"/>
          </w:tcPr>
          <w:p w14:paraId="4E32353B" w14:textId="59D4B499" w:rsidR="00E752BE" w:rsidRPr="00B57B36" w:rsidRDefault="00E752BE" w:rsidP="00CA7FE7">
            <w:pPr>
              <w:pStyle w:val="CETBodytext"/>
              <w:ind w:right="-1"/>
              <w:rPr>
                <w:rFonts w:cs="Arial"/>
                <w:szCs w:val="18"/>
                <w:lang w:val="en-GB"/>
              </w:rPr>
            </w:pPr>
            <w:r>
              <w:rPr>
                <w:rFonts w:cs="Arial"/>
                <w:szCs w:val="18"/>
                <w:lang w:val="en-GB"/>
              </w:rPr>
              <w:t>&lt; 160</w:t>
            </w:r>
          </w:p>
        </w:tc>
        <w:tc>
          <w:tcPr>
            <w:tcW w:w="1063" w:type="dxa"/>
            <w:shd w:val="clear" w:color="auto" w:fill="FFFFFF"/>
          </w:tcPr>
          <w:p w14:paraId="7730FF28" w14:textId="77777777" w:rsidR="00E752BE" w:rsidRPr="00B57B36" w:rsidRDefault="00E752BE" w:rsidP="00CA7FE7">
            <w:pPr>
              <w:pStyle w:val="CETBodytext"/>
              <w:ind w:right="-1"/>
              <w:rPr>
                <w:rFonts w:cs="Arial"/>
                <w:szCs w:val="18"/>
                <w:lang w:val="en-GB"/>
              </w:rPr>
            </w:pPr>
            <w:r>
              <w:rPr>
                <w:rFonts w:cs="Arial"/>
                <w:szCs w:val="18"/>
                <w:lang w:val="en-GB"/>
              </w:rPr>
              <w:t>-</w:t>
            </w:r>
          </w:p>
        </w:tc>
        <w:tc>
          <w:tcPr>
            <w:tcW w:w="1063" w:type="dxa"/>
            <w:shd w:val="clear" w:color="auto" w:fill="FFFFFF"/>
          </w:tcPr>
          <w:p w14:paraId="7D7A8CA0" w14:textId="50213157" w:rsidR="00E752BE" w:rsidRDefault="00E752BE" w:rsidP="00CA7FE7">
            <w:pPr>
              <w:pStyle w:val="CETBodytext"/>
              <w:ind w:right="-1"/>
              <w:rPr>
                <w:rFonts w:cs="Arial"/>
                <w:szCs w:val="18"/>
                <w:lang w:val="en-GB"/>
              </w:rPr>
            </w:pPr>
            <w:r>
              <w:rPr>
                <w:rFonts w:cs="Arial"/>
                <w:szCs w:val="18"/>
                <w:lang w:val="en-GB"/>
              </w:rPr>
              <w:t>-</w:t>
            </w:r>
          </w:p>
        </w:tc>
        <w:tc>
          <w:tcPr>
            <w:tcW w:w="1063" w:type="dxa"/>
            <w:shd w:val="clear" w:color="auto" w:fill="FFFFFF"/>
          </w:tcPr>
          <w:p w14:paraId="2D83BB5E" w14:textId="3B7589B4" w:rsidR="00E752BE" w:rsidRDefault="00E752BE" w:rsidP="00CA7FE7">
            <w:pPr>
              <w:pStyle w:val="CETBodytext"/>
              <w:ind w:right="-1"/>
              <w:rPr>
                <w:rFonts w:cs="Arial"/>
                <w:szCs w:val="18"/>
                <w:lang w:val="en-GB"/>
              </w:rPr>
            </w:pPr>
            <w:r>
              <w:rPr>
                <w:rFonts w:cs="Arial"/>
                <w:szCs w:val="18"/>
                <w:lang w:val="en-GB"/>
              </w:rPr>
              <w:t>-</w:t>
            </w:r>
          </w:p>
        </w:tc>
      </w:tr>
      <w:tr w:rsidR="00E752BE" w:rsidRPr="00B57B36" w14:paraId="033FD5ED" w14:textId="31B7D9BE" w:rsidTr="00E752BE">
        <w:tc>
          <w:tcPr>
            <w:tcW w:w="2410" w:type="dxa"/>
            <w:shd w:val="clear" w:color="auto" w:fill="FFFFFF"/>
          </w:tcPr>
          <w:p w14:paraId="45A99907" w14:textId="027B8EED" w:rsidR="00E752BE" w:rsidRPr="00B57B36" w:rsidRDefault="00E752BE" w:rsidP="00CA7FE7">
            <w:pPr>
              <w:pStyle w:val="CETBodytext"/>
              <w:ind w:right="-1"/>
              <w:rPr>
                <w:rFonts w:cs="Arial"/>
                <w:szCs w:val="18"/>
                <w:lang w:val="en-GB"/>
              </w:rPr>
            </w:pPr>
            <w:r>
              <w:rPr>
                <w:rFonts w:cs="Arial"/>
                <w:szCs w:val="18"/>
                <w:lang w:val="en-GB"/>
              </w:rPr>
              <w:t>Combustion heat (MJ/mol)</w:t>
            </w:r>
          </w:p>
        </w:tc>
        <w:tc>
          <w:tcPr>
            <w:tcW w:w="1062" w:type="dxa"/>
            <w:shd w:val="clear" w:color="auto" w:fill="FFFFFF"/>
          </w:tcPr>
          <w:p w14:paraId="166089D9" w14:textId="463D0E08" w:rsidR="00E752BE" w:rsidRPr="00B57B36" w:rsidRDefault="00E752BE" w:rsidP="00CA7FE7">
            <w:pPr>
              <w:pStyle w:val="CETBodytext"/>
              <w:ind w:right="-1"/>
              <w:rPr>
                <w:rFonts w:cs="Arial"/>
                <w:szCs w:val="18"/>
                <w:lang w:val="en-GB"/>
              </w:rPr>
            </w:pPr>
            <w:r>
              <w:rPr>
                <w:rFonts w:cs="Arial"/>
                <w:szCs w:val="18"/>
                <w:lang w:val="en-GB"/>
              </w:rPr>
              <w:t>-</w:t>
            </w:r>
          </w:p>
        </w:tc>
        <w:tc>
          <w:tcPr>
            <w:tcW w:w="1063" w:type="dxa"/>
            <w:shd w:val="clear" w:color="auto" w:fill="FFFFFF"/>
          </w:tcPr>
          <w:p w14:paraId="1094F751" w14:textId="535FE4D8" w:rsidR="00E752BE" w:rsidRPr="00B57B36" w:rsidRDefault="00E752BE" w:rsidP="00CA7FE7">
            <w:pPr>
              <w:pStyle w:val="CETBodytext"/>
              <w:ind w:right="-1"/>
              <w:rPr>
                <w:rFonts w:cs="Arial"/>
                <w:szCs w:val="18"/>
                <w:lang w:val="en-GB"/>
              </w:rPr>
            </w:pPr>
            <w:r>
              <w:rPr>
                <w:rFonts w:cs="Arial"/>
                <w:szCs w:val="18"/>
                <w:lang w:val="en-GB"/>
              </w:rPr>
              <w:t>40.4</w:t>
            </w:r>
          </w:p>
        </w:tc>
        <w:tc>
          <w:tcPr>
            <w:tcW w:w="1063" w:type="dxa"/>
            <w:shd w:val="clear" w:color="auto" w:fill="FFFFFF"/>
          </w:tcPr>
          <w:p w14:paraId="3DE09BB8" w14:textId="7C7DB159" w:rsidR="00E752BE" w:rsidRPr="00B57B36" w:rsidRDefault="00E752BE" w:rsidP="00CA7FE7">
            <w:pPr>
              <w:pStyle w:val="CETBodytext"/>
              <w:ind w:right="-1"/>
              <w:rPr>
                <w:rFonts w:cs="Arial"/>
                <w:szCs w:val="18"/>
                <w:lang w:val="en-GB"/>
              </w:rPr>
            </w:pPr>
            <w:r>
              <w:rPr>
                <w:rFonts w:cs="Arial"/>
                <w:szCs w:val="18"/>
                <w:lang w:val="en-GB"/>
              </w:rPr>
              <w:sym w:font="Symbol" w:char="F07E"/>
            </w:r>
            <w:r>
              <w:rPr>
                <w:rFonts w:cs="Arial"/>
                <w:szCs w:val="18"/>
                <w:lang w:val="en-GB"/>
              </w:rPr>
              <w:t xml:space="preserve"> 16</w:t>
            </w:r>
          </w:p>
        </w:tc>
        <w:tc>
          <w:tcPr>
            <w:tcW w:w="1063" w:type="dxa"/>
            <w:shd w:val="clear" w:color="auto" w:fill="FFFFFF"/>
          </w:tcPr>
          <w:p w14:paraId="6CC2ABA5" w14:textId="1EFC629D" w:rsidR="00E752BE" w:rsidRPr="00B57B36" w:rsidRDefault="00E752BE" w:rsidP="00CA7FE7">
            <w:pPr>
              <w:pStyle w:val="CETBodytext"/>
              <w:ind w:right="-1"/>
              <w:rPr>
                <w:rFonts w:cs="Arial"/>
                <w:szCs w:val="18"/>
                <w:lang w:val="en-GB"/>
              </w:rPr>
            </w:pPr>
            <w:r>
              <w:rPr>
                <w:rFonts w:cs="Arial"/>
                <w:szCs w:val="18"/>
                <w:lang w:val="en-GB"/>
              </w:rPr>
              <w:t>29.7</w:t>
            </w:r>
          </w:p>
        </w:tc>
        <w:tc>
          <w:tcPr>
            <w:tcW w:w="1063" w:type="dxa"/>
            <w:shd w:val="clear" w:color="auto" w:fill="FFFFFF"/>
          </w:tcPr>
          <w:p w14:paraId="680FBC7C" w14:textId="52A2C5CA" w:rsidR="00E752BE" w:rsidRDefault="00E752BE" w:rsidP="00CA7FE7">
            <w:pPr>
              <w:pStyle w:val="CETBodytext"/>
              <w:ind w:right="-1"/>
              <w:rPr>
                <w:rFonts w:cs="Arial"/>
                <w:szCs w:val="18"/>
                <w:lang w:val="en-GB"/>
              </w:rPr>
            </w:pPr>
            <w:r>
              <w:rPr>
                <w:rFonts w:cs="Arial"/>
                <w:szCs w:val="18"/>
                <w:lang w:val="en-GB"/>
              </w:rPr>
              <w:t>28.6</w:t>
            </w:r>
          </w:p>
        </w:tc>
        <w:tc>
          <w:tcPr>
            <w:tcW w:w="1063" w:type="dxa"/>
            <w:shd w:val="clear" w:color="auto" w:fill="FFFFFF"/>
          </w:tcPr>
          <w:p w14:paraId="75292AA2" w14:textId="17945E2D" w:rsidR="00E752BE" w:rsidRDefault="00E752BE" w:rsidP="00CA7FE7">
            <w:pPr>
              <w:pStyle w:val="CETBodytext"/>
              <w:ind w:right="-1"/>
              <w:rPr>
                <w:rFonts w:cs="Arial"/>
                <w:szCs w:val="18"/>
                <w:lang w:val="en-GB"/>
              </w:rPr>
            </w:pPr>
            <w:r>
              <w:rPr>
                <w:rFonts w:cs="Arial"/>
                <w:szCs w:val="18"/>
                <w:lang w:val="en-GB"/>
              </w:rPr>
              <w:sym w:font="Symbol" w:char="F07E"/>
            </w:r>
            <w:r>
              <w:rPr>
                <w:rFonts w:cs="Arial"/>
                <w:szCs w:val="18"/>
                <w:lang w:val="en-GB"/>
              </w:rPr>
              <w:t xml:space="preserve"> 40</w:t>
            </w:r>
          </w:p>
        </w:tc>
      </w:tr>
    </w:tbl>
    <w:p w14:paraId="0E71AE21" w14:textId="77777777" w:rsidR="00754EE4" w:rsidRPr="00B57B36" w:rsidRDefault="00754EE4" w:rsidP="001B5E27">
      <w:pPr>
        <w:pStyle w:val="CETheadingx"/>
        <w:spacing w:before="120"/>
      </w:pPr>
      <w:r>
        <w:t xml:space="preserve">Minimum ignition energy determination </w:t>
      </w:r>
    </w:p>
    <w:p w14:paraId="73CF9F19" w14:textId="7ACA8D02" w:rsidR="00172FBF" w:rsidRDefault="00172FBF" w:rsidP="00172FBF">
      <w:pPr>
        <w:pStyle w:val="CETBodytext"/>
      </w:pPr>
      <w:r>
        <w:t xml:space="preserve">The Minimum Ignition Energy (MIE) of two admixtures, eucalyptus oil/wheat </w:t>
      </w:r>
      <w:proofErr w:type="spellStart"/>
      <w:r>
        <w:t>middlings</w:t>
      </w:r>
      <w:proofErr w:type="spellEnd"/>
      <w:r>
        <w:t xml:space="preserve"> and ethanol/magnesium stearate, was determined using a modified Hartmann tube, according to </w:t>
      </w:r>
      <w:r w:rsidRPr="0083505C">
        <w:t xml:space="preserve">ISO/IEC 80079-20-2 </w:t>
      </w:r>
      <w:r>
        <w:t>(</w:t>
      </w:r>
      <w:r w:rsidRPr="0083505C">
        <w:t>2016</w:t>
      </w:r>
      <w:r>
        <w:t xml:space="preserve">). </w:t>
      </w:r>
      <w:r w:rsidRPr="00172FBF">
        <w:t>The influence of solvent content on</w:t>
      </w:r>
      <w:r w:rsidR="007F7FB9">
        <w:t xml:space="preserve"> MIE</w:t>
      </w:r>
      <w:r w:rsidRPr="00172FBF">
        <w:t xml:space="preserve"> was studied over a range from 0 to 10 or 16 vol</w:t>
      </w:r>
      <w:r>
        <w:t>.</w:t>
      </w:r>
      <w:r w:rsidRPr="00172FBF">
        <w:t>%</w:t>
      </w:r>
      <w:r w:rsidR="00AD01BC">
        <w:t>,</w:t>
      </w:r>
      <w:r w:rsidRPr="00172FBF">
        <w:t xml:space="preserve"> depending on the maximum solvent concentration permissible by the powder before </w:t>
      </w:r>
      <w:r>
        <w:t>caking</w:t>
      </w:r>
      <w:r w:rsidRPr="00172FBF">
        <w:t>.</w:t>
      </w:r>
    </w:p>
    <w:p w14:paraId="5E291643" w14:textId="4EBBC97A" w:rsidR="004A6668" w:rsidRPr="00B57B36" w:rsidRDefault="004A6668" w:rsidP="001B5E27">
      <w:pPr>
        <w:pStyle w:val="CETheadingx"/>
        <w:spacing w:before="120"/>
      </w:pPr>
      <w:r>
        <w:t>Explosion severity: the 20L sphere</w:t>
      </w:r>
    </w:p>
    <w:p w14:paraId="4C736C4B" w14:textId="730DB70F" w:rsidR="004A6668" w:rsidRPr="003F6B89" w:rsidRDefault="00E43D74" w:rsidP="004A6668">
      <w:pPr>
        <w:pStyle w:val="CETBodytext"/>
        <w:rPr>
          <w:highlight w:val="yellow"/>
        </w:rPr>
      </w:pPr>
      <w:r w:rsidRPr="00E43D74">
        <w:t xml:space="preserve">The maximum explosion pressure </w:t>
      </w:r>
      <w:proofErr w:type="spellStart"/>
      <w:r w:rsidRPr="00E43D74">
        <w:t>P</w:t>
      </w:r>
      <w:r w:rsidRPr="00E43D74">
        <w:rPr>
          <w:vertAlign w:val="subscript"/>
        </w:rPr>
        <w:t>ex</w:t>
      </w:r>
      <w:proofErr w:type="spellEnd"/>
      <w:r w:rsidRPr="00E43D74">
        <w:t xml:space="preserve"> and maximum rate of pressure rise </w:t>
      </w:r>
      <w:proofErr w:type="spellStart"/>
      <w:r w:rsidRPr="00E43D74">
        <w:t>dP</w:t>
      </w:r>
      <w:proofErr w:type="spellEnd"/>
      <w:r w:rsidRPr="00E43D74">
        <w:t>/</w:t>
      </w:r>
      <w:proofErr w:type="spellStart"/>
      <w:r w:rsidRPr="00E43D74">
        <w:t>dt</w:t>
      </w:r>
      <w:r w:rsidRPr="00E43D74">
        <w:rPr>
          <w:vertAlign w:val="subscript"/>
        </w:rPr>
        <w:t>ex</w:t>
      </w:r>
      <w:proofErr w:type="spellEnd"/>
      <w:r w:rsidR="007F7FB9">
        <w:t xml:space="preserve">, and therefore the </w:t>
      </w:r>
      <w:proofErr w:type="spellStart"/>
      <w:r w:rsidR="00351580">
        <w:t>Kst</w:t>
      </w:r>
      <w:proofErr w:type="spellEnd"/>
      <w:r w:rsidR="00351580">
        <w:t xml:space="preserve"> index and </w:t>
      </w:r>
      <w:r w:rsidR="007F7FB9">
        <w:t>St class</w:t>
      </w:r>
      <w:r w:rsidR="00A14F93">
        <w:t xml:space="preserve"> (from St1 to St3)</w:t>
      </w:r>
      <w:r w:rsidR="007F7FB9">
        <w:t>,</w:t>
      </w:r>
      <w:r w:rsidRPr="00E43D74">
        <w:rPr>
          <w:vertAlign w:val="subscript"/>
        </w:rPr>
        <w:t xml:space="preserve"> </w:t>
      </w:r>
      <w:r w:rsidRPr="00E43D74">
        <w:t xml:space="preserve">were determined in accordance with ISO/IEC 80079-20-2 (2016) standard. The prewetted powder was dispersed in a 20L sphere and ignited after 60 </w:t>
      </w:r>
      <w:proofErr w:type="spellStart"/>
      <w:r w:rsidRPr="00E43D74">
        <w:t>ms</w:t>
      </w:r>
      <w:proofErr w:type="spellEnd"/>
      <w:r w:rsidRPr="00E43D74">
        <w:t xml:space="preserve"> using chemical</w:t>
      </w:r>
      <w:r>
        <w:t xml:space="preserve"> igniters of energy ranging from 1 to 10</w:t>
      </w:r>
      <w:r w:rsidR="00D35B22">
        <w:t> </w:t>
      </w:r>
      <w:r>
        <w:t xml:space="preserve">kJ. </w:t>
      </w:r>
      <w:r w:rsidRPr="00E43D74">
        <w:t>Th</w:t>
      </w:r>
      <w:r>
        <w:t>is</w:t>
      </w:r>
      <w:r w:rsidRPr="00E43D74">
        <w:t xml:space="preserve"> energy range was covered by combining 1 and 5 kJ igniters.</w:t>
      </w:r>
      <w:r w:rsidR="003F6B89">
        <w:t xml:space="preserve"> </w:t>
      </w:r>
      <w:r w:rsidR="003F6B89" w:rsidRPr="003F6B89">
        <w:t xml:space="preserve">A sampling valve </w:t>
      </w:r>
      <w:r w:rsidR="003F6B89">
        <w:t>was</w:t>
      </w:r>
      <w:r w:rsidR="003F6B89" w:rsidRPr="003F6B89">
        <w:t xml:space="preserve"> added to the front of the sphere, allowing combustion gases to be collected for analysis by gas chromatography.</w:t>
      </w:r>
    </w:p>
    <w:p w14:paraId="6A66BD77" w14:textId="1339F398" w:rsidR="001C733E" w:rsidRDefault="00D42A23" w:rsidP="001C733E">
      <w:pPr>
        <w:pStyle w:val="CETBodytext"/>
      </w:pPr>
      <w:r>
        <w:t xml:space="preserve">A design of experiments </w:t>
      </w:r>
      <w:r w:rsidR="006F19B2">
        <w:t xml:space="preserve">(DOE) </w:t>
      </w:r>
      <w:r>
        <w:t>was carried out to evaluate the effect of three criteria on the explosion severity</w:t>
      </w:r>
      <w:r w:rsidR="00173F68">
        <w:t xml:space="preserve"> of ethanol/magnesium stearate admixtures</w:t>
      </w:r>
      <w:r>
        <w:t xml:space="preserve">: the </w:t>
      </w:r>
      <w:r w:rsidR="00C56AE0">
        <w:t>fuel</w:t>
      </w:r>
      <w:r>
        <w:t xml:space="preserve"> concentration</w:t>
      </w:r>
      <w:r w:rsidR="00C56AE0">
        <w:t xml:space="preserve"> (dust and solvent)</w:t>
      </w:r>
      <w:r>
        <w:t xml:space="preserve">, the solvent </w:t>
      </w:r>
      <w:r w:rsidR="00C56AE0">
        <w:t>proportion</w:t>
      </w:r>
      <w:r w:rsidR="00224D91">
        <w:t>,</w:t>
      </w:r>
      <w:r>
        <w:t xml:space="preserve"> and the ignition energy.</w:t>
      </w:r>
      <w:r w:rsidR="00E72472" w:rsidRPr="00E72472">
        <w:t xml:space="preserve"> </w:t>
      </w:r>
      <w:r w:rsidR="00173F68">
        <w:t>A</w:t>
      </w:r>
      <w:r w:rsidR="00E72472">
        <w:t xml:space="preserve"> Box-Behnken model was used to represent the surface response</w:t>
      </w:r>
      <w:r w:rsidR="00173F68">
        <w:t xml:space="preserve">. </w:t>
      </w:r>
      <w:r w:rsidR="00517A1B">
        <w:t xml:space="preserve">The polynomial model was adjusted </w:t>
      </w:r>
      <w:r w:rsidR="00517A1B" w:rsidRPr="00517A1B">
        <w:t xml:space="preserve">by </w:t>
      </w:r>
      <w:r w:rsidR="001C733E">
        <w:t>neglecting</w:t>
      </w:r>
      <w:r w:rsidR="00517A1B" w:rsidRPr="00517A1B">
        <w:t xml:space="preserve"> coefficients considered </w:t>
      </w:r>
      <w:r w:rsidR="00CD557D">
        <w:t>in</w:t>
      </w:r>
      <w:r w:rsidR="00517A1B" w:rsidRPr="00517A1B">
        <w:t xml:space="preserve">significant, based on a repeatability study at the </w:t>
      </w:r>
      <w:r w:rsidR="00CD557D" w:rsidRPr="00517A1B">
        <w:t>center</w:t>
      </w:r>
      <w:r w:rsidR="00517A1B" w:rsidRPr="00517A1B">
        <w:t xml:space="preserve"> of the domain and considering a confidence level of 90%.</w:t>
      </w:r>
    </w:p>
    <w:p w14:paraId="0C4DCFBF" w14:textId="1E4F4107" w:rsidR="003F6B89" w:rsidRPr="00B57B36" w:rsidRDefault="001C733E" w:rsidP="004A6668">
      <w:pPr>
        <w:pStyle w:val="CETBodytext"/>
      </w:pPr>
      <w:r>
        <w:t xml:space="preserve">In addition, a simple thermodynamic model was developed to assess the impact of the vaporization and combustion stages of the liquid on the maximum explosion pressure </w:t>
      </w:r>
      <w:proofErr w:type="spellStart"/>
      <w:r>
        <w:t>P</w:t>
      </w:r>
      <w:r w:rsidRPr="001C733E">
        <w:rPr>
          <w:vertAlign w:val="subscript"/>
        </w:rPr>
        <w:t>ex</w:t>
      </w:r>
      <w:proofErr w:type="spellEnd"/>
      <w:r>
        <w:t>. Based on mass and thermal balances in the 20L sphere, it estimates the adiabatic flame temperature by considering the heat capacity of the gaseous products at constant volume and then</w:t>
      </w:r>
      <w:r w:rsidR="00754332">
        <w:t xml:space="preserve"> </w:t>
      </w:r>
      <w:proofErr w:type="spellStart"/>
      <w:r w:rsidR="00754332">
        <w:t>P</w:t>
      </w:r>
      <w:r w:rsidR="00754332" w:rsidRPr="00754332">
        <w:rPr>
          <w:vertAlign w:val="subscript"/>
        </w:rPr>
        <w:t>ex</w:t>
      </w:r>
      <w:proofErr w:type="spellEnd"/>
      <w:r w:rsidR="00754332">
        <w:t>, by</w:t>
      </w:r>
      <w:r>
        <w:t xml:space="preserve"> applying the ideal gas law</w:t>
      </w:r>
      <w:r w:rsidR="00754332">
        <w:t>.</w:t>
      </w:r>
    </w:p>
    <w:p w14:paraId="677EBFF0" w14:textId="1034275B" w:rsidR="00600535" w:rsidRDefault="004A6668" w:rsidP="00600535">
      <w:pPr>
        <w:pStyle w:val="CETHeading1"/>
        <w:tabs>
          <w:tab w:val="clear" w:pos="360"/>
          <w:tab w:val="right" w:pos="7100"/>
        </w:tabs>
        <w:jc w:val="both"/>
        <w:rPr>
          <w:lang w:val="en-GB"/>
        </w:rPr>
      </w:pPr>
      <w:r>
        <w:rPr>
          <w:lang w:val="en-GB"/>
        </w:rPr>
        <w:t>Results and discussion</w:t>
      </w:r>
    </w:p>
    <w:p w14:paraId="4A9A99C5" w14:textId="22C8BAD6" w:rsidR="006C183D" w:rsidRPr="006C183D" w:rsidRDefault="006517D6" w:rsidP="006C183D">
      <w:pPr>
        <w:pStyle w:val="CETBodytext"/>
        <w:rPr>
          <w:lang w:val="en-GB"/>
        </w:rPr>
      </w:pPr>
      <w:r>
        <w:rPr>
          <w:lang w:val="en-GB"/>
        </w:rPr>
        <w:t>First, the results of the DOE are presented and interpreted</w:t>
      </w:r>
      <w:r w:rsidR="007F7FB9">
        <w:rPr>
          <w:lang w:val="en-GB"/>
        </w:rPr>
        <w:t>.</w:t>
      </w:r>
      <w:r>
        <w:rPr>
          <w:lang w:val="en-GB"/>
        </w:rPr>
        <w:t xml:space="preserve"> </w:t>
      </w:r>
      <w:r w:rsidRPr="006517D6">
        <w:rPr>
          <w:lang w:val="en-GB"/>
        </w:rPr>
        <w:t xml:space="preserve">In a second step, the reasons for the observed variations </w:t>
      </w:r>
      <w:r w:rsidR="007F7FB9">
        <w:rPr>
          <w:lang w:val="en-GB"/>
        </w:rPr>
        <w:t>are</w:t>
      </w:r>
      <w:r w:rsidRPr="006517D6">
        <w:rPr>
          <w:lang w:val="en-GB"/>
        </w:rPr>
        <w:t xml:space="preserve"> analysed based on complementary experiments </w:t>
      </w:r>
      <w:r w:rsidR="007F7FB9">
        <w:rPr>
          <w:lang w:val="en-GB"/>
        </w:rPr>
        <w:t>carried out</w:t>
      </w:r>
      <w:r w:rsidRPr="006517D6">
        <w:rPr>
          <w:lang w:val="en-GB"/>
        </w:rPr>
        <w:t xml:space="preserve">, in </w:t>
      </w:r>
      <w:r w:rsidR="00762BF2" w:rsidRPr="006517D6">
        <w:rPr>
          <w:lang w:val="en-GB"/>
        </w:rPr>
        <w:t>particular</w:t>
      </w:r>
      <w:r w:rsidRPr="006517D6">
        <w:rPr>
          <w:lang w:val="en-GB"/>
        </w:rPr>
        <w:t xml:space="preserve"> on theoretical mixtures</w:t>
      </w:r>
      <w:r>
        <w:rPr>
          <w:lang w:val="en-GB"/>
        </w:rPr>
        <w:t xml:space="preserve"> such as ethanol/MgO or acetone/MgO.</w:t>
      </w:r>
    </w:p>
    <w:p w14:paraId="04963A06" w14:textId="3B318884" w:rsidR="00600535" w:rsidRPr="00B57B36" w:rsidRDefault="0087452A" w:rsidP="001B5E27">
      <w:pPr>
        <w:pStyle w:val="CETheadingx"/>
        <w:spacing w:before="120"/>
      </w:pPr>
      <w:r>
        <w:t>D</w:t>
      </w:r>
      <w:r w:rsidR="00B20B96">
        <w:t xml:space="preserve">esign </w:t>
      </w:r>
      <w:r>
        <w:t>of</w:t>
      </w:r>
      <w:r w:rsidR="00B20B96">
        <w:t xml:space="preserve"> </w:t>
      </w:r>
      <w:r>
        <w:t>e</w:t>
      </w:r>
      <w:r w:rsidR="00B20B96">
        <w:t>xperiments</w:t>
      </w:r>
      <w:r>
        <w:t xml:space="preserve"> performed on ethanol/magnesium stearate mixtures</w:t>
      </w:r>
    </w:p>
    <w:p w14:paraId="2D8A36A6" w14:textId="25FF1FA1" w:rsidR="001B5E27" w:rsidRPr="008F274D" w:rsidRDefault="0087452A" w:rsidP="00506B65">
      <w:pPr>
        <w:pStyle w:val="CETBodytext"/>
        <w:rPr>
          <w:lang w:val="en-GB"/>
        </w:rPr>
      </w:pPr>
      <w:r w:rsidRPr="0015419E">
        <w:rPr>
          <w:lang w:val="en-GB"/>
        </w:rPr>
        <w:t xml:space="preserve">The results obtained </w:t>
      </w:r>
      <w:r w:rsidR="00AD01BC">
        <w:rPr>
          <w:lang w:val="en-GB"/>
        </w:rPr>
        <w:t xml:space="preserve">from </w:t>
      </w:r>
      <w:r w:rsidRPr="0015419E">
        <w:rPr>
          <w:lang w:val="en-GB"/>
        </w:rPr>
        <w:t xml:space="preserve">performing the DOE are shown in Table 2. </w:t>
      </w:r>
      <w:r w:rsidR="00506B65" w:rsidRPr="0015419E">
        <w:rPr>
          <w:lang w:val="en-GB"/>
        </w:rPr>
        <w:t xml:space="preserve">It appears that the explosion severity of </w:t>
      </w:r>
      <w:r w:rsidR="0015419E" w:rsidRPr="0015419E">
        <w:rPr>
          <w:lang w:val="en-GB"/>
        </w:rPr>
        <w:t xml:space="preserve">some </w:t>
      </w:r>
      <w:r w:rsidR="00506B65" w:rsidRPr="0015419E">
        <w:rPr>
          <w:lang w:val="en-GB"/>
        </w:rPr>
        <w:t xml:space="preserve">admixtures exceeds that </w:t>
      </w:r>
      <w:r w:rsidRPr="0015419E">
        <w:rPr>
          <w:lang w:val="en-GB"/>
        </w:rPr>
        <w:t xml:space="preserve">of the pure </w:t>
      </w:r>
      <w:r w:rsidR="0015419E" w:rsidRPr="0015419E">
        <w:rPr>
          <w:lang w:val="en-GB"/>
        </w:rPr>
        <w:t xml:space="preserve">powder </w:t>
      </w:r>
      <w:r w:rsidR="00477C05" w:rsidRPr="0015419E">
        <w:rPr>
          <w:lang w:val="en-GB"/>
        </w:rPr>
        <w:t>tested under the same conditions</w:t>
      </w:r>
      <w:r w:rsidRPr="0015419E">
        <w:rPr>
          <w:lang w:val="en-GB"/>
        </w:rPr>
        <w:t xml:space="preserve">, </w:t>
      </w:r>
      <w:r w:rsidR="0015419E" w:rsidRPr="0015419E">
        <w:rPr>
          <w:lang w:val="en-GB"/>
        </w:rPr>
        <w:t>i.e.</w:t>
      </w:r>
      <w:r w:rsidR="00AD01BC">
        <w:rPr>
          <w:lang w:val="en-GB"/>
        </w:rPr>
        <w:t>,</w:t>
      </w:r>
      <w:r w:rsidR="0015419E" w:rsidRPr="0015419E">
        <w:rPr>
          <w:lang w:val="en-GB"/>
        </w:rPr>
        <w:t xml:space="preserve"> 8.</w:t>
      </w:r>
      <w:r w:rsidR="0014456C">
        <w:rPr>
          <w:lang w:val="en-GB"/>
        </w:rPr>
        <w:t>6</w:t>
      </w:r>
      <w:r w:rsidR="0015419E" w:rsidRPr="0015419E">
        <w:rPr>
          <w:lang w:val="en-GB"/>
        </w:rPr>
        <w:t xml:space="preserve"> bar and </w:t>
      </w:r>
      <w:r w:rsidR="0014456C">
        <w:rPr>
          <w:lang w:val="en-GB"/>
        </w:rPr>
        <w:t>1040</w:t>
      </w:r>
      <w:r w:rsidR="0015419E" w:rsidRPr="0015419E">
        <w:rPr>
          <w:lang w:val="en-GB"/>
        </w:rPr>
        <w:t xml:space="preserve"> bar/s. It should be noted </w:t>
      </w:r>
      <w:r w:rsidR="007F7FB9">
        <w:rPr>
          <w:lang w:val="en-GB"/>
        </w:rPr>
        <w:t xml:space="preserve">that, </w:t>
      </w:r>
      <w:r w:rsidR="00342BFC" w:rsidRPr="00342BFC">
        <w:rPr>
          <w:lang w:val="en-GB"/>
        </w:rPr>
        <w:t xml:space="preserve">if the effect of </w:t>
      </w:r>
      <w:r w:rsidR="00342BFC">
        <w:rPr>
          <w:lang w:val="en-GB"/>
        </w:rPr>
        <w:t>prewetting</w:t>
      </w:r>
      <w:r w:rsidR="00342BFC" w:rsidRPr="00342BFC">
        <w:rPr>
          <w:lang w:val="en-GB"/>
        </w:rPr>
        <w:t xml:space="preserve"> is weak or even negative </w:t>
      </w:r>
      <w:r w:rsidR="009E2330">
        <w:rPr>
          <w:lang w:val="en-GB"/>
        </w:rPr>
        <w:t>on the maximum explosion pressure</w:t>
      </w:r>
      <w:r w:rsidR="00342BFC">
        <w:rPr>
          <w:lang w:val="en-GB"/>
        </w:rPr>
        <w:t xml:space="preserve">, it can be positive </w:t>
      </w:r>
      <w:r w:rsidR="009E2330">
        <w:rPr>
          <w:lang w:val="en-GB"/>
        </w:rPr>
        <w:t>on the maximum rate of pressure rise</w:t>
      </w:r>
      <w:r w:rsidR="0014456C">
        <w:rPr>
          <w:lang w:val="en-GB"/>
        </w:rPr>
        <w:t>. On the other hand, the explosion severity of the prewetted powders is globally</w:t>
      </w:r>
      <w:r w:rsidR="0014456C" w:rsidRPr="0014456C">
        <w:rPr>
          <w:lang w:val="en-GB"/>
        </w:rPr>
        <w:t xml:space="preserve"> lower than that of the corresponding </w:t>
      </w:r>
      <w:r w:rsidR="00486519">
        <w:rPr>
          <w:lang w:val="en-GB"/>
        </w:rPr>
        <w:t xml:space="preserve">gas/dust </w:t>
      </w:r>
      <w:r w:rsidR="0014456C" w:rsidRPr="0014456C">
        <w:rPr>
          <w:lang w:val="en-GB"/>
        </w:rPr>
        <w:t>hybrid mixtures</w:t>
      </w:r>
      <w:r w:rsidR="0014456C">
        <w:rPr>
          <w:lang w:val="en-GB"/>
        </w:rPr>
        <w:t xml:space="preserve"> (Dufaud et al., 2009)</w:t>
      </w:r>
      <w:r w:rsidR="008F274D">
        <w:rPr>
          <w:lang w:val="en-GB"/>
        </w:rPr>
        <w:t xml:space="preserve">, which raises to 1580 bar/s for </w:t>
      </w:r>
      <w:proofErr w:type="spellStart"/>
      <w:r w:rsidR="008F274D">
        <w:rPr>
          <w:lang w:val="en-GB"/>
        </w:rPr>
        <w:t>dP</w:t>
      </w:r>
      <w:proofErr w:type="spellEnd"/>
      <w:r w:rsidR="008F274D">
        <w:rPr>
          <w:lang w:val="en-GB"/>
        </w:rPr>
        <w:t>/</w:t>
      </w:r>
      <w:proofErr w:type="spellStart"/>
      <w:r w:rsidR="008F274D">
        <w:rPr>
          <w:lang w:val="en-GB"/>
        </w:rPr>
        <w:t>dt</w:t>
      </w:r>
      <w:r w:rsidR="008F274D" w:rsidRPr="0015419E">
        <w:rPr>
          <w:vertAlign w:val="subscript"/>
          <w:lang w:val="en-GB"/>
        </w:rPr>
        <w:t>ex</w:t>
      </w:r>
      <w:proofErr w:type="spellEnd"/>
      <w:r w:rsidR="008F274D">
        <w:rPr>
          <w:lang w:val="en-GB"/>
        </w:rPr>
        <w:t xml:space="preserve"> at 400 g/m</w:t>
      </w:r>
      <w:r w:rsidR="008F274D" w:rsidRPr="008F274D">
        <w:rPr>
          <w:vertAlign w:val="superscript"/>
          <w:lang w:val="en-GB"/>
        </w:rPr>
        <w:t>3</w:t>
      </w:r>
      <w:r w:rsidR="008F274D">
        <w:rPr>
          <w:lang w:val="en-GB"/>
        </w:rPr>
        <w:t xml:space="preserve"> magnesium stearate and 14.2 vol% ethanol. </w:t>
      </w:r>
    </w:p>
    <w:p w14:paraId="5AF9DC6B" w14:textId="30062EB9" w:rsidR="0087452A" w:rsidRPr="00B57B36" w:rsidRDefault="0087452A" w:rsidP="0087452A">
      <w:pPr>
        <w:pStyle w:val="CETTabletitle"/>
      </w:pPr>
      <w:r w:rsidRPr="00B57B36">
        <w:lastRenderedPageBreak/>
        <w:t xml:space="preserve">Table </w:t>
      </w:r>
      <w:r>
        <w:t>2</w:t>
      </w:r>
      <w:r w:rsidRPr="00B57B36">
        <w:t xml:space="preserve">: </w:t>
      </w:r>
      <w:r>
        <w:t>Explosion severity of magnesium stearate powder prewetted by ethanol - DOE</w:t>
      </w:r>
    </w:p>
    <w:tbl>
      <w:tblPr>
        <w:tblW w:w="8223"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48"/>
        <w:gridCol w:w="1748"/>
        <w:gridCol w:w="1749"/>
        <w:gridCol w:w="1489"/>
        <w:gridCol w:w="1489"/>
      </w:tblGrid>
      <w:tr w:rsidR="0087452A" w:rsidRPr="00B57B36" w14:paraId="6EECAE6A" w14:textId="77777777" w:rsidTr="00CA7FE7">
        <w:trPr>
          <w:trHeight w:val="221"/>
        </w:trPr>
        <w:tc>
          <w:tcPr>
            <w:tcW w:w="1748" w:type="dxa"/>
            <w:tcBorders>
              <w:top w:val="single" w:sz="12" w:space="0" w:color="008000"/>
              <w:bottom w:val="single" w:sz="6" w:space="0" w:color="008000"/>
            </w:tcBorders>
            <w:shd w:val="clear" w:color="auto" w:fill="FFFFFF"/>
          </w:tcPr>
          <w:p w14:paraId="4980DA22" w14:textId="6093E14B" w:rsidR="0087452A" w:rsidRPr="00B57B36" w:rsidRDefault="0087452A" w:rsidP="00CA7FE7">
            <w:pPr>
              <w:pStyle w:val="CETBodytext"/>
              <w:rPr>
                <w:lang w:val="en-GB"/>
              </w:rPr>
            </w:pPr>
            <w:r>
              <w:rPr>
                <w:lang w:val="en-GB"/>
              </w:rPr>
              <w:t>Ethanol (w.%)</w:t>
            </w:r>
          </w:p>
        </w:tc>
        <w:tc>
          <w:tcPr>
            <w:tcW w:w="1748" w:type="dxa"/>
            <w:tcBorders>
              <w:top w:val="single" w:sz="12" w:space="0" w:color="008000"/>
              <w:bottom w:val="single" w:sz="6" w:space="0" w:color="008000"/>
            </w:tcBorders>
            <w:shd w:val="clear" w:color="auto" w:fill="FFFFFF"/>
          </w:tcPr>
          <w:p w14:paraId="15AE13FA" w14:textId="68379F03" w:rsidR="0087452A" w:rsidRPr="00B57B36" w:rsidRDefault="001F268D" w:rsidP="00CA7FE7">
            <w:pPr>
              <w:pStyle w:val="CETBodytext"/>
              <w:rPr>
                <w:lang w:val="en-GB"/>
              </w:rPr>
            </w:pPr>
            <w:r>
              <w:rPr>
                <w:lang w:val="en-GB"/>
              </w:rPr>
              <w:t>Fuel content</w:t>
            </w:r>
            <w:r w:rsidR="0087452A">
              <w:rPr>
                <w:lang w:val="en-GB"/>
              </w:rPr>
              <w:t xml:space="preserve"> (g.m</w:t>
            </w:r>
            <w:r w:rsidR="0087452A" w:rsidRPr="005A21F9">
              <w:rPr>
                <w:vertAlign w:val="superscript"/>
                <w:lang w:val="en-GB"/>
              </w:rPr>
              <w:t>-3</w:t>
            </w:r>
            <w:r w:rsidR="0087452A">
              <w:rPr>
                <w:lang w:val="en-GB"/>
              </w:rPr>
              <w:t>)</w:t>
            </w:r>
          </w:p>
        </w:tc>
        <w:tc>
          <w:tcPr>
            <w:tcW w:w="1749" w:type="dxa"/>
            <w:tcBorders>
              <w:top w:val="single" w:sz="12" w:space="0" w:color="008000"/>
              <w:bottom w:val="single" w:sz="6" w:space="0" w:color="008000"/>
            </w:tcBorders>
            <w:shd w:val="clear" w:color="auto" w:fill="FFFFFF"/>
          </w:tcPr>
          <w:p w14:paraId="2929B547" w14:textId="2436D85C" w:rsidR="0087452A" w:rsidRPr="00D35B22" w:rsidRDefault="0087452A" w:rsidP="00CA7FE7">
            <w:pPr>
              <w:pStyle w:val="CETBodytext"/>
              <w:rPr>
                <w:rFonts w:cs="Arial"/>
                <w:szCs w:val="18"/>
                <w:lang w:val="en-GB"/>
              </w:rPr>
            </w:pPr>
            <w:r>
              <w:rPr>
                <w:rFonts w:cs="Arial"/>
                <w:szCs w:val="18"/>
                <w:lang w:val="en-GB"/>
              </w:rPr>
              <w:t>Ignition energy (kJ)</w:t>
            </w:r>
          </w:p>
        </w:tc>
        <w:tc>
          <w:tcPr>
            <w:tcW w:w="1489" w:type="dxa"/>
            <w:tcBorders>
              <w:top w:val="single" w:sz="12" w:space="0" w:color="008000"/>
              <w:bottom w:val="single" w:sz="6" w:space="0" w:color="008000"/>
            </w:tcBorders>
            <w:shd w:val="clear" w:color="auto" w:fill="FFFFFF"/>
          </w:tcPr>
          <w:p w14:paraId="1456F8A6" w14:textId="778CE3E9" w:rsidR="0087452A" w:rsidRDefault="0087452A" w:rsidP="00CA7FE7">
            <w:pPr>
              <w:pStyle w:val="CETBodytext"/>
              <w:rPr>
                <w:rFonts w:cs="Arial"/>
                <w:szCs w:val="18"/>
                <w:lang w:val="en-GB"/>
              </w:rPr>
            </w:pPr>
            <w:proofErr w:type="spellStart"/>
            <w:r>
              <w:rPr>
                <w:rFonts w:cs="Arial"/>
                <w:szCs w:val="18"/>
                <w:lang w:val="en-GB"/>
              </w:rPr>
              <w:t>P</w:t>
            </w:r>
            <w:r w:rsidRPr="00226E00">
              <w:rPr>
                <w:rFonts w:cs="Arial"/>
                <w:szCs w:val="18"/>
                <w:vertAlign w:val="subscript"/>
                <w:lang w:val="en-GB"/>
              </w:rPr>
              <w:t>ex</w:t>
            </w:r>
            <w:proofErr w:type="spellEnd"/>
            <w:r w:rsidR="00D35B22">
              <w:rPr>
                <w:rFonts w:cs="Arial"/>
                <w:szCs w:val="18"/>
                <w:vertAlign w:val="subscript"/>
                <w:lang w:val="en-GB"/>
              </w:rPr>
              <w:t xml:space="preserve"> </w:t>
            </w:r>
            <w:r>
              <w:rPr>
                <w:rFonts w:cs="Arial"/>
                <w:szCs w:val="18"/>
                <w:lang w:val="en-GB"/>
              </w:rPr>
              <w:t>(bar)</w:t>
            </w:r>
          </w:p>
        </w:tc>
        <w:tc>
          <w:tcPr>
            <w:tcW w:w="1489" w:type="dxa"/>
            <w:tcBorders>
              <w:top w:val="single" w:sz="12" w:space="0" w:color="008000"/>
              <w:bottom w:val="single" w:sz="6" w:space="0" w:color="008000"/>
            </w:tcBorders>
            <w:shd w:val="clear" w:color="auto" w:fill="FFFFFF"/>
          </w:tcPr>
          <w:p w14:paraId="44F7BBCE" w14:textId="73106B96" w:rsidR="0087452A" w:rsidRDefault="0087452A" w:rsidP="00CA7FE7">
            <w:pPr>
              <w:pStyle w:val="CETBodytext"/>
              <w:rPr>
                <w:rFonts w:cs="Arial"/>
                <w:szCs w:val="18"/>
                <w:lang w:val="en-GB"/>
              </w:rPr>
            </w:pPr>
            <w:proofErr w:type="spellStart"/>
            <w:r>
              <w:rPr>
                <w:rFonts w:cs="Arial"/>
                <w:szCs w:val="18"/>
                <w:lang w:val="en-GB"/>
              </w:rPr>
              <w:t>dP</w:t>
            </w:r>
            <w:proofErr w:type="spellEnd"/>
            <w:r>
              <w:rPr>
                <w:rFonts w:cs="Arial"/>
                <w:szCs w:val="18"/>
                <w:lang w:val="en-GB"/>
              </w:rPr>
              <w:t>/</w:t>
            </w:r>
            <w:proofErr w:type="spellStart"/>
            <w:r>
              <w:rPr>
                <w:rFonts w:cs="Arial"/>
                <w:szCs w:val="18"/>
                <w:lang w:val="en-GB"/>
              </w:rPr>
              <w:t>dt</w:t>
            </w:r>
            <w:r w:rsidRPr="00226E00">
              <w:rPr>
                <w:rFonts w:cs="Arial"/>
                <w:szCs w:val="18"/>
                <w:vertAlign w:val="subscript"/>
                <w:lang w:val="en-GB"/>
              </w:rPr>
              <w:t>ex</w:t>
            </w:r>
            <w:proofErr w:type="spellEnd"/>
            <w:r>
              <w:rPr>
                <w:rFonts w:cs="Arial"/>
                <w:szCs w:val="18"/>
                <w:lang w:val="en-GB"/>
              </w:rPr>
              <w:t xml:space="preserve"> (bar/s)</w:t>
            </w:r>
          </w:p>
        </w:tc>
      </w:tr>
      <w:tr w:rsidR="0087452A" w:rsidRPr="00B57B36" w14:paraId="0758860C" w14:textId="77777777" w:rsidTr="00CA7FE7">
        <w:tc>
          <w:tcPr>
            <w:tcW w:w="1748" w:type="dxa"/>
            <w:shd w:val="clear" w:color="auto" w:fill="FFFFFF"/>
          </w:tcPr>
          <w:p w14:paraId="08EC1DE2" w14:textId="77777777" w:rsidR="0087452A" w:rsidRPr="00E23B2E" w:rsidRDefault="0087452A" w:rsidP="00CA7FE7">
            <w:pPr>
              <w:pStyle w:val="CETBodytext"/>
            </w:pPr>
            <w:r w:rsidRPr="00E23B2E">
              <w:t>2</w:t>
            </w:r>
          </w:p>
        </w:tc>
        <w:tc>
          <w:tcPr>
            <w:tcW w:w="1748" w:type="dxa"/>
            <w:shd w:val="clear" w:color="auto" w:fill="FFFFFF"/>
          </w:tcPr>
          <w:p w14:paraId="654326DD" w14:textId="77777777" w:rsidR="0087452A" w:rsidRPr="00E23B2E" w:rsidRDefault="0087452A" w:rsidP="00CA7FE7">
            <w:pPr>
              <w:pStyle w:val="CETBodytext"/>
            </w:pPr>
            <w:r w:rsidRPr="00E23B2E">
              <w:t>60</w:t>
            </w:r>
          </w:p>
        </w:tc>
        <w:tc>
          <w:tcPr>
            <w:tcW w:w="1749" w:type="dxa"/>
            <w:shd w:val="clear" w:color="auto" w:fill="FFFFFF"/>
          </w:tcPr>
          <w:p w14:paraId="5C36DC3A" w14:textId="77777777" w:rsidR="0087452A" w:rsidRPr="00E23B2E" w:rsidRDefault="0087452A" w:rsidP="00CA7FE7">
            <w:pPr>
              <w:pStyle w:val="CETBodytext"/>
            </w:pPr>
            <w:r w:rsidRPr="00E23B2E">
              <w:t>6</w:t>
            </w:r>
          </w:p>
        </w:tc>
        <w:tc>
          <w:tcPr>
            <w:tcW w:w="1489" w:type="dxa"/>
            <w:shd w:val="clear" w:color="auto" w:fill="FFFFFF"/>
            <w:vAlign w:val="bottom"/>
          </w:tcPr>
          <w:p w14:paraId="3FAB8525" w14:textId="77777777" w:rsidR="0087452A" w:rsidRPr="00E23B2E" w:rsidRDefault="0087452A" w:rsidP="00CA7FE7">
            <w:pPr>
              <w:pStyle w:val="CETBodytext"/>
            </w:pPr>
            <w:r w:rsidRPr="004D1A84">
              <w:t>4.5</w:t>
            </w:r>
          </w:p>
        </w:tc>
        <w:tc>
          <w:tcPr>
            <w:tcW w:w="1489" w:type="dxa"/>
            <w:shd w:val="clear" w:color="auto" w:fill="FFFFFF"/>
            <w:vAlign w:val="bottom"/>
          </w:tcPr>
          <w:p w14:paraId="321FC1BF" w14:textId="77777777" w:rsidR="0087452A" w:rsidRPr="00E23B2E" w:rsidRDefault="0087452A" w:rsidP="00CA7FE7">
            <w:pPr>
              <w:pStyle w:val="CETBodytext"/>
            </w:pPr>
            <w:r w:rsidRPr="004D1A84">
              <w:t>150</w:t>
            </w:r>
          </w:p>
        </w:tc>
      </w:tr>
      <w:tr w:rsidR="0087452A" w:rsidRPr="00B57B36" w14:paraId="482B926B" w14:textId="77777777" w:rsidTr="00CA7FE7">
        <w:tc>
          <w:tcPr>
            <w:tcW w:w="1748" w:type="dxa"/>
            <w:shd w:val="clear" w:color="auto" w:fill="FFFFFF"/>
          </w:tcPr>
          <w:p w14:paraId="6A1B1CAD" w14:textId="77777777" w:rsidR="0087452A" w:rsidRPr="00CB2F23" w:rsidRDefault="0087452A" w:rsidP="00CA7FE7">
            <w:pPr>
              <w:pStyle w:val="CETBodytext"/>
            </w:pPr>
            <w:r w:rsidRPr="00E23B2E">
              <w:t>2</w:t>
            </w:r>
          </w:p>
        </w:tc>
        <w:tc>
          <w:tcPr>
            <w:tcW w:w="1748" w:type="dxa"/>
            <w:shd w:val="clear" w:color="auto" w:fill="FFFFFF"/>
          </w:tcPr>
          <w:p w14:paraId="2D27FA08" w14:textId="77777777" w:rsidR="0087452A" w:rsidRPr="00CB2F23" w:rsidRDefault="0087452A" w:rsidP="00CA7FE7">
            <w:pPr>
              <w:pStyle w:val="CETBodytext"/>
            </w:pPr>
            <w:r w:rsidRPr="00E23B2E">
              <w:t>220</w:t>
            </w:r>
          </w:p>
        </w:tc>
        <w:tc>
          <w:tcPr>
            <w:tcW w:w="1749" w:type="dxa"/>
            <w:shd w:val="clear" w:color="auto" w:fill="FFFFFF"/>
          </w:tcPr>
          <w:p w14:paraId="71AFCEEF" w14:textId="77777777" w:rsidR="0087452A" w:rsidRPr="00CB2F23" w:rsidRDefault="0087452A" w:rsidP="00CA7FE7">
            <w:pPr>
              <w:pStyle w:val="CETBodytext"/>
            </w:pPr>
            <w:r w:rsidRPr="00E23B2E">
              <w:t>6</w:t>
            </w:r>
          </w:p>
        </w:tc>
        <w:tc>
          <w:tcPr>
            <w:tcW w:w="1489" w:type="dxa"/>
            <w:shd w:val="clear" w:color="auto" w:fill="FFFFFF"/>
            <w:vAlign w:val="bottom"/>
          </w:tcPr>
          <w:p w14:paraId="00A2925A" w14:textId="77777777" w:rsidR="0087452A" w:rsidRPr="00E23B2E" w:rsidRDefault="0087452A" w:rsidP="00CA7FE7">
            <w:pPr>
              <w:pStyle w:val="CETBodytext"/>
            </w:pPr>
            <w:r w:rsidRPr="004D1A84">
              <w:t>8.1</w:t>
            </w:r>
          </w:p>
        </w:tc>
        <w:tc>
          <w:tcPr>
            <w:tcW w:w="1489" w:type="dxa"/>
            <w:shd w:val="clear" w:color="auto" w:fill="FFFFFF"/>
            <w:vAlign w:val="bottom"/>
          </w:tcPr>
          <w:p w14:paraId="77D52CFB" w14:textId="77777777" w:rsidR="0087452A" w:rsidRPr="00E23B2E" w:rsidRDefault="0087452A" w:rsidP="00CA7FE7">
            <w:pPr>
              <w:pStyle w:val="CETBodytext"/>
            </w:pPr>
            <w:r w:rsidRPr="004D1A84">
              <w:t>1126</w:t>
            </w:r>
          </w:p>
        </w:tc>
      </w:tr>
      <w:tr w:rsidR="0087452A" w:rsidRPr="00B57B36" w14:paraId="13912E6F" w14:textId="77777777" w:rsidTr="00CA7FE7">
        <w:tc>
          <w:tcPr>
            <w:tcW w:w="1748" w:type="dxa"/>
            <w:shd w:val="clear" w:color="auto" w:fill="FFFFFF"/>
          </w:tcPr>
          <w:p w14:paraId="4A9CF434" w14:textId="77777777" w:rsidR="0087452A" w:rsidRPr="00CB2F23" w:rsidRDefault="0087452A" w:rsidP="00CA7FE7">
            <w:pPr>
              <w:pStyle w:val="CETBodytext"/>
            </w:pPr>
            <w:r w:rsidRPr="00E23B2E">
              <w:t>9</w:t>
            </w:r>
          </w:p>
        </w:tc>
        <w:tc>
          <w:tcPr>
            <w:tcW w:w="1748" w:type="dxa"/>
            <w:shd w:val="clear" w:color="auto" w:fill="FFFFFF"/>
          </w:tcPr>
          <w:p w14:paraId="025146DC" w14:textId="77777777" w:rsidR="0087452A" w:rsidRPr="00CB2F23" w:rsidRDefault="0087452A" w:rsidP="00CA7FE7">
            <w:pPr>
              <w:pStyle w:val="CETBodytext"/>
            </w:pPr>
            <w:r w:rsidRPr="00E23B2E">
              <w:t>140</w:t>
            </w:r>
          </w:p>
        </w:tc>
        <w:tc>
          <w:tcPr>
            <w:tcW w:w="1749" w:type="dxa"/>
            <w:shd w:val="clear" w:color="auto" w:fill="FFFFFF"/>
          </w:tcPr>
          <w:p w14:paraId="031822D8" w14:textId="77777777" w:rsidR="0087452A" w:rsidRPr="00CB2F23" w:rsidRDefault="0087452A" w:rsidP="00CA7FE7">
            <w:pPr>
              <w:pStyle w:val="CETBodytext"/>
            </w:pPr>
            <w:r w:rsidRPr="00E23B2E">
              <w:t>6</w:t>
            </w:r>
          </w:p>
        </w:tc>
        <w:tc>
          <w:tcPr>
            <w:tcW w:w="1489" w:type="dxa"/>
            <w:shd w:val="clear" w:color="auto" w:fill="FFFFFF"/>
            <w:vAlign w:val="bottom"/>
          </w:tcPr>
          <w:p w14:paraId="4FFD5F6F" w14:textId="77777777" w:rsidR="0087452A" w:rsidRPr="00E23B2E" w:rsidRDefault="0087452A" w:rsidP="00CA7FE7">
            <w:pPr>
              <w:pStyle w:val="CETBodytext"/>
            </w:pPr>
            <w:r w:rsidRPr="00CB2F23">
              <w:t>8.2</w:t>
            </w:r>
          </w:p>
        </w:tc>
        <w:tc>
          <w:tcPr>
            <w:tcW w:w="1489" w:type="dxa"/>
            <w:shd w:val="clear" w:color="auto" w:fill="FFFFFF"/>
            <w:vAlign w:val="bottom"/>
          </w:tcPr>
          <w:p w14:paraId="4643012E" w14:textId="77777777" w:rsidR="0087452A" w:rsidRPr="00E23B2E" w:rsidRDefault="0087452A" w:rsidP="00CA7FE7">
            <w:pPr>
              <w:pStyle w:val="CETBodytext"/>
            </w:pPr>
            <w:r w:rsidRPr="00CB2F23">
              <w:t>927</w:t>
            </w:r>
          </w:p>
        </w:tc>
      </w:tr>
      <w:tr w:rsidR="0087452A" w:rsidRPr="00B57B36" w14:paraId="500F6FF0" w14:textId="77777777" w:rsidTr="00CA7FE7">
        <w:tc>
          <w:tcPr>
            <w:tcW w:w="1748" w:type="dxa"/>
            <w:shd w:val="clear" w:color="auto" w:fill="FFFFFF"/>
          </w:tcPr>
          <w:p w14:paraId="43AF214E" w14:textId="77777777" w:rsidR="0087452A" w:rsidRPr="00CB2F23" w:rsidRDefault="0087452A" w:rsidP="00CA7FE7">
            <w:pPr>
              <w:pStyle w:val="CETBodytext"/>
            </w:pPr>
            <w:r w:rsidRPr="00E23B2E">
              <w:t>16</w:t>
            </w:r>
          </w:p>
        </w:tc>
        <w:tc>
          <w:tcPr>
            <w:tcW w:w="1748" w:type="dxa"/>
            <w:shd w:val="clear" w:color="auto" w:fill="FFFFFF"/>
          </w:tcPr>
          <w:p w14:paraId="309D8407" w14:textId="77777777" w:rsidR="0087452A" w:rsidRPr="00CB2F23" w:rsidRDefault="0087452A" w:rsidP="00CA7FE7">
            <w:pPr>
              <w:pStyle w:val="CETBodytext"/>
            </w:pPr>
            <w:r w:rsidRPr="00E23B2E">
              <w:t>60</w:t>
            </w:r>
          </w:p>
        </w:tc>
        <w:tc>
          <w:tcPr>
            <w:tcW w:w="1749" w:type="dxa"/>
            <w:shd w:val="clear" w:color="auto" w:fill="FFFFFF"/>
          </w:tcPr>
          <w:p w14:paraId="25DEE074" w14:textId="77777777" w:rsidR="0087452A" w:rsidRPr="00CB2F23" w:rsidRDefault="0087452A" w:rsidP="00CA7FE7">
            <w:pPr>
              <w:pStyle w:val="CETBodytext"/>
            </w:pPr>
            <w:r w:rsidRPr="00E23B2E">
              <w:t>6</w:t>
            </w:r>
          </w:p>
        </w:tc>
        <w:tc>
          <w:tcPr>
            <w:tcW w:w="1489" w:type="dxa"/>
            <w:shd w:val="clear" w:color="auto" w:fill="FFFFFF"/>
            <w:vAlign w:val="bottom"/>
          </w:tcPr>
          <w:p w14:paraId="725588CC" w14:textId="77777777" w:rsidR="0087452A" w:rsidRPr="00E23B2E" w:rsidRDefault="0087452A" w:rsidP="00CA7FE7">
            <w:pPr>
              <w:pStyle w:val="CETBodytext"/>
            </w:pPr>
            <w:r w:rsidRPr="00CB2F23">
              <w:t>5.0</w:t>
            </w:r>
          </w:p>
        </w:tc>
        <w:tc>
          <w:tcPr>
            <w:tcW w:w="1489" w:type="dxa"/>
            <w:shd w:val="clear" w:color="auto" w:fill="FFFFFF"/>
            <w:vAlign w:val="bottom"/>
          </w:tcPr>
          <w:p w14:paraId="566DDEF6" w14:textId="77777777" w:rsidR="0087452A" w:rsidRPr="00E23B2E" w:rsidRDefault="0087452A" w:rsidP="00CA7FE7">
            <w:pPr>
              <w:pStyle w:val="CETBodytext"/>
            </w:pPr>
            <w:r w:rsidRPr="00CB2F23">
              <w:t>142</w:t>
            </w:r>
          </w:p>
        </w:tc>
      </w:tr>
      <w:tr w:rsidR="0087452A" w:rsidRPr="00B57B36" w14:paraId="5727293D" w14:textId="77777777" w:rsidTr="00CA7FE7">
        <w:tc>
          <w:tcPr>
            <w:tcW w:w="1748" w:type="dxa"/>
            <w:shd w:val="clear" w:color="auto" w:fill="FFFFFF"/>
          </w:tcPr>
          <w:p w14:paraId="7B462B97" w14:textId="77777777" w:rsidR="0087452A" w:rsidRPr="00CB2F23" w:rsidRDefault="0087452A" w:rsidP="00CA7FE7">
            <w:pPr>
              <w:pStyle w:val="CETBodytext"/>
            </w:pPr>
            <w:r w:rsidRPr="00E23B2E">
              <w:t>16</w:t>
            </w:r>
          </w:p>
        </w:tc>
        <w:tc>
          <w:tcPr>
            <w:tcW w:w="1748" w:type="dxa"/>
            <w:shd w:val="clear" w:color="auto" w:fill="FFFFFF"/>
          </w:tcPr>
          <w:p w14:paraId="4E034527" w14:textId="77777777" w:rsidR="0087452A" w:rsidRPr="00CB2F23" w:rsidRDefault="0087452A" w:rsidP="00CA7FE7">
            <w:pPr>
              <w:pStyle w:val="CETBodytext"/>
            </w:pPr>
            <w:r w:rsidRPr="00E23B2E">
              <w:t>220</w:t>
            </w:r>
          </w:p>
        </w:tc>
        <w:tc>
          <w:tcPr>
            <w:tcW w:w="1749" w:type="dxa"/>
            <w:shd w:val="clear" w:color="auto" w:fill="FFFFFF"/>
          </w:tcPr>
          <w:p w14:paraId="6E80C866" w14:textId="77777777" w:rsidR="0087452A" w:rsidRPr="00CB2F23" w:rsidRDefault="0087452A" w:rsidP="00CA7FE7">
            <w:pPr>
              <w:pStyle w:val="CETBodytext"/>
            </w:pPr>
            <w:r w:rsidRPr="00E23B2E">
              <w:t>6</w:t>
            </w:r>
          </w:p>
        </w:tc>
        <w:tc>
          <w:tcPr>
            <w:tcW w:w="1489" w:type="dxa"/>
            <w:shd w:val="clear" w:color="auto" w:fill="FFFFFF"/>
            <w:vAlign w:val="bottom"/>
          </w:tcPr>
          <w:p w14:paraId="5D94EC16" w14:textId="77777777" w:rsidR="0087452A" w:rsidRPr="00E23B2E" w:rsidRDefault="0087452A" w:rsidP="00CA7FE7">
            <w:pPr>
              <w:pStyle w:val="CETBodytext"/>
            </w:pPr>
            <w:r w:rsidRPr="00CB2F23">
              <w:t>8.2</w:t>
            </w:r>
          </w:p>
        </w:tc>
        <w:tc>
          <w:tcPr>
            <w:tcW w:w="1489" w:type="dxa"/>
            <w:shd w:val="clear" w:color="auto" w:fill="FFFFFF"/>
            <w:vAlign w:val="bottom"/>
          </w:tcPr>
          <w:p w14:paraId="3531EB93" w14:textId="77777777" w:rsidR="0087452A" w:rsidRPr="00E23B2E" w:rsidRDefault="0087452A" w:rsidP="00CA7FE7">
            <w:pPr>
              <w:pStyle w:val="CETBodytext"/>
            </w:pPr>
            <w:r w:rsidRPr="00CB2F23">
              <w:t>1388</w:t>
            </w:r>
          </w:p>
        </w:tc>
      </w:tr>
      <w:tr w:rsidR="0087452A" w:rsidRPr="00B57B36" w14:paraId="412E3EE2" w14:textId="77777777" w:rsidTr="00CA7FE7">
        <w:tc>
          <w:tcPr>
            <w:tcW w:w="1748" w:type="dxa"/>
            <w:shd w:val="clear" w:color="auto" w:fill="FFFFFF"/>
          </w:tcPr>
          <w:p w14:paraId="1465E3E7" w14:textId="77777777" w:rsidR="0087452A" w:rsidRPr="00CB2F23" w:rsidRDefault="0087452A" w:rsidP="00CA7FE7">
            <w:pPr>
              <w:pStyle w:val="CETBodytext"/>
            </w:pPr>
            <w:r w:rsidRPr="00E23B2E">
              <w:t>2</w:t>
            </w:r>
          </w:p>
        </w:tc>
        <w:tc>
          <w:tcPr>
            <w:tcW w:w="1748" w:type="dxa"/>
            <w:shd w:val="clear" w:color="auto" w:fill="FFFFFF"/>
          </w:tcPr>
          <w:p w14:paraId="23E4C71F" w14:textId="77777777" w:rsidR="0087452A" w:rsidRPr="00CB2F23" w:rsidRDefault="0087452A" w:rsidP="00CA7FE7">
            <w:pPr>
              <w:pStyle w:val="CETBodytext"/>
            </w:pPr>
            <w:r w:rsidRPr="00E23B2E">
              <w:t>140</w:t>
            </w:r>
          </w:p>
        </w:tc>
        <w:tc>
          <w:tcPr>
            <w:tcW w:w="1749" w:type="dxa"/>
            <w:shd w:val="clear" w:color="auto" w:fill="FFFFFF"/>
          </w:tcPr>
          <w:p w14:paraId="1AB7BE90" w14:textId="77777777" w:rsidR="0087452A" w:rsidRPr="00CB2F23" w:rsidRDefault="0087452A" w:rsidP="00CA7FE7">
            <w:pPr>
              <w:pStyle w:val="CETBodytext"/>
            </w:pPr>
            <w:r w:rsidRPr="00E23B2E">
              <w:t>2</w:t>
            </w:r>
          </w:p>
        </w:tc>
        <w:tc>
          <w:tcPr>
            <w:tcW w:w="1489" w:type="dxa"/>
            <w:shd w:val="clear" w:color="auto" w:fill="FFFFFF"/>
            <w:vAlign w:val="bottom"/>
          </w:tcPr>
          <w:p w14:paraId="16166D09" w14:textId="77777777" w:rsidR="0087452A" w:rsidRPr="00E23B2E" w:rsidRDefault="0087452A" w:rsidP="00CA7FE7">
            <w:pPr>
              <w:pStyle w:val="CETBodytext"/>
            </w:pPr>
            <w:r w:rsidRPr="00CB2F23">
              <w:t>8.1</w:t>
            </w:r>
          </w:p>
        </w:tc>
        <w:tc>
          <w:tcPr>
            <w:tcW w:w="1489" w:type="dxa"/>
            <w:shd w:val="clear" w:color="auto" w:fill="FFFFFF"/>
            <w:vAlign w:val="bottom"/>
          </w:tcPr>
          <w:p w14:paraId="7561BA1F" w14:textId="77777777" w:rsidR="0087452A" w:rsidRPr="00E23B2E" w:rsidRDefault="0087452A" w:rsidP="00CA7FE7">
            <w:pPr>
              <w:pStyle w:val="CETBodytext"/>
            </w:pPr>
            <w:r w:rsidRPr="00CB2F23">
              <w:t>807</w:t>
            </w:r>
          </w:p>
        </w:tc>
      </w:tr>
      <w:tr w:rsidR="0087452A" w:rsidRPr="00B57B36" w14:paraId="4286DC0C" w14:textId="77777777" w:rsidTr="00CA7FE7">
        <w:tc>
          <w:tcPr>
            <w:tcW w:w="1748" w:type="dxa"/>
            <w:shd w:val="clear" w:color="auto" w:fill="FFFFFF"/>
          </w:tcPr>
          <w:p w14:paraId="262F351A" w14:textId="77777777" w:rsidR="0087452A" w:rsidRPr="00CB2F23" w:rsidRDefault="0087452A" w:rsidP="00CA7FE7">
            <w:pPr>
              <w:pStyle w:val="CETBodytext"/>
            </w:pPr>
            <w:r w:rsidRPr="00E23B2E">
              <w:t>9</w:t>
            </w:r>
          </w:p>
        </w:tc>
        <w:tc>
          <w:tcPr>
            <w:tcW w:w="1748" w:type="dxa"/>
            <w:shd w:val="clear" w:color="auto" w:fill="FFFFFF"/>
          </w:tcPr>
          <w:p w14:paraId="7C14E77B" w14:textId="77777777" w:rsidR="0087452A" w:rsidRPr="00CB2F23" w:rsidRDefault="0087452A" w:rsidP="00CA7FE7">
            <w:pPr>
              <w:pStyle w:val="CETBodytext"/>
            </w:pPr>
            <w:r w:rsidRPr="00E23B2E">
              <w:t>60</w:t>
            </w:r>
          </w:p>
        </w:tc>
        <w:tc>
          <w:tcPr>
            <w:tcW w:w="1749" w:type="dxa"/>
            <w:shd w:val="clear" w:color="auto" w:fill="FFFFFF"/>
          </w:tcPr>
          <w:p w14:paraId="49014CFF" w14:textId="77777777" w:rsidR="0087452A" w:rsidRPr="00CB2F23" w:rsidRDefault="0087452A" w:rsidP="00CA7FE7">
            <w:pPr>
              <w:pStyle w:val="CETBodytext"/>
            </w:pPr>
            <w:r w:rsidRPr="00E23B2E">
              <w:t>2</w:t>
            </w:r>
          </w:p>
        </w:tc>
        <w:tc>
          <w:tcPr>
            <w:tcW w:w="1489" w:type="dxa"/>
            <w:shd w:val="clear" w:color="auto" w:fill="FFFFFF"/>
            <w:vAlign w:val="bottom"/>
          </w:tcPr>
          <w:p w14:paraId="51F3C174" w14:textId="77777777" w:rsidR="0087452A" w:rsidRPr="00E23B2E" w:rsidRDefault="0087452A" w:rsidP="00CA7FE7">
            <w:pPr>
              <w:pStyle w:val="CETBodytext"/>
            </w:pPr>
            <w:r w:rsidRPr="00CB2F23">
              <w:t>4.6</w:t>
            </w:r>
          </w:p>
        </w:tc>
        <w:tc>
          <w:tcPr>
            <w:tcW w:w="1489" w:type="dxa"/>
            <w:shd w:val="clear" w:color="auto" w:fill="FFFFFF"/>
            <w:vAlign w:val="bottom"/>
          </w:tcPr>
          <w:p w14:paraId="0F5171C9" w14:textId="77777777" w:rsidR="0087452A" w:rsidRPr="00E23B2E" w:rsidRDefault="0087452A" w:rsidP="00CA7FE7">
            <w:pPr>
              <w:pStyle w:val="CETBodytext"/>
            </w:pPr>
            <w:r w:rsidRPr="00CB2F23">
              <w:t>112</w:t>
            </w:r>
          </w:p>
        </w:tc>
      </w:tr>
      <w:tr w:rsidR="0087452A" w:rsidRPr="00B57B36" w14:paraId="73D6848A" w14:textId="77777777" w:rsidTr="00CA7FE7">
        <w:tc>
          <w:tcPr>
            <w:tcW w:w="1748" w:type="dxa"/>
            <w:shd w:val="clear" w:color="auto" w:fill="FFFFFF"/>
          </w:tcPr>
          <w:p w14:paraId="4AB4A2C2" w14:textId="77777777" w:rsidR="0087452A" w:rsidRPr="00CB2F23" w:rsidRDefault="0087452A" w:rsidP="00CA7FE7">
            <w:pPr>
              <w:pStyle w:val="CETBodytext"/>
            </w:pPr>
            <w:r w:rsidRPr="00E23B2E">
              <w:t>9</w:t>
            </w:r>
          </w:p>
        </w:tc>
        <w:tc>
          <w:tcPr>
            <w:tcW w:w="1748" w:type="dxa"/>
            <w:shd w:val="clear" w:color="auto" w:fill="FFFFFF"/>
          </w:tcPr>
          <w:p w14:paraId="0ED4C39F" w14:textId="77777777" w:rsidR="0087452A" w:rsidRPr="00CB2F23" w:rsidRDefault="0087452A" w:rsidP="00CA7FE7">
            <w:pPr>
              <w:pStyle w:val="CETBodytext"/>
            </w:pPr>
            <w:r w:rsidRPr="00E23B2E">
              <w:t>220</w:t>
            </w:r>
          </w:p>
        </w:tc>
        <w:tc>
          <w:tcPr>
            <w:tcW w:w="1749" w:type="dxa"/>
            <w:shd w:val="clear" w:color="auto" w:fill="FFFFFF"/>
          </w:tcPr>
          <w:p w14:paraId="136167C2" w14:textId="77777777" w:rsidR="0087452A" w:rsidRPr="00CB2F23" w:rsidRDefault="0087452A" w:rsidP="00CA7FE7">
            <w:pPr>
              <w:pStyle w:val="CETBodytext"/>
            </w:pPr>
            <w:r w:rsidRPr="00E23B2E">
              <w:t>2</w:t>
            </w:r>
          </w:p>
        </w:tc>
        <w:tc>
          <w:tcPr>
            <w:tcW w:w="1489" w:type="dxa"/>
            <w:shd w:val="clear" w:color="auto" w:fill="FFFFFF"/>
            <w:vAlign w:val="bottom"/>
          </w:tcPr>
          <w:p w14:paraId="1AD62B69" w14:textId="77777777" w:rsidR="0087452A" w:rsidRPr="00E23B2E" w:rsidRDefault="0087452A" w:rsidP="00CA7FE7">
            <w:pPr>
              <w:pStyle w:val="CETBodytext"/>
            </w:pPr>
            <w:r w:rsidRPr="00CB2F23">
              <w:t>8.1</w:t>
            </w:r>
          </w:p>
        </w:tc>
        <w:tc>
          <w:tcPr>
            <w:tcW w:w="1489" w:type="dxa"/>
            <w:shd w:val="clear" w:color="auto" w:fill="FFFFFF"/>
            <w:vAlign w:val="bottom"/>
          </w:tcPr>
          <w:p w14:paraId="254C1BE2" w14:textId="77777777" w:rsidR="0087452A" w:rsidRPr="00E23B2E" w:rsidRDefault="0087452A" w:rsidP="00CA7FE7">
            <w:pPr>
              <w:pStyle w:val="CETBodytext"/>
            </w:pPr>
            <w:r w:rsidRPr="00CB2F23">
              <w:t>1149</w:t>
            </w:r>
          </w:p>
        </w:tc>
      </w:tr>
      <w:tr w:rsidR="0087452A" w:rsidRPr="00B57B36" w14:paraId="0E0700D7" w14:textId="77777777" w:rsidTr="00CA7FE7">
        <w:tc>
          <w:tcPr>
            <w:tcW w:w="1748" w:type="dxa"/>
            <w:shd w:val="clear" w:color="auto" w:fill="FFFFFF"/>
          </w:tcPr>
          <w:p w14:paraId="07A7A15D" w14:textId="77777777" w:rsidR="0087452A" w:rsidRPr="00E23B2E" w:rsidRDefault="0087452A" w:rsidP="00CA7FE7">
            <w:pPr>
              <w:pStyle w:val="CETBodytext"/>
            </w:pPr>
            <w:r w:rsidRPr="00E23B2E">
              <w:t>16</w:t>
            </w:r>
          </w:p>
        </w:tc>
        <w:tc>
          <w:tcPr>
            <w:tcW w:w="1748" w:type="dxa"/>
            <w:shd w:val="clear" w:color="auto" w:fill="FFFFFF"/>
          </w:tcPr>
          <w:p w14:paraId="44E63098" w14:textId="77777777" w:rsidR="0087452A" w:rsidRPr="00E23B2E" w:rsidRDefault="0087452A" w:rsidP="00CA7FE7">
            <w:pPr>
              <w:pStyle w:val="CETBodytext"/>
            </w:pPr>
            <w:r w:rsidRPr="00E23B2E">
              <w:t>140</w:t>
            </w:r>
          </w:p>
        </w:tc>
        <w:tc>
          <w:tcPr>
            <w:tcW w:w="1749" w:type="dxa"/>
            <w:shd w:val="clear" w:color="auto" w:fill="FFFFFF"/>
          </w:tcPr>
          <w:p w14:paraId="4DE31FD1" w14:textId="77777777" w:rsidR="0087452A" w:rsidRPr="00E23B2E" w:rsidRDefault="0087452A" w:rsidP="00CA7FE7">
            <w:pPr>
              <w:pStyle w:val="CETBodytext"/>
            </w:pPr>
            <w:r w:rsidRPr="00E23B2E">
              <w:t>2</w:t>
            </w:r>
          </w:p>
        </w:tc>
        <w:tc>
          <w:tcPr>
            <w:tcW w:w="1489" w:type="dxa"/>
            <w:shd w:val="clear" w:color="auto" w:fill="FFFFFF"/>
            <w:vAlign w:val="bottom"/>
          </w:tcPr>
          <w:p w14:paraId="1D4884A5" w14:textId="77777777" w:rsidR="0087452A" w:rsidRPr="00E23B2E" w:rsidRDefault="0087452A" w:rsidP="00CA7FE7">
            <w:pPr>
              <w:pStyle w:val="CETBodytext"/>
            </w:pPr>
            <w:r w:rsidRPr="00CB2F23">
              <w:t>7.9</w:t>
            </w:r>
          </w:p>
        </w:tc>
        <w:tc>
          <w:tcPr>
            <w:tcW w:w="1489" w:type="dxa"/>
            <w:shd w:val="clear" w:color="auto" w:fill="FFFFFF"/>
            <w:vAlign w:val="bottom"/>
          </w:tcPr>
          <w:p w14:paraId="0215811E" w14:textId="77777777" w:rsidR="0087452A" w:rsidRPr="00E23B2E" w:rsidRDefault="0087452A" w:rsidP="00CA7FE7">
            <w:pPr>
              <w:pStyle w:val="CETBodytext"/>
            </w:pPr>
            <w:r w:rsidRPr="00CB2F23">
              <w:t>1062</w:t>
            </w:r>
          </w:p>
        </w:tc>
      </w:tr>
      <w:tr w:rsidR="0087452A" w:rsidRPr="00B57B36" w14:paraId="710A30EF" w14:textId="77777777" w:rsidTr="00CA7FE7">
        <w:tc>
          <w:tcPr>
            <w:tcW w:w="1748" w:type="dxa"/>
            <w:shd w:val="clear" w:color="auto" w:fill="FFFFFF"/>
          </w:tcPr>
          <w:p w14:paraId="3DB800A4" w14:textId="77777777" w:rsidR="0087452A" w:rsidRPr="00CB2F23" w:rsidRDefault="0087452A" w:rsidP="00CA7FE7">
            <w:pPr>
              <w:pStyle w:val="CETBodytext"/>
            </w:pPr>
            <w:r w:rsidRPr="00E23B2E">
              <w:t>2</w:t>
            </w:r>
          </w:p>
        </w:tc>
        <w:tc>
          <w:tcPr>
            <w:tcW w:w="1748" w:type="dxa"/>
            <w:shd w:val="clear" w:color="auto" w:fill="FFFFFF"/>
          </w:tcPr>
          <w:p w14:paraId="56FD5776" w14:textId="77777777" w:rsidR="0087452A" w:rsidRPr="00CB2F23" w:rsidRDefault="0087452A" w:rsidP="00CA7FE7">
            <w:pPr>
              <w:pStyle w:val="CETBodytext"/>
            </w:pPr>
            <w:r w:rsidRPr="00E23B2E">
              <w:t>140</w:t>
            </w:r>
          </w:p>
        </w:tc>
        <w:tc>
          <w:tcPr>
            <w:tcW w:w="1749" w:type="dxa"/>
            <w:shd w:val="clear" w:color="auto" w:fill="FFFFFF"/>
          </w:tcPr>
          <w:p w14:paraId="5011396F" w14:textId="77777777" w:rsidR="0087452A" w:rsidRPr="00CB2F23" w:rsidRDefault="0087452A" w:rsidP="00CA7FE7">
            <w:pPr>
              <w:pStyle w:val="CETBodytext"/>
            </w:pPr>
            <w:r w:rsidRPr="00E23B2E">
              <w:t>10</w:t>
            </w:r>
          </w:p>
        </w:tc>
        <w:tc>
          <w:tcPr>
            <w:tcW w:w="1489" w:type="dxa"/>
            <w:shd w:val="clear" w:color="auto" w:fill="FFFFFF"/>
            <w:vAlign w:val="bottom"/>
          </w:tcPr>
          <w:p w14:paraId="3FD542EC" w14:textId="77777777" w:rsidR="0087452A" w:rsidRPr="00E23B2E" w:rsidRDefault="0087452A" w:rsidP="00CA7FE7">
            <w:pPr>
              <w:pStyle w:val="CETBodytext"/>
            </w:pPr>
            <w:r w:rsidRPr="00CB2F23">
              <w:t>8.3</w:t>
            </w:r>
          </w:p>
        </w:tc>
        <w:tc>
          <w:tcPr>
            <w:tcW w:w="1489" w:type="dxa"/>
            <w:shd w:val="clear" w:color="auto" w:fill="FFFFFF"/>
            <w:vAlign w:val="bottom"/>
          </w:tcPr>
          <w:p w14:paraId="73752B47" w14:textId="77777777" w:rsidR="0087452A" w:rsidRPr="00E23B2E" w:rsidRDefault="0087452A" w:rsidP="00CA7FE7">
            <w:pPr>
              <w:pStyle w:val="CETBodytext"/>
            </w:pPr>
            <w:r w:rsidRPr="00CB2F23">
              <w:t>946</w:t>
            </w:r>
          </w:p>
        </w:tc>
      </w:tr>
      <w:tr w:rsidR="0087452A" w:rsidRPr="00B57B36" w14:paraId="36D5B54C" w14:textId="77777777" w:rsidTr="00CA7FE7">
        <w:tc>
          <w:tcPr>
            <w:tcW w:w="1748" w:type="dxa"/>
            <w:shd w:val="clear" w:color="auto" w:fill="FFFFFF"/>
            <w:vAlign w:val="bottom"/>
          </w:tcPr>
          <w:p w14:paraId="2F04417A" w14:textId="77777777" w:rsidR="0087452A" w:rsidRPr="00E23B2E" w:rsidRDefault="0087452A" w:rsidP="00CA7FE7">
            <w:pPr>
              <w:pStyle w:val="CETBodytext"/>
            </w:pPr>
            <w:r w:rsidRPr="00CB2F23">
              <w:t>9</w:t>
            </w:r>
          </w:p>
        </w:tc>
        <w:tc>
          <w:tcPr>
            <w:tcW w:w="1748" w:type="dxa"/>
            <w:shd w:val="clear" w:color="auto" w:fill="FFFFFF"/>
            <w:vAlign w:val="bottom"/>
          </w:tcPr>
          <w:p w14:paraId="5150BA83" w14:textId="77777777" w:rsidR="0087452A" w:rsidRPr="00E23B2E" w:rsidRDefault="0087452A" w:rsidP="00CA7FE7">
            <w:pPr>
              <w:pStyle w:val="CETBodytext"/>
            </w:pPr>
            <w:r w:rsidRPr="00CB2F23">
              <w:t>60</w:t>
            </w:r>
          </w:p>
        </w:tc>
        <w:tc>
          <w:tcPr>
            <w:tcW w:w="1749" w:type="dxa"/>
            <w:shd w:val="clear" w:color="auto" w:fill="FFFFFF"/>
            <w:vAlign w:val="bottom"/>
          </w:tcPr>
          <w:p w14:paraId="21102196" w14:textId="77777777" w:rsidR="0087452A" w:rsidRPr="00E23B2E" w:rsidRDefault="0087452A" w:rsidP="00CA7FE7">
            <w:pPr>
              <w:pStyle w:val="CETBodytext"/>
            </w:pPr>
            <w:r w:rsidRPr="00CB2F23">
              <w:t>10</w:t>
            </w:r>
          </w:p>
        </w:tc>
        <w:tc>
          <w:tcPr>
            <w:tcW w:w="1489" w:type="dxa"/>
            <w:shd w:val="clear" w:color="auto" w:fill="FFFFFF"/>
            <w:vAlign w:val="bottom"/>
          </w:tcPr>
          <w:p w14:paraId="02E543D9" w14:textId="77777777" w:rsidR="0087452A" w:rsidRPr="00CB2F23" w:rsidRDefault="0087452A" w:rsidP="00CA7FE7">
            <w:pPr>
              <w:pStyle w:val="CETBodytext"/>
            </w:pPr>
            <w:r w:rsidRPr="00CB2F23">
              <w:t>5.2</w:t>
            </w:r>
          </w:p>
        </w:tc>
        <w:tc>
          <w:tcPr>
            <w:tcW w:w="1489" w:type="dxa"/>
            <w:shd w:val="clear" w:color="auto" w:fill="FFFFFF"/>
            <w:vAlign w:val="bottom"/>
          </w:tcPr>
          <w:p w14:paraId="306892D5" w14:textId="77777777" w:rsidR="0087452A" w:rsidRPr="00CB2F23" w:rsidRDefault="0087452A" w:rsidP="00CA7FE7">
            <w:pPr>
              <w:pStyle w:val="CETBodytext"/>
            </w:pPr>
            <w:r w:rsidRPr="00CB2F23">
              <w:t>276</w:t>
            </w:r>
          </w:p>
        </w:tc>
      </w:tr>
      <w:tr w:rsidR="0087452A" w:rsidRPr="00B57B36" w14:paraId="7FC04B8C" w14:textId="77777777" w:rsidTr="00CA7FE7">
        <w:tc>
          <w:tcPr>
            <w:tcW w:w="1748" w:type="dxa"/>
            <w:shd w:val="clear" w:color="auto" w:fill="FFFFFF"/>
            <w:vAlign w:val="bottom"/>
          </w:tcPr>
          <w:p w14:paraId="3F98ECC4" w14:textId="77777777" w:rsidR="0087452A" w:rsidRPr="00CB2F23" w:rsidRDefault="0087452A" w:rsidP="00CA7FE7">
            <w:pPr>
              <w:pStyle w:val="CETBodytext"/>
            </w:pPr>
            <w:r w:rsidRPr="00CB2F23">
              <w:t>9</w:t>
            </w:r>
          </w:p>
        </w:tc>
        <w:tc>
          <w:tcPr>
            <w:tcW w:w="1748" w:type="dxa"/>
            <w:shd w:val="clear" w:color="auto" w:fill="FFFFFF"/>
            <w:vAlign w:val="bottom"/>
          </w:tcPr>
          <w:p w14:paraId="68BFF1F8" w14:textId="77777777" w:rsidR="0087452A" w:rsidRPr="00CB2F23" w:rsidRDefault="0087452A" w:rsidP="00CA7FE7">
            <w:pPr>
              <w:pStyle w:val="CETBodytext"/>
            </w:pPr>
            <w:r w:rsidRPr="00CB2F23">
              <w:t>220</w:t>
            </w:r>
          </w:p>
        </w:tc>
        <w:tc>
          <w:tcPr>
            <w:tcW w:w="1749" w:type="dxa"/>
            <w:shd w:val="clear" w:color="auto" w:fill="FFFFFF"/>
            <w:vAlign w:val="bottom"/>
          </w:tcPr>
          <w:p w14:paraId="26B29DF9" w14:textId="77777777" w:rsidR="0087452A" w:rsidRPr="00CB2F23" w:rsidRDefault="0087452A" w:rsidP="00CA7FE7">
            <w:pPr>
              <w:pStyle w:val="CETBodytext"/>
            </w:pPr>
            <w:r w:rsidRPr="00CB2F23">
              <w:t>10</w:t>
            </w:r>
          </w:p>
        </w:tc>
        <w:tc>
          <w:tcPr>
            <w:tcW w:w="1489" w:type="dxa"/>
            <w:shd w:val="clear" w:color="auto" w:fill="FFFFFF"/>
            <w:vAlign w:val="bottom"/>
          </w:tcPr>
          <w:p w14:paraId="2D631BFF" w14:textId="77777777" w:rsidR="0087452A" w:rsidRPr="00CB2F23" w:rsidRDefault="0087452A" w:rsidP="00CA7FE7">
            <w:pPr>
              <w:pStyle w:val="CETBodytext"/>
            </w:pPr>
            <w:r w:rsidRPr="00CB2F23">
              <w:t>8.3</w:t>
            </w:r>
          </w:p>
        </w:tc>
        <w:tc>
          <w:tcPr>
            <w:tcW w:w="1489" w:type="dxa"/>
            <w:shd w:val="clear" w:color="auto" w:fill="FFFFFF"/>
            <w:vAlign w:val="bottom"/>
          </w:tcPr>
          <w:p w14:paraId="4E35C480" w14:textId="77777777" w:rsidR="0087452A" w:rsidRPr="00CB2F23" w:rsidRDefault="0087452A" w:rsidP="00CA7FE7">
            <w:pPr>
              <w:pStyle w:val="CETBodytext"/>
            </w:pPr>
            <w:r w:rsidRPr="00CB2F23">
              <w:t>1111</w:t>
            </w:r>
          </w:p>
        </w:tc>
      </w:tr>
      <w:tr w:rsidR="0087452A" w:rsidRPr="00B57B36" w14:paraId="23EAB357" w14:textId="77777777" w:rsidTr="00CA7FE7">
        <w:tc>
          <w:tcPr>
            <w:tcW w:w="1748" w:type="dxa"/>
            <w:shd w:val="clear" w:color="auto" w:fill="FFFFFF"/>
          </w:tcPr>
          <w:p w14:paraId="0F1F2D07" w14:textId="77777777" w:rsidR="0087452A" w:rsidRPr="00CB2F23" w:rsidRDefault="0087452A" w:rsidP="00CA7FE7">
            <w:pPr>
              <w:pStyle w:val="CETBodytext"/>
            </w:pPr>
            <w:r w:rsidRPr="00E23B2E">
              <w:t>16</w:t>
            </w:r>
          </w:p>
        </w:tc>
        <w:tc>
          <w:tcPr>
            <w:tcW w:w="1748" w:type="dxa"/>
            <w:shd w:val="clear" w:color="auto" w:fill="FFFFFF"/>
          </w:tcPr>
          <w:p w14:paraId="3A0F2010" w14:textId="77777777" w:rsidR="0087452A" w:rsidRPr="00CB2F23" w:rsidRDefault="0087452A" w:rsidP="00CA7FE7">
            <w:pPr>
              <w:pStyle w:val="CETBodytext"/>
            </w:pPr>
            <w:r w:rsidRPr="00E23B2E">
              <w:t>140</w:t>
            </w:r>
          </w:p>
        </w:tc>
        <w:tc>
          <w:tcPr>
            <w:tcW w:w="1749" w:type="dxa"/>
            <w:shd w:val="clear" w:color="auto" w:fill="FFFFFF"/>
          </w:tcPr>
          <w:p w14:paraId="714DDA54" w14:textId="77777777" w:rsidR="0087452A" w:rsidRPr="00CB2F23" w:rsidRDefault="0087452A" w:rsidP="00CA7FE7">
            <w:pPr>
              <w:pStyle w:val="CETBodytext"/>
            </w:pPr>
            <w:r w:rsidRPr="00E23B2E">
              <w:t>10</w:t>
            </w:r>
          </w:p>
        </w:tc>
        <w:tc>
          <w:tcPr>
            <w:tcW w:w="1489" w:type="dxa"/>
            <w:shd w:val="clear" w:color="auto" w:fill="FFFFFF"/>
            <w:vAlign w:val="bottom"/>
          </w:tcPr>
          <w:p w14:paraId="52BDC485" w14:textId="77777777" w:rsidR="0087452A" w:rsidRPr="00E23B2E" w:rsidRDefault="0087452A" w:rsidP="00CA7FE7">
            <w:pPr>
              <w:pStyle w:val="CETBodytext"/>
            </w:pPr>
            <w:r w:rsidRPr="00CB2F23">
              <w:t>8.2</w:t>
            </w:r>
          </w:p>
        </w:tc>
        <w:tc>
          <w:tcPr>
            <w:tcW w:w="1489" w:type="dxa"/>
            <w:shd w:val="clear" w:color="auto" w:fill="FFFFFF"/>
            <w:vAlign w:val="bottom"/>
          </w:tcPr>
          <w:p w14:paraId="552913D5" w14:textId="77777777" w:rsidR="0087452A" w:rsidRPr="00E23B2E" w:rsidRDefault="0087452A" w:rsidP="00CA7FE7">
            <w:pPr>
              <w:pStyle w:val="CETBodytext"/>
            </w:pPr>
            <w:r w:rsidRPr="00CB2F23">
              <w:t>1066</w:t>
            </w:r>
          </w:p>
        </w:tc>
      </w:tr>
    </w:tbl>
    <w:p w14:paraId="7DEEC5BA" w14:textId="77777777" w:rsidR="0087452A" w:rsidRDefault="0087452A" w:rsidP="0087452A">
      <w:pPr>
        <w:pStyle w:val="CETBodytext"/>
        <w:rPr>
          <w:lang w:val="en-GB"/>
        </w:rPr>
      </w:pPr>
    </w:p>
    <w:p w14:paraId="6AF391FA" w14:textId="697A42B7" w:rsidR="00F16E05" w:rsidRDefault="00486519" w:rsidP="003A53C5">
      <w:pPr>
        <w:pStyle w:val="CETBodytext"/>
        <w:rPr>
          <w:lang w:val="en-GB"/>
        </w:rPr>
      </w:pPr>
      <w:r>
        <w:rPr>
          <w:lang w:val="en-GB"/>
        </w:rPr>
        <w:t xml:space="preserve">Figure </w:t>
      </w:r>
      <w:r w:rsidR="00FF3E2D">
        <w:rPr>
          <w:lang w:val="en-GB"/>
        </w:rPr>
        <w:t>1 shows</w:t>
      </w:r>
      <w:r w:rsidR="00FF3E2D" w:rsidRPr="000625CD">
        <w:rPr>
          <w:lang w:val="en-GB"/>
        </w:rPr>
        <w:t xml:space="preserve"> </w:t>
      </w:r>
      <w:r w:rsidR="000625CD">
        <w:rPr>
          <w:lang w:val="en-GB"/>
        </w:rPr>
        <w:t>graphical representation of the</w:t>
      </w:r>
      <w:r w:rsidR="00FF3E2D" w:rsidRPr="000625CD">
        <w:rPr>
          <w:lang w:val="en-GB"/>
        </w:rPr>
        <w:t xml:space="preserve"> </w:t>
      </w:r>
      <w:r w:rsidR="000625CD">
        <w:rPr>
          <w:lang w:val="en-GB"/>
        </w:rPr>
        <w:t xml:space="preserve">model obtained from the DOE: the normalized coordinate </w:t>
      </w:r>
      <w:r w:rsidR="007B3A33">
        <w:rPr>
          <w:lang w:val="en-GB"/>
        </w:rPr>
        <w:t>a</w:t>
      </w:r>
      <w:r w:rsidR="007B3A33" w:rsidRPr="007B3A33">
        <w:rPr>
          <w:vertAlign w:val="subscript"/>
          <w:lang w:val="en-GB"/>
        </w:rPr>
        <w:t xml:space="preserve">i </w:t>
      </w:r>
      <w:r w:rsidR="007B3A33">
        <w:rPr>
          <w:lang w:val="en-GB"/>
        </w:rPr>
        <w:t>of the actual parameter A</w:t>
      </w:r>
      <w:r w:rsidR="007B3A33" w:rsidRPr="007B3A33">
        <w:rPr>
          <w:vertAlign w:val="subscript"/>
          <w:lang w:val="en-GB"/>
        </w:rPr>
        <w:t>i</w:t>
      </w:r>
      <w:r w:rsidR="007B3A33">
        <w:rPr>
          <w:lang w:val="en-GB"/>
        </w:rPr>
        <w:t xml:space="preserve"> is obtained as follows: </w:t>
      </w:r>
    </w:p>
    <w:tbl>
      <w:tblPr>
        <w:tblW w:w="5000" w:type="pct"/>
        <w:tblLook w:val="04A0" w:firstRow="1" w:lastRow="0" w:firstColumn="1" w:lastColumn="0" w:noHBand="0" w:noVBand="1"/>
      </w:tblPr>
      <w:tblGrid>
        <w:gridCol w:w="7983"/>
        <w:gridCol w:w="804"/>
      </w:tblGrid>
      <w:tr w:rsidR="00F16E05" w:rsidRPr="00B57B36" w14:paraId="655AA229" w14:textId="77777777" w:rsidTr="00C50A1D">
        <w:tc>
          <w:tcPr>
            <w:tcW w:w="8188" w:type="dxa"/>
            <w:vAlign w:val="center"/>
          </w:tcPr>
          <w:p w14:paraId="50CBF29B" w14:textId="616136A5" w:rsidR="00F16E05" w:rsidRPr="00F16E05" w:rsidRDefault="00000000" w:rsidP="00C50A1D">
            <w:pPr>
              <w:pStyle w:val="CETEquation"/>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e>
                    </m:acc>
                  </m:num>
                  <m:den>
                    <m:sSub>
                      <m:sSubPr>
                        <m:ctrlPr>
                          <w:rPr>
                            <w:rFonts w:ascii="Cambria Math" w:hAnsi="Cambria Math"/>
                            <w:i/>
                          </w:rPr>
                        </m:ctrlPr>
                      </m:sSubPr>
                      <m:e>
                        <m:r>
                          <w:rPr>
                            <w:rFonts w:ascii="Cambria Math" w:hAnsi="Cambria Math"/>
                          </w:rPr>
                          <m:t>A</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min</m:t>
                        </m:r>
                      </m:sub>
                    </m:sSub>
                  </m:den>
                </m:f>
              </m:oMath>
            </m:oMathPara>
          </w:p>
        </w:tc>
        <w:tc>
          <w:tcPr>
            <w:tcW w:w="815" w:type="dxa"/>
            <w:vAlign w:val="center"/>
          </w:tcPr>
          <w:p w14:paraId="3B2714ED" w14:textId="77777777" w:rsidR="00F16E05" w:rsidRPr="00B57B36" w:rsidRDefault="00F16E05" w:rsidP="00C50A1D">
            <w:pPr>
              <w:pStyle w:val="CETEquation"/>
              <w:jc w:val="right"/>
            </w:pPr>
            <w:r w:rsidRPr="00B57B36">
              <w:t>(1)</w:t>
            </w:r>
          </w:p>
        </w:tc>
      </w:tr>
    </w:tbl>
    <w:p w14:paraId="1FC6546D" w14:textId="4A208BF0" w:rsidR="00FF3E2D" w:rsidRPr="003A53C5" w:rsidRDefault="007B3A33" w:rsidP="003A53C5">
      <w:pPr>
        <w:pStyle w:val="CETBodytext"/>
        <w:rPr>
          <w:lang w:val="en-GB"/>
        </w:rPr>
      </w:pPr>
      <w:r>
        <w:rPr>
          <w:lang w:val="en-GB"/>
        </w:rPr>
        <w:t xml:space="preserve">where </w:t>
      </w:r>
      <m:oMath>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i</m:t>
                </m:r>
              </m:sub>
            </m:sSub>
          </m:e>
        </m:acc>
      </m:oMath>
      <w:r>
        <w:rPr>
          <w:lang w:val="en-GB"/>
        </w:rPr>
        <w:t xml:space="preserve"> is the average value (e.g. 5 kJ </w:t>
      </w:r>
      <w:r w:rsidR="00F16E05">
        <w:rPr>
          <w:lang w:val="en-GB"/>
        </w:rPr>
        <w:t>equate</w:t>
      </w:r>
      <w:r>
        <w:rPr>
          <w:lang w:val="en-GB"/>
        </w:rPr>
        <w:t xml:space="preserve">s to </w:t>
      </w:r>
      <w:r w:rsidR="000F0917">
        <w:rPr>
          <w:lang w:val="en-GB"/>
        </w:rPr>
        <w:t xml:space="preserve">a normalized charge of </w:t>
      </w:r>
      <w:r>
        <w:rPr>
          <w:lang w:val="en-GB"/>
        </w:rPr>
        <w:t xml:space="preserve">-0.25). </w:t>
      </w:r>
      <w:r w:rsidR="000F0917">
        <w:rPr>
          <w:lang w:val="en-GB"/>
        </w:rPr>
        <w:t xml:space="preserve">The black and red lines were arbitrarily set at 7 and 8 bar for </w:t>
      </w:r>
      <w:proofErr w:type="spellStart"/>
      <w:r w:rsidR="000F0917">
        <w:rPr>
          <w:lang w:val="en-GB"/>
        </w:rPr>
        <w:t>P</w:t>
      </w:r>
      <w:r w:rsidR="000F0917" w:rsidRPr="000F0917">
        <w:rPr>
          <w:vertAlign w:val="subscript"/>
          <w:lang w:val="en-GB"/>
        </w:rPr>
        <w:t>ex</w:t>
      </w:r>
      <w:proofErr w:type="spellEnd"/>
      <w:r w:rsidR="000F0917">
        <w:rPr>
          <w:lang w:val="en-GB"/>
        </w:rPr>
        <w:t xml:space="preserve">, and </w:t>
      </w:r>
      <w:r w:rsidR="00DA6479">
        <w:rPr>
          <w:lang w:val="en-GB"/>
        </w:rPr>
        <w:t>the limits between St1/St2 and St2/St3</w:t>
      </w:r>
      <w:r w:rsidR="000F0917">
        <w:rPr>
          <w:lang w:val="en-GB"/>
        </w:rPr>
        <w:t xml:space="preserve"> </w:t>
      </w:r>
      <w:r w:rsidR="00F16E05">
        <w:rPr>
          <w:lang w:val="en-GB"/>
        </w:rPr>
        <w:t xml:space="preserve">classes </w:t>
      </w:r>
      <w:r w:rsidR="000F0917">
        <w:rPr>
          <w:lang w:val="en-GB"/>
        </w:rPr>
        <w:t xml:space="preserve">for </w:t>
      </w:r>
      <w:proofErr w:type="spellStart"/>
      <w:r w:rsidR="000F0917">
        <w:rPr>
          <w:lang w:val="en-GB"/>
        </w:rPr>
        <w:t>dP</w:t>
      </w:r>
      <w:proofErr w:type="spellEnd"/>
      <w:r w:rsidR="000F0917">
        <w:rPr>
          <w:lang w:val="en-GB"/>
        </w:rPr>
        <w:t>/</w:t>
      </w:r>
      <w:proofErr w:type="spellStart"/>
      <w:r w:rsidR="000F0917">
        <w:rPr>
          <w:lang w:val="en-GB"/>
        </w:rPr>
        <w:t>dt</w:t>
      </w:r>
      <w:r w:rsidR="000F0917" w:rsidRPr="000F0917">
        <w:rPr>
          <w:vertAlign w:val="subscript"/>
          <w:lang w:val="en-GB"/>
        </w:rPr>
        <w:t>ex</w:t>
      </w:r>
      <w:proofErr w:type="spellEnd"/>
      <w:r w:rsidR="000F0917">
        <w:rPr>
          <w:lang w:val="en-GB"/>
        </w:rPr>
        <w:t xml:space="preserve">, respectively. </w:t>
      </w:r>
    </w:p>
    <w:p w14:paraId="286A47B3" w14:textId="31E64E07" w:rsidR="001F0A19" w:rsidRPr="00B57B36" w:rsidRDefault="001F268D" w:rsidP="00FF3E2D">
      <w:pPr>
        <w:pStyle w:val="CETCaption"/>
      </w:pPr>
      <w:r>
        <w:rPr>
          <w:noProof/>
        </w:rPr>
        <w:drawing>
          <wp:inline distT="0" distB="0" distL="0" distR="0" wp14:anchorId="6B4C2F31" wp14:editId="74C0ECBF">
            <wp:extent cx="5614945" cy="3564924"/>
            <wp:effectExtent l="0" t="0" r="0" b="3810"/>
            <wp:docPr id="77427945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79450" name="Image 774279450"/>
                    <pic:cNvPicPr/>
                  </pic:nvPicPr>
                  <pic:blipFill rotWithShape="1">
                    <a:blip r:embed="rId10"/>
                    <a:srcRect l="9302" t="5432" r="8192" b="5965"/>
                    <a:stretch>
                      <a:fillRect/>
                    </a:stretch>
                  </pic:blipFill>
                  <pic:spPr bwMode="auto">
                    <a:xfrm>
                      <a:off x="0" y="0"/>
                      <a:ext cx="5650950" cy="3587783"/>
                    </a:xfrm>
                    <a:prstGeom prst="rect">
                      <a:avLst/>
                    </a:prstGeom>
                    <a:ln>
                      <a:noFill/>
                    </a:ln>
                    <a:extLst>
                      <a:ext uri="{53640926-AAD7-44D8-BBD7-CCE9431645EC}">
                        <a14:shadowObscured xmlns:a14="http://schemas.microsoft.com/office/drawing/2010/main"/>
                      </a:ext>
                    </a:extLst>
                  </pic:spPr>
                </pic:pic>
              </a:graphicData>
            </a:graphic>
          </wp:inline>
        </w:drawing>
      </w:r>
    </w:p>
    <w:p w14:paraId="13E2819A" w14:textId="337EBB24" w:rsidR="0087452A" w:rsidRDefault="00FF3E2D" w:rsidP="00FF3E2D">
      <w:pPr>
        <w:pStyle w:val="CETCaption"/>
      </w:pPr>
      <w:r w:rsidRPr="009463BA">
        <w:rPr>
          <w:rStyle w:val="CETCaptionCarattere"/>
          <w:i/>
        </w:rPr>
        <w:t xml:space="preserve">Figure 1: </w:t>
      </w:r>
      <w:r w:rsidR="000F0917" w:rsidRPr="009463BA">
        <w:rPr>
          <w:rStyle w:val="CETCaptionCarattere"/>
          <w:i/>
        </w:rPr>
        <w:t>Graphs of the m</w:t>
      </w:r>
      <w:r w:rsidRPr="009463BA">
        <w:rPr>
          <w:rStyle w:val="CETCaptionCarattere"/>
          <w:i/>
        </w:rPr>
        <w:t>ode</w:t>
      </w:r>
      <w:r w:rsidR="000F0917" w:rsidRPr="009463BA">
        <w:rPr>
          <w:rStyle w:val="CETCaptionCarattere"/>
          <w:i/>
        </w:rPr>
        <w:t xml:space="preserve">l obtained from the DOE for ethanol/magnesium stearate admixtures: </w:t>
      </w:r>
      <w:r w:rsidR="009463BA" w:rsidRPr="009463BA">
        <w:rPr>
          <w:rStyle w:val="CETCaptionCarattere"/>
          <w:i/>
        </w:rPr>
        <w:t xml:space="preserve">a) &amp; b) </w:t>
      </w:r>
      <w:proofErr w:type="spellStart"/>
      <w:r w:rsidR="000F0917" w:rsidRPr="009463BA">
        <w:rPr>
          <w:rStyle w:val="CETCaptionCarattere"/>
          <w:i/>
        </w:rPr>
        <w:t>P</w:t>
      </w:r>
      <w:r w:rsidR="000F0917" w:rsidRPr="009463BA">
        <w:rPr>
          <w:rStyle w:val="CETCaptionCarattere"/>
          <w:i/>
          <w:vertAlign w:val="subscript"/>
        </w:rPr>
        <w:t>ex</w:t>
      </w:r>
      <w:proofErr w:type="spellEnd"/>
      <w:r w:rsidR="000F0917" w:rsidRPr="009463BA">
        <w:rPr>
          <w:rStyle w:val="CETCaptionCarattere"/>
          <w:i/>
        </w:rPr>
        <w:t xml:space="preserve"> and </w:t>
      </w:r>
      <w:proofErr w:type="spellStart"/>
      <w:r w:rsidR="000F0917" w:rsidRPr="009463BA">
        <w:rPr>
          <w:rStyle w:val="CETCaptionCarattere"/>
          <w:i/>
        </w:rPr>
        <w:t>dP</w:t>
      </w:r>
      <w:proofErr w:type="spellEnd"/>
      <w:r w:rsidR="000F0917" w:rsidRPr="009463BA">
        <w:rPr>
          <w:rStyle w:val="CETCaptionCarattere"/>
          <w:i/>
        </w:rPr>
        <w:t>/</w:t>
      </w:r>
      <w:proofErr w:type="spellStart"/>
      <w:r w:rsidR="000F0917" w:rsidRPr="009463BA">
        <w:rPr>
          <w:rStyle w:val="CETCaptionCarattere"/>
          <w:i/>
        </w:rPr>
        <w:t>dt</w:t>
      </w:r>
      <w:r w:rsidR="000F0917" w:rsidRPr="009463BA">
        <w:rPr>
          <w:rStyle w:val="CETCaptionCarattere"/>
          <w:i/>
          <w:vertAlign w:val="subscript"/>
        </w:rPr>
        <w:t>ex</w:t>
      </w:r>
      <w:proofErr w:type="spellEnd"/>
      <w:r w:rsidR="000F0917" w:rsidRPr="009463BA">
        <w:rPr>
          <w:rStyle w:val="CETCaptionCarattere"/>
          <w:i/>
        </w:rPr>
        <w:t xml:space="preserve"> at constant </w:t>
      </w:r>
      <w:r w:rsidRPr="009463BA">
        <w:rPr>
          <w:rStyle w:val="CETCaptionCarattere"/>
          <w:i/>
        </w:rPr>
        <w:t>ethanol content</w:t>
      </w:r>
      <w:r w:rsidR="009463BA" w:rsidRPr="009463BA">
        <w:rPr>
          <w:rStyle w:val="CETCaptionCarattere"/>
          <w:i/>
        </w:rPr>
        <w:t>, c) d) &amp; e) at constant ignition energy</w:t>
      </w:r>
      <w:r w:rsidR="000F0917" w:rsidRPr="009463BA">
        <w:rPr>
          <w:rStyle w:val="CETCaptionCarattere"/>
          <w:i/>
        </w:rPr>
        <w:t xml:space="preserve">, </w:t>
      </w:r>
      <w:r w:rsidR="009463BA">
        <w:rPr>
          <w:rStyle w:val="CETCaptionCarattere"/>
          <w:i/>
        </w:rPr>
        <w:t>f</w:t>
      </w:r>
      <w:r w:rsidR="000F0917" w:rsidRPr="009463BA">
        <w:rPr>
          <w:rStyle w:val="CETCaptionCarattere"/>
          <w:i/>
        </w:rPr>
        <w:t xml:space="preserve">) at </w:t>
      </w:r>
      <w:r w:rsidR="009463BA" w:rsidRPr="009463BA">
        <w:rPr>
          <w:rStyle w:val="CETCaptionCarattere"/>
          <w:i/>
        </w:rPr>
        <w:t xml:space="preserve">constant </w:t>
      </w:r>
      <w:r w:rsidR="002C4628">
        <w:rPr>
          <w:rStyle w:val="CETCaptionCarattere"/>
          <w:i/>
        </w:rPr>
        <w:t xml:space="preserve">fuel </w:t>
      </w:r>
      <w:r w:rsidR="009463BA" w:rsidRPr="009463BA">
        <w:rPr>
          <w:rStyle w:val="CETCaptionCarattere"/>
          <w:i/>
        </w:rPr>
        <w:t>concent</w:t>
      </w:r>
      <w:r w:rsidR="001D1D47">
        <w:rPr>
          <w:rStyle w:val="CETCaptionCarattere"/>
          <w:i/>
        </w:rPr>
        <w:t>r</w:t>
      </w:r>
      <w:r w:rsidR="009463BA" w:rsidRPr="009463BA">
        <w:rPr>
          <w:rStyle w:val="CETCaptionCarattere"/>
          <w:i/>
        </w:rPr>
        <w:t>ation</w:t>
      </w:r>
    </w:p>
    <w:p w14:paraId="0D3221E9" w14:textId="0F251264" w:rsidR="003B4452" w:rsidRDefault="00B938E6" w:rsidP="00B938E6">
      <w:r w:rsidRPr="008116DF">
        <w:t xml:space="preserve">Although the </w:t>
      </w:r>
      <w:r>
        <w:t>ignition energy</w:t>
      </w:r>
      <w:r w:rsidRPr="008116DF">
        <w:t xml:space="preserve"> is not the most influential factor,</w:t>
      </w:r>
      <w:r>
        <w:t xml:space="preserve"> </w:t>
      </w:r>
      <w:r w:rsidRPr="008116DF">
        <w:t>whether on the maximum explosion pressure (Figure 1a) or the maximum rate of pressure rise (Figure 1b)</w:t>
      </w:r>
      <w:r>
        <w:t xml:space="preserve">, </w:t>
      </w:r>
      <w:r w:rsidRPr="008116DF">
        <w:t xml:space="preserve">it would be premature to </w:t>
      </w:r>
      <w:r>
        <w:t xml:space="preserve">neglect its impact on </w:t>
      </w:r>
      <w:r w:rsidRPr="008116DF">
        <w:t>the explosion severity</w:t>
      </w:r>
      <w:r>
        <w:t>:</w:t>
      </w:r>
      <w:r w:rsidRPr="008116DF">
        <w:t xml:space="preserve"> its effect being </w:t>
      </w:r>
      <w:r>
        <w:t>noticeable</w:t>
      </w:r>
      <w:r w:rsidRPr="008116DF">
        <w:t xml:space="preserve"> on </w:t>
      </w:r>
      <w:proofErr w:type="spellStart"/>
      <w:r w:rsidRPr="008116DF">
        <w:t>dP</w:t>
      </w:r>
      <w:proofErr w:type="spellEnd"/>
      <w:r w:rsidRPr="008116DF">
        <w:t>/</w:t>
      </w:r>
      <w:proofErr w:type="spellStart"/>
      <w:r w:rsidRPr="008116DF">
        <w:t>dt</w:t>
      </w:r>
      <w:r w:rsidRPr="008116DF">
        <w:rPr>
          <w:vertAlign w:val="subscript"/>
        </w:rPr>
        <w:t>ex</w:t>
      </w:r>
      <w:proofErr w:type="spellEnd"/>
      <w:r w:rsidRPr="008116DF">
        <w:t xml:space="preserve"> at low or high ethanol contents</w:t>
      </w:r>
      <w:r>
        <w:t xml:space="preserve"> (</w:t>
      </w:r>
      <w:r w:rsidRPr="008116DF">
        <w:t>Figure 1f</w:t>
      </w:r>
      <w:r>
        <w:t>).</w:t>
      </w:r>
      <w:r>
        <w:t xml:space="preserve"> </w:t>
      </w:r>
      <w:r w:rsidR="00EA4495">
        <w:t xml:space="preserve">As tests were performed at fuel equivalence ratio </w:t>
      </w:r>
      <w:r w:rsidR="00471E7D">
        <w:t xml:space="preserve">(FER) </w:t>
      </w:r>
      <w:r w:rsidR="00EA4495">
        <w:t>lower than unity, it seems logical that Figures 1a and 1b show a</w:t>
      </w:r>
      <w:r w:rsidR="00DB784D">
        <w:t xml:space="preserve"> </w:t>
      </w:r>
      <w:r w:rsidR="003B09B5">
        <w:t>rise</w:t>
      </w:r>
      <w:r w:rsidR="00EA4495">
        <w:t xml:space="preserve"> </w:t>
      </w:r>
      <w:r w:rsidR="003B09B5">
        <w:t>in</w:t>
      </w:r>
      <w:r w:rsidR="00EA4495">
        <w:t xml:space="preserve"> the explosion severity when the </w:t>
      </w:r>
      <w:r w:rsidR="001F268D">
        <w:t xml:space="preserve">fuel </w:t>
      </w:r>
      <w:r w:rsidR="00EA4495">
        <w:t xml:space="preserve">concentration increases. </w:t>
      </w:r>
    </w:p>
    <w:p w14:paraId="32769222" w14:textId="4DDF7FBB" w:rsidR="0097773C" w:rsidRDefault="00EA4495" w:rsidP="000625CD">
      <w:pPr>
        <w:pStyle w:val="CETListbullets"/>
        <w:ind w:left="0" w:firstLine="0"/>
      </w:pPr>
      <w:r>
        <w:lastRenderedPageBreak/>
        <w:t>Figures 1c and 1d highlight th</w:t>
      </w:r>
      <w:r w:rsidR="00DB784D">
        <w:t xml:space="preserve">e globally positive impact of the ethanol addition on the explosion severity of the admixtures. The model especially shows that </w:t>
      </w:r>
      <w:r w:rsidR="001D1D47">
        <w:t>at</w:t>
      </w:r>
      <w:r w:rsidR="00DB784D">
        <w:t xml:space="preserve"> 140 g/m</w:t>
      </w:r>
      <w:r w:rsidR="00DB784D" w:rsidRPr="00DB784D">
        <w:rPr>
          <w:vertAlign w:val="superscript"/>
        </w:rPr>
        <w:t>3</w:t>
      </w:r>
      <w:r w:rsidR="00DB784D">
        <w:t>, i.e.</w:t>
      </w:r>
      <w:r w:rsidR="003B09B5">
        <w:t>,</w:t>
      </w:r>
      <w:r w:rsidR="00DB784D">
        <w:t xml:space="preserve"> a null normalized </w:t>
      </w:r>
      <w:r w:rsidR="001F268D">
        <w:t xml:space="preserve">fuel </w:t>
      </w:r>
      <w:r w:rsidR="00DB784D">
        <w:t xml:space="preserve">concentration, the maximum rate of pressure can be significantly increased by adding from 2 to 16 wt.% of ethanol, which could lead to a shift in the </w:t>
      </w:r>
      <w:r w:rsidR="001F268D">
        <w:t>mixture</w:t>
      </w:r>
      <w:r w:rsidR="00DB784D">
        <w:t xml:space="preserve"> classification, from St1 to St3. This evolution is</w:t>
      </w:r>
      <w:r w:rsidR="001D1D47">
        <w:t xml:space="preserve"> also</w:t>
      </w:r>
      <w:r w:rsidR="00DB784D">
        <w:t xml:space="preserve"> observed experimentally, with </w:t>
      </w:r>
      <w:r w:rsidR="00D73430">
        <w:t xml:space="preserve">a maximum </w:t>
      </w:r>
      <w:proofErr w:type="spellStart"/>
      <w:r w:rsidR="00D73430">
        <w:t>dP</w:t>
      </w:r>
      <w:proofErr w:type="spellEnd"/>
      <w:r w:rsidR="00D73430">
        <w:t>/</w:t>
      </w:r>
      <w:proofErr w:type="spellStart"/>
      <w:r w:rsidR="00D73430">
        <w:t>dt</w:t>
      </w:r>
      <w:r w:rsidR="00D73430" w:rsidRPr="00351580">
        <w:rPr>
          <w:vertAlign w:val="subscript"/>
        </w:rPr>
        <w:t>ex</w:t>
      </w:r>
      <w:proofErr w:type="spellEnd"/>
      <w:r w:rsidR="00D73430">
        <w:t xml:space="preserve"> reached for 220 g/m</w:t>
      </w:r>
      <w:r w:rsidR="00D73430" w:rsidRPr="00D73430">
        <w:rPr>
          <w:vertAlign w:val="superscript"/>
        </w:rPr>
        <w:t>3</w:t>
      </w:r>
      <w:r w:rsidR="00D73430">
        <w:t xml:space="preserve"> of </w:t>
      </w:r>
      <w:r w:rsidR="001F268D">
        <w:t xml:space="preserve">fuel, of which </w:t>
      </w:r>
      <w:r w:rsidR="00D73430">
        <w:t xml:space="preserve">16 wt.% ethanol, which corresponds to a </w:t>
      </w:r>
      <w:proofErr w:type="spellStart"/>
      <w:r w:rsidR="00D73430">
        <w:t>Kst</w:t>
      </w:r>
      <w:proofErr w:type="spellEnd"/>
      <w:r w:rsidR="00D73430">
        <w:t xml:space="preserve"> of 377 </w:t>
      </w:r>
      <w:proofErr w:type="spellStart"/>
      <w:proofErr w:type="gramStart"/>
      <w:r w:rsidR="00D73430">
        <w:t>bar</w:t>
      </w:r>
      <w:proofErr w:type="gramEnd"/>
      <w:r w:rsidR="00D73430">
        <w:t>.m</w:t>
      </w:r>
      <w:proofErr w:type="spellEnd"/>
      <w:r w:rsidR="00D73430">
        <w:t>/s, i.e.</w:t>
      </w:r>
      <w:r w:rsidR="003B09B5">
        <w:t>,</w:t>
      </w:r>
      <w:r w:rsidR="00D73430">
        <w:t xml:space="preserve"> a St3 class. </w:t>
      </w:r>
      <w:r w:rsidR="00EC6360">
        <w:t>It should be stressed that such evolution is observable</w:t>
      </w:r>
      <w:r w:rsidR="001D1D47">
        <w:t xml:space="preserve"> over a wide range of operating conditions</w:t>
      </w:r>
      <w:r w:rsidR="00FA3249">
        <w:t xml:space="preserve"> </w:t>
      </w:r>
      <w:r w:rsidR="00F70196">
        <w:t>(Figure 1e).</w:t>
      </w:r>
      <w:r w:rsidR="00985FD3">
        <w:t xml:space="preserve"> Additional tests show that</w:t>
      </w:r>
      <w:r w:rsidR="000625CD">
        <w:t xml:space="preserve"> the ethanol concentration </w:t>
      </w:r>
      <w:r w:rsidR="00985FD3" w:rsidRPr="00985FD3">
        <w:t xml:space="preserve">has less impact if the </w:t>
      </w:r>
      <w:r w:rsidR="00471E7D">
        <w:t>global F</w:t>
      </w:r>
      <w:r w:rsidR="00985FD3" w:rsidRPr="00985FD3">
        <w:t>ER is kept constant</w:t>
      </w:r>
      <w:r w:rsidR="00471E7D">
        <w:t>, even if</w:t>
      </w:r>
      <w:r w:rsidR="000625CD">
        <w:t xml:space="preserve"> it has a more significant </w:t>
      </w:r>
      <w:r w:rsidR="00D14B99">
        <w:t>effect</w:t>
      </w:r>
      <w:r w:rsidR="000625CD">
        <w:t xml:space="preserve"> on </w:t>
      </w:r>
      <w:proofErr w:type="spellStart"/>
      <w:r w:rsidR="00471E7D">
        <w:t>dP</w:t>
      </w:r>
      <w:proofErr w:type="spellEnd"/>
      <w:r w:rsidR="00471E7D">
        <w:t>/</w:t>
      </w:r>
      <w:proofErr w:type="spellStart"/>
      <w:r w:rsidR="00471E7D">
        <w:t>dt</w:t>
      </w:r>
      <w:r w:rsidR="00471E7D" w:rsidRPr="00471E7D">
        <w:rPr>
          <w:vertAlign w:val="subscript"/>
        </w:rPr>
        <w:t>ex</w:t>
      </w:r>
      <w:proofErr w:type="spellEnd"/>
      <w:r w:rsidR="00471E7D">
        <w:t xml:space="preserve"> than on </w:t>
      </w:r>
      <w:proofErr w:type="spellStart"/>
      <w:r w:rsidR="00471E7D">
        <w:t>P</w:t>
      </w:r>
      <w:r w:rsidR="00471E7D" w:rsidRPr="00471E7D">
        <w:rPr>
          <w:vertAlign w:val="subscript"/>
        </w:rPr>
        <w:t>ex</w:t>
      </w:r>
      <w:proofErr w:type="spellEnd"/>
      <w:r w:rsidR="00471E7D">
        <w:t>.</w:t>
      </w:r>
      <w:r w:rsidR="000625CD">
        <w:t xml:space="preserve"> </w:t>
      </w:r>
    </w:p>
    <w:p w14:paraId="69652C62" w14:textId="50ABB973" w:rsidR="000625CD" w:rsidRDefault="00D14B99" w:rsidP="000967D0">
      <w:pPr>
        <w:pStyle w:val="CETListbullets"/>
        <w:ind w:left="0" w:firstLine="0"/>
      </w:pPr>
      <w:r>
        <w:t>Finally, Figure 1f demonstrates that at 80 g/m</w:t>
      </w:r>
      <w:r w:rsidRPr="00D14B99">
        <w:rPr>
          <w:vertAlign w:val="superscript"/>
        </w:rPr>
        <w:t>3</w:t>
      </w:r>
      <w:r>
        <w:t xml:space="preserve"> </w:t>
      </w:r>
      <w:r w:rsidR="00075778">
        <w:t xml:space="preserve">of prewetted powder </w:t>
      </w:r>
      <w:r>
        <w:t xml:space="preserve">and for high ignition energies, </w:t>
      </w:r>
      <w:r w:rsidR="00075778">
        <w:t>ethanol</w:t>
      </w:r>
      <w:r>
        <w:t xml:space="preserve"> addition </w:t>
      </w:r>
      <w:r w:rsidR="002520C5">
        <w:t>could</w:t>
      </w:r>
      <w:r>
        <w:t xml:space="preserve"> reduce the </w:t>
      </w:r>
      <w:r w:rsidR="00075778">
        <w:t>admixtures</w:t>
      </w:r>
      <w:r w:rsidR="003B09B5">
        <w:t>’</w:t>
      </w:r>
      <w:r w:rsidR="00075778">
        <w:t xml:space="preserve"> </w:t>
      </w:r>
      <w:r>
        <w:t>explosion severity,</w:t>
      </w:r>
      <w:r w:rsidR="002520C5">
        <w:t xml:space="preserve"> which might be due to </w:t>
      </w:r>
      <w:r w:rsidR="001D1D47">
        <w:t>dust caking/</w:t>
      </w:r>
      <w:r w:rsidR="002520C5">
        <w:t xml:space="preserve">agglomeration. </w:t>
      </w:r>
      <w:r w:rsidR="00B813C1">
        <w:t>At lower ignition energies (i.e.</w:t>
      </w:r>
      <w:r w:rsidR="003B09B5">
        <w:t>,</w:t>
      </w:r>
      <w:r w:rsidR="00B813C1">
        <w:t xml:space="preserve"> 5 kJ), additional experiments performed </w:t>
      </w:r>
      <w:r w:rsidR="00B813C1" w:rsidRPr="00B813C1">
        <w:t xml:space="preserve">show a slight divergence </w:t>
      </w:r>
      <w:r w:rsidR="00B813C1">
        <w:t xml:space="preserve">with </w:t>
      </w:r>
      <w:r w:rsidR="00B813C1" w:rsidRPr="00B813C1">
        <w:t>the model</w:t>
      </w:r>
      <w:r w:rsidR="00B813C1">
        <w:t xml:space="preserve">: </w:t>
      </w:r>
      <w:r w:rsidR="000967D0">
        <w:t xml:space="preserve">the observed decrease in explosion severity at 6% ethanol is greater than that predicted by the model. Nevertheless, the increase in </w:t>
      </w:r>
      <w:proofErr w:type="spellStart"/>
      <w:r w:rsidR="000967D0">
        <w:t>dP</w:t>
      </w:r>
      <w:proofErr w:type="spellEnd"/>
      <w:r w:rsidR="000967D0">
        <w:t>/</w:t>
      </w:r>
      <w:proofErr w:type="spellStart"/>
      <w:r w:rsidR="000967D0">
        <w:t>dt</w:t>
      </w:r>
      <w:r w:rsidR="000967D0" w:rsidRPr="000967D0">
        <w:rPr>
          <w:vertAlign w:val="subscript"/>
        </w:rPr>
        <w:t>ex</w:t>
      </w:r>
      <w:proofErr w:type="spellEnd"/>
      <w:r w:rsidR="000967D0">
        <w:t xml:space="preserve"> at high ethanol concentrations is confirmed</w:t>
      </w:r>
      <w:r w:rsidR="005F6DFB">
        <w:t xml:space="preserve"> </w:t>
      </w:r>
      <w:r w:rsidR="000967D0">
        <w:t>(Figure 2).</w:t>
      </w:r>
    </w:p>
    <w:p w14:paraId="3AE37C6B" w14:textId="7570C5DA" w:rsidR="001F0A19" w:rsidRDefault="001F1796" w:rsidP="00D35B22">
      <w:pPr>
        <w:pStyle w:val="CETBodytext"/>
        <w:spacing w:before="240" w:after="240"/>
        <w:rPr>
          <w:i/>
          <w:lang w:val="en-GB"/>
        </w:rPr>
      </w:pPr>
      <w:r>
        <w:rPr>
          <w:i/>
          <w:noProof/>
          <w:lang w:val="en-GB"/>
        </w:rPr>
        <w:drawing>
          <wp:inline distT="0" distB="0" distL="0" distR="0" wp14:anchorId="07704EEE" wp14:editId="02633163">
            <wp:extent cx="4585970" cy="1342859"/>
            <wp:effectExtent l="0" t="0" r="0" b="3810"/>
            <wp:docPr id="17506456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45645" name="Image 1750645645"/>
                    <pic:cNvPicPr/>
                  </pic:nvPicPr>
                  <pic:blipFill>
                    <a:blip r:embed="rId11"/>
                    <a:stretch>
                      <a:fillRect/>
                    </a:stretch>
                  </pic:blipFill>
                  <pic:spPr>
                    <a:xfrm>
                      <a:off x="0" y="0"/>
                      <a:ext cx="4667223" cy="1366651"/>
                    </a:xfrm>
                    <a:prstGeom prst="rect">
                      <a:avLst/>
                    </a:prstGeom>
                  </pic:spPr>
                </pic:pic>
              </a:graphicData>
            </a:graphic>
          </wp:inline>
        </w:drawing>
      </w:r>
    </w:p>
    <w:p w14:paraId="50D8CC4A" w14:textId="7D7A8B4D" w:rsidR="000625CD" w:rsidRDefault="001F0A19" w:rsidP="000967D0">
      <w:pPr>
        <w:pStyle w:val="CETCaption"/>
      </w:pPr>
      <w:r w:rsidRPr="00BD077D">
        <w:rPr>
          <w:rStyle w:val="CETCaptionCarattere"/>
          <w:i/>
        </w:rPr>
        <w:t xml:space="preserve">Figure </w:t>
      </w:r>
      <w:r w:rsidR="000967D0">
        <w:rPr>
          <w:rStyle w:val="CETCaptionCarattere"/>
          <w:i/>
        </w:rPr>
        <w:t>2</w:t>
      </w:r>
      <w:r w:rsidRPr="00BD077D">
        <w:rPr>
          <w:rStyle w:val="CETCaptionCarattere"/>
          <w:i/>
        </w:rPr>
        <w:t xml:space="preserve">: </w:t>
      </w:r>
      <w:r w:rsidRPr="001A6D0F">
        <w:rPr>
          <w:rStyle w:val="CETCaptionCarattere"/>
          <w:i/>
        </w:rPr>
        <w:t xml:space="preserve">Influences of ignition energy and solvent content on the </w:t>
      </w:r>
      <w:proofErr w:type="spellStart"/>
      <w:r w:rsidR="00744768">
        <w:rPr>
          <w:rStyle w:val="CETCaptionCarattere"/>
          <w:i/>
        </w:rPr>
        <w:t>dP</w:t>
      </w:r>
      <w:proofErr w:type="spellEnd"/>
      <w:r w:rsidR="00744768">
        <w:rPr>
          <w:rStyle w:val="CETCaptionCarattere"/>
          <w:i/>
        </w:rPr>
        <w:t>/</w:t>
      </w:r>
      <w:proofErr w:type="spellStart"/>
      <w:r w:rsidR="00744768">
        <w:rPr>
          <w:rStyle w:val="CETCaptionCarattere"/>
          <w:i/>
        </w:rPr>
        <w:t>dt</w:t>
      </w:r>
      <w:r w:rsidR="00744768" w:rsidRPr="00744768">
        <w:rPr>
          <w:rStyle w:val="CETCaptionCarattere"/>
          <w:i/>
          <w:vertAlign w:val="subscript"/>
        </w:rPr>
        <w:t>ex</w:t>
      </w:r>
      <w:proofErr w:type="spellEnd"/>
      <w:r w:rsidRPr="001A6D0F">
        <w:rPr>
          <w:rStyle w:val="CETCaptionCarattere"/>
          <w:i/>
        </w:rPr>
        <w:t xml:space="preserve"> of </w:t>
      </w:r>
      <w:r w:rsidR="00744768">
        <w:rPr>
          <w:rStyle w:val="CETCaptionCarattere"/>
          <w:i/>
        </w:rPr>
        <w:t>Mg</w:t>
      </w:r>
      <w:r w:rsidRPr="001A6D0F">
        <w:rPr>
          <w:rStyle w:val="CETCaptionCarattere"/>
          <w:i/>
        </w:rPr>
        <w:t xml:space="preserve"> stearate-ethanol mixtures</w:t>
      </w:r>
    </w:p>
    <w:p w14:paraId="2626186A" w14:textId="10673C12" w:rsidR="00C87976" w:rsidRPr="00B57B36" w:rsidRDefault="0065083E" w:rsidP="00D1702C">
      <w:pPr>
        <w:pStyle w:val="CETheadingx"/>
      </w:pPr>
      <w:r>
        <w:t>A</w:t>
      </w:r>
      <w:r w:rsidRPr="0065083E">
        <w:t>nalysis of the causes of observed variations</w:t>
      </w:r>
    </w:p>
    <w:p w14:paraId="4B46E22C" w14:textId="04E85621" w:rsidR="0065083E" w:rsidRDefault="00415828" w:rsidP="00C87976">
      <w:pPr>
        <w:pStyle w:val="CETBodytext"/>
        <w:rPr>
          <w:lang w:val="en-GB"/>
        </w:rPr>
      </w:pPr>
      <w:r w:rsidRPr="00415828">
        <w:rPr>
          <w:lang w:val="en-GB"/>
        </w:rPr>
        <w:t>The</w:t>
      </w:r>
      <w:r>
        <w:rPr>
          <w:lang w:val="en-GB"/>
        </w:rPr>
        <w:t>se</w:t>
      </w:r>
      <w:r w:rsidRPr="00415828">
        <w:rPr>
          <w:lang w:val="en-GB"/>
        </w:rPr>
        <w:t xml:space="preserve"> results, in </w:t>
      </w:r>
      <w:r>
        <w:rPr>
          <w:lang w:val="en-GB"/>
        </w:rPr>
        <w:t>combination</w:t>
      </w:r>
      <w:r w:rsidRPr="00415828">
        <w:rPr>
          <w:lang w:val="en-GB"/>
        </w:rPr>
        <w:t xml:space="preserve"> </w:t>
      </w:r>
      <w:r w:rsidR="00224D91">
        <w:rPr>
          <w:lang w:val="en-GB"/>
        </w:rPr>
        <w:t>with</w:t>
      </w:r>
      <w:r w:rsidRPr="00415828">
        <w:rPr>
          <w:lang w:val="en-GB"/>
        </w:rPr>
        <w:t xml:space="preserve"> those obtained by </w:t>
      </w:r>
      <w:r w:rsidRPr="001A6D0F">
        <w:rPr>
          <w:lang w:val="en-GB"/>
        </w:rPr>
        <w:t>Hossain et al.</w:t>
      </w:r>
      <w:r>
        <w:rPr>
          <w:lang w:val="en-GB"/>
        </w:rPr>
        <w:t xml:space="preserve"> (</w:t>
      </w:r>
      <w:r w:rsidRPr="001A6D0F">
        <w:rPr>
          <w:lang w:val="en-GB"/>
        </w:rPr>
        <w:t xml:space="preserve">2014) </w:t>
      </w:r>
      <w:r>
        <w:rPr>
          <w:lang w:val="en-GB"/>
        </w:rPr>
        <w:t xml:space="preserve">and </w:t>
      </w:r>
      <w:r w:rsidRPr="001A6D0F">
        <w:rPr>
          <w:lang w:val="en-GB"/>
        </w:rPr>
        <w:t xml:space="preserve">Dufaud et al. </w:t>
      </w:r>
      <w:r>
        <w:rPr>
          <w:lang w:val="en-GB"/>
        </w:rPr>
        <w:t>(</w:t>
      </w:r>
      <w:r w:rsidRPr="001A6D0F">
        <w:rPr>
          <w:lang w:val="en-GB"/>
        </w:rPr>
        <w:t>2025)</w:t>
      </w:r>
      <w:r w:rsidRPr="00415828">
        <w:rPr>
          <w:lang w:val="en-GB"/>
        </w:rPr>
        <w:t>, demonstrate that prewetting powders with combustible liquids affects their explosion severity. The phenomena governing these changes are numerous, intertwined</w:t>
      </w:r>
      <w:r w:rsidR="00224D91">
        <w:rPr>
          <w:lang w:val="en-GB"/>
        </w:rPr>
        <w:t>,</w:t>
      </w:r>
      <w:r w:rsidRPr="00415828">
        <w:rPr>
          <w:lang w:val="en-GB"/>
        </w:rPr>
        <w:t xml:space="preserve"> and sometimes antagonistic.</w:t>
      </w:r>
    </w:p>
    <w:p w14:paraId="76709D90" w14:textId="5960D853" w:rsidR="00415828" w:rsidRDefault="00415828" w:rsidP="00C87976">
      <w:pPr>
        <w:pStyle w:val="CETBodytext"/>
        <w:rPr>
          <w:lang w:val="en-GB"/>
        </w:rPr>
      </w:pPr>
      <w:r w:rsidRPr="00415828">
        <w:rPr>
          <w:lang w:val="en-GB"/>
        </w:rPr>
        <w:t xml:space="preserve">The addition of liquid can alter the morphology of powders through swelling or agglomeration effects (in particular, through liquid bridges). The induced agglomeration of particle size can </w:t>
      </w:r>
      <w:r w:rsidR="00224D91">
        <w:rPr>
          <w:lang w:val="en-GB"/>
        </w:rPr>
        <w:t>reduce</w:t>
      </w:r>
      <w:r w:rsidRPr="00415828">
        <w:rPr>
          <w:lang w:val="en-GB"/>
        </w:rPr>
        <w:t xml:space="preserve"> oxygen accessibility at the particle surface, on their heating dynamics</w:t>
      </w:r>
      <w:r w:rsidR="00224D91">
        <w:rPr>
          <w:lang w:val="en-GB"/>
        </w:rPr>
        <w:t>,</w:t>
      </w:r>
      <w:r w:rsidRPr="00415828">
        <w:rPr>
          <w:lang w:val="en-GB"/>
        </w:rPr>
        <w:t xml:space="preserve"> and on the energy required for their dispersion.</w:t>
      </w:r>
      <w:r>
        <w:rPr>
          <w:lang w:val="en-GB"/>
        </w:rPr>
        <w:t xml:space="preserve"> </w:t>
      </w:r>
      <w:r w:rsidRPr="00415828">
        <w:rPr>
          <w:lang w:val="en-GB"/>
        </w:rPr>
        <w:t>Endothermic solvent vaporisation can also be a limiting factor</w:t>
      </w:r>
      <w:r w:rsidR="003F15BF">
        <w:rPr>
          <w:lang w:val="en-GB"/>
        </w:rPr>
        <w:t xml:space="preserve"> (i.e.</w:t>
      </w:r>
      <w:r w:rsidR="00224D91">
        <w:rPr>
          <w:lang w:val="en-GB"/>
        </w:rPr>
        <w:t>,</w:t>
      </w:r>
      <w:r w:rsidR="003F15BF">
        <w:rPr>
          <w:lang w:val="en-GB"/>
        </w:rPr>
        <w:t xml:space="preserve"> heat sink)</w:t>
      </w:r>
      <w:r w:rsidRPr="00415828">
        <w:rPr>
          <w:lang w:val="en-GB"/>
        </w:rPr>
        <w:t>, as can an increase in fuel concentration if the powder concentration is already close to or above the stoichiometric concentration.</w:t>
      </w:r>
    </w:p>
    <w:p w14:paraId="77BE10A6" w14:textId="7FFD75A3" w:rsidR="00703FBA" w:rsidRDefault="00415828" w:rsidP="0005636D">
      <w:pPr>
        <w:pStyle w:val="CETBodytext"/>
        <w:rPr>
          <w:lang w:val="en-GB"/>
        </w:rPr>
      </w:pPr>
      <w:r>
        <w:rPr>
          <w:lang w:val="en-GB"/>
        </w:rPr>
        <w:t xml:space="preserve">On the other hand, </w:t>
      </w:r>
      <w:r w:rsidR="005F6DFB">
        <w:rPr>
          <w:lang w:val="en-GB"/>
        </w:rPr>
        <w:t>if the dust concentration itself leads to</w:t>
      </w:r>
      <w:r w:rsidR="00224D91">
        <w:rPr>
          <w:lang w:val="en-GB"/>
        </w:rPr>
        <w:t xml:space="preserve"> a</w:t>
      </w:r>
      <w:r w:rsidR="005F6DFB">
        <w:rPr>
          <w:lang w:val="en-GB"/>
        </w:rPr>
        <w:t xml:space="preserve"> fuel equivalence ratio much lower than unity,</w:t>
      </w:r>
      <w:r w:rsidR="00224D91">
        <w:rPr>
          <w:lang w:val="en-GB"/>
        </w:rPr>
        <w:t xml:space="preserve"> the</w:t>
      </w:r>
      <w:r w:rsidR="005F6DFB">
        <w:rPr>
          <w:lang w:val="en-GB"/>
        </w:rPr>
        <w:t xml:space="preserve"> addin</w:t>
      </w:r>
      <w:r w:rsidR="00224D91">
        <w:rPr>
          <w:lang w:val="en-GB"/>
        </w:rPr>
        <w:t>g</w:t>
      </w:r>
      <w:r w:rsidR="005F6DFB">
        <w:rPr>
          <w:lang w:val="en-GB"/>
        </w:rPr>
        <w:t xml:space="preserve"> a combustible liquid can promote the explosion severity of the mixture. </w:t>
      </w:r>
      <w:r w:rsidR="003F39B3" w:rsidRPr="003F39B3">
        <w:rPr>
          <w:lang w:val="en-GB"/>
        </w:rPr>
        <w:t xml:space="preserve">Chromatographic analyses of the combustion gases were </w:t>
      </w:r>
      <w:r w:rsidR="003F39B3">
        <w:rPr>
          <w:lang w:val="en-GB"/>
        </w:rPr>
        <w:t>then</w:t>
      </w:r>
      <w:r w:rsidR="003F39B3" w:rsidRPr="003F39B3">
        <w:rPr>
          <w:lang w:val="en-GB"/>
        </w:rPr>
        <w:t xml:space="preserve"> conducted to experimentally verify the fuel/oxygen ratio.</w:t>
      </w:r>
      <w:r w:rsidR="003F39B3">
        <w:rPr>
          <w:lang w:val="en-GB"/>
        </w:rPr>
        <w:t xml:space="preserve"> For instance, at 140 g/m</w:t>
      </w:r>
      <w:r w:rsidR="003F39B3" w:rsidRPr="003F39B3">
        <w:rPr>
          <w:vertAlign w:val="superscript"/>
          <w:lang w:val="en-GB"/>
        </w:rPr>
        <w:t>3</w:t>
      </w:r>
      <w:r w:rsidR="003F39B3">
        <w:rPr>
          <w:lang w:val="en-GB"/>
        </w:rPr>
        <w:t xml:space="preserve"> magnesium stearate and 9 w.% ethanol, the remaining O</w:t>
      </w:r>
      <w:r w:rsidR="003F39B3" w:rsidRPr="003F39B3">
        <w:rPr>
          <w:vertAlign w:val="subscript"/>
          <w:lang w:val="en-GB"/>
        </w:rPr>
        <w:t>2</w:t>
      </w:r>
      <w:r w:rsidR="003F39B3">
        <w:rPr>
          <w:lang w:val="en-GB"/>
        </w:rPr>
        <w:t xml:space="preserve"> concentration is around 0.5 vol.%, which confirms that the</w:t>
      </w:r>
      <w:r w:rsidR="003F39B3" w:rsidRPr="003F39B3">
        <w:rPr>
          <w:lang w:val="en-GB"/>
        </w:rPr>
        <w:t xml:space="preserve"> original mixture was indeed </w:t>
      </w:r>
      <w:proofErr w:type="gramStart"/>
      <w:r w:rsidR="003F39B3">
        <w:rPr>
          <w:lang w:val="en-GB"/>
        </w:rPr>
        <w:t>fuel-lean</w:t>
      </w:r>
      <w:proofErr w:type="gramEnd"/>
      <w:r w:rsidR="003F39B3" w:rsidRPr="003F39B3">
        <w:rPr>
          <w:lang w:val="en-GB"/>
        </w:rPr>
        <w:t>.</w:t>
      </w:r>
      <w:r w:rsidR="003F39B3">
        <w:rPr>
          <w:lang w:val="en-GB"/>
        </w:rPr>
        <w:t xml:space="preserve"> However, a slight decrease in the oxygen concentration has been observed when the ignition energy increases, even for experiments without fuel (i.e.</w:t>
      </w:r>
      <w:r w:rsidR="00224D91">
        <w:rPr>
          <w:lang w:val="en-GB"/>
        </w:rPr>
        <w:t>,</w:t>
      </w:r>
      <w:r w:rsidR="003F39B3">
        <w:rPr>
          <w:lang w:val="en-GB"/>
        </w:rPr>
        <w:t xml:space="preserve"> pure air</w:t>
      </w:r>
      <w:r w:rsidR="001B4E41">
        <w:rPr>
          <w:lang w:val="en-GB"/>
        </w:rPr>
        <w:t xml:space="preserve"> at 20.9 vol.% O</w:t>
      </w:r>
      <w:r w:rsidR="001B4E41" w:rsidRPr="001B4E41">
        <w:rPr>
          <w:vertAlign w:val="subscript"/>
          <w:lang w:val="en-GB"/>
        </w:rPr>
        <w:t>2</w:t>
      </w:r>
      <w:r w:rsidR="003F39B3">
        <w:rPr>
          <w:lang w:val="en-GB"/>
        </w:rPr>
        <w:t xml:space="preserve">): </w:t>
      </w:r>
      <w:r w:rsidR="006C4C10">
        <w:rPr>
          <w:lang w:val="en-GB"/>
        </w:rPr>
        <w:t>down to 19.3 vol.% at 10 kJ.</w:t>
      </w:r>
      <w:r w:rsidR="006C4C10" w:rsidRPr="006C4C10">
        <w:t xml:space="preserve"> </w:t>
      </w:r>
      <w:r w:rsidR="006C4C10" w:rsidRPr="006C4C10">
        <w:rPr>
          <w:lang w:val="en-GB"/>
        </w:rPr>
        <w:t xml:space="preserve">This effect, which is independent of the study of premixed mixtures, must be systematically </w:t>
      </w:r>
      <w:r w:rsidR="00E30D6E" w:rsidRPr="006C4C10">
        <w:rPr>
          <w:lang w:val="en-GB"/>
        </w:rPr>
        <w:t>considered</w:t>
      </w:r>
      <w:r w:rsidR="006C4C10" w:rsidRPr="006C4C10">
        <w:rPr>
          <w:lang w:val="en-GB"/>
        </w:rPr>
        <w:t xml:space="preserve"> when determining </w:t>
      </w:r>
      <w:r w:rsidR="006C4C10">
        <w:rPr>
          <w:lang w:val="en-GB"/>
        </w:rPr>
        <w:t xml:space="preserve">the real </w:t>
      </w:r>
      <w:r w:rsidR="006C4C10" w:rsidRPr="006C4C10">
        <w:rPr>
          <w:lang w:val="en-GB"/>
        </w:rPr>
        <w:t>FER.</w:t>
      </w:r>
    </w:p>
    <w:p w14:paraId="7EF8A4B8" w14:textId="1B1D03A7" w:rsidR="00D35B22" w:rsidRPr="006C4C10" w:rsidRDefault="005F6DFB" w:rsidP="0005636D">
      <w:pPr>
        <w:pStyle w:val="CETBodytext"/>
        <w:rPr>
          <w:lang w:val="en-GB"/>
        </w:rPr>
      </w:pPr>
      <w:r w:rsidRPr="005F6DFB">
        <w:rPr>
          <w:lang w:val="en-GB"/>
        </w:rPr>
        <w:t xml:space="preserve">A similar positive effect is expected on </w:t>
      </w:r>
      <w:r>
        <w:rPr>
          <w:lang w:val="en-GB"/>
        </w:rPr>
        <w:t xml:space="preserve">the ignition </w:t>
      </w:r>
      <w:r w:rsidRPr="005F6DFB">
        <w:rPr>
          <w:lang w:val="en-GB"/>
        </w:rPr>
        <w:t>sensitivit</w:t>
      </w:r>
      <w:r>
        <w:rPr>
          <w:lang w:val="en-GB"/>
        </w:rPr>
        <w:t>y</w:t>
      </w:r>
      <w:r w:rsidRPr="005F6DFB">
        <w:rPr>
          <w:lang w:val="en-GB"/>
        </w:rPr>
        <w:t xml:space="preserve">, as rapid solvent evaporation will allow the </w:t>
      </w:r>
      <w:r>
        <w:rPr>
          <w:lang w:val="en-GB"/>
        </w:rPr>
        <w:t>lower explosive limit</w:t>
      </w:r>
      <w:r w:rsidRPr="005F6DFB">
        <w:rPr>
          <w:lang w:val="en-GB"/>
        </w:rPr>
        <w:t xml:space="preserve"> to be reached more quickly than by powder pyrolysis alone.</w:t>
      </w:r>
      <w:r>
        <w:rPr>
          <w:lang w:val="en-GB"/>
        </w:rPr>
        <w:t xml:space="preserve"> </w:t>
      </w:r>
      <w:r w:rsidRPr="005F6DFB">
        <w:rPr>
          <w:lang w:val="en-GB"/>
        </w:rPr>
        <w:t>Finally, during flame propagation, the expanding burnt gases tend to push the particles upstream, generating clusters of higher concentrations, which potentially reduces the yield of the explosion. The same phenomenon can lead to thermal quenching effects on the powders pushed against the wall of the sphere</w:t>
      </w:r>
      <w:r>
        <w:rPr>
          <w:lang w:val="en-GB"/>
        </w:rPr>
        <w:t xml:space="preserve">, decreasing the global combustion yield. </w:t>
      </w:r>
      <w:r w:rsidRPr="005F6DFB">
        <w:rPr>
          <w:lang w:val="en-GB"/>
        </w:rPr>
        <w:t xml:space="preserve">As in the case of hybrid gas/solid mixtures, the addition of gaseous or easily vaporised </w:t>
      </w:r>
      <w:r>
        <w:rPr>
          <w:lang w:val="en-GB"/>
        </w:rPr>
        <w:t xml:space="preserve">liquid </w:t>
      </w:r>
      <w:r w:rsidRPr="005F6DFB">
        <w:rPr>
          <w:lang w:val="en-GB"/>
        </w:rPr>
        <w:t xml:space="preserve">fuel helps to limit these </w:t>
      </w:r>
      <w:r>
        <w:rPr>
          <w:lang w:val="en-GB"/>
        </w:rPr>
        <w:t xml:space="preserve">local </w:t>
      </w:r>
      <w:r w:rsidRPr="005F6DFB">
        <w:rPr>
          <w:lang w:val="en-GB"/>
        </w:rPr>
        <w:t xml:space="preserve">variations in </w:t>
      </w:r>
      <w:r>
        <w:rPr>
          <w:lang w:val="en-GB"/>
        </w:rPr>
        <w:t>FER</w:t>
      </w:r>
      <w:r w:rsidRPr="005F6DFB">
        <w:rPr>
          <w:lang w:val="en-GB"/>
        </w:rPr>
        <w:t>.</w:t>
      </w:r>
      <w:r w:rsidR="006C4C10">
        <w:rPr>
          <w:lang w:val="en-GB"/>
        </w:rPr>
        <w:t xml:space="preserve"> </w:t>
      </w:r>
      <w:r w:rsidR="00D35B22" w:rsidRPr="00D35B22">
        <w:rPr>
          <w:lang w:val="en-GB"/>
        </w:rPr>
        <w:t>Some of these causes will be explored in the following sections.</w:t>
      </w:r>
    </w:p>
    <w:p w14:paraId="62CA8CBC" w14:textId="62507FFC" w:rsidR="0065083E" w:rsidRPr="001B5E27" w:rsidRDefault="008F68D7" w:rsidP="00416C6E">
      <w:pPr>
        <w:pStyle w:val="CETheadingx"/>
        <w:spacing w:before="120"/>
      </w:pPr>
      <w:r w:rsidRPr="001B5E27">
        <w:t>Effect of prewetting on the particle size distribution and initial turbulence</w:t>
      </w:r>
    </w:p>
    <w:p w14:paraId="1B763F13" w14:textId="51BFB446" w:rsidR="008750D6" w:rsidRDefault="00141A5F" w:rsidP="0065083E">
      <w:pPr>
        <w:pStyle w:val="CETBodytext"/>
      </w:pPr>
      <w:r>
        <w:t>PSD</w:t>
      </w:r>
      <w:r w:rsidR="008750D6">
        <w:t xml:space="preserve"> of ethanol/magnesium stearate admixtures</w:t>
      </w:r>
      <w:r w:rsidR="008750D6" w:rsidRPr="008750D6">
        <w:t xml:space="preserve"> </w:t>
      </w:r>
      <w:r w:rsidR="00DF5073" w:rsidRPr="008750D6">
        <w:t>were compared</w:t>
      </w:r>
      <w:r w:rsidR="00DF5073">
        <w:t>,</w:t>
      </w:r>
      <w:r w:rsidR="00DF5073" w:rsidRPr="008750D6">
        <w:t xml:space="preserve"> </w:t>
      </w:r>
      <w:r w:rsidR="008750D6" w:rsidRPr="008750D6">
        <w:t xml:space="preserve">before and during injection into the </w:t>
      </w:r>
      <w:r w:rsidR="008750D6">
        <w:t xml:space="preserve">20L </w:t>
      </w:r>
      <w:r w:rsidR="008750D6" w:rsidRPr="008750D6">
        <w:t xml:space="preserve">sphere. </w:t>
      </w:r>
      <w:r>
        <w:t>R</w:t>
      </w:r>
      <w:r w:rsidR="008750D6" w:rsidRPr="008750D6">
        <w:t>egardless of the ethanol concentration</w:t>
      </w:r>
      <w:r w:rsidR="008750D6">
        <w:t>, t</w:t>
      </w:r>
      <w:r w:rsidR="008750D6" w:rsidRPr="008750D6">
        <w:t xml:space="preserve">he particle sizes are very similar due to the high shear force applied during </w:t>
      </w:r>
      <w:r w:rsidR="008750D6">
        <w:t>dispersion</w:t>
      </w:r>
      <w:r w:rsidR="008750D6" w:rsidRPr="008750D6">
        <w:t>.</w:t>
      </w:r>
      <w:r w:rsidR="008750D6">
        <w:t xml:space="preserve"> </w:t>
      </w:r>
      <w:r w:rsidR="008750D6" w:rsidRPr="008750D6">
        <w:t xml:space="preserve">However, when the powders are dispersed at </w:t>
      </w:r>
      <w:r w:rsidR="008750D6">
        <w:t>only 2</w:t>
      </w:r>
      <w:r w:rsidR="008750D6" w:rsidRPr="008750D6">
        <w:t xml:space="preserve"> bar in a particle size </w:t>
      </w:r>
      <w:r w:rsidR="0085423A" w:rsidRPr="008750D6">
        <w:t>analyzer</w:t>
      </w:r>
      <w:r w:rsidR="008750D6">
        <w:t xml:space="preserve"> (</w:t>
      </w:r>
      <w:proofErr w:type="spellStart"/>
      <w:r w:rsidR="008750D6">
        <w:t>Mastersizer</w:t>
      </w:r>
      <w:proofErr w:type="spellEnd"/>
      <w:r w:rsidR="008750D6">
        <w:t xml:space="preserve"> 3000)</w:t>
      </w:r>
      <w:r w:rsidR="008750D6" w:rsidRPr="008750D6">
        <w:t xml:space="preserve">, a noticeable </w:t>
      </w:r>
      <w:r>
        <w:t>variation</w:t>
      </w:r>
      <w:r w:rsidR="008750D6" w:rsidRPr="008750D6">
        <w:t xml:space="preserve"> in d</w:t>
      </w:r>
      <w:r w:rsidR="008750D6" w:rsidRPr="008750D6">
        <w:rPr>
          <w:vertAlign w:val="subscript"/>
        </w:rPr>
        <w:t>90</w:t>
      </w:r>
      <w:r w:rsidR="008750D6">
        <w:t>, from 28 to 65 µm,</w:t>
      </w:r>
      <w:r w:rsidR="008750D6" w:rsidRPr="008750D6">
        <w:t xml:space="preserve"> </w:t>
      </w:r>
      <w:r>
        <w:t>is</w:t>
      </w:r>
      <w:r w:rsidR="008750D6" w:rsidRPr="008750D6">
        <w:t xml:space="preserve"> observed </w:t>
      </w:r>
      <w:r w:rsidR="008750D6">
        <w:t>between 5 and 16</w:t>
      </w:r>
      <w:r>
        <w:t> </w:t>
      </w:r>
      <w:r w:rsidR="00366F54">
        <w:t>w.</w:t>
      </w:r>
      <w:r w:rsidR="008750D6">
        <w:t>%</w:t>
      </w:r>
      <w:r w:rsidR="008750D6" w:rsidRPr="008750D6">
        <w:t xml:space="preserve"> ethano</w:t>
      </w:r>
      <w:r w:rsidR="008750D6">
        <w:t>l.</w:t>
      </w:r>
      <w:r w:rsidR="007D612D" w:rsidRPr="007D612D">
        <w:t xml:space="preserve"> </w:t>
      </w:r>
      <w:r>
        <w:t>This change</w:t>
      </w:r>
      <w:r w:rsidR="007D612D" w:rsidRPr="007D612D">
        <w:t xml:space="preserve"> due to wetting will th</w:t>
      </w:r>
      <w:r>
        <w:t>us</w:t>
      </w:r>
      <w:r w:rsidR="007D612D" w:rsidRPr="007D612D">
        <w:t xml:space="preserve"> not necessarily be negligible at low dispersion pressure</w:t>
      </w:r>
      <w:r w:rsidR="00562867">
        <w:t xml:space="preserve"> (Dufaud et al., 2025)</w:t>
      </w:r>
      <w:r w:rsidR="007D612D" w:rsidRPr="007D612D">
        <w:t xml:space="preserve">, as for example in </w:t>
      </w:r>
      <w:r w:rsidR="007D612D">
        <w:t xml:space="preserve">the </w:t>
      </w:r>
      <w:r w:rsidR="00562867">
        <w:t xml:space="preserve">Godbert-Greenwald oven or in the </w:t>
      </w:r>
      <w:r w:rsidR="007D612D">
        <w:t xml:space="preserve">modified </w:t>
      </w:r>
      <w:r w:rsidR="007D612D" w:rsidRPr="007D612D">
        <w:t>Hartmann tube.</w:t>
      </w:r>
    </w:p>
    <w:p w14:paraId="67271E84" w14:textId="1700DF78" w:rsidR="0065083E" w:rsidRPr="00B57B36" w:rsidRDefault="00F1263B" w:rsidP="0065083E">
      <w:pPr>
        <w:pStyle w:val="CETBodytext"/>
      </w:pPr>
      <w:r w:rsidRPr="00F1263B">
        <w:lastRenderedPageBreak/>
        <w:t xml:space="preserve">The absence of any significant change in PSD does not mean that the mixture injection process is not affected by the presence of liquid. Tests were therefore carried out to analyze the injection kinetics of dry powders and </w:t>
      </w:r>
      <w:r>
        <w:t>prewetted</w:t>
      </w:r>
      <w:r w:rsidRPr="00F1263B">
        <w:t xml:space="preserve"> powders in the </w:t>
      </w:r>
      <w:r>
        <w:t>explosion vessel; Figure 3 shows the example of magnesium oxide (MgO) and MgO/ethanol mixtures</w:t>
      </w:r>
      <w:r w:rsidRPr="00F1263B">
        <w:t>.</w:t>
      </w:r>
      <w:r w:rsidR="00F95402">
        <w:t xml:space="preserve"> </w:t>
      </w:r>
      <w:r w:rsidR="00F95402" w:rsidRPr="00F95402">
        <w:t xml:space="preserve">While the increase in mass tends to alter the injection dynamics, prewetting the powders does not appear to have a </w:t>
      </w:r>
      <w:r w:rsidR="00F95402">
        <w:t>clear</w:t>
      </w:r>
      <w:r w:rsidR="00F95402" w:rsidRPr="00F95402">
        <w:t xml:space="preserve"> influence</w:t>
      </w:r>
      <w:r w:rsidR="00F95402">
        <w:t xml:space="preserve">, </w:t>
      </w:r>
      <w:r w:rsidR="00F95402" w:rsidRPr="00F95402">
        <w:t xml:space="preserve">which is confirmed by additional </w:t>
      </w:r>
      <w:r w:rsidR="00F95402">
        <w:t xml:space="preserve">particle image velocimetry </w:t>
      </w:r>
      <w:r w:rsidR="00F95402" w:rsidRPr="00F95402">
        <w:t>analyses</w:t>
      </w:r>
      <w:r w:rsidR="00F95402">
        <w:t>.</w:t>
      </w:r>
    </w:p>
    <w:tbl>
      <w:tblPr>
        <w:tblW w:w="5000" w:type="pct"/>
        <w:tblLook w:val="04A0" w:firstRow="1" w:lastRow="0" w:firstColumn="1" w:lastColumn="0" w:noHBand="0" w:noVBand="1"/>
      </w:tblPr>
      <w:tblGrid>
        <w:gridCol w:w="7986"/>
        <w:gridCol w:w="801"/>
      </w:tblGrid>
      <w:tr w:rsidR="00BB5B32" w:rsidRPr="00B57B36" w14:paraId="07E83C9E" w14:textId="77777777" w:rsidTr="00BB5B32">
        <w:tc>
          <w:tcPr>
            <w:tcW w:w="7986" w:type="dxa"/>
            <w:vAlign w:val="center"/>
          </w:tcPr>
          <w:p w14:paraId="4A2F777B" w14:textId="2DA3B979" w:rsidR="008A3FEE" w:rsidRDefault="008A3FEE" w:rsidP="00F95402">
            <w:pPr>
              <w:pStyle w:val="CETBodytext"/>
              <w:spacing w:before="240" w:after="240"/>
              <w:jc w:val="left"/>
            </w:pPr>
            <w:r>
              <w:rPr>
                <w:noProof/>
              </w:rPr>
              <w:drawing>
                <wp:inline distT="0" distB="0" distL="0" distR="0" wp14:anchorId="7D0F27CD" wp14:editId="5E7F10BE">
                  <wp:extent cx="3960000" cy="2224800"/>
                  <wp:effectExtent l="0" t="0" r="2540" b="0"/>
                  <wp:docPr id="121336609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66095" name="Image 1213366095"/>
                          <pic:cNvPicPr/>
                        </pic:nvPicPr>
                        <pic:blipFill rotWithShape="1">
                          <a:blip r:embed="rId12"/>
                          <a:srcRect l="4873" t="7056" r="7211"/>
                          <a:stretch>
                            <a:fillRect/>
                          </a:stretch>
                        </pic:blipFill>
                        <pic:spPr bwMode="auto">
                          <a:xfrm>
                            <a:off x="0" y="0"/>
                            <a:ext cx="3960000" cy="2224800"/>
                          </a:xfrm>
                          <a:prstGeom prst="rect">
                            <a:avLst/>
                          </a:prstGeom>
                          <a:ln>
                            <a:noFill/>
                          </a:ln>
                          <a:extLst>
                            <a:ext uri="{53640926-AAD7-44D8-BBD7-CCE9431645EC}">
                              <a14:shadowObscured xmlns:a14="http://schemas.microsoft.com/office/drawing/2010/main"/>
                            </a:ext>
                          </a:extLst>
                        </pic:spPr>
                      </pic:pic>
                    </a:graphicData>
                  </a:graphic>
                </wp:inline>
              </w:drawing>
            </w:r>
          </w:p>
          <w:p w14:paraId="0EC9A4D9" w14:textId="03169A85" w:rsidR="00C56AE0" w:rsidRPr="0005636D" w:rsidRDefault="00BB5B32" w:rsidP="00310A36">
            <w:pPr>
              <w:pStyle w:val="CETCaption"/>
              <w:ind w:left="-105"/>
            </w:pPr>
            <w:r w:rsidRPr="00BD077D">
              <w:rPr>
                <w:rStyle w:val="CETCaptionCarattere"/>
                <w:i/>
              </w:rPr>
              <w:t xml:space="preserve">Figure </w:t>
            </w:r>
            <w:r w:rsidR="00F1263B">
              <w:rPr>
                <w:rStyle w:val="CETCaptionCarattere"/>
                <w:i/>
              </w:rPr>
              <w:t>3</w:t>
            </w:r>
            <w:r w:rsidRPr="00BD077D">
              <w:rPr>
                <w:rStyle w:val="CETCaptionCarattere"/>
                <w:i/>
              </w:rPr>
              <w:t xml:space="preserve">: </w:t>
            </w:r>
            <w:r w:rsidR="00F1263B">
              <w:rPr>
                <w:rStyle w:val="CETCaptionCarattere"/>
                <w:i/>
              </w:rPr>
              <w:t>Pressure evolution in the 20L sphere during the MgO and MgO/ethanol mixtures</w:t>
            </w:r>
            <w:r w:rsidRPr="00BD077D">
              <w:t xml:space="preserve"> </w:t>
            </w:r>
            <w:r w:rsidR="00F1263B">
              <w:t>injection</w:t>
            </w:r>
          </w:p>
        </w:tc>
        <w:tc>
          <w:tcPr>
            <w:tcW w:w="801" w:type="dxa"/>
            <w:vAlign w:val="center"/>
          </w:tcPr>
          <w:p w14:paraId="68C5D0CD" w14:textId="77777777" w:rsidR="00BB5B32" w:rsidRPr="00B57B36" w:rsidRDefault="00BB5B32" w:rsidP="009E7884">
            <w:pPr>
              <w:pStyle w:val="CETEquation"/>
              <w:jc w:val="right"/>
            </w:pPr>
          </w:p>
        </w:tc>
      </w:tr>
    </w:tbl>
    <w:p w14:paraId="1F96CA21" w14:textId="7C165DFE" w:rsidR="00600535" w:rsidRPr="00B57B36" w:rsidRDefault="008F68D7" w:rsidP="00D1702C">
      <w:pPr>
        <w:pStyle w:val="CETheadingx"/>
      </w:pPr>
      <w:r>
        <w:t>Influence of the solvent nature and thermodynamic considerations</w:t>
      </w:r>
    </w:p>
    <w:p w14:paraId="5E4B62EE" w14:textId="44842798" w:rsidR="00970A1C" w:rsidRDefault="000B3274" w:rsidP="00FF3E2D">
      <w:pPr>
        <w:pStyle w:val="CETBodytext"/>
        <w:rPr>
          <w:lang w:val="en-GB"/>
        </w:rPr>
      </w:pPr>
      <w:r w:rsidRPr="000B3274">
        <w:rPr>
          <w:lang w:val="en-GB"/>
        </w:rPr>
        <w:t xml:space="preserve">In order to focus on the influence of the nature of the solvent on the severity of the explosion, and in particular </w:t>
      </w:r>
      <w:r w:rsidR="00FD38AB">
        <w:rPr>
          <w:lang w:val="en-GB"/>
        </w:rPr>
        <w:t xml:space="preserve">on the role of </w:t>
      </w:r>
      <w:r w:rsidRPr="000B3274">
        <w:rPr>
          <w:lang w:val="en-GB"/>
        </w:rPr>
        <w:t>its combustion and vaporisation enthalpies, experiments were carried out on mixtures of inert powders (MgO) and acetone or ethanol</w:t>
      </w:r>
      <w:r w:rsidR="00FD38AB">
        <w:rPr>
          <w:lang w:val="en-GB"/>
        </w:rPr>
        <w:t xml:space="preserve">. Figure 4 presents the evolution of </w:t>
      </w:r>
      <w:proofErr w:type="spellStart"/>
      <w:r w:rsidR="00FD38AB">
        <w:rPr>
          <w:lang w:val="en-GB"/>
        </w:rPr>
        <w:t>P</w:t>
      </w:r>
      <w:r w:rsidR="00FD38AB" w:rsidRPr="00FD38AB">
        <w:rPr>
          <w:vertAlign w:val="subscript"/>
          <w:lang w:val="en-GB"/>
        </w:rPr>
        <w:t>ex</w:t>
      </w:r>
      <w:proofErr w:type="spellEnd"/>
      <w:r w:rsidR="00FD38AB">
        <w:rPr>
          <w:lang w:val="en-GB"/>
        </w:rPr>
        <w:t xml:space="preserve"> and </w:t>
      </w:r>
      <w:proofErr w:type="spellStart"/>
      <w:r w:rsidR="00FD38AB">
        <w:rPr>
          <w:lang w:val="en-GB"/>
        </w:rPr>
        <w:t>dP</w:t>
      </w:r>
      <w:proofErr w:type="spellEnd"/>
      <w:r w:rsidR="00FD38AB">
        <w:rPr>
          <w:lang w:val="en-GB"/>
        </w:rPr>
        <w:t>/</w:t>
      </w:r>
      <w:proofErr w:type="spellStart"/>
      <w:r w:rsidR="00FD38AB">
        <w:rPr>
          <w:lang w:val="en-GB"/>
        </w:rPr>
        <w:t>dt</w:t>
      </w:r>
      <w:r w:rsidR="00FD38AB" w:rsidRPr="00FD38AB">
        <w:rPr>
          <w:vertAlign w:val="subscript"/>
          <w:lang w:val="en-GB"/>
        </w:rPr>
        <w:t>ex</w:t>
      </w:r>
      <w:proofErr w:type="spellEnd"/>
      <w:r w:rsidR="00FD38AB">
        <w:rPr>
          <w:lang w:val="en-GB"/>
        </w:rPr>
        <w:t xml:space="preserve"> as a function of the solvent content at </w:t>
      </w:r>
      <w:r w:rsidR="00DF5073">
        <w:rPr>
          <w:lang w:val="en-GB"/>
        </w:rPr>
        <w:t xml:space="preserve">a </w:t>
      </w:r>
      <w:r w:rsidR="00FD38AB">
        <w:rPr>
          <w:lang w:val="en-GB"/>
        </w:rPr>
        <w:t>fuel equivalence ratio</w:t>
      </w:r>
      <w:r w:rsidR="002C0D0E">
        <w:rPr>
          <w:lang w:val="en-GB"/>
        </w:rPr>
        <w:t xml:space="preserve"> (FER)</w:t>
      </w:r>
      <w:r w:rsidR="00FD38AB">
        <w:rPr>
          <w:lang w:val="en-GB"/>
        </w:rPr>
        <w:t xml:space="preserve"> set at 0.8</w:t>
      </w:r>
      <w:r w:rsidR="00366F54">
        <w:rPr>
          <w:lang w:val="en-GB"/>
        </w:rPr>
        <w:t>.</w:t>
      </w:r>
      <w:r w:rsidR="00FD38AB">
        <w:rPr>
          <w:lang w:val="en-GB"/>
        </w:rPr>
        <w:t xml:space="preserve"> </w:t>
      </w:r>
      <w:r w:rsidR="00366F54">
        <w:rPr>
          <w:lang w:val="en-GB"/>
        </w:rPr>
        <w:t>Although t</w:t>
      </w:r>
      <w:r w:rsidR="00FD38AB">
        <w:rPr>
          <w:lang w:val="en-GB"/>
        </w:rPr>
        <w:t xml:space="preserve">he number of fuel moles </w:t>
      </w:r>
      <w:r w:rsidR="00DF5073">
        <w:rPr>
          <w:lang w:val="en-GB"/>
        </w:rPr>
        <w:t>is</w:t>
      </w:r>
      <w:r w:rsidR="00FD38AB">
        <w:rPr>
          <w:lang w:val="en-GB"/>
        </w:rPr>
        <w:t xml:space="preserve"> constant</w:t>
      </w:r>
      <w:r w:rsidR="00366F54">
        <w:rPr>
          <w:lang w:val="en-GB"/>
        </w:rPr>
        <w:t xml:space="preserve">, the explosion severity reaches a maximum between 15 and 20 w.%. The decrease observed at 25 w.% can be related to the initial PSD change of the powder and the energy consumed to break the agglomerates created at such solvent concentration. </w:t>
      </w:r>
      <w:r w:rsidR="006261B2">
        <w:rPr>
          <w:lang w:val="en-GB"/>
        </w:rPr>
        <w:t>On the other hand, increasing the MgO concentration (i.e.</w:t>
      </w:r>
      <w:r w:rsidR="00DF5073">
        <w:rPr>
          <w:lang w:val="en-GB"/>
        </w:rPr>
        <w:t>,</w:t>
      </w:r>
      <w:r w:rsidR="006261B2">
        <w:rPr>
          <w:lang w:val="en-GB"/>
        </w:rPr>
        <w:t xml:space="preserve"> decreasing the solvent content) </w:t>
      </w:r>
      <w:r w:rsidR="00970A1C">
        <w:rPr>
          <w:lang w:val="en-GB"/>
        </w:rPr>
        <w:t>notably enhanced the heat sink effect, which is observable in Figure 4 (left)</w:t>
      </w:r>
      <w:r w:rsidR="00A6219E">
        <w:rPr>
          <w:lang w:val="en-GB"/>
        </w:rPr>
        <w:t xml:space="preserve">, but </w:t>
      </w:r>
      <w:r w:rsidR="00DF5073">
        <w:rPr>
          <w:lang w:val="en-GB"/>
        </w:rPr>
        <w:t xml:space="preserve">also </w:t>
      </w:r>
      <w:r w:rsidR="00A6219E">
        <w:rPr>
          <w:lang w:val="en-GB"/>
        </w:rPr>
        <w:t>has a strong impact on the explosion kinetics (Figure 4 - right).</w:t>
      </w:r>
    </w:p>
    <w:p w14:paraId="6DA8F053" w14:textId="1F83BE12" w:rsidR="007E2AA1" w:rsidRDefault="00FF3E2D" w:rsidP="00A6219E">
      <w:pPr>
        <w:pStyle w:val="CETBodytext"/>
        <w:spacing w:before="240" w:after="240"/>
        <w:rPr>
          <w:lang w:val="en-GB"/>
        </w:rPr>
      </w:pPr>
      <w:r>
        <w:rPr>
          <w:noProof/>
          <w:lang w:val="en-GB"/>
        </w:rPr>
        <w:drawing>
          <wp:inline distT="0" distB="0" distL="0" distR="0" wp14:anchorId="18205263" wp14:editId="4BB2355F">
            <wp:extent cx="3960000" cy="2271600"/>
            <wp:effectExtent l="0" t="0" r="2540" b="1905"/>
            <wp:docPr id="187744565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5658" name="Image 1877445658"/>
                    <pic:cNvPicPr/>
                  </pic:nvPicPr>
                  <pic:blipFill rotWithShape="1">
                    <a:blip r:embed="rId13"/>
                    <a:srcRect l="6221" t="7313" r="7752"/>
                    <a:stretch>
                      <a:fillRect/>
                    </a:stretch>
                  </pic:blipFill>
                  <pic:spPr bwMode="auto">
                    <a:xfrm>
                      <a:off x="0" y="0"/>
                      <a:ext cx="3960000" cy="2271600"/>
                    </a:xfrm>
                    <a:prstGeom prst="rect">
                      <a:avLst/>
                    </a:prstGeom>
                    <a:ln>
                      <a:noFill/>
                    </a:ln>
                    <a:extLst>
                      <a:ext uri="{53640926-AAD7-44D8-BBD7-CCE9431645EC}">
                        <a14:shadowObscured xmlns:a14="http://schemas.microsoft.com/office/drawing/2010/main"/>
                      </a:ext>
                    </a:extLst>
                  </pic:spPr>
                </pic:pic>
              </a:graphicData>
            </a:graphic>
          </wp:inline>
        </w:drawing>
      </w:r>
    </w:p>
    <w:p w14:paraId="02424064" w14:textId="70B13AA9" w:rsidR="00A6219E" w:rsidRDefault="00D2791E" w:rsidP="00A6219E">
      <w:pPr>
        <w:pStyle w:val="CETListbullets"/>
        <w:spacing w:after="120"/>
        <w:ind w:left="0" w:firstLine="0"/>
        <w:rPr>
          <w:rStyle w:val="CETCaptionCarattere"/>
        </w:rPr>
      </w:pPr>
      <w:r w:rsidRPr="00BD077D">
        <w:rPr>
          <w:rStyle w:val="CETCaptionCarattere"/>
        </w:rPr>
        <w:t xml:space="preserve">Figure </w:t>
      </w:r>
      <w:r w:rsidR="00310A36">
        <w:rPr>
          <w:rStyle w:val="CETCaptionCarattere"/>
        </w:rPr>
        <w:t>4</w:t>
      </w:r>
      <w:r w:rsidRPr="00BD077D">
        <w:rPr>
          <w:rStyle w:val="CETCaptionCarattere"/>
        </w:rPr>
        <w:t xml:space="preserve">: </w:t>
      </w:r>
      <w:r w:rsidR="002E4CA1">
        <w:rPr>
          <w:rStyle w:val="CETCaptionCarattere"/>
        </w:rPr>
        <w:t>Evolution of the explosion severity of prewetted MgO/solvent mixtures (</w:t>
      </w:r>
      <w:proofErr w:type="spellStart"/>
      <w:r w:rsidR="002E4CA1">
        <w:rPr>
          <w:rStyle w:val="CETCaptionCarattere"/>
        </w:rPr>
        <w:t>P</w:t>
      </w:r>
      <w:r w:rsidR="002E4CA1" w:rsidRPr="002E4CA1">
        <w:rPr>
          <w:rStyle w:val="CETCaptionCarattere"/>
          <w:vertAlign w:val="subscript"/>
        </w:rPr>
        <w:t>ex</w:t>
      </w:r>
      <w:proofErr w:type="spellEnd"/>
      <w:r w:rsidR="002E4CA1">
        <w:rPr>
          <w:rStyle w:val="CETCaptionCarattere"/>
        </w:rPr>
        <w:t xml:space="preserve"> - left; </w:t>
      </w:r>
      <w:proofErr w:type="spellStart"/>
      <w:r w:rsidR="002E4CA1">
        <w:rPr>
          <w:rStyle w:val="CETCaptionCarattere"/>
        </w:rPr>
        <w:t>dP</w:t>
      </w:r>
      <w:proofErr w:type="spellEnd"/>
      <w:r w:rsidR="002E4CA1">
        <w:rPr>
          <w:rStyle w:val="CETCaptionCarattere"/>
        </w:rPr>
        <w:t>/</w:t>
      </w:r>
      <w:proofErr w:type="spellStart"/>
      <w:r w:rsidR="002E4CA1">
        <w:rPr>
          <w:rStyle w:val="CETCaptionCarattere"/>
        </w:rPr>
        <w:t>dt</w:t>
      </w:r>
      <w:r w:rsidR="002E4CA1" w:rsidRPr="002E4CA1">
        <w:rPr>
          <w:rStyle w:val="CETCaptionCarattere"/>
          <w:vertAlign w:val="subscript"/>
        </w:rPr>
        <w:t>ex</w:t>
      </w:r>
      <w:proofErr w:type="spellEnd"/>
      <w:r w:rsidR="002E4CA1">
        <w:rPr>
          <w:rStyle w:val="CETCaptionCarattere"/>
        </w:rPr>
        <w:t xml:space="preserve"> - right)</w:t>
      </w:r>
    </w:p>
    <w:p w14:paraId="00973DDE" w14:textId="62834416" w:rsidR="00951A22" w:rsidRDefault="002C0D0E" w:rsidP="00970A1C">
      <w:pPr>
        <w:pStyle w:val="CETBodytext"/>
        <w:rPr>
          <w:lang w:val="en-GB"/>
        </w:rPr>
      </w:pPr>
      <w:r w:rsidRPr="002C0D0E">
        <w:rPr>
          <w:lang w:val="en-GB"/>
        </w:rPr>
        <w:t xml:space="preserve">At the same </w:t>
      </w:r>
      <w:r>
        <w:rPr>
          <w:lang w:val="en-GB"/>
        </w:rPr>
        <w:t>FER of 0.8</w:t>
      </w:r>
      <w:r w:rsidRPr="002C0D0E">
        <w:rPr>
          <w:lang w:val="en-GB"/>
        </w:rPr>
        <w:t>, acetone has a higher explosion severity than ethanol, which could be due to its lower enthalpy of vaporisation</w:t>
      </w:r>
      <w:r>
        <w:rPr>
          <w:lang w:val="en-GB"/>
        </w:rPr>
        <w:t xml:space="preserve"> (i.e.</w:t>
      </w:r>
      <w:r w:rsidR="00CA0FE9">
        <w:rPr>
          <w:lang w:val="en-GB"/>
        </w:rPr>
        <w:t>,</w:t>
      </w:r>
      <w:r>
        <w:rPr>
          <w:lang w:val="en-GB"/>
        </w:rPr>
        <w:t xml:space="preserve"> 31 and 42 kJ/mol, respectively)</w:t>
      </w:r>
      <w:r w:rsidRPr="002C0D0E">
        <w:rPr>
          <w:lang w:val="en-GB"/>
        </w:rPr>
        <w:t xml:space="preserve">. In all cases, hybrid </w:t>
      </w:r>
      <w:r w:rsidR="001B4E41">
        <w:rPr>
          <w:lang w:val="en-GB"/>
        </w:rPr>
        <w:t>vapour</w:t>
      </w:r>
      <w:r w:rsidRPr="002C0D0E">
        <w:rPr>
          <w:lang w:val="en-GB"/>
        </w:rPr>
        <w:t>/solid mixtures</w:t>
      </w:r>
      <w:r w:rsidR="001B4E41">
        <w:rPr>
          <w:lang w:val="en-GB"/>
        </w:rPr>
        <w:t xml:space="preserve">, tested using the procedure described by </w:t>
      </w:r>
      <w:r w:rsidR="001B4E41" w:rsidRPr="001B4E41">
        <w:t>Heilmann</w:t>
      </w:r>
      <w:r w:rsidR="001B4E41">
        <w:t xml:space="preserve"> et al. (2024)</w:t>
      </w:r>
      <w:r w:rsidR="00115F93">
        <w:t>,</w:t>
      </w:r>
      <w:r w:rsidR="000D2566">
        <w:rPr>
          <w:lang w:val="en-GB"/>
        </w:rPr>
        <w:t xml:space="preserve"> give</w:t>
      </w:r>
      <w:r>
        <w:rPr>
          <w:lang w:val="en-GB"/>
        </w:rPr>
        <w:t xml:space="preserve"> </w:t>
      </w:r>
      <w:r w:rsidRPr="002C0D0E">
        <w:rPr>
          <w:lang w:val="en-GB"/>
        </w:rPr>
        <w:t xml:space="preserve">higher </w:t>
      </w:r>
      <w:proofErr w:type="spellStart"/>
      <w:r>
        <w:rPr>
          <w:lang w:val="en-GB"/>
        </w:rPr>
        <w:t>dP</w:t>
      </w:r>
      <w:proofErr w:type="spellEnd"/>
      <w:r>
        <w:rPr>
          <w:lang w:val="en-GB"/>
        </w:rPr>
        <w:t>/</w:t>
      </w:r>
      <w:proofErr w:type="spellStart"/>
      <w:r>
        <w:rPr>
          <w:lang w:val="en-GB"/>
        </w:rPr>
        <w:t>dt</w:t>
      </w:r>
      <w:r w:rsidRPr="002C0D0E">
        <w:rPr>
          <w:vertAlign w:val="subscript"/>
          <w:lang w:val="en-GB"/>
        </w:rPr>
        <w:t>ex</w:t>
      </w:r>
      <w:proofErr w:type="spellEnd"/>
      <w:r>
        <w:rPr>
          <w:lang w:val="en-GB"/>
        </w:rPr>
        <w:t xml:space="preserve"> </w:t>
      </w:r>
      <w:r w:rsidRPr="002C0D0E">
        <w:rPr>
          <w:lang w:val="en-GB"/>
        </w:rPr>
        <w:t>than</w:t>
      </w:r>
      <w:r>
        <w:rPr>
          <w:lang w:val="en-GB"/>
        </w:rPr>
        <w:t xml:space="preserve"> </w:t>
      </w:r>
      <w:r w:rsidRPr="002C0D0E">
        <w:rPr>
          <w:lang w:val="en-GB"/>
        </w:rPr>
        <w:t>prewetted powders.</w:t>
      </w:r>
    </w:p>
    <w:p w14:paraId="01E06C5E" w14:textId="0FA986F6" w:rsidR="008F68D7" w:rsidRPr="00AF4BF9" w:rsidRDefault="000D2566" w:rsidP="008F68D7">
      <w:pPr>
        <w:pStyle w:val="CETBodytext"/>
        <w:rPr>
          <w:lang w:val="en-GB"/>
        </w:rPr>
      </w:pPr>
      <w:r w:rsidRPr="000D2566">
        <w:rPr>
          <w:lang w:val="en-GB"/>
        </w:rPr>
        <w:lastRenderedPageBreak/>
        <w:t>The</w:t>
      </w:r>
      <w:r>
        <w:rPr>
          <w:lang w:val="en-GB"/>
        </w:rPr>
        <w:t xml:space="preserve"> application of the</w:t>
      </w:r>
      <w:r w:rsidRPr="000D2566">
        <w:rPr>
          <w:lang w:val="en-GB"/>
        </w:rPr>
        <w:t xml:space="preserve"> thermod</w:t>
      </w:r>
      <w:r>
        <w:rPr>
          <w:lang w:val="en-GB"/>
        </w:rPr>
        <w:t xml:space="preserve">ynamic model leads to explosion pressure significantly lower than the observed </w:t>
      </w:r>
      <w:proofErr w:type="spellStart"/>
      <w:r>
        <w:rPr>
          <w:lang w:val="en-GB"/>
        </w:rPr>
        <w:t>P</w:t>
      </w:r>
      <w:r w:rsidRPr="000D2566">
        <w:rPr>
          <w:vertAlign w:val="subscript"/>
          <w:lang w:val="en-GB"/>
        </w:rPr>
        <w:t>ex</w:t>
      </w:r>
      <w:proofErr w:type="spellEnd"/>
      <w:r>
        <w:rPr>
          <w:lang w:val="en-GB"/>
        </w:rPr>
        <w:t xml:space="preserve"> (e.g.</w:t>
      </w:r>
      <w:r w:rsidR="00CA0FE9">
        <w:rPr>
          <w:lang w:val="en-GB"/>
        </w:rPr>
        <w:t>,</w:t>
      </w:r>
      <w:r>
        <w:rPr>
          <w:lang w:val="en-GB"/>
        </w:rPr>
        <w:t xml:space="preserve"> 8.2 bar at FER for ethanol); t</w:t>
      </w:r>
      <w:r w:rsidRPr="000D2566">
        <w:rPr>
          <w:lang w:val="en-GB"/>
        </w:rPr>
        <w:t xml:space="preserve">his discrepancy </w:t>
      </w:r>
      <w:r w:rsidR="00115F93">
        <w:rPr>
          <w:lang w:val="en-GB"/>
        </w:rPr>
        <w:t>is</w:t>
      </w:r>
      <w:r w:rsidRPr="000D2566">
        <w:rPr>
          <w:lang w:val="en-GB"/>
        </w:rPr>
        <w:t xml:space="preserve"> obviously due to the adiabatic</w:t>
      </w:r>
      <w:r>
        <w:rPr>
          <w:lang w:val="en-GB"/>
        </w:rPr>
        <w:t>ity assumption.</w:t>
      </w:r>
      <w:r w:rsidRPr="000D2566">
        <w:t xml:space="preserve"> </w:t>
      </w:r>
      <w:r w:rsidRPr="000D2566">
        <w:rPr>
          <w:lang w:val="en-GB"/>
        </w:rPr>
        <w:t>It also demonstrates that the effect of solvent evaporation accounts for only about 2% of the</w:t>
      </w:r>
      <w:r>
        <w:rPr>
          <w:lang w:val="en-GB"/>
        </w:rPr>
        <w:t xml:space="preserve"> final pressure. </w:t>
      </w:r>
      <w:r w:rsidR="00AF4BF9">
        <w:rPr>
          <w:lang w:val="en-GB"/>
        </w:rPr>
        <w:t>T</w:t>
      </w:r>
      <w:r w:rsidR="00AF4BF9" w:rsidRPr="00AF4BF9">
        <w:rPr>
          <w:lang w:val="en-GB"/>
        </w:rPr>
        <w:t xml:space="preserve">he thermal </w:t>
      </w:r>
      <w:r w:rsidR="00AF4BF9">
        <w:rPr>
          <w:lang w:val="en-GB"/>
        </w:rPr>
        <w:t>sink</w:t>
      </w:r>
      <w:r w:rsidR="00AF4BF9" w:rsidRPr="00AF4BF9">
        <w:rPr>
          <w:lang w:val="en-GB"/>
        </w:rPr>
        <w:t xml:space="preserve"> effect due to the sensible heat of the powder beco</w:t>
      </w:r>
      <w:r w:rsidR="00115F93">
        <w:rPr>
          <w:lang w:val="en-GB"/>
        </w:rPr>
        <w:t>mes</w:t>
      </w:r>
      <w:r w:rsidR="00AF4BF9" w:rsidRPr="00AF4BF9">
        <w:rPr>
          <w:lang w:val="en-GB"/>
        </w:rPr>
        <w:t xml:space="preserve"> greater than that of solvent evaporation as soon as the powder concentration exceeds 1000</w:t>
      </w:r>
      <w:r w:rsidR="00AF4BF9">
        <w:rPr>
          <w:lang w:val="en-GB"/>
        </w:rPr>
        <w:t xml:space="preserve"> g/m</w:t>
      </w:r>
      <w:r w:rsidR="00AF4BF9" w:rsidRPr="00AF4BF9">
        <w:rPr>
          <w:vertAlign w:val="superscript"/>
          <w:lang w:val="en-GB"/>
        </w:rPr>
        <w:t>3</w:t>
      </w:r>
      <w:r w:rsidR="00AF4BF9">
        <w:rPr>
          <w:lang w:val="en-GB"/>
        </w:rPr>
        <w:t xml:space="preserve"> in the specific case of MgO/solvent admixtures.</w:t>
      </w:r>
    </w:p>
    <w:p w14:paraId="7382C781" w14:textId="0AA78D0F" w:rsidR="00600535" w:rsidRPr="00B57B36" w:rsidRDefault="000815F0" w:rsidP="00416C6E">
      <w:pPr>
        <w:pStyle w:val="CETheadingx"/>
        <w:spacing w:before="120"/>
      </w:pPr>
      <w:r>
        <w:t xml:space="preserve">Effect of prewetting on the </w:t>
      </w:r>
      <w:r w:rsidR="00C56AE0">
        <w:t>ignition sensitivity</w:t>
      </w:r>
      <w:r>
        <w:t xml:space="preserve"> </w:t>
      </w:r>
    </w:p>
    <w:p w14:paraId="3DC11185" w14:textId="4A7DCDE7" w:rsidR="001567B5" w:rsidRDefault="00660431" w:rsidP="00600535">
      <w:pPr>
        <w:pStyle w:val="CETBodytext"/>
        <w:rPr>
          <w:lang w:val="en-GB"/>
        </w:rPr>
      </w:pPr>
      <w:r w:rsidRPr="00660431">
        <w:rPr>
          <w:lang w:val="en-GB"/>
        </w:rPr>
        <w:t xml:space="preserve">With regard to flammability limits, </w:t>
      </w:r>
      <w:r>
        <w:rPr>
          <w:lang w:val="en-GB"/>
        </w:rPr>
        <w:t>a</w:t>
      </w:r>
      <w:r w:rsidR="001567B5" w:rsidRPr="001567B5">
        <w:rPr>
          <w:lang w:val="en-GB"/>
        </w:rPr>
        <w:t xml:space="preserve">pplying Le Chatelier's law to magnesium stearate/ethanol </w:t>
      </w:r>
      <w:r>
        <w:rPr>
          <w:lang w:val="en-GB"/>
        </w:rPr>
        <w:t>ad</w:t>
      </w:r>
      <w:r w:rsidR="001567B5" w:rsidRPr="001567B5">
        <w:rPr>
          <w:lang w:val="en-GB"/>
        </w:rPr>
        <w:t>mixtures gives values very close to those obtained in the tests carried out (with relative deviations of around 4 to 5%).</w:t>
      </w:r>
    </w:p>
    <w:p w14:paraId="069FD595" w14:textId="7C3BB7C7" w:rsidR="00C56AE0" w:rsidRDefault="00660431" w:rsidP="00600535">
      <w:pPr>
        <w:pStyle w:val="CETBodytext"/>
        <w:rPr>
          <w:lang w:val="en-GB"/>
        </w:rPr>
      </w:pPr>
      <w:r>
        <w:rPr>
          <w:lang w:val="en-GB"/>
        </w:rPr>
        <w:t xml:space="preserve">Table 3 shows the impact of prewetting on the MIE of two liquid/solid mixtures. </w:t>
      </w:r>
      <w:r w:rsidRPr="00660431">
        <w:rPr>
          <w:lang w:val="en-GB"/>
        </w:rPr>
        <w:t xml:space="preserve">When </w:t>
      </w:r>
      <w:r>
        <w:rPr>
          <w:lang w:val="en-GB"/>
        </w:rPr>
        <w:t>the powder</w:t>
      </w:r>
      <w:r w:rsidRPr="00660431">
        <w:rPr>
          <w:lang w:val="en-GB"/>
        </w:rPr>
        <w:t xml:space="preserve"> is not highly flammable, such as wheat </w:t>
      </w:r>
      <w:proofErr w:type="spellStart"/>
      <w:r>
        <w:rPr>
          <w:lang w:val="en-GB"/>
        </w:rPr>
        <w:t>middling</w:t>
      </w:r>
      <w:r w:rsidR="00B938E6">
        <w:rPr>
          <w:lang w:val="en-GB"/>
        </w:rPr>
        <w:t>s</w:t>
      </w:r>
      <w:proofErr w:type="spellEnd"/>
      <w:r w:rsidRPr="00660431">
        <w:rPr>
          <w:lang w:val="en-GB"/>
        </w:rPr>
        <w:t xml:space="preserve">, adding combustible liquid tends to significantly decrease its </w:t>
      </w:r>
      <w:r>
        <w:rPr>
          <w:lang w:val="en-GB"/>
        </w:rPr>
        <w:t>MIE</w:t>
      </w:r>
      <w:r w:rsidRPr="00660431">
        <w:t xml:space="preserve"> </w:t>
      </w:r>
      <w:r>
        <w:rPr>
          <w:lang w:val="en-GB"/>
        </w:rPr>
        <w:t>until</w:t>
      </w:r>
      <w:r w:rsidRPr="00660431">
        <w:rPr>
          <w:lang w:val="en-GB"/>
        </w:rPr>
        <w:t xml:space="preserve"> the agglomeration of the powder prevents the mixture from being suspended homogeneously.</w:t>
      </w:r>
      <w:r>
        <w:rPr>
          <w:lang w:val="en-GB"/>
        </w:rPr>
        <w:t xml:space="preserve"> When the dust is highly flammable, e.g.</w:t>
      </w:r>
      <w:r w:rsidR="00CA0FE9">
        <w:rPr>
          <w:lang w:val="en-GB"/>
        </w:rPr>
        <w:t>,</w:t>
      </w:r>
      <w:r>
        <w:rPr>
          <w:lang w:val="en-GB"/>
        </w:rPr>
        <w:t xml:space="preserve"> for magnesium stearate, t</w:t>
      </w:r>
      <w:r w:rsidRPr="00660431">
        <w:rPr>
          <w:lang w:val="en-GB"/>
        </w:rPr>
        <w:t xml:space="preserve">he addition of flammable liquid may have a promoting effect on </w:t>
      </w:r>
      <w:r>
        <w:rPr>
          <w:lang w:val="en-GB"/>
        </w:rPr>
        <w:t>MIE</w:t>
      </w:r>
      <w:r w:rsidRPr="00660431">
        <w:rPr>
          <w:lang w:val="en-GB"/>
        </w:rPr>
        <w:t xml:space="preserve"> but only at low concentrations</w:t>
      </w:r>
      <w:r>
        <w:rPr>
          <w:lang w:val="en-GB"/>
        </w:rPr>
        <w:t>, here lower than 5 w.% ethanol</w:t>
      </w:r>
      <w:r w:rsidRPr="00660431">
        <w:rPr>
          <w:lang w:val="en-GB"/>
        </w:rPr>
        <w:t>.</w:t>
      </w:r>
      <w:r>
        <w:rPr>
          <w:lang w:val="en-GB"/>
        </w:rPr>
        <w:t xml:space="preserve"> As described in section 3.3, the increase in d</w:t>
      </w:r>
      <w:r w:rsidRPr="00660431">
        <w:rPr>
          <w:vertAlign w:val="subscript"/>
          <w:lang w:val="en-GB"/>
        </w:rPr>
        <w:t>90</w:t>
      </w:r>
      <w:r>
        <w:rPr>
          <w:lang w:val="en-GB"/>
        </w:rPr>
        <w:t xml:space="preserve"> due to granulation is certainly responsible for the </w:t>
      </w:r>
      <w:r w:rsidR="00021F13">
        <w:rPr>
          <w:lang w:val="en-GB"/>
        </w:rPr>
        <w:t xml:space="preserve">subsequent MIE increase. </w:t>
      </w:r>
    </w:p>
    <w:p w14:paraId="4E5602DB" w14:textId="0E8E0C08" w:rsidR="00C56AE0" w:rsidRPr="00B57B36" w:rsidRDefault="00C56AE0" w:rsidP="00C56AE0">
      <w:pPr>
        <w:pStyle w:val="CETTabletitle"/>
      </w:pPr>
      <w:r w:rsidRPr="00B57B36">
        <w:t xml:space="preserve">Table </w:t>
      </w:r>
      <w:r w:rsidR="001567B5">
        <w:t>3</w:t>
      </w:r>
      <w:r w:rsidRPr="00B57B36">
        <w:t xml:space="preserve">: </w:t>
      </w:r>
      <w:r w:rsidR="001567B5">
        <w:t>Influence of the flammable liquid content on the Minimum Ignition Energy</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544"/>
        <w:gridCol w:w="1134"/>
        <w:gridCol w:w="1134"/>
        <w:gridCol w:w="1134"/>
        <w:gridCol w:w="1134"/>
      </w:tblGrid>
      <w:tr w:rsidR="00C56AE0" w:rsidRPr="00B57B36" w14:paraId="2AED8D3C" w14:textId="77777777" w:rsidTr="00CA7FE7">
        <w:tc>
          <w:tcPr>
            <w:tcW w:w="3544" w:type="dxa"/>
            <w:tcBorders>
              <w:top w:val="single" w:sz="12" w:space="0" w:color="008000"/>
              <w:bottom w:val="single" w:sz="6" w:space="0" w:color="008000"/>
            </w:tcBorders>
            <w:shd w:val="clear" w:color="auto" w:fill="FFFFFF"/>
          </w:tcPr>
          <w:p w14:paraId="54B877FB" w14:textId="77777777" w:rsidR="00C56AE0" w:rsidRPr="00B57B36" w:rsidRDefault="00C56AE0" w:rsidP="00CA7FE7">
            <w:pPr>
              <w:pStyle w:val="CETBodytext"/>
              <w:rPr>
                <w:lang w:val="en-GB"/>
              </w:rPr>
            </w:pPr>
            <w:r>
              <w:rPr>
                <w:lang w:val="en-GB"/>
              </w:rPr>
              <w:t>Solvent conc.   w.%</w:t>
            </w:r>
            <w:r w:rsidRPr="00B57B36">
              <w:rPr>
                <w:lang w:val="en-GB"/>
              </w:rPr>
              <w:t xml:space="preserve"> </w:t>
            </w:r>
          </w:p>
        </w:tc>
        <w:tc>
          <w:tcPr>
            <w:tcW w:w="1134" w:type="dxa"/>
            <w:tcBorders>
              <w:top w:val="single" w:sz="12" w:space="0" w:color="008000"/>
              <w:bottom w:val="single" w:sz="6" w:space="0" w:color="008000"/>
            </w:tcBorders>
            <w:shd w:val="clear" w:color="auto" w:fill="FFFFFF"/>
          </w:tcPr>
          <w:p w14:paraId="43DFABA7" w14:textId="77777777" w:rsidR="00C56AE0" w:rsidRPr="00B57B36" w:rsidRDefault="00C56AE0" w:rsidP="00CA7FE7">
            <w:pPr>
              <w:pStyle w:val="CETBodytext"/>
              <w:rPr>
                <w:lang w:val="en-GB"/>
              </w:rPr>
            </w:pPr>
            <w:r>
              <w:rPr>
                <w:lang w:val="en-GB"/>
              </w:rPr>
              <w:t>0</w:t>
            </w:r>
          </w:p>
        </w:tc>
        <w:tc>
          <w:tcPr>
            <w:tcW w:w="1134" w:type="dxa"/>
            <w:tcBorders>
              <w:top w:val="single" w:sz="12" w:space="0" w:color="008000"/>
              <w:bottom w:val="single" w:sz="6" w:space="0" w:color="008000"/>
            </w:tcBorders>
            <w:shd w:val="clear" w:color="auto" w:fill="FFFFFF"/>
          </w:tcPr>
          <w:p w14:paraId="76C90CD7" w14:textId="77777777" w:rsidR="00C56AE0" w:rsidRPr="00B57B36" w:rsidRDefault="00C56AE0" w:rsidP="00CA7FE7">
            <w:pPr>
              <w:pStyle w:val="CETBodytext"/>
              <w:rPr>
                <w:lang w:val="en-GB"/>
              </w:rPr>
            </w:pPr>
            <w:r>
              <w:rPr>
                <w:lang w:val="en-GB"/>
              </w:rPr>
              <w:t>5</w:t>
            </w:r>
          </w:p>
        </w:tc>
        <w:tc>
          <w:tcPr>
            <w:tcW w:w="1134" w:type="dxa"/>
            <w:tcBorders>
              <w:top w:val="single" w:sz="12" w:space="0" w:color="008000"/>
              <w:bottom w:val="single" w:sz="6" w:space="0" w:color="008000"/>
            </w:tcBorders>
            <w:shd w:val="clear" w:color="auto" w:fill="FFFFFF"/>
          </w:tcPr>
          <w:p w14:paraId="19FE98E2" w14:textId="77777777" w:rsidR="00C56AE0" w:rsidRPr="00B57B36" w:rsidRDefault="00C56AE0" w:rsidP="00CA7FE7">
            <w:pPr>
              <w:pStyle w:val="CETBodytext"/>
              <w:ind w:right="-1"/>
              <w:rPr>
                <w:rFonts w:cs="Arial"/>
                <w:szCs w:val="18"/>
                <w:lang w:val="en-GB"/>
              </w:rPr>
            </w:pPr>
            <w:r>
              <w:rPr>
                <w:rFonts w:cs="Arial"/>
                <w:szCs w:val="18"/>
                <w:lang w:val="en-GB"/>
              </w:rPr>
              <w:t>10</w:t>
            </w:r>
          </w:p>
        </w:tc>
        <w:tc>
          <w:tcPr>
            <w:tcW w:w="1134" w:type="dxa"/>
            <w:tcBorders>
              <w:top w:val="single" w:sz="12" w:space="0" w:color="008000"/>
              <w:bottom w:val="single" w:sz="6" w:space="0" w:color="008000"/>
            </w:tcBorders>
            <w:shd w:val="clear" w:color="auto" w:fill="FFFFFF"/>
          </w:tcPr>
          <w:p w14:paraId="573BC47B" w14:textId="77777777" w:rsidR="00C56AE0" w:rsidRDefault="00C56AE0" w:rsidP="00CA7FE7">
            <w:pPr>
              <w:pStyle w:val="CETBodytext"/>
              <w:ind w:right="-1"/>
              <w:rPr>
                <w:rFonts w:cs="Arial"/>
                <w:szCs w:val="18"/>
                <w:lang w:val="en-GB"/>
              </w:rPr>
            </w:pPr>
            <w:r>
              <w:rPr>
                <w:rFonts w:cs="Arial"/>
                <w:szCs w:val="18"/>
                <w:lang w:val="en-GB"/>
              </w:rPr>
              <w:t>16</w:t>
            </w:r>
          </w:p>
        </w:tc>
      </w:tr>
      <w:tr w:rsidR="00C56AE0" w:rsidRPr="00B57B36" w14:paraId="7128EB86" w14:textId="77777777" w:rsidTr="00CA7FE7">
        <w:tc>
          <w:tcPr>
            <w:tcW w:w="3544" w:type="dxa"/>
            <w:shd w:val="clear" w:color="auto" w:fill="FFFFFF"/>
          </w:tcPr>
          <w:p w14:paraId="764FF582" w14:textId="1A064B53" w:rsidR="00C56AE0" w:rsidRPr="00B57B36" w:rsidRDefault="00C56AE0" w:rsidP="00CA7FE7">
            <w:pPr>
              <w:pStyle w:val="CETBodytext"/>
              <w:rPr>
                <w:lang w:val="en-GB"/>
              </w:rPr>
            </w:pPr>
            <w:r>
              <w:rPr>
                <w:lang w:val="en-GB"/>
              </w:rPr>
              <w:t xml:space="preserve">MIE(Eucalyptus/wheat </w:t>
            </w:r>
            <w:proofErr w:type="spellStart"/>
            <w:r>
              <w:rPr>
                <w:lang w:val="en-GB"/>
              </w:rPr>
              <w:t>middling</w:t>
            </w:r>
            <w:r w:rsidR="00B938E6">
              <w:rPr>
                <w:lang w:val="en-GB"/>
              </w:rPr>
              <w:t>s</w:t>
            </w:r>
            <w:proofErr w:type="spellEnd"/>
            <w:r>
              <w:rPr>
                <w:lang w:val="en-GB"/>
              </w:rPr>
              <w:t>) (</w:t>
            </w:r>
            <w:proofErr w:type="spellStart"/>
            <w:r>
              <w:rPr>
                <w:lang w:val="en-GB"/>
              </w:rPr>
              <w:t>mJ</w:t>
            </w:r>
            <w:proofErr w:type="spellEnd"/>
            <w:r>
              <w:rPr>
                <w:lang w:val="en-GB"/>
              </w:rPr>
              <w:t>)</w:t>
            </w:r>
          </w:p>
        </w:tc>
        <w:tc>
          <w:tcPr>
            <w:tcW w:w="1134" w:type="dxa"/>
            <w:shd w:val="clear" w:color="auto" w:fill="FFFFFF"/>
          </w:tcPr>
          <w:p w14:paraId="748A7DB3" w14:textId="77777777" w:rsidR="00C56AE0" w:rsidRPr="00B57B36" w:rsidRDefault="00C56AE0" w:rsidP="00CA7FE7">
            <w:pPr>
              <w:pStyle w:val="CETBodytext"/>
              <w:rPr>
                <w:lang w:val="en-GB"/>
              </w:rPr>
            </w:pPr>
            <w:r>
              <w:rPr>
                <w:lang w:val="en-GB"/>
              </w:rPr>
              <w:t>&gt; 1000</w:t>
            </w:r>
          </w:p>
        </w:tc>
        <w:tc>
          <w:tcPr>
            <w:tcW w:w="1134" w:type="dxa"/>
            <w:shd w:val="clear" w:color="auto" w:fill="FFFFFF"/>
          </w:tcPr>
          <w:p w14:paraId="00053770" w14:textId="77777777" w:rsidR="00C56AE0" w:rsidRPr="00B57B36" w:rsidRDefault="00C56AE0" w:rsidP="00CA7FE7">
            <w:pPr>
              <w:pStyle w:val="CETBodytext"/>
              <w:rPr>
                <w:lang w:val="en-GB"/>
              </w:rPr>
            </w:pPr>
            <w:r>
              <w:rPr>
                <w:lang w:val="en-GB"/>
              </w:rPr>
              <w:t>540</w:t>
            </w:r>
          </w:p>
        </w:tc>
        <w:tc>
          <w:tcPr>
            <w:tcW w:w="1134" w:type="dxa"/>
            <w:shd w:val="clear" w:color="auto" w:fill="FFFFFF"/>
          </w:tcPr>
          <w:p w14:paraId="632C7D75" w14:textId="77777777" w:rsidR="00C56AE0" w:rsidRPr="00B57B36" w:rsidRDefault="00C56AE0" w:rsidP="00CA7FE7">
            <w:pPr>
              <w:pStyle w:val="CETBodytext"/>
              <w:ind w:right="-1"/>
              <w:rPr>
                <w:rFonts w:cs="Arial"/>
                <w:szCs w:val="18"/>
                <w:lang w:val="en-GB"/>
              </w:rPr>
            </w:pPr>
            <w:r>
              <w:rPr>
                <w:rFonts w:cs="Arial"/>
                <w:szCs w:val="18"/>
                <w:lang w:val="en-GB"/>
              </w:rPr>
              <w:t>170</w:t>
            </w:r>
          </w:p>
        </w:tc>
        <w:tc>
          <w:tcPr>
            <w:tcW w:w="1134" w:type="dxa"/>
            <w:shd w:val="clear" w:color="auto" w:fill="FFFFFF"/>
          </w:tcPr>
          <w:p w14:paraId="3CD5CD11" w14:textId="77777777" w:rsidR="00C56AE0" w:rsidRPr="00B57B36" w:rsidRDefault="00C56AE0" w:rsidP="00CA7FE7">
            <w:pPr>
              <w:pStyle w:val="CETBodytext"/>
              <w:ind w:right="-1"/>
              <w:rPr>
                <w:rFonts w:cs="Arial"/>
                <w:szCs w:val="18"/>
                <w:lang w:val="en-GB"/>
              </w:rPr>
            </w:pPr>
            <w:r>
              <w:rPr>
                <w:rFonts w:cs="Arial"/>
                <w:szCs w:val="18"/>
                <w:lang w:val="en-GB"/>
              </w:rPr>
              <w:t>-</w:t>
            </w:r>
          </w:p>
        </w:tc>
      </w:tr>
      <w:tr w:rsidR="00C56AE0" w:rsidRPr="00B57B36" w14:paraId="4C4240CD" w14:textId="77777777" w:rsidTr="00CA7FE7">
        <w:tc>
          <w:tcPr>
            <w:tcW w:w="3544" w:type="dxa"/>
            <w:shd w:val="clear" w:color="auto" w:fill="FFFFFF"/>
          </w:tcPr>
          <w:p w14:paraId="49E07887" w14:textId="77777777" w:rsidR="00C56AE0" w:rsidRPr="00B57B36" w:rsidRDefault="00C56AE0" w:rsidP="00CA7FE7">
            <w:pPr>
              <w:pStyle w:val="CETBodytext"/>
              <w:ind w:right="-1"/>
              <w:rPr>
                <w:rFonts w:cs="Arial"/>
                <w:szCs w:val="18"/>
                <w:lang w:val="en-GB"/>
              </w:rPr>
            </w:pPr>
            <w:r>
              <w:rPr>
                <w:rFonts w:cs="Arial"/>
                <w:szCs w:val="18"/>
                <w:lang w:val="en-GB"/>
              </w:rPr>
              <w:t>MIE(Ethanol/magnesium stearate) (</w:t>
            </w:r>
            <w:proofErr w:type="spellStart"/>
            <w:r>
              <w:rPr>
                <w:rFonts w:cs="Arial"/>
                <w:szCs w:val="18"/>
                <w:lang w:val="en-GB"/>
              </w:rPr>
              <w:t>mJ</w:t>
            </w:r>
            <w:proofErr w:type="spellEnd"/>
            <w:r>
              <w:rPr>
                <w:rFonts w:cs="Arial"/>
                <w:szCs w:val="18"/>
                <w:lang w:val="en-GB"/>
              </w:rPr>
              <w:t>)</w:t>
            </w:r>
          </w:p>
        </w:tc>
        <w:tc>
          <w:tcPr>
            <w:tcW w:w="1134" w:type="dxa"/>
            <w:shd w:val="clear" w:color="auto" w:fill="FFFFFF"/>
          </w:tcPr>
          <w:p w14:paraId="437CAED5" w14:textId="77777777" w:rsidR="00C56AE0" w:rsidRPr="00B57B36" w:rsidRDefault="00C56AE0" w:rsidP="00CA7FE7">
            <w:pPr>
              <w:pStyle w:val="CETBodytext"/>
              <w:ind w:right="-1"/>
              <w:rPr>
                <w:rFonts w:cs="Arial"/>
                <w:szCs w:val="18"/>
                <w:lang w:val="en-GB"/>
              </w:rPr>
            </w:pPr>
            <w:r>
              <w:rPr>
                <w:rFonts w:cs="Arial"/>
                <w:szCs w:val="18"/>
                <w:lang w:val="en-GB"/>
              </w:rPr>
              <w:t>5</w:t>
            </w:r>
          </w:p>
        </w:tc>
        <w:tc>
          <w:tcPr>
            <w:tcW w:w="1134" w:type="dxa"/>
            <w:shd w:val="clear" w:color="auto" w:fill="FFFFFF"/>
          </w:tcPr>
          <w:p w14:paraId="214BE86A" w14:textId="77777777" w:rsidR="00C56AE0" w:rsidRPr="00B57B36" w:rsidRDefault="00C56AE0" w:rsidP="00CA7FE7">
            <w:pPr>
              <w:pStyle w:val="CETBodytext"/>
              <w:ind w:right="-1"/>
              <w:rPr>
                <w:rFonts w:cs="Arial"/>
                <w:szCs w:val="18"/>
                <w:lang w:val="en-GB"/>
              </w:rPr>
            </w:pPr>
            <w:r>
              <w:rPr>
                <w:rFonts w:cs="Arial"/>
                <w:szCs w:val="18"/>
                <w:lang w:val="en-GB"/>
              </w:rPr>
              <w:t>1.7</w:t>
            </w:r>
          </w:p>
        </w:tc>
        <w:tc>
          <w:tcPr>
            <w:tcW w:w="1134" w:type="dxa"/>
            <w:shd w:val="clear" w:color="auto" w:fill="FFFFFF"/>
          </w:tcPr>
          <w:p w14:paraId="781FE579" w14:textId="77777777" w:rsidR="00C56AE0" w:rsidRPr="00B57B36" w:rsidRDefault="00C56AE0" w:rsidP="00CA7FE7">
            <w:pPr>
              <w:pStyle w:val="CETBodytext"/>
              <w:ind w:right="-1"/>
              <w:rPr>
                <w:rFonts w:cs="Arial"/>
                <w:szCs w:val="18"/>
                <w:lang w:val="en-GB"/>
              </w:rPr>
            </w:pPr>
            <w:r>
              <w:rPr>
                <w:rFonts w:cs="Arial"/>
                <w:szCs w:val="18"/>
                <w:lang w:val="en-GB"/>
              </w:rPr>
              <w:t>25</w:t>
            </w:r>
          </w:p>
        </w:tc>
        <w:tc>
          <w:tcPr>
            <w:tcW w:w="1134" w:type="dxa"/>
            <w:shd w:val="clear" w:color="auto" w:fill="FFFFFF"/>
          </w:tcPr>
          <w:p w14:paraId="7AB35148" w14:textId="77777777" w:rsidR="00C56AE0" w:rsidRPr="00B57B36" w:rsidRDefault="00C56AE0" w:rsidP="00CA7FE7">
            <w:pPr>
              <w:pStyle w:val="CETBodytext"/>
              <w:ind w:right="-1"/>
              <w:rPr>
                <w:rFonts w:cs="Arial"/>
                <w:szCs w:val="18"/>
                <w:lang w:val="en-GB"/>
              </w:rPr>
            </w:pPr>
            <w:r>
              <w:rPr>
                <w:rFonts w:cs="Arial"/>
                <w:szCs w:val="18"/>
                <w:lang w:val="en-GB"/>
              </w:rPr>
              <w:t>55</w:t>
            </w:r>
          </w:p>
        </w:tc>
      </w:tr>
    </w:tbl>
    <w:p w14:paraId="68D26B83" w14:textId="77777777" w:rsidR="00600535" w:rsidRPr="00B57B36" w:rsidRDefault="00600535" w:rsidP="00600535">
      <w:pPr>
        <w:pStyle w:val="CETHeading1"/>
        <w:rPr>
          <w:lang w:val="en-GB"/>
        </w:rPr>
      </w:pPr>
      <w:r w:rsidRPr="00B57B36">
        <w:rPr>
          <w:lang w:val="en-GB"/>
        </w:rPr>
        <w:t>Conclusions</w:t>
      </w:r>
    </w:p>
    <w:p w14:paraId="5D1952AA" w14:textId="232224B0" w:rsidR="00141A5F" w:rsidRDefault="00D35B22" w:rsidP="00A97F2E">
      <w:pPr>
        <w:pStyle w:val="CETBodytext"/>
        <w:rPr>
          <w:lang w:val="en-GB"/>
        </w:rPr>
      </w:pPr>
      <w:r w:rsidRPr="0085423A">
        <w:rPr>
          <w:lang w:val="en-GB"/>
        </w:rPr>
        <w:t>Explosion severity and MIE can be significantly modified when prewetting powders</w:t>
      </w:r>
      <w:r w:rsidR="0085423A">
        <w:rPr>
          <w:lang w:val="en-GB"/>
        </w:rPr>
        <w:t xml:space="preserve"> with flammable liquids</w:t>
      </w:r>
      <w:r w:rsidRPr="0085423A">
        <w:rPr>
          <w:lang w:val="en-GB"/>
        </w:rPr>
        <w:t xml:space="preserve">. </w:t>
      </w:r>
      <w:r w:rsidR="0085423A" w:rsidRPr="0085423A">
        <w:rPr>
          <w:lang w:val="en-GB"/>
        </w:rPr>
        <w:t xml:space="preserve">Although the </w:t>
      </w:r>
      <w:r w:rsidR="0085423A">
        <w:rPr>
          <w:lang w:val="en-GB"/>
        </w:rPr>
        <w:t xml:space="preserve">global </w:t>
      </w:r>
      <w:r w:rsidR="0085423A" w:rsidRPr="0085423A">
        <w:rPr>
          <w:lang w:val="en-GB"/>
        </w:rPr>
        <w:t>fuel equivalence ratio has a major influence, the solvent content nevertheless plays a significant role in the evolution of safety parameters. This impact can be positive, especially on less flammable powders, or negative impact</w:t>
      </w:r>
      <w:r w:rsidR="00A61D2A">
        <w:rPr>
          <w:lang w:val="en-GB"/>
        </w:rPr>
        <w:t>,</w:t>
      </w:r>
      <w:r w:rsidR="0085423A" w:rsidRPr="0085423A">
        <w:rPr>
          <w:lang w:val="en-GB"/>
        </w:rPr>
        <w:t xml:space="preserve"> essentially on highly flammable powders</w:t>
      </w:r>
      <w:r w:rsidR="00FD4A9D">
        <w:rPr>
          <w:lang w:val="en-GB"/>
        </w:rPr>
        <w:t>, making</w:t>
      </w:r>
      <w:r w:rsidR="00FD4A9D" w:rsidRPr="00FD4A9D">
        <w:rPr>
          <w:lang w:val="en-GB"/>
        </w:rPr>
        <w:t xml:space="preserve"> any generalisation unsafe.</w:t>
      </w:r>
      <w:r w:rsidR="00FD4A9D" w:rsidRPr="00FD4A9D">
        <w:t xml:space="preserve"> </w:t>
      </w:r>
      <w:r w:rsidR="00B938E6" w:rsidRPr="00B938E6">
        <w:t xml:space="preserve">The cause of these variations is to be found not so much in the heat of </w:t>
      </w:r>
      <w:r w:rsidR="00B938E6">
        <w:t>vaporization of the liquid</w:t>
      </w:r>
      <w:r w:rsidR="00B938E6" w:rsidRPr="00B938E6">
        <w:t xml:space="preserve"> as in </w:t>
      </w:r>
      <w:r w:rsidR="00FD4A9D" w:rsidRPr="00FD4A9D">
        <w:rPr>
          <w:lang w:val="en-GB"/>
        </w:rPr>
        <w:t xml:space="preserve">the energy expended in breaking up </w:t>
      </w:r>
      <w:r w:rsidR="00FD4A9D">
        <w:rPr>
          <w:lang w:val="en-GB"/>
        </w:rPr>
        <w:t>agglomerates</w:t>
      </w:r>
      <w:r w:rsidR="00FD4A9D" w:rsidRPr="00FD4A9D">
        <w:rPr>
          <w:lang w:val="en-GB"/>
        </w:rPr>
        <w:t xml:space="preserve">, or </w:t>
      </w:r>
      <w:r w:rsidR="00B938E6">
        <w:rPr>
          <w:lang w:val="en-GB"/>
        </w:rPr>
        <w:t>in</w:t>
      </w:r>
      <w:r w:rsidR="00FD4A9D" w:rsidRPr="00FD4A9D">
        <w:rPr>
          <w:lang w:val="en-GB"/>
        </w:rPr>
        <w:t xml:space="preserve"> the </w:t>
      </w:r>
      <w:r w:rsidR="00C43F85">
        <w:rPr>
          <w:lang w:val="en-GB"/>
        </w:rPr>
        <w:t>nominal</w:t>
      </w:r>
      <w:r w:rsidR="00FD4A9D" w:rsidRPr="00FD4A9D">
        <w:rPr>
          <w:lang w:val="en-GB"/>
        </w:rPr>
        <w:t xml:space="preserve"> or local variation in the FER.</w:t>
      </w:r>
    </w:p>
    <w:p w14:paraId="37CD037A" w14:textId="7B544DDF" w:rsidR="00B938E6" w:rsidRPr="005A7E43" w:rsidRDefault="00FD2612" w:rsidP="00A97F2E">
      <w:pPr>
        <w:pStyle w:val="CETBodytext"/>
      </w:pPr>
      <w:r w:rsidRPr="00FD2612">
        <w:t xml:space="preserve">These preliminary results highlight the importance of: a) selecting samples that are representative of the conditions encountered throughout the process (not necessarily the final and/or dried sample), b) taking into account the presence of flammable liquid whenever its concentration may represent at least 25% of the LEL in the </w:t>
      </w:r>
      <w:r w:rsidR="005A7E43" w:rsidRPr="00FD2612">
        <w:t>vapor</w:t>
      </w:r>
      <w:r w:rsidRPr="00FD2612">
        <w:t xml:space="preserve"> phase (ISO 60079-10-1), c) to consider the possibility that a small addition of liquid (5</w:t>
      </w:r>
      <w:r w:rsidR="005A7E43">
        <w:t xml:space="preserve"> w.</w:t>
      </w:r>
      <w:r w:rsidRPr="00FD2612">
        <w:t xml:space="preserve">% or less) may result in changes to the St class of the powders and therefore a potential modification of the vent sizing. </w:t>
      </w:r>
    </w:p>
    <w:p w14:paraId="00BA3D4F" w14:textId="0050B02B" w:rsidR="00C52C3C" w:rsidRDefault="00600535" w:rsidP="002A26AA">
      <w:pPr>
        <w:pStyle w:val="CETReference"/>
      </w:pPr>
      <w:r w:rsidRPr="00B57B36">
        <w:t>References</w:t>
      </w:r>
    </w:p>
    <w:p w14:paraId="0E99F531" w14:textId="77777777" w:rsidR="002A26AA" w:rsidRPr="002A26AA" w:rsidRDefault="002A26AA" w:rsidP="002A26AA">
      <w:pPr>
        <w:pStyle w:val="CETReferencetext"/>
      </w:pPr>
      <w:r w:rsidRPr="002A26AA">
        <w:t>ARIA, Analysis, Research and Information on Accidents Database, 2021, database exploited by the Industrial Risks and Pollution Analysis Office (BARPI), part of the French Ministry of Ecological Transition, &lt;aria.developpement-durable.gouv.fr&gt; accessed 20.01.2026.</w:t>
      </w:r>
    </w:p>
    <w:p w14:paraId="2153D0A6" w14:textId="0B9BDD3B" w:rsidR="00055AB4" w:rsidRDefault="00055AB4" w:rsidP="00055AB4">
      <w:pPr>
        <w:pStyle w:val="CETReferencetext"/>
      </w:pPr>
      <w:r w:rsidRPr="002A26AA">
        <w:t xml:space="preserve">Dufaud O., Danzi E., Marmo L., 2025, Influence of </w:t>
      </w:r>
      <w:r w:rsidR="002661BE" w:rsidRPr="002A26AA">
        <w:t>O</w:t>
      </w:r>
      <w:r w:rsidRPr="002A26AA">
        <w:t xml:space="preserve">perating </w:t>
      </w:r>
      <w:r w:rsidR="002661BE" w:rsidRPr="002A26AA">
        <w:t>C</w:t>
      </w:r>
      <w:r w:rsidRPr="002A26AA">
        <w:t xml:space="preserve">onditions on </w:t>
      </w:r>
      <w:r w:rsidR="002661BE" w:rsidRPr="002A26AA">
        <w:t>P</w:t>
      </w:r>
      <w:r w:rsidRPr="002A26AA">
        <w:t xml:space="preserve">re-wetted </w:t>
      </w:r>
      <w:r w:rsidR="002661BE" w:rsidRPr="002A26AA">
        <w:t>P</w:t>
      </w:r>
      <w:r w:rsidRPr="002A26AA">
        <w:t xml:space="preserve">owder </w:t>
      </w:r>
      <w:r w:rsidR="002661BE" w:rsidRPr="002A26AA">
        <w:t>E</w:t>
      </w:r>
      <w:r w:rsidRPr="002A26AA">
        <w:t>xplosion, Chem. Eng. Trans., 116, 373 – 378</w:t>
      </w:r>
      <w:r w:rsidR="002661BE" w:rsidRPr="002A26AA">
        <w:t>.</w:t>
      </w:r>
    </w:p>
    <w:p w14:paraId="3D7A3E10" w14:textId="6A0D9319" w:rsidR="00C35300" w:rsidRDefault="0014456C" w:rsidP="00C35300">
      <w:pPr>
        <w:pStyle w:val="CETReferencetext"/>
      </w:pPr>
      <w:r>
        <w:t xml:space="preserve">Dufaud O., Perrin L., Traore M., </w:t>
      </w:r>
      <w:proofErr w:type="spellStart"/>
      <w:r>
        <w:t>Chazelet</w:t>
      </w:r>
      <w:proofErr w:type="spellEnd"/>
      <w:r>
        <w:t xml:space="preserve"> S., Thomas D., 2009, Explosions of Vapour/Dust Hybrid Mixtures: A particular class, Powder Tech</w:t>
      </w:r>
      <w:r w:rsidR="00F16E05">
        <w:t>.</w:t>
      </w:r>
      <w:r>
        <w:t>, 190</w:t>
      </w:r>
      <w:r w:rsidR="00B91D16">
        <w:t xml:space="preserve"> </w:t>
      </w:r>
      <w:r>
        <w:t>(1</w:t>
      </w:r>
      <w:r w:rsidR="00B91D16">
        <w:t>-</w:t>
      </w:r>
      <w:r>
        <w:t>2), 269-273.</w:t>
      </w:r>
    </w:p>
    <w:p w14:paraId="7EF0E442" w14:textId="4A0AFDB8" w:rsidR="00055AB4" w:rsidRPr="001B4E41" w:rsidRDefault="00055AB4" w:rsidP="00C35300">
      <w:pPr>
        <w:pStyle w:val="CETReferencetext"/>
      </w:pPr>
      <w:r w:rsidRPr="002A26AA">
        <w:t xml:space="preserve">Hossain M.N., Amyotte P., </w:t>
      </w:r>
      <w:proofErr w:type="spellStart"/>
      <w:r w:rsidRPr="002A26AA">
        <w:t>Abuswer</w:t>
      </w:r>
      <w:proofErr w:type="spellEnd"/>
      <w:r w:rsidRPr="002A26AA">
        <w:t xml:space="preserve"> M., </w:t>
      </w:r>
      <w:proofErr w:type="spellStart"/>
      <w:r w:rsidRPr="002A26AA">
        <w:t>Dastidar</w:t>
      </w:r>
      <w:proofErr w:type="spellEnd"/>
      <w:r w:rsidRPr="002A26AA">
        <w:t xml:space="preserve"> A., Khan F., Eckhoff R., </w:t>
      </w:r>
      <w:proofErr w:type="spellStart"/>
      <w:r w:rsidRPr="002A26AA">
        <w:t>Chunmiao</w:t>
      </w:r>
      <w:proofErr w:type="spellEnd"/>
      <w:r w:rsidRPr="002A26AA">
        <w:t xml:space="preserve"> Y., 2014, Influence of </w:t>
      </w:r>
      <w:r w:rsidR="002661BE" w:rsidRPr="002A26AA">
        <w:t>L</w:t>
      </w:r>
      <w:r w:rsidRPr="002A26AA">
        <w:t xml:space="preserve">iquid </w:t>
      </w:r>
      <w:r w:rsidRPr="001B4E41">
        <w:t xml:space="preserve">and </w:t>
      </w:r>
      <w:proofErr w:type="spellStart"/>
      <w:r w:rsidR="002661BE" w:rsidRPr="001B4E41">
        <w:t>V</w:t>
      </w:r>
      <w:r w:rsidRPr="001B4E41">
        <w:t>apourized</w:t>
      </w:r>
      <w:proofErr w:type="spellEnd"/>
      <w:r w:rsidRPr="001B4E41">
        <w:t xml:space="preserve"> </w:t>
      </w:r>
      <w:r w:rsidR="002661BE" w:rsidRPr="001B4E41">
        <w:t>S</w:t>
      </w:r>
      <w:r w:rsidRPr="001B4E41">
        <w:t xml:space="preserve">olvents on </w:t>
      </w:r>
      <w:r w:rsidR="002661BE" w:rsidRPr="001B4E41">
        <w:t>E</w:t>
      </w:r>
      <w:r w:rsidRPr="001B4E41">
        <w:t xml:space="preserve">xplosibility of </w:t>
      </w:r>
      <w:r w:rsidR="002661BE" w:rsidRPr="001B4E41">
        <w:t>P</w:t>
      </w:r>
      <w:r w:rsidRPr="001B4E41">
        <w:t xml:space="preserve">harmaceutical </w:t>
      </w:r>
      <w:r w:rsidR="002661BE" w:rsidRPr="001B4E41">
        <w:t>E</w:t>
      </w:r>
      <w:r w:rsidRPr="001B4E41">
        <w:t xml:space="preserve">xcipient </w:t>
      </w:r>
      <w:r w:rsidR="002661BE" w:rsidRPr="001B4E41">
        <w:t>D</w:t>
      </w:r>
      <w:r w:rsidRPr="001B4E41">
        <w:t>usts, Process Saf. Prog., 33</w:t>
      </w:r>
      <w:r w:rsidR="00C35300" w:rsidRPr="001B4E41">
        <w:t xml:space="preserve"> </w:t>
      </w:r>
      <w:r w:rsidRPr="001B4E41">
        <w:t>(4), 374</w:t>
      </w:r>
      <w:r w:rsidR="002661BE" w:rsidRPr="001B4E41">
        <w:t>-</w:t>
      </w:r>
      <w:r w:rsidRPr="001B4E41">
        <w:t>379.</w:t>
      </w:r>
    </w:p>
    <w:p w14:paraId="7A71C729" w14:textId="2C328031" w:rsidR="00055AB4" w:rsidRPr="001B4E41" w:rsidRDefault="00055AB4" w:rsidP="00055AB4">
      <w:pPr>
        <w:pStyle w:val="CETReferencetext"/>
      </w:pPr>
      <w:r w:rsidRPr="001B4E41">
        <w:t xml:space="preserve">Heilmann V., Spitzer S., Dufaud O., Hohenberger M., </w:t>
      </w:r>
      <w:proofErr w:type="spellStart"/>
      <w:r w:rsidRPr="001B4E41">
        <w:t>Jankuj</w:t>
      </w:r>
      <w:proofErr w:type="spellEnd"/>
      <w:r w:rsidRPr="001B4E41">
        <w:t xml:space="preserve"> V., Prodan M., Zakel S., 2024, European </w:t>
      </w:r>
      <w:r w:rsidR="002661BE" w:rsidRPr="001B4E41">
        <w:t>R</w:t>
      </w:r>
      <w:r w:rsidRPr="001B4E41">
        <w:t xml:space="preserve">ound </w:t>
      </w:r>
      <w:r w:rsidR="002661BE" w:rsidRPr="001B4E41">
        <w:t>R</w:t>
      </w:r>
      <w:r w:rsidRPr="001B4E41">
        <w:t xml:space="preserve">obin on </w:t>
      </w:r>
      <w:r w:rsidR="002661BE" w:rsidRPr="001B4E41">
        <w:t>S</w:t>
      </w:r>
      <w:r w:rsidRPr="001B4E41">
        <w:t xml:space="preserve">afety </w:t>
      </w:r>
      <w:r w:rsidR="002661BE" w:rsidRPr="001B4E41">
        <w:t>C</w:t>
      </w:r>
      <w:r w:rsidRPr="001B4E41">
        <w:t xml:space="preserve">haracteristics of </w:t>
      </w:r>
      <w:r w:rsidR="002661BE" w:rsidRPr="001B4E41">
        <w:t>H</w:t>
      </w:r>
      <w:r w:rsidRPr="001B4E41">
        <w:t xml:space="preserve">ybrid mixtures from </w:t>
      </w:r>
      <w:proofErr w:type="spellStart"/>
      <w:r w:rsidR="002661BE" w:rsidRPr="001B4E41">
        <w:t>V</w:t>
      </w:r>
      <w:r w:rsidRPr="001B4E41">
        <w:t>apors</w:t>
      </w:r>
      <w:proofErr w:type="spellEnd"/>
      <w:r w:rsidRPr="001B4E41">
        <w:t xml:space="preserve"> and </w:t>
      </w:r>
      <w:r w:rsidR="002661BE" w:rsidRPr="001B4E41">
        <w:t>D</w:t>
      </w:r>
      <w:r w:rsidRPr="001B4E41">
        <w:t xml:space="preserve">usts, </w:t>
      </w:r>
      <w:r w:rsidR="00F16E05" w:rsidRPr="00C35300">
        <w:t>J. Loss Prev. Process Ind.</w:t>
      </w:r>
      <w:r w:rsidR="00F16E05" w:rsidRPr="002A26AA">
        <w:t xml:space="preserve">, </w:t>
      </w:r>
      <w:r w:rsidRPr="001B4E41">
        <w:t>88, 105273.</w:t>
      </w:r>
    </w:p>
    <w:p w14:paraId="79F27497" w14:textId="6D7FCC45" w:rsidR="00055AB4" w:rsidRPr="00C35300" w:rsidRDefault="00055AB4" w:rsidP="00055AB4">
      <w:pPr>
        <w:pStyle w:val="CETReferencetext"/>
      </w:pPr>
      <w:r w:rsidRPr="00C35300">
        <w:t>ISO/IEC 80079-20-2, 2016. Explosive</w:t>
      </w:r>
      <w:r w:rsidR="002661BE" w:rsidRPr="00C35300">
        <w:t xml:space="preserve"> A</w:t>
      </w:r>
      <w:r w:rsidRPr="00C35300">
        <w:t xml:space="preserve">tmospheres: Material </w:t>
      </w:r>
      <w:r w:rsidR="002661BE" w:rsidRPr="00C35300">
        <w:t>C</w:t>
      </w:r>
      <w:r w:rsidRPr="00C35300">
        <w:t>haracteristics - Combustible dust test methods.</w:t>
      </w:r>
    </w:p>
    <w:p w14:paraId="0BF79C43" w14:textId="3B80565F" w:rsidR="00B91D16" w:rsidRDefault="00B91D16" w:rsidP="002A26AA">
      <w:pPr>
        <w:pStyle w:val="CETReferencetext"/>
      </w:pPr>
      <w:r>
        <w:t xml:space="preserve">Spitzer S.H., Amyotte P., Salzano E., 2026, Explosion </w:t>
      </w:r>
      <w:proofErr w:type="spellStart"/>
      <w:r>
        <w:t>Behavior</w:t>
      </w:r>
      <w:proofErr w:type="spellEnd"/>
      <w:r>
        <w:t xml:space="preserve"> of Hybrid Mixtures, Progress in Energy and Combustion Science, 113, 101276.</w:t>
      </w:r>
    </w:p>
    <w:p w14:paraId="06527DE2" w14:textId="1E4303DB" w:rsidR="002A26AA" w:rsidRPr="002A26AA" w:rsidRDefault="002A26AA" w:rsidP="002A26AA">
      <w:pPr>
        <w:pStyle w:val="CETReferencetext"/>
      </w:pPr>
      <w:r w:rsidRPr="00C35300">
        <w:t>SUVA, 2005, Dust Explosion Incidents : Their causes, effects and prevention, Report #2051, International Section on the Prevention of Occupational Risks</w:t>
      </w:r>
      <w:r w:rsidRPr="002A26AA">
        <w:t xml:space="preserve"> and Diseases in the Chemical Industry of the International Social Security Association (Ed.), Heidelberg, Germany.</w:t>
      </w:r>
    </w:p>
    <w:p w14:paraId="7CAE760E" w14:textId="6C3C6FAD" w:rsidR="00563FAC" w:rsidRPr="00563FAC" w:rsidRDefault="00055AB4" w:rsidP="005A7E43">
      <w:pPr>
        <w:pStyle w:val="CETReferencetext"/>
      </w:pPr>
      <w:r w:rsidRPr="002A26AA">
        <w:t xml:space="preserve">Wu D., Zhao P., Spitzer S.H., </w:t>
      </w:r>
      <w:proofErr w:type="spellStart"/>
      <w:r w:rsidRPr="002A26AA">
        <w:t>Krietsch</w:t>
      </w:r>
      <w:proofErr w:type="spellEnd"/>
      <w:r w:rsidRPr="002A26AA">
        <w:t xml:space="preserve"> A., Amyotte P., Krause U., 2023, A </w:t>
      </w:r>
      <w:r w:rsidR="002661BE" w:rsidRPr="002A26AA">
        <w:t>R</w:t>
      </w:r>
      <w:r w:rsidRPr="002A26AA">
        <w:t xml:space="preserve">eview on </w:t>
      </w:r>
      <w:r w:rsidR="002661BE" w:rsidRPr="002A26AA">
        <w:t>H</w:t>
      </w:r>
      <w:r w:rsidRPr="002A26AA">
        <w:t xml:space="preserve">ybrid </w:t>
      </w:r>
      <w:r w:rsidR="002661BE" w:rsidRPr="002A26AA">
        <w:t>M</w:t>
      </w:r>
      <w:r w:rsidRPr="002A26AA">
        <w:t xml:space="preserve">ixture </w:t>
      </w:r>
      <w:r w:rsidR="002661BE" w:rsidRPr="002A26AA">
        <w:t>E</w:t>
      </w:r>
      <w:r w:rsidRPr="002A26AA">
        <w:t xml:space="preserve">xplosions: Safety parameters, explosion regimes and criteria, flame characteristics, </w:t>
      </w:r>
      <w:r w:rsidR="00C35300" w:rsidRPr="00C35300">
        <w:t>J. Loss Prev. Process Ind.</w:t>
      </w:r>
      <w:r w:rsidRPr="002A26AA">
        <w:t>, 82</w:t>
      </w:r>
      <w:r w:rsidR="00C35300">
        <w:t>,</w:t>
      </w:r>
      <w:r w:rsidRPr="002A26AA">
        <w:t xml:space="preserve"> 104969.</w:t>
      </w:r>
    </w:p>
    <w:sectPr w:rsidR="00563FAC" w:rsidRPr="00563FAC"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A35B27" w14:textId="77777777" w:rsidR="00EB0CAC" w:rsidRDefault="00EB0CAC" w:rsidP="004F5E36">
      <w:r>
        <w:separator/>
      </w:r>
    </w:p>
  </w:endnote>
  <w:endnote w:type="continuationSeparator" w:id="0">
    <w:p w14:paraId="60677361" w14:textId="77777777" w:rsidR="00EB0CAC" w:rsidRDefault="00EB0CA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EAAE36" w14:textId="77777777" w:rsidR="00EB0CAC" w:rsidRDefault="00EB0CAC" w:rsidP="004F5E36">
      <w:r>
        <w:separator/>
      </w:r>
    </w:p>
  </w:footnote>
  <w:footnote w:type="continuationSeparator" w:id="0">
    <w:p w14:paraId="731E4F51" w14:textId="77777777" w:rsidR="00EB0CAC" w:rsidRDefault="00EB0CAC"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D47C4C74"/>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au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DC740AC"/>
    <w:multiLevelType w:val="hybridMultilevel"/>
    <w:tmpl w:val="AB209034"/>
    <w:lvl w:ilvl="0" w:tplc="040C000B">
      <w:start w:val="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2"/>
  </w:num>
  <w:num w:numId="14" w16cid:durableId="145903400">
    <w:abstractNumId w:val="19"/>
  </w:num>
  <w:num w:numId="15" w16cid:durableId="19162326">
    <w:abstractNumId w:val="21"/>
  </w:num>
  <w:num w:numId="16" w16cid:durableId="1977102699">
    <w:abstractNumId w:val="20"/>
  </w:num>
  <w:num w:numId="17" w16cid:durableId="860774865">
    <w:abstractNumId w:val="11"/>
  </w:num>
  <w:num w:numId="18" w16cid:durableId="313221457">
    <w:abstractNumId w:val="12"/>
    <w:lvlOverride w:ilvl="0">
      <w:startOverride w:val="1"/>
    </w:lvlOverride>
  </w:num>
  <w:num w:numId="19" w16cid:durableId="534971577">
    <w:abstractNumId w:val="17"/>
  </w:num>
  <w:num w:numId="20" w16cid:durableId="1150947773">
    <w:abstractNumId w:val="16"/>
  </w:num>
  <w:num w:numId="21" w16cid:durableId="124660497">
    <w:abstractNumId w:val="14"/>
  </w:num>
  <w:num w:numId="22" w16cid:durableId="2099861471">
    <w:abstractNumId w:val="13"/>
  </w:num>
  <w:num w:numId="23" w16cid:durableId="125594198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3F7"/>
    <w:rsid w:val="000027C0"/>
    <w:rsid w:val="000052FB"/>
    <w:rsid w:val="00005884"/>
    <w:rsid w:val="00005A19"/>
    <w:rsid w:val="000117CB"/>
    <w:rsid w:val="00021F13"/>
    <w:rsid w:val="0003148D"/>
    <w:rsid w:val="00031EEC"/>
    <w:rsid w:val="00051566"/>
    <w:rsid w:val="00053E77"/>
    <w:rsid w:val="00055AB4"/>
    <w:rsid w:val="000562A9"/>
    <w:rsid w:val="0005636D"/>
    <w:rsid w:val="00056A3B"/>
    <w:rsid w:val="000625CD"/>
    <w:rsid w:val="00062A9A"/>
    <w:rsid w:val="00065058"/>
    <w:rsid w:val="00075778"/>
    <w:rsid w:val="000815F0"/>
    <w:rsid w:val="00086C39"/>
    <w:rsid w:val="000967D0"/>
    <w:rsid w:val="000A03B2"/>
    <w:rsid w:val="000B3274"/>
    <w:rsid w:val="000D0268"/>
    <w:rsid w:val="000D2566"/>
    <w:rsid w:val="000D34BE"/>
    <w:rsid w:val="000D61FC"/>
    <w:rsid w:val="000E102F"/>
    <w:rsid w:val="000E36F1"/>
    <w:rsid w:val="000E3A73"/>
    <w:rsid w:val="000E414A"/>
    <w:rsid w:val="000E75FD"/>
    <w:rsid w:val="000F0917"/>
    <w:rsid w:val="000F093C"/>
    <w:rsid w:val="000F4789"/>
    <w:rsid w:val="000F787B"/>
    <w:rsid w:val="00104FB5"/>
    <w:rsid w:val="00113558"/>
    <w:rsid w:val="00115F93"/>
    <w:rsid w:val="0012091F"/>
    <w:rsid w:val="00124AAD"/>
    <w:rsid w:val="00126BC2"/>
    <w:rsid w:val="001308B6"/>
    <w:rsid w:val="0013121F"/>
    <w:rsid w:val="00131FE6"/>
    <w:rsid w:val="0013263F"/>
    <w:rsid w:val="001331DF"/>
    <w:rsid w:val="00134928"/>
    <w:rsid w:val="00134DE4"/>
    <w:rsid w:val="00135021"/>
    <w:rsid w:val="0014034D"/>
    <w:rsid w:val="00140FE3"/>
    <w:rsid w:val="00141A5F"/>
    <w:rsid w:val="0014456C"/>
    <w:rsid w:val="00144D16"/>
    <w:rsid w:val="00150E59"/>
    <w:rsid w:val="00152DE3"/>
    <w:rsid w:val="0015419E"/>
    <w:rsid w:val="001567B5"/>
    <w:rsid w:val="00164CF9"/>
    <w:rsid w:val="001667A6"/>
    <w:rsid w:val="00170580"/>
    <w:rsid w:val="00171062"/>
    <w:rsid w:val="00172FBF"/>
    <w:rsid w:val="00173F68"/>
    <w:rsid w:val="00184AD6"/>
    <w:rsid w:val="00196D9A"/>
    <w:rsid w:val="001974C5"/>
    <w:rsid w:val="001A370F"/>
    <w:rsid w:val="001A4AF7"/>
    <w:rsid w:val="001A6117"/>
    <w:rsid w:val="001A6D0F"/>
    <w:rsid w:val="001B0349"/>
    <w:rsid w:val="001B1E93"/>
    <w:rsid w:val="001B4E41"/>
    <w:rsid w:val="001B5E27"/>
    <w:rsid w:val="001B61A7"/>
    <w:rsid w:val="001B65C1"/>
    <w:rsid w:val="001B7D5D"/>
    <w:rsid w:val="001C260F"/>
    <w:rsid w:val="001C33F1"/>
    <w:rsid w:val="001C491A"/>
    <w:rsid w:val="001C684B"/>
    <w:rsid w:val="001C733E"/>
    <w:rsid w:val="001D0CFB"/>
    <w:rsid w:val="001D0D75"/>
    <w:rsid w:val="001D1D47"/>
    <w:rsid w:val="001D21AF"/>
    <w:rsid w:val="001D53FC"/>
    <w:rsid w:val="001E5A26"/>
    <w:rsid w:val="001F0A19"/>
    <w:rsid w:val="001F1796"/>
    <w:rsid w:val="001F268D"/>
    <w:rsid w:val="001F42A5"/>
    <w:rsid w:val="001F7B9D"/>
    <w:rsid w:val="00201C93"/>
    <w:rsid w:val="002224B4"/>
    <w:rsid w:val="00224D91"/>
    <w:rsid w:val="00226E00"/>
    <w:rsid w:val="002447EF"/>
    <w:rsid w:val="00251550"/>
    <w:rsid w:val="002520C5"/>
    <w:rsid w:val="00263B05"/>
    <w:rsid w:val="002661BE"/>
    <w:rsid w:val="0027221A"/>
    <w:rsid w:val="00275B61"/>
    <w:rsid w:val="00277016"/>
    <w:rsid w:val="00280377"/>
    <w:rsid w:val="00280FAF"/>
    <w:rsid w:val="00282656"/>
    <w:rsid w:val="00285FE1"/>
    <w:rsid w:val="0029097B"/>
    <w:rsid w:val="00296B83"/>
    <w:rsid w:val="002A26AA"/>
    <w:rsid w:val="002A56E3"/>
    <w:rsid w:val="002B4015"/>
    <w:rsid w:val="002B78CE"/>
    <w:rsid w:val="002C0D0E"/>
    <w:rsid w:val="002C2FB6"/>
    <w:rsid w:val="002C4628"/>
    <w:rsid w:val="002D64A7"/>
    <w:rsid w:val="002E4CA1"/>
    <w:rsid w:val="002E5FA7"/>
    <w:rsid w:val="002F3309"/>
    <w:rsid w:val="003008CE"/>
    <w:rsid w:val="003009B7"/>
    <w:rsid w:val="00300E56"/>
    <w:rsid w:val="0030152C"/>
    <w:rsid w:val="0030469C"/>
    <w:rsid w:val="00310A36"/>
    <w:rsid w:val="00317C9A"/>
    <w:rsid w:val="00321CA6"/>
    <w:rsid w:val="00323763"/>
    <w:rsid w:val="00323C5F"/>
    <w:rsid w:val="00334C09"/>
    <w:rsid w:val="00340B4A"/>
    <w:rsid w:val="003410B5"/>
    <w:rsid w:val="00342BFC"/>
    <w:rsid w:val="00351580"/>
    <w:rsid w:val="0035227A"/>
    <w:rsid w:val="00357805"/>
    <w:rsid w:val="00366F54"/>
    <w:rsid w:val="003723D4"/>
    <w:rsid w:val="00381905"/>
    <w:rsid w:val="00384CC8"/>
    <w:rsid w:val="00386AD4"/>
    <w:rsid w:val="003871FD"/>
    <w:rsid w:val="003A0AB9"/>
    <w:rsid w:val="003A1E30"/>
    <w:rsid w:val="003A2829"/>
    <w:rsid w:val="003A53C5"/>
    <w:rsid w:val="003A7D1C"/>
    <w:rsid w:val="003B09B5"/>
    <w:rsid w:val="003B304B"/>
    <w:rsid w:val="003B3146"/>
    <w:rsid w:val="003B4452"/>
    <w:rsid w:val="003B5A0A"/>
    <w:rsid w:val="003D1E02"/>
    <w:rsid w:val="003E5029"/>
    <w:rsid w:val="003F015E"/>
    <w:rsid w:val="003F15BF"/>
    <w:rsid w:val="003F39B3"/>
    <w:rsid w:val="003F6B89"/>
    <w:rsid w:val="00400414"/>
    <w:rsid w:val="0041446B"/>
    <w:rsid w:val="00415828"/>
    <w:rsid w:val="00416C6E"/>
    <w:rsid w:val="00434237"/>
    <w:rsid w:val="0044071E"/>
    <w:rsid w:val="0044329C"/>
    <w:rsid w:val="00453E24"/>
    <w:rsid w:val="00457456"/>
    <w:rsid w:val="004577FE"/>
    <w:rsid w:val="00457B9C"/>
    <w:rsid w:val="0046164A"/>
    <w:rsid w:val="004628D2"/>
    <w:rsid w:val="00462DCD"/>
    <w:rsid w:val="004648AD"/>
    <w:rsid w:val="004703A9"/>
    <w:rsid w:val="00471E7D"/>
    <w:rsid w:val="004760DE"/>
    <w:rsid w:val="004763D7"/>
    <w:rsid w:val="00477C05"/>
    <w:rsid w:val="00486298"/>
    <w:rsid w:val="00486519"/>
    <w:rsid w:val="004A004E"/>
    <w:rsid w:val="004A24CF"/>
    <w:rsid w:val="004A5E57"/>
    <w:rsid w:val="004A6668"/>
    <w:rsid w:val="004B3494"/>
    <w:rsid w:val="004C194F"/>
    <w:rsid w:val="004C32E6"/>
    <w:rsid w:val="004C3D1D"/>
    <w:rsid w:val="004C3D84"/>
    <w:rsid w:val="004C7913"/>
    <w:rsid w:val="004D1A84"/>
    <w:rsid w:val="004E4DD6"/>
    <w:rsid w:val="004F5E36"/>
    <w:rsid w:val="005015B4"/>
    <w:rsid w:val="00506B65"/>
    <w:rsid w:val="00507B47"/>
    <w:rsid w:val="00507BEF"/>
    <w:rsid w:val="00507CC9"/>
    <w:rsid w:val="005119A5"/>
    <w:rsid w:val="00517A1B"/>
    <w:rsid w:val="00520B57"/>
    <w:rsid w:val="005278B7"/>
    <w:rsid w:val="00532016"/>
    <w:rsid w:val="005346C8"/>
    <w:rsid w:val="005364A2"/>
    <w:rsid w:val="0053729E"/>
    <w:rsid w:val="00543E7D"/>
    <w:rsid w:val="00547A68"/>
    <w:rsid w:val="005531C9"/>
    <w:rsid w:val="00560165"/>
    <w:rsid w:val="00562867"/>
    <w:rsid w:val="00563FAC"/>
    <w:rsid w:val="00570C43"/>
    <w:rsid w:val="00592274"/>
    <w:rsid w:val="005A21F9"/>
    <w:rsid w:val="005A7E43"/>
    <w:rsid w:val="005B1B46"/>
    <w:rsid w:val="005B2110"/>
    <w:rsid w:val="005B61E6"/>
    <w:rsid w:val="005C77E1"/>
    <w:rsid w:val="005D646F"/>
    <w:rsid w:val="005D668A"/>
    <w:rsid w:val="005D6A2F"/>
    <w:rsid w:val="005E0592"/>
    <w:rsid w:val="005E1A82"/>
    <w:rsid w:val="005E794C"/>
    <w:rsid w:val="005F0A28"/>
    <w:rsid w:val="005F0E5E"/>
    <w:rsid w:val="005F55B4"/>
    <w:rsid w:val="005F6DFB"/>
    <w:rsid w:val="00600535"/>
    <w:rsid w:val="006040A5"/>
    <w:rsid w:val="00610CD6"/>
    <w:rsid w:val="00620DEE"/>
    <w:rsid w:val="00621F92"/>
    <w:rsid w:val="0062280A"/>
    <w:rsid w:val="006231E1"/>
    <w:rsid w:val="00625639"/>
    <w:rsid w:val="006261B2"/>
    <w:rsid w:val="00631B33"/>
    <w:rsid w:val="006372F4"/>
    <w:rsid w:val="0064184D"/>
    <w:rsid w:val="006422CC"/>
    <w:rsid w:val="0065083E"/>
    <w:rsid w:val="006517D6"/>
    <w:rsid w:val="00651D18"/>
    <w:rsid w:val="00660431"/>
    <w:rsid w:val="00660E3E"/>
    <w:rsid w:val="006628C7"/>
    <w:rsid w:val="00662E74"/>
    <w:rsid w:val="00680C23"/>
    <w:rsid w:val="00683E23"/>
    <w:rsid w:val="00684796"/>
    <w:rsid w:val="006920FA"/>
    <w:rsid w:val="00693766"/>
    <w:rsid w:val="006A3281"/>
    <w:rsid w:val="006A7617"/>
    <w:rsid w:val="006B4888"/>
    <w:rsid w:val="006C183D"/>
    <w:rsid w:val="006C1C77"/>
    <w:rsid w:val="006C2E45"/>
    <w:rsid w:val="006C359C"/>
    <w:rsid w:val="006C4C10"/>
    <w:rsid w:val="006C5579"/>
    <w:rsid w:val="006D6E8B"/>
    <w:rsid w:val="006D7209"/>
    <w:rsid w:val="006E0F59"/>
    <w:rsid w:val="006E737D"/>
    <w:rsid w:val="006F19B2"/>
    <w:rsid w:val="006F73AF"/>
    <w:rsid w:val="00703FBA"/>
    <w:rsid w:val="00707DD1"/>
    <w:rsid w:val="00710EA9"/>
    <w:rsid w:val="00713973"/>
    <w:rsid w:val="00720A24"/>
    <w:rsid w:val="00721422"/>
    <w:rsid w:val="007222F5"/>
    <w:rsid w:val="00732386"/>
    <w:rsid w:val="0073514D"/>
    <w:rsid w:val="00744768"/>
    <w:rsid w:val="007447F3"/>
    <w:rsid w:val="00754332"/>
    <w:rsid w:val="0075499F"/>
    <w:rsid w:val="00754EE4"/>
    <w:rsid w:val="007617CC"/>
    <w:rsid w:val="00762BF2"/>
    <w:rsid w:val="007661C8"/>
    <w:rsid w:val="0077098D"/>
    <w:rsid w:val="00785BF9"/>
    <w:rsid w:val="007931FA"/>
    <w:rsid w:val="007A4861"/>
    <w:rsid w:val="007A6DF8"/>
    <w:rsid w:val="007A7BBA"/>
    <w:rsid w:val="007B0C50"/>
    <w:rsid w:val="007B3A33"/>
    <w:rsid w:val="007B48F9"/>
    <w:rsid w:val="007C1A43"/>
    <w:rsid w:val="007C40D5"/>
    <w:rsid w:val="007D0951"/>
    <w:rsid w:val="007D612D"/>
    <w:rsid w:val="007E2AA1"/>
    <w:rsid w:val="007F27C8"/>
    <w:rsid w:val="007F7E5D"/>
    <w:rsid w:val="007F7FB9"/>
    <w:rsid w:val="0080013E"/>
    <w:rsid w:val="00804F66"/>
    <w:rsid w:val="00813288"/>
    <w:rsid w:val="008168FC"/>
    <w:rsid w:val="00827B81"/>
    <w:rsid w:val="00830996"/>
    <w:rsid w:val="008314D7"/>
    <w:rsid w:val="00831D54"/>
    <w:rsid w:val="008345F1"/>
    <w:rsid w:val="0085423A"/>
    <w:rsid w:val="00865B07"/>
    <w:rsid w:val="008667EA"/>
    <w:rsid w:val="0087452A"/>
    <w:rsid w:val="008750D6"/>
    <w:rsid w:val="0087637F"/>
    <w:rsid w:val="00892AD5"/>
    <w:rsid w:val="008A1512"/>
    <w:rsid w:val="008A3FEE"/>
    <w:rsid w:val="008D32B9"/>
    <w:rsid w:val="008D433B"/>
    <w:rsid w:val="008D4A16"/>
    <w:rsid w:val="008E209A"/>
    <w:rsid w:val="008E45BC"/>
    <w:rsid w:val="008E566E"/>
    <w:rsid w:val="008F274D"/>
    <w:rsid w:val="008F68D7"/>
    <w:rsid w:val="0090161A"/>
    <w:rsid w:val="00901EB6"/>
    <w:rsid w:val="009041F8"/>
    <w:rsid w:val="00904C62"/>
    <w:rsid w:val="00913D04"/>
    <w:rsid w:val="00922BA8"/>
    <w:rsid w:val="00924BAF"/>
    <w:rsid w:val="00924DAC"/>
    <w:rsid w:val="00927058"/>
    <w:rsid w:val="00942750"/>
    <w:rsid w:val="009450CE"/>
    <w:rsid w:val="009459BB"/>
    <w:rsid w:val="009463BA"/>
    <w:rsid w:val="00947179"/>
    <w:rsid w:val="0095164B"/>
    <w:rsid w:val="00951A22"/>
    <w:rsid w:val="00954090"/>
    <w:rsid w:val="009573E7"/>
    <w:rsid w:val="00963E05"/>
    <w:rsid w:val="00964A45"/>
    <w:rsid w:val="00967843"/>
    <w:rsid w:val="00967D54"/>
    <w:rsid w:val="00970A1C"/>
    <w:rsid w:val="00971028"/>
    <w:rsid w:val="0097773C"/>
    <w:rsid w:val="00985FD3"/>
    <w:rsid w:val="00986240"/>
    <w:rsid w:val="00993B84"/>
    <w:rsid w:val="00996483"/>
    <w:rsid w:val="00996F5A"/>
    <w:rsid w:val="009B041A"/>
    <w:rsid w:val="009C37C3"/>
    <w:rsid w:val="009C7C86"/>
    <w:rsid w:val="009D2FF7"/>
    <w:rsid w:val="009E2330"/>
    <w:rsid w:val="009E273D"/>
    <w:rsid w:val="009E34FE"/>
    <w:rsid w:val="009E7884"/>
    <w:rsid w:val="009E788A"/>
    <w:rsid w:val="009F0E08"/>
    <w:rsid w:val="00A079AE"/>
    <w:rsid w:val="00A1236F"/>
    <w:rsid w:val="00A14EA5"/>
    <w:rsid w:val="00A14F93"/>
    <w:rsid w:val="00A1763D"/>
    <w:rsid w:val="00A17CEC"/>
    <w:rsid w:val="00A24657"/>
    <w:rsid w:val="00A26CBB"/>
    <w:rsid w:val="00A27EF0"/>
    <w:rsid w:val="00A4124E"/>
    <w:rsid w:val="00A42361"/>
    <w:rsid w:val="00A50B20"/>
    <w:rsid w:val="00A50ED5"/>
    <w:rsid w:val="00A51390"/>
    <w:rsid w:val="00A51B07"/>
    <w:rsid w:val="00A60D13"/>
    <w:rsid w:val="00A61D2A"/>
    <w:rsid w:val="00A6219E"/>
    <w:rsid w:val="00A7223D"/>
    <w:rsid w:val="00A72745"/>
    <w:rsid w:val="00A76EFC"/>
    <w:rsid w:val="00A77D87"/>
    <w:rsid w:val="00A87D50"/>
    <w:rsid w:val="00A91010"/>
    <w:rsid w:val="00A97F29"/>
    <w:rsid w:val="00A97F2E"/>
    <w:rsid w:val="00AA702E"/>
    <w:rsid w:val="00AA7D26"/>
    <w:rsid w:val="00AB0964"/>
    <w:rsid w:val="00AB24DE"/>
    <w:rsid w:val="00AB5011"/>
    <w:rsid w:val="00AC4422"/>
    <w:rsid w:val="00AC5471"/>
    <w:rsid w:val="00AC7368"/>
    <w:rsid w:val="00AC7CBD"/>
    <w:rsid w:val="00AD01BC"/>
    <w:rsid w:val="00AD0278"/>
    <w:rsid w:val="00AD16B9"/>
    <w:rsid w:val="00AE377D"/>
    <w:rsid w:val="00AE4CE0"/>
    <w:rsid w:val="00AF0EBA"/>
    <w:rsid w:val="00AF4BF9"/>
    <w:rsid w:val="00AF7939"/>
    <w:rsid w:val="00B02C8A"/>
    <w:rsid w:val="00B17FBD"/>
    <w:rsid w:val="00B20B96"/>
    <w:rsid w:val="00B25B98"/>
    <w:rsid w:val="00B315A6"/>
    <w:rsid w:val="00B31813"/>
    <w:rsid w:val="00B33365"/>
    <w:rsid w:val="00B40847"/>
    <w:rsid w:val="00B57B36"/>
    <w:rsid w:val="00B57E6F"/>
    <w:rsid w:val="00B62AA8"/>
    <w:rsid w:val="00B65ECE"/>
    <w:rsid w:val="00B813C1"/>
    <w:rsid w:val="00B8686D"/>
    <w:rsid w:val="00B91D16"/>
    <w:rsid w:val="00B938E6"/>
    <w:rsid w:val="00B93F69"/>
    <w:rsid w:val="00BA3BCB"/>
    <w:rsid w:val="00BB1DDC"/>
    <w:rsid w:val="00BB5B32"/>
    <w:rsid w:val="00BC30C9"/>
    <w:rsid w:val="00BD077D"/>
    <w:rsid w:val="00BE3E58"/>
    <w:rsid w:val="00BF3DAE"/>
    <w:rsid w:val="00BF3DFE"/>
    <w:rsid w:val="00BF79DE"/>
    <w:rsid w:val="00C01616"/>
    <w:rsid w:val="00C0162B"/>
    <w:rsid w:val="00C068ED"/>
    <w:rsid w:val="00C13AB7"/>
    <w:rsid w:val="00C154EA"/>
    <w:rsid w:val="00C208E9"/>
    <w:rsid w:val="00C22E0C"/>
    <w:rsid w:val="00C25360"/>
    <w:rsid w:val="00C26CFC"/>
    <w:rsid w:val="00C309F6"/>
    <w:rsid w:val="00C345B1"/>
    <w:rsid w:val="00C35300"/>
    <w:rsid w:val="00C40142"/>
    <w:rsid w:val="00C41D2C"/>
    <w:rsid w:val="00C43F85"/>
    <w:rsid w:val="00C52C3C"/>
    <w:rsid w:val="00C56AE0"/>
    <w:rsid w:val="00C57182"/>
    <w:rsid w:val="00C57863"/>
    <w:rsid w:val="00C637B4"/>
    <w:rsid w:val="00C640AF"/>
    <w:rsid w:val="00C655FD"/>
    <w:rsid w:val="00C727E6"/>
    <w:rsid w:val="00C75407"/>
    <w:rsid w:val="00C777A4"/>
    <w:rsid w:val="00C841C6"/>
    <w:rsid w:val="00C850A6"/>
    <w:rsid w:val="00C870A8"/>
    <w:rsid w:val="00C87976"/>
    <w:rsid w:val="00C901B1"/>
    <w:rsid w:val="00C94434"/>
    <w:rsid w:val="00C9612F"/>
    <w:rsid w:val="00CA0D75"/>
    <w:rsid w:val="00CA0FE9"/>
    <w:rsid w:val="00CA1C95"/>
    <w:rsid w:val="00CA3A37"/>
    <w:rsid w:val="00CA5A9C"/>
    <w:rsid w:val="00CB2F23"/>
    <w:rsid w:val="00CB47E9"/>
    <w:rsid w:val="00CC4C20"/>
    <w:rsid w:val="00CD2134"/>
    <w:rsid w:val="00CD3517"/>
    <w:rsid w:val="00CD433B"/>
    <w:rsid w:val="00CD557D"/>
    <w:rsid w:val="00CD5FE2"/>
    <w:rsid w:val="00CE7C68"/>
    <w:rsid w:val="00CF278A"/>
    <w:rsid w:val="00D02B4C"/>
    <w:rsid w:val="00D040C4"/>
    <w:rsid w:val="00D124FB"/>
    <w:rsid w:val="00D14B99"/>
    <w:rsid w:val="00D1702C"/>
    <w:rsid w:val="00D20AD1"/>
    <w:rsid w:val="00D2582C"/>
    <w:rsid w:val="00D25B1E"/>
    <w:rsid w:val="00D2791E"/>
    <w:rsid w:val="00D35B22"/>
    <w:rsid w:val="00D42A23"/>
    <w:rsid w:val="00D46B7E"/>
    <w:rsid w:val="00D57C84"/>
    <w:rsid w:val="00D6057D"/>
    <w:rsid w:val="00D66815"/>
    <w:rsid w:val="00D71640"/>
    <w:rsid w:val="00D73430"/>
    <w:rsid w:val="00D836C5"/>
    <w:rsid w:val="00D84576"/>
    <w:rsid w:val="00D90B71"/>
    <w:rsid w:val="00DA1399"/>
    <w:rsid w:val="00DA24C6"/>
    <w:rsid w:val="00DA4D7B"/>
    <w:rsid w:val="00DA6479"/>
    <w:rsid w:val="00DB7603"/>
    <w:rsid w:val="00DB784D"/>
    <w:rsid w:val="00DD271C"/>
    <w:rsid w:val="00DE264A"/>
    <w:rsid w:val="00DF5072"/>
    <w:rsid w:val="00DF5073"/>
    <w:rsid w:val="00E02D18"/>
    <w:rsid w:val="00E041E7"/>
    <w:rsid w:val="00E17018"/>
    <w:rsid w:val="00E23CA1"/>
    <w:rsid w:val="00E30D6E"/>
    <w:rsid w:val="00E36D8B"/>
    <w:rsid w:val="00E409A8"/>
    <w:rsid w:val="00E43D74"/>
    <w:rsid w:val="00E47D61"/>
    <w:rsid w:val="00E50C12"/>
    <w:rsid w:val="00E65B91"/>
    <w:rsid w:val="00E71750"/>
    <w:rsid w:val="00E7209D"/>
    <w:rsid w:val="00E72472"/>
    <w:rsid w:val="00E72EAD"/>
    <w:rsid w:val="00E752BE"/>
    <w:rsid w:val="00E77223"/>
    <w:rsid w:val="00E8528B"/>
    <w:rsid w:val="00E85B94"/>
    <w:rsid w:val="00E95A94"/>
    <w:rsid w:val="00E978D0"/>
    <w:rsid w:val="00EA4495"/>
    <w:rsid w:val="00EA4613"/>
    <w:rsid w:val="00EA7F91"/>
    <w:rsid w:val="00EB0CAC"/>
    <w:rsid w:val="00EB1523"/>
    <w:rsid w:val="00EB21E7"/>
    <w:rsid w:val="00EC0E49"/>
    <w:rsid w:val="00EC101F"/>
    <w:rsid w:val="00EC1D9F"/>
    <w:rsid w:val="00EC6360"/>
    <w:rsid w:val="00EE0131"/>
    <w:rsid w:val="00EE17B0"/>
    <w:rsid w:val="00EE3F10"/>
    <w:rsid w:val="00EF06D9"/>
    <w:rsid w:val="00EF0982"/>
    <w:rsid w:val="00F1263B"/>
    <w:rsid w:val="00F16E05"/>
    <w:rsid w:val="00F23CDD"/>
    <w:rsid w:val="00F3049E"/>
    <w:rsid w:val="00F308FF"/>
    <w:rsid w:val="00F30C64"/>
    <w:rsid w:val="00F32BA2"/>
    <w:rsid w:val="00F32CDB"/>
    <w:rsid w:val="00F3348F"/>
    <w:rsid w:val="00F35359"/>
    <w:rsid w:val="00F37280"/>
    <w:rsid w:val="00F41EE4"/>
    <w:rsid w:val="00F565FE"/>
    <w:rsid w:val="00F60E77"/>
    <w:rsid w:val="00F63A70"/>
    <w:rsid w:val="00F63D8C"/>
    <w:rsid w:val="00F70196"/>
    <w:rsid w:val="00F74494"/>
    <w:rsid w:val="00F7534E"/>
    <w:rsid w:val="00F82DF1"/>
    <w:rsid w:val="00F93EDF"/>
    <w:rsid w:val="00F95402"/>
    <w:rsid w:val="00FA166E"/>
    <w:rsid w:val="00FA1802"/>
    <w:rsid w:val="00FA21D0"/>
    <w:rsid w:val="00FA3249"/>
    <w:rsid w:val="00FA5F5F"/>
    <w:rsid w:val="00FB730C"/>
    <w:rsid w:val="00FC2695"/>
    <w:rsid w:val="00FC3AA3"/>
    <w:rsid w:val="00FC3E03"/>
    <w:rsid w:val="00FC3FC1"/>
    <w:rsid w:val="00FD2612"/>
    <w:rsid w:val="00FD38AB"/>
    <w:rsid w:val="00FD4A9D"/>
    <w:rsid w:val="00FE7777"/>
    <w:rsid w:val="00FE7ADE"/>
    <w:rsid w:val="00FF3E2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re1">
    <w:name w:val="heading 1"/>
    <w:basedOn w:val="CETHeading1"/>
    <w:next w:val="Normal"/>
    <w:link w:val="Titre1Car"/>
    <w:uiPriority w:val="9"/>
    <w:rsid w:val="004F5E36"/>
    <w:pPr>
      <w:tabs>
        <w:tab w:val="clear" w:pos="360"/>
        <w:tab w:val="right" w:pos="7100"/>
      </w:tabs>
      <w:jc w:val="both"/>
      <w:outlineLvl w:val="0"/>
    </w:pPr>
    <w:rPr>
      <w:lang w:val="en-GB"/>
    </w:rPr>
  </w:style>
  <w:style w:type="paragraph" w:styleId="Titre2">
    <w:name w:val="heading 2"/>
    <w:basedOn w:val="Normal"/>
    <w:next w:val="Normal"/>
    <w:link w:val="Titre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1B5E27"/>
    <w:pPr>
      <w:keepNext/>
      <w:numPr>
        <w:ilvl w:val="2"/>
        <w:numId w:val="1"/>
      </w:numPr>
      <w:suppressAutoHyphens/>
      <w:spacing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ausimple1">
    <w:name w:val="Table Simple 1"/>
    <w:basedOn w:val="Tableau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1B5E27"/>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Marquedecommentaire">
    <w:name w:val="annotation reference"/>
    <w:basedOn w:val="Policepardfaut"/>
    <w:uiPriority w:val="99"/>
    <w:semiHidden/>
    <w:unhideWhenUsed/>
    <w:rsid w:val="004577FE"/>
    <w:rPr>
      <w:sz w:val="16"/>
      <w:szCs w:val="16"/>
    </w:rPr>
  </w:style>
  <w:style w:type="paragraph" w:styleId="Textedebulles">
    <w:name w:val="Balloon Text"/>
    <w:basedOn w:val="Normal"/>
    <w:link w:val="TextedebullesCar"/>
    <w:uiPriority w:val="99"/>
    <w:semiHidden/>
    <w:unhideWhenUsed/>
    <w:rsid w:val="000D34B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34BE"/>
    <w:rPr>
      <w:rFonts w:ascii="Tahoma" w:hAnsi="Tahoma" w:cs="Tahoma"/>
      <w:sz w:val="16"/>
      <w:szCs w:val="16"/>
    </w:rPr>
  </w:style>
  <w:style w:type="paragraph" w:styleId="Bibliographie">
    <w:name w:val="Bibliography"/>
    <w:basedOn w:val="CETReferencetext"/>
    <w:uiPriority w:val="37"/>
    <w:unhideWhenUsed/>
    <w:rsid w:val="00631B33"/>
    <w:pPr>
      <w:spacing w:line="240" w:lineRule="auto"/>
      <w:ind w:left="720" w:hanging="720"/>
    </w:pPr>
  </w:style>
  <w:style w:type="paragraph" w:styleId="Corpsdetexte2">
    <w:name w:val="Body Text 2"/>
    <w:basedOn w:val="Normal"/>
    <w:link w:val="Corpsdetexte2Car"/>
    <w:uiPriority w:val="99"/>
    <w:semiHidden/>
    <w:unhideWhenUsed/>
    <w:rsid w:val="0003148D"/>
    <w:pPr>
      <w:spacing w:after="120" w:line="480" w:lineRule="auto"/>
    </w:pPr>
  </w:style>
  <w:style w:type="character" w:customStyle="1" w:styleId="Corpsdetexte2Car">
    <w:name w:val="Corps de texte 2 Car"/>
    <w:basedOn w:val="Policepardfaut"/>
    <w:link w:val="Corpsdetexte2"/>
    <w:uiPriority w:val="99"/>
    <w:semiHidden/>
    <w:rsid w:val="0003148D"/>
  </w:style>
  <w:style w:type="paragraph" w:styleId="Corpsdetexte3">
    <w:name w:val="Body Text 3"/>
    <w:basedOn w:val="Normal"/>
    <w:link w:val="Corpsdetexte3Car"/>
    <w:uiPriority w:val="99"/>
    <w:semiHidden/>
    <w:unhideWhenUsed/>
    <w:rsid w:val="0003148D"/>
    <w:pPr>
      <w:spacing w:after="120"/>
    </w:pPr>
    <w:rPr>
      <w:sz w:val="16"/>
      <w:szCs w:val="16"/>
    </w:rPr>
  </w:style>
  <w:style w:type="character" w:customStyle="1" w:styleId="Corpsdetexte3Car">
    <w:name w:val="Corps de texte 3 Car"/>
    <w:basedOn w:val="Policepardfaut"/>
    <w:link w:val="Corpsdetexte3"/>
    <w:uiPriority w:val="99"/>
    <w:semiHidden/>
    <w:rsid w:val="0003148D"/>
    <w:rPr>
      <w:sz w:val="16"/>
      <w:szCs w:val="16"/>
    </w:rPr>
  </w:style>
  <w:style w:type="paragraph" w:styleId="Corpsdetexte">
    <w:name w:val="Body Text"/>
    <w:basedOn w:val="Normal"/>
    <w:link w:val="CorpsdetexteCar"/>
    <w:uiPriority w:val="99"/>
    <w:semiHidden/>
    <w:unhideWhenUsed/>
    <w:rsid w:val="0003148D"/>
    <w:pPr>
      <w:spacing w:after="120"/>
    </w:pPr>
  </w:style>
  <w:style w:type="character" w:customStyle="1" w:styleId="CorpsdetexteCar">
    <w:name w:val="Corps de texte Car"/>
    <w:basedOn w:val="Policepardfaut"/>
    <w:link w:val="Corpsdetexte"/>
    <w:uiPriority w:val="99"/>
    <w:semiHidden/>
    <w:rsid w:val="0003148D"/>
  </w:style>
  <w:style w:type="paragraph" w:styleId="Date">
    <w:name w:val="Date"/>
    <w:basedOn w:val="Normal"/>
    <w:next w:val="Normal"/>
    <w:link w:val="DateCar"/>
    <w:uiPriority w:val="99"/>
    <w:semiHidden/>
    <w:unhideWhenUsed/>
    <w:rsid w:val="0003148D"/>
  </w:style>
  <w:style w:type="character" w:customStyle="1" w:styleId="DateCar">
    <w:name w:val="Date Car"/>
    <w:basedOn w:val="Policepardfaut"/>
    <w:link w:val="Date"/>
    <w:uiPriority w:val="99"/>
    <w:semiHidden/>
    <w:rsid w:val="0003148D"/>
  </w:style>
  <w:style w:type="paragraph" w:styleId="Lgende">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e">
    <w:name w:val="List"/>
    <w:basedOn w:val="Normal"/>
    <w:uiPriority w:val="99"/>
    <w:semiHidden/>
    <w:unhideWhenUsed/>
    <w:rsid w:val="0003148D"/>
    <w:pPr>
      <w:ind w:left="283" w:hanging="283"/>
      <w:contextualSpacing/>
    </w:pPr>
  </w:style>
  <w:style w:type="paragraph" w:styleId="Liste2">
    <w:name w:val="List 2"/>
    <w:basedOn w:val="Normal"/>
    <w:uiPriority w:val="99"/>
    <w:semiHidden/>
    <w:unhideWhenUsed/>
    <w:rsid w:val="0003148D"/>
    <w:pPr>
      <w:ind w:left="566" w:hanging="283"/>
      <w:contextualSpacing/>
    </w:pPr>
  </w:style>
  <w:style w:type="paragraph" w:styleId="Liste3">
    <w:name w:val="List 3"/>
    <w:basedOn w:val="Normal"/>
    <w:uiPriority w:val="99"/>
    <w:semiHidden/>
    <w:unhideWhenUsed/>
    <w:rsid w:val="0003148D"/>
    <w:pPr>
      <w:ind w:left="849" w:hanging="283"/>
      <w:contextualSpacing/>
    </w:pPr>
  </w:style>
  <w:style w:type="paragraph" w:styleId="Liste4">
    <w:name w:val="List 4"/>
    <w:basedOn w:val="Normal"/>
    <w:uiPriority w:val="99"/>
    <w:semiHidden/>
    <w:unhideWhenUsed/>
    <w:rsid w:val="0003148D"/>
    <w:pPr>
      <w:ind w:left="1132" w:hanging="283"/>
      <w:contextualSpacing/>
    </w:pPr>
  </w:style>
  <w:style w:type="paragraph" w:styleId="Liste5">
    <w:name w:val="List 5"/>
    <w:basedOn w:val="Normal"/>
    <w:uiPriority w:val="99"/>
    <w:semiHidden/>
    <w:unhideWhenUsed/>
    <w:rsid w:val="0003148D"/>
    <w:pPr>
      <w:ind w:left="1415" w:hanging="283"/>
      <w:contextualSpacing/>
    </w:pPr>
  </w:style>
  <w:style w:type="paragraph" w:styleId="Listecontinue">
    <w:name w:val="List Continue"/>
    <w:basedOn w:val="Normal"/>
    <w:uiPriority w:val="99"/>
    <w:semiHidden/>
    <w:unhideWhenUsed/>
    <w:rsid w:val="0003148D"/>
    <w:pPr>
      <w:spacing w:after="120"/>
      <w:ind w:left="283"/>
      <w:contextualSpacing/>
    </w:pPr>
  </w:style>
  <w:style w:type="paragraph" w:styleId="Listecontinue2">
    <w:name w:val="List Continue 2"/>
    <w:basedOn w:val="Normal"/>
    <w:uiPriority w:val="99"/>
    <w:semiHidden/>
    <w:unhideWhenUsed/>
    <w:rsid w:val="0003148D"/>
    <w:pPr>
      <w:spacing w:after="120"/>
      <w:ind w:left="566"/>
      <w:contextualSpacing/>
    </w:pPr>
  </w:style>
  <w:style w:type="paragraph" w:styleId="Listecontinue3">
    <w:name w:val="List Continue 3"/>
    <w:basedOn w:val="Normal"/>
    <w:uiPriority w:val="99"/>
    <w:semiHidden/>
    <w:unhideWhenUsed/>
    <w:rsid w:val="0003148D"/>
    <w:pPr>
      <w:spacing w:after="120"/>
      <w:ind w:left="849"/>
      <w:contextualSpacing/>
    </w:pPr>
  </w:style>
  <w:style w:type="paragraph" w:styleId="Listecontinue4">
    <w:name w:val="List Continue 4"/>
    <w:basedOn w:val="Normal"/>
    <w:uiPriority w:val="99"/>
    <w:semiHidden/>
    <w:unhideWhenUsed/>
    <w:rsid w:val="0003148D"/>
    <w:pPr>
      <w:spacing w:after="120"/>
      <w:ind w:left="1132"/>
      <w:contextualSpacing/>
    </w:pPr>
  </w:style>
  <w:style w:type="paragraph" w:styleId="Liste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ar"/>
    <w:uiPriority w:val="99"/>
    <w:semiHidden/>
    <w:unhideWhenUsed/>
    <w:rsid w:val="0003148D"/>
    <w:pPr>
      <w:spacing w:line="240" w:lineRule="auto"/>
      <w:ind w:left="4252"/>
    </w:pPr>
  </w:style>
  <w:style w:type="character" w:customStyle="1" w:styleId="SignatureCar">
    <w:name w:val="Signature Car"/>
    <w:basedOn w:val="Policepardfaut"/>
    <w:link w:val="Signature"/>
    <w:uiPriority w:val="99"/>
    <w:semiHidden/>
    <w:rsid w:val="0003148D"/>
  </w:style>
  <w:style w:type="paragraph" w:styleId="Signaturelectronique">
    <w:name w:val="E-mail Signature"/>
    <w:basedOn w:val="Normal"/>
    <w:link w:val="SignaturelectroniqueCar"/>
    <w:uiPriority w:val="99"/>
    <w:semiHidden/>
    <w:unhideWhenUsed/>
    <w:rsid w:val="0003148D"/>
    <w:pPr>
      <w:spacing w:line="240" w:lineRule="auto"/>
    </w:pPr>
  </w:style>
  <w:style w:type="character" w:customStyle="1" w:styleId="SignaturelectroniqueCar">
    <w:name w:val="Signature électronique Car"/>
    <w:basedOn w:val="Policepardfaut"/>
    <w:link w:val="Signaturelectronique"/>
    <w:uiPriority w:val="99"/>
    <w:semiHidden/>
    <w:rsid w:val="0003148D"/>
  </w:style>
  <w:style w:type="paragraph" w:styleId="Salutations">
    <w:name w:val="Salutation"/>
    <w:basedOn w:val="Normal"/>
    <w:next w:val="Normal"/>
    <w:link w:val="SalutationsCar"/>
    <w:uiPriority w:val="99"/>
    <w:semiHidden/>
    <w:unhideWhenUsed/>
    <w:rsid w:val="0003148D"/>
  </w:style>
  <w:style w:type="character" w:customStyle="1" w:styleId="SalutationsCar">
    <w:name w:val="Salutations Car"/>
    <w:basedOn w:val="Policepardfaut"/>
    <w:link w:val="Salutations"/>
    <w:uiPriority w:val="99"/>
    <w:semiHidden/>
    <w:rsid w:val="0003148D"/>
  </w:style>
  <w:style w:type="paragraph" w:styleId="Formuledepolitesse">
    <w:name w:val="Closing"/>
    <w:basedOn w:val="Normal"/>
    <w:link w:val="FormuledepolitesseCar"/>
    <w:uiPriority w:val="99"/>
    <w:semiHidden/>
    <w:unhideWhenUsed/>
    <w:rsid w:val="0003148D"/>
    <w:pPr>
      <w:spacing w:line="240" w:lineRule="auto"/>
      <w:ind w:left="4252"/>
    </w:pPr>
  </w:style>
  <w:style w:type="character" w:customStyle="1" w:styleId="FormuledepolitesseCar">
    <w:name w:val="Formule de politesse Car"/>
    <w:basedOn w:val="Policepardfaut"/>
    <w:link w:val="Formuledepolitesse"/>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desillustrations">
    <w:name w:val="table of figures"/>
    <w:basedOn w:val="Normal"/>
    <w:next w:val="Normal"/>
    <w:uiPriority w:val="99"/>
    <w:semiHidden/>
    <w:unhideWhenUsed/>
    <w:rsid w:val="0003148D"/>
  </w:style>
  <w:style w:type="paragraph" w:styleId="Tabledesrfrencesjuridiques">
    <w:name w:val="table of authorities"/>
    <w:basedOn w:val="Normal"/>
    <w:next w:val="Normal"/>
    <w:uiPriority w:val="99"/>
    <w:semiHidden/>
    <w:unhideWhenUsed/>
    <w:rsid w:val="0003148D"/>
    <w:pPr>
      <w:ind w:left="220" w:hanging="220"/>
    </w:pPr>
  </w:style>
  <w:style w:type="paragraph" w:styleId="Adressedestinatai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seHTML">
    <w:name w:val="HTML Address"/>
    <w:basedOn w:val="Normal"/>
    <w:link w:val="AdresseHTMLCar"/>
    <w:uiPriority w:val="99"/>
    <w:semiHidden/>
    <w:unhideWhenUsed/>
    <w:rsid w:val="0003148D"/>
    <w:pPr>
      <w:spacing w:line="240" w:lineRule="auto"/>
    </w:pPr>
    <w:rPr>
      <w:i/>
      <w:iCs/>
    </w:rPr>
  </w:style>
  <w:style w:type="character" w:customStyle="1" w:styleId="AdresseHTMLCar">
    <w:name w:val="Adresse HTML Car"/>
    <w:basedOn w:val="Policepardfaut"/>
    <w:link w:val="AdresseHTML"/>
    <w:uiPriority w:val="99"/>
    <w:semiHidden/>
    <w:rsid w:val="0003148D"/>
    <w:rPr>
      <w:i/>
      <w:iCs/>
    </w:rPr>
  </w:style>
  <w:style w:type="paragraph" w:styleId="Adresseexpditeur">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ttedemessage">
    <w:name w:val="Message Header"/>
    <w:basedOn w:val="Normal"/>
    <w:link w:val="En-ttedemessag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03148D"/>
    <w:rPr>
      <w:rFonts w:asciiTheme="majorHAnsi" w:eastAsiaTheme="majorEastAsia" w:hAnsiTheme="majorHAnsi" w:cstheme="majorBidi"/>
      <w:sz w:val="24"/>
      <w:szCs w:val="24"/>
      <w:shd w:val="pct20" w:color="auto" w:fill="auto"/>
    </w:rPr>
  </w:style>
  <w:style w:type="paragraph" w:styleId="Titredenote">
    <w:name w:val="Note Heading"/>
    <w:basedOn w:val="Normal"/>
    <w:next w:val="Normal"/>
    <w:link w:val="TitredenoteCar"/>
    <w:uiPriority w:val="99"/>
    <w:semiHidden/>
    <w:unhideWhenUsed/>
    <w:rsid w:val="0003148D"/>
    <w:pPr>
      <w:spacing w:line="240" w:lineRule="auto"/>
    </w:pPr>
  </w:style>
  <w:style w:type="character" w:customStyle="1" w:styleId="TitredenoteCar">
    <w:name w:val="Titre de note Car"/>
    <w:basedOn w:val="Policepardfaut"/>
    <w:link w:val="Titredenote"/>
    <w:uiPriority w:val="99"/>
    <w:semiHidden/>
    <w:rsid w:val="0003148D"/>
  </w:style>
  <w:style w:type="paragraph" w:styleId="Explorateurdedocuments">
    <w:name w:val="Document Map"/>
    <w:basedOn w:val="Normal"/>
    <w:link w:val="ExplorateurdedocumentsCar"/>
    <w:uiPriority w:val="99"/>
    <w:semiHidden/>
    <w:unhideWhenUsed/>
    <w:rsid w:val="0003148D"/>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3148D"/>
    <w:rPr>
      <w:rFonts w:ascii="Tahoma" w:hAnsi="Tahoma" w:cs="Tahoma"/>
      <w:sz w:val="16"/>
      <w:szCs w:val="16"/>
    </w:rPr>
  </w:style>
  <w:style w:type="paragraph" w:styleId="NormalWeb">
    <w:name w:val="Normal (Web)"/>
    <w:basedOn w:val="Normal"/>
    <w:uiPriority w:val="99"/>
    <w:unhideWhenUsed/>
    <w:rsid w:val="0003148D"/>
    <w:rPr>
      <w:sz w:val="24"/>
      <w:szCs w:val="24"/>
    </w:rPr>
  </w:style>
  <w:style w:type="paragraph" w:styleId="Listenumros">
    <w:name w:val="List Number"/>
    <w:basedOn w:val="Normal"/>
    <w:uiPriority w:val="99"/>
    <w:semiHidden/>
    <w:unhideWhenUsed/>
    <w:rsid w:val="0003148D"/>
    <w:pPr>
      <w:numPr>
        <w:numId w:val="2"/>
      </w:numPr>
      <w:contextualSpacing/>
    </w:pPr>
  </w:style>
  <w:style w:type="paragraph" w:styleId="Listenumros2">
    <w:name w:val="List Number 2"/>
    <w:basedOn w:val="Normal"/>
    <w:uiPriority w:val="99"/>
    <w:semiHidden/>
    <w:unhideWhenUsed/>
    <w:rsid w:val="0003148D"/>
    <w:pPr>
      <w:numPr>
        <w:numId w:val="3"/>
      </w:numPr>
      <w:contextualSpacing/>
    </w:pPr>
  </w:style>
  <w:style w:type="paragraph" w:styleId="Listenumros3">
    <w:name w:val="List Number 3"/>
    <w:basedOn w:val="Normal"/>
    <w:uiPriority w:val="99"/>
    <w:semiHidden/>
    <w:unhideWhenUsed/>
    <w:rsid w:val="0003148D"/>
    <w:pPr>
      <w:numPr>
        <w:numId w:val="4"/>
      </w:numPr>
      <w:contextualSpacing/>
    </w:pPr>
  </w:style>
  <w:style w:type="paragraph" w:styleId="Listenumros4">
    <w:name w:val="List Number 4"/>
    <w:basedOn w:val="Normal"/>
    <w:uiPriority w:val="99"/>
    <w:semiHidden/>
    <w:unhideWhenUsed/>
    <w:rsid w:val="0003148D"/>
    <w:pPr>
      <w:numPr>
        <w:numId w:val="5"/>
      </w:numPr>
      <w:contextualSpacing/>
    </w:pPr>
  </w:style>
  <w:style w:type="paragraph" w:styleId="Listenumros5">
    <w:name w:val="List Number 5"/>
    <w:basedOn w:val="Normal"/>
    <w:uiPriority w:val="99"/>
    <w:semiHidden/>
    <w:unhideWhenUsed/>
    <w:rsid w:val="0003148D"/>
    <w:pPr>
      <w:numPr>
        <w:numId w:val="6"/>
      </w:numPr>
      <w:contextualSpacing/>
    </w:pPr>
  </w:style>
  <w:style w:type="paragraph" w:styleId="PrformatHTML">
    <w:name w:val="HTML Preformatted"/>
    <w:basedOn w:val="Normal"/>
    <w:link w:val="PrformatHTMLCar"/>
    <w:uiPriority w:val="99"/>
    <w:semiHidden/>
    <w:unhideWhenUsed/>
    <w:rsid w:val="0003148D"/>
    <w:pPr>
      <w:spacing w:line="240" w:lineRule="auto"/>
    </w:pPr>
    <w:rPr>
      <w:rFonts w:ascii="Consolas" w:hAnsi="Consolas" w:cs="Consolas"/>
    </w:rPr>
  </w:style>
  <w:style w:type="character" w:customStyle="1" w:styleId="PrformatHTMLCar">
    <w:name w:val="Préformaté HTML Car"/>
    <w:basedOn w:val="Policepardfaut"/>
    <w:link w:val="PrformatHTML"/>
    <w:uiPriority w:val="99"/>
    <w:semiHidden/>
    <w:rsid w:val="0003148D"/>
    <w:rPr>
      <w:rFonts w:ascii="Consolas" w:hAnsi="Consolas" w:cs="Consolas"/>
      <w:sz w:val="20"/>
      <w:szCs w:val="20"/>
    </w:rPr>
  </w:style>
  <w:style w:type="paragraph" w:styleId="Retrait1religne">
    <w:name w:val="Body Text First Indent"/>
    <w:basedOn w:val="Corpsdetexte"/>
    <w:link w:val="Retrait1religneCar"/>
    <w:uiPriority w:val="99"/>
    <w:semiHidden/>
    <w:unhideWhenUsed/>
    <w:rsid w:val="0003148D"/>
    <w:pPr>
      <w:spacing w:after="200"/>
      <w:ind w:firstLine="360"/>
    </w:pPr>
  </w:style>
  <w:style w:type="character" w:customStyle="1" w:styleId="Retrait1religneCar">
    <w:name w:val="Retrait 1re ligne Car"/>
    <w:basedOn w:val="CorpsdetexteCar"/>
    <w:link w:val="Retrait1religne"/>
    <w:uiPriority w:val="99"/>
    <w:semiHidden/>
    <w:rsid w:val="0003148D"/>
  </w:style>
  <w:style w:type="paragraph" w:styleId="Retraitcorpsdetexte">
    <w:name w:val="Body Text Indent"/>
    <w:basedOn w:val="Normal"/>
    <w:link w:val="RetraitcorpsdetexteCar"/>
    <w:uiPriority w:val="99"/>
    <w:semiHidden/>
    <w:unhideWhenUsed/>
    <w:rsid w:val="0003148D"/>
    <w:pPr>
      <w:spacing w:after="120"/>
      <w:ind w:left="283"/>
    </w:pPr>
  </w:style>
  <w:style w:type="character" w:customStyle="1" w:styleId="RetraitcorpsdetexteCar">
    <w:name w:val="Retrait corps de texte Car"/>
    <w:basedOn w:val="Policepardfaut"/>
    <w:link w:val="Retraitcorpsdetexte"/>
    <w:uiPriority w:val="99"/>
    <w:semiHidden/>
    <w:rsid w:val="0003148D"/>
  </w:style>
  <w:style w:type="paragraph" w:styleId="Retraitcorpset1relig">
    <w:name w:val="Body Text First Indent 2"/>
    <w:basedOn w:val="Retraitcorpsdetexte"/>
    <w:link w:val="Retraitcorpset1religCar"/>
    <w:uiPriority w:val="99"/>
    <w:semiHidden/>
    <w:unhideWhenUsed/>
    <w:rsid w:val="0003148D"/>
    <w:pPr>
      <w:spacing w:after="200"/>
      <w:ind w:left="360" w:firstLine="360"/>
    </w:pPr>
  </w:style>
  <w:style w:type="character" w:customStyle="1" w:styleId="Retraitcorpset1religCar">
    <w:name w:val="Retrait corps et 1re lig. Car"/>
    <w:basedOn w:val="RetraitcorpsdetexteCar"/>
    <w:link w:val="Retraitcorpset1relig"/>
    <w:uiPriority w:val="99"/>
    <w:semiHidden/>
    <w:rsid w:val="0003148D"/>
  </w:style>
  <w:style w:type="paragraph" w:styleId="Listepuces">
    <w:name w:val="List Bullet"/>
    <w:basedOn w:val="Normal"/>
    <w:uiPriority w:val="99"/>
    <w:semiHidden/>
    <w:unhideWhenUsed/>
    <w:rsid w:val="0003148D"/>
    <w:pPr>
      <w:numPr>
        <w:numId w:val="7"/>
      </w:numPr>
      <w:contextualSpacing/>
    </w:pPr>
  </w:style>
  <w:style w:type="paragraph" w:styleId="Listepuces2">
    <w:name w:val="List Bullet 2"/>
    <w:basedOn w:val="Normal"/>
    <w:uiPriority w:val="99"/>
    <w:semiHidden/>
    <w:unhideWhenUsed/>
    <w:rsid w:val="0003148D"/>
    <w:pPr>
      <w:numPr>
        <w:numId w:val="8"/>
      </w:numPr>
      <w:contextualSpacing/>
    </w:pPr>
  </w:style>
  <w:style w:type="paragraph" w:styleId="Listepuces3">
    <w:name w:val="List Bullet 3"/>
    <w:basedOn w:val="Normal"/>
    <w:uiPriority w:val="99"/>
    <w:semiHidden/>
    <w:unhideWhenUsed/>
    <w:rsid w:val="0003148D"/>
    <w:pPr>
      <w:numPr>
        <w:numId w:val="9"/>
      </w:numPr>
      <w:contextualSpacing/>
    </w:pPr>
  </w:style>
  <w:style w:type="paragraph" w:styleId="Listepuces4">
    <w:name w:val="List Bullet 4"/>
    <w:basedOn w:val="Normal"/>
    <w:uiPriority w:val="99"/>
    <w:semiHidden/>
    <w:unhideWhenUsed/>
    <w:rsid w:val="0003148D"/>
    <w:pPr>
      <w:numPr>
        <w:numId w:val="10"/>
      </w:numPr>
      <w:contextualSpacing/>
    </w:pPr>
  </w:style>
  <w:style w:type="paragraph" w:styleId="Listepuces5">
    <w:name w:val="List Bullet 5"/>
    <w:basedOn w:val="Normal"/>
    <w:uiPriority w:val="99"/>
    <w:semiHidden/>
    <w:unhideWhenUsed/>
    <w:rsid w:val="0003148D"/>
    <w:pPr>
      <w:numPr>
        <w:numId w:val="11"/>
      </w:numPr>
      <w:contextualSpacing/>
    </w:pPr>
  </w:style>
  <w:style w:type="paragraph" w:styleId="Retraitcorpsdetexte2">
    <w:name w:val="Body Text Indent 2"/>
    <w:basedOn w:val="Normal"/>
    <w:link w:val="Retraitcorpsdetexte2Car"/>
    <w:uiPriority w:val="99"/>
    <w:semiHidden/>
    <w:unhideWhenUsed/>
    <w:rsid w:val="0003148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3148D"/>
  </w:style>
  <w:style w:type="paragraph" w:styleId="Retraitcorpsdetexte3">
    <w:name w:val="Body Text Indent 3"/>
    <w:basedOn w:val="Normal"/>
    <w:link w:val="Retraitcorpsdetexte3Car"/>
    <w:uiPriority w:val="99"/>
    <w:semiHidden/>
    <w:unhideWhenUsed/>
    <w:rsid w:val="0003148D"/>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3148D"/>
    <w:rPr>
      <w:sz w:val="16"/>
      <w:szCs w:val="16"/>
    </w:rPr>
  </w:style>
  <w:style w:type="paragraph" w:styleId="Retraitnormal">
    <w:name w:val="Normal Indent"/>
    <w:basedOn w:val="Normal"/>
    <w:uiPriority w:val="99"/>
    <w:semiHidden/>
    <w:unhideWhenUsed/>
    <w:rsid w:val="0003148D"/>
    <w:pPr>
      <w:ind w:left="720"/>
    </w:pPr>
  </w:style>
  <w:style w:type="paragraph" w:styleId="Commentaire">
    <w:name w:val="annotation text"/>
    <w:basedOn w:val="Normal"/>
    <w:link w:val="CommentaireCar"/>
    <w:uiPriority w:val="99"/>
    <w:unhideWhenUsed/>
    <w:rsid w:val="0003148D"/>
    <w:pPr>
      <w:spacing w:line="240" w:lineRule="auto"/>
    </w:pPr>
  </w:style>
  <w:style w:type="character" w:customStyle="1" w:styleId="CommentaireCar">
    <w:name w:val="Commentaire Car"/>
    <w:basedOn w:val="Policepardfaut"/>
    <w:link w:val="Commentaire"/>
    <w:uiPriority w:val="99"/>
    <w:rsid w:val="0003148D"/>
    <w:rPr>
      <w:sz w:val="20"/>
      <w:szCs w:val="20"/>
    </w:rPr>
  </w:style>
  <w:style w:type="paragraph" w:styleId="Objetducommentaire">
    <w:name w:val="annotation subject"/>
    <w:basedOn w:val="Commentaire"/>
    <w:next w:val="Commentaire"/>
    <w:link w:val="ObjetducommentaireCar"/>
    <w:uiPriority w:val="99"/>
    <w:semiHidden/>
    <w:unhideWhenUsed/>
    <w:rsid w:val="0003148D"/>
    <w:rPr>
      <w:b/>
      <w:bCs/>
    </w:rPr>
  </w:style>
  <w:style w:type="character" w:customStyle="1" w:styleId="ObjetducommentaireCar">
    <w:name w:val="Objet du commentaire Car"/>
    <w:basedOn w:val="CommentaireCar"/>
    <w:link w:val="Objetducommentaire"/>
    <w:uiPriority w:val="99"/>
    <w:semiHidden/>
    <w:rsid w:val="0003148D"/>
    <w:rPr>
      <w:b/>
      <w:bCs/>
      <w:sz w:val="20"/>
      <w:szCs w:val="20"/>
    </w:rPr>
  </w:style>
  <w:style w:type="paragraph" w:styleId="TM1">
    <w:name w:val="toc 1"/>
    <w:basedOn w:val="Normal"/>
    <w:next w:val="Normal"/>
    <w:autoRedefine/>
    <w:uiPriority w:val="39"/>
    <w:semiHidden/>
    <w:unhideWhenUsed/>
    <w:rsid w:val="0003148D"/>
    <w:pPr>
      <w:spacing w:after="100"/>
    </w:pPr>
  </w:style>
  <w:style w:type="paragraph" w:styleId="TM2">
    <w:name w:val="toc 2"/>
    <w:basedOn w:val="Normal"/>
    <w:next w:val="Normal"/>
    <w:autoRedefine/>
    <w:uiPriority w:val="39"/>
    <w:semiHidden/>
    <w:unhideWhenUsed/>
    <w:rsid w:val="0003148D"/>
    <w:pPr>
      <w:spacing w:after="100"/>
      <w:ind w:left="220"/>
    </w:pPr>
  </w:style>
  <w:style w:type="paragraph" w:styleId="TM3">
    <w:name w:val="toc 3"/>
    <w:basedOn w:val="Normal"/>
    <w:next w:val="Normal"/>
    <w:autoRedefine/>
    <w:uiPriority w:val="39"/>
    <w:semiHidden/>
    <w:unhideWhenUsed/>
    <w:rsid w:val="0003148D"/>
    <w:pPr>
      <w:spacing w:after="100"/>
      <w:ind w:left="440"/>
    </w:pPr>
  </w:style>
  <w:style w:type="paragraph" w:styleId="TM4">
    <w:name w:val="toc 4"/>
    <w:basedOn w:val="Normal"/>
    <w:next w:val="Normal"/>
    <w:autoRedefine/>
    <w:uiPriority w:val="39"/>
    <w:semiHidden/>
    <w:unhideWhenUsed/>
    <w:rsid w:val="0003148D"/>
    <w:pPr>
      <w:spacing w:after="100"/>
      <w:ind w:left="660"/>
    </w:pPr>
  </w:style>
  <w:style w:type="paragraph" w:styleId="TM5">
    <w:name w:val="toc 5"/>
    <w:basedOn w:val="Normal"/>
    <w:next w:val="Normal"/>
    <w:autoRedefine/>
    <w:uiPriority w:val="39"/>
    <w:semiHidden/>
    <w:unhideWhenUsed/>
    <w:rsid w:val="0003148D"/>
    <w:pPr>
      <w:spacing w:after="100"/>
      <w:ind w:left="880"/>
    </w:pPr>
  </w:style>
  <w:style w:type="paragraph" w:styleId="TM6">
    <w:name w:val="toc 6"/>
    <w:basedOn w:val="Normal"/>
    <w:next w:val="Normal"/>
    <w:autoRedefine/>
    <w:uiPriority w:val="39"/>
    <w:semiHidden/>
    <w:unhideWhenUsed/>
    <w:rsid w:val="0003148D"/>
    <w:pPr>
      <w:spacing w:after="100"/>
      <w:ind w:left="1100"/>
    </w:pPr>
  </w:style>
  <w:style w:type="paragraph" w:styleId="TM7">
    <w:name w:val="toc 7"/>
    <w:basedOn w:val="Normal"/>
    <w:next w:val="Normal"/>
    <w:autoRedefine/>
    <w:uiPriority w:val="39"/>
    <w:semiHidden/>
    <w:unhideWhenUsed/>
    <w:rsid w:val="0003148D"/>
    <w:pPr>
      <w:spacing w:after="100"/>
      <w:ind w:left="1320"/>
    </w:pPr>
  </w:style>
  <w:style w:type="paragraph" w:styleId="TM8">
    <w:name w:val="toc 8"/>
    <w:basedOn w:val="Normal"/>
    <w:next w:val="Normal"/>
    <w:autoRedefine/>
    <w:uiPriority w:val="39"/>
    <w:semiHidden/>
    <w:unhideWhenUsed/>
    <w:rsid w:val="0003148D"/>
    <w:pPr>
      <w:spacing w:after="100"/>
      <w:ind w:left="1540"/>
    </w:pPr>
  </w:style>
  <w:style w:type="paragraph" w:styleId="TM9">
    <w:name w:val="toc 9"/>
    <w:basedOn w:val="Normal"/>
    <w:next w:val="Normal"/>
    <w:autoRedefine/>
    <w:uiPriority w:val="39"/>
    <w:semiHidden/>
    <w:unhideWhenUsed/>
    <w:rsid w:val="0003148D"/>
    <w:pPr>
      <w:spacing w:after="100"/>
      <w:ind w:left="1760"/>
    </w:pPr>
  </w:style>
  <w:style w:type="paragraph" w:styleId="Normalcentr">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edemacro">
    <w:name w:val="macro"/>
    <w:link w:val="Textede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edemacroCar">
    <w:name w:val="Texte de macro Car"/>
    <w:basedOn w:val="Policepardfaut"/>
    <w:link w:val="Textedemacro"/>
    <w:uiPriority w:val="99"/>
    <w:semiHidden/>
    <w:rsid w:val="0003148D"/>
    <w:rPr>
      <w:rFonts w:ascii="Consolas" w:hAnsi="Consolas" w:cs="Consolas"/>
      <w:sz w:val="20"/>
      <w:szCs w:val="20"/>
    </w:rPr>
  </w:style>
  <w:style w:type="paragraph" w:styleId="Textebrut">
    <w:name w:val="Plain Text"/>
    <w:basedOn w:val="Normal"/>
    <w:link w:val="TextebrutCar"/>
    <w:uiPriority w:val="99"/>
    <w:semiHidden/>
    <w:unhideWhenUsed/>
    <w:rsid w:val="0003148D"/>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semiHidden/>
    <w:rsid w:val="0003148D"/>
    <w:rPr>
      <w:rFonts w:ascii="Consolas" w:hAnsi="Consolas" w:cs="Consolas"/>
      <w:sz w:val="21"/>
      <w:szCs w:val="21"/>
    </w:rPr>
  </w:style>
  <w:style w:type="paragraph" w:styleId="Notedebasdepage">
    <w:name w:val="footnote text"/>
    <w:basedOn w:val="Normal"/>
    <w:link w:val="NotedebasdepageCar"/>
    <w:uiPriority w:val="99"/>
    <w:semiHidden/>
    <w:unhideWhenUsed/>
    <w:rsid w:val="0003148D"/>
    <w:pPr>
      <w:spacing w:line="240" w:lineRule="auto"/>
    </w:pPr>
  </w:style>
  <w:style w:type="character" w:customStyle="1" w:styleId="NotedebasdepageCar">
    <w:name w:val="Note de bas de page Car"/>
    <w:basedOn w:val="Policepardfaut"/>
    <w:link w:val="Notedebasdepage"/>
    <w:uiPriority w:val="99"/>
    <w:semiHidden/>
    <w:rsid w:val="0003148D"/>
    <w:rPr>
      <w:sz w:val="20"/>
      <w:szCs w:val="20"/>
    </w:rPr>
  </w:style>
  <w:style w:type="paragraph" w:styleId="Notedefin">
    <w:name w:val="endnote text"/>
    <w:basedOn w:val="Normal"/>
    <w:link w:val="NotedefinCar"/>
    <w:uiPriority w:val="99"/>
    <w:semiHidden/>
    <w:unhideWhenUsed/>
    <w:rsid w:val="0003148D"/>
    <w:pPr>
      <w:spacing w:line="240" w:lineRule="auto"/>
    </w:pPr>
  </w:style>
  <w:style w:type="character" w:customStyle="1" w:styleId="NotedefinCar">
    <w:name w:val="Note de fin Car"/>
    <w:basedOn w:val="Policepardfaut"/>
    <w:link w:val="Notedefin"/>
    <w:uiPriority w:val="99"/>
    <w:semiHidden/>
    <w:rsid w:val="0003148D"/>
    <w:rPr>
      <w:sz w:val="20"/>
      <w:szCs w:val="20"/>
    </w:rPr>
  </w:style>
  <w:style w:type="character" w:customStyle="1" w:styleId="Titre1Car">
    <w:name w:val="Titre 1 Car"/>
    <w:basedOn w:val="Policepardfaut"/>
    <w:link w:val="Titre1"/>
    <w:uiPriority w:val="9"/>
    <w:rsid w:val="004F5E36"/>
    <w:rPr>
      <w:rFonts w:ascii="Arial" w:eastAsia="Times New Roman" w:hAnsi="Arial" w:cs="Times New Roman"/>
      <w:b/>
      <w:sz w:val="20"/>
      <w:szCs w:val="20"/>
      <w:lang w:val="en-GB"/>
    </w:rPr>
  </w:style>
  <w:style w:type="character" w:customStyle="1" w:styleId="Titre2Car">
    <w:name w:val="Titre 2 Car"/>
    <w:basedOn w:val="Policepardfaut"/>
    <w:link w:val="Titre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03148D"/>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03148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03148D"/>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03148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03148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3148D"/>
    <w:rPr>
      <w:rFonts w:asciiTheme="majorHAnsi" w:eastAsiaTheme="majorEastAsia" w:hAnsiTheme="majorHAnsi" w:cstheme="majorBidi"/>
      <w:i/>
      <w:iCs/>
      <w:color w:val="404040" w:themeColor="text1" w:themeTint="BF"/>
      <w:sz w:val="20"/>
      <w:szCs w:val="20"/>
    </w:rPr>
  </w:style>
  <w:style w:type="paragraph" w:styleId="Titreindex">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En-ttedetabledesmatires">
    <w:name w:val="TOC Heading"/>
    <w:basedOn w:val="Titre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Policepardfau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tte">
    <w:name w:val="header"/>
    <w:basedOn w:val="Normal"/>
    <w:link w:val="En-tteCar"/>
    <w:uiPriority w:val="99"/>
    <w:unhideWhenUsed/>
    <w:rsid w:val="005278B7"/>
    <w:pPr>
      <w:tabs>
        <w:tab w:val="clear" w:pos="7100"/>
        <w:tab w:val="center" w:pos="4819"/>
        <w:tab w:val="right" w:pos="9638"/>
      </w:tabs>
      <w:spacing w:line="240" w:lineRule="auto"/>
    </w:pPr>
  </w:style>
  <w:style w:type="character" w:customStyle="1" w:styleId="En-tteCar">
    <w:name w:val="En-tête Car"/>
    <w:basedOn w:val="Policepardfaut"/>
    <w:link w:val="En-tte"/>
    <w:uiPriority w:val="99"/>
    <w:rsid w:val="005278B7"/>
    <w:rPr>
      <w:rFonts w:ascii="Arial" w:eastAsia="Times New Roman" w:hAnsi="Arial" w:cs="Times New Roman"/>
      <w:sz w:val="18"/>
      <w:szCs w:val="20"/>
      <w:lang w:val="en-GB"/>
    </w:rPr>
  </w:style>
  <w:style w:type="paragraph" w:styleId="Pieddepage">
    <w:name w:val="footer"/>
    <w:basedOn w:val="Normal"/>
    <w:link w:val="PieddepageCar"/>
    <w:uiPriority w:val="99"/>
    <w:unhideWhenUsed/>
    <w:rsid w:val="005278B7"/>
    <w:pPr>
      <w:tabs>
        <w:tab w:val="clear" w:pos="7100"/>
        <w:tab w:val="center" w:pos="4819"/>
        <w:tab w:val="right" w:pos="9638"/>
      </w:tabs>
      <w:spacing w:line="240" w:lineRule="auto"/>
    </w:pPr>
  </w:style>
  <w:style w:type="character" w:customStyle="1" w:styleId="PieddepageCar">
    <w:name w:val="Pied de page Car"/>
    <w:basedOn w:val="Policepardfaut"/>
    <w:link w:val="Pieddepage"/>
    <w:uiPriority w:val="99"/>
    <w:rsid w:val="005278B7"/>
    <w:rPr>
      <w:rFonts w:ascii="Arial" w:eastAsia="Times New Roman" w:hAnsi="Arial" w:cs="Times New Roman"/>
      <w:sz w:val="18"/>
      <w:szCs w:val="20"/>
      <w:lang w:val="en-GB"/>
    </w:rPr>
  </w:style>
  <w:style w:type="table" w:styleId="Grilledutableau">
    <w:name w:val="Table Grid"/>
    <w:basedOn w:val="Tableau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04C62"/>
    <w:rPr>
      <w:color w:val="0000FF" w:themeColor="hyperlink"/>
      <w:u w:val="single"/>
    </w:rPr>
  </w:style>
  <w:style w:type="character" w:customStyle="1" w:styleId="eudoraheader">
    <w:name w:val="eudoraheader"/>
    <w:basedOn w:val="Policepardfau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phedeliste">
    <w:name w:val="List Paragraph"/>
    <w:basedOn w:val="Normal"/>
    <w:uiPriority w:val="34"/>
    <w:rsid w:val="00280FAF"/>
    <w:pPr>
      <w:ind w:left="720"/>
      <w:contextualSpacing/>
    </w:pPr>
  </w:style>
  <w:style w:type="character" w:customStyle="1" w:styleId="gmail-apple-converted-space">
    <w:name w:val="gmail-apple-converted-space"/>
    <w:basedOn w:val="Policepardfaut"/>
    <w:rsid w:val="00005A19"/>
  </w:style>
  <w:style w:type="paragraph" w:customStyle="1" w:styleId="MDPI16affiliation">
    <w:name w:val="MDPI_1.6_affiliation"/>
    <w:qFormat/>
    <w:rsid w:val="00563FAC"/>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character" w:styleId="Textedelespacerserv">
    <w:name w:val="Placeholder Text"/>
    <w:basedOn w:val="Policepardfaut"/>
    <w:uiPriority w:val="99"/>
    <w:semiHidden/>
    <w:rsid w:val="007B3A3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3385</Words>
  <Characters>18619</Characters>
  <Application>Microsoft Office Word</Application>
  <DocSecurity>0</DocSecurity>
  <Lines>155</Lines>
  <Paragraphs>43</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Olivier Dufaud</cp:lastModifiedBy>
  <cp:revision>2</cp:revision>
  <cp:lastPrinted>2015-05-12T18:31:00Z</cp:lastPrinted>
  <dcterms:created xsi:type="dcterms:W3CDTF">2026-05-12T17:54:00Z</dcterms:created>
  <dcterms:modified xsi:type="dcterms:W3CDTF">2026-05-12T17:54:00Z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