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E765FE"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E765FE" w:rsidRDefault="000A03B2" w:rsidP="00FF3606">
            <w:pPr>
              <w:tabs>
                <w:tab w:val="left" w:pos="-108"/>
              </w:tabs>
              <w:ind w:left="-108"/>
              <w:rPr>
                <w:rFonts w:cs="Arial"/>
                <w:b/>
                <w:bCs/>
                <w:i/>
                <w:iCs/>
                <w:color w:val="000066"/>
                <w:sz w:val="12"/>
                <w:szCs w:val="12"/>
                <w:lang w:eastAsia="it-IT"/>
              </w:rPr>
            </w:pPr>
            <w:r w:rsidRPr="00E765FE">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E765FE">
              <w:rPr>
                <w:rFonts w:ascii="AdvP6960" w:hAnsi="AdvP6960" w:cs="AdvP6960"/>
                <w:color w:val="241F20"/>
                <w:szCs w:val="18"/>
                <w:lang w:eastAsia="it-IT"/>
              </w:rPr>
              <w:t xml:space="preserve"> </w:t>
            </w:r>
            <w:r w:rsidRPr="00E765FE">
              <w:rPr>
                <w:rFonts w:cs="Arial"/>
                <w:b/>
                <w:bCs/>
                <w:i/>
                <w:iCs/>
                <w:color w:val="000066"/>
                <w:sz w:val="24"/>
                <w:szCs w:val="24"/>
                <w:lang w:eastAsia="it-IT"/>
              </w:rPr>
              <w:t>CHEMICAL ENGINEERING</w:t>
            </w:r>
            <w:r w:rsidRPr="00E765FE">
              <w:rPr>
                <w:rFonts w:cs="Arial"/>
                <w:b/>
                <w:bCs/>
                <w:i/>
                <w:iCs/>
                <w:color w:val="0033FF"/>
                <w:sz w:val="24"/>
                <w:szCs w:val="24"/>
                <w:lang w:eastAsia="it-IT"/>
              </w:rPr>
              <w:t xml:space="preserve"> </w:t>
            </w:r>
            <w:r w:rsidRPr="00E765FE">
              <w:rPr>
                <w:rFonts w:cs="Arial"/>
                <w:b/>
                <w:bCs/>
                <w:i/>
                <w:iCs/>
                <w:color w:val="666666"/>
                <w:sz w:val="24"/>
                <w:szCs w:val="24"/>
                <w:lang w:eastAsia="it-IT"/>
              </w:rPr>
              <w:t>TRANSACTIONS</w:t>
            </w:r>
            <w:r w:rsidRPr="00E765FE">
              <w:rPr>
                <w:color w:val="333333"/>
                <w:sz w:val="24"/>
                <w:szCs w:val="24"/>
                <w:lang w:eastAsia="it-IT"/>
              </w:rPr>
              <w:t xml:space="preserve"> </w:t>
            </w:r>
            <w:r w:rsidRPr="00E765FE">
              <w:rPr>
                <w:rFonts w:cs="Arial"/>
                <w:b/>
                <w:bCs/>
                <w:i/>
                <w:iCs/>
                <w:color w:val="000066"/>
                <w:sz w:val="27"/>
                <w:szCs w:val="27"/>
                <w:lang w:eastAsia="it-IT"/>
              </w:rPr>
              <w:br/>
            </w:r>
          </w:p>
          <w:p w14:paraId="4B780582" w14:textId="5E870693" w:rsidR="000A03B2" w:rsidRPr="00E765FE" w:rsidRDefault="00A76EFC" w:rsidP="00FF3606">
            <w:pPr>
              <w:tabs>
                <w:tab w:val="left" w:pos="-108"/>
              </w:tabs>
              <w:ind w:left="-108"/>
              <w:rPr>
                <w:rFonts w:cs="Arial"/>
                <w:b/>
                <w:bCs/>
                <w:i/>
                <w:iCs/>
                <w:color w:val="000066"/>
                <w:sz w:val="22"/>
                <w:szCs w:val="22"/>
                <w:lang w:eastAsia="it-IT"/>
              </w:rPr>
            </w:pPr>
            <w:r w:rsidRPr="00E765FE">
              <w:rPr>
                <w:rFonts w:cs="Arial"/>
                <w:b/>
                <w:bCs/>
                <w:i/>
                <w:iCs/>
                <w:color w:val="000066"/>
                <w:sz w:val="22"/>
                <w:szCs w:val="22"/>
                <w:lang w:eastAsia="it-IT"/>
              </w:rPr>
              <w:t xml:space="preserve">VOL. </w:t>
            </w:r>
            <w:r w:rsidR="00825DD9" w:rsidRPr="00E765FE">
              <w:rPr>
                <w:rFonts w:cs="Arial"/>
                <w:b/>
                <w:bCs/>
                <w:i/>
                <w:iCs/>
                <w:color w:val="000066"/>
                <w:sz w:val="22"/>
                <w:szCs w:val="22"/>
                <w:lang w:eastAsia="it-IT"/>
              </w:rPr>
              <w:t>xxx</w:t>
            </w:r>
            <w:r w:rsidR="007B48F9" w:rsidRPr="00E765FE">
              <w:rPr>
                <w:rFonts w:cs="Arial"/>
                <w:b/>
                <w:bCs/>
                <w:i/>
                <w:iCs/>
                <w:color w:val="000066"/>
                <w:sz w:val="22"/>
                <w:szCs w:val="22"/>
                <w:lang w:eastAsia="it-IT"/>
              </w:rPr>
              <w:t>,</w:t>
            </w:r>
            <w:r w:rsidR="00FA5F5F" w:rsidRPr="00E765FE">
              <w:rPr>
                <w:rFonts w:cs="Arial"/>
                <w:b/>
                <w:bCs/>
                <w:i/>
                <w:iCs/>
                <w:color w:val="000066"/>
                <w:sz w:val="22"/>
                <w:szCs w:val="22"/>
                <w:lang w:eastAsia="it-IT"/>
              </w:rPr>
              <w:t xml:space="preserve"> 20</w:t>
            </w:r>
            <w:r w:rsidR="00DF5072" w:rsidRPr="00E765FE">
              <w:rPr>
                <w:rFonts w:cs="Arial"/>
                <w:b/>
                <w:bCs/>
                <w:i/>
                <w:iCs/>
                <w:color w:val="000066"/>
                <w:sz w:val="22"/>
                <w:szCs w:val="22"/>
                <w:lang w:eastAsia="it-IT"/>
              </w:rPr>
              <w:t>2</w:t>
            </w:r>
            <w:r w:rsidR="008F0881" w:rsidRPr="00E765FE">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E765FE" w:rsidRDefault="000A03B2" w:rsidP="00FF3606">
            <w:pPr>
              <w:spacing w:line="140" w:lineRule="atLeast"/>
              <w:rPr>
                <w:rFonts w:cs="Arial"/>
                <w:sz w:val="14"/>
                <w:szCs w:val="14"/>
              </w:rPr>
            </w:pPr>
            <w:r w:rsidRPr="00E765FE">
              <w:rPr>
                <w:rFonts w:cs="Arial"/>
                <w:sz w:val="14"/>
                <w:szCs w:val="14"/>
              </w:rPr>
              <w:t>A publication of</w:t>
            </w:r>
          </w:p>
          <w:p w14:paraId="599E5441" w14:textId="77777777" w:rsidR="000A03B2" w:rsidRPr="00E765FE" w:rsidRDefault="000A03B2" w:rsidP="00FF3606">
            <w:r w:rsidRPr="00E765FE">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E765FE" w14:paraId="380FA3CD" w14:textId="77777777" w:rsidTr="00DE264A">
        <w:trPr>
          <w:trHeight w:val="567"/>
          <w:jc w:val="center"/>
        </w:trPr>
        <w:tc>
          <w:tcPr>
            <w:tcW w:w="6946" w:type="dxa"/>
            <w:vMerge/>
            <w:tcBorders>
              <w:right w:val="single" w:sz="4" w:space="0" w:color="auto"/>
            </w:tcBorders>
          </w:tcPr>
          <w:p w14:paraId="39E5E4C1" w14:textId="77777777" w:rsidR="000A03B2" w:rsidRPr="00E765FE" w:rsidRDefault="000A03B2" w:rsidP="00FF3606">
            <w:pPr>
              <w:tabs>
                <w:tab w:val="left" w:pos="-108"/>
              </w:tabs>
            </w:pPr>
          </w:p>
        </w:tc>
        <w:tc>
          <w:tcPr>
            <w:tcW w:w="1843" w:type="dxa"/>
            <w:tcBorders>
              <w:left w:val="single" w:sz="4" w:space="0" w:color="auto"/>
              <w:bottom w:val="nil"/>
              <w:right w:val="single" w:sz="4" w:space="0" w:color="auto"/>
            </w:tcBorders>
          </w:tcPr>
          <w:p w14:paraId="43858A98" w14:textId="77777777" w:rsidR="000A03B2" w:rsidRPr="00E765FE" w:rsidRDefault="000A03B2" w:rsidP="00FF3606">
            <w:pPr>
              <w:spacing w:line="140" w:lineRule="atLeast"/>
              <w:rPr>
                <w:rFonts w:cs="Arial"/>
                <w:sz w:val="14"/>
                <w:szCs w:val="14"/>
              </w:rPr>
            </w:pPr>
            <w:r w:rsidRPr="00E765FE">
              <w:rPr>
                <w:rFonts w:cs="Arial"/>
                <w:sz w:val="14"/>
                <w:szCs w:val="14"/>
              </w:rPr>
              <w:t>The Italian Association</w:t>
            </w:r>
          </w:p>
          <w:p w14:paraId="7522B1D2" w14:textId="77777777" w:rsidR="000A03B2" w:rsidRPr="00E765FE" w:rsidRDefault="000A03B2" w:rsidP="00FF3606">
            <w:pPr>
              <w:spacing w:line="140" w:lineRule="atLeast"/>
              <w:rPr>
                <w:rFonts w:cs="Arial"/>
                <w:sz w:val="14"/>
                <w:szCs w:val="14"/>
              </w:rPr>
            </w:pPr>
            <w:r w:rsidRPr="00E765FE">
              <w:rPr>
                <w:rFonts w:cs="Arial"/>
                <w:sz w:val="14"/>
                <w:szCs w:val="14"/>
              </w:rPr>
              <w:t>of Chemical Engineering</w:t>
            </w:r>
          </w:p>
          <w:p w14:paraId="4F0CC5DE" w14:textId="47FDB2FC" w:rsidR="000A03B2" w:rsidRPr="00E765FE" w:rsidRDefault="000D0268" w:rsidP="00FF3606">
            <w:pPr>
              <w:spacing w:line="140" w:lineRule="atLeast"/>
              <w:rPr>
                <w:rFonts w:cs="Arial"/>
                <w:sz w:val="13"/>
                <w:szCs w:val="13"/>
              </w:rPr>
            </w:pPr>
            <w:r w:rsidRPr="00E765FE">
              <w:rPr>
                <w:rFonts w:cs="Arial"/>
                <w:sz w:val="13"/>
                <w:szCs w:val="13"/>
              </w:rPr>
              <w:t>Online at www.cetjournal.it</w:t>
            </w:r>
          </w:p>
        </w:tc>
      </w:tr>
      <w:tr w:rsidR="000A03B2" w:rsidRPr="00E765FE" w14:paraId="2D1B7169" w14:textId="77777777" w:rsidTr="00DE264A">
        <w:trPr>
          <w:trHeight w:val="68"/>
          <w:jc w:val="center"/>
        </w:trPr>
        <w:tc>
          <w:tcPr>
            <w:tcW w:w="8789" w:type="dxa"/>
            <w:gridSpan w:val="2"/>
          </w:tcPr>
          <w:p w14:paraId="34469235" w14:textId="77777777" w:rsidR="00D967D0" w:rsidRPr="007A6DF8" w:rsidRDefault="00D967D0" w:rsidP="00D967D0">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Pr="007A6DF8">
              <w:rPr>
                <w:rFonts w:ascii="Tahoma" w:hAnsi="Tahoma" w:cs="Tahoma"/>
                <w:color w:val="000000"/>
                <w:sz w:val="14"/>
                <w:szCs w:val="14"/>
                <w:shd w:val="clear" w:color="auto" w:fill="FFFFFF"/>
                <w:lang w:val="it-IT"/>
              </w:rPr>
              <w:t xml:space="preserve">Valerio Cozzani, Bruno Fabiano, </w:t>
            </w:r>
            <w:proofErr w:type="spellStart"/>
            <w:r w:rsidRPr="007A6DF8">
              <w:rPr>
                <w:rFonts w:ascii="Tahoma" w:hAnsi="Tahoma" w:cs="Tahoma"/>
                <w:color w:val="000000"/>
                <w:sz w:val="14"/>
                <w:szCs w:val="14"/>
                <w:shd w:val="clear" w:color="auto" w:fill="FFFFFF"/>
                <w:lang w:val="it-IT"/>
              </w:rPr>
              <w:t>Genserik</w:t>
            </w:r>
            <w:proofErr w:type="spellEnd"/>
            <w:r w:rsidRPr="007A6DF8">
              <w:rPr>
                <w:rFonts w:ascii="Tahoma" w:hAnsi="Tahoma" w:cs="Tahoma"/>
                <w:color w:val="000000"/>
                <w:sz w:val="14"/>
                <w:szCs w:val="14"/>
                <w:shd w:val="clear" w:color="auto" w:fill="FFFFFF"/>
                <w:lang w:val="it-IT"/>
              </w:rPr>
              <w:t xml:space="preserve"> Reniers</w:t>
            </w:r>
          </w:p>
          <w:p w14:paraId="1B0F1814" w14:textId="1263CE94" w:rsidR="000A03B2" w:rsidRPr="00E765FE" w:rsidRDefault="00D967D0" w:rsidP="00D967D0">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10DAA130" w14:textId="77777777" w:rsidR="000A03B2" w:rsidRPr="00E765FE" w:rsidRDefault="000A03B2" w:rsidP="00FF3606">
      <w:pPr>
        <w:pStyle w:val="CETAuthors"/>
        <w:sectPr w:rsidR="000A03B2" w:rsidRPr="00E765FE" w:rsidSect="009D47CF">
          <w:type w:val="continuous"/>
          <w:pgSz w:w="11906" w:h="16838" w:code="9"/>
          <w:pgMar w:top="1701" w:right="1418" w:bottom="1701" w:left="1701" w:header="1701" w:footer="0" w:gutter="0"/>
          <w:cols w:space="708"/>
          <w:titlePg/>
          <w:docGrid w:linePitch="360"/>
        </w:sectPr>
      </w:pPr>
    </w:p>
    <w:p w14:paraId="2E667253" w14:textId="5930B451" w:rsidR="00E978D0" w:rsidRPr="00E765FE" w:rsidRDefault="008F0881" w:rsidP="00FF3606">
      <w:pPr>
        <w:pStyle w:val="CETTitle"/>
        <w:jc w:val="both"/>
      </w:pPr>
      <w:r w:rsidRPr="00E765FE">
        <w:t xml:space="preserve">Index-Based Method for the Assessment of </w:t>
      </w:r>
      <w:r w:rsidR="0007789D" w:rsidRPr="00E765FE">
        <w:t>NaTech</w:t>
      </w:r>
      <w:r w:rsidRPr="00E765FE">
        <w:t xml:space="preserve"> Risk from Extreme Weather Events </w:t>
      </w:r>
      <w:r w:rsidR="00745531" w:rsidRPr="00E765FE">
        <w:t>Triggered</w:t>
      </w:r>
      <w:r w:rsidRPr="00E765FE">
        <w:t xml:space="preserve"> by Heat Waves in Major Accident Hazard Establishments</w:t>
      </w:r>
    </w:p>
    <w:p w14:paraId="4627EA7B" w14:textId="77777777" w:rsidR="008F0881" w:rsidRPr="00A033F9" w:rsidRDefault="008F0881" w:rsidP="00FF3606">
      <w:pPr>
        <w:pStyle w:val="CETAuthors"/>
        <w:rPr>
          <w:lang w:val="it-IT"/>
        </w:rPr>
      </w:pPr>
      <w:bookmarkStart w:id="0" w:name="_Hlk176710373"/>
      <w:r w:rsidRPr="00A033F9">
        <w:rPr>
          <w:lang w:val="it-IT"/>
        </w:rPr>
        <w:t>Vincenzo Nastasi</w:t>
      </w:r>
      <w:r w:rsidRPr="00A033F9">
        <w:rPr>
          <w:vertAlign w:val="superscript"/>
          <w:lang w:val="it-IT"/>
        </w:rPr>
        <w:t>a</w:t>
      </w:r>
      <w:r w:rsidRPr="00A033F9">
        <w:rPr>
          <w:lang w:val="it-IT"/>
        </w:rPr>
        <w:t>, Giovanni Grillone</w:t>
      </w:r>
      <w:bookmarkEnd w:id="0"/>
      <w:r w:rsidRPr="00A033F9">
        <w:rPr>
          <w:vertAlign w:val="superscript"/>
          <w:lang w:val="it-IT"/>
        </w:rPr>
        <w:t>a</w:t>
      </w:r>
      <w:r w:rsidRPr="00A033F9">
        <w:rPr>
          <w:lang w:val="it-IT"/>
        </w:rPr>
        <w:t>, Domenico Di Fonzo</w:t>
      </w:r>
      <w:r w:rsidRPr="00A033F9">
        <w:rPr>
          <w:vertAlign w:val="superscript"/>
          <w:lang w:val="it-IT"/>
        </w:rPr>
        <w:t>a</w:t>
      </w:r>
      <w:r w:rsidRPr="00A033F9">
        <w:rPr>
          <w:lang w:val="it-IT"/>
        </w:rPr>
        <w:t>, Corrado Delle Site</w:t>
      </w:r>
      <w:r w:rsidRPr="00A033F9">
        <w:rPr>
          <w:vertAlign w:val="superscript"/>
          <w:lang w:val="it-IT"/>
        </w:rPr>
        <w:t>b</w:t>
      </w:r>
      <w:r w:rsidRPr="00A033F9">
        <w:rPr>
          <w:lang w:val="it-IT"/>
        </w:rPr>
        <w:t>, Antonino Muratore</w:t>
      </w:r>
      <w:r w:rsidRPr="00A033F9">
        <w:rPr>
          <w:vertAlign w:val="superscript"/>
          <w:lang w:val="it-IT"/>
        </w:rPr>
        <w:t>c,</w:t>
      </w:r>
      <w:r w:rsidRPr="00A033F9">
        <w:rPr>
          <w:lang w:val="it-IT"/>
        </w:rPr>
        <w:t>*</w:t>
      </w:r>
    </w:p>
    <w:p w14:paraId="045B3C71" w14:textId="77777777" w:rsidR="008F0881" w:rsidRPr="00A033F9" w:rsidRDefault="008F0881" w:rsidP="00FF3606">
      <w:pPr>
        <w:pStyle w:val="CETAddress"/>
        <w:jc w:val="both"/>
        <w:rPr>
          <w:lang w:val="it-IT"/>
        </w:rPr>
      </w:pPr>
      <w:r w:rsidRPr="00A033F9">
        <w:rPr>
          <w:vertAlign w:val="superscript"/>
          <w:lang w:val="it-IT"/>
        </w:rPr>
        <w:t>a</w:t>
      </w:r>
      <w:r w:rsidRPr="00A033F9">
        <w:rPr>
          <w:lang w:val="it-IT"/>
        </w:rPr>
        <w:t>Inail, UOT Palermo, Viale del Fante 58/D - 90146 Palermo, Italy</w:t>
      </w:r>
    </w:p>
    <w:p w14:paraId="3B2A60AA" w14:textId="77777777" w:rsidR="008F0881" w:rsidRPr="00A033F9" w:rsidRDefault="008F0881" w:rsidP="00FF3606">
      <w:pPr>
        <w:pStyle w:val="CETAddress"/>
        <w:jc w:val="both"/>
        <w:rPr>
          <w:lang w:val="it-IT"/>
        </w:rPr>
      </w:pPr>
      <w:r w:rsidRPr="00A033F9">
        <w:rPr>
          <w:vertAlign w:val="superscript"/>
          <w:lang w:val="it-IT"/>
        </w:rPr>
        <w:t>b</w:t>
      </w:r>
      <w:r w:rsidRPr="00A033F9">
        <w:rPr>
          <w:lang w:val="it-IT"/>
        </w:rPr>
        <w:t>Inail, DIT, Via Ferruzzi 38/40 - 00143 Roma, Italy</w:t>
      </w:r>
    </w:p>
    <w:p w14:paraId="63CB3AA3" w14:textId="77777777" w:rsidR="008F0881" w:rsidRPr="00A033F9" w:rsidRDefault="008F0881" w:rsidP="00FF3606">
      <w:pPr>
        <w:pStyle w:val="CETAddress"/>
        <w:jc w:val="both"/>
        <w:rPr>
          <w:lang w:val="it-IT"/>
        </w:rPr>
      </w:pPr>
      <w:r w:rsidRPr="00A033F9">
        <w:rPr>
          <w:vertAlign w:val="superscript"/>
          <w:lang w:val="it-IT"/>
        </w:rPr>
        <w:t>c</w:t>
      </w:r>
      <w:r w:rsidRPr="00A033F9">
        <w:rPr>
          <w:lang w:val="it-IT"/>
        </w:rPr>
        <w:t>Inail, UOT Como, Via Petrarca 4 - 22100 Como, Italy</w:t>
      </w:r>
    </w:p>
    <w:p w14:paraId="73F1267A" w14:textId="06957A1A" w:rsidR="00B57E6F" w:rsidRPr="00E765FE" w:rsidRDefault="008F0881" w:rsidP="00FF3606">
      <w:pPr>
        <w:pStyle w:val="CETemail"/>
        <w:jc w:val="both"/>
      </w:pPr>
      <w:r w:rsidRPr="00E765FE">
        <w:rPr>
          <w:vertAlign w:val="superscript"/>
        </w:rPr>
        <w:t>*</w:t>
      </w:r>
      <w:r w:rsidRPr="00E765FE">
        <w:t>a.muratore@inail.it</w:t>
      </w:r>
    </w:p>
    <w:p w14:paraId="5EB46A8F" w14:textId="22F7FEEB" w:rsidR="008F0881" w:rsidRPr="00E765FE" w:rsidRDefault="008F0881" w:rsidP="00FF3606">
      <w:pPr>
        <w:pStyle w:val="CETBodytext"/>
        <w:rPr>
          <w:rFonts w:cs="Arial"/>
          <w:szCs w:val="18"/>
          <w:lang w:val="en-GB"/>
        </w:rPr>
      </w:pPr>
      <w:r w:rsidRPr="00E765FE">
        <w:rPr>
          <w:rFonts w:cs="Arial"/>
          <w:szCs w:val="18"/>
          <w:lang w:val="en-GB"/>
        </w:rPr>
        <w:t>Climate change and global warming are intensifying both the frequency and the magnitude of weather-related natural events, further increasing the likelihood of cascading sequences triggered by natural disasters. These events can lead to fires, explosions, and release of dangerous materials, resulting in severe consequences for Safety, Health, and Environment. Furthermore, heat waves generally affect wide geographical areas, potentially impacting many installations simultaneously.</w:t>
      </w:r>
      <w:r w:rsidR="00FA2ED7">
        <w:rPr>
          <w:rFonts w:cs="Arial"/>
          <w:szCs w:val="18"/>
          <w:lang w:val="en-GB"/>
        </w:rPr>
        <w:t xml:space="preserve"> </w:t>
      </w:r>
      <w:r w:rsidRPr="00E765FE">
        <w:rPr>
          <w:rFonts w:cs="Arial"/>
          <w:szCs w:val="18"/>
          <w:lang w:val="en-GB"/>
        </w:rPr>
        <w:t>Increasingly frequent and intense heat waves can influence</w:t>
      </w:r>
      <w:r w:rsidR="00D30232">
        <w:rPr>
          <w:rFonts w:cs="Arial"/>
          <w:szCs w:val="18"/>
          <w:lang w:val="en-GB"/>
        </w:rPr>
        <w:t>,</w:t>
      </w:r>
      <w:r w:rsidR="00D30232" w:rsidRPr="00D30232">
        <w:t xml:space="preserve"> </w:t>
      </w:r>
      <w:r w:rsidR="00D30232" w:rsidRPr="00D30232">
        <w:rPr>
          <w:rFonts w:cs="Arial"/>
          <w:szCs w:val="18"/>
          <w:lang w:val="en-GB"/>
        </w:rPr>
        <w:t>mainly</w:t>
      </w:r>
      <w:r w:rsidRPr="00E765FE">
        <w:rPr>
          <w:rFonts w:cs="Arial"/>
          <w:szCs w:val="18"/>
          <w:lang w:val="en-GB"/>
        </w:rPr>
        <w:t>:</w:t>
      </w:r>
      <w:r w:rsidR="00FA2ED7">
        <w:rPr>
          <w:rFonts w:cs="Arial"/>
          <w:szCs w:val="18"/>
          <w:lang w:val="en-GB"/>
        </w:rPr>
        <w:t xml:space="preserve"> </w:t>
      </w:r>
      <w:r w:rsidRPr="00E765FE">
        <w:rPr>
          <w:rFonts w:cs="Arial"/>
          <w:szCs w:val="18"/>
          <w:lang w:val="en-GB"/>
        </w:rPr>
        <w:t>Deformation of tanks, pipelines, and other equipment, compromising their structural integrity and increasing the risk of rupture and consequent loss of containment</w:t>
      </w:r>
      <w:r w:rsidR="00FA2ED7">
        <w:rPr>
          <w:rFonts w:cs="Arial"/>
          <w:szCs w:val="18"/>
          <w:lang w:val="en-GB"/>
        </w:rPr>
        <w:t xml:space="preserve">; </w:t>
      </w:r>
      <w:r w:rsidRPr="00E765FE">
        <w:rPr>
          <w:rFonts w:cs="Arial"/>
          <w:szCs w:val="18"/>
          <w:lang w:val="en-GB"/>
        </w:rPr>
        <w:t>Uncontrolled increase of internal pressure in process equipment, possibly exceeding design limits and leading to mechanical failure</w:t>
      </w:r>
      <w:r w:rsidR="00FA2ED7">
        <w:rPr>
          <w:rFonts w:cs="Arial"/>
          <w:szCs w:val="18"/>
          <w:lang w:val="en-GB"/>
        </w:rPr>
        <w:t xml:space="preserve">; </w:t>
      </w:r>
      <w:r w:rsidRPr="00E765FE">
        <w:rPr>
          <w:rFonts w:cs="Arial"/>
          <w:szCs w:val="18"/>
          <w:lang w:val="en-GB"/>
        </w:rPr>
        <w:t>Stability of certain chemicals, increasing the likelihood of uncontrolled reactions, fires, or explosions</w:t>
      </w:r>
      <w:r w:rsidR="00FA2ED7">
        <w:rPr>
          <w:rFonts w:cs="Arial"/>
          <w:szCs w:val="18"/>
          <w:lang w:val="en-GB"/>
        </w:rPr>
        <w:t xml:space="preserve">; </w:t>
      </w:r>
      <w:r w:rsidRPr="00E765FE">
        <w:rPr>
          <w:rFonts w:cs="Arial"/>
          <w:szCs w:val="18"/>
          <w:lang w:val="en-GB"/>
        </w:rPr>
        <w:t>Auto-ignition of materials and substances present in the plant</w:t>
      </w:r>
      <w:r w:rsidR="00FA2ED7">
        <w:rPr>
          <w:rFonts w:cs="Arial"/>
          <w:szCs w:val="18"/>
          <w:lang w:val="en-GB"/>
        </w:rPr>
        <w:t xml:space="preserve">; </w:t>
      </w:r>
      <w:r w:rsidRPr="00E765FE">
        <w:rPr>
          <w:rFonts w:cs="Arial"/>
          <w:szCs w:val="18"/>
          <w:lang w:val="en-GB"/>
        </w:rPr>
        <w:t>Performance of cooling systems, reducing their effectiveness and raising the risk of overheating of machinery and equipment</w:t>
      </w:r>
      <w:r w:rsidR="00FA2ED7">
        <w:rPr>
          <w:rFonts w:cs="Arial"/>
          <w:szCs w:val="18"/>
          <w:lang w:val="en-GB"/>
        </w:rPr>
        <w:t xml:space="preserve">; </w:t>
      </w:r>
      <w:r w:rsidRPr="00E765FE">
        <w:rPr>
          <w:rFonts w:cs="Arial"/>
          <w:szCs w:val="18"/>
          <w:lang w:val="en-GB"/>
        </w:rPr>
        <w:t>Proper functioning of instrumentation and safety systems</w:t>
      </w:r>
      <w:r w:rsidR="00FA2ED7">
        <w:rPr>
          <w:rFonts w:cs="Arial"/>
          <w:szCs w:val="18"/>
          <w:lang w:val="en-GB"/>
        </w:rPr>
        <w:t xml:space="preserve">; </w:t>
      </w:r>
      <w:r w:rsidRPr="00E765FE">
        <w:rPr>
          <w:rFonts w:cs="Arial"/>
          <w:szCs w:val="18"/>
          <w:lang w:val="en-GB"/>
        </w:rPr>
        <w:t>Acceleration of corrosion processes in metallic materials</w:t>
      </w:r>
      <w:r w:rsidR="00FA2ED7">
        <w:rPr>
          <w:rFonts w:cs="Arial"/>
          <w:szCs w:val="18"/>
          <w:lang w:val="en-GB"/>
        </w:rPr>
        <w:t xml:space="preserve">; </w:t>
      </w:r>
      <w:r w:rsidRPr="00E765FE">
        <w:rPr>
          <w:rFonts w:cs="Arial"/>
          <w:szCs w:val="18"/>
          <w:lang w:val="en-GB"/>
        </w:rPr>
        <w:t>Operational capabilities of personnel, increasing the probability of human errors and accidents.</w:t>
      </w:r>
      <w:r w:rsidR="00FA2ED7">
        <w:rPr>
          <w:rFonts w:cs="Arial"/>
          <w:szCs w:val="18"/>
          <w:lang w:val="en-GB"/>
        </w:rPr>
        <w:t xml:space="preserve"> </w:t>
      </w:r>
      <w:r w:rsidRPr="00E765FE">
        <w:rPr>
          <w:rFonts w:cs="Arial"/>
          <w:szCs w:val="18"/>
          <w:lang w:val="en-GB"/>
        </w:rPr>
        <w:t xml:space="preserve">The aim of this paper is to propose a methodology for the preliminary assessment of </w:t>
      </w:r>
      <w:r w:rsidR="0007789D" w:rsidRPr="00E765FE">
        <w:rPr>
          <w:rFonts w:cs="Arial"/>
          <w:szCs w:val="18"/>
          <w:lang w:val="en-GB"/>
        </w:rPr>
        <w:t>NaTech</w:t>
      </w:r>
      <w:r w:rsidRPr="00E765FE">
        <w:rPr>
          <w:rFonts w:cs="Arial"/>
          <w:szCs w:val="18"/>
          <w:lang w:val="en-GB"/>
        </w:rPr>
        <w:t xml:space="preserve"> risk induced by heat waves, to identify the most critical technical systems within a major accident hazard establishment.</w:t>
      </w:r>
      <w:r w:rsidR="00FA2ED7">
        <w:rPr>
          <w:rFonts w:cs="Arial"/>
          <w:szCs w:val="18"/>
          <w:lang w:val="en-GB"/>
        </w:rPr>
        <w:t xml:space="preserve"> </w:t>
      </w:r>
      <w:r w:rsidRPr="00E765FE">
        <w:rPr>
          <w:rFonts w:cs="Arial"/>
          <w:szCs w:val="18"/>
          <w:lang w:val="en-GB"/>
        </w:rPr>
        <w:t>The proposed method is index-based and defined as:</w:t>
      </w:r>
    </w:p>
    <w:p w14:paraId="4A68D1F5" w14:textId="77777777" w:rsidR="008F0881" w:rsidRPr="00E765FE" w:rsidRDefault="008F0881" w:rsidP="00FF3606">
      <w:pPr>
        <w:pStyle w:val="CETBodytext"/>
        <w:rPr>
          <w:rFonts w:cs="Arial"/>
          <w:szCs w:val="18"/>
          <w:lang w:val="en-GB"/>
        </w:rPr>
      </w:pPr>
      <w:r w:rsidRPr="00E765FE">
        <w:rPr>
          <w:rFonts w:cs="Arial"/>
          <w:szCs w:val="18"/>
          <w:lang w:val="en-GB"/>
        </w:rPr>
        <w:t>IR</w:t>
      </w:r>
      <w:r w:rsidRPr="00E765FE">
        <w:rPr>
          <w:rFonts w:cs="Arial"/>
          <w:szCs w:val="18"/>
          <w:vertAlign w:val="subscript"/>
          <w:lang w:val="en-GB"/>
        </w:rPr>
        <w:t xml:space="preserve">hw </w:t>
      </w:r>
      <w:r w:rsidRPr="00E765FE">
        <w:rPr>
          <w:rFonts w:cs="Arial"/>
          <w:szCs w:val="18"/>
          <w:lang w:val="en-GB"/>
        </w:rPr>
        <w:t>= f (IH</w:t>
      </w:r>
      <w:r w:rsidRPr="00E765FE">
        <w:rPr>
          <w:rFonts w:cs="Arial"/>
          <w:szCs w:val="18"/>
          <w:vertAlign w:val="subscript"/>
          <w:lang w:val="en-GB"/>
        </w:rPr>
        <w:t>hw</w:t>
      </w:r>
      <w:r w:rsidRPr="00E765FE">
        <w:rPr>
          <w:rFonts w:cs="Arial"/>
          <w:szCs w:val="18"/>
          <w:lang w:val="en-GB"/>
        </w:rPr>
        <w:t>, IV</w:t>
      </w:r>
      <w:r w:rsidRPr="00E765FE">
        <w:rPr>
          <w:rFonts w:cs="Arial"/>
          <w:szCs w:val="18"/>
          <w:vertAlign w:val="subscript"/>
          <w:lang w:val="en-GB"/>
        </w:rPr>
        <w:t>hw</w:t>
      </w:r>
      <w:r w:rsidRPr="00E765FE">
        <w:rPr>
          <w:rFonts w:cs="Arial"/>
          <w:szCs w:val="18"/>
          <w:lang w:val="en-GB"/>
        </w:rPr>
        <w:t>, IE</w:t>
      </w:r>
      <w:r w:rsidRPr="00E765FE">
        <w:rPr>
          <w:rFonts w:cs="Arial"/>
          <w:szCs w:val="18"/>
          <w:vertAlign w:val="subscript"/>
          <w:lang w:val="en-GB"/>
        </w:rPr>
        <w:t>hw</w:t>
      </w:r>
      <w:r w:rsidRPr="00E765FE">
        <w:rPr>
          <w:rFonts w:cs="Arial"/>
          <w:szCs w:val="18"/>
          <w:lang w:val="en-GB"/>
        </w:rPr>
        <w:t>)</w:t>
      </w:r>
    </w:p>
    <w:p w14:paraId="58DB22A5" w14:textId="6162EBEB" w:rsidR="008F0881" w:rsidRPr="00E765FE" w:rsidRDefault="008F0881" w:rsidP="00FF3606">
      <w:pPr>
        <w:pStyle w:val="CETBodytext"/>
        <w:rPr>
          <w:rFonts w:cs="Arial"/>
          <w:szCs w:val="18"/>
          <w:lang w:val="en-GB"/>
        </w:rPr>
      </w:pPr>
      <w:r w:rsidRPr="00E765FE">
        <w:rPr>
          <w:rFonts w:cs="Arial"/>
          <w:szCs w:val="18"/>
          <w:lang w:val="en-GB"/>
        </w:rPr>
        <w:t>where IR</w:t>
      </w:r>
      <w:r w:rsidRPr="00E765FE">
        <w:rPr>
          <w:rFonts w:cs="Arial"/>
          <w:szCs w:val="18"/>
          <w:vertAlign w:val="subscript"/>
          <w:lang w:val="en-GB"/>
        </w:rPr>
        <w:t>hw</w:t>
      </w:r>
      <w:r w:rsidRPr="00E765FE">
        <w:rPr>
          <w:rFonts w:cs="Arial"/>
          <w:szCs w:val="18"/>
          <w:lang w:val="en-GB"/>
        </w:rPr>
        <w:t xml:space="preserve"> </w:t>
      </w:r>
      <w:r w:rsidR="00D30232">
        <w:rPr>
          <w:rFonts w:cs="Arial"/>
          <w:szCs w:val="18"/>
          <w:lang w:val="en-GB"/>
        </w:rPr>
        <w:t>(</w:t>
      </w:r>
      <w:r w:rsidRPr="00E765FE">
        <w:rPr>
          <w:rFonts w:cs="Arial"/>
          <w:szCs w:val="18"/>
          <w:lang w:val="en-GB"/>
        </w:rPr>
        <w:t>Heat Waves Risk Index</w:t>
      </w:r>
      <w:r w:rsidR="00D30232">
        <w:rPr>
          <w:rFonts w:cs="Arial"/>
          <w:szCs w:val="18"/>
          <w:lang w:val="en-GB"/>
        </w:rPr>
        <w:t>)</w:t>
      </w:r>
      <w:r w:rsidRPr="00E765FE">
        <w:rPr>
          <w:rFonts w:cs="Arial"/>
          <w:szCs w:val="18"/>
          <w:lang w:val="en-GB"/>
        </w:rPr>
        <w:t>, IH</w:t>
      </w:r>
      <w:r w:rsidRPr="00E765FE">
        <w:rPr>
          <w:rFonts w:cs="Arial"/>
          <w:szCs w:val="18"/>
          <w:vertAlign w:val="subscript"/>
          <w:lang w:val="en-GB"/>
        </w:rPr>
        <w:t>hw</w:t>
      </w:r>
      <w:r w:rsidRPr="00E765FE">
        <w:rPr>
          <w:rFonts w:cs="Arial"/>
          <w:szCs w:val="18"/>
          <w:lang w:val="en-GB"/>
        </w:rPr>
        <w:t xml:space="preserve"> </w:t>
      </w:r>
      <w:r w:rsidR="00D30232">
        <w:rPr>
          <w:rFonts w:cs="Arial"/>
          <w:szCs w:val="18"/>
          <w:lang w:val="en-GB"/>
        </w:rPr>
        <w:t>(</w:t>
      </w:r>
      <w:r w:rsidRPr="00E765FE">
        <w:rPr>
          <w:rFonts w:cs="Arial"/>
          <w:szCs w:val="18"/>
          <w:lang w:val="en-GB"/>
        </w:rPr>
        <w:t>Heat Waves Hazard Index</w:t>
      </w:r>
      <w:r w:rsidR="00D30232">
        <w:rPr>
          <w:rFonts w:cs="Arial"/>
          <w:szCs w:val="18"/>
          <w:lang w:val="en-GB"/>
        </w:rPr>
        <w:t>)</w:t>
      </w:r>
      <w:r w:rsidRPr="00E765FE">
        <w:rPr>
          <w:rFonts w:cs="Arial"/>
          <w:szCs w:val="18"/>
          <w:lang w:val="en-GB"/>
        </w:rPr>
        <w:t>, IV</w:t>
      </w:r>
      <w:r w:rsidRPr="00E765FE">
        <w:rPr>
          <w:rFonts w:cs="Arial"/>
          <w:szCs w:val="18"/>
          <w:vertAlign w:val="subscript"/>
          <w:lang w:val="en-GB"/>
        </w:rPr>
        <w:t>hw</w:t>
      </w:r>
      <w:r w:rsidR="00904DF2">
        <w:rPr>
          <w:rFonts w:cs="Arial"/>
          <w:szCs w:val="18"/>
          <w:lang w:val="en-GB"/>
        </w:rPr>
        <w:t xml:space="preserve"> (H</w:t>
      </w:r>
      <w:r w:rsidRPr="00E765FE">
        <w:rPr>
          <w:rFonts w:cs="Arial"/>
          <w:szCs w:val="18"/>
          <w:lang w:val="en-GB"/>
        </w:rPr>
        <w:t>eat Waves Vulnerability Index</w:t>
      </w:r>
      <w:r w:rsidR="00D30232">
        <w:rPr>
          <w:rFonts w:cs="Arial"/>
          <w:szCs w:val="18"/>
          <w:lang w:val="en-GB"/>
        </w:rPr>
        <w:t>)</w:t>
      </w:r>
      <w:r w:rsidRPr="00E765FE">
        <w:rPr>
          <w:rFonts w:cs="Arial"/>
          <w:szCs w:val="18"/>
          <w:lang w:val="en-GB"/>
        </w:rPr>
        <w:t xml:space="preserve"> and IE</w:t>
      </w:r>
      <w:r w:rsidRPr="00E765FE">
        <w:rPr>
          <w:rFonts w:cs="Arial"/>
          <w:szCs w:val="18"/>
          <w:vertAlign w:val="subscript"/>
          <w:lang w:val="en-GB"/>
        </w:rPr>
        <w:t>hw</w:t>
      </w:r>
      <w:r w:rsidRPr="00E765FE">
        <w:rPr>
          <w:rFonts w:cs="Arial"/>
          <w:szCs w:val="18"/>
          <w:lang w:val="en-GB"/>
        </w:rPr>
        <w:t xml:space="preserve"> </w:t>
      </w:r>
      <w:r w:rsidR="00D30232">
        <w:rPr>
          <w:rFonts w:cs="Arial"/>
          <w:szCs w:val="18"/>
          <w:lang w:val="en-GB"/>
        </w:rPr>
        <w:t>(</w:t>
      </w:r>
      <w:r w:rsidRPr="00E765FE">
        <w:rPr>
          <w:rFonts w:cs="Arial"/>
          <w:szCs w:val="18"/>
          <w:lang w:val="en-GB"/>
        </w:rPr>
        <w:t>Heat Waves Exposure Index</w:t>
      </w:r>
      <w:r w:rsidR="00D30232">
        <w:rPr>
          <w:rFonts w:cs="Arial"/>
          <w:szCs w:val="18"/>
          <w:lang w:val="en-GB"/>
        </w:rPr>
        <w:t>)</w:t>
      </w:r>
      <w:r w:rsidRPr="00E765FE">
        <w:rPr>
          <w:rFonts w:cs="Arial"/>
          <w:szCs w:val="18"/>
          <w:lang w:val="en-GB"/>
        </w:rPr>
        <w:t>.</w:t>
      </w:r>
    </w:p>
    <w:p w14:paraId="6C33E398" w14:textId="77777777" w:rsidR="008F0881" w:rsidRPr="00E765FE" w:rsidRDefault="008F0881" w:rsidP="00FF3606">
      <w:pPr>
        <w:pStyle w:val="CETBodytext"/>
        <w:rPr>
          <w:rFonts w:cs="Arial"/>
          <w:szCs w:val="18"/>
          <w:lang w:val="en-GB"/>
        </w:rPr>
      </w:pPr>
    </w:p>
    <w:p w14:paraId="796599D0" w14:textId="1A707AE4" w:rsidR="008F0881" w:rsidRPr="00E765FE" w:rsidRDefault="008F0881" w:rsidP="00FF3606">
      <w:pPr>
        <w:pStyle w:val="CETBodytext"/>
        <w:rPr>
          <w:szCs w:val="18"/>
          <w:lang w:val="en-GB"/>
        </w:rPr>
      </w:pPr>
      <w:r w:rsidRPr="00E765FE">
        <w:rPr>
          <w:i/>
          <w:szCs w:val="18"/>
          <w:lang w:val="en-GB"/>
        </w:rPr>
        <w:t>Keywords</w:t>
      </w:r>
      <w:r w:rsidRPr="00E765FE">
        <w:rPr>
          <w:szCs w:val="18"/>
          <w:lang w:val="en-GB"/>
        </w:rPr>
        <w:t xml:space="preserve">: </w:t>
      </w:r>
      <w:r w:rsidR="0007789D" w:rsidRPr="00E765FE">
        <w:rPr>
          <w:szCs w:val="18"/>
          <w:lang w:val="en-GB"/>
        </w:rPr>
        <w:t>NaTech</w:t>
      </w:r>
      <w:r w:rsidRPr="00E765FE">
        <w:rPr>
          <w:szCs w:val="18"/>
          <w:lang w:val="en-GB"/>
        </w:rPr>
        <w:t xml:space="preserve"> Risk, Index-Based Method, Major Accident Hazard, </w:t>
      </w:r>
      <w:r w:rsidRPr="00E765FE">
        <w:rPr>
          <w:lang w:val="en-GB"/>
        </w:rPr>
        <w:t xml:space="preserve">Extreme Weather, </w:t>
      </w:r>
      <w:r w:rsidRPr="00E765FE">
        <w:rPr>
          <w:szCs w:val="18"/>
          <w:lang w:val="en-GB"/>
        </w:rPr>
        <w:t>Heat Waves</w:t>
      </w:r>
    </w:p>
    <w:p w14:paraId="476B2F2E" w14:textId="25483A06" w:rsidR="00600535" w:rsidRPr="00E765FE" w:rsidRDefault="00600535" w:rsidP="00FF3606">
      <w:pPr>
        <w:pStyle w:val="CETHeading1"/>
        <w:jc w:val="both"/>
        <w:rPr>
          <w:lang w:val="en-GB"/>
        </w:rPr>
      </w:pPr>
      <w:r w:rsidRPr="00E765FE">
        <w:rPr>
          <w:lang w:val="en-GB"/>
        </w:rPr>
        <w:t>Introduction</w:t>
      </w:r>
      <w:r w:rsidR="00535E3C" w:rsidRPr="00E765FE">
        <w:rPr>
          <w:lang w:val="en-GB"/>
        </w:rPr>
        <w:t xml:space="preserve"> to Heat Waves</w:t>
      </w:r>
    </w:p>
    <w:p w14:paraId="51C3CA1C" w14:textId="4F5A9C30" w:rsidR="00535E3C" w:rsidRPr="00E765FE" w:rsidRDefault="00535E3C" w:rsidP="00FF3606">
      <w:pPr>
        <w:pStyle w:val="CETnumberingbullets"/>
        <w:numPr>
          <w:ilvl w:val="0"/>
          <w:numId w:val="0"/>
        </w:numPr>
        <w:jc w:val="both"/>
      </w:pPr>
      <w:r w:rsidRPr="00E765FE">
        <w:t>The continuous increase in global temperatures due to atmospheric emissions of carbon dioxide and other greenhouse gases is driving climate change, leading to a rise in both the frequency and intensity of climatic events such as heat waves.</w:t>
      </w:r>
      <w:r w:rsidR="00D967D0">
        <w:t xml:space="preserve"> </w:t>
      </w:r>
      <w:r w:rsidRPr="00E765FE">
        <w:t xml:space="preserve">According to the World Meteorological Organization (WMO), 2023 was the hottest year ever recorded, with the global mean temperature approximately 1.45 °C above pre-industrial levels. The Intergovernmental Panel on Climate Change (IPCC) confirms that since 1980 heat waves have increased in frequency, intensity, and duration, particularly affecting Europe, Asia, and North America. In Italy, data from </w:t>
      </w:r>
      <w:r w:rsidR="00E958AC" w:rsidRPr="00E765FE">
        <w:t>Italian National Institute for Environmental Protection and Research (</w:t>
      </w:r>
      <w:r w:rsidRPr="00E765FE">
        <w:t>ISPRA</w:t>
      </w:r>
      <w:r w:rsidR="00E958AC" w:rsidRPr="00E765FE">
        <w:t>)</w:t>
      </w:r>
      <w:r w:rsidRPr="00E765FE">
        <w:t xml:space="preserve"> indicate that over the past 50 years the average temperature has increased by about 2 °C, with a growing incidence of extreme phenomena such as wildfires, droughts, and urban heat stress. Cities</w:t>
      </w:r>
      <w:r w:rsidR="00FF3606" w:rsidRPr="00E765FE">
        <w:t xml:space="preserve"> become</w:t>
      </w:r>
      <w:r w:rsidRPr="00E765FE">
        <w:t xml:space="preserve"> true summer “heat traps” due to the urban heat island effect, which amplifies already high temperatures.</w:t>
      </w:r>
      <w:r w:rsidR="00FF3606" w:rsidRPr="00E765FE">
        <w:t xml:space="preserve"> </w:t>
      </w:r>
      <w:r w:rsidRPr="00E765FE">
        <w:t xml:space="preserve">Figure 1 </w:t>
      </w:r>
      <w:r w:rsidR="00D81EEC" w:rsidRPr="00E765FE">
        <w:t>shows</w:t>
      </w:r>
      <w:r w:rsidRPr="00E765FE">
        <w:t xml:space="preserve">: a) extreme high temperatures </w:t>
      </w:r>
      <w:r w:rsidR="00D81EEC" w:rsidRPr="00E765FE">
        <w:t>as</w:t>
      </w:r>
      <w:r w:rsidRPr="00E765FE">
        <w:t xml:space="preserve"> </w:t>
      </w:r>
      <w:r w:rsidRPr="00E765FE">
        <w:lastRenderedPageBreak/>
        <w:t>global phenomenon (Ricci et al., 2020); b) the time series of mean global land temperature anomalies in Italy relative to the 1991–2020 climatological normal values (</w:t>
      </w:r>
      <w:r w:rsidR="00B72A1C" w:rsidRPr="00E765FE">
        <w:t>Report SNPA | 44 2025</w:t>
      </w:r>
      <w:r w:rsidRPr="00E765FE">
        <w:t>).</w:t>
      </w:r>
    </w:p>
    <w:p w14:paraId="5F2D64F1" w14:textId="77777777" w:rsidR="00535E3C" w:rsidRPr="00E765FE" w:rsidRDefault="00535E3C" w:rsidP="00FF3606">
      <w:pPr>
        <w:pStyle w:val="CETnumberingbullets"/>
        <w:numPr>
          <w:ilvl w:val="0"/>
          <w:numId w:val="0"/>
        </w:numPr>
        <w:jc w:val="both"/>
      </w:pPr>
    </w:p>
    <w:tbl>
      <w:tblPr>
        <w:tblStyle w:val="Grigliatabella"/>
        <w:tblW w:w="8926" w:type="dxa"/>
        <w:jc w:val="center"/>
        <w:tblLook w:val="04A0" w:firstRow="1" w:lastRow="0" w:firstColumn="1" w:lastColumn="0" w:noHBand="0" w:noVBand="1"/>
      </w:tblPr>
      <w:tblGrid>
        <w:gridCol w:w="4159"/>
        <w:gridCol w:w="4767"/>
      </w:tblGrid>
      <w:tr w:rsidR="00BA49A3" w:rsidRPr="00E765FE" w14:paraId="6B1A6B4C" w14:textId="77777777" w:rsidTr="0014511D">
        <w:trPr>
          <w:trHeight w:val="2811"/>
          <w:jc w:val="center"/>
        </w:trPr>
        <w:tc>
          <w:tcPr>
            <w:tcW w:w="4127" w:type="dxa"/>
          </w:tcPr>
          <w:p w14:paraId="0BAAD9EB" w14:textId="7EAABB78" w:rsidR="00764DCE" w:rsidRPr="00E765FE" w:rsidRDefault="00B57B5C" w:rsidP="00FF3606">
            <w:pPr>
              <w:pStyle w:val="CETBodytext"/>
              <w:rPr>
                <w:lang w:val="en-GB"/>
              </w:rPr>
            </w:pPr>
            <w:r w:rsidRPr="00E765FE">
              <w:rPr>
                <w:lang w:val="en-GB"/>
              </w:rPr>
              <w:object w:dxaOrig="5208" w:dyaOrig="3444" w14:anchorId="376DD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pt;height:128.35pt" o:ole="">
                  <v:imagedata r:id="rId10" o:title=""/>
                </v:shape>
                <o:OLEObject Type="Embed" ProgID="PBrush" ShapeID="_x0000_i1025" DrawAspect="Content" ObjectID="_1833205526" r:id="rId11"/>
              </w:object>
            </w:r>
          </w:p>
          <w:p w14:paraId="5005E786" w14:textId="77777777" w:rsidR="00B57B5C" w:rsidRPr="00310063" w:rsidRDefault="00764DCE" w:rsidP="00FF3606">
            <w:pPr>
              <w:pStyle w:val="CETBodytext"/>
              <w:rPr>
                <w:i/>
                <w:iCs/>
                <w:lang w:val="it-IT"/>
              </w:rPr>
            </w:pPr>
            <w:r w:rsidRPr="00310063">
              <w:rPr>
                <w:i/>
                <w:iCs/>
                <w:lang w:val="it-IT"/>
              </w:rPr>
              <w:t xml:space="preserve">                            </w:t>
            </w:r>
          </w:p>
          <w:p w14:paraId="3476B13D" w14:textId="1F87F341" w:rsidR="00764DCE" w:rsidRPr="00310063" w:rsidRDefault="00764DCE" w:rsidP="00FF3606">
            <w:pPr>
              <w:pStyle w:val="CETBodytext"/>
              <w:rPr>
                <w:i/>
                <w:iCs/>
                <w:lang w:val="it-IT"/>
              </w:rPr>
            </w:pPr>
            <w:r w:rsidRPr="00BB7D11">
              <w:rPr>
                <w:i/>
                <w:iCs/>
                <w:lang w:val="it-IT"/>
              </w:rPr>
              <w:t>Fig. 1 a)</w:t>
            </w:r>
            <w:r w:rsidR="00310063" w:rsidRPr="00BB7D11">
              <w:rPr>
                <w:noProof/>
                <w:lang w:val="it-IT"/>
              </w:rPr>
              <w:t xml:space="preserve"> (Data: </w:t>
            </w:r>
            <w:r w:rsidR="00310063" w:rsidRPr="00BB7D11">
              <w:rPr>
                <w:lang w:val="it-IT"/>
              </w:rPr>
              <w:t>Ricci et al., 2020)</w:t>
            </w:r>
          </w:p>
        </w:tc>
        <w:tc>
          <w:tcPr>
            <w:tcW w:w="4799" w:type="dxa"/>
          </w:tcPr>
          <w:p w14:paraId="12F8BA94" w14:textId="4994BD01" w:rsidR="00764DCE" w:rsidRPr="00E765FE" w:rsidRDefault="0014511D" w:rsidP="0014511D">
            <w:pPr>
              <w:pStyle w:val="CETBodytext"/>
              <w:rPr>
                <w:i/>
                <w:iCs/>
                <w:lang w:val="en-GB"/>
              </w:rPr>
            </w:pPr>
            <w:r w:rsidRPr="00E765FE">
              <w:rPr>
                <w:noProof/>
                <w:lang w:val="en-GB"/>
              </w:rPr>
              <w:drawing>
                <wp:anchor distT="0" distB="0" distL="114300" distR="114300" simplePos="0" relativeHeight="251664384" behindDoc="0" locked="0" layoutInCell="1" allowOverlap="1" wp14:anchorId="5AFA7D16" wp14:editId="5F3DCE3A">
                  <wp:simplePos x="0" y="0"/>
                  <wp:positionH relativeFrom="column">
                    <wp:posOffset>635</wp:posOffset>
                  </wp:positionH>
                  <wp:positionV relativeFrom="paragraph">
                    <wp:posOffset>62865</wp:posOffset>
                  </wp:positionV>
                  <wp:extent cx="2838450" cy="1742440"/>
                  <wp:effectExtent l="0" t="0" r="0" b="0"/>
                  <wp:wrapTopAndBottom/>
                  <wp:docPr id="514428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2860" name=""/>
                          <pic:cNvPicPr/>
                        </pic:nvPicPr>
                        <pic:blipFill rotWithShape="1">
                          <a:blip r:embed="rId12"/>
                          <a:srcRect t="3516"/>
                          <a:stretch>
                            <a:fillRect/>
                          </a:stretch>
                        </pic:blipFill>
                        <pic:spPr bwMode="auto">
                          <a:xfrm>
                            <a:off x="0" y="0"/>
                            <a:ext cx="2838450" cy="1742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7B5C" w:rsidRPr="00E765FE">
              <w:rPr>
                <w:noProof/>
                <w:lang w:val="en-GB"/>
              </w:rPr>
              <mc:AlternateContent>
                <mc:Choice Requires="wps">
                  <w:drawing>
                    <wp:anchor distT="45720" distB="45720" distL="114300" distR="114300" simplePos="0" relativeHeight="251659264" behindDoc="0" locked="0" layoutInCell="1" allowOverlap="1" wp14:anchorId="0444CA59" wp14:editId="2FDDF076">
                      <wp:simplePos x="0" y="0"/>
                      <wp:positionH relativeFrom="column">
                        <wp:posOffset>2553912</wp:posOffset>
                      </wp:positionH>
                      <wp:positionV relativeFrom="paragraph">
                        <wp:posOffset>827405</wp:posOffset>
                      </wp:positionV>
                      <wp:extent cx="343535" cy="226060"/>
                      <wp:effectExtent l="0" t="0" r="0" b="254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6060"/>
                              </a:xfrm>
                              <a:prstGeom prst="rect">
                                <a:avLst/>
                              </a:prstGeom>
                              <a:solidFill>
                                <a:srgbClr val="FFFFFF"/>
                              </a:solidFill>
                              <a:ln w="9525">
                                <a:noFill/>
                                <a:miter lim="800000"/>
                                <a:headEnd/>
                                <a:tailEnd/>
                              </a:ln>
                            </wps:spPr>
                            <wps:txbx>
                              <w:txbxContent>
                                <w:p w14:paraId="620DE125" w14:textId="7BE1A094" w:rsidR="00BA49A3" w:rsidRPr="00537946" w:rsidRDefault="00BA49A3">
                                  <w:pPr>
                                    <w:rPr>
                                      <w:rFonts w:cs="Arial"/>
                                      <w:sz w:val="8"/>
                                      <w:szCs w:val="8"/>
                                    </w:rPr>
                                  </w:pPr>
                                  <w:r w:rsidRPr="00537946">
                                    <w:rPr>
                                      <w:rFonts w:cs="Arial"/>
                                      <w:sz w:val="8"/>
                                      <w:szCs w:val="8"/>
                                    </w:rPr>
                                    <w:t>Global</w:t>
                                  </w:r>
                                </w:p>
                                <w:p w14:paraId="663E9CCD" w14:textId="55F93262" w:rsidR="00BA49A3" w:rsidRPr="00537946" w:rsidRDefault="00BA49A3">
                                  <w:pPr>
                                    <w:rPr>
                                      <w:rFonts w:cs="Arial"/>
                                      <w:sz w:val="8"/>
                                      <w:szCs w:val="8"/>
                                      <w:lang w:val="it-IT"/>
                                    </w:rPr>
                                  </w:pPr>
                                  <w:r w:rsidRPr="00537946">
                                    <w:rPr>
                                      <w:rFonts w:cs="Arial"/>
                                      <w:sz w:val="8"/>
                                      <w:szCs w:val="8"/>
                                    </w:rPr>
                                    <w:t>Italy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4CA59" id="_x0000_t202" coordsize="21600,21600" o:spt="202" path="m,l,21600r21600,l21600,xe">
                      <v:stroke joinstyle="miter"/>
                      <v:path gradientshapeok="t" o:connecttype="rect"/>
                    </v:shapetype>
                    <v:shape id="Casella di testo 2" o:spid="_x0000_s1026" type="#_x0000_t202" style="position:absolute;left:0;text-align:left;margin-left:201.1pt;margin-top:65.15pt;width:27.05pt;height:1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" stroked="f">
                      <v:textbox>
                        <w:txbxContent>
                          <w:p w14:paraId="620DE125" w14:textId="7BE1A094" w:rsidR="00BA49A3" w:rsidRPr="00537946" w:rsidRDefault="00BA49A3">
                            <w:pPr>
                              <w:rPr>
                                <w:rFonts w:cs="Arial"/>
                                <w:sz w:val="8"/>
                                <w:szCs w:val="8"/>
                              </w:rPr>
                            </w:pPr>
                            <w:r w:rsidRPr="00537946">
                              <w:rPr>
                                <w:rFonts w:cs="Arial"/>
                                <w:sz w:val="8"/>
                                <w:szCs w:val="8"/>
                              </w:rPr>
                              <w:t>Global</w:t>
                            </w:r>
                          </w:p>
                          <w:p w14:paraId="663E9CCD" w14:textId="55F93262" w:rsidR="00BA49A3" w:rsidRPr="00537946" w:rsidRDefault="00BA49A3">
                            <w:pPr>
                              <w:rPr>
                                <w:rFonts w:cs="Arial"/>
                                <w:sz w:val="8"/>
                                <w:szCs w:val="8"/>
                                <w:lang w:val="it-IT"/>
                              </w:rPr>
                            </w:pPr>
                            <w:r w:rsidRPr="00537946">
                              <w:rPr>
                                <w:rFonts w:cs="Arial"/>
                                <w:sz w:val="8"/>
                                <w:szCs w:val="8"/>
                              </w:rPr>
                              <w:t>Italy</w:t>
                            </w:r>
                          </w:p>
                        </w:txbxContent>
                      </v:textbox>
                    </v:shape>
                  </w:pict>
                </mc:Fallback>
              </mc:AlternateContent>
            </w:r>
            <w:r w:rsidR="00537946" w:rsidRPr="00E765FE">
              <w:rPr>
                <w:noProof/>
                <w:lang w:val="en-GB"/>
              </w:rPr>
              <mc:AlternateContent>
                <mc:Choice Requires="wps">
                  <w:drawing>
                    <wp:anchor distT="45720" distB="45720" distL="114300" distR="114300" simplePos="0" relativeHeight="251661312" behindDoc="0" locked="0" layoutInCell="1" allowOverlap="1" wp14:anchorId="79B15ECB" wp14:editId="0E15732E">
                      <wp:simplePos x="0" y="0"/>
                      <wp:positionH relativeFrom="column">
                        <wp:posOffset>-368617</wp:posOffset>
                      </wp:positionH>
                      <wp:positionV relativeFrom="paragraph">
                        <wp:posOffset>844730</wp:posOffset>
                      </wp:positionV>
                      <wp:extent cx="1009462" cy="162962"/>
                      <wp:effectExtent l="4128" t="0" r="4762" b="4763"/>
                      <wp:wrapNone/>
                      <wp:docPr id="138366289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9462" cy="162962"/>
                              </a:xfrm>
                              <a:prstGeom prst="rect">
                                <a:avLst/>
                              </a:prstGeom>
                              <a:solidFill>
                                <a:srgbClr val="FFFFFF"/>
                              </a:solidFill>
                              <a:ln w="9525">
                                <a:noFill/>
                                <a:miter lim="800000"/>
                                <a:headEnd/>
                                <a:tailEnd/>
                              </a:ln>
                            </wps:spPr>
                            <wps:txbx>
                              <w:txbxContent>
                                <w:p w14:paraId="0E4E69A4" w14:textId="6B9215AB" w:rsidR="00537946" w:rsidRPr="00537946" w:rsidRDefault="00537946" w:rsidP="00537946">
                                  <w:pPr>
                                    <w:rPr>
                                      <w:rFonts w:cs="Arial"/>
                                      <w:sz w:val="8"/>
                                      <w:szCs w:val="8"/>
                                    </w:rPr>
                                  </w:pPr>
                                  <w:r>
                                    <w:rPr>
                                      <w:rFonts w:cs="Arial"/>
                                      <w:sz w:val="8"/>
                                      <w:szCs w:val="8"/>
                                    </w:rPr>
                                    <w:t>M</w:t>
                                  </w:r>
                                  <w:r w:rsidRPr="00537946">
                                    <w:rPr>
                                      <w:rFonts w:cs="Arial"/>
                                      <w:sz w:val="8"/>
                                      <w:szCs w:val="8"/>
                                    </w:rPr>
                                    <w:t xml:space="preserve">ean </w:t>
                                  </w:r>
                                  <w:r>
                                    <w:rPr>
                                      <w:rFonts w:cs="Arial"/>
                                      <w:sz w:val="8"/>
                                      <w:szCs w:val="8"/>
                                    </w:rPr>
                                    <w:t>T</w:t>
                                  </w:r>
                                  <w:r w:rsidRPr="00537946">
                                    <w:rPr>
                                      <w:rFonts w:cs="Arial"/>
                                      <w:sz w:val="8"/>
                                      <w:szCs w:val="8"/>
                                    </w:rPr>
                                    <w:t>emperature</w:t>
                                  </w:r>
                                  <w:r>
                                    <w:rPr>
                                      <w:rFonts w:cs="Arial"/>
                                      <w:sz w:val="8"/>
                                      <w:szCs w:val="8"/>
                                    </w:rPr>
                                    <w:t xml:space="preserve"> – Anomalies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15ECB" id="_x0000_s1027" type="#_x0000_t202" style="position:absolute;left:0;text-align:left;margin-left:-29pt;margin-top:66.5pt;width:79.5pt;height:12.8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" stroked="f">
                      <v:textbox>
                        <w:txbxContent>
                          <w:p w14:paraId="0E4E69A4" w14:textId="6B9215AB" w:rsidR="00537946" w:rsidRPr="00537946" w:rsidRDefault="00537946" w:rsidP="00537946">
                            <w:pPr>
                              <w:rPr>
                                <w:rFonts w:cs="Arial"/>
                                <w:sz w:val="8"/>
                                <w:szCs w:val="8"/>
                              </w:rPr>
                            </w:pPr>
                            <w:r>
                              <w:rPr>
                                <w:rFonts w:cs="Arial"/>
                                <w:sz w:val="8"/>
                                <w:szCs w:val="8"/>
                              </w:rPr>
                              <w:t>M</w:t>
                            </w:r>
                            <w:r w:rsidRPr="00537946">
                              <w:rPr>
                                <w:rFonts w:cs="Arial"/>
                                <w:sz w:val="8"/>
                                <w:szCs w:val="8"/>
                              </w:rPr>
                              <w:t xml:space="preserve">ean </w:t>
                            </w:r>
                            <w:r>
                              <w:rPr>
                                <w:rFonts w:cs="Arial"/>
                                <w:sz w:val="8"/>
                                <w:szCs w:val="8"/>
                              </w:rPr>
                              <w:t>T</w:t>
                            </w:r>
                            <w:r w:rsidRPr="00537946">
                              <w:rPr>
                                <w:rFonts w:cs="Arial"/>
                                <w:sz w:val="8"/>
                                <w:szCs w:val="8"/>
                              </w:rPr>
                              <w:t>emperature</w:t>
                            </w:r>
                            <w:r>
                              <w:rPr>
                                <w:rFonts w:cs="Arial"/>
                                <w:sz w:val="8"/>
                                <w:szCs w:val="8"/>
                              </w:rPr>
                              <w:t xml:space="preserve"> – Anomalies (°C)</w:t>
                            </w:r>
                          </w:p>
                        </w:txbxContent>
                      </v:textbox>
                    </v:shape>
                  </w:pict>
                </mc:Fallback>
              </mc:AlternateContent>
            </w:r>
            <w:r w:rsidR="00764DCE" w:rsidRPr="00E765FE">
              <w:rPr>
                <w:i/>
                <w:iCs/>
                <w:lang w:val="en-GB"/>
              </w:rPr>
              <w:t>Fig. 1 b)</w:t>
            </w:r>
            <w:r w:rsidR="00537946" w:rsidRPr="00E765FE">
              <w:rPr>
                <w:noProof/>
                <w:lang w:val="en-GB"/>
              </w:rPr>
              <w:t xml:space="preserve"> </w:t>
            </w:r>
            <w:r w:rsidR="00FE5A8C">
              <w:rPr>
                <w:noProof/>
                <w:lang w:val="en-GB"/>
              </w:rPr>
              <w:t>(Dat</w:t>
            </w:r>
            <w:r w:rsidR="00310063">
              <w:rPr>
                <w:noProof/>
                <w:lang w:val="en-GB"/>
              </w:rPr>
              <w:t>a</w:t>
            </w:r>
            <w:r w:rsidR="00FE5A8C">
              <w:rPr>
                <w:noProof/>
                <w:lang w:val="en-GB"/>
              </w:rPr>
              <w:t xml:space="preserve">: </w:t>
            </w:r>
            <w:r w:rsidR="00FE5A8C" w:rsidRPr="00E765FE">
              <w:t>Report SNPA | 44 2025)</w:t>
            </w:r>
          </w:p>
        </w:tc>
      </w:tr>
    </w:tbl>
    <w:p w14:paraId="001B6E94" w14:textId="77777777" w:rsidR="00764DCE" w:rsidRPr="00E765FE" w:rsidRDefault="00764DCE" w:rsidP="00FF3606">
      <w:pPr>
        <w:pStyle w:val="CETnumberingbullets"/>
        <w:numPr>
          <w:ilvl w:val="0"/>
          <w:numId w:val="0"/>
        </w:numPr>
        <w:jc w:val="both"/>
      </w:pPr>
    </w:p>
    <w:p w14:paraId="7169D11F" w14:textId="58306306" w:rsidR="00535E3C" w:rsidRPr="00E765FE" w:rsidRDefault="001D6F68" w:rsidP="00FF3606">
      <w:pPr>
        <w:pStyle w:val="CETnumberingbullets"/>
        <w:numPr>
          <w:ilvl w:val="0"/>
          <w:numId w:val="0"/>
        </w:numPr>
        <w:jc w:val="both"/>
      </w:pPr>
      <w:r w:rsidRPr="00E765FE">
        <w:rPr>
          <w:i/>
          <w:iCs/>
        </w:rPr>
        <w:t xml:space="preserve">Figure 1. </w:t>
      </w:r>
      <w:r w:rsidR="00B72A1C" w:rsidRPr="00E765FE">
        <w:rPr>
          <w:i/>
          <w:iCs/>
        </w:rPr>
        <w:t>a) Extreme high temperatures;</w:t>
      </w:r>
      <w:r w:rsidRPr="00E765FE">
        <w:rPr>
          <w:i/>
          <w:iCs/>
        </w:rPr>
        <w:t xml:space="preserve"> b) </w:t>
      </w:r>
      <w:r w:rsidR="00D81EEC" w:rsidRPr="00E765FE">
        <w:rPr>
          <w:i/>
          <w:iCs/>
        </w:rPr>
        <w:t>Time series of land temperature</w:t>
      </w:r>
    </w:p>
    <w:p w14:paraId="03888881" w14:textId="77777777" w:rsidR="00535E3C" w:rsidRPr="00E765FE" w:rsidRDefault="00535E3C" w:rsidP="00FF3606">
      <w:pPr>
        <w:pStyle w:val="CETnumberingbullets"/>
        <w:numPr>
          <w:ilvl w:val="0"/>
          <w:numId w:val="0"/>
        </w:numPr>
        <w:jc w:val="both"/>
      </w:pPr>
    </w:p>
    <w:p w14:paraId="27E96241" w14:textId="77777777" w:rsidR="00535E3C" w:rsidRPr="00E765FE" w:rsidRDefault="00535E3C" w:rsidP="00FF3606">
      <w:pPr>
        <w:pStyle w:val="CETnumberingbullets"/>
        <w:numPr>
          <w:ilvl w:val="0"/>
          <w:numId w:val="0"/>
        </w:numPr>
        <w:jc w:val="both"/>
      </w:pPr>
      <w:r w:rsidRPr="00E765FE">
        <w:t>According to the climatological definition, a heat wave is an event lasting at least six consecutive days during which the daily maximum temperature exceeds the 90th percentile of the distribution of daily maximum temperatures for the same period of the year over the reference climatological thirty-year period (1991–2020).</w:t>
      </w:r>
    </w:p>
    <w:p w14:paraId="0ADB93B5" w14:textId="586989F5" w:rsidR="00535E3C" w:rsidRPr="00E765FE" w:rsidRDefault="00535E3C" w:rsidP="00FF3606">
      <w:pPr>
        <w:pStyle w:val="CETnumberingbullets"/>
        <w:numPr>
          <w:ilvl w:val="0"/>
          <w:numId w:val="0"/>
        </w:numPr>
        <w:jc w:val="both"/>
      </w:pPr>
      <w:r w:rsidRPr="00E765FE">
        <w:t>Heat waves are identified through indices representative of extreme conditions:</w:t>
      </w:r>
      <w:r w:rsidR="00876715" w:rsidRPr="00E765FE">
        <w:t xml:space="preserve"> </w:t>
      </w:r>
      <w:r w:rsidRPr="00E765FE">
        <w:t>a) number of tropical nights per year, with daily minimum temperature &gt; 20 °C;</w:t>
      </w:r>
      <w:r w:rsidR="00876715" w:rsidRPr="00E765FE">
        <w:t xml:space="preserve"> </w:t>
      </w:r>
      <w:r w:rsidRPr="00E765FE">
        <w:t>b) number of summer days per year, with daily maximum temperature &gt; 25 °C;</w:t>
      </w:r>
      <w:r w:rsidR="00876715" w:rsidRPr="00E765FE">
        <w:t xml:space="preserve"> </w:t>
      </w:r>
      <w:r w:rsidRPr="00E765FE">
        <w:t>c) number of torrid days, with daily maximum temperature &gt; 35 °C;</w:t>
      </w:r>
      <w:r w:rsidR="00876715" w:rsidRPr="00E765FE">
        <w:t xml:space="preserve"> </w:t>
      </w:r>
      <w:r w:rsidRPr="00E765FE">
        <w:t>d) the Warm Spell Duration Index (WSDI), defined as the number of days per year with daily maximum temperature exceeding the 90th percentile of the distribution over the 1991–2020 climatological period, for at least six consecutive days.</w:t>
      </w:r>
    </w:p>
    <w:p w14:paraId="6460ADC7" w14:textId="3701EEEB" w:rsidR="00535E3C" w:rsidRPr="00E765FE" w:rsidRDefault="00A033F9" w:rsidP="00FF3606">
      <w:pPr>
        <w:pStyle w:val="CETnumberingbullets"/>
        <w:numPr>
          <w:ilvl w:val="0"/>
          <w:numId w:val="0"/>
        </w:numPr>
        <w:jc w:val="both"/>
      </w:pPr>
      <w:r w:rsidRPr="00A033F9">
        <w:t xml:space="preserve">In Italy, an increase in all these indices has been observed in the last 50 years </w:t>
      </w:r>
      <w:r w:rsidR="00535E3C" w:rsidRPr="00E765FE">
        <w:t>(</w:t>
      </w:r>
      <w:r>
        <w:t>www.isprambiente.gov.it)</w:t>
      </w:r>
      <w:r w:rsidR="00535E3C" w:rsidRPr="00E765FE">
        <w:t>.</w:t>
      </w:r>
    </w:p>
    <w:p w14:paraId="2FC63DDA" w14:textId="44913337" w:rsidR="004E099A" w:rsidRPr="00E765FE" w:rsidRDefault="00535E3C" w:rsidP="00FF3606">
      <w:pPr>
        <w:pStyle w:val="CETnumberingbullets"/>
        <w:numPr>
          <w:ilvl w:val="0"/>
          <w:numId w:val="0"/>
        </w:numPr>
        <w:jc w:val="both"/>
      </w:pPr>
      <w:r w:rsidRPr="00E765FE">
        <w:t xml:space="preserve">In this </w:t>
      </w:r>
      <w:r w:rsidR="00D81EEC" w:rsidRPr="00E765FE">
        <w:t>paper</w:t>
      </w:r>
      <w:r w:rsidRPr="00E765FE">
        <w:t>, for the purpose of describing heat waves, only the WSDI is used, as it specifically identifies the number of intense and prolonged heat events.</w:t>
      </w:r>
      <w:r w:rsidR="00206306" w:rsidRPr="00E765FE">
        <w:t xml:space="preserve"> </w:t>
      </w:r>
      <w:r w:rsidR="00835563" w:rsidRPr="00E765FE">
        <w:t>The aim of this work is to focus on identifying the vulnerability of the main critical systems that are involved in a flood.</w:t>
      </w:r>
    </w:p>
    <w:p w14:paraId="408C5040" w14:textId="464D012C" w:rsidR="00191681" w:rsidRPr="00E765FE" w:rsidRDefault="00531B1B" w:rsidP="00FF3606">
      <w:pPr>
        <w:pStyle w:val="CETHeading1"/>
        <w:jc w:val="both"/>
        <w:rPr>
          <w:lang w:val="en-GB"/>
        </w:rPr>
      </w:pPr>
      <w:r w:rsidRPr="00E765FE">
        <w:rPr>
          <w:lang w:val="en-GB"/>
        </w:rPr>
        <w:t>Effects of Heat Waves on Industrial Plants</w:t>
      </w:r>
    </w:p>
    <w:p w14:paraId="41E25CE1" w14:textId="3992C876" w:rsidR="00531B1B" w:rsidRPr="00E765FE" w:rsidRDefault="00531B1B" w:rsidP="00FF3606">
      <w:pPr>
        <w:pStyle w:val="CETnumberingbullets"/>
        <w:numPr>
          <w:ilvl w:val="0"/>
          <w:numId w:val="0"/>
        </w:numPr>
        <w:jc w:val="both"/>
      </w:pPr>
      <w:r w:rsidRPr="00E765FE">
        <w:t>Heat waves adversely affect industrial plants through a range of hazards. In the case of establishments with major accident hazards involving dangerous substances, these hazards may lead to fires, explosions, or releases of hazardous substances, with severe consequences for safety, human health, and the environment.</w:t>
      </w:r>
    </w:p>
    <w:p w14:paraId="6E385F23" w14:textId="7D58E012" w:rsidR="00D52EDE" w:rsidRPr="00E765FE" w:rsidRDefault="00531B1B" w:rsidP="00FF3606">
      <w:pPr>
        <w:pStyle w:val="CETnumberingbullets"/>
        <w:numPr>
          <w:ilvl w:val="0"/>
          <w:numId w:val="0"/>
        </w:numPr>
        <w:jc w:val="both"/>
      </w:pPr>
      <w:r w:rsidRPr="00E765FE">
        <w:t xml:space="preserve">Moreover, heat waves usually affect wide geographical areas, thus potentially impacting </w:t>
      </w:r>
      <w:r w:rsidR="005563E8" w:rsidRPr="00E765FE">
        <w:t>many</w:t>
      </w:r>
      <w:r w:rsidRPr="00E765FE">
        <w:t xml:space="preserve"> installations and giving rise to possible domino effects.</w:t>
      </w:r>
      <w:r w:rsidR="005563E8" w:rsidRPr="00E765FE">
        <w:t xml:space="preserve"> </w:t>
      </w:r>
      <w:r w:rsidRPr="00E765FE">
        <w:t>The increasing frequency and intensity of heat waves may affect:</w:t>
      </w:r>
      <w:r w:rsidR="005563E8" w:rsidRPr="00E765FE">
        <w:t xml:space="preserve"> </w:t>
      </w:r>
      <w:r w:rsidRPr="00E765FE">
        <w:t>a) the deformation of tanks, pipelines, and other equipment, compromising their structural integrity and increasing the risk of failures that may result in loss of containment;</w:t>
      </w:r>
      <w:r w:rsidR="005563E8" w:rsidRPr="00E765FE">
        <w:t xml:space="preserve"> </w:t>
      </w:r>
      <w:r w:rsidRPr="00E765FE">
        <w:t>b) an uncontrolled increase in internal pressure within equipment, exceeding design limits and leading to equipment failure;</w:t>
      </w:r>
      <w:r w:rsidR="005563E8" w:rsidRPr="00E765FE">
        <w:t xml:space="preserve"> </w:t>
      </w:r>
      <w:r w:rsidRPr="00E765FE">
        <w:t>c) the stability of certain chemical substances, increasing the risk of uncontrolled reactions, fires, or explosions;</w:t>
      </w:r>
      <w:r w:rsidR="005563E8" w:rsidRPr="00E765FE">
        <w:t xml:space="preserve"> </w:t>
      </w:r>
      <w:r w:rsidRPr="00E765FE">
        <w:t>d) the self-ignition of materials and substances present on site;</w:t>
      </w:r>
      <w:r w:rsidR="005563E8" w:rsidRPr="00E765FE">
        <w:t xml:space="preserve"> </w:t>
      </w:r>
      <w:r w:rsidRPr="00E765FE">
        <w:t>e) cooling systems, reducing their effectiveness and increasing the risk of overheating of machinery and equipment;</w:t>
      </w:r>
      <w:r w:rsidR="005563E8" w:rsidRPr="00E765FE">
        <w:t xml:space="preserve"> </w:t>
      </w:r>
      <w:r w:rsidRPr="00E765FE">
        <w:t>f) instrumentation and safety systems;</w:t>
      </w:r>
      <w:r w:rsidR="005563E8" w:rsidRPr="00E765FE">
        <w:t xml:space="preserve"> </w:t>
      </w:r>
      <w:r w:rsidRPr="00E765FE">
        <w:t>g) the acceleration of corrosion processes in metals;</w:t>
      </w:r>
      <w:r w:rsidR="005563E8" w:rsidRPr="00E765FE">
        <w:t xml:space="preserve"> </w:t>
      </w:r>
      <w:r w:rsidRPr="00E765FE">
        <w:t>h) the operational capacity of personnel, increasing the risk of human errors and accidents; etc.</w:t>
      </w:r>
    </w:p>
    <w:p w14:paraId="03A6A453" w14:textId="4194BC18" w:rsidR="00D52EDE" w:rsidRPr="00E765FE" w:rsidRDefault="0007789D" w:rsidP="00FF3606">
      <w:pPr>
        <w:pStyle w:val="CETHeading1"/>
        <w:jc w:val="both"/>
        <w:rPr>
          <w:lang w:val="en-GB"/>
        </w:rPr>
      </w:pPr>
      <w:r w:rsidRPr="00E765FE">
        <w:rPr>
          <w:lang w:val="en-GB"/>
        </w:rPr>
        <w:t>NaTech</w:t>
      </w:r>
      <w:r w:rsidR="00531B1B" w:rsidRPr="00E765FE">
        <w:rPr>
          <w:lang w:val="en-GB"/>
        </w:rPr>
        <w:t xml:space="preserve"> Risk Assessment </w:t>
      </w:r>
      <w:r w:rsidR="00745531" w:rsidRPr="00E765FE">
        <w:rPr>
          <w:lang w:val="en-GB"/>
        </w:rPr>
        <w:t>Triggered</w:t>
      </w:r>
      <w:r w:rsidR="00531B1B" w:rsidRPr="00E765FE">
        <w:rPr>
          <w:lang w:val="en-GB"/>
        </w:rPr>
        <w:t xml:space="preserve"> by Heat Waves</w:t>
      </w:r>
    </w:p>
    <w:p w14:paraId="494118BF" w14:textId="17C226D2" w:rsidR="00745531" w:rsidRPr="00E765FE" w:rsidRDefault="00745531" w:rsidP="00FF3606">
      <w:pPr>
        <w:pStyle w:val="CETnumberingbullets"/>
        <w:numPr>
          <w:ilvl w:val="0"/>
          <w:numId w:val="0"/>
        </w:numPr>
        <w:jc w:val="both"/>
        <w:rPr>
          <w:rFonts w:cs="Arial"/>
        </w:rPr>
      </w:pPr>
      <w:r w:rsidRPr="00E765FE">
        <w:t>According to the recent approach of the Intergovernmental Panel on Climate Change of the United Nations</w:t>
      </w:r>
      <w:r w:rsidR="005563E8" w:rsidRPr="00E765FE">
        <w:t xml:space="preserve"> (IPCC</w:t>
      </w:r>
      <w:r w:rsidRPr="00E765FE">
        <w:t>, 2022), the concept of weather-related risk associated with heat waves and climate change is generally based on three fundamental components: hazard,</w:t>
      </w:r>
      <w:r w:rsidR="005563E8" w:rsidRPr="00E765FE">
        <w:t xml:space="preserve"> vulnerability</w:t>
      </w:r>
      <w:r w:rsidRPr="00E765FE">
        <w:t xml:space="preserve">, and </w:t>
      </w:r>
      <w:r w:rsidR="005563E8" w:rsidRPr="00E765FE">
        <w:t>exposure</w:t>
      </w:r>
      <w:r w:rsidRPr="00E765FE">
        <w:t>.</w:t>
      </w:r>
      <w:r w:rsidR="005563E8" w:rsidRPr="00E765FE">
        <w:t xml:space="preserve"> </w:t>
      </w:r>
      <w:r w:rsidR="004D77E8" w:rsidRPr="004D77E8">
        <w:t>Risk arises when, at a specific location and time, a vulnerable receptor</w:t>
      </w:r>
      <w:r w:rsidR="004D77E8">
        <w:t xml:space="preserve">, </w:t>
      </w:r>
      <w:r w:rsidR="004D77E8" w:rsidRPr="004D77E8">
        <w:t>defined as an entity susceptible to the consequences generated by a hazard</w:t>
      </w:r>
      <w:r w:rsidR="004D77E8">
        <w:t xml:space="preserve">, </w:t>
      </w:r>
      <w:r w:rsidR="004D77E8" w:rsidRPr="004D77E8">
        <w:t>is exposed to a hazardous source.</w:t>
      </w:r>
      <w:r w:rsidR="005563E8" w:rsidRPr="00E765FE">
        <w:t xml:space="preserve"> Authors introduce </w:t>
      </w:r>
      <w:r w:rsidRPr="00E765FE">
        <w:t xml:space="preserve">an index-based method to assess </w:t>
      </w:r>
      <w:r w:rsidR="0007789D" w:rsidRPr="00E765FE">
        <w:t>NaTech</w:t>
      </w:r>
      <w:r w:rsidRPr="00E765FE">
        <w:t xml:space="preserve"> risk </w:t>
      </w:r>
      <w:r w:rsidR="00B45FB6" w:rsidRPr="00E765FE">
        <w:t>triggered</w:t>
      </w:r>
      <w:r w:rsidRPr="00E765FE">
        <w:t xml:space="preserve"> by heat waves, with the aim of identifying critical units in major accident hazard establishments. The level of </w:t>
      </w:r>
      <w:r w:rsidR="0007789D" w:rsidRPr="00E765FE">
        <w:t>NaTech</w:t>
      </w:r>
      <w:r w:rsidRPr="00E765FE">
        <w:t xml:space="preserve"> risk </w:t>
      </w:r>
      <w:r w:rsidR="00B45FB6" w:rsidRPr="00E765FE">
        <w:t>triggered</w:t>
      </w:r>
      <w:r w:rsidRPr="00E765FE">
        <w:t xml:space="preserve"> by heat waves</w:t>
      </w:r>
      <w:r w:rsidR="00B45FB6" w:rsidRPr="00E765FE">
        <w:t xml:space="preserve"> </w:t>
      </w:r>
      <w:r w:rsidR="00B45FB6" w:rsidRPr="00E765FE">
        <w:rPr>
          <w:rFonts w:cs="Arial"/>
          <w:szCs w:val="18"/>
        </w:rPr>
        <w:t>IR</w:t>
      </w:r>
      <w:r w:rsidR="00B45FB6" w:rsidRPr="00E765FE">
        <w:rPr>
          <w:rFonts w:cs="Arial"/>
          <w:szCs w:val="18"/>
          <w:vertAlign w:val="subscript"/>
        </w:rPr>
        <w:t>hw</w:t>
      </w:r>
      <w:bookmarkStart w:id="1" w:name="_Hlk217986121"/>
      <w:r w:rsidRPr="00E765FE">
        <w:t xml:space="preserve"> </w:t>
      </w:r>
      <w:bookmarkEnd w:id="1"/>
      <w:r w:rsidRPr="00E765FE">
        <w:t>depends on:</w:t>
      </w:r>
    </w:p>
    <w:p w14:paraId="57C65DA0" w14:textId="795C9407" w:rsidR="00B45FB6" w:rsidRPr="00E765FE" w:rsidRDefault="00B45FB6" w:rsidP="00B45FB6">
      <w:pPr>
        <w:pStyle w:val="CETBodytext"/>
        <w:tabs>
          <w:tab w:val="clear" w:pos="7100"/>
          <w:tab w:val="left" w:pos="8505"/>
        </w:tabs>
        <w:rPr>
          <w:rFonts w:cs="Arial"/>
          <w:szCs w:val="18"/>
          <w:lang w:val="en-GB"/>
        </w:rPr>
      </w:pPr>
      <w:r w:rsidRPr="00E765FE">
        <w:rPr>
          <w:rFonts w:cs="Arial"/>
          <w:szCs w:val="18"/>
          <w:lang w:val="en-GB"/>
        </w:rPr>
        <w:t>IR</w:t>
      </w:r>
      <w:r w:rsidRPr="00E765FE">
        <w:rPr>
          <w:rFonts w:cs="Arial"/>
          <w:szCs w:val="18"/>
          <w:vertAlign w:val="subscript"/>
          <w:lang w:val="en-GB"/>
        </w:rPr>
        <w:t xml:space="preserve">hw </w:t>
      </w:r>
      <w:r w:rsidRPr="00E765FE">
        <w:rPr>
          <w:rFonts w:cs="Arial"/>
          <w:szCs w:val="18"/>
          <w:lang w:val="en-GB"/>
        </w:rPr>
        <w:t>= f (IH</w:t>
      </w:r>
      <w:r w:rsidRPr="00E765FE">
        <w:rPr>
          <w:rFonts w:cs="Arial"/>
          <w:szCs w:val="18"/>
          <w:vertAlign w:val="subscript"/>
          <w:lang w:val="en-GB"/>
        </w:rPr>
        <w:t>hw</w:t>
      </w:r>
      <w:r w:rsidRPr="00E765FE">
        <w:rPr>
          <w:rFonts w:cs="Arial"/>
          <w:szCs w:val="18"/>
          <w:lang w:val="en-GB"/>
        </w:rPr>
        <w:t>, IV</w:t>
      </w:r>
      <w:r w:rsidRPr="00E765FE">
        <w:rPr>
          <w:rFonts w:cs="Arial"/>
          <w:szCs w:val="18"/>
          <w:vertAlign w:val="subscript"/>
          <w:lang w:val="en-GB"/>
        </w:rPr>
        <w:t>hw</w:t>
      </w:r>
      <w:r w:rsidRPr="00E765FE">
        <w:rPr>
          <w:rFonts w:cs="Arial"/>
          <w:szCs w:val="18"/>
          <w:lang w:val="en-GB"/>
        </w:rPr>
        <w:t>, IE</w:t>
      </w:r>
      <w:r w:rsidRPr="00E765FE">
        <w:rPr>
          <w:rFonts w:cs="Arial"/>
          <w:szCs w:val="18"/>
          <w:vertAlign w:val="subscript"/>
          <w:lang w:val="en-GB"/>
        </w:rPr>
        <w:t>hw</w:t>
      </w:r>
      <w:r w:rsidRPr="00E765FE">
        <w:rPr>
          <w:rFonts w:cs="Arial"/>
          <w:szCs w:val="18"/>
          <w:lang w:val="en-GB"/>
        </w:rPr>
        <w:t xml:space="preserve">) </w:t>
      </w:r>
      <w:r w:rsidRPr="00E765FE">
        <w:rPr>
          <w:rFonts w:cs="Arial"/>
          <w:szCs w:val="18"/>
          <w:lang w:val="en-GB"/>
        </w:rPr>
        <w:tab/>
        <w:t>(1)</w:t>
      </w:r>
    </w:p>
    <w:p w14:paraId="1B46B760" w14:textId="77777777" w:rsidR="00745531" w:rsidRPr="00E765FE" w:rsidRDefault="00745531" w:rsidP="00FF3606">
      <w:pPr>
        <w:pStyle w:val="CETnumberingbullets"/>
        <w:numPr>
          <w:ilvl w:val="0"/>
          <w:numId w:val="0"/>
        </w:numPr>
        <w:jc w:val="both"/>
        <w:rPr>
          <w:rFonts w:cs="Arial"/>
        </w:rPr>
      </w:pPr>
      <w:r w:rsidRPr="00E765FE">
        <w:rPr>
          <w:rFonts w:cs="Arial"/>
        </w:rPr>
        <w:t>where:</w:t>
      </w:r>
    </w:p>
    <w:p w14:paraId="02F59DDE" w14:textId="1B2C0ED8" w:rsidR="00745531" w:rsidRPr="00E765FE" w:rsidRDefault="00B45FB6" w:rsidP="00FF3606">
      <w:pPr>
        <w:pStyle w:val="CETnumberingbullets"/>
        <w:numPr>
          <w:ilvl w:val="0"/>
          <w:numId w:val="0"/>
        </w:numPr>
        <w:jc w:val="both"/>
        <w:rPr>
          <w:rFonts w:cs="Arial"/>
        </w:rPr>
      </w:pPr>
      <w:r w:rsidRPr="00E765FE">
        <w:rPr>
          <w:rFonts w:cs="Arial"/>
          <w:szCs w:val="18"/>
        </w:rPr>
        <w:lastRenderedPageBreak/>
        <w:t>IH</w:t>
      </w:r>
      <w:r w:rsidRPr="00E765FE">
        <w:rPr>
          <w:rFonts w:cs="Arial"/>
          <w:szCs w:val="18"/>
          <w:vertAlign w:val="subscript"/>
        </w:rPr>
        <w:t>hw</w:t>
      </w:r>
      <w:r w:rsidRPr="00E765FE">
        <w:rPr>
          <w:rFonts w:cs="Arial"/>
        </w:rPr>
        <w:t xml:space="preserve"> is </w:t>
      </w:r>
      <w:r w:rsidR="00745531" w:rsidRPr="00E765FE">
        <w:rPr>
          <w:rFonts w:cs="Arial"/>
        </w:rPr>
        <w:t>the Heat Wave</w:t>
      </w:r>
      <w:r w:rsidR="002B3B9E" w:rsidRPr="00E765FE">
        <w:rPr>
          <w:rFonts w:cs="Arial"/>
        </w:rPr>
        <w:t>s</w:t>
      </w:r>
      <w:r w:rsidR="00745531" w:rsidRPr="00E765FE">
        <w:rPr>
          <w:rFonts w:cs="Arial"/>
        </w:rPr>
        <w:t xml:space="preserve"> Hazard Index, related to annual mean anomalies of the WSDI occurring </w:t>
      </w:r>
      <w:proofErr w:type="gramStart"/>
      <w:r w:rsidR="00745531" w:rsidRPr="00E765FE">
        <w:rPr>
          <w:rFonts w:cs="Arial"/>
        </w:rPr>
        <w:t>in a given</w:t>
      </w:r>
      <w:proofErr w:type="gramEnd"/>
      <w:r w:rsidR="00745531" w:rsidRPr="00E765FE">
        <w:rPr>
          <w:rFonts w:cs="Arial"/>
        </w:rPr>
        <w:t xml:space="preserve"> </w:t>
      </w:r>
      <w:r w:rsidRPr="00E765FE">
        <w:rPr>
          <w:rFonts w:cs="Arial"/>
        </w:rPr>
        <w:t>area.</w:t>
      </w:r>
    </w:p>
    <w:p w14:paraId="23B605C6" w14:textId="044243D2" w:rsidR="00745531" w:rsidRPr="00E765FE" w:rsidRDefault="00B45FB6" w:rsidP="00FF3606">
      <w:pPr>
        <w:pStyle w:val="CETnumberingbullets"/>
        <w:numPr>
          <w:ilvl w:val="0"/>
          <w:numId w:val="0"/>
        </w:numPr>
        <w:jc w:val="both"/>
      </w:pPr>
      <w:r w:rsidRPr="00E765FE">
        <w:rPr>
          <w:rFonts w:cs="Arial"/>
          <w:szCs w:val="18"/>
        </w:rPr>
        <w:t>IV</w:t>
      </w:r>
      <w:r w:rsidRPr="00E765FE">
        <w:rPr>
          <w:rFonts w:cs="Arial"/>
          <w:szCs w:val="18"/>
          <w:vertAlign w:val="subscript"/>
        </w:rPr>
        <w:t>hw</w:t>
      </w:r>
      <w:r w:rsidRPr="00E765FE">
        <w:t xml:space="preserve"> </w:t>
      </w:r>
      <w:r w:rsidR="00745531" w:rsidRPr="00E765FE">
        <w:t>is the</w:t>
      </w:r>
      <w:r w:rsidR="00AB3BEC" w:rsidRPr="00E765FE">
        <w:t xml:space="preserve"> </w:t>
      </w:r>
      <w:r w:rsidRPr="00E765FE">
        <w:rPr>
          <w:rFonts w:cs="Arial"/>
        </w:rPr>
        <w:t>Heat Wave</w:t>
      </w:r>
      <w:r w:rsidR="002B3B9E" w:rsidRPr="00E765FE">
        <w:rPr>
          <w:rFonts w:cs="Arial"/>
        </w:rPr>
        <w:t>s</w:t>
      </w:r>
      <w:r w:rsidR="00745531" w:rsidRPr="00E765FE">
        <w:t xml:space="preserve"> Vulnerability Index, defined as the propensity of equipment and pipelines containing hazardous substances to be damaged </w:t>
      </w:r>
      <w:r w:rsidRPr="00E765FE">
        <w:t>because of</w:t>
      </w:r>
      <w:r w:rsidR="00745531" w:rsidRPr="00E765FE">
        <w:t xml:space="preserve"> heat waves. This index also includes </w:t>
      </w:r>
      <w:r w:rsidR="00745531" w:rsidRPr="00E765FE">
        <w:rPr>
          <w:i/>
          <w:iCs/>
        </w:rPr>
        <w:t>organizational vulnerability</w:t>
      </w:r>
      <w:r w:rsidR="00745531" w:rsidRPr="00E765FE">
        <w:t xml:space="preserve">, related to the level of organizational resilience of a given establishment and </w:t>
      </w:r>
      <w:r w:rsidRPr="00E765FE">
        <w:t>considering</w:t>
      </w:r>
      <w:r w:rsidR="00745531" w:rsidRPr="00E765FE">
        <w:t xml:space="preserve"> the operational capacity of personnel</w:t>
      </w:r>
      <w:r w:rsidRPr="00E765FE">
        <w:t>.</w:t>
      </w:r>
    </w:p>
    <w:p w14:paraId="19083249" w14:textId="7D309079" w:rsidR="00745531" w:rsidRPr="00E765FE" w:rsidRDefault="002B3B9E" w:rsidP="00FF3606">
      <w:pPr>
        <w:pStyle w:val="CETnumberingbullets"/>
        <w:numPr>
          <w:ilvl w:val="0"/>
          <w:numId w:val="0"/>
        </w:numPr>
        <w:jc w:val="both"/>
      </w:pPr>
      <w:r w:rsidRPr="00E765FE">
        <w:rPr>
          <w:rFonts w:cs="Arial"/>
          <w:szCs w:val="18"/>
        </w:rPr>
        <w:t>IE</w:t>
      </w:r>
      <w:r w:rsidRPr="00E765FE">
        <w:rPr>
          <w:rFonts w:cs="Arial"/>
          <w:szCs w:val="18"/>
          <w:vertAlign w:val="subscript"/>
        </w:rPr>
        <w:t>hw</w:t>
      </w:r>
      <w:r w:rsidRPr="00E765FE">
        <w:t xml:space="preserve"> </w:t>
      </w:r>
      <w:r w:rsidR="00745531" w:rsidRPr="00E765FE">
        <w:t xml:space="preserve">is the </w:t>
      </w:r>
      <w:r w:rsidRPr="00E765FE">
        <w:rPr>
          <w:rFonts w:cs="Arial"/>
        </w:rPr>
        <w:t>Heat Waves</w:t>
      </w:r>
      <w:r w:rsidRPr="00E765FE">
        <w:t xml:space="preserve"> </w:t>
      </w:r>
      <w:r w:rsidR="00745531" w:rsidRPr="00E765FE">
        <w:t>Exposure Index, defined as the extent and severity of damage to receptors (people, assets, infrastructure, etc.).</w:t>
      </w:r>
    </w:p>
    <w:p w14:paraId="6A7DCB38" w14:textId="4F997F81" w:rsidR="00745531" w:rsidRPr="00E765FE" w:rsidRDefault="00745531" w:rsidP="00FF3606">
      <w:pPr>
        <w:pStyle w:val="CETnumberingbullets"/>
        <w:numPr>
          <w:ilvl w:val="0"/>
          <w:numId w:val="0"/>
        </w:numPr>
        <w:jc w:val="both"/>
      </w:pPr>
      <w:r w:rsidRPr="00E765FE">
        <w:t xml:space="preserve">Since determining the </w:t>
      </w:r>
      <w:r w:rsidRPr="00E765FE">
        <w:rPr>
          <w:szCs w:val="18"/>
        </w:rPr>
        <w:t>function</w:t>
      </w:r>
      <w:r w:rsidR="002B3B9E" w:rsidRPr="00E765FE">
        <w:rPr>
          <w:szCs w:val="18"/>
        </w:rPr>
        <w:t xml:space="preserve"> </w:t>
      </w:r>
      <w:r w:rsidR="002B3B9E" w:rsidRPr="00E765FE">
        <w:rPr>
          <w:rFonts w:cs="Arial"/>
          <w:szCs w:val="18"/>
        </w:rPr>
        <w:t xml:space="preserve">f </w:t>
      </w:r>
      <w:r w:rsidRPr="00E765FE">
        <w:t>is quite complex in terms of time and resources, the authors, based on their institutional experience, propose the following simplified index-based method:</w:t>
      </w:r>
    </w:p>
    <w:p w14:paraId="76EA2617" w14:textId="5C0BD99C" w:rsidR="00745531" w:rsidRPr="00E765FE" w:rsidRDefault="002B3B9E" w:rsidP="002B3B9E">
      <w:pPr>
        <w:pStyle w:val="CETnumberingbullets"/>
        <w:numPr>
          <w:ilvl w:val="0"/>
          <w:numId w:val="0"/>
        </w:numPr>
        <w:tabs>
          <w:tab w:val="left" w:pos="8505"/>
        </w:tabs>
        <w:jc w:val="both"/>
      </w:pPr>
      <w:r w:rsidRPr="00E765FE">
        <w:rPr>
          <w:rFonts w:cs="Arial"/>
          <w:szCs w:val="18"/>
        </w:rPr>
        <w:t>IR</w:t>
      </w:r>
      <w:r w:rsidRPr="00E765FE">
        <w:rPr>
          <w:rFonts w:cs="Arial"/>
          <w:szCs w:val="18"/>
          <w:vertAlign w:val="subscript"/>
        </w:rPr>
        <w:t xml:space="preserve">hw </w:t>
      </w:r>
      <w:r w:rsidRPr="00E765FE">
        <w:rPr>
          <w:rFonts w:cs="Arial"/>
          <w:szCs w:val="18"/>
        </w:rPr>
        <w:t>= IH</w:t>
      </w:r>
      <w:r w:rsidRPr="00E765FE">
        <w:rPr>
          <w:rFonts w:cs="Arial"/>
          <w:szCs w:val="18"/>
          <w:vertAlign w:val="subscript"/>
        </w:rPr>
        <w:t>hw</w:t>
      </w:r>
      <w:r w:rsidRPr="00E765FE">
        <w:rPr>
          <w:rFonts w:cs="Arial"/>
          <w:szCs w:val="18"/>
        </w:rPr>
        <w:t xml:space="preserve"> * IV</w:t>
      </w:r>
      <w:r w:rsidRPr="00E765FE">
        <w:rPr>
          <w:rFonts w:cs="Arial"/>
          <w:szCs w:val="18"/>
          <w:vertAlign w:val="subscript"/>
        </w:rPr>
        <w:t>hw</w:t>
      </w:r>
      <w:r w:rsidRPr="00E765FE">
        <w:rPr>
          <w:rFonts w:cs="Arial"/>
          <w:szCs w:val="18"/>
        </w:rPr>
        <w:t xml:space="preserve"> * IE</w:t>
      </w:r>
      <w:r w:rsidRPr="00E765FE">
        <w:rPr>
          <w:rFonts w:cs="Arial"/>
          <w:szCs w:val="18"/>
          <w:vertAlign w:val="subscript"/>
        </w:rPr>
        <w:t>hw</w:t>
      </w:r>
      <w:r w:rsidRPr="00E765FE">
        <w:rPr>
          <w:rFonts w:cs="Arial"/>
          <w:szCs w:val="18"/>
        </w:rPr>
        <w:t xml:space="preserve"> </w:t>
      </w:r>
      <w:r w:rsidRPr="00E765FE">
        <w:rPr>
          <w:rFonts w:cs="Arial"/>
          <w:szCs w:val="18"/>
        </w:rPr>
        <w:tab/>
        <w:t>(2)</w:t>
      </w:r>
    </w:p>
    <w:p w14:paraId="0FC43F23" w14:textId="01B9823D" w:rsidR="00745531" w:rsidRPr="00E765FE" w:rsidRDefault="00745531" w:rsidP="00FF3606">
      <w:pPr>
        <w:pStyle w:val="CETnumberingbullets"/>
        <w:numPr>
          <w:ilvl w:val="0"/>
          <w:numId w:val="0"/>
        </w:numPr>
        <w:jc w:val="both"/>
      </w:pPr>
      <w:r w:rsidRPr="00E765FE">
        <w:t xml:space="preserve">To determine the </w:t>
      </w:r>
      <w:r w:rsidR="0007789D" w:rsidRPr="00E765FE">
        <w:t>NaTech</w:t>
      </w:r>
      <w:r w:rsidRPr="00E765FE">
        <w:t xml:space="preserve"> risk level induced by heat waves</w:t>
      </w:r>
      <w:r w:rsidR="002B3B9E" w:rsidRPr="00E765FE">
        <w:rPr>
          <w:rFonts w:cs="Arial"/>
          <w:szCs w:val="18"/>
        </w:rPr>
        <w:t xml:space="preserve"> IR</w:t>
      </w:r>
      <w:r w:rsidR="002B3B9E" w:rsidRPr="00E765FE">
        <w:rPr>
          <w:rFonts w:cs="Arial"/>
          <w:szCs w:val="18"/>
          <w:vertAlign w:val="subscript"/>
        </w:rPr>
        <w:t>hw</w:t>
      </w:r>
      <w:r w:rsidRPr="00E765FE">
        <w:t>, the values of</w:t>
      </w:r>
      <w:r w:rsidR="002B3B9E" w:rsidRPr="00E765FE">
        <w:t xml:space="preserve"> </w:t>
      </w:r>
      <w:r w:rsidR="002B3B9E" w:rsidRPr="00E765FE">
        <w:rPr>
          <w:rFonts w:cs="Arial"/>
          <w:szCs w:val="18"/>
        </w:rPr>
        <w:t>IH</w:t>
      </w:r>
      <w:r w:rsidR="002B3B9E" w:rsidRPr="00E765FE">
        <w:rPr>
          <w:rFonts w:cs="Arial"/>
          <w:szCs w:val="18"/>
          <w:vertAlign w:val="subscript"/>
        </w:rPr>
        <w:t>hw</w:t>
      </w:r>
      <w:r w:rsidR="002B3B9E" w:rsidRPr="00E765FE">
        <w:rPr>
          <w:rFonts w:cs="Arial"/>
          <w:szCs w:val="18"/>
        </w:rPr>
        <w:t>, IV</w:t>
      </w:r>
      <w:r w:rsidR="002B3B9E" w:rsidRPr="00E765FE">
        <w:rPr>
          <w:rFonts w:cs="Arial"/>
          <w:szCs w:val="18"/>
          <w:vertAlign w:val="subscript"/>
        </w:rPr>
        <w:t>hw</w:t>
      </w:r>
      <w:r w:rsidR="002B3B9E" w:rsidRPr="00E765FE">
        <w:rPr>
          <w:rFonts w:cs="Arial"/>
          <w:szCs w:val="18"/>
        </w:rPr>
        <w:t>, IE</w:t>
      </w:r>
      <w:r w:rsidR="002B3B9E" w:rsidRPr="00E765FE">
        <w:rPr>
          <w:rFonts w:cs="Arial"/>
          <w:szCs w:val="18"/>
          <w:vertAlign w:val="subscript"/>
        </w:rPr>
        <w:t>hw</w:t>
      </w:r>
      <w:r w:rsidRPr="00E765FE">
        <w:t xml:space="preserve"> must be defined. Each index is assigned an increasing value from 1 to 4.</w:t>
      </w:r>
    </w:p>
    <w:p w14:paraId="76B6E213" w14:textId="7FB613D5" w:rsidR="00745531" w:rsidRPr="00E765FE" w:rsidRDefault="00745531" w:rsidP="00FF3606">
      <w:pPr>
        <w:pStyle w:val="CETnumberingbullets"/>
        <w:numPr>
          <w:ilvl w:val="0"/>
          <w:numId w:val="0"/>
        </w:numPr>
        <w:jc w:val="both"/>
      </w:pPr>
      <w:r w:rsidRPr="00E765FE">
        <w:t xml:space="preserve">Once the </w:t>
      </w:r>
      <w:r w:rsidR="002B3B9E" w:rsidRPr="00E765FE">
        <w:t>H</w:t>
      </w:r>
      <w:r w:rsidRPr="00E765FE">
        <w:t>eat</w:t>
      </w:r>
      <w:r w:rsidR="002B3B9E" w:rsidRPr="00E765FE">
        <w:t xml:space="preserve"> W</w:t>
      </w:r>
      <w:r w:rsidRPr="00E765FE">
        <w:t>ave</w:t>
      </w:r>
      <w:r w:rsidR="002B3B9E" w:rsidRPr="00E765FE">
        <w:t>s Triggered</w:t>
      </w:r>
      <w:r w:rsidRPr="00E765FE">
        <w:t xml:space="preserve"> </w:t>
      </w:r>
      <w:r w:rsidR="0007789D" w:rsidRPr="00E765FE">
        <w:t>NaTech</w:t>
      </w:r>
      <w:r w:rsidRPr="00E765FE">
        <w:t xml:space="preserve"> risk level for the main critical units has been identified, the operator of a major accident hazard establishment shall implement, within the framework of the Safety Management System, appropriate prevention and/or protection measures </w:t>
      </w:r>
      <w:proofErr w:type="gramStart"/>
      <w:r w:rsidRPr="00E765FE">
        <w:t>in order to</w:t>
      </w:r>
      <w:proofErr w:type="gramEnd"/>
      <w:r w:rsidRPr="00E765FE">
        <w:t xml:space="preserve"> reduce</w:t>
      </w:r>
      <w:r w:rsidR="00BA49A3" w:rsidRPr="00E765FE">
        <w:t xml:space="preserve"> </w:t>
      </w:r>
      <w:r w:rsidR="00BA49A3" w:rsidRPr="00E765FE">
        <w:rPr>
          <w:rFonts w:cs="Arial"/>
          <w:szCs w:val="18"/>
        </w:rPr>
        <w:t>IR</w:t>
      </w:r>
      <w:r w:rsidR="00BA49A3" w:rsidRPr="00E765FE">
        <w:rPr>
          <w:rFonts w:cs="Arial"/>
          <w:szCs w:val="18"/>
          <w:vertAlign w:val="subscript"/>
        </w:rPr>
        <w:t xml:space="preserve">hw </w:t>
      </w:r>
      <w:r w:rsidR="00BA49A3" w:rsidRPr="00E765FE">
        <w:t>wi</w:t>
      </w:r>
      <w:r w:rsidRPr="00E765FE">
        <w:t>thin acceptable limits.</w:t>
      </w:r>
    </w:p>
    <w:p w14:paraId="01BEDB61" w14:textId="242B052E" w:rsidR="00F2370D" w:rsidRPr="00E765FE" w:rsidRDefault="00745531" w:rsidP="00D967D0">
      <w:pPr>
        <w:pStyle w:val="CETheadingx"/>
      </w:pPr>
      <w:r w:rsidRPr="00E765FE">
        <w:t>I</w:t>
      </w:r>
      <w:r w:rsidR="00FF748C" w:rsidRPr="00E765FE">
        <w:t>H</w:t>
      </w:r>
      <w:r w:rsidRPr="00E765FE">
        <w:rPr>
          <w:vertAlign w:val="subscript"/>
        </w:rPr>
        <w:t>h</w:t>
      </w:r>
      <w:r w:rsidR="00FF748C" w:rsidRPr="00E765FE">
        <w:rPr>
          <w:vertAlign w:val="subscript"/>
        </w:rPr>
        <w:t>w</w:t>
      </w:r>
      <w:r w:rsidR="00BA49A3" w:rsidRPr="00E765FE">
        <w:t xml:space="preserve"> -</w:t>
      </w:r>
      <w:r w:rsidRPr="00E765FE">
        <w:t xml:space="preserve"> Heat Wave</w:t>
      </w:r>
      <w:r w:rsidR="00BA49A3" w:rsidRPr="00E765FE">
        <w:t>s</w:t>
      </w:r>
      <w:r w:rsidRPr="00E765FE">
        <w:t xml:space="preserve"> Hazard Index</w:t>
      </w:r>
    </w:p>
    <w:p w14:paraId="3AC64665" w14:textId="3B69D3FC" w:rsidR="00745531" w:rsidRPr="00E765FE" w:rsidRDefault="00BA49A3" w:rsidP="00FF3606">
      <w:pPr>
        <w:pStyle w:val="CETnumberingbullets"/>
        <w:numPr>
          <w:ilvl w:val="0"/>
          <w:numId w:val="0"/>
        </w:numPr>
        <w:jc w:val="both"/>
      </w:pPr>
      <w:r w:rsidRPr="00E765FE">
        <w:rPr>
          <w:rFonts w:cs="Arial"/>
        </w:rPr>
        <w:t>Heat Waves Hazard Index</w:t>
      </w:r>
      <w:r w:rsidRPr="00E765FE">
        <w:t xml:space="preserve"> depend</w:t>
      </w:r>
      <w:r w:rsidR="00745531" w:rsidRPr="00E765FE">
        <w:t xml:space="preserve"> </w:t>
      </w:r>
      <w:proofErr w:type="gramStart"/>
      <w:r w:rsidR="00745531" w:rsidRPr="00E765FE">
        <w:t>on the basis of</w:t>
      </w:r>
      <w:proofErr w:type="gramEnd"/>
      <w:r w:rsidR="00745531" w:rsidRPr="00E765FE">
        <w:t xml:space="preserve"> the annual mean anomalies of the WSDI observed </w:t>
      </w:r>
      <w:proofErr w:type="gramStart"/>
      <w:r w:rsidR="00745531" w:rsidRPr="00E765FE">
        <w:t>in a given</w:t>
      </w:r>
      <w:proofErr w:type="gramEnd"/>
      <w:r w:rsidR="00745531" w:rsidRPr="00E765FE">
        <w:t xml:space="preserve"> area. The WSDI specifically identifies episodes of intense and prolonged heat.</w:t>
      </w:r>
    </w:p>
    <w:p w14:paraId="63875938" w14:textId="2744685F" w:rsidR="00745531" w:rsidRPr="00E765FE" w:rsidRDefault="00745531" w:rsidP="00FF3606">
      <w:pPr>
        <w:pStyle w:val="CETnumberingbullets"/>
        <w:numPr>
          <w:ilvl w:val="0"/>
          <w:numId w:val="0"/>
        </w:numPr>
        <w:jc w:val="both"/>
        <w:rPr>
          <w:highlight w:val="yellow"/>
        </w:rPr>
      </w:pPr>
      <w:r w:rsidRPr="00E765FE">
        <w:t xml:space="preserve">Figure 2 shows the time series of annual mean anomalies of the WSDI in Italy relative to the normal value for the 1991–2020 reference period </w:t>
      </w:r>
      <w:r w:rsidR="00BA49A3" w:rsidRPr="00E765FE">
        <w:t>(Report SNPA | 44 2025).</w:t>
      </w:r>
      <w:r w:rsidR="00BA49A3" w:rsidRPr="00E765FE">
        <w:rPr>
          <w:highlight w:val="yellow"/>
        </w:rPr>
        <w:t xml:space="preserve"> </w:t>
      </w:r>
    </w:p>
    <w:p w14:paraId="2FF2A58F" w14:textId="72D60304" w:rsidR="00764DCE" w:rsidRPr="00E765FE" w:rsidRDefault="00136CA7" w:rsidP="00136CA7">
      <w:pPr>
        <w:pStyle w:val="CETnumberingbullets"/>
        <w:numPr>
          <w:ilvl w:val="0"/>
          <w:numId w:val="0"/>
        </w:numPr>
        <w:jc w:val="center"/>
        <w:rPr>
          <w:highlight w:val="yellow"/>
        </w:rPr>
      </w:pPr>
      <w:r w:rsidRPr="00E765FE">
        <w:rPr>
          <w:noProof/>
        </w:rPr>
        <mc:AlternateContent>
          <mc:Choice Requires="wps">
            <w:drawing>
              <wp:anchor distT="45720" distB="45720" distL="114300" distR="114300" simplePos="0" relativeHeight="251663360" behindDoc="0" locked="0" layoutInCell="1" allowOverlap="1" wp14:anchorId="173E9C81" wp14:editId="2EC607F2">
                <wp:simplePos x="0" y="0"/>
                <wp:positionH relativeFrom="margin">
                  <wp:posOffset>1088568</wp:posOffset>
                </wp:positionH>
                <wp:positionV relativeFrom="paragraph">
                  <wp:posOffset>616641</wp:posOffset>
                </wp:positionV>
                <wp:extent cx="1009462" cy="162962"/>
                <wp:effectExtent l="4128" t="0" r="4762" b="4763"/>
                <wp:wrapNone/>
                <wp:docPr id="19943601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9462" cy="162962"/>
                        </a:xfrm>
                        <a:prstGeom prst="rect">
                          <a:avLst/>
                        </a:prstGeom>
                        <a:solidFill>
                          <a:srgbClr val="FFFFFF"/>
                        </a:solidFill>
                        <a:ln w="9525">
                          <a:noFill/>
                          <a:miter lim="800000"/>
                          <a:headEnd/>
                          <a:tailEnd/>
                        </a:ln>
                      </wps:spPr>
                      <wps:txbx>
                        <w:txbxContent>
                          <w:p w14:paraId="7507F4D5" w14:textId="110B906C" w:rsidR="00136CA7" w:rsidRPr="00537946" w:rsidRDefault="00136CA7" w:rsidP="00136CA7">
                            <w:pPr>
                              <w:rPr>
                                <w:rFonts w:cs="Arial"/>
                                <w:sz w:val="8"/>
                                <w:szCs w:val="8"/>
                              </w:rPr>
                            </w:pPr>
                            <w:r>
                              <w:rPr>
                                <w:rFonts w:cs="Arial"/>
                                <w:sz w:val="8"/>
                                <w:szCs w:val="8"/>
                              </w:rPr>
                              <w:t>WSDI (days) - Anomalies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E9C81" id="_x0000_s1028" type="#_x0000_t202" style="position:absolute;left:0;text-align:left;margin-left:85.7pt;margin-top:48.55pt;width:79.5pt;height:12.85pt;rotation:-90;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" stroked="f">
                <v:textbox>
                  <w:txbxContent>
                    <w:p w14:paraId="7507F4D5" w14:textId="110B906C" w:rsidR="00136CA7" w:rsidRPr="00537946" w:rsidRDefault="00136CA7" w:rsidP="00136CA7">
                      <w:pPr>
                        <w:rPr>
                          <w:rFonts w:cs="Arial"/>
                          <w:sz w:val="8"/>
                          <w:szCs w:val="8"/>
                        </w:rPr>
                      </w:pPr>
                      <w:r>
                        <w:rPr>
                          <w:rFonts w:cs="Arial"/>
                          <w:sz w:val="8"/>
                          <w:szCs w:val="8"/>
                        </w:rPr>
                        <w:t>WSDI (days) - Anomalies</w:t>
                      </w:r>
                    </w:p>
                  </w:txbxContent>
                </v:textbox>
                <w10:wrap anchorx="margin"/>
              </v:shape>
            </w:pict>
          </mc:Fallback>
        </mc:AlternateContent>
      </w:r>
      <w:r w:rsidRPr="00E765FE">
        <w:rPr>
          <w:noProof/>
        </w:rPr>
        <w:drawing>
          <wp:inline distT="0" distB="0" distL="0" distR="0" wp14:anchorId="0E701A48" wp14:editId="29918351">
            <wp:extent cx="2452255" cy="1552720"/>
            <wp:effectExtent l="0" t="0" r="5715" b="0"/>
            <wp:docPr id="3687176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17628" name=""/>
                    <pic:cNvPicPr/>
                  </pic:nvPicPr>
                  <pic:blipFill>
                    <a:blip r:embed="rId13"/>
                    <a:stretch>
                      <a:fillRect/>
                    </a:stretch>
                  </pic:blipFill>
                  <pic:spPr>
                    <a:xfrm>
                      <a:off x="0" y="0"/>
                      <a:ext cx="2492060" cy="1577924"/>
                    </a:xfrm>
                    <a:prstGeom prst="rect">
                      <a:avLst/>
                    </a:prstGeom>
                  </pic:spPr>
                </pic:pic>
              </a:graphicData>
            </a:graphic>
          </wp:inline>
        </w:drawing>
      </w:r>
    </w:p>
    <w:p w14:paraId="26DA6CE1" w14:textId="77C839B4" w:rsidR="00764DCE" w:rsidRPr="00E765FE" w:rsidRDefault="004041C2" w:rsidP="004041C2">
      <w:pPr>
        <w:pStyle w:val="CETnumberingbullets"/>
        <w:numPr>
          <w:ilvl w:val="0"/>
          <w:numId w:val="0"/>
        </w:numPr>
        <w:jc w:val="center"/>
      </w:pPr>
      <w:r w:rsidRPr="00E765FE">
        <w:rPr>
          <w:i/>
          <w:iCs/>
        </w:rPr>
        <w:t xml:space="preserve">Figure 2. </w:t>
      </w:r>
      <w:r w:rsidR="00B14FA5" w:rsidRPr="00E765FE">
        <w:rPr>
          <w:i/>
          <w:iCs/>
        </w:rPr>
        <w:t>WSDI in Italy</w:t>
      </w:r>
      <w:r w:rsidR="003D3BF0">
        <w:rPr>
          <w:i/>
          <w:iCs/>
        </w:rPr>
        <w:t xml:space="preserve"> </w:t>
      </w:r>
      <w:r w:rsidR="003D3BF0">
        <w:rPr>
          <w:noProof/>
        </w:rPr>
        <w:t xml:space="preserve">(Data: </w:t>
      </w:r>
      <w:r w:rsidR="003D3BF0" w:rsidRPr="00E765FE">
        <w:t>Report SNPA | 44 2025)</w:t>
      </w:r>
    </w:p>
    <w:p w14:paraId="16BC0CEA" w14:textId="12687555" w:rsidR="00745531" w:rsidRPr="00E765FE" w:rsidRDefault="00745531" w:rsidP="00FF3606">
      <w:pPr>
        <w:pStyle w:val="CETnumberingbullets"/>
        <w:numPr>
          <w:ilvl w:val="0"/>
          <w:numId w:val="0"/>
        </w:numPr>
        <w:jc w:val="both"/>
      </w:pPr>
      <w:r w:rsidRPr="00E765FE">
        <w:t>In 2023, for example, an increase of approximately 29 heat-wave days was observed in Italy compared to the average value calculated over the 1991–2020 reference period.</w:t>
      </w:r>
      <w:r w:rsidR="00B14FA5" w:rsidRPr="00E765FE">
        <w:t xml:space="preserve"> </w:t>
      </w:r>
      <w:r w:rsidRPr="00E765FE">
        <w:t xml:space="preserve">For any geographical area, a specific time series of annual WSDI anomalies can be constructed, </w:t>
      </w:r>
      <w:proofErr w:type="gramStart"/>
      <w:r w:rsidRPr="00E765FE">
        <w:t>similar to</w:t>
      </w:r>
      <w:proofErr w:type="gramEnd"/>
      <w:r w:rsidRPr="00E765FE">
        <w:t xml:space="preserve"> that shown in Figure 2, </w:t>
      </w:r>
      <w:proofErr w:type="gramStart"/>
      <w:r w:rsidRPr="00E765FE">
        <w:t>in order to</w:t>
      </w:r>
      <w:proofErr w:type="gramEnd"/>
      <w:r w:rsidRPr="00E765FE">
        <w:t xml:space="preserve"> highlight the effects of climate change represented by heat waves. </w:t>
      </w:r>
      <w:r w:rsidR="00B14FA5" w:rsidRPr="00E765FE">
        <w:t xml:space="preserve">The authors relate the WSDI index </w:t>
      </w:r>
      <w:r w:rsidR="00DC1556">
        <w:t>(</w:t>
      </w:r>
      <w:r w:rsidR="00DC1556" w:rsidRPr="00DC1556">
        <w:t xml:space="preserve">calculated over the last </w:t>
      </w:r>
      <w:r w:rsidR="00DC1556">
        <w:t>five</w:t>
      </w:r>
      <w:r w:rsidR="00DC1556" w:rsidRPr="00DC1556">
        <w:t xml:space="preserve"> years</w:t>
      </w:r>
      <w:r w:rsidR="00DC1556">
        <w:t xml:space="preserve">) referred </w:t>
      </w:r>
      <w:r w:rsidR="00B14FA5" w:rsidRPr="00E765FE">
        <w:t xml:space="preserve">to the </w:t>
      </w:r>
      <w:bookmarkStart w:id="2" w:name="_Hlk217990440"/>
      <w:r w:rsidR="00B14FA5" w:rsidRPr="00E765FE">
        <w:rPr>
          <w:rFonts w:cs="Arial"/>
          <w:szCs w:val="18"/>
        </w:rPr>
        <w:t>IH</w:t>
      </w:r>
      <w:r w:rsidR="00B14FA5" w:rsidRPr="00E765FE">
        <w:rPr>
          <w:rFonts w:cs="Arial"/>
          <w:szCs w:val="18"/>
          <w:vertAlign w:val="subscript"/>
        </w:rPr>
        <w:t>hw</w:t>
      </w:r>
      <w:bookmarkEnd w:id="2"/>
      <w:r w:rsidR="00B14FA5" w:rsidRPr="00E765FE">
        <w:t xml:space="preserve"> index using the values ​​reported in Table 1</w:t>
      </w:r>
      <w:r w:rsidRPr="00E765FE">
        <w:t>.</w:t>
      </w:r>
    </w:p>
    <w:p w14:paraId="6D6CAA5D" w14:textId="2EDA03BC" w:rsidR="00DE576C" w:rsidRPr="00E765FE" w:rsidRDefault="00DE576C" w:rsidP="00FF3606">
      <w:pPr>
        <w:pStyle w:val="CETTabletitle"/>
        <w:jc w:val="both"/>
        <w:rPr>
          <w:szCs w:val="18"/>
        </w:rPr>
      </w:pPr>
      <w:r w:rsidRPr="00E765FE">
        <w:rPr>
          <w:szCs w:val="18"/>
        </w:rPr>
        <w:t xml:space="preserve">Table 1: </w:t>
      </w:r>
      <w:r w:rsidR="00E548C4" w:rsidRPr="00E765FE">
        <w:rPr>
          <w:szCs w:val="18"/>
        </w:rPr>
        <w:t>Relationship between the Warm Spell Duration Index (WSDI) and Heat Wave</w:t>
      </w:r>
      <w:r w:rsidR="00B14FA5" w:rsidRPr="00E765FE">
        <w:rPr>
          <w:szCs w:val="18"/>
        </w:rPr>
        <w:t>s</w:t>
      </w:r>
      <w:r w:rsidR="00E548C4" w:rsidRPr="00E765FE">
        <w:rPr>
          <w:szCs w:val="18"/>
        </w:rPr>
        <w:t xml:space="preserve"> Hazard Index IH</w:t>
      </w:r>
      <w:r w:rsidR="00E548C4" w:rsidRPr="00E765FE">
        <w:rPr>
          <w:szCs w:val="18"/>
          <w:vertAlign w:val="subscript"/>
        </w:rPr>
        <w:t>hw</w:t>
      </w:r>
    </w:p>
    <w:tbl>
      <w:tblPr>
        <w:tblW w:w="3172"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60"/>
        <w:gridCol w:w="1612"/>
      </w:tblGrid>
      <w:tr w:rsidR="00DE576C" w:rsidRPr="00E765FE" w14:paraId="5C16F0C5" w14:textId="77777777" w:rsidTr="00E548C4">
        <w:trPr>
          <w:trHeight w:val="212"/>
          <w:jc w:val="center"/>
        </w:trPr>
        <w:tc>
          <w:tcPr>
            <w:tcW w:w="1560" w:type="dxa"/>
            <w:tcBorders>
              <w:top w:val="single" w:sz="12" w:space="0" w:color="008000"/>
              <w:bottom w:val="single" w:sz="6" w:space="0" w:color="008000"/>
            </w:tcBorders>
            <w:shd w:val="clear" w:color="auto" w:fill="FFFFFF"/>
          </w:tcPr>
          <w:p w14:paraId="7CD0B0DD" w14:textId="15754B8F" w:rsidR="00DE576C" w:rsidRPr="00D967D0" w:rsidRDefault="00DE576C" w:rsidP="00FF3606">
            <w:pPr>
              <w:pStyle w:val="CETBodytext"/>
              <w:rPr>
                <w:szCs w:val="18"/>
                <w:lang w:val="en-GB"/>
              </w:rPr>
            </w:pPr>
            <w:r w:rsidRPr="00D967D0">
              <w:rPr>
                <w:szCs w:val="18"/>
                <w:lang w:val="en-GB"/>
              </w:rPr>
              <w:t>WSDI</w:t>
            </w:r>
          </w:p>
        </w:tc>
        <w:tc>
          <w:tcPr>
            <w:tcW w:w="1612" w:type="dxa"/>
            <w:tcBorders>
              <w:top w:val="single" w:sz="12" w:space="0" w:color="008000"/>
              <w:bottom w:val="single" w:sz="6" w:space="0" w:color="008000"/>
            </w:tcBorders>
            <w:shd w:val="clear" w:color="auto" w:fill="FFFFFF"/>
          </w:tcPr>
          <w:p w14:paraId="6D1E0199" w14:textId="08C5296C" w:rsidR="00DE576C" w:rsidRPr="00D967D0" w:rsidRDefault="00FF748C" w:rsidP="00FF3606">
            <w:pPr>
              <w:pStyle w:val="CETBodytext"/>
              <w:rPr>
                <w:szCs w:val="18"/>
                <w:lang w:val="en-GB"/>
              </w:rPr>
            </w:pPr>
            <w:r w:rsidRPr="00D967D0">
              <w:rPr>
                <w:szCs w:val="18"/>
                <w:lang w:val="en-GB"/>
              </w:rPr>
              <w:t>IH</w:t>
            </w:r>
            <w:r w:rsidRPr="00D967D0">
              <w:rPr>
                <w:szCs w:val="18"/>
                <w:vertAlign w:val="subscript"/>
                <w:lang w:val="en-GB"/>
              </w:rPr>
              <w:t>hw</w:t>
            </w:r>
          </w:p>
        </w:tc>
      </w:tr>
      <w:tr w:rsidR="00DE576C" w:rsidRPr="00E765FE" w14:paraId="7F91E207" w14:textId="77777777" w:rsidTr="00E548C4">
        <w:trPr>
          <w:trHeight w:val="212"/>
          <w:jc w:val="center"/>
        </w:trPr>
        <w:tc>
          <w:tcPr>
            <w:tcW w:w="1560" w:type="dxa"/>
            <w:shd w:val="clear" w:color="auto" w:fill="FFFFFF"/>
          </w:tcPr>
          <w:p w14:paraId="771F92ED" w14:textId="6F9AB35A" w:rsidR="00DE576C" w:rsidRPr="00D967D0" w:rsidRDefault="00DE576C" w:rsidP="00FF3606">
            <w:pPr>
              <w:pStyle w:val="CETBodytext"/>
              <w:rPr>
                <w:szCs w:val="18"/>
                <w:lang w:val="en-GB"/>
              </w:rPr>
            </w:pPr>
            <w:r w:rsidRPr="00D967D0">
              <w:rPr>
                <w:szCs w:val="18"/>
                <w:lang w:val="en-GB"/>
              </w:rPr>
              <w:t>&lt; 5</w:t>
            </w:r>
          </w:p>
        </w:tc>
        <w:tc>
          <w:tcPr>
            <w:tcW w:w="1612" w:type="dxa"/>
            <w:shd w:val="clear" w:color="auto" w:fill="FFFFFF"/>
          </w:tcPr>
          <w:p w14:paraId="11547461" w14:textId="144EF0BA" w:rsidR="00DE576C" w:rsidRPr="00D967D0" w:rsidRDefault="00FF748C" w:rsidP="00FF3606">
            <w:pPr>
              <w:pStyle w:val="CETBodytext"/>
              <w:rPr>
                <w:szCs w:val="18"/>
                <w:lang w:val="en-GB"/>
              </w:rPr>
            </w:pPr>
            <w:r w:rsidRPr="00D967D0">
              <w:rPr>
                <w:szCs w:val="18"/>
                <w:lang w:val="en-GB"/>
              </w:rPr>
              <w:t>1</w:t>
            </w:r>
          </w:p>
        </w:tc>
      </w:tr>
      <w:tr w:rsidR="00DE576C" w:rsidRPr="00E765FE" w14:paraId="3755751F" w14:textId="77777777" w:rsidTr="00E548C4">
        <w:trPr>
          <w:trHeight w:val="203"/>
          <w:jc w:val="center"/>
        </w:trPr>
        <w:tc>
          <w:tcPr>
            <w:tcW w:w="1560" w:type="dxa"/>
            <w:shd w:val="clear" w:color="auto" w:fill="FFFFFF"/>
          </w:tcPr>
          <w:p w14:paraId="1A992ED7" w14:textId="0CFB4441" w:rsidR="00DE576C" w:rsidRPr="00D967D0" w:rsidRDefault="003135C8" w:rsidP="00FF3606">
            <w:pPr>
              <w:pStyle w:val="CETBodytext"/>
              <w:rPr>
                <w:szCs w:val="18"/>
                <w:lang w:val="en-GB"/>
              </w:rPr>
            </w:pPr>
            <w:r w:rsidRPr="00D967D0">
              <w:rPr>
                <w:rFonts w:cs="Arial"/>
                <w:szCs w:val="18"/>
                <w:lang w:val="en-GB"/>
              </w:rPr>
              <w:t>≥</w:t>
            </w:r>
            <w:r w:rsidRPr="00D967D0">
              <w:rPr>
                <w:szCs w:val="18"/>
                <w:lang w:val="en-GB"/>
              </w:rPr>
              <w:t xml:space="preserve"> </w:t>
            </w:r>
            <w:r w:rsidR="00DE576C" w:rsidRPr="00D967D0">
              <w:rPr>
                <w:szCs w:val="18"/>
                <w:lang w:val="en-GB"/>
              </w:rPr>
              <w:t>5 &lt; 20</w:t>
            </w:r>
          </w:p>
        </w:tc>
        <w:tc>
          <w:tcPr>
            <w:tcW w:w="1612" w:type="dxa"/>
            <w:shd w:val="clear" w:color="auto" w:fill="FFFFFF"/>
          </w:tcPr>
          <w:p w14:paraId="01A6B12C" w14:textId="3416A8D0" w:rsidR="00DE576C" w:rsidRPr="00D967D0" w:rsidRDefault="00FF748C" w:rsidP="00FF3606">
            <w:pPr>
              <w:pStyle w:val="CETBodytext"/>
              <w:rPr>
                <w:szCs w:val="18"/>
                <w:lang w:val="en-GB"/>
              </w:rPr>
            </w:pPr>
            <w:r w:rsidRPr="00D967D0">
              <w:rPr>
                <w:szCs w:val="18"/>
                <w:lang w:val="en-GB"/>
              </w:rPr>
              <w:t>2</w:t>
            </w:r>
          </w:p>
        </w:tc>
      </w:tr>
      <w:tr w:rsidR="00DE576C" w:rsidRPr="00E765FE" w14:paraId="66DB8F5A" w14:textId="77777777" w:rsidTr="00E548C4">
        <w:trPr>
          <w:trHeight w:val="203"/>
          <w:jc w:val="center"/>
        </w:trPr>
        <w:tc>
          <w:tcPr>
            <w:tcW w:w="1560" w:type="dxa"/>
            <w:shd w:val="clear" w:color="auto" w:fill="FFFFFF"/>
          </w:tcPr>
          <w:p w14:paraId="647B014C" w14:textId="32494BC1" w:rsidR="00DE576C" w:rsidRPr="00D967D0" w:rsidRDefault="003135C8" w:rsidP="00FF3606">
            <w:pPr>
              <w:pStyle w:val="CETBodytext"/>
              <w:rPr>
                <w:szCs w:val="18"/>
                <w:lang w:val="en-GB"/>
              </w:rPr>
            </w:pPr>
            <w:r w:rsidRPr="00D967D0">
              <w:rPr>
                <w:rFonts w:cs="Arial"/>
                <w:szCs w:val="18"/>
                <w:lang w:val="en-GB"/>
              </w:rPr>
              <w:t>≥</w:t>
            </w:r>
            <w:r w:rsidRPr="00D967D0">
              <w:rPr>
                <w:szCs w:val="18"/>
                <w:lang w:val="en-GB"/>
              </w:rPr>
              <w:t xml:space="preserve"> </w:t>
            </w:r>
            <w:r w:rsidR="00DE576C" w:rsidRPr="00D967D0">
              <w:rPr>
                <w:szCs w:val="18"/>
                <w:lang w:val="en-GB"/>
              </w:rPr>
              <w:t>20 &lt; 35</w:t>
            </w:r>
          </w:p>
        </w:tc>
        <w:tc>
          <w:tcPr>
            <w:tcW w:w="1612" w:type="dxa"/>
            <w:shd w:val="clear" w:color="auto" w:fill="FFFFFF"/>
          </w:tcPr>
          <w:p w14:paraId="5DEDB50C" w14:textId="261C5FBB" w:rsidR="00DE576C" w:rsidRPr="00D967D0" w:rsidRDefault="00FF748C" w:rsidP="00FF3606">
            <w:pPr>
              <w:pStyle w:val="CETBodytext"/>
              <w:rPr>
                <w:szCs w:val="18"/>
                <w:lang w:val="en-GB"/>
              </w:rPr>
            </w:pPr>
            <w:r w:rsidRPr="00D967D0">
              <w:rPr>
                <w:szCs w:val="18"/>
                <w:lang w:val="en-GB"/>
              </w:rPr>
              <w:t>3</w:t>
            </w:r>
          </w:p>
        </w:tc>
      </w:tr>
      <w:tr w:rsidR="00DE576C" w:rsidRPr="00E765FE" w14:paraId="337B00BE" w14:textId="77777777" w:rsidTr="00E548C4">
        <w:trPr>
          <w:trHeight w:val="203"/>
          <w:jc w:val="center"/>
        </w:trPr>
        <w:tc>
          <w:tcPr>
            <w:tcW w:w="1560" w:type="dxa"/>
            <w:shd w:val="clear" w:color="auto" w:fill="FFFFFF"/>
          </w:tcPr>
          <w:p w14:paraId="10174FD5" w14:textId="0013BFD7" w:rsidR="00DE576C" w:rsidRPr="00D967D0" w:rsidRDefault="00944809" w:rsidP="00FF3606">
            <w:pPr>
              <w:pStyle w:val="CETBodytext"/>
              <w:rPr>
                <w:szCs w:val="18"/>
                <w:lang w:val="en-GB"/>
              </w:rPr>
            </w:pPr>
            <w:r w:rsidRPr="00D967D0">
              <w:rPr>
                <w:rFonts w:cs="Arial"/>
                <w:szCs w:val="18"/>
                <w:lang w:val="en-GB"/>
              </w:rPr>
              <w:t>≥</w:t>
            </w:r>
            <w:r w:rsidR="003135C8" w:rsidRPr="00D967D0">
              <w:rPr>
                <w:szCs w:val="18"/>
                <w:lang w:val="en-GB"/>
              </w:rPr>
              <w:t xml:space="preserve"> </w:t>
            </w:r>
            <w:r w:rsidR="00DE576C" w:rsidRPr="00D967D0">
              <w:rPr>
                <w:szCs w:val="18"/>
                <w:lang w:val="en-GB"/>
              </w:rPr>
              <w:t>35</w:t>
            </w:r>
          </w:p>
        </w:tc>
        <w:tc>
          <w:tcPr>
            <w:tcW w:w="1612" w:type="dxa"/>
            <w:shd w:val="clear" w:color="auto" w:fill="FFFFFF"/>
          </w:tcPr>
          <w:p w14:paraId="695E6A94" w14:textId="56D4E8AA" w:rsidR="00DE576C" w:rsidRPr="00D967D0" w:rsidRDefault="00FF748C" w:rsidP="00FF3606">
            <w:pPr>
              <w:pStyle w:val="CETBodytext"/>
              <w:rPr>
                <w:szCs w:val="18"/>
                <w:lang w:val="en-GB"/>
              </w:rPr>
            </w:pPr>
            <w:r w:rsidRPr="00D967D0">
              <w:rPr>
                <w:szCs w:val="18"/>
                <w:lang w:val="en-GB"/>
              </w:rPr>
              <w:t>4</w:t>
            </w:r>
          </w:p>
        </w:tc>
      </w:tr>
    </w:tbl>
    <w:p w14:paraId="4D3A575D" w14:textId="159A7A77" w:rsidR="00D23730" w:rsidRPr="00E765FE" w:rsidRDefault="003D11FD" w:rsidP="00D967D0">
      <w:pPr>
        <w:pStyle w:val="CETheadingx"/>
      </w:pPr>
      <w:r w:rsidRPr="00E765FE">
        <w:t xml:space="preserve"> I</w:t>
      </w:r>
      <w:r w:rsidR="00C90A53" w:rsidRPr="00E765FE">
        <w:t>V</w:t>
      </w:r>
      <w:r w:rsidRPr="00E765FE">
        <w:rPr>
          <w:vertAlign w:val="subscript"/>
        </w:rPr>
        <w:t>h</w:t>
      </w:r>
      <w:r w:rsidR="00C90A53" w:rsidRPr="00E765FE">
        <w:rPr>
          <w:vertAlign w:val="subscript"/>
        </w:rPr>
        <w:t xml:space="preserve">w </w:t>
      </w:r>
      <w:r w:rsidR="00C90A53" w:rsidRPr="00E765FE">
        <w:t xml:space="preserve">- Heat Waves </w:t>
      </w:r>
      <w:r w:rsidRPr="00E765FE">
        <w:t xml:space="preserve">Vulnerability Index </w:t>
      </w:r>
    </w:p>
    <w:p w14:paraId="124778B1" w14:textId="726DC8D0" w:rsidR="003D11FD" w:rsidRPr="00E765FE" w:rsidRDefault="003D11FD" w:rsidP="00FF3606">
      <w:pPr>
        <w:pStyle w:val="CETBodytext"/>
        <w:rPr>
          <w:lang w:val="en-GB"/>
        </w:rPr>
      </w:pPr>
      <w:r w:rsidRPr="00E765FE">
        <w:rPr>
          <w:lang w:val="en-GB"/>
        </w:rPr>
        <w:t xml:space="preserve">To identify the </w:t>
      </w:r>
      <w:r w:rsidR="001517BD" w:rsidRPr="00E765FE">
        <w:rPr>
          <w:lang w:val="en-GB"/>
        </w:rPr>
        <w:t xml:space="preserve">Heat Waves Vulnerability Index </w:t>
      </w:r>
      <w:r w:rsidRPr="00E765FE">
        <w:rPr>
          <w:lang w:val="en-GB"/>
        </w:rPr>
        <w:t>of technical systems</w:t>
      </w:r>
      <w:r w:rsidR="001517BD" w:rsidRPr="00E765FE">
        <w:rPr>
          <w:rFonts w:cs="Arial"/>
          <w:szCs w:val="18"/>
          <w:lang w:val="en-GB"/>
        </w:rPr>
        <w:t xml:space="preserve"> (</w:t>
      </w:r>
      <w:r w:rsidR="001517BD" w:rsidRPr="00E765FE">
        <w:rPr>
          <w:lang w:val="en-GB"/>
        </w:rPr>
        <w:t>IV</w:t>
      </w:r>
      <w:r w:rsidR="001517BD" w:rsidRPr="00E765FE">
        <w:rPr>
          <w:vertAlign w:val="subscript"/>
          <w:lang w:val="en-GB"/>
        </w:rPr>
        <w:t>hw</w:t>
      </w:r>
      <w:r w:rsidR="001517BD" w:rsidRPr="00E765FE">
        <w:rPr>
          <w:lang w:val="en-GB"/>
        </w:rPr>
        <w:t>),</w:t>
      </w:r>
      <w:r w:rsidRPr="00E765FE">
        <w:rPr>
          <w:lang w:val="en-GB"/>
        </w:rPr>
        <w:t xml:space="preserve"> the authors developed a framework that considers both the current scientific literature and their institutional experience derived from inspections carried out in major accident hazard establishments under Directive 2012/18/EU.</w:t>
      </w:r>
      <w:r w:rsidR="001517BD" w:rsidRPr="00E765FE">
        <w:rPr>
          <w:lang w:val="en-GB"/>
        </w:rPr>
        <w:t xml:space="preserve"> A </w:t>
      </w:r>
      <w:r w:rsidRPr="00E765FE">
        <w:rPr>
          <w:lang w:val="en-GB"/>
        </w:rPr>
        <w:t xml:space="preserve">total of 204 records of </w:t>
      </w:r>
      <w:r w:rsidR="0007789D" w:rsidRPr="00E765FE">
        <w:rPr>
          <w:lang w:val="en-GB"/>
        </w:rPr>
        <w:t>NaTech</w:t>
      </w:r>
      <w:r w:rsidRPr="00E765FE">
        <w:rPr>
          <w:lang w:val="en-GB"/>
        </w:rPr>
        <w:t xml:space="preserve"> events </w:t>
      </w:r>
      <w:r w:rsidR="001517BD" w:rsidRPr="00E765FE">
        <w:rPr>
          <w:lang w:val="en-GB"/>
        </w:rPr>
        <w:t xml:space="preserve">triggered by heat waves (Ricci et al.,2023) </w:t>
      </w:r>
      <w:r w:rsidRPr="00E765FE">
        <w:rPr>
          <w:lang w:val="en-GB"/>
        </w:rPr>
        <w:t xml:space="preserve">were collected from several databases (eMARS (1), MHIDAS (4), TAD IchemE (3), ARIA (141), NRC (55)). The identified accident scenarios </w:t>
      </w:r>
      <w:r w:rsidR="00697FA6" w:rsidRPr="00E765FE">
        <w:rPr>
          <w:lang w:val="en-GB"/>
        </w:rPr>
        <w:t>were:</w:t>
      </w:r>
      <w:r w:rsidR="001517BD" w:rsidRPr="00E765FE">
        <w:rPr>
          <w:lang w:val="en-GB"/>
        </w:rPr>
        <w:t xml:space="preserve"> </w:t>
      </w:r>
      <w:r w:rsidRPr="00E765FE">
        <w:rPr>
          <w:lang w:val="en-GB"/>
        </w:rPr>
        <w:t>a) fires (102 records</w:t>
      </w:r>
      <w:r w:rsidR="00697FA6" w:rsidRPr="00E765FE">
        <w:rPr>
          <w:lang w:val="en-GB"/>
        </w:rPr>
        <w:t xml:space="preserve">, </w:t>
      </w:r>
      <w:r w:rsidRPr="00E765FE">
        <w:rPr>
          <w:lang w:val="en-GB"/>
        </w:rPr>
        <w:t>50%);</w:t>
      </w:r>
      <w:r w:rsidR="001517BD" w:rsidRPr="00E765FE">
        <w:rPr>
          <w:lang w:val="en-GB"/>
        </w:rPr>
        <w:t xml:space="preserve"> </w:t>
      </w:r>
      <w:r w:rsidRPr="00E765FE">
        <w:rPr>
          <w:lang w:val="en-GB"/>
        </w:rPr>
        <w:t>b) releases without further consequences (40 records, 19.6%);</w:t>
      </w:r>
      <w:r w:rsidR="001517BD" w:rsidRPr="00E765FE">
        <w:rPr>
          <w:lang w:val="en-GB"/>
        </w:rPr>
        <w:t xml:space="preserve"> </w:t>
      </w:r>
      <w:r w:rsidRPr="00E765FE">
        <w:rPr>
          <w:lang w:val="en-GB"/>
        </w:rPr>
        <w:t>c) environmental contamination (31 records, 15.2%);</w:t>
      </w:r>
      <w:r w:rsidR="001517BD" w:rsidRPr="00E765FE">
        <w:rPr>
          <w:lang w:val="en-GB"/>
        </w:rPr>
        <w:t xml:space="preserve"> </w:t>
      </w:r>
      <w:r w:rsidRPr="00E765FE">
        <w:rPr>
          <w:lang w:val="en-GB"/>
        </w:rPr>
        <w:t>d) multiple scenarios (6 past accidents, 2.9%)</w:t>
      </w:r>
      <w:r w:rsidR="00BC145A">
        <w:rPr>
          <w:lang w:val="en-GB"/>
        </w:rPr>
        <w:t>; e) explosion</w:t>
      </w:r>
      <w:r w:rsidR="008A4B50">
        <w:rPr>
          <w:lang w:val="en-GB"/>
        </w:rPr>
        <w:t>s</w:t>
      </w:r>
      <w:r w:rsidR="008A4B50" w:rsidRPr="00E765FE">
        <w:rPr>
          <w:lang w:val="en-GB"/>
        </w:rPr>
        <w:t xml:space="preserve"> (</w:t>
      </w:r>
      <w:r w:rsidR="008A4B50">
        <w:rPr>
          <w:lang w:val="en-GB"/>
        </w:rPr>
        <w:t>3</w:t>
      </w:r>
      <w:r w:rsidR="008A4B50" w:rsidRPr="00E765FE">
        <w:rPr>
          <w:lang w:val="en-GB"/>
        </w:rPr>
        <w:t xml:space="preserve"> records, </w:t>
      </w:r>
      <w:r w:rsidR="008A4B50">
        <w:rPr>
          <w:lang w:val="en-GB"/>
        </w:rPr>
        <w:t>1,5</w:t>
      </w:r>
      <w:r w:rsidR="008A4B50" w:rsidRPr="00E765FE">
        <w:rPr>
          <w:lang w:val="en-GB"/>
        </w:rPr>
        <w:t>%)</w:t>
      </w:r>
      <w:r w:rsidR="008A4B50">
        <w:rPr>
          <w:lang w:val="en-GB"/>
        </w:rPr>
        <w:t>;</w:t>
      </w:r>
      <w:r w:rsidR="008A4B50" w:rsidRPr="008A4B50">
        <w:rPr>
          <w:lang w:val="en-GB"/>
        </w:rPr>
        <w:t xml:space="preserve"> </w:t>
      </w:r>
      <w:r w:rsidR="008A4B50">
        <w:rPr>
          <w:lang w:val="en-GB"/>
        </w:rPr>
        <w:t xml:space="preserve">f) toxic dispersions </w:t>
      </w:r>
      <w:r w:rsidR="008A4B50" w:rsidRPr="00E765FE">
        <w:rPr>
          <w:lang w:val="en-GB"/>
        </w:rPr>
        <w:t>(</w:t>
      </w:r>
      <w:r w:rsidR="008A4B50">
        <w:rPr>
          <w:lang w:val="en-GB"/>
        </w:rPr>
        <w:t>11</w:t>
      </w:r>
      <w:r w:rsidR="008A4B50" w:rsidRPr="00E765FE">
        <w:rPr>
          <w:lang w:val="en-GB"/>
        </w:rPr>
        <w:t xml:space="preserve"> records, </w:t>
      </w:r>
      <w:r w:rsidR="008A4B50">
        <w:rPr>
          <w:lang w:val="en-GB"/>
        </w:rPr>
        <w:t>5,4</w:t>
      </w:r>
      <w:r w:rsidR="008A4B50" w:rsidRPr="00E765FE">
        <w:rPr>
          <w:lang w:val="en-GB"/>
        </w:rPr>
        <w:t>%)</w:t>
      </w:r>
      <w:r w:rsidR="008A4B50">
        <w:rPr>
          <w:lang w:val="en-GB"/>
        </w:rPr>
        <w:t xml:space="preserve">; g) near miss </w:t>
      </w:r>
      <w:r w:rsidR="008A4B50" w:rsidRPr="00E765FE">
        <w:rPr>
          <w:lang w:val="en-GB"/>
        </w:rPr>
        <w:t>(</w:t>
      </w:r>
      <w:r w:rsidR="008A4B50">
        <w:rPr>
          <w:lang w:val="en-GB"/>
        </w:rPr>
        <w:t>11</w:t>
      </w:r>
      <w:r w:rsidR="008A4B50" w:rsidRPr="00E765FE">
        <w:rPr>
          <w:lang w:val="en-GB"/>
        </w:rPr>
        <w:t xml:space="preserve"> records, </w:t>
      </w:r>
      <w:r w:rsidR="008A4B50">
        <w:rPr>
          <w:lang w:val="en-GB"/>
        </w:rPr>
        <w:t>5,4</w:t>
      </w:r>
      <w:r w:rsidR="008A4B50" w:rsidRPr="00E765FE">
        <w:rPr>
          <w:lang w:val="en-GB"/>
        </w:rPr>
        <w:t>%)</w:t>
      </w:r>
      <w:r w:rsidRPr="00E765FE">
        <w:rPr>
          <w:lang w:val="en-GB"/>
        </w:rPr>
        <w:t>.</w:t>
      </w:r>
      <w:r w:rsidR="00697FA6" w:rsidRPr="00E765FE">
        <w:rPr>
          <w:lang w:val="en-GB"/>
        </w:rPr>
        <w:t xml:space="preserve"> </w:t>
      </w:r>
      <w:r w:rsidRPr="00E765FE">
        <w:rPr>
          <w:lang w:val="en-GB"/>
        </w:rPr>
        <w:t xml:space="preserve">Bioprocess and chemical/petrochemical industries were the most vulnerable sectors, accounting for approximately 65% of the recorded events. Other vulnerable sectors included manufacturing (26 records, 12.7%), storage and warehousing (15 records, 7.4%), and rail and road transportation (14 records, 6.9%). Within bioprocesses, most accidents occurred in solid waste </w:t>
      </w:r>
      <w:r w:rsidRPr="00E765FE">
        <w:rPr>
          <w:lang w:val="en-GB"/>
        </w:rPr>
        <w:lastRenderedPageBreak/>
        <w:t>treatment plants and landfills.</w:t>
      </w:r>
      <w:r w:rsidR="00697FA6" w:rsidRPr="00E765FE">
        <w:rPr>
          <w:lang w:val="en-GB"/>
        </w:rPr>
        <w:t xml:space="preserve"> </w:t>
      </w:r>
      <w:r w:rsidRPr="00E765FE">
        <w:rPr>
          <w:lang w:val="en-GB"/>
        </w:rPr>
        <w:t>Regarding the equipment involved, the study highlighted: storage equipment (29.9%), waste disposal systems (25.5%), tankers (8.8%), machinery (6.4%), warehouses (5.9%), pipework (4.9%), valves and instrumentation (3.9%), process equipment (2.5%), and unknown equipment (12.3%).</w:t>
      </w:r>
    </w:p>
    <w:p w14:paraId="20AC6339" w14:textId="77777777" w:rsidR="00E70B77" w:rsidRDefault="003D11FD" w:rsidP="00FF3606">
      <w:pPr>
        <w:pStyle w:val="CETBodytext"/>
        <w:rPr>
          <w:lang w:val="en-GB"/>
        </w:rPr>
      </w:pPr>
      <w:r w:rsidRPr="00E765FE">
        <w:rPr>
          <w:lang w:val="en-GB"/>
        </w:rPr>
        <w:t xml:space="preserve">The direct causes triggering the technological scenarios responsible for the final </w:t>
      </w:r>
      <w:r w:rsidR="0007789D" w:rsidRPr="00E765FE">
        <w:rPr>
          <w:lang w:val="en-GB"/>
        </w:rPr>
        <w:t>NaTech</w:t>
      </w:r>
      <w:r w:rsidRPr="00E765FE">
        <w:rPr>
          <w:lang w:val="en-GB"/>
        </w:rPr>
        <w:t xml:space="preserve"> consequences were identified as:</w:t>
      </w:r>
      <w:r w:rsidR="00697FA6" w:rsidRPr="00E765FE">
        <w:rPr>
          <w:lang w:val="en-GB"/>
        </w:rPr>
        <w:t xml:space="preserve"> </w:t>
      </w:r>
      <w:r w:rsidRPr="00E765FE">
        <w:rPr>
          <w:lang w:val="en-GB"/>
        </w:rPr>
        <w:t xml:space="preserve">a) </w:t>
      </w:r>
      <w:r w:rsidRPr="00E765FE">
        <w:rPr>
          <w:i/>
          <w:iCs/>
          <w:lang w:val="en-GB"/>
        </w:rPr>
        <w:t>Pressure increase</w:t>
      </w:r>
      <w:r w:rsidRPr="00E765FE">
        <w:rPr>
          <w:lang w:val="en-GB"/>
        </w:rPr>
        <w:t>: in over 40% of the cases (82 records), loss of containment was caused by uncontrolled internal pressure increases exceeding design limits;</w:t>
      </w:r>
      <w:r w:rsidR="00697FA6" w:rsidRPr="00E765FE">
        <w:rPr>
          <w:lang w:val="en-GB"/>
        </w:rPr>
        <w:t xml:space="preserve"> </w:t>
      </w:r>
      <w:r w:rsidRPr="00E765FE">
        <w:rPr>
          <w:lang w:val="en-GB"/>
        </w:rPr>
        <w:t xml:space="preserve">b) </w:t>
      </w:r>
      <w:r w:rsidRPr="00E765FE">
        <w:rPr>
          <w:i/>
          <w:iCs/>
          <w:lang w:val="en-GB"/>
        </w:rPr>
        <w:t>Self-ignition</w:t>
      </w:r>
      <w:r w:rsidRPr="00E765FE">
        <w:rPr>
          <w:lang w:val="en-GB"/>
        </w:rPr>
        <w:t>: identified in 23 cases (11.3%), directly leading to fire scenarios;</w:t>
      </w:r>
      <w:r w:rsidR="00697FA6" w:rsidRPr="00E765FE">
        <w:rPr>
          <w:lang w:val="en-GB"/>
        </w:rPr>
        <w:t xml:space="preserve"> </w:t>
      </w:r>
      <w:r w:rsidRPr="00E765FE">
        <w:rPr>
          <w:lang w:val="en-GB"/>
        </w:rPr>
        <w:t xml:space="preserve">c) </w:t>
      </w:r>
      <w:r w:rsidRPr="00E765FE">
        <w:rPr>
          <w:i/>
          <w:iCs/>
          <w:lang w:val="en-GB"/>
        </w:rPr>
        <w:t>Material degradation</w:t>
      </w:r>
      <w:r w:rsidRPr="00E765FE">
        <w:rPr>
          <w:lang w:val="en-GB"/>
        </w:rPr>
        <w:t>: recorded in 14 cases (6.9%), due to high temperatures causing exothermic decomposition, polymerization, or other undesired reactions;</w:t>
      </w:r>
      <w:r w:rsidR="00697FA6" w:rsidRPr="00E765FE">
        <w:rPr>
          <w:lang w:val="en-GB"/>
        </w:rPr>
        <w:t xml:space="preserve"> </w:t>
      </w:r>
      <w:r w:rsidRPr="00E765FE">
        <w:rPr>
          <w:lang w:val="en-GB"/>
        </w:rPr>
        <w:t xml:space="preserve">d) </w:t>
      </w:r>
      <w:r w:rsidRPr="00E765FE">
        <w:rPr>
          <w:i/>
          <w:iCs/>
          <w:lang w:val="en-GB"/>
        </w:rPr>
        <w:t>Lens effect</w:t>
      </w:r>
      <w:r w:rsidRPr="00E765FE">
        <w:rPr>
          <w:lang w:val="en-GB"/>
        </w:rPr>
        <w:t>: identified in 11 cases (5.4%), occurring when glassy materials focus solar radiation onto confined areas;</w:t>
      </w:r>
      <w:r w:rsidR="00697FA6" w:rsidRPr="00E765FE">
        <w:rPr>
          <w:lang w:val="en-GB"/>
        </w:rPr>
        <w:t xml:space="preserve"> </w:t>
      </w:r>
      <w:r w:rsidRPr="00E765FE">
        <w:rPr>
          <w:lang w:val="en-GB"/>
        </w:rPr>
        <w:t xml:space="preserve">e) </w:t>
      </w:r>
      <w:r w:rsidRPr="00E765FE">
        <w:rPr>
          <w:i/>
          <w:iCs/>
          <w:lang w:val="en-GB"/>
        </w:rPr>
        <w:t>Power outage</w:t>
      </w:r>
      <w:r w:rsidRPr="00E765FE">
        <w:rPr>
          <w:lang w:val="en-GB"/>
        </w:rPr>
        <w:t>: recorded in 8 cases (3.9%), leading to abnormal process conditions.</w:t>
      </w:r>
      <w:r w:rsidR="00697FA6" w:rsidRPr="00E765FE">
        <w:rPr>
          <w:lang w:val="en-GB"/>
        </w:rPr>
        <w:t xml:space="preserve"> </w:t>
      </w:r>
    </w:p>
    <w:p w14:paraId="38E2A31B" w14:textId="5A8DA72F" w:rsidR="00E70B77" w:rsidRPr="009E202A" w:rsidRDefault="003D3BF0" w:rsidP="00FF3606">
      <w:pPr>
        <w:pStyle w:val="CETBodytext"/>
        <w:rPr>
          <w:highlight w:val="yellow"/>
        </w:rPr>
      </w:pPr>
      <w:r w:rsidRPr="003D3BF0">
        <w:t>On the eNatech</w:t>
      </w:r>
      <w:r w:rsidRPr="003D3BF0">
        <w:t xml:space="preserve"> database, </w:t>
      </w:r>
      <w:r w:rsidRPr="003D3BF0">
        <w:t>a natural event caused by high temperature is reported and classified as a Natech Near Miss. On 13 August 2024, due to extreme summer heat, two chemical containers became swollen, posing a potential explosion hazard. The event occurred at an industrial facility located in Blaichach, Germany.</w:t>
      </w:r>
      <w:r>
        <w:t xml:space="preserve"> </w:t>
      </w:r>
      <w:r>
        <w:t>The fire brigade managed to prevent leaks. Firefighters equipped with special protective suits and under respiratory protection cooled down</w:t>
      </w:r>
      <w:r>
        <w:t xml:space="preserve"> </w:t>
      </w:r>
      <w:r>
        <w:t>the containers</w:t>
      </w:r>
      <w:r>
        <w:t xml:space="preserve">, </w:t>
      </w:r>
      <w:r w:rsidRPr="003D3BF0">
        <w:rPr>
          <w:lang w:val="en-GB"/>
        </w:rPr>
        <w:t>preventing the explosion</w:t>
      </w:r>
      <w:r>
        <w:rPr>
          <w:lang w:val="en-GB"/>
        </w:rPr>
        <w:t xml:space="preserve"> (eNa</w:t>
      </w:r>
      <w:r w:rsidR="001F0047">
        <w:rPr>
          <w:lang w:val="en-GB"/>
        </w:rPr>
        <w:t>tech, 2026).</w:t>
      </w:r>
    </w:p>
    <w:p w14:paraId="3D3DA6A4" w14:textId="10673A82" w:rsidR="00846EAB" w:rsidRPr="00E765FE" w:rsidRDefault="003D11FD" w:rsidP="00FF3606">
      <w:pPr>
        <w:pStyle w:val="CETBodytext"/>
        <w:rPr>
          <w:lang w:val="en-GB"/>
        </w:rPr>
      </w:pPr>
      <w:r w:rsidRPr="00E765FE">
        <w:rPr>
          <w:lang w:val="en-GB"/>
        </w:rPr>
        <w:t xml:space="preserve">Another relevant aspect concerns heat-sensitive substances, as classified under the Globally Harmonized System of Classification and Labelling of Chemicals (GHS), reported in </w:t>
      </w:r>
      <w:r w:rsidRPr="00303534">
        <w:rPr>
          <w:lang w:val="en-GB"/>
        </w:rPr>
        <w:t>Table 2</w:t>
      </w:r>
      <w:r w:rsidR="00303534" w:rsidRPr="00303534">
        <w:rPr>
          <w:lang w:val="en-GB"/>
        </w:rPr>
        <w:t xml:space="preserve"> </w:t>
      </w:r>
      <w:r w:rsidR="00303534" w:rsidRPr="00303534">
        <w:t>(Muratore et al., 2024)</w:t>
      </w:r>
      <w:r w:rsidRPr="00303534">
        <w:rPr>
          <w:lang w:val="en-GB"/>
        </w:rPr>
        <w:t>.</w:t>
      </w:r>
      <w:r w:rsidR="00846EAB" w:rsidRPr="00E765FE">
        <w:rPr>
          <w:lang w:val="en-GB"/>
        </w:rPr>
        <w:t xml:space="preserve"> </w:t>
      </w:r>
    </w:p>
    <w:p w14:paraId="3CC44697" w14:textId="49131581" w:rsidR="00846EAB" w:rsidRPr="00032C69" w:rsidRDefault="00846EAB" w:rsidP="000926D9">
      <w:pPr>
        <w:pStyle w:val="CETTabletitle"/>
        <w:jc w:val="center"/>
        <w:rPr>
          <w:szCs w:val="18"/>
        </w:rPr>
      </w:pPr>
      <w:r w:rsidRPr="00032C69">
        <w:rPr>
          <w:szCs w:val="18"/>
        </w:rPr>
        <w:t>Table 2:</w:t>
      </w:r>
      <w:r w:rsidR="00A033F9" w:rsidRPr="00032C69">
        <w:rPr>
          <w:szCs w:val="18"/>
        </w:rPr>
        <w:t xml:space="preserve"> </w:t>
      </w:r>
      <w:r w:rsidR="000926D9" w:rsidRPr="00032C69">
        <w:rPr>
          <w:szCs w:val="18"/>
        </w:rPr>
        <w:t>GHS</w:t>
      </w:r>
      <w:r w:rsidR="00032C69" w:rsidRPr="00032C69">
        <w:rPr>
          <w:szCs w:val="18"/>
        </w:rPr>
        <w:t xml:space="preserve">, </w:t>
      </w:r>
      <w:r w:rsidR="00032C69" w:rsidRPr="00032C69">
        <w:t>heat-sensitive substances</w:t>
      </w:r>
    </w:p>
    <w:tbl>
      <w:tblPr>
        <w:tblW w:w="8505"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261"/>
        <w:gridCol w:w="1134"/>
        <w:gridCol w:w="4110"/>
      </w:tblGrid>
      <w:tr w:rsidR="00846EAB" w:rsidRPr="00E765FE" w14:paraId="0C1C377D" w14:textId="77777777" w:rsidTr="001412EB">
        <w:trPr>
          <w:trHeight w:val="212"/>
          <w:jc w:val="center"/>
        </w:trPr>
        <w:tc>
          <w:tcPr>
            <w:tcW w:w="3261" w:type="dxa"/>
            <w:tcBorders>
              <w:top w:val="single" w:sz="12" w:space="0" w:color="008000"/>
              <w:bottom w:val="single" w:sz="6" w:space="0" w:color="008000"/>
            </w:tcBorders>
            <w:shd w:val="clear" w:color="auto" w:fill="FFFFFF"/>
          </w:tcPr>
          <w:p w14:paraId="50D4D909" w14:textId="2853D152" w:rsidR="00846EAB" w:rsidRPr="00D967D0" w:rsidRDefault="008D0274" w:rsidP="009D7D95">
            <w:pPr>
              <w:pStyle w:val="CETBodytext"/>
              <w:jc w:val="left"/>
              <w:rPr>
                <w:szCs w:val="18"/>
                <w:lang w:val="en-GB"/>
              </w:rPr>
            </w:pPr>
            <w:bookmarkStart w:id="3" w:name="_Hlk217996965"/>
            <w:r w:rsidRPr="00D967D0">
              <w:rPr>
                <w:szCs w:val="18"/>
                <w:lang w:val="en-GB"/>
              </w:rPr>
              <w:t>Hazard class</w:t>
            </w:r>
          </w:p>
        </w:tc>
        <w:tc>
          <w:tcPr>
            <w:tcW w:w="1134" w:type="dxa"/>
            <w:tcBorders>
              <w:top w:val="single" w:sz="12" w:space="0" w:color="008000"/>
              <w:bottom w:val="single" w:sz="6" w:space="0" w:color="008000"/>
            </w:tcBorders>
            <w:shd w:val="clear" w:color="auto" w:fill="FFFFFF"/>
          </w:tcPr>
          <w:p w14:paraId="3F958E70" w14:textId="477D40FE" w:rsidR="00846EAB" w:rsidRPr="00D967D0" w:rsidRDefault="008D0274" w:rsidP="009D7D95">
            <w:pPr>
              <w:pStyle w:val="CETBodytext"/>
              <w:jc w:val="left"/>
              <w:rPr>
                <w:szCs w:val="18"/>
                <w:lang w:val="en-GB"/>
              </w:rPr>
            </w:pPr>
            <w:r w:rsidRPr="00D967D0">
              <w:rPr>
                <w:szCs w:val="18"/>
                <w:lang w:val="en-GB"/>
              </w:rPr>
              <w:t>Code</w:t>
            </w:r>
          </w:p>
        </w:tc>
        <w:tc>
          <w:tcPr>
            <w:tcW w:w="4110" w:type="dxa"/>
            <w:tcBorders>
              <w:top w:val="single" w:sz="12" w:space="0" w:color="008000"/>
              <w:bottom w:val="single" w:sz="6" w:space="0" w:color="008000"/>
            </w:tcBorders>
            <w:shd w:val="clear" w:color="auto" w:fill="FFFFFF"/>
          </w:tcPr>
          <w:p w14:paraId="1097015E" w14:textId="49AEEEDA" w:rsidR="00846EAB" w:rsidRPr="00D967D0" w:rsidRDefault="008D0274" w:rsidP="009D7D95">
            <w:pPr>
              <w:pStyle w:val="CETBodytext"/>
              <w:jc w:val="left"/>
              <w:rPr>
                <w:szCs w:val="18"/>
                <w:lang w:val="en-GB"/>
              </w:rPr>
            </w:pPr>
            <w:r w:rsidRPr="00D967D0">
              <w:rPr>
                <w:szCs w:val="18"/>
                <w:lang w:val="en-GB"/>
              </w:rPr>
              <w:t>Physical Hazard Statement</w:t>
            </w:r>
          </w:p>
        </w:tc>
      </w:tr>
      <w:tr w:rsidR="00846EAB" w:rsidRPr="00E765FE" w14:paraId="4CD97A59" w14:textId="77777777" w:rsidTr="001412EB">
        <w:trPr>
          <w:trHeight w:val="212"/>
          <w:jc w:val="center"/>
        </w:trPr>
        <w:tc>
          <w:tcPr>
            <w:tcW w:w="3261" w:type="dxa"/>
            <w:shd w:val="clear" w:color="auto" w:fill="FFFFFF"/>
          </w:tcPr>
          <w:p w14:paraId="62D75F40" w14:textId="77777777" w:rsidR="00846EAB" w:rsidRPr="00D967D0" w:rsidRDefault="000926D9" w:rsidP="009D7D95">
            <w:pPr>
              <w:pStyle w:val="CETBodytext"/>
              <w:jc w:val="left"/>
              <w:rPr>
                <w:szCs w:val="18"/>
                <w:lang w:val="en-GB"/>
              </w:rPr>
            </w:pPr>
            <w:r w:rsidRPr="00D967D0">
              <w:rPr>
                <w:szCs w:val="18"/>
                <w:lang w:val="en-GB"/>
              </w:rPr>
              <w:t>Flammable gases</w:t>
            </w:r>
          </w:p>
          <w:p w14:paraId="31895CB3" w14:textId="6BBEEE81" w:rsidR="000926D9" w:rsidRPr="00D967D0" w:rsidRDefault="000926D9" w:rsidP="009D7D95">
            <w:pPr>
              <w:pStyle w:val="CETBodytext"/>
              <w:jc w:val="left"/>
              <w:rPr>
                <w:szCs w:val="18"/>
                <w:lang w:val="en-GB"/>
              </w:rPr>
            </w:pPr>
          </w:p>
        </w:tc>
        <w:tc>
          <w:tcPr>
            <w:tcW w:w="1134" w:type="dxa"/>
            <w:shd w:val="clear" w:color="auto" w:fill="FFFFFF"/>
          </w:tcPr>
          <w:p w14:paraId="2E6F0D12" w14:textId="77777777" w:rsidR="00846EAB" w:rsidRPr="00D967D0" w:rsidRDefault="000926D9" w:rsidP="009D7D95">
            <w:pPr>
              <w:pStyle w:val="CETBodytext"/>
              <w:jc w:val="left"/>
              <w:rPr>
                <w:szCs w:val="18"/>
                <w:lang w:val="en-GB"/>
              </w:rPr>
            </w:pPr>
            <w:r w:rsidRPr="00D967D0">
              <w:rPr>
                <w:szCs w:val="18"/>
                <w:lang w:val="en-GB"/>
              </w:rPr>
              <w:t>H230</w:t>
            </w:r>
          </w:p>
          <w:p w14:paraId="25022FE5" w14:textId="16AF091D" w:rsidR="000926D9" w:rsidRPr="00D967D0" w:rsidRDefault="000926D9" w:rsidP="009D7D95">
            <w:pPr>
              <w:pStyle w:val="CETBodytext"/>
              <w:jc w:val="left"/>
              <w:rPr>
                <w:szCs w:val="18"/>
                <w:lang w:val="en-GB"/>
              </w:rPr>
            </w:pPr>
            <w:r w:rsidRPr="00D967D0">
              <w:rPr>
                <w:szCs w:val="18"/>
                <w:lang w:val="en-GB"/>
              </w:rPr>
              <w:t>H231</w:t>
            </w:r>
          </w:p>
        </w:tc>
        <w:tc>
          <w:tcPr>
            <w:tcW w:w="4110" w:type="dxa"/>
            <w:shd w:val="clear" w:color="auto" w:fill="FFFFFF"/>
          </w:tcPr>
          <w:p w14:paraId="7B72220E" w14:textId="77777777" w:rsidR="00846EAB" w:rsidRPr="00D967D0" w:rsidRDefault="000926D9" w:rsidP="009D7D95">
            <w:pPr>
              <w:pStyle w:val="CETBodytext"/>
              <w:jc w:val="left"/>
              <w:rPr>
                <w:szCs w:val="18"/>
                <w:lang w:val="en-GB"/>
              </w:rPr>
            </w:pPr>
            <w:r w:rsidRPr="00D967D0">
              <w:rPr>
                <w:szCs w:val="18"/>
                <w:lang w:val="en-GB"/>
              </w:rPr>
              <w:t>May react explosively even in absence of air</w:t>
            </w:r>
          </w:p>
          <w:p w14:paraId="7DB611E5" w14:textId="20902409" w:rsidR="000926D9" w:rsidRPr="00D967D0" w:rsidRDefault="000926D9" w:rsidP="009D7D95">
            <w:pPr>
              <w:pStyle w:val="CETBodytext"/>
              <w:jc w:val="left"/>
              <w:rPr>
                <w:szCs w:val="18"/>
                <w:lang w:val="en-GB"/>
              </w:rPr>
            </w:pPr>
            <w:r w:rsidRPr="00D967D0">
              <w:rPr>
                <w:szCs w:val="18"/>
                <w:lang w:val="en-GB"/>
              </w:rPr>
              <w:t>May react explosively even in absence of air at elevated pressure and/or temperature</w:t>
            </w:r>
          </w:p>
        </w:tc>
      </w:tr>
      <w:tr w:rsidR="00846EAB" w:rsidRPr="00E765FE" w14:paraId="66981A83" w14:textId="77777777" w:rsidTr="001412EB">
        <w:trPr>
          <w:trHeight w:val="203"/>
          <w:jc w:val="center"/>
        </w:trPr>
        <w:tc>
          <w:tcPr>
            <w:tcW w:w="3261" w:type="dxa"/>
            <w:shd w:val="clear" w:color="auto" w:fill="FFFFFF"/>
          </w:tcPr>
          <w:p w14:paraId="4E37816C" w14:textId="56054BFA" w:rsidR="00846EAB" w:rsidRPr="00D967D0" w:rsidRDefault="000926D9" w:rsidP="009D7D95">
            <w:pPr>
              <w:pStyle w:val="CETBodytext"/>
              <w:jc w:val="left"/>
              <w:rPr>
                <w:szCs w:val="18"/>
                <w:lang w:val="en-GB"/>
              </w:rPr>
            </w:pPr>
            <w:r w:rsidRPr="00D967D0">
              <w:rPr>
                <w:rFonts w:cs="Arial"/>
                <w:szCs w:val="18"/>
                <w:lang w:val="en-GB"/>
              </w:rPr>
              <w:t>Self-reactive substances and mixture and organic peroxides</w:t>
            </w:r>
          </w:p>
        </w:tc>
        <w:tc>
          <w:tcPr>
            <w:tcW w:w="1134" w:type="dxa"/>
          </w:tcPr>
          <w:p w14:paraId="65691D30" w14:textId="77777777" w:rsidR="00846EAB" w:rsidRPr="00D967D0" w:rsidRDefault="000926D9" w:rsidP="009D7D95">
            <w:pPr>
              <w:pStyle w:val="CETBodytext"/>
              <w:jc w:val="left"/>
              <w:rPr>
                <w:szCs w:val="18"/>
                <w:lang w:val="en-GB"/>
              </w:rPr>
            </w:pPr>
            <w:r w:rsidRPr="00D967D0">
              <w:rPr>
                <w:szCs w:val="18"/>
                <w:lang w:val="en-GB"/>
              </w:rPr>
              <w:t>H240</w:t>
            </w:r>
          </w:p>
          <w:p w14:paraId="50F0D839" w14:textId="77777777" w:rsidR="000926D9" w:rsidRPr="00D967D0" w:rsidRDefault="000926D9" w:rsidP="009D7D95">
            <w:pPr>
              <w:pStyle w:val="CETBodytext"/>
              <w:jc w:val="left"/>
              <w:rPr>
                <w:szCs w:val="18"/>
                <w:lang w:val="en-GB"/>
              </w:rPr>
            </w:pPr>
            <w:r w:rsidRPr="00D967D0">
              <w:rPr>
                <w:szCs w:val="18"/>
                <w:lang w:val="en-GB"/>
              </w:rPr>
              <w:t>H241</w:t>
            </w:r>
          </w:p>
          <w:p w14:paraId="36393EE2" w14:textId="30C85011" w:rsidR="000926D9" w:rsidRPr="00D967D0" w:rsidRDefault="000926D9" w:rsidP="009D7D95">
            <w:pPr>
              <w:pStyle w:val="CETBodytext"/>
              <w:jc w:val="left"/>
              <w:rPr>
                <w:szCs w:val="18"/>
                <w:lang w:val="en-GB"/>
              </w:rPr>
            </w:pPr>
            <w:r w:rsidRPr="00D967D0">
              <w:rPr>
                <w:szCs w:val="18"/>
                <w:lang w:val="en-GB"/>
              </w:rPr>
              <w:t>H242</w:t>
            </w:r>
          </w:p>
        </w:tc>
        <w:tc>
          <w:tcPr>
            <w:tcW w:w="4110" w:type="dxa"/>
            <w:shd w:val="clear" w:color="auto" w:fill="FFFFFF"/>
          </w:tcPr>
          <w:p w14:paraId="24A05B47" w14:textId="77777777" w:rsidR="00846EAB" w:rsidRPr="00D967D0" w:rsidRDefault="000926D9" w:rsidP="009D7D95">
            <w:pPr>
              <w:pStyle w:val="CETBodytext"/>
              <w:jc w:val="left"/>
              <w:rPr>
                <w:szCs w:val="18"/>
                <w:lang w:val="en-GB"/>
              </w:rPr>
            </w:pPr>
            <w:r w:rsidRPr="00D967D0">
              <w:rPr>
                <w:szCs w:val="18"/>
                <w:lang w:val="en-GB"/>
              </w:rPr>
              <w:t>Heating may cause an explosion</w:t>
            </w:r>
          </w:p>
          <w:p w14:paraId="097B73AC" w14:textId="77777777" w:rsidR="001605F9" w:rsidRPr="00D967D0" w:rsidRDefault="001605F9" w:rsidP="009D7D95">
            <w:pPr>
              <w:pStyle w:val="CETBodytext"/>
              <w:jc w:val="left"/>
              <w:rPr>
                <w:szCs w:val="18"/>
                <w:lang w:val="en-GB"/>
              </w:rPr>
            </w:pPr>
            <w:r w:rsidRPr="00D967D0">
              <w:rPr>
                <w:szCs w:val="18"/>
                <w:lang w:val="en-GB"/>
              </w:rPr>
              <w:t>Heating may cause a fire or explosion</w:t>
            </w:r>
          </w:p>
          <w:p w14:paraId="426CE4F3" w14:textId="276C15BC" w:rsidR="001605F9" w:rsidRPr="00D967D0" w:rsidRDefault="001605F9" w:rsidP="009D7D95">
            <w:pPr>
              <w:pStyle w:val="CETBodytext"/>
              <w:jc w:val="left"/>
              <w:rPr>
                <w:szCs w:val="18"/>
                <w:lang w:val="en-GB"/>
              </w:rPr>
            </w:pPr>
            <w:r w:rsidRPr="00D967D0">
              <w:rPr>
                <w:szCs w:val="18"/>
                <w:lang w:val="en-GB"/>
              </w:rPr>
              <w:t>Heating may cause a fire</w:t>
            </w:r>
          </w:p>
        </w:tc>
      </w:tr>
      <w:tr w:rsidR="00846EAB" w:rsidRPr="00E765FE" w14:paraId="5C412AC0" w14:textId="77777777" w:rsidTr="001412EB">
        <w:trPr>
          <w:trHeight w:val="203"/>
          <w:jc w:val="center"/>
        </w:trPr>
        <w:tc>
          <w:tcPr>
            <w:tcW w:w="3261" w:type="dxa"/>
            <w:shd w:val="clear" w:color="auto" w:fill="FFFFFF"/>
          </w:tcPr>
          <w:p w14:paraId="743E046E" w14:textId="478242B4" w:rsidR="00846EAB" w:rsidRPr="00D967D0" w:rsidRDefault="000926D9" w:rsidP="009D7D95">
            <w:pPr>
              <w:pStyle w:val="CETBodytext"/>
              <w:jc w:val="left"/>
              <w:rPr>
                <w:szCs w:val="18"/>
                <w:lang w:val="en-GB"/>
              </w:rPr>
            </w:pPr>
            <w:r w:rsidRPr="00D967D0">
              <w:rPr>
                <w:rFonts w:cs="Arial"/>
                <w:szCs w:val="18"/>
                <w:lang w:val="en-GB"/>
              </w:rPr>
              <w:t xml:space="preserve">Self-heating substances and mixture </w:t>
            </w:r>
          </w:p>
        </w:tc>
        <w:tc>
          <w:tcPr>
            <w:tcW w:w="1134" w:type="dxa"/>
          </w:tcPr>
          <w:p w14:paraId="7EB80062" w14:textId="77777777" w:rsidR="00846EAB" w:rsidRPr="00D967D0" w:rsidRDefault="000926D9" w:rsidP="009D7D95">
            <w:pPr>
              <w:pStyle w:val="CETBodytext"/>
              <w:jc w:val="left"/>
              <w:rPr>
                <w:szCs w:val="18"/>
                <w:lang w:val="en-GB"/>
              </w:rPr>
            </w:pPr>
            <w:r w:rsidRPr="00D967D0">
              <w:rPr>
                <w:szCs w:val="18"/>
                <w:lang w:val="en-GB"/>
              </w:rPr>
              <w:t>H251</w:t>
            </w:r>
          </w:p>
          <w:p w14:paraId="013381ED" w14:textId="11AD9994" w:rsidR="000926D9" w:rsidRPr="00D967D0" w:rsidRDefault="000926D9" w:rsidP="009D7D95">
            <w:pPr>
              <w:pStyle w:val="CETBodytext"/>
              <w:jc w:val="left"/>
              <w:rPr>
                <w:szCs w:val="18"/>
                <w:lang w:val="en-GB"/>
              </w:rPr>
            </w:pPr>
            <w:r w:rsidRPr="00D967D0">
              <w:rPr>
                <w:szCs w:val="18"/>
                <w:lang w:val="en-GB"/>
              </w:rPr>
              <w:t>H252</w:t>
            </w:r>
          </w:p>
        </w:tc>
        <w:tc>
          <w:tcPr>
            <w:tcW w:w="4110" w:type="dxa"/>
            <w:shd w:val="clear" w:color="auto" w:fill="FFFFFF"/>
          </w:tcPr>
          <w:p w14:paraId="7DD42F7C" w14:textId="77777777" w:rsidR="00846EAB" w:rsidRPr="00D967D0" w:rsidRDefault="001605F9" w:rsidP="009D7D95">
            <w:pPr>
              <w:pStyle w:val="CETBodytext"/>
              <w:jc w:val="left"/>
              <w:rPr>
                <w:szCs w:val="18"/>
                <w:lang w:val="en-GB"/>
              </w:rPr>
            </w:pPr>
            <w:r w:rsidRPr="00D967D0">
              <w:rPr>
                <w:szCs w:val="18"/>
                <w:lang w:val="en-GB"/>
              </w:rPr>
              <w:t>Self-heating; may catch fire</w:t>
            </w:r>
          </w:p>
          <w:p w14:paraId="0A3CDEEF" w14:textId="651CD0AC" w:rsidR="001605F9" w:rsidRPr="00D967D0" w:rsidRDefault="001605F9" w:rsidP="009D7D95">
            <w:pPr>
              <w:pStyle w:val="CETBodytext"/>
              <w:jc w:val="left"/>
              <w:rPr>
                <w:szCs w:val="18"/>
                <w:lang w:val="en-GB"/>
              </w:rPr>
            </w:pPr>
            <w:r w:rsidRPr="00D967D0">
              <w:rPr>
                <w:szCs w:val="18"/>
                <w:lang w:val="en-GB"/>
              </w:rPr>
              <w:t>Self-heating in large quantities; may catch fire</w:t>
            </w:r>
          </w:p>
        </w:tc>
      </w:tr>
      <w:bookmarkEnd w:id="3"/>
    </w:tbl>
    <w:p w14:paraId="46F499A5" w14:textId="77777777" w:rsidR="0068022A" w:rsidRPr="006745C7" w:rsidRDefault="0068022A" w:rsidP="00FF3606">
      <w:pPr>
        <w:pStyle w:val="CETBodytext"/>
        <w:rPr>
          <w:sz w:val="12"/>
          <w:szCs w:val="12"/>
          <w:lang w:val="en-GB"/>
        </w:rPr>
      </w:pPr>
    </w:p>
    <w:p w14:paraId="7A8F3E81" w14:textId="6F4AB6BD" w:rsidR="003D11FD" w:rsidRPr="00E765FE" w:rsidRDefault="003D11FD" w:rsidP="00FF3606">
      <w:pPr>
        <w:pStyle w:val="CETBodytext"/>
        <w:rPr>
          <w:lang w:val="en-GB"/>
        </w:rPr>
      </w:pPr>
      <w:r w:rsidRPr="00E765FE">
        <w:rPr>
          <w:lang w:val="en-GB"/>
        </w:rPr>
        <w:t xml:space="preserve">In addition to </w:t>
      </w:r>
      <w:r w:rsidRPr="00E765FE">
        <w:rPr>
          <w:i/>
          <w:iCs/>
          <w:lang w:val="en-GB"/>
        </w:rPr>
        <w:t>physical vulnerability</w:t>
      </w:r>
      <w:r w:rsidRPr="00E765FE">
        <w:rPr>
          <w:lang w:val="en-GB"/>
        </w:rPr>
        <w:t xml:space="preserve">, related to the physical and technological characteristics of plants, equipment, and hazardous substances (i.e., resistance), the authors introduce </w:t>
      </w:r>
      <w:r w:rsidRPr="00E765FE">
        <w:rPr>
          <w:i/>
          <w:iCs/>
          <w:lang w:val="en-GB"/>
        </w:rPr>
        <w:t>organizational vulnerability</w:t>
      </w:r>
      <w:r w:rsidRPr="00E765FE">
        <w:rPr>
          <w:lang w:val="en-GB"/>
        </w:rPr>
        <w:t xml:space="preserve">, linked to the level of organizational resilience of an establishment and the operational capacity of personnel. This requires specific and continuous worker training aimed at building a resilient organization capable of responding to events, monitoring ongoing conditions, anticipating risks, and learning from </w:t>
      </w:r>
      <w:r w:rsidR="00846EAB" w:rsidRPr="00E765FE">
        <w:rPr>
          <w:lang w:val="en-GB"/>
        </w:rPr>
        <w:t>experience</w:t>
      </w:r>
      <w:r w:rsidRPr="00E765FE">
        <w:rPr>
          <w:lang w:val="en-GB"/>
        </w:rPr>
        <w:t>.</w:t>
      </w:r>
      <w:r w:rsidR="00846EAB" w:rsidRPr="00E765FE">
        <w:rPr>
          <w:lang w:val="en-GB"/>
        </w:rPr>
        <w:t xml:space="preserve"> </w:t>
      </w:r>
      <w:r w:rsidRPr="00E765FE">
        <w:rPr>
          <w:lang w:val="en-GB"/>
        </w:rPr>
        <w:t xml:space="preserve">Organizational vulnerability also includes the relevance of emergency plans that explicitly consider extreme temperatures (both low and high), </w:t>
      </w:r>
      <w:r w:rsidR="00846EAB" w:rsidRPr="00E765FE">
        <w:rPr>
          <w:lang w:val="en-GB"/>
        </w:rPr>
        <w:t>considering</w:t>
      </w:r>
      <w:r w:rsidRPr="00E765FE">
        <w:rPr>
          <w:lang w:val="en-GB"/>
        </w:rPr>
        <w:t xml:space="preserve"> existing early warning systems and clearly defining response actions.</w:t>
      </w:r>
      <w:r w:rsidR="00846EAB" w:rsidRPr="00E765FE">
        <w:rPr>
          <w:lang w:val="en-GB"/>
        </w:rPr>
        <w:t xml:space="preserve"> </w:t>
      </w:r>
      <w:r w:rsidRPr="00E765FE">
        <w:rPr>
          <w:lang w:val="en-GB"/>
        </w:rPr>
        <w:t xml:space="preserve">Based on these considerations, </w:t>
      </w:r>
      <w:r w:rsidR="00846EAB" w:rsidRPr="00E765FE">
        <w:rPr>
          <w:lang w:val="en-GB"/>
        </w:rPr>
        <w:t>IV</w:t>
      </w:r>
      <w:r w:rsidR="00846EAB" w:rsidRPr="00E765FE">
        <w:rPr>
          <w:vertAlign w:val="subscript"/>
          <w:lang w:val="en-GB"/>
        </w:rPr>
        <w:t xml:space="preserve">hw </w:t>
      </w:r>
      <w:r w:rsidRPr="00E765FE">
        <w:rPr>
          <w:lang w:val="en-GB"/>
        </w:rPr>
        <w:t xml:space="preserve">is defined as the sum of </w:t>
      </w:r>
      <w:r w:rsidR="00CF6776" w:rsidRPr="00E765FE">
        <w:rPr>
          <w:lang w:val="en-GB"/>
        </w:rPr>
        <w:t>P</w:t>
      </w:r>
      <w:r w:rsidRPr="00E765FE">
        <w:rPr>
          <w:lang w:val="en-GB"/>
        </w:rPr>
        <w:t xml:space="preserve">hysical and </w:t>
      </w:r>
      <w:r w:rsidR="00CF6776" w:rsidRPr="00E765FE">
        <w:rPr>
          <w:lang w:val="en-GB"/>
        </w:rPr>
        <w:t>O</w:t>
      </w:r>
      <w:r w:rsidRPr="00E765FE">
        <w:rPr>
          <w:lang w:val="en-GB"/>
        </w:rPr>
        <w:t xml:space="preserve">rganizational </w:t>
      </w:r>
      <w:r w:rsidR="00CF6776" w:rsidRPr="00E765FE">
        <w:rPr>
          <w:lang w:val="en-GB"/>
        </w:rPr>
        <w:t>V</w:t>
      </w:r>
      <w:r w:rsidRPr="00E765FE">
        <w:rPr>
          <w:lang w:val="en-GB"/>
        </w:rPr>
        <w:t>ulnerability</w:t>
      </w:r>
      <w:r w:rsidR="00CF6776" w:rsidRPr="00E765FE">
        <w:rPr>
          <w:lang w:val="en-GB"/>
        </w:rPr>
        <w:t xml:space="preserve"> Index</w:t>
      </w:r>
      <w:r w:rsidR="00D967D0">
        <w:rPr>
          <w:lang w:val="en-GB"/>
        </w:rPr>
        <w:t xml:space="preserve">, </w:t>
      </w:r>
      <w:r w:rsidR="001412EB">
        <w:rPr>
          <w:lang w:val="en-GB"/>
        </w:rPr>
        <w:t>(</w:t>
      </w:r>
      <w:r w:rsidRPr="00E765FE">
        <w:rPr>
          <w:lang w:val="en-GB"/>
        </w:rPr>
        <w:t>Table 3</w:t>
      </w:r>
      <w:r w:rsidR="00D967D0">
        <w:rPr>
          <w:lang w:val="en-GB"/>
        </w:rPr>
        <w:t>)</w:t>
      </w:r>
      <w:r w:rsidRPr="00E765FE">
        <w:rPr>
          <w:lang w:val="en-GB"/>
        </w:rPr>
        <w:t>.</w:t>
      </w:r>
    </w:p>
    <w:p w14:paraId="0374A274" w14:textId="1A9F8732" w:rsidR="00846EAB" w:rsidRPr="00E765FE" w:rsidRDefault="00846EAB" w:rsidP="009D7D95">
      <w:pPr>
        <w:pStyle w:val="CETTabletitle"/>
        <w:jc w:val="center"/>
        <w:rPr>
          <w:szCs w:val="18"/>
        </w:rPr>
      </w:pPr>
      <w:r w:rsidRPr="00E765FE">
        <w:rPr>
          <w:szCs w:val="18"/>
        </w:rPr>
        <w:t xml:space="preserve">Table 3: </w:t>
      </w:r>
      <w:r w:rsidR="00CF6776" w:rsidRPr="00E765FE">
        <w:t>IV</w:t>
      </w:r>
      <w:r w:rsidR="00CF6776" w:rsidRPr="00E765FE">
        <w:rPr>
          <w:vertAlign w:val="subscript"/>
        </w:rPr>
        <w:t>hw</w:t>
      </w:r>
      <w:r w:rsidR="00CF6776" w:rsidRPr="00E765FE">
        <w:rPr>
          <w:szCs w:val="18"/>
        </w:rPr>
        <w:t xml:space="preserve"> = </w:t>
      </w:r>
      <w:r w:rsidR="00CF6776" w:rsidRPr="00E765FE">
        <w:t>Physical Vulnerability Index + Organizational Vulnerability Index</w:t>
      </w:r>
    </w:p>
    <w:tbl>
      <w:tblPr>
        <w:tblW w:w="8789"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5529"/>
        <w:gridCol w:w="1559"/>
        <w:gridCol w:w="1701"/>
      </w:tblGrid>
      <w:tr w:rsidR="00D649C0" w:rsidRPr="00E765FE" w14:paraId="44420838" w14:textId="77777777" w:rsidTr="001412EB">
        <w:trPr>
          <w:trHeight w:val="212"/>
          <w:jc w:val="center"/>
        </w:trPr>
        <w:tc>
          <w:tcPr>
            <w:tcW w:w="5529" w:type="dxa"/>
            <w:tcBorders>
              <w:top w:val="single" w:sz="12" w:space="0" w:color="008000"/>
              <w:bottom w:val="single" w:sz="6" w:space="0" w:color="008000"/>
            </w:tcBorders>
            <w:shd w:val="clear" w:color="auto" w:fill="FFFFFF"/>
          </w:tcPr>
          <w:p w14:paraId="6B18E177" w14:textId="4F0C8F94" w:rsidR="009D7D95" w:rsidRPr="00D967D0" w:rsidRDefault="009D7D95" w:rsidP="00D649C0">
            <w:pPr>
              <w:pStyle w:val="CETBodytext"/>
              <w:jc w:val="left"/>
              <w:rPr>
                <w:szCs w:val="18"/>
                <w:lang w:val="en-GB"/>
              </w:rPr>
            </w:pPr>
            <w:r w:rsidRPr="00D967D0">
              <w:rPr>
                <w:szCs w:val="18"/>
                <w:lang w:val="en-GB"/>
              </w:rPr>
              <w:t>Equipment Category</w:t>
            </w:r>
          </w:p>
        </w:tc>
        <w:tc>
          <w:tcPr>
            <w:tcW w:w="1559" w:type="dxa"/>
            <w:tcBorders>
              <w:top w:val="single" w:sz="12" w:space="0" w:color="008000"/>
              <w:bottom w:val="single" w:sz="6" w:space="0" w:color="008000"/>
            </w:tcBorders>
            <w:shd w:val="clear" w:color="auto" w:fill="FFFFFF"/>
          </w:tcPr>
          <w:p w14:paraId="348E7E6E" w14:textId="366E924A" w:rsidR="009D7D95" w:rsidRPr="00D967D0" w:rsidRDefault="00D967D0" w:rsidP="00D967D0">
            <w:pPr>
              <w:pStyle w:val="CETBodytext"/>
              <w:jc w:val="left"/>
              <w:rPr>
                <w:szCs w:val="18"/>
                <w:lang w:val="en-GB"/>
              </w:rPr>
            </w:pPr>
            <w:r w:rsidRPr="00D967D0">
              <w:rPr>
                <w:szCs w:val="18"/>
                <w:lang w:val="en-GB"/>
              </w:rPr>
              <w:t>(1</w:t>
            </w:r>
            <w:r>
              <w:rPr>
                <w:szCs w:val="18"/>
                <w:lang w:val="en-GB"/>
              </w:rPr>
              <w:t xml:space="preserve">) </w:t>
            </w:r>
            <w:r w:rsidR="009D7D95" w:rsidRPr="00D967D0">
              <w:rPr>
                <w:szCs w:val="18"/>
                <w:lang w:val="en-GB"/>
              </w:rPr>
              <w:t xml:space="preserve">Physical Vulnerability Index </w:t>
            </w:r>
          </w:p>
        </w:tc>
        <w:tc>
          <w:tcPr>
            <w:tcW w:w="1701" w:type="dxa"/>
            <w:tcBorders>
              <w:top w:val="single" w:sz="12" w:space="0" w:color="008000"/>
              <w:bottom w:val="single" w:sz="6" w:space="0" w:color="008000"/>
            </w:tcBorders>
            <w:shd w:val="clear" w:color="auto" w:fill="FFFFFF"/>
          </w:tcPr>
          <w:p w14:paraId="59950086" w14:textId="78C67B22" w:rsidR="009D7D95" w:rsidRPr="00D967D0" w:rsidRDefault="00D967D0" w:rsidP="00D649C0">
            <w:pPr>
              <w:pStyle w:val="CETBodytext"/>
              <w:jc w:val="left"/>
              <w:rPr>
                <w:szCs w:val="18"/>
                <w:lang w:val="en-GB"/>
              </w:rPr>
            </w:pPr>
            <w:r>
              <w:rPr>
                <w:szCs w:val="18"/>
                <w:lang w:val="en-GB"/>
              </w:rPr>
              <w:t xml:space="preserve">(2) </w:t>
            </w:r>
            <w:r w:rsidR="00D649C0" w:rsidRPr="00D967D0">
              <w:rPr>
                <w:szCs w:val="18"/>
                <w:lang w:val="en-GB"/>
              </w:rPr>
              <w:t>Organizational Vulnerability Index</w:t>
            </w:r>
            <w:r w:rsidR="00343071" w:rsidRPr="00D967D0">
              <w:rPr>
                <w:szCs w:val="18"/>
                <w:lang w:val="en-GB"/>
              </w:rPr>
              <w:t xml:space="preserve"> </w:t>
            </w:r>
          </w:p>
        </w:tc>
      </w:tr>
      <w:tr w:rsidR="00D649C0" w:rsidRPr="00E765FE" w14:paraId="4A014DB9" w14:textId="77777777" w:rsidTr="001412EB">
        <w:trPr>
          <w:trHeight w:val="212"/>
          <w:jc w:val="center"/>
        </w:trPr>
        <w:tc>
          <w:tcPr>
            <w:tcW w:w="5529" w:type="dxa"/>
            <w:shd w:val="clear" w:color="auto" w:fill="FFFFFF"/>
          </w:tcPr>
          <w:p w14:paraId="6943E4CB" w14:textId="1C5031EB" w:rsidR="009D7D95" w:rsidRPr="00D967D0" w:rsidRDefault="00D649C0" w:rsidP="00D649C0">
            <w:pPr>
              <w:pStyle w:val="CETBodytext"/>
              <w:jc w:val="left"/>
              <w:rPr>
                <w:szCs w:val="18"/>
                <w:lang w:val="en-GB"/>
              </w:rPr>
            </w:pPr>
            <w:r w:rsidRPr="00D967D0">
              <w:rPr>
                <w:szCs w:val="18"/>
                <w:lang w:val="en-GB"/>
              </w:rPr>
              <w:t>Machinery (Pump and compressor)</w:t>
            </w:r>
          </w:p>
        </w:tc>
        <w:tc>
          <w:tcPr>
            <w:tcW w:w="1559" w:type="dxa"/>
            <w:shd w:val="clear" w:color="auto" w:fill="FFFFFF"/>
          </w:tcPr>
          <w:p w14:paraId="4DC01BD8" w14:textId="381D4C4C" w:rsidR="009D7D95" w:rsidRPr="00D967D0" w:rsidRDefault="00D649C0" w:rsidP="00D649C0">
            <w:pPr>
              <w:pStyle w:val="CETBodytext"/>
              <w:jc w:val="left"/>
              <w:rPr>
                <w:szCs w:val="18"/>
                <w:lang w:val="en-GB"/>
              </w:rPr>
            </w:pPr>
            <w:r w:rsidRPr="00D967D0">
              <w:rPr>
                <w:szCs w:val="18"/>
                <w:lang w:val="en-GB"/>
              </w:rPr>
              <w:t>1-2</w:t>
            </w:r>
          </w:p>
        </w:tc>
        <w:tc>
          <w:tcPr>
            <w:tcW w:w="1701" w:type="dxa"/>
            <w:shd w:val="clear" w:color="auto" w:fill="FFFFFF"/>
          </w:tcPr>
          <w:p w14:paraId="37FB97F4" w14:textId="4AB7B0E6" w:rsidR="009D7D95" w:rsidRPr="00D967D0" w:rsidRDefault="00D649C0" w:rsidP="00D649C0">
            <w:pPr>
              <w:pStyle w:val="CETBodytext"/>
              <w:jc w:val="left"/>
              <w:rPr>
                <w:szCs w:val="18"/>
                <w:lang w:val="en-GB"/>
              </w:rPr>
            </w:pPr>
            <w:r w:rsidRPr="00D967D0">
              <w:rPr>
                <w:szCs w:val="18"/>
                <w:lang w:val="en-GB"/>
              </w:rPr>
              <w:t>0-1</w:t>
            </w:r>
          </w:p>
        </w:tc>
      </w:tr>
      <w:tr w:rsidR="00D649C0" w:rsidRPr="00E765FE" w14:paraId="08C0EBA5" w14:textId="77777777" w:rsidTr="001412EB">
        <w:trPr>
          <w:trHeight w:val="203"/>
          <w:jc w:val="center"/>
        </w:trPr>
        <w:tc>
          <w:tcPr>
            <w:tcW w:w="5529" w:type="dxa"/>
            <w:shd w:val="clear" w:color="auto" w:fill="FFFFFF"/>
          </w:tcPr>
          <w:p w14:paraId="2F0F8322" w14:textId="27AFA4B7" w:rsidR="00D649C0" w:rsidRPr="00D967D0" w:rsidRDefault="00D649C0" w:rsidP="00D649C0">
            <w:pPr>
              <w:pStyle w:val="CETBodytext"/>
              <w:jc w:val="left"/>
              <w:rPr>
                <w:szCs w:val="18"/>
                <w:lang w:val="en-GB"/>
              </w:rPr>
            </w:pPr>
            <w:r w:rsidRPr="00D967D0">
              <w:rPr>
                <w:rFonts w:cs="Arial"/>
                <w:szCs w:val="18"/>
                <w:lang w:val="en-GB"/>
              </w:rPr>
              <w:t>Pipework (Pipelines and pipework</w:t>
            </w:r>
            <w:r w:rsidR="00343071" w:rsidRPr="00D967D0">
              <w:rPr>
                <w:rFonts w:cs="Arial"/>
                <w:szCs w:val="18"/>
                <w:lang w:val="en-GB"/>
              </w:rPr>
              <w:t>s</w:t>
            </w:r>
            <w:r w:rsidRPr="00D967D0">
              <w:rPr>
                <w:rFonts w:cs="Arial"/>
                <w:szCs w:val="18"/>
                <w:lang w:val="en-GB"/>
              </w:rPr>
              <w:t>)</w:t>
            </w:r>
          </w:p>
        </w:tc>
        <w:tc>
          <w:tcPr>
            <w:tcW w:w="1559" w:type="dxa"/>
          </w:tcPr>
          <w:p w14:paraId="5C4F0FB4" w14:textId="5A77D94A" w:rsidR="00D649C0" w:rsidRPr="00D967D0" w:rsidRDefault="00D649C0" w:rsidP="00D649C0">
            <w:pPr>
              <w:pStyle w:val="CETBodytext"/>
              <w:jc w:val="left"/>
              <w:rPr>
                <w:szCs w:val="18"/>
                <w:lang w:val="en-GB"/>
              </w:rPr>
            </w:pPr>
            <w:r w:rsidRPr="00D967D0">
              <w:rPr>
                <w:szCs w:val="18"/>
                <w:lang w:val="en-GB"/>
              </w:rPr>
              <w:t>1-2</w:t>
            </w:r>
          </w:p>
        </w:tc>
        <w:tc>
          <w:tcPr>
            <w:tcW w:w="1701" w:type="dxa"/>
            <w:shd w:val="clear" w:color="auto" w:fill="FFFFFF"/>
          </w:tcPr>
          <w:p w14:paraId="69CD6C4E" w14:textId="6D024245" w:rsidR="00D649C0" w:rsidRPr="00D967D0" w:rsidRDefault="00D649C0" w:rsidP="00D649C0">
            <w:pPr>
              <w:pStyle w:val="CETBodytext"/>
              <w:jc w:val="left"/>
              <w:rPr>
                <w:szCs w:val="18"/>
                <w:lang w:val="en-GB"/>
              </w:rPr>
            </w:pPr>
            <w:r w:rsidRPr="00D967D0">
              <w:rPr>
                <w:szCs w:val="18"/>
                <w:lang w:val="en-GB"/>
              </w:rPr>
              <w:t>0-1</w:t>
            </w:r>
          </w:p>
        </w:tc>
      </w:tr>
      <w:tr w:rsidR="00343071" w:rsidRPr="00E765FE" w14:paraId="1EB3E0B6" w14:textId="77777777" w:rsidTr="001412EB">
        <w:trPr>
          <w:trHeight w:val="203"/>
          <w:jc w:val="center"/>
        </w:trPr>
        <w:tc>
          <w:tcPr>
            <w:tcW w:w="5529" w:type="dxa"/>
            <w:shd w:val="clear" w:color="auto" w:fill="FFFFFF"/>
          </w:tcPr>
          <w:p w14:paraId="336AF474" w14:textId="70B43131" w:rsidR="00343071" w:rsidRPr="00D967D0" w:rsidRDefault="00343071" w:rsidP="00343071">
            <w:pPr>
              <w:pStyle w:val="CETBodytext"/>
              <w:jc w:val="left"/>
              <w:rPr>
                <w:rFonts w:cs="Arial"/>
                <w:szCs w:val="18"/>
                <w:lang w:val="en-GB"/>
              </w:rPr>
            </w:pPr>
            <w:r w:rsidRPr="00D967D0">
              <w:rPr>
                <w:rFonts w:cs="Arial"/>
                <w:szCs w:val="18"/>
                <w:lang w:val="en-GB"/>
              </w:rPr>
              <w:t>Process equipment (Column, reactor, and heat exchanger)</w:t>
            </w:r>
          </w:p>
        </w:tc>
        <w:tc>
          <w:tcPr>
            <w:tcW w:w="1559" w:type="dxa"/>
          </w:tcPr>
          <w:p w14:paraId="2930D5DE" w14:textId="4BD00D7A" w:rsidR="00343071" w:rsidRPr="00D967D0" w:rsidRDefault="00343071" w:rsidP="00343071">
            <w:pPr>
              <w:pStyle w:val="CETBodytext"/>
              <w:jc w:val="left"/>
              <w:rPr>
                <w:szCs w:val="18"/>
                <w:lang w:val="en-GB"/>
              </w:rPr>
            </w:pPr>
            <w:r w:rsidRPr="00D967D0">
              <w:rPr>
                <w:szCs w:val="18"/>
                <w:lang w:val="en-GB"/>
              </w:rPr>
              <w:t>2-3</w:t>
            </w:r>
          </w:p>
        </w:tc>
        <w:tc>
          <w:tcPr>
            <w:tcW w:w="1701" w:type="dxa"/>
            <w:shd w:val="clear" w:color="auto" w:fill="FFFFFF"/>
          </w:tcPr>
          <w:p w14:paraId="51896350" w14:textId="07A1D1B9" w:rsidR="00343071" w:rsidRPr="00D967D0" w:rsidRDefault="00343071" w:rsidP="00343071">
            <w:pPr>
              <w:pStyle w:val="CETBodytext"/>
              <w:jc w:val="left"/>
              <w:rPr>
                <w:szCs w:val="18"/>
                <w:lang w:val="en-GB"/>
              </w:rPr>
            </w:pPr>
            <w:r w:rsidRPr="00D967D0">
              <w:rPr>
                <w:szCs w:val="18"/>
                <w:lang w:val="en-GB"/>
              </w:rPr>
              <w:t>0-1</w:t>
            </w:r>
          </w:p>
        </w:tc>
      </w:tr>
      <w:tr w:rsidR="00343071" w:rsidRPr="00E765FE" w14:paraId="1AE2DAA9" w14:textId="77777777" w:rsidTr="001412EB">
        <w:trPr>
          <w:trHeight w:val="203"/>
          <w:jc w:val="center"/>
        </w:trPr>
        <w:tc>
          <w:tcPr>
            <w:tcW w:w="5529" w:type="dxa"/>
            <w:shd w:val="clear" w:color="auto" w:fill="FFFFFF"/>
          </w:tcPr>
          <w:p w14:paraId="7918CDC6" w14:textId="49441A94" w:rsidR="00343071" w:rsidRPr="00D967D0" w:rsidRDefault="00343071" w:rsidP="00343071">
            <w:pPr>
              <w:pStyle w:val="CETBodytext"/>
              <w:jc w:val="left"/>
              <w:rPr>
                <w:rFonts w:cs="Arial"/>
                <w:szCs w:val="18"/>
                <w:lang w:val="en-GB"/>
              </w:rPr>
            </w:pPr>
            <w:r w:rsidRPr="00D967D0">
              <w:rPr>
                <w:rFonts w:cs="Arial"/>
                <w:szCs w:val="18"/>
                <w:lang w:val="en-GB"/>
              </w:rPr>
              <w:t>Storage equipment (Atmospheric</w:t>
            </w:r>
            <w:r w:rsidR="00A033F9" w:rsidRPr="00D967D0">
              <w:rPr>
                <w:rFonts w:cs="Arial"/>
                <w:szCs w:val="18"/>
                <w:lang w:val="en-GB"/>
              </w:rPr>
              <w:t xml:space="preserve"> and pressurized</w:t>
            </w:r>
            <w:r w:rsidRPr="00D967D0">
              <w:rPr>
                <w:rFonts w:cs="Arial"/>
                <w:szCs w:val="18"/>
                <w:lang w:val="en-GB"/>
              </w:rPr>
              <w:t xml:space="preserve"> storage vessel)</w:t>
            </w:r>
          </w:p>
        </w:tc>
        <w:tc>
          <w:tcPr>
            <w:tcW w:w="1559" w:type="dxa"/>
          </w:tcPr>
          <w:p w14:paraId="479B24FB" w14:textId="754BE188" w:rsidR="00343071" w:rsidRPr="00D967D0" w:rsidRDefault="00343071" w:rsidP="00343071">
            <w:pPr>
              <w:pStyle w:val="CETBodytext"/>
              <w:jc w:val="left"/>
              <w:rPr>
                <w:szCs w:val="18"/>
                <w:lang w:val="en-GB"/>
              </w:rPr>
            </w:pPr>
            <w:r w:rsidRPr="00D967D0">
              <w:rPr>
                <w:szCs w:val="18"/>
                <w:lang w:val="en-GB"/>
              </w:rPr>
              <w:t>2-3</w:t>
            </w:r>
          </w:p>
        </w:tc>
        <w:tc>
          <w:tcPr>
            <w:tcW w:w="1701" w:type="dxa"/>
            <w:shd w:val="clear" w:color="auto" w:fill="FFFFFF"/>
          </w:tcPr>
          <w:p w14:paraId="25E69B5C" w14:textId="7B180654" w:rsidR="00343071" w:rsidRPr="00D967D0" w:rsidRDefault="00343071" w:rsidP="00343071">
            <w:pPr>
              <w:pStyle w:val="CETBodytext"/>
              <w:jc w:val="left"/>
              <w:rPr>
                <w:szCs w:val="18"/>
                <w:lang w:val="en-GB"/>
              </w:rPr>
            </w:pPr>
            <w:r w:rsidRPr="00D967D0">
              <w:rPr>
                <w:szCs w:val="18"/>
                <w:lang w:val="en-GB"/>
              </w:rPr>
              <w:t>0-1</w:t>
            </w:r>
          </w:p>
        </w:tc>
      </w:tr>
      <w:tr w:rsidR="00343071" w:rsidRPr="00E765FE" w14:paraId="2815C9FE" w14:textId="77777777" w:rsidTr="001412EB">
        <w:trPr>
          <w:trHeight w:val="203"/>
          <w:jc w:val="center"/>
        </w:trPr>
        <w:tc>
          <w:tcPr>
            <w:tcW w:w="5529" w:type="dxa"/>
            <w:shd w:val="clear" w:color="auto" w:fill="FFFFFF"/>
          </w:tcPr>
          <w:p w14:paraId="5732FCEB" w14:textId="78DC2A35" w:rsidR="00343071" w:rsidRPr="00D967D0" w:rsidRDefault="00343071" w:rsidP="00343071">
            <w:pPr>
              <w:pStyle w:val="CETBodytext"/>
              <w:jc w:val="left"/>
              <w:rPr>
                <w:rFonts w:cs="Arial"/>
                <w:szCs w:val="18"/>
                <w:lang w:val="en-GB"/>
              </w:rPr>
            </w:pPr>
            <w:r w:rsidRPr="00D967D0">
              <w:rPr>
                <w:rFonts w:cs="Arial"/>
                <w:szCs w:val="18"/>
                <w:lang w:val="en-GB"/>
              </w:rPr>
              <w:t>Road/rail tanker (Road tanker and rail tanker)</w:t>
            </w:r>
          </w:p>
        </w:tc>
        <w:tc>
          <w:tcPr>
            <w:tcW w:w="1559" w:type="dxa"/>
          </w:tcPr>
          <w:p w14:paraId="5A1D9AA9" w14:textId="1360EC87" w:rsidR="00343071" w:rsidRPr="00D967D0" w:rsidRDefault="00343071" w:rsidP="00343071">
            <w:pPr>
              <w:pStyle w:val="CETBodytext"/>
              <w:jc w:val="left"/>
              <w:rPr>
                <w:szCs w:val="18"/>
                <w:lang w:val="en-GB"/>
              </w:rPr>
            </w:pPr>
            <w:r w:rsidRPr="00D967D0">
              <w:rPr>
                <w:szCs w:val="18"/>
                <w:lang w:val="en-GB"/>
              </w:rPr>
              <w:t>2-3</w:t>
            </w:r>
          </w:p>
        </w:tc>
        <w:tc>
          <w:tcPr>
            <w:tcW w:w="1701" w:type="dxa"/>
            <w:shd w:val="clear" w:color="auto" w:fill="FFFFFF"/>
          </w:tcPr>
          <w:p w14:paraId="3CC336B0" w14:textId="085EB4A3" w:rsidR="00343071" w:rsidRPr="00D967D0" w:rsidRDefault="00343071" w:rsidP="00343071">
            <w:pPr>
              <w:pStyle w:val="CETBodytext"/>
              <w:jc w:val="left"/>
              <w:rPr>
                <w:szCs w:val="18"/>
                <w:lang w:val="en-GB"/>
              </w:rPr>
            </w:pPr>
            <w:r w:rsidRPr="00D967D0">
              <w:rPr>
                <w:szCs w:val="18"/>
                <w:lang w:val="en-GB"/>
              </w:rPr>
              <w:t>0-1</w:t>
            </w:r>
          </w:p>
        </w:tc>
      </w:tr>
      <w:tr w:rsidR="00343071" w:rsidRPr="00E765FE" w14:paraId="4DC4E89F" w14:textId="77777777" w:rsidTr="001412EB">
        <w:trPr>
          <w:trHeight w:val="203"/>
          <w:jc w:val="center"/>
        </w:trPr>
        <w:tc>
          <w:tcPr>
            <w:tcW w:w="5529" w:type="dxa"/>
            <w:shd w:val="clear" w:color="auto" w:fill="FFFFFF"/>
          </w:tcPr>
          <w:p w14:paraId="2B499288" w14:textId="655EDB80" w:rsidR="00343071" w:rsidRPr="00D967D0" w:rsidRDefault="00343071" w:rsidP="00343071">
            <w:pPr>
              <w:pStyle w:val="CETBodytext"/>
              <w:jc w:val="left"/>
              <w:rPr>
                <w:rFonts w:cs="Arial"/>
                <w:szCs w:val="18"/>
                <w:lang w:val="en-GB"/>
              </w:rPr>
            </w:pPr>
            <w:r w:rsidRPr="00D967D0">
              <w:rPr>
                <w:rFonts w:cs="Arial"/>
                <w:szCs w:val="18"/>
                <w:lang w:val="en-GB"/>
              </w:rPr>
              <w:t>Valves and instrumentation (Valves and control devices)</w:t>
            </w:r>
          </w:p>
        </w:tc>
        <w:tc>
          <w:tcPr>
            <w:tcW w:w="1559" w:type="dxa"/>
          </w:tcPr>
          <w:p w14:paraId="408726E6" w14:textId="5C9194FC" w:rsidR="00343071" w:rsidRPr="00D967D0" w:rsidRDefault="00343071" w:rsidP="00343071">
            <w:pPr>
              <w:pStyle w:val="CETBodytext"/>
              <w:jc w:val="left"/>
              <w:rPr>
                <w:szCs w:val="18"/>
                <w:lang w:val="en-GB"/>
              </w:rPr>
            </w:pPr>
            <w:r w:rsidRPr="00D967D0">
              <w:rPr>
                <w:szCs w:val="18"/>
                <w:lang w:val="en-GB"/>
              </w:rPr>
              <w:t>1-2</w:t>
            </w:r>
          </w:p>
        </w:tc>
        <w:tc>
          <w:tcPr>
            <w:tcW w:w="1701" w:type="dxa"/>
            <w:shd w:val="clear" w:color="auto" w:fill="FFFFFF"/>
          </w:tcPr>
          <w:p w14:paraId="1BEC27F0" w14:textId="580D8247" w:rsidR="00343071" w:rsidRPr="00D967D0" w:rsidRDefault="00343071" w:rsidP="00343071">
            <w:pPr>
              <w:pStyle w:val="CETBodytext"/>
              <w:jc w:val="left"/>
              <w:rPr>
                <w:szCs w:val="18"/>
                <w:lang w:val="en-GB"/>
              </w:rPr>
            </w:pPr>
            <w:r w:rsidRPr="00D967D0">
              <w:rPr>
                <w:szCs w:val="18"/>
                <w:lang w:val="en-GB"/>
              </w:rPr>
              <w:t>0-1</w:t>
            </w:r>
          </w:p>
        </w:tc>
      </w:tr>
      <w:tr w:rsidR="00343071" w:rsidRPr="00E765FE" w14:paraId="1789D300" w14:textId="77777777" w:rsidTr="001412EB">
        <w:trPr>
          <w:trHeight w:val="203"/>
          <w:jc w:val="center"/>
        </w:trPr>
        <w:tc>
          <w:tcPr>
            <w:tcW w:w="5529" w:type="dxa"/>
            <w:shd w:val="clear" w:color="auto" w:fill="FFFFFF"/>
          </w:tcPr>
          <w:p w14:paraId="6D0C0B29" w14:textId="49EBDEFC" w:rsidR="00343071" w:rsidRPr="00D967D0" w:rsidRDefault="00343071" w:rsidP="00343071">
            <w:pPr>
              <w:pStyle w:val="CETBodytext"/>
              <w:jc w:val="left"/>
              <w:rPr>
                <w:rFonts w:cs="Arial"/>
                <w:szCs w:val="18"/>
                <w:lang w:val="en-GB"/>
              </w:rPr>
            </w:pPr>
            <w:r w:rsidRPr="00D967D0">
              <w:rPr>
                <w:rFonts w:cs="Arial"/>
                <w:szCs w:val="18"/>
                <w:lang w:val="en-GB"/>
              </w:rPr>
              <w:t>Warehouses (Packed materials and spare materials)</w:t>
            </w:r>
          </w:p>
        </w:tc>
        <w:tc>
          <w:tcPr>
            <w:tcW w:w="1559" w:type="dxa"/>
          </w:tcPr>
          <w:p w14:paraId="02151D82" w14:textId="1EE47A8B" w:rsidR="00343071" w:rsidRPr="00D967D0" w:rsidRDefault="00343071" w:rsidP="00343071">
            <w:pPr>
              <w:pStyle w:val="CETBodytext"/>
              <w:jc w:val="left"/>
              <w:rPr>
                <w:szCs w:val="18"/>
                <w:lang w:val="en-GB"/>
              </w:rPr>
            </w:pPr>
            <w:r w:rsidRPr="00D967D0">
              <w:rPr>
                <w:szCs w:val="18"/>
                <w:lang w:val="en-GB"/>
              </w:rPr>
              <w:t>1-2</w:t>
            </w:r>
          </w:p>
        </w:tc>
        <w:tc>
          <w:tcPr>
            <w:tcW w:w="1701" w:type="dxa"/>
            <w:shd w:val="clear" w:color="auto" w:fill="FFFFFF"/>
          </w:tcPr>
          <w:p w14:paraId="7F19B035" w14:textId="3E3DFB64" w:rsidR="00343071" w:rsidRPr="00D967D0" w:rsidRDefault="00343071" w:rsidP="00343071">
            <w:pPr>
              <w:pStyle w:val="CETBodytext"/>
              <w:jc w:val="left"/>
              <w:rPr>
                <w:szCs w:val="18"/>
                <w:lang w:val="en-GB"/>
              </w:rPr>
            </w:pPr>
            <w:r w:rsidRPr="00D967D0">
              <w:rPr>
                <w:szCs w:val="18"/>
                <w:lang w:val="en-GB"/>
              </w:rPr>
              <w:t>0-1</w:t>
            </w:r>
          </w:p>
        </w:tc>
      </w:tr>
      <w:tr w:rsidR="00343071" w:rsidRPr="00E765FE" w14:paraId="60DF9B89" w14:textId="77777777" w:rsidTr="001412EB">
        <w:trPr>
          <w:trHeight w:val="203"/>
          <w:jc w:val="center"/>
        </w:trPr>
        <w:tc>
          <w:tcPr>
            <w:tcW w:w="5529" w:type="dxa"/>
            <w:shd w:val="clear" w:color="auto" w:fill="FFFFFF"/>
          </w:tcPr>
          <w:p w14:paraId="6C1CBD5B" w14:textId="27B07D1F" w:rsidR="00343071" w:rsidRPr="00D967D0" w:rsidRDefault="00343071" w:rsidP="00343071">
            <w:pPr>
              <w:pStyle w:val="CETBodytext"/>
              <w:jc w:val="left"/>
              <w:rPr>
                <w:szCs w:val="18"/>
                <w:lang w:val="en-GB"/>
              </w:rPr>
            </w:pPr>
            <w:r w:rsidRPr="00D967D0">
              <w:rPr>
                <w:rFonts w:cs="Arial"/>
                <w:szCs w:val="18"/>
                <w:lang w:val="en-GB"/>
              </w:rPr>
              <w:t>Waste disposal Landfill cells and piles of wastes</w:t>
            </w:r>
          </w:p>
        </w:tc>
        <w:tc>
          <w:tcPr>
            <w:tcW w:w="1559" w:type="dxa"/>
          </w:tcPr>
          <w:p w14:paraId="00E7E7F1" w14:textId="2702BFB8" w:rsidR="00343071" w:rsidRPr="00D967D0" w:rsidRDefault="00343071" w:rsidP="00343071">
            <w:pPr>
              <w:pStyle w:val="CETBodytext"/>
              <w:jc w:val="left"/>
              <w:rPr>
                <w:szCs w:val="18"/>
                <w:lang w:val="en-GB"/>
              </w:rPr>
            </w:pPr>
            <w:r w:rsidRPr="00D967D0">
              <w:rPr>
                <w:szCs w:val="18"/>
                <w:lang w:val="en-GB"/>
              </w:rPr>
              <w:t>2-3</w:t>
            </w:r>
          </w:p>
        </w:tc>
        <w:tc>
          <w:tcPr>
            <w:tcW w:w="1701" w:type="dxa"/>
            <w:shd w:val="clear" w:color="auto" w:fill="FFFFFF"/>
          </w:tcPr>
          <w:p w14:paraId="7EF38FC6" w14:textId="29C3F4BE" w:rsidR="00343071" w:rsidRPr="00D967D0" w:rsidRDefault="00343071" w:rsidP="00343071">
            <w:pPr>
              <w:pStyle w:val="CETBodytext"/>
              <w:jc w:val="left"/>
              <w:rPr>
                <w:szCs w:val="18"/>
                <w:lang w:val="en-GB"/>
              </w:rPr>
            </w:pPr>
            <w:r w:rsidRPr="00D967D0">
              <w:rPr>
                <w:szCs w:val="18"/>
                <w:lang w:val="en-GB"/>
              </w:rPr>
              <w:t>0-1</w:t>
            </w:r>
          </w:p>
        </w:tc>
      </w:tr>
    </w:tbl>
    <w:p w14:paraId="08A9B9A4" w14:textId="3C7C3057" w:rsidR="00846EAB" w:rsidRPr="00E765FE" w:rsidRDefault="00846EAB" w:rsidP="00CF6776">
      <w:pPr>
        <w:pStyle w:val="CETBodytext"/>
        <w:jc w:val="center"/>
        <w:rPr>
          <w:sz w:val="14"/>
          <w:szCs w:val="14"/>
          <w:lang w:val="en-GB"/>
        </w:rPr>
      </w:pPr>
      <w:r w:rsidRPr="00E765FE">
        <w:rPr>
          <w:sz w:val="14"/>
          <w:szCs w:val="14"/>
          <w:lang w:val="en-GB"/>
        </w:rPr>
        <w:t xml:space="preserve">(1) </w:t>
      </w:r>
      <w:r w:rsidR="00CF6776" w:rsidRPr="00E765FE">
        <w:rPr>
          <w:sz w:val="14"/>
          <w:szCs w:val="14"/>
          <w:lang w:val="en-GB"/>
        </w:rPr>
        <w:t>Higher values ​​are given in the presence of heat-sensitive substances (see Table 2)</w:t>
      </w:r>
      <w:r w:rsidRPr="00E765FE">
        <w:rPr>
          <w:sz w:val="14"/>
          <w:szCs w:val="14"/>
          <w:lang w:val="en-GB"/>
        </w:rPr>
        <w:t>.</w:t>
      </w:r>
    </w:p>
    <w:p w14:paraId="72437F20" w14:textId="0647A57D" w:rsidR="00846EAB" w:rsidRPr="00E765FE" w:rsidRDefault="00846EAB" w:rsidP="009D7D95">
      <w:pPr>
        <w:pStyle w:val="CETBodytext"/>
        <w:jc w:val="center"/>
        <w:rPr>
          <w:sz w:val="14"/>
          <w:szCs w:val="14"/>
          <w:lang w:val="en-GB"/>
        </w:rPr>
      </w:pPr>
      <w:r w:rsidRPr="00E765FE">
        <w:rPr>
          <w:sz w:val="14"/>
          <w:szCs w:val="14"/>
          <w:lang w:val="en-GB"/>
        </w:rPr>
        <w:t xml:space="preserve">(2) </w:t>
      </w:r>
      <w:r w:rsidR="00CF6776" w:rsidRPr="00E765FE">
        <w:rPr>
          <w:sz w:val="14"/>
          <w:szCs w:val="14"/>
          <w:lang w:val="en-GB"/>
        </w:rPr>
        <w:t>Higher values ​​are given in case of insufficient specific training of workers regarding the effects of heat waves, and in case of insufficient forecasting in emergency plans.</w:t>
      </w:r>
    </w:p>
    <w:p w14:paraId="2034192F" w14:textId="05410593" w:rsidR="003D11FD" w:rsidRPr="00E765FE" w:rsidRDefault="00A544A1" w:rsidP="00D967D0">
      <w:pPr>
        <w:pStyle w:val="CETheadingx"/>
      </w:pPr>
      <w:r w:rsidRPr="00E765FE">
        <w:t>IE</w:t>
      </w:r>
      <w:r w:rsidRPr="00E765FE">
        <w:rPr>
          <w:vertAlign w:val="subscript"/>
        </w:rPr>
        <w:t xml:space="preserve">hw </w:t>
      </w:r>
      <w:r w:rsidRPr="00E765FE">
        <w:t xml:space="preserve">- Heat Waves </w:t>
      </w:r>
      <w:r w:rsidR="003D11FD" w:rsidRPr="00E765FE">
        <w:t xml:space="preserve">Exposure Index </w:t>
      </w:r>
    </w:p>
    <w:p w14:paraId="2633B076" w14:textId="31CD1F46" w:rsidR="00F73D81" w:rsidRPr="00E765FE" w:rsidRDefault="00F73D81" w:rsidP="00FF3606">
      <w:pPr>
        <w:pStyle w:val="CETBodytext"/>
        <w:rPr>
          <w:lang w:val="en-GB"/>
        </w:rPr>
      </w:pPr>
      <w:r w:rsidRPr="00E765FE">
        <w:rPr>
          <w:lang w:val="en-GB"/>
        </w:rPr>
        <w:t xml:space="preserve">For the determination of </w:t>
      </w:r>
      <w:r w:rsidR="00A544A1" w:rsidRPr="00E765FE">
        <w:rPr>
          <w:lang w:val="en-GB"/>
        </w:rPr>
        <w:t xml:space="preserve">Heat Waves Exposure Index </w:t>
      </w:r>
      <w:r w:rsidR="00A544A1" w:rsidRPr="00E765FE">
        <w:rPr>
          <w:rFonts w:cs="Arial"/>
          <w:szCs w:val="18"/>
          <w:lang w:val="en-GB"/>
        </w:rPr>
        <w:t>(</w:t>
      </w:r>
      <w:r w:rsidR="00A544A1" w:rsidRPr="00E765FE">
        <w:rPr>
          <w:lang w:val="en-GB"/>
        </w:rPr>
        <w:t>IE</w:t>
      </w:r>
      <w:r w:rsidR="00A544A1" w:rsidRPr="00E765FE">
        <w:rPr>
          <w:vertAlign w:val="subscript"/>
          <w:lang w:val="en-GB"/>
        </w:rPr>
        <w:t>hw</w:t>
      </w:r>
      <w:r w:rsidR="00A544A1" w:rsidRPr="00E765FE">
        <w:rPr>
          <w:lang w:val="en-GB"/>
        </w:rPr>
        <w:t>)</w:t>
      </w:r>
      <w:r w:rsidRPr="00E765FE">
        <w:rPr>
          <w:lang w:val="en-GB"/>
        </w:rPr>
        <w:t>, human lives, environmental damage, economic losses, and other impacts are considered. Exposure is assessed based on the type and quantity of hazardous substances, their physical state, the type of activity (process, storage, etc.), and the expected event (explosion, toxic release, fire, dispersion of toxic fumes).</w:t>
      </w:r>
      <w:r w:rsidR="00A544A1" w:rsidRPr="00E765FE">
        <w:rPr>
          <w:lang w:val="en-GB"/>
        </w:rPr>
        <w:t xml:space="preserve"> </w:t>
      </w:r>
      <w:r w:rsidRPr="00E765FE">
        <w:rPr>
          <w:lang w:val="en-GB"/>
        </w:rPr>
        <w:t xml:space="preserve">A qualitative methodology based on expert judgment is proposed, </w:t>
      </w:r>
      <w:r w:rsidRPr="00E765FE">
        <w:rPr>
          <w:lang w:val="en-GB"/>
        </w:rPr>
        <w:lastRenderedPageBreak/>
        <w:t>assigning increasing weights from 1 to 4 according to the importance of surrounding land-use classes</w:t>
      </w:r>
      <w:r w:rsidR="00A544A1" w:rsidRPr="00E765FE">
        <w:rPr>
          <w:lang w:val="en-GB"/>
        </w:rPr>
        <w:t xml:space="preserve"> (authors suggest </w:t>
      </w:r>
      <w:r w:rsidR="003826E0" w:rsidRPr="00E765FE">
        <w:rPr>
          <w:lang w:val="en-GB"/>
        </w:rPr>
        <w:t xml:space="preserve">minimum </w:t>
      </w:r>
      <w:r w:rsidR="00A544A1" w:rsidRPr="00E765FE">
        <w:rPr>
          <w:lang w:val="en-GB"/>
        </w:rPr>
        <w:t>3</w:t>
      </w:r>
      <w:r w:rsidR="003826E0" w:rsidRPr="00E765FE">
        <w:rPr>
          <w:lang w:val="en-GB"/>
        </w:rPr>
        <w:t xml:space="preserve"> </w:t>
      </w:r>
      <w:r w:rsidR="00947B7E" w:rsidRPr="00E765FE">
        <w:rPr>
          <w:lang w:val="en-GB"/>
        </w:rPr>
        <w:t xml:space="preserve">expert judgments </w:t>
      </w:r>
      <w:r w:rsidR="00947B7E">
        <w:rPr>
          <w:lang w:val="en-GB"/>
        </w:rPr>
        <w:t xml:space="preserve">and when possible, recommend </w:t>
      </w:r>
      <w:r w:rsidR="00947B7E" w:rsidRPr="00E765FE">
        <w:rPr>
          <w:lang w:val="en-GB"/>
        </w:rPr>
        <w:t>5</w:t>
      </w:r>
      <w:r w:rsidR="00947B7E">
        <w:rPr>
          <w:lang w:val="en-GB"/>
        </w:rPr>
        <w:t xml:space="preserve"> </w:t>
      </w:r>
      <w:r w:rsidR="00A544A1" w:rsidRPr="00E765FE">
        <w:rPr>
          <w:lang w:val="en-GB"/>
        </w:rPr>
        <w:t>expert judgment</w:t>
      </w:r>
      <w:r w:rsidR="003826E0" w:rsidRPr="00E765FE">
        <w:rPr>
          <w:lang w:val="en-GB"/>
        </w:rPr>
        <w:t>s</w:t>
      </w:r>
      <w:r w:rsidR="00A544A1" w:rsidRPr="00E765FE">
        <w:rPr>
          <w:lang w:val="en-GB"/>
        </w:rPr>
        <w:t>)</w:t>
      </w:r>
      <w:r w:rsidRPr="00E765FE">
        <w:rPr>
          <w:lang w:val="en-GB"/>
        </w:rPr>
        <w:t>. Higher weights are assigned to residential areas with continuous human presence, while lower weights are assigned to productive activities, prioritizing concentrated activities over extensive ones.</w:t>
      </w:r>
      <w:r w:rsidR="003826E0" w:rsidRPr="00E765FE">
        <w:rPr>
          <w:lang w:val="en-GB"/>
        </w:rPr>
        <w:t xml:space="preserve"> The authors for determining </w:t>
      </w:r>
      <w:r w:rsidR="003826E0" w:rsidRPr="00E765FE">
        <w:rPr>
          <w:rFonts w:cs="Arial"/>
          <w:szCs w:val="18"/>
          <w:lang w:val="en-GB"/>
        </w:rPr>
        <w:t>IE</w:t>
      </w:r>
      <w:r w:rsidR="003826E0" w:rsidRPr="00E765FE">
        <w:rPr>
          <w:rFonts w:cs="Arial"/>
          <w:szCs w:val="18"/>
          <w:vertAlign w:val="subscript"/>
          <w:lang w:val="en-GB"/>
        </w:rPr>
        <w:t>hw</w:t>
      </w:r>
      <w:r w:rsidR="003826E0" w:rsidRPr="00E765FE">
        <w:rPr>
          <w:lang w:val="en-GB"/>
        </w:rPr>
        <w:t xml:space="preserve"> index propose the values ​​reported in Table 1.</w:t>
      </w:r>
    </w:p>
    <w:p w14:paraId="5BC5E8B1" w14:textId="3BAD34A8" w:rsidR="005245B7" w:rsidRPr="00E765FE" w:rsidRDefault="005245B7" w:rsidP="003826E0">
      <w:pPr>
        <w:pStyle w:val="CETTabletitle"/>
        <w:jc w:val="center"/>
      </w:pPr>
      <w:r w:rsidRPr="00E765FE">
        <w:t xml:space="preserve">Table </w:t>
      </w:r>
      <w:r w:rsidR="00504B5C" w:rsidRPr="00E765FE">
        <w:t>4</w:t>
      </w:r>
      <w:r w:rsidRPr="00E765FE">
        <w:t xml:space="preserve">. </w:t>
      </w:r>
      <w:r w:rsidR="003826E0" w:rsidRPr="00E765FE">
        <w:rPr>
          <w:rFonts w:cs="Arial"/>
          <w:szCs w:val="18"/>
        </w:rPr>
        <w:t>IE</w:t>
      </w:r>
      <w:r w:rsidR="003826E0" w:rsidRPr="00E765FE">
        <w:rPr>
          <w:rFonts w:cs="Arial"/>
          <w:szCs w:val="18"/>
          <w:vertAlign w:val="subscript"/>
        </w:rPr>
        <w:t>hw</w:t>
      </w:r>
      <w:r w:rsidR="003826E0" w:rsidRPr="00E765FE">
        <w:t xml:space="preserve"> </w:t>
      </w:r>
      <w:r w:rsidRPr="00E765FE">
        <w:t xml:space="preserve">as a function of </w:t>
      </w:r>
      <w:r w:rsidR="003826E0" w:rsidRPr="00E765FE">
        <w:t>heat waves</w:t>
      </w:r>
      <w:r w:rsidRPr="00E765FE">
        <w:t>.</w:t>
      </w:r>
    </w:p>
    <w:tbl>
      <w:tblPr>
        <w:tblW w:w="8671"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223"/>
        <w:gridCol w:w="448"/>
      </w:tblGrid>
      <w:tr w:rsidR="005245B7" w:rsidRPr="00E765FE" w14:paraId="567FD603" w14:textId="77777777" w:rsidTr="001412EB">
        <w:trPr>
          <w:trHeight w:val="226"/>
          <w:jc w:val="center"/>
        </w:trPr>
        <w:tc>
          <w:tcPr>
            <w:tcW w:w="8223" w:type="dxa"/>
            <w:tcBorders>
              <w:top w:val="single" w:sz="12" w:space="0" w:color="008000"/>
              <w:left w:val="nil"/>
              <w:bottom w:val="single" w:sz="6" w:space="0" w:color="008000"/>
              <w:right w:val="nil"/>
            </w:tcBorders>
            <w:shd w:val="clear" w:color="auto" w:fill="FFFFFF"/>
            <w:hideMark/>
          </w:tcPr>
          <w:p w14:paraId="527CA78A" w14:textId="7082205B" w:rsidR="005245B7" w:rsidRPr="001412EB" w:rsidRDefault="005245B7" w:rsidP="003826E0">
            <w:pPr>
              <w:pStyle w:val="CETBodytext"/>
              <w:jc w:val="left"/>
              <w:rPr>
                <w:szCs w:val="18"/>
                <w:lang w:val="en-GB"/>
              </w:rPr>
            </w:pPr>
            <w:r w:rsidRPr="001412EB">
              <w:rPr>
                <w:szCs w:val="18"/>
                <w:lang w:val="en-GB"/>
              </w:rPr>
              <w:t xml:space="preserve"> </w:t>
            </w:r>
            <w:r w:rsidR="00BE6C4C" w:rsidRPr="001412EB">
              <w:rPr>
                <w:szCs w:val="18"/>
                <w:lang w:val="en-GB"/>
              </w:rPr>
              <w:t>Land use classes surrounding the establishment</w:t>
            </w:r>
          </w:p>
        </w:tc>
        <w:tc>
          <w:tcPr>
            <w:tcW w:w="448" w:type="dxa"/>
            <w:tcBorders>
              <w:top w:val="single" w:sz="12" w:space="0" w:color="008000"/>
              <w:left w:val="nil"/>
              <w:bottom w:val="single" w:sz="6" w:space="0" w:color="008000"/>
              <w:right w:val="nil"/>
            </w:tcBorders>
            <w:shd w:val="clear" w:color="auto" w:fill="FFFFFF"/>
            <w:hideMark/>
          </w:tcPr>
          <w:p w14:paraId="13343FCA" w14:textId="2288C04A" w:rsidR="005245B7" w:rsidRPr="001412EB" w:rsidRDefault="00BE6C4C" w:rsidP="003826E0">
            <w:pPr>
              <w:pStyle w:val="CETBodytext"/>
              <w:jc w:val="left"/>
              <w:rPr>
                <w:szCs w:val="18"/>
                <w:lang w:val="en-GB"/>
              </w:rPr>
            </w:pPr>
            <w:r w:rsidRPr="001412EB">
              <w:rPr>
                <w:rFonts w:cs="Arial"/>
                <w:szCs w:val="18"/>
                <w:lang w:val="en-GB"/>
              </w:rPr>
              <w:t>IE</w:t>
            </w:r>
            <w:r w:rsidRPr="001412EB">
              <w:rPr>
                <w:rFonts w:cs="Arial"/>
                <w:szCs w:val="18"/>
                <w:vertAlign w:val="subscript"/>
                <w:lang w:val="en-GB"/>
              </w:rPr>
              <w:t>hw</w:t>
            </w:r>
            <w:r w:rsidRPr="001412EB">
              <w:rPr>
                <w:szCs w:val="18"/>
                <w:lang w:val="en-GB"/>
              </w:rPr>
              <w:t xml:space="preserve"> </w:t>
            </w:r>
          </w:p>
        </w:tc>
      </w:tr>
      <w:tr w:rsidR="005245B7" w:rsidRPr="00E765FE" w14:paraId="6F83F714" w14:textId="77777777" w:rsidTr="001412EB">
        <w:trPr>
          <w:trHeight w:val="226"/>
          <w:jc w:val="center"/>
        </w:trPr>
        <w:tc>
          <w:tcPr>
            <w:tcW w:w="8223" w:type="dxa"/>
            <w:tcBorders>
              <w:top w:val="nil"/>
              <w:left w:val="nil"/>
              <w:bottom w:val="nil"/>
              <w:right w:val="nil"/>
            </w:tcBorders>
            <w:shd w:val="clear" w:color="auto" w:fill="FFFFFF"/>
            <w:hideMark/>
          </w:tcPr>
          <w:p w14:paraId="014222AF" w14:textId="2A9980CA" w:rsidR="005245B7" w:rsidRPr="001412EB" w:rsidRDefault="00BE6C4C" w:rsidP="003826E0">
            <w:pPr>
              <w:pStyle w:val="CETBodytext"/>
              <w:jc w:val="left"/>
              <w:rPr>
                <w:szCs w:val="18"/>
                <w:lang w:val="en-GB"/>
              </w:rPr>
            </w:pPr>
            <w:r w:rsidRPr="001412EB">
              <w:rPr>
                <w:szCs w:val="18"/>
                <w:lang w:val="en-GB"/>
              </w:rPr>
              <w:t>Credible scenarios resulting from heat waves related events affecting technical systems, with consequences confined to within the establishment</w:t>
            </w:r>
          </w:p>
        </w:tc>
        <w:tc>
          <w:tcPr>
            <w:tcW w:w="448" w:type="dxa"/>
            <w:tcBorders>
              <w:top w:val="nil"/>
              <w:left w:val="nil"/>
              <w:bottom w:val="nil"/>
              <w:right w:val="nil"/>
            </w:tcBorders>
            <w:shd w:val="clear" w:color="auto" w:fill="FFFFFF"/>
            <w:hideMark/>
          </w:tcPr>
          <w:p w14:paraId="61395523" w14:textId="77777777" w:rsidR="005245B7" w:rsidRPr="001412EB" w:rsidRDefault="005245B7" w:rsidP="003826E0">
            <w:pPr>
              <w:pStyle w:val="CETBodytext"/>
              <w:jc w:val="left"/>
              <w:rPr>
                <w:szCs w:val="18"/>
                <w:lang w:val="en-GB"/>
              </w:rPr>
            </w:pPr>
            <w:r w:rsidRPr="001412EB">
              <w:rPr>
                <w:szCs w:val="18"/>
                <w:lang w:val="en-GB"/>
              </w:rPr>
              <w:t>1</w:t>
            </w:r>
          </w:p>
        </w:tc>
      </w:tr>
      <w:tr w:rsidR="005245B7" w:rsidRPr="00E765FE" w14:paraId="7206BDB1" w14:textId="77777777" w:rsidTr="001412EB">
        <w:trPr>
          <w:trHeight w:val="226"/>
          <w:jc w:val="center"/>
        </w:trPr>
        <w:tc>
          <w:tcPr>
            <w:tcW w:w="8223" w:type="dxa"/>
            <w:tcBorders>
              <w:top w:val="nil"/>
              <w:left w:val="nil"/>
              <w:bottom w:val="nil"/>
              <w:right w:val="nil"/>
            </w:tcBorders>
            <w:shd w:val="clear" w:color="auto" w:fill="FFFFFF"/>
            <w:hideMark/>
          </w:tcPr>
          <w:p w14:paraId="34AABDFE" w14:textId="1751F75F" w:rsidR="005245B7" w:rsidRPr="001412EB" w:rsidRDefault="00BE6C4C" w:rsidP="003826E0">
            <w:pPr>
              <w:pStyle w:val="CETBodytext"/>
              <w:jc w:val="left"/>
              <w:rPr>
                <w:szCs w:val="18"/>
                <w:lang w:val="en-GB"/>
              </w:rPr>
            </w:pPr>
            <w:r w:rsidRPr="001412EB">
              <w:rPr>
                <w:szCs w:val="18"/>
                <w:lang w:val="en-GB"/>
              </w:rPr>
              <w:t>Credible scenarios resulting from heat waves related events affecting technical systems, with consequences both within and beyond the establishment, in agricultural areas (agricultural activities)</w:t>
            </w:r>
          </w:p>
        </w:tc>
        <w:tc>
          <w:tcPr>
            <w:tcW w:w="448" w:type="dxa"/>
            <w:tcBorders>
              <w:top w:val="nil"/>
              <w:left w:val="nil"/>
              <w:bottom w:val="nil"/>
              <w:right w:val="nil"/>
            </w:tcBorders>
            <w:shd w:val="clear" w:color="auto" w:fill="FFFFFF"/>
            <w:hideMark/>
          </w:tcPr>
          <w:p w14:paraId="15477957" w14:textId="77777777" w:rsidR="005245B7" w:rsidRPr="001412EB" w:rsidRDefault="005245B7" w:rsidP="003826E0">
            <w:pPr>
              <w:pStyle w:val="CETBodytext"/>
              <w:jc w:val="left"/>
              <w:rPr>
                <w:szCs w:val="18"/>
                <w:lang w:val="en-GB"/>
              </w:rPr>
            </w:pPr>
            <w:r w:rsidRPr="001412EB">
              <w:rPr>
                <w:szCs w:val="18"/>
                <w:lang w:val="en-GB"/>
              </w:rPr>
              <w:t>2</w:t>
            </w:r>
          </w:p>
        </w:tc>
      </w:tr>
      <w:tr w:rsidR="005245B7" w:rsidRPr="00E765FE" w14:paraId="0DF58D50" w14:textId="77777777" w:rsidTr="001412EB">
        <w:trPr>
          <w:trHeight w:val="226"/>
          <w:jc w:val="center"/>
        </w:trPr>
        <w:tc>
          <w:tcPr>
            <w:tcW w:w="8223" w:type="dxa"/>
            <w:tcBorders>
              <w:top w:val="nil"/>
              <w:left w:val="nil"/>
              <w:bottom w:val="nil"/>
              <w:right w:val="nil"/>
            </w:tcBorders>
            <w:shd w:val="clear" w:color="auto" w:fill="FFFFFF"/>
            <w:hideMark/>
          </w:tcPr>
          <w:p w14:paraId="07A82D42" w14:textId="3E8BB63A" w:rsidR="005245B7" w:rsidRPr="001412EB" w:rsidRDefault="00BE6C4C" w:rsidP="003826E0">
            <w:pPr>
              <w:pStyle w:val="CETBodytext"/>
              <w:jc w:val="left"/>
              <w:rPr>
                <w:szCs w:val="18"/>
                <w:lang w:val="en-GB"/>
              </w:rPr>
            </w:pPr>
            <w:r w:rsidRPr="001412EB">
              <w:rPr>
                <w:szCs w:val="18"/>
                <w:lang w:val="en-GB"/>
              </w:rPr>
              <w:t>Credible scenarios resulting from heat waves related events affecting technical systems, with consequences both within and beyond the establishment, in industrial areas</w:t>
            </w:r>
          </w:p>
        </w:tc>
        <w:tc>
          <w:tcPr>
            <w:tcW w:w="448" w:type="dxa"/>
            <w:tcBorders>
              <w:top w:val="nil"/>
              <w:left w:val="nil"/>
              <w:bottom w:val="nil"/>
              <w:right w:val="nil"/>
            </w:tcBorders>
            <w:shd w:val="clear" w:color="auto" w:fill="FFFFFF"/>
            <w:hideMark/>
          </w:tcPr>
          <w:p w14:paraId="59DCFD7D" w14:textId="77777777" w:rsidR="005245B7" w:rsidRPr="001412EB" w:rsidRDefault="005245B7" w:rsidP="003826E0">
            <w:pPr>
              <w:pStyle w:val="CETBodytext"/>
              <w:jc w:val="left"/>
              <w:rPr>
                <w:szCs w:val="18"/>
                <w:lang w:val="en-GB"/>
              </w:rPr>
            </w:pPr>
            <w:r w:rsidRPr="001412EB">
              <w:rPr>
                <w:szCs w:val="18"/>
                <w:lang w:val="en-GB"/>
              </w:rPr>
              <w:t>3</w:t>
            </w:r>
          </w:p>
        </w:tc>
      </w:tr>
      <w:tr w:rsidR="005245B7" w:rsidRPr="00E765FE" w14:paraId="0C45AB9C" w14:textId="77777777" w:rsidTr="001412EB">
        <w:trPr>
          <w:trHeight w:val="226"/>
          <w:jc w:val="center"/>
        </w:trPr>
        <w:tc>
          <w:tcPr>
            <w:tcW w:w="8223" w:type="dxa"/>
            <w:tcBorders>
              <w:top w:val="nil"/>
              <w:left w:val="nil"/>
              <w:bottom w:val="single" w:sz="12" w:space="0" w:color="008000"/>
              <w:right w:val="nil"/>
            </w:tcBorders>
            <w:shd w:val="clear" w:color="auto" w:fill="FFFFFF"/>
            <w:hideMark/>
          </w:tcPr>
          <w:p w14:paraId="203AF4EE" w14:textId="10DAAA30" w:rsidR="005245B7" w:rsidRPr="001412EB" w:rsidRDefault="0068022A" w:rsidP="003826E0">
            <w:pPr>
              <w:pStyle w:val="CETBodytext"/>
              <w:jc w:val="left"/>
              <w:rPr>
                <w:szCs w:val="18"/>
                <w:lang w:val="en-GB"/>
              </w:rPr>
            </w:pPr>
            <w:r w:rsidRPr="001412EB">
              <w:rPr>
                <w:szCs w:val="18"/>
                <w:lang w:val="en-GB"/>
              </w:rPr>
              <w:t>Credible scenarios resulting from heat waves related events affecting technical systems, with consequences outside the establishment in surrounding areas with residential buildings and/or commercial activities involving a constant human presence</w:t>
            </w:r>
          </w:p>
        </w:tc>
        <w:tc>
          <w:tcPr>
            <w:tcW w:w="448" w:type="dxa"/>
            <w:tcBorders>
              <w:top w:val="nil"/>
              <w:left w:val="nil"/>
              <w:bottom w:val="single" w:sz="12" w:space="0" w:color="008000"/>
              <w:right w:val="nil"/>
            </w:tcBorders>
            <w:shd w:val="clear" w:color="auto" w:fill="FFFFFF"/>
            <w:hideMark/>
          </w:tcPr>
          <w:p w14:paraId="10D31126" w14:textId="77777777" w:rsidR="005245B7" w:rsidRPr="001412EB" w:rsidRDefault="005245B7" w:rsidP="003826E0">
            <w:pPr>
              <w:pStyle w:val="CETBodytext"/>
              <w:jc w:val="left"/>
              <w:rPr>
                <w:szCs w:val="18"/>
                <w:lang w:val="en-GB"/>
              </w:rPr>
            </w:pPr>
            <w:r w:rsidRPr="001412EB">
              <w:rPr>
                <w:szCs w:val="18"/>
                <w:lang w:val="en-GB"/>
              </w:rPr>
              <w:t>4</w:t>
            </w:r>
          </w:p>
        </w:tc>
      </w:tr>
    </w:tbl>
    <w:p w14:paraId="62F1414E" w14:textId="76DAF3C9" w:rsidR="00D1605E" w:rsidRPr="00E765FE" w:rsidRDefault="005E051B" w:rsidP="00FF3606">
      <w:pPr>
        <w:pStyle w:val="CETHeading1"/>
        <w:jc w:val="both"/>
        <w:rPr>
          <w:lang w:val="en-GB"/>
        </w:rPr>
      </w:pPr>
      <w:r w:rsidRPr="00E765FE">
        <w:rPr>
          <w:lang w:val="en-GB"/>
        </w:rPr>
        <w:t>IR</w:t>
      </w:r>
      <w:r w:rsidRPr="00E765FE">
        <w:rPr>
          <w:vertAlign w:val="subscript"/>
          <w:lang w:val="en-GB"/>
        </w:rPr>
        <w:t>hw</w:t>
      </w:r>
      <w:r w:rsidRPr="00E765FE">
        <w:rPr>
          <w:lang w:val="en-GB"/>
        </w:rPr>
        <w:t xml:space="preserve"> - Level of </w:t>
      </w:r>
      <w:r w:rsidR="0007789D" w:rsidRPr="00E765FE">
        <w:rPr>
          <w:lang w:val="en-GB"/>
        </w:rPr>
        <w:t>NaTech</w:t>
      </w:r>
      <w:r w:rsidRPr="00E765FE">
        <w:rPr>
          <w:lang w:val="en-GB"/>
        </w:rPr>
        <w:t xml:space="preserve"> Risk triggered by </w:t>
      </w:r>
      <w:r w:rsidR="00F73D81" w:rsidRPr="00E765FE">
        <w:rPr>
          <w:lang w:val="en-GB"/>
        </w:rPr>
        <w:t>Heat</w:t>
      </w:r>
      <w:r w:rsidRPr="00E765FE">
        <w:rPr>
          <w:lang w:val="en-GB"/>
        </w:rPr>
        <w:t xml:space="preserve"> </w:t>
      </w:r>
      <w:r w:rsidR="00F73D81" w:rsidRPr="00E765FE">
        <w:rPr>
          <w:lang w:val="en-GB"/>
        </w:rPr>
        <w:t>Wave</w:t>
      </w:r>
      <w:r w:rsidRPr="00E765FE">
        <w:rPr>
          <w:lang w:val="en-GB"/>
        </w:rPr>
        <w:t>s</w:t>
      </w:r>
    </w:p>
    <w:p w14:paraId="50FCA74E" w14:textId="20BB57B8" w:rsidR="00F73D81" w:rsidRPr="00E765FE" w:rsidRDefault="00F73D81" w:rsidP="00FF3606">
      <w:pPr>
        <w:pStyle w:val="CETBodytext"/>
        <w:rPr>
          <w:lang w:val="en-GB"/>
        </w:rPr>
      </w:pPr>
      <w:r w:rsidRPr="00E765FE">
        <w:rPr>
          <w:lang w:val="en-GB"/>
        </w:rPr>
        <w:t xml:space="preserve">By applying the methodology described above, numerical values </w:t>
      </w:r>
      <w:r w:rsidR="00F441CC" w:rsidRPr="00E765FE">
        <w:rPr>
          <w:lang w:val="en-GB"/>
        </w:rPr>
        <w:t xml:space="preserve">from </w:t>
      </w:r>
      <w:r w:rsidRPr="00E765FE">
        <w:rPr>
          <w:lang w:val="en-GB"/>
        </w:rPr>
        <w:t>1 to 4 are obtained for</w:t>
      </w:r>
      <w:r w:rsidR="00F441CC" w:rsidRPr="00E765FE">
        <w:rPr>
          <w:lang w:val="en-GB"/>
        </w:rPr>
        <w:t xml:space="preserve"> </w:t>
      </w:r>
      <w:r w:rsidR="00F441CC" w:rsidRPr="00E765FE">
        <w:rPr>
          <w:rFonts w:cs="Arial"/>
          <w:szCs w:val="18"/>
          <w:lang w:val="en-GB"/>
        </w:rPr>
        <w:t>IH</w:t>
      </w:r>
      <w:r w:rsidR="00F441CC" w:rsidRPr="00E765FE">
        <w:rPr>
          <w:rFonts w:cs="Arial"/>
          <w:szCs w:val="18"/>
          <w:vertAlign w:val="subscript"/>
          <w:lang w:val="en-GB"/>
        </w:rPr>
        <w:t>hw</w:t>
      </w:r>
      <w:r w:rsidRPr="00E765FE">
        <w:rPr>
          <w:lang w:val="en-GB"/>
        </w:rPr>
        <w:t>,</w:t>
      </w:r>
      <w:r w:rsidR="00F441CC" w:rsidRPr="00E765FE">
        <w:rPr>
          <w:lang w:val="en-GB"/>
        </w:rPr>
        <w:t xml:space="preserve"> </w:t>
      </w:r>
      <w:r w:rsidR="00F441CC" w:rsidRPr="00E765FE">
        <w:rPr>
          <w:rFonts w:cs="Arial"/>
          <w:szCs w:val="18"/>
          <w:lang w:val="en-GB"/>
        </w:rPr>
        <w:t>IV</w:t>
      </w:r>
      <w:r w:rsidR="00F441CC" w:rsidRPr="00E765FE">
        <w:rPr>
          <w:rFonts w:cs="Arial"/>
          <w:szCs w:val="18"/>
          <w:vertAlign w:val="subscript"/>
          <w:lang w:val="en-GB"/>
        </w:rPr>
        <w:t>hw</w:t>
      </w:r>
      <w:r w:rsidRPr="00E765FE">
        <w:rPr>
          <w:lang w:val="en-GB"/>
        </w:rPr>
        <w:t xml:space="preserve"> and</w:t>
      </w:r>
      <w:r w:rsidR="00F441CC" w:rsidRPr="00E765FE">
        <w:rPr>
          <w:lang w:val="en-GB"/>
        </w:rPr>
        <w:t xml:space="preserve"> </w:t>
      </w:r>
      <w:r w:rsidR="00F441CC" w:rsidRPr="00E765FE">
        <w:rPr>
          <w:rFonts w:cs="Arial"/>
          <w:szCs w:val="18"/>
          <w:lang w:val="en-GB"/>
        </w:rPr>
        <w:t>IE</w:t>
      </w:r>
      <w:r w:rsidR="00F441CC" w:rsidRPr="00E765FE">
        <w:rPr>
          <w:rFonts w:cs="Arial"/>
          <w:szCs w:val="18"/>
          <w:vertAlign w:val="subscript"/>
          <w:lang w:val="en-GB"/>
        </w:rPr>
        <w:t>hw</w:t>
      </w:r>
      <w:r w:rsidRPr="00E765FE">
        <w:rPr>
          <w:lang w:val="en-GB"/>
        </w:rPr>
        <w:t xml:space="preserve">. Using Equation (2), a numerical value of </w:t>
      </w:r>
      <w:r w:rsidR="00F441CC" w:rsidRPr="00E765FE">
        <w:rPr>
          <w:lang w:val="en-GB"/>
        </w:rPr>
        <w:t xml:space="preserve">Heat Waves </w:t>
      </w:r>
      <w:r w:rsidR="0007789D" w:rsidRPr="00E765FE">
        <w:rPr>
          <w:lang w:val="en-GB"/>
        </w:rPr>
        <w:t>NaTech</w:t>
      </w:r>
      <w:r w:rsidR="00F441CC" w:rsidRPr="00E765FE">
        <w:rPr>
          <w:lang w:val="en-GB"/>
        </w:rPr>
        <w:t xml:space="preserve"> Risk Index </w:t>
      </w:r>
      <w:r w:rsidR="00F441CC" w:rsidRPr="00E765FE">
        <w:rPr>
          <w:rFonts w:cs="Arial"/>
          <w:szCs w:val="18"/>
          <w:lang w:val="en-GB"/>
        </w:rPr>
        <w:t>(</w:t>
      </w:r>
      <w:r w:rsidR="00F441CC" w:rsidRPr="00E765FE">
        <w:rPr>
          <w:lang w:val="en-GB"/>
        </w:rPr>
        <w:t>IR</w:t>
      </w:r>
      <w:r w:rsidR="00F441CC" w:rsidRPr="00E765FE">
        <w:rPr>
          <w:vertAlign w:val="subscript"/>
          <w:lang w:val="en-GB"/>
        </w:rPr>
        <w:t>hw</w:t>
      </w:r>
      <w:r w:rsidR="00F441CC" w:rsidRPr="00E765FE">
        <w:rPr>
          <w:lang w:val="en-GB"/>
        </w:rPr>
        <w:t xml:space="preserve">) </w:t>
      </w:r>
      <w:r w:rsidRPr="00E765FE">
        <w:rPr>
          <w:lang w:val="en-GB"/>
        </w:rPr>
        <w:t>can be calculated.</w:t>
      </w:r>
    </w:p>
    <w:p w14:paraId="62EBF324" w14:textId="0DB21186" w:rsidR="00F95002" w:rsidRPr="00E765FE" w:rsidRDefault="00F73D81" w:rsidP="00F95002">
      <w:pPr>
        <w:pStyle w:val="CETBodytext"/>
        <w:rPr>
          <w:lang w:val="en-GB"/>
        </w:rPr>
      </w:pPr>
      <w:r w:rsidRPr="00E765FE">
        <w:rPr>
          <w:lang w:val="en-GB"/>
        </w:rPr>
        <w:t xml:space="preserve">According to the methodology proposed </w:t>
      </w:r>
      <w:r w:rsidR="00F441CC" w:rsidRPr="00E765FE">
        <w:rPr>
          <w:lang w:val="en-GB"/>
        </w:rPr>
        <w:t xml:space="preserve">in previous </w:t>
      </w:r>
      <w:r w:rsidR="00F441CC" w:rsidRPr="007118EF">
        <w:rPr>
          <w:lang w:val="en-GB"/>
        </w:rPr>
        <w:t>paper (M</w:t>
      </w:r>
      <w:r w:rsidRPr="007118EF">
        <w:rPr>
          <w:lang w:val="en-GB"/>
        </w:rPr>
        <w:t>uratore et al.</w:t>
      </w:r>
      <w:r w:rsidR="00F441CC" w:rsidRPr="007118EF">
        <w:rPr>
          <w:lang w:val="en-GB"/>
        </w:rPr>
        <w:t xml:space="preserve">, </w:t>
      </w:r>
      <w:r w:rsidRPr="007118EF">
        <w:rPr>
          <w:lang w:val="en-GB"/>
        </w:rPr>
        <w:t>202</w:t>
      </w:r>
      <w:r w:rsidR="007118EF" w:rsidRPr="007118EF">
        <w:rPr>
          <w:lang w:val="en-GB"/>
        </w:rPr>
        <w:t>5</w:t>
      </w:r>
      <w:r w:rsidR="00F441CC" w:rsidRPr="007118EF">
        <w:rPr>
          <w:lang w:val="en-GB"/>
        </w:rPr>
        <w:t>)</w:t>
      </w:r>
      <w:r w:rsidRPr="007118EF">
        <w:rPr>
          <w:lang w:val="en-GB"/>
        </w:rPr>
        <w:t>:</w:t>
      </w:r>
    </w:p>
    <w:p w14:paraId="51FC7A9A" w14:textId="129546F0" w:rsidR="00F95002" w:rsidRPr="00E765FE" w:rsidRDefault="00F95002" w:rsidP="00F95002">
      <w:pPr>
        <w:pStyle w:val="CETBodytext"/>
        <w:ind w:left="142"/>
        <w:rPr>
          <w:lang w:val="en-GB"/>
        </w:rPr>
      </w:pPr>
      <w:r w:rsidRPr="00E765FE">
        <w:rPr>
          <w:lang w:val="en-GB"/>
        </w:rPr>
        <w:t>(</w:t>
      </w:r>
      <w:r w:rsidR="00F73D81" w:rsidRPr="00E765FE">
        <w:rPr>
          <w:lang w:val="en-GB"/>
        </w:rPr>
        <w:t>a) for</w:t>
      </w:r>
      <w:r w:rsidRPr="00E765FE">
        <w:rPr>
          <w:lang w:val="en-GB"/>
        </w:rPr>
        <w:t xml:space="preserve"> IRhw</w:t>
      </w:r>
      <w:r w:rsidR="00F73D81" w:rsidRPr="00E765FE">
        <w:rPr>
          <w:lang w:val="en-GB"/>
        </w:rPr>
        <w:t xml:space="preserve"> </w:t>
      </w:r>
      <w:r w:rsidRPr="00E765FE">
        <w:rPr>
          <w:lang w:val="en-GB"/>
        </w:rPr>
        <w:t>&gt; 32</w:t>
      </w:r>
      <w:r w:rsidR="00F73D81" w:rsidRPr="00E765FE">
        <w:rPr>
          <w:lang w:val="en-GB"/>
        </w:rPr>
        <w:t xml:space="preserve"> risk level is unacceptable and immediate corrective actions are </w:t>
      </w:r>
      <w:r w:rsidRPr="00E765FE">
        <w:rPr>
          <w:lang w:val="en-GB"/>
        </w:rPr>
        <w:t>required.</w:t>
      </w:r>
    </w:p>
    <w:p w14:paraId="3499AB23" w14:textId="77777777" w:rsidR="00F95002" w:rsidRPr="00E765FE" w:rsidRDefault="00F95002" w:rsidP="00F95002">
      <w:pPr>
        <w:pStyle w:val="CETBodytext"/>
        <w:ind w:left="142"/>
        <w:rPr>
          <w:lang w:val="en-GB"/>
        </w:rPr>
      </w:pPr>
      <w:r w:rsidRPr="00E765FE">
        <w:rPr>
          <w:lang w:val="en-GB"/>
        </w:rPr>
        <w:t>(</w:t>
      </w:r>
      <w:r w:rsidR="00F73D81" w:rsidRPr="00E765FE">
        <w:rPr>
          <w:lang w:val="en-GB"/>
        </w:rPr>
        <w:t>b) for</w:t>
      </w:r>
      <w:r w:rsidRPr="00E765FE">
        <w:rPr>
          <w:lang w:val="en-GB"/>
        </w:rPr>
        <w:t xml:space="preserve"> 12 ≤ IRhw ≤ 32</w:t>
      </w:r>
      <w:r w:rsidR="00F73D81" w:rsidRPr="00E765FE">
        <w:rPr>
          <w:lang w:val="en-GB"/>
        </w:rPr>
        <w:t>, corrective prevention, protection, and mitigation actions must be planned within</w:t>
      </w:r>
      <w:r w:rsidRPr="00E765FE">
        <w:rPr>
          <w:lang w:val="en-GB"/>
        </w:rPr>
        <w:t xml:space="preserve"> defined </w:t>
      </w:r>
    </w:p>
    <w:p w14:paraId="000F412F" w14:textId="25BEC618" w:rsidR="00F95002" w:rsidRPr="00E765FE" w:rsidRDefault="00F95002" w:rsidP="00F95002">
      <w:pPr>
        <w:pStyle w:val="CETBodytext"/>
        <w:ind w:left="426"/>
        <w:rPr>
          <w:lang w:val="en-GB"/>
        </w:rPr>
      </w:pPr>
      <w:r w:rsidRPr="00E765FE">
        <w:rPr>
          <w:lang w:val="en-GB"/>
        </w:rPr>
        <w:t>timeframes.</w:t>
      </w:r>
    </w:p>
    <w:p w14:paraId="07AB3148" w14:textId="341E8297" w:rsidR="00F73D81" w:rsidRPr="00E765FE" w:rsidRDefault="00F95002" w:rsidP="00F95002">
      <w:pPr>
        <w:pStyle w:val="CETBodytext"/>
        <w:ind w:left="426" w:hanging="284"/>
        <w:rPr>
          <w:lang w:val="en-GB"/>
        </w:rPr>
      </w:pPr>
      <w:r w:rsidRPr="00E765FE">
        <w:rPr>
          <w:lang w:val="en-GB"/>
        </w:rPr>
        <w:t>(</w:t>
      </w:r>
      <w:r w:rsidR="00F73D81" w:rsidRPr="00E765FE">
        <w:rPr>
          <w:lang w:val="en-GB"/>
        </w:rPr>
        <w:t>c) for</w:t>
      </w:r>
      <w:r w:rsidRPr="00E765FE">
        <w:rPr>
          <w:lang w:val="en-GB"/>
        </w:rPr>
        <w:t xml:space="preserve"> IRhw &lt; 12</w:t>
      </w:r>
      <w:r w:rsidR="00F73D81" w:rsidRPr="00E765FE">
        <w:rPr>
          <w:lang w:val="en-GB"/>
        </w:rPr>
        <w:t>, the risk level is considered acceptable, provided that critical systems are monitored and worker training and emergency plans for extreme temperatures are periodically updated.</w:t>
      </w:r>
    </w:p>
    <w:p w14:paraId="2B4292E8" w14:textId="323142C9" w:rsidR="00F73D81" w:rsidRPr="00E765FE" w:rsidRDefault="00F73D81" w:rsidP="00FF3606">
      <w:pPr>
        <w:pStyle w:val="CETHeading1"/>
        <w:jc w:val="both"/>
        <w:rPr>
          <w:lang w:val="en-GB"/>
        </w:rPr>
      </w:pPr>
      <w:r w:rsidRPr="00E765FE">
        <w:rPr>
          <w:lang w:val="en-GB"/>
        </w:rPr>
        <w:t>Preventive, Protective and Mitigation Actions to Reduce</w:t>
      </w:r>
      <w:r w:rsidR="005B791F" w:rsidRPr="00E765FE">
        <w:rPr>
          <w:lang w:val="en-GB"/>
        </w:rPr>
        <w:t xml:space="preserve"> IR</w:t>
      </w:r>
      <w:r w:rsidR="005B791F" w:rsidRPr="00E765FE">
        <w:rPr>
          <w:vertAlign w:val="subscript"/>
          <w:lang w:val="en-GB"/>
        </w:rPr>
        <w:t>hw</w:t>
      </w:r>
    </w:p>
    <w:p w14:paraId="559B9729" w14:textId="3F56C94B" w:rsidR="006D6AB7" w:rsidRPr="00E765FE" w:rsidRDefault="006D6AB7" w:rsidP="00FF3606">
      <w:pPr>
        <w:pStyle w:val="CETnumberingbullets"/>
        <w:numPr>
          <w:ilvl w:val="0"/>
          <w:numId w:val="0"/>
        </w:numPr>
        <w:jc w:val="both"/>
      </w:pPr>
      <w:r w:rsidRPr="00E765FE">
        <w:t>The following preventive, protective, and mitigation actions are proposed to reduce the effects of heat waves</w:t>
      </w:r>
      <w:r w:rsidR="00505D52">
        <w:t xml:space="preserve"> (Schiaroli et al.</w:t>
      </w:r>
      <w:r w:rsidR="005E0BA3">
        <w:t>, 2024</w:t>
      </w:r>
      <w:r w:rsidR="00505D52">
        <w:t>)</w:t>
      </w:r>
      <w:r w:rsidR="007118EF">
        <w:t>:</w:t>
      </w:r>
    </w:p>
    <w:p w14:paraId="4D02EA38" w14:textId="0C4F05E8" w:rsidR="006D6AB7" w:rsidRPr="00E765FE" w:rsidRDefault="005B791F" w:rsidP="005B791F">
      <w:pPr>
        <w:pStyle w:val="CETnumberingbullets"/>
        <w:numPr>
          <w:ilvl w:val="0"/>
          <w:numId w:val="0"/>
        </w:numPr>
        <w:ind w:left="284" w:hanging="284"/>
        <w:jc w:val="both"/>
      </w:pPr>
      <w:r w:rsidRPr="00E765FE">
        <w:t>(</w:t>
      </w:r>
      <w:r w:rsidR="006D6AB7" w:rsidRPr="00E765FE">
        <w:t xml:space="preserve">a) the primary preventive action consists of performing a heat-wave risk assessment </w:t>
      </w:r>
      <w:r w:rsidRPr="00E765FE">
        <w:t>to</w:t>
      </w:r>
      <w:r w:rsidR="006D6AB7" w:rsidRPr="00E765FE">
        <w:t xml:space="preserve"> identify critical technical systems, together with continuous monitoring of meteorological conditions</w:t>
      </w:r>
    </w:p>
    <w:p w14:paraId="03E03685" w14:textId="5A78DCC4" w:rsidR="006D6AB7" w:rsidRPr="00E765FE" w:rsidRDefault="005B791F" w:rsidP="005B791F">
      <w:pPr>
        <w:pStyle w:val="CETnumberingbullets"/>
        <w:numPr>
          <w:ilvl w:val="0"/>
          <w:numId w:val="0"/>
        </w:numPr>
        <w:ind w:left="284" w:hanging="284"/>
        <w:jc w:val="both"/>
      </w:pPr>
      <w:r w:rsidRPr="00E765FE">
        <w:t>(</w:t>
      </w:r>
      <w:r w:rsidR="006D6AB7" w:rsidRPr="00E765FE">
        <w:t xml:space="preserve">b) </w:t>
      </w:r>
      <w:r w:rsidRPr="00E765FE">
        <w:t>regarding</w:t>
      </w:r>
      <w:r w:rsidR="006D6AB7" w:rsidRPr="00E765FE">
        <w:t xml:space="preserve"> pressure equipment (tanks, columns, heat exchangers), units characterized by a low ratio between design pressure and operating pressure are the most critical. During the hottest periods, such equipment should, where possible, be operated at a lower operating pressure, thereby increasing the ratio between design pressure and operating pressure</w:t>
      </w:r>
    </w:p>
    <w:p w14:paraId="4B984D6E" w14:textId="54B3D821" w:rsidR="006D6AB7" w:rsidRPr="00E765FE" w:rsidRDefault="005B791F" w:rsidP="005B791F">
      <w:pPr>
        <w:pStyle w:val="CETnumberingbullets"/>
        <w:numPr>
          <w:ilvl w:val="0"/>
          <w:numId w:val="0"/>
        </w:numPr>
        <w:ind w:left="284" w:hanging="284"/>
        <w:jc w:val="both"/>
      </w:pPr>
      <w:r w:rsidRPr="00E765FE">
        <w:t>(</w:t>
      </w:r>
      <w:r w:rsidR="006D6AB7" w:rsidRPr="00E765FE">
        <w:t>c) storage tanks containing liquid substances with low boiling points should be protected against excessive increases in internal temperature by avoiding direct exposure to solar radiation, installing specific protective systems, and installing and/or activating permanent or temporary cooling systems (e.g., water spray systems)</w:t>
      </w:r>
    </w:p>
    <w:p w14:paraId="2CDF48E2" w14:textId="07ED059A" w:rsidR="006D6AB7" w:rsidRPr="00E765FE" w:rsidRDefault="00576105" w:rsidP="005B791F">
      <w:pPr>
        <w:pStyle w:val="CETnumberingbullets"/>
        <w:numPr>
          <w:ilvl w:val="0"/>
          <w:numId w:val="0"/>
        </w:numPr>
        <w:ind w:left="284" w:hanging="284"/>
        <w:jc w:val="both"/>
      </w:pPr>
      <w:r w:rsidRPr="00E765FE">
        <w:t>(</w:t>
      </w:r>
      <w:r w:rsidR="006D6AB7" w:rsidRPr="00E765FE">
        <w:t>d) the adequacy of venting systems should be verified, particularly for atmospheric tanks with cone roofs, as such tanks are especially vulnerable to these phenomena</w:t>
      </w:r>
    </w:p>
    <w:p w14:paraId="0CFBCA5D" w14:textId="35A44D99" w:rsidR="006D6AB7" w:rsidRPr="00E765FE" w:rsidRDefault="00576105" w:rsidP="005B791F">
      <w:pPr>
        <w:pStyle w:val="CETnumberingbullets"/>
        <w:numPr>
          <w:ilvl w:val="0"/>
          <w:numId w:val="0"/>
        </w:numPr>
        <w:ind w:left="284" w:hanging="284"/>
        <w:jc w:val="both"/>
      </w:pPr>
      <w:r w:rsidRPr="00E765FE">
        <w:t>(</w:t>
      </w:r>
      <w:r w:rsidR="006D6AB7" w:rsidRPr="00E765FE">
        <w:t xml:space="preserve">e) small atmospheric storage tanks have a higher surface-to-volume ratio and are therefore more vulnerable to the effects of solar radiation and increased ambient temperature. Accordingly, these tanks should </w:t>
      </w:r>
      <w:proofErr w:type="gramStart"/>
      <w:r w:rsidR="006D6AB7" w:rsidRPr="00E765FE">
        <w:t>be located in</w:t>
      </w:r>
      <w:proofErr w:type="gramEnd"/>
      <w:r w:rsidR="006D6AB7" w:rsidRPr="00E765FE">
        <w:t xml:space="preserve"> shaded areas</w:t>
      </w:r>
    </w:p>
    <w:p w14:paraId="328F1778" w14:textId="2DC15DCF" w:rsidR="006D6AB7" w:rsidRPr="00E765FE" w:rsidRDefault="00576105" w:rsidP="005B791F">
      <w:pPr>
        <w:pStyle w:val="CETnumberingbullets"/>
        <w:numPr>
          <w:ilvl w:val="0"/>
          <w:numId w:val="0"/>
        </w:numPr>
        <w:ind w:left="284" w:hanging="284"/>
        <w:jc w:val="both"/>
      </w:pPr>
      <w:r w:rsidRPr="00E765FE">
        <w:t>(</w:t>
      </w:r>
      <w:r w:rsidR="006D6AB7" w:rsidRPr="00E765FE">
        <w:t xml:space="preserve">f) </w:t>
      </w:r>
      <w:r w:rsidR="006F0BA1">
        <w:t xml:space="preserve"> </w:t>
      </w:r>
      <w:r w:rsidR="006D6AB7" w:rsidRPr="00E765FE">
        <w:t>the location of vents on atmospheric equipment used to store or process low-flammability combustible liquids should be carefully assessed. The potential release of flammable vapors from vents should also be considered for high-boiling-point combustible liquids. Indeed, under extremely high temperatures, even high-boiling-point liquids stored or processed in atmospheric equipment may exceed their flash point, generating flammable vapors that may ignite upon release</w:t>
      </w:r>
    </w:p>
    <w:p w14:paraId="36842D96" w14:textId="00E0C862" w:rsidR="006D6AB7" w:rsidRPr="00E765FE" w:rsidRDefault="00576105" w:rsidP="005B791F">
      <w:pPr>
        <w:pStyle w:val="CETnumberingbullets"/>
        <w:numPr>
          <w:ilvl w:val="0"/>
          <w:numId w:val="0"/>
        </w:numPr>
        <w:ind w:left="284" w:hanging="284"/>
        <w:jc w:val="both"/>
      </w:pPr>
      <w:r w:rsidRPr="00E765FE">
        <w:t>(</w:t>
      </w:r>
      <w:r w:rsidR="006D6AB7" w:rsidRPr="00E765FE">
        <w:t>g) the installation of specific protections against rim-seal fires should be considered for floating-roof tanks. High temperatures can increase the generation of flammable vapors in floating-roof tanks, which may escape through the gaps between the floating roof and the tank shell, thereby increasing the risk of ignition and rim-seal fires. Where not already present, the installation of dedicated gas and smoke detectors, as well as fire monitoring systems, should be considered</w:t>
      </w:r>
    </w:p>
    <w:p w14:paraId="07D5A8EA" w14:textId="1A691BC4" w:rsidR="006D6AB7" w:rsidRPr="00E765FE" w:rsidRDefault="00E765FE" w:rsidP="005B791F">
      <w:pPr>
        <w:pStyle w:val="CETnumberingbullets"/>
        <w:numPr>
          <w:ilvl w:val="0"/>
          <w:numId w:val="0"/>
        </w:numPr>
        <w:ind w:left="284" w:hanging="284"/>
        <w:jc w:val="both"/>
      </w:pPr>
      <w:r w:rsidRPr="00E765FE">
        <w:lastRenderedPageBreak/>
        <w:t>(</w:t>
      </w:r>
      <w:r w:rsidR="006D6AB7" w:rsidRPr="00E765FE">
        <w:t xml:space="preserve">h) the suitability of storage systems and process equipment used for heat-sensitive substances should be verified. Direct ignition of such materials, potentially leading to fires, has been identified as a cause of accidents triggered by heat waves. Substances classified as heat-sensitive are reported in Table </w:t>
      </w:r>
      <w:r w:rsidRPr="00E765FE">
        <w:t>2</w:t>
      </w:r>
      <w:r w:rsidR="006D6AB7" w:rsidRPr="00E765FE">
        <w:t>. Storage systems and process equipment should be appropriately designed to withstand extreme ambient temperatures during heat waves without causing spontaneous decomposition of the substances. Adequate redundancy of cooling systems should also be considered</w:t>
      </w:r>
    </w:p>
    <w:p w14:paraId="2ABDCF2F" w14:textId="77943983" w:rsidR="006D6AB7" w:rsidRPr="00E765FE" w:rsidRDefault="00E765FE" w:rsidP="005B791F">
      <w:pPr>
        <w:pStyle w:val="CETnumberingbullets"/>
        <w:numPr>
          <w:ilvl w:val="0"/>
          <w:numId w:val="0"/>
        </w:numPr>
        <w:ind w:left="284" w:hanging="284"/>
        <w:jc w:val="both"/>
      </w:pPr>
      <w:r w:rsidRPr="00E765FE">
        <w:t>(</w:t>
      </w:r>
      <w:r w:rsidR="006D6AB7" w:rsidRPr="00E765FE">
        <w:t xml:space="preserve">i) </w:t>
      </w:r>
      <w:r w:rsidR="006F0BA1">
        <w:t xml:space="preserve"> </w:t>
      </w:r>
      <w:r w:rsidR="006D6AB7" w:rsidRPr="00E765FE">
        <w:t>the adequacy of fire detection and fire suppression systems in waste storage and treatment facilities should be verified, as the waste treatment sector has proven to be particularly vulnerable to fires during heat waves</w:t>
      </w:r>
    </w:p>
    <w:p w14:paraId="4EC1FE10" w14:textId="1B0A9E24" w:rsidR="006D6AB7" w:rsidRPr="00E765FE" w:rsidRDefault="006F0BA1" w:rsidP="005B791F">
      <w:pPr>
        <w:pStyle w:val="CETnumberingbullets"/>
        <w:numPr>
          <w:ilvl w:val="0"/>
          <w:numId w:val="0"/>
        </w:numPr>
        <w:ind w:left="284" w:hanging="284"/>
        <w:jc w:val="both"/>
      </w:pPr>
      <w:r>
        <w:t>(</w:t>
      </w:r>
      <w:r w:rsidR="006D6AB7" w:rsidRPr="00E765FE">
        <w:t>l)</w:t>
      </w:r>
      <w:r>
        <w:t xml:space="preserve"> </w:t>
      </w:r>
      <w:r w:rsidR="006D6AB7" w:rsidRPr="00E765FE">
        <w:t xml:space="preserve"> the adequacy of waste composition control should be verified. Depending on the type of waste, specific tests on stability, self-decomposition, and/or self-ignition during heat waves are of particular importance. The presence of glassy materials exposed to solar radiation in solid waste piles should be avoided, as this has been identified as a cause of accidents due to the lens effect. The potential reduction in water/moisture content of waste during heat waves should also be considered, as it promotes conditions leading to material self-ignition</w:t>
      </w:r>
    </w:p>
    <w:p w14:paraId="033C8A4D" w14:textId="6E3896A7" w:rsidR="006D6AB7" w:rsidRPr="00E765FE" w:rsidRDefault="006F0BA1" w:rsidP="005B791F">
      <w:pPr>
        <w:pStyle w:val="CETnumberingbullets"/>
        <w:numPr>
          <w:ilvl w:val="0"/>
          <w:numId w:val="0"/>
        </w:numPr>
        <w:ind w:left="284" w:hanging="284"/>
        <w:jc w:val="both"/>
      </w:pPr>
      <w:r>
        <w:t>(</w:t>
      </w:r>
      <w:r w:rsidR="006D6AB7" w:rsidRPr="00E765FE">
        <w:t>m)</w:t>
      </w:r>
      <w:r w:rsidRPr="00E765FE">
        <w:t>regarding</w:t>
      </w:r>
      <w:r w:rsidR="006D6AB7" w:rsidRPr="00E765FE">
        <w:t xml:space="preserve"> personnel, specific training on heat</w:t>
      </w:r>
      <w:r>
        <w:t xml:space="preserve"> </w:t>
      </w:r>
      <w:r w:rsidR="006D6AB7" w:rsidRPr="00E765FE">
        <w:t>wave</w:t>
      </w:r>
      <w:r>
        <w:t xml:space="preserve">s </w:t>
      </w:r>
      <w:r w:rsidR="006D6AB7" w:rsidRPr="00E765FE">
        <w:t>related risks should be planned and periodically repeated. The provision of protective clothing, such as hats, sunglasses, and gloves, should be ensured, along with adequate ventilation in work environments.</w:t>
      </w:r>
    </w:p>
    <w:p w14:paraId="5B6DF52C" w14:textId="2E6B7F8F" w:rsidR="00354B59" w:rsidRPr="00E765FE" w:rsidRDefault="00354B59" w:rsidP="00FF3606">
      <w:pPr>
        <w:pStyle w:val="CETHeading1"/>
        <w:jc w:val="both"/>
        <w:rPr>
          <w:lang w:val="en-GB"/>
        </w:rPr>
      </w:pPr>
      <w:r w:rsidRPr="00E765FE">
        <w:rPr>
          <w:lang w:val="en-GB"/>
        </w:rPr>
        <w:t>Conclusions</w:t>
      </w:r>
    </w:p>
    <w:p w14:paraId="2712A65D" w14:textId="07A1307D" w:rsidR="006D6AB7" w:rsidRPr="00E765FE" w:rsidRDefault="006D6AB7" w:rsidP="00FF3606">
      <w:pPr>
        <w:pStyle w:val="CETnumberingbullets"/>
        <w:numPr>
          <w:ilvl w:val="0"/>
          <w:numId w:val="0"/>
        </w:numPr>
        <w:jc w:val="both"/>
      </w:pPr>
      <w:r w:rsidRPr="00E765FE">
        <w:t xml:space="preserve">At present, heat waves are considered natural events of lower intensity compared to hurricanes, earthquakes, floods, and similar hazards; consequently, they are often overlooked in </w:t>
      </w:r>
      <w:r w:rsidR="0007789D" w:rsidRPr="00E765FE">
        <w:t>NaTech</w:t>
      </w:r>
      <w:r w:rsidRPr="00E765FE">
        <w:t xml:space="preserve"> risk assessments.</w:t>
      </w:r>
    </w:p>
    <w:p w14:paraId="11851275" w14:textId="72CA7EBA" w:rsidR="006D6AB7" w:rsidRPr="00E765FE" w:rsidRDefault="006D6AB7" w:rsidP="00FF3606">
      <w:pPr>
        <w:pStyle w:val="CETnumberingbullets"/>
        <w:numPr>
          <w:ilvl w:val="0"/>
          <w:numId w:val="0"/>
        </w:numPr>
        <w:jc w:val="both"/>
      </w:pPr>
      <w:r w:rsidRPr="00E765FE">
        <w:t xml:space="preserve">This is mainly due to limited awareness among operators of industrial establishments. Starting from the climatological definition of heat waves, this article proposes an index-based method to determine the level of </w:t>
      </w:r>
      <w:r w:rsidR="0007789D" w:rsidRPr="00E765FE">
        <w:t>NaTech</w:t>
      </w:r>
      <w:r w:rsidRPr="00E765FE">
        <w:t xml:space="preserve"> risk</w:t>
      </w:r>
      <w:r w:rsidR="0007789D" w:rsidRPr="00E765FE">
        <w:t xml:space="preserve"> triggered by heat waves</w:t>
      </w:r>
      <w:r w:rsidRPr="00E765FE">
        <w:t xml:space="preserve">, aimed at identifying critical technical systems in major accident hazard establishments. Based on the resulting risk level, when it exceeds acceptable limits, guidance is provided to operators on the implementation of appropriate corrective preventive, protective, and mitigation measures to reduce </w:t>
      </w:r>
      <w:r w:rsidR="0007789D" w:rsidRPr="00E765FE">
        <w:t>Heat Waves NaTech Risk Index</w:t>
      </w:r>
      <w:r w:rsidRPr="00E765FE">
        <w:t xml:space="preserve"> within acceptable thresholds.</w:t>
      </w:r>
    </w:p>
    <w:p w14:paraId="3921CFB9" w14:textId="77777777" w:rsidR="006D6AB7" w:rsidRPr="00E765FE" w:rsidRDefault="006D6AB7" w:rsidP="00FF3606">
      <w:pPr>
        <w:pStyle w:val="CETnumberingbullets"/>
        <w:numPr>
          <w:ilvl w:val="0"/>
          <w:numId w:val="0"/>
        </w:numPr>
        <w:jc w:val="both"/>
      </w:pPr>
      <w:r w:rsidRPr="00E765FE">
        <w:t>Finally, although the methodology is introduced using data collected in Italy, the proposed method can be applied to any geographical area.</w:t>
      </w:r>
    </w:p>
    <w:p w14:paraId="743171A7" w14:textId="77777777" w:rsidR="008C225E" w:rsidRPr="00E765FE" w:rsidRDefault="008C225E" w:rsidP="00FF3606">
      <w:pPr>
        <w:pStyle w:val="CETReference"/>
        <w:jc w:val="both"/>
      </w:pPr>
      <w:r w:rsidRPr="00E765FE">
        <w:t>References</w:t>
      </w:r>
    </w:p>
    <w:p w14:paraId="54773FE4" w14:textId="43953E39" w:rsidR="004360FE" w:rsidRDefault="004360FE" w:rsidP="00FF3606">
      <w:pPr>
        <w:pStyle w:val="CETReferencetext"/>
      </w:pPr>
      <w:r w:rsidRPr="009E202A">
        <w:t>eNatech</w:t>
      </w:r>
      <w:r w:rsidR="007A7DF2" w:rsidRPr="009E202A">
        <w:t>, 2026</w:t>
      </w:r>
      <w:r w:rsidRPr="009E202A">
        <w:t>: Natural hazard-triggered technological accidents database, European Commission Joint Research Centre, http://enatech.jrc.ec.europa.eu/.</w:t>
      </w:r>
    </w:p>
    <w:p w14:paraId="65ADF206" w14:textId="1BDBA5E0" w:rsidR="0027245F" w:rsidRPr="007118EF" w:rsidRDefault="0027245F" w:rsidP="00FF3606">
      <w:pPr>
        <w:pStyle w:val="CETReferencetext"/>
      </w:pPr>
      <w:r w:rsidRPr="00E765FE">
        <w:t xml:space="preserve">European Union, 2012, Directive 2012/18/EU of the European Parliament and of the Council of 4 July 2012 on the control of major-accident hazards involving dangerous substances, amending and subsequently </w:t>
      </w:r>
      <w:r w:rsidRPr="007118EF">
        <w:t>repealing Council Directive 96/82/EC (SEVESO III), Official Journal of the European Union, L197, p.1-37.</w:t>
      </w:r>
    </w:p>
    <w:p w14:paraId="52694548" w14:textId="3679BD19" w:rsidR="007118EF" w:rsidRPr="007118EF" w:rsidRDefault="00C74E8C" w:rsidP="007118EF">
      <w:pPr>
        <w:pStyle w:val="CETReferencetext"/>
        <w:rPr>
          <w:highlight w:val="yellow"/>
          <w:lang w:val="en-US"/>
        </w:rPr>
      </w:pPr>
      <w:r w:rsidRPr="00C74E8C">
        <w:rPr>
          <w:lang w:val="en-US"/>
        </w:rPr>
        <w:t>Muratore</w:t>
      </w:r>
      <w:r w:rsidR="007118EF" w:rsidRPr="007118EF">
        <w:rPr>
          <w:lang w:val="en-US"/>
        </w:rPr>
        <w:t xml:space="preserve"> A., Grillone G., Bellissimo M., Giannelli G., Nastasi V., 2025, Index Method for the Assessment of Natech Risk from Storms, Chemical Engineering Transactions, 119, 439-444 DOI:10.3303/CET25119074</w:t>
      </w:r>
      <w:r w:rsidR="00182CE3">
        <w:rPr>
          <w:lang w:val="en-US"/>
        </w:rPr>
        <w:t>.</w:t>
      </w:r>
    </w:p>
    <w:p w14:paraId="68FDD595" w14:textId="65C05F30" w:rsidR="0027245F" w:rsidRPr="00A033F9" w:rsidRDefault="0027245F" w:rsidP="00FF3606">
      <w:pPr>
        <w:pStyle w:val="CETReferencetext"/>
        <w:rPr>
          <w:lang w:val="it-IT"/>
        </w:rPr>
      </w:pPr>
      <w:r w:rsidRPr="00303534">
        <w:rPr>
          <w:lang w:val="it-IT"/>
        </w:rPr>
        <w:t xml:space="preserve">Muratore A., Grillone G., Delle Site C., Giannelli G., Nastasi V., 2024, </w:t>
      </w:r>
      <w:r w:rsidR="0007789D" w:rsidRPr="00303534">
        <w:rPr>
          <w:lang w:val="it-IT"/>
        </w:rPr>
        <w:t>NaTech</w:t>
      </w:r>
      <w:r w:rsidRPr="00303534">
        <w:rPr>
          <w:lang w:val="it-IT"/>
        </w:rPr>
        <w:t xml:space="preserve"> Risk from Floods. </w:t>
      </w:r>
      <w:r w:rsidRPr="00E765FE">
        <w:t>Vulnerability of Critical Technical Systems Containing Hazardous Substances, Chemical Engineering Transactions, 111, 559-564</w:t>
      </w:r>
      <w:r w:rsidR="00BF2C7D" w:rsidRPr="00E765FE">
        <w:t>.</w:t>
      </w:r>
      <w:r w:rsidR="00BF2C7D" w:rsidRPr="00E765FE">
        <w:rPr>
          <w:szCs w:val="18"/>
        </w:rPr>
        <w:t xml:space="preserve"> </w:t>
      </w:r>
      <w:proofErr w:type="gramStart"/>
      <w:r w:rsidR="00BF2C7D" w:rsidRPr="00A033F9">
        <w:rPr>
          <w:szCs w:val="18"/>
          <w:lang w:val="it-IT"/>
        </w:rPr>
        <w:t>DOI:10.3303</w:t>
      </w:r>
      <w:proofErr w:type="gramEnd"/>
      <w:r w:rsidR="00BF2C7D" w:rsidRPr="00A033F9">
        <w:rPr>
          <w:szCs w:val="18"/>
          <w:lang w:val="it-IT"/>
        </w:rPr>
        <w:t>/CET24111094.</w:t>
      </w:r>
    </w:p>
    <w:p w14:paraId="53D78CA3" w14:textId="65DDCB3D" w:rsidR="0027245F" w:rsidRPr="00AF1452" w:rsidRDefault="0027245F" w:rsidP="00FF3606">
      <w:pPr>
        <w:pStyle w:val="CETReferencetext"/>
        <w:rPr>
          <w:lang w:val="it-IT"/>
        </w:rPr>
      </w:pPr>
      <w:r w:rsidRPr="00A033F9">
        <w:rPr>
          <w:lang w:val="it-IT"/>
        </w:rPr>
        <w:t>Report SNPA | 44 2025</w:t>
      </w:r>
      <w:r w:rsidR="00AF1452">
        <w:rPr>
          <w:lang w:val="it-IT"/>
        </w:rPr>
        <w:t>, 2025,</w:t>
      </w:r>
      <w:r w:rsidRPr="00A033F9">
        <w:rPr>
          <w:lang w:val="it-IT"/>
        </w:rPr>
        <w:t xml:space="preserve"> IL CLIMA IN ITALIA NEL 2024</w:t>
      </w:r>
      <w:r w:rsidR="001D6F68" w:rsidRPr="00A033F9">
        <w:rPr>
          <w:lang w:val="it-IT"/>
        </w:rPr>
        <w:t>.</w:t>
      </w:r>
      <w:r w:rsidRPr="00A033F9">
        <w:rPr>
          <w:lang w:val="it-IT"/>
        </w:rPr>
        <w:t xml:space="preserve"> Delibera del Consiglio SNPA n. 287/25 del 2.07.2025</w:t>
      </w:r>
      <w:r w:rsidR="00AF1452">
        <w:rPr>
          <w:lang w:val="it-IT"/>
        </w:rPr>
        <w:t>,</w:t>
      </w:r>
      <w:r w:rsidRPr="00A033F9">
        <w:rPr>
          <w:lang w:val="it-IT"/>
        </w:rPr>
        <w:t xml:space="preserve"> </w:t>
      </w:r>
      <w:r w:rsidRPr="00AF1452">
        <w:rPr>
          <w:lang w:val="it-IT"/>
        </w:rPr>
        <w:t>ISBN 978-88-448-1265-2</w:t>
      </w:r>
      <w:r w:rsidR="00AF1452" w:rsidRPr="00AF1452">
        <w:rPr>
          <w:lang w:val="it-IT"/>
        </w:rPr>
        <w:t>,</w:t>
      </w:r>
      <w:r w:rsidRPr="00AF1452">
        <w:rPr>
          <w:lang w:val="it-IT"/>
        </w:rPr>
        <w:t xml:space="preserve"> Rom</w:t>
      </w:r>
      <w:r w:rsidR="006B4D1E" w:rsidRPr="00AF1452">
        <w:rPr>
          <w:lang w:val="it-IT"/>
        </w:rPr>
        <w:t>e</w:t>
      </w:r>
      <w:r w:rsidRPr="00AF1452">
        <w:rPr>
          <w:lang w:val="it-IT"/>
        </w:rPr>
        <w:t xml:space="preserve">, </w:t>
      </w:r>
      <w:r w:rsidR="00AF1452" w:rsidRPr="00AF1452">
        <w:rPr>
          <w:lang w:val="it-IT"/>
        </w:rPr>
        <w:t>Italy</w:t>
      </w:r>
      <w:r w:rsidR="008E0616" w:rsidRPr="00AF1452">
        <w:rPr>
          <w:lang w:val="it-IT"/>
        </w:rPr>
        <w:t>.</w:t>
      </w:r>
    </w:p>
    <w:p w14:paraId="4DC5F493" w14:textId="37E117F0" w:rsidR="001A145E" w:rsidRPr="00E765FE" w:rsidRDefault="001A145E" w:rsidP="00FF3606">
      <w:pPr>
        <w:pStyle w:val="CETReferencetext"/>
      </w:pPr>
      <w:r w:rsidRPr="00E765FE">
        <w:t xml:space="preserve">Ricci F., Casson Moreno V., Cozzani V., 2020, Analysis of </w:t>
      </w:r>
      <w:r w:rsidR="0007789D" w:rsidRPr="00E765FE">
        <w:t>NaTech</w:t>
      </w:r>
      <w:r w:rsidRPr="00E765FE">
        <w:t xml:space="preserve"> Accidents Triggered by Extreme Temperatures in the Chemical and Process Industry, Chemical Engineering Transactions, 82, 79-84.</w:t>
      </w:r>
      <w:r w:rsidR="00BF2C7D" w:rsidRPr="00E765FE">
        <w:t xml:space="preserve"> </w:t>
      </w:r>
    </w:p>
    <w:p w14:paraId="40CDD36C" w14:textId="4A4AD7D1" w:rsidR="001A145E" w:rsidRDefault="001A145E" w:rsidP="00FF3606">
      <w:pPr>
        <w:pStyle w:val="CETReferencetext"/>
      </w:pPr>
      <w:r w:rsidRPr="00E765FE">
        <w:t xml:space="preserve">Ricci, F.; Casson Moreno, V.; Cozzani, V. </w:t>
      </w:r>
      <w:r w:rsidR="0007789D" w:rsidRPr="00E765FE">
        <w:t>NaTech</w:t>
      </w:r>
      <w:r w:rsidRPr="00E765FE">
        <w:t xml:space="preserve"> Accidents Triggered by Heat Waves. Safety 2023, 9, 33. https://doi.org/10.3390/ safety9020033</w:t>
      </w:r>
      <w:r w:rsidR="008E0616" w:rsidRPr="00E765FE">
        <w:t>.</w:t>
      </w:r>
    </w:p>
    <w:p w14:paraId="381900DA" w14:textId="37FE27CC" w:rsidR="007D624C" w:rsidRDefault="007D624C" w:rsidP="006C1760">
      <w:pPr>
        <w:pStyle w:val="CETReferencetext"/>
        <w:rPr>
          <w:lang w:val="en-US"/>
        </w:rPr>
      </w:pPr>
      <w:r w:rsidRPr="007D624C">
        <w:rPr>
          <w:lang w:val="en-US"/>
        </w:rPr>
        <w:t xml:space="preserve">Schiaroli A., Ricci F., </w:t>
      </w:r>
      <w:proofErr w:type="spellStart"/>
      <w:r w:rsidRPr="007D624C">
        <w:rPr>
          <w:lang w:val="en-US"/>
        </w:rPr>
        <w:t>Tzioutzios</w:t>
      </w:r>
      <w:proofErr w:type="spellEnd"/>
      <w:r w:rsidRPr="007D624C">
        <w:rPr>
          <w:lang w:val="en-US"/>
        </w:rPr>
        <w:t xml:space="preserve"> D., Paltrinieri N., Cozzani V., Ustolin F., 2024, Natech Accidents Triggered </w:t>
      </w:r>
      <w:proofErr w:type="gramStart"/>
      <w:r w:rsidRPr="007D624C">
        <w:rPr>
          <w:lang w:val="en-US"/>
        </w:rPr>
        <w:t>By</w:t>
      </w:r>
      <w:proofErr w:type="gramEnd"/>
      <w:r w:rsidRPr="007D624C">
        <w:rPr>
          <w:lang w:val="en-US"/>
        </w:rPr>
        <w:t xml:space="preserve"> Heat Waves: Performance </w:t>
      </w:r>
      <w:proofErr w:type="gramStart"/>
      <w:r w:rsidRPr="007D624C">
        <w:rPr>
          <w:lang w:val="en-US"/>
        </w:rPr>
        <w:t>Of</w:t>
      </w:r>
      <w:proofErr w:type="gramEnd"/>
      <w:r w:rsidRPr="007D624C">
        <w:rPr>
          <w:lang w:val="en-US"/>
        </w:rPr>
        <w:t xml:space="preserve"> Safety Barriers. </w:t>
      </w:r>
      <w:r w:rsidR="006C1760" w:rsidRPr="006C1760">
        <w:rPr>
          <w:lang w:val="en-US"/>
        </w:rPr>
        <w:t>Proceedings of 3</w:t>
      </w:r>
      <w:r w:rsidR="006C1760">
        <w:rPr>
          <w:lang w:val="en-US"/>
        </w:rPr>
        <w:t>4th</w:t>
      </w:r>
      <w:r w:rsidR="006C1760" w:rsidRPr="006C1760">
        <w:rPr>
          <w:lang w:val="en-US"/>
        </w:rPr>
        <w:t xml:space="preserve"> European Safety and Reliability Conference, Jagiellonian University, Cracow, Poland,</w:t>
      </w:r>
      <w:r w:rsidR="00CD1E95">
        <w:rPr>
          <w:lang w:val="en-US"/>
        </w:rPr>
        <w:t xml:space="preserve"> </w:t>
      </w:r>
      <w:r w:rsidR="00CD1E95" w:rsidRPr="00CD1E95">
        <w:rPr>
          <w:lang w:val="en-US"/>
        </w:rPr>
        <w:t>23-27 JUNE 2024</w:t>
      </w:r>
      <w:r w:rsidR="006C1760" w:rsidRPr="006C1760">
        <w:rPr>
          <w:lang w:val="en-US"/>
        </w:rPr>
        <w:t>, ESREL202</w:t>
      </w:r>
      <w:r w:rsidR="00CD1E95">
        <w:rPr>
          <w:lang w:val="en-US"/>
        </w:rPr>
        <w:t>4</w:t>
      </w:r>
      <w:r w:rsidR="006C1760" w:rsidRPr="006C1760">
        <w:rPr>
          <w:lang w:val="en-US"/>
        </w:rPr>
        <w:t xml:space="preserve">, pp. </w:t>
      </w:r>
      <w:r w:rsidR="00CD1E95">
        <w:rPr>
          <w:lang w:val="en-US"/>
        </w:rPr>
        <w:t>221</w:t>
      </w:r>
      <w:r w:rsidR="006C1760" w:rsidRPr="006C1760">
        <w:rPr>
          <w:lang w:val="en-US"/>
        </w:rPr>
        <w:t>-</w:t>
      </w:r>
      <w:r w:rsidR="00CD1E95">
        <w:rPr>
          <w:lang w:val="en-US"/>
        </w:rPr>
        <w:t>230</w:t>
      </w:r>
      <w:r w:rsidR="006C1760" w:rsidRPr="006C1760">
        <w:rPr>
          <w:lang w:val="en-US"/>
        </w:rPr>
        <w:t xml:space="preserve">, Edited </w:t>
      </w:r>
      <w:proofErr w:type="spellStart"/>
      <w:r>
        <w:rPr>
          <w:lang w:val="en-US"/>
        </w:rPr>
        <w:t>Kolowrocki</w:t>
      </w:r>
      <w:proofErr w:type="spellEnd"/>
      <w:r>
        <w:rPr>
          <w:lang w:val="en-US"/>
        </w:rPr>
        <w:t xml:space="preserve">, Dabrowska. </w:t>
      </w:r>
      <w:r w:rsidRPr="007D624C">
        <w:rPr>
          <w:lang w:val="en-US"/>
        </w:rPr>
        <w:t xml:space="preserve">ISBN 978-83-68136-13-5 (printed), ISBN 978-83-68136-00-5 (electronic) </w:t>
      </w:r>
    </w:p>
    <w:p w14:paraId="4EFD2214" w14:textId="3CC38A50" w:rsidR="00505D52" w:rsidRDefault="0027245F" w:rsidP="00FF3606">
      <w:pPr>
        <w:pStyle w:val="CETReferencetext"/>
      </w:pPr>
      <w:r w:rsidRPr="00E765FE">
        <w:t>United Nations</w:t>
      </w:r>
      <w:r w:rsidR="00AF1452">
        <w:t>, 2021,</w:t>
      </w:r>
      <w:r w:rsidRPr="00E765FE">
        <w:t xml:space="preserve"> Globally Harmonized System of Classification and Labelling of Chemicals (GHS), 9th ed.</w:t>
      </w:r>
      <w:r w:rsidR="00AF1452">
        <w:t>,</w:t>
      </w:r>
      <w:r w:rsidRPr="00E765FE">
        <w:t xml:space="preserve"> New York, NY, USA</w:t>
      </w:r>
      <w:r w:rsidR="00AF1452">
        <w:t>,</w:t>
      </w:r>
      <w:r w:rsidRPr="00E765FE">
        <w:t xml:space="preserve"> Geneva, Switzerland</w:t>
      </w:r>
      <w:r w:rsidR="008C225E" w:rsidRPr="00E765FE">
        <w:t>.</w:t>
      </w:r>
    </w:p>
    <w:sectPr w:rsidR="00505D52" w:rsidSect="009D47C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D886" w14:textId="77777777" w:rsidR="00FB5AFF" w:rsidRDefault="00FB5AFF" w:rsidP="004F5E36">
      <w:r>
        <w:separator/>
      </w:r>
    </w:p>
  </w:endnote>
  <w:endnote w:type="continuationSeparator" w:id="0">
    <w:p w14:paraId="16EFB930" w14:textId="77777777" w:rsidR="00FB5AFF" w:rsidRDefault="00FB5AF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AD42" w14:textId="77777777" w:rsidR="00FB5AFF" w:rsidRDefault="00FB5AFF" w:rsidP="004F5E36">
      <w:r>
        <w:separator/>
      </w:r>
    </w:p>
  </w:footnote>
  <w:footnote w:type="continuationSeparator" w:id="0">
    <w:p w14:paraId="329FDFCA" w14:textId="77777777" w:rsidR="00FB5AFF" w:rsidRDefault="00FB5AF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BA26D44"/>
    <w:multiLevelType w:val="hybridMultilevel"/>
    <w:tmpl w:val="D0AA812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1779F0"/>
    <w:multiLevelType w:val="hybridMultilevel"/>
    <w:tmpl w:val="2A4AA96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8359EA"/>
    <w:multiLevelType w:val="hybridMultilevel"/>
    <w:tmpl w:val="EF9E1514"/>
    <w:lvl w:ilvl="0" w:tplc="754415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693CAF"/>
    <w:multiLevelType w:val="hybridMultilevel"/>
    <w:tmpl w:val="754ED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C87392"/>
    <w:multiLevelType w:val="hybridMultilevel"/>
    <w:tmpl w:val="5B786DAC"/>
    <w:lvl w:ilvl="0" w:tplc="5C5A3D1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38217E"/>
    <w:multiLevelType w:val="multilevel"/>
    <w:tmpl w:val="0F84A09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426"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351E0394"/>
    <w:multiLevelType w:val="hybridMultilevel"/>
    <w:tmpl w:val="806658E2"/>
    <w:lvl w:ilvl="0" w:tplc="14B0F7A8">
      <w:start w:val="1"/>
      <w:numFmt w:val="bullet"/>
      <w:pStyle w:val="CETnumberingbullets"/>
      <w:lvlText w:val=""/>
      <w:lvlJc w:val="left"/>
      <w:pPr>
        <w:ind w:left="1929" w:hanging="227"/>
      </w:pPr>
      <w:rPr>
        <w:rFonts w:ascii="Symbol" w:hAnsi="Symbol" w:hint="default"/>
      </w:rPr>
    </w:lvl>
    <w:lvl w:ilvl="1" w:tplc="04100003" w:tentative="1">
      <w:start w:val="1"/>
      <w:numFmt w:val="bullet"/>
      <w:lvlText w:val="o"/>
      <w:lvlJc w:val="left"/>
      <w:pPr>
        <w:ind w:left="3029" w:hanging="360"/>
      </w:pPr>
      <w:rPr>
        <w:rFonts w:ascii="Courier New" w:hAnsi="Courier New" w:cs="Courier New" w:hint="default"/>
      </w:rPr>
    </w:lvl>
    <w:lvl w:ilvl="2" w:tplc="04100005" w:tentative="1">
      <w:start w:val="1"/>
      <w:numFmt w:val="bullet"/>
      <w:lvlText w:val=""/>
      <w:lvlJc w:val="left"/>
      <w:pPr>
        <w:ind w:left="3749" w:hanging="360"/>
      </w:pPr>
      <w:rPr>
        <w:rFonts w:ascii="Wingdings" w:hAnsi="Wingdings" w:hint="default"/>
      </w:rPr>
    </w:lvl>
    <w:lvl w:ilvl="3" w:tplc="04100001" w:tentative="1">
      <w:start w:val="1"/>
      <w:numFmt w:val="bullet"/>
      <w:lvlText w:val=""/>
      <w:lvlJc w:val="left"/>
      <w:pPr>
        <w:ind w:left="4469" w:hanging="360"/>
      </w:pPr>
      <w:rPr>
        <w:rFonts w:ascii="Symbol" w:hAnsi="Symbol" w:hint="default"/>
      </w:rPr>
    </w:lvl>
    <w:lvl w:ilvl="4" w:tplc="04100003" w:tentative="1">
      <w:start w:val="1"/>
      <w:numFmt w:val="bullet"/>
      <w:lvlText w:val="o"/>
      <w:lvlJc w:val="left"/>
      <w:pPr>
        <w:ind w:left="5189" w:hanging="360"/>
      </w:pPr>
      <w:rPr>
        <w:rFonts w:ascii="Courier New" w:hAnsi="Courier New" w:cs="Courier New" w:hint="default"/>
      </w:rPr>
    </w:lvl>
    <w:lvl w:ilvl="5" w:tplc="04100005" w:tentative="1">
      <w:start w:val="1"/>
      <w:numFmt w:val="bullet"/>
      <w:lvlText w:val=""/>
      <w:lvlJc w:val="left"/>
      <w:pPr>
        <w:ind w:left="5909" w:hanging="360"/>
      </w:pPr>
      <w:rPr>
        <w:rFonts w:ascii="Wingdings" w:hAnsi="Wingdings" w:hint="default"/>
      </w:rPr>
    </w:lvl>
    <w:lvl w:ilvl="6" w:tplc="04100001" w:tentative="1">
      <w:start w:val="1"/>
      <w:numFmt w:val="bullet"/>
      <w:lvlText w:val=""/>
      <w:lvlJc w:val="left"/>
      <w:pPr>
        <w:ind w:left="6629" w:hanging="360"/>
      </w:pPr>
      <w:rPr>
        <w:rFonts w:ascii="Symbol" w:hAnsi="Symbol" w:hint="default"/>
      </w:rPr>
    </w:lvl>
    <w:lvl w:ilvl="7" w:tplc="04100003" w:tentative="1">
      <w:start w:val="1"/>
      <w:numFmt w:val="bullet"/>
      <w:lvlText w:val="o"/>
      <w:lvlJc w:val="left"/>
      <w:pPr>
        <w:ind w:left="7349" w:hanging="360"/>
      </w:pPr>
      <w:rPr>
        <w:rFonts w:ascii="Courier New" w:hAnsi="Courier New" w:cs="Courier New" w:hint="default"/>
      </w:rPr>
    </w:lvl>
    <w:lvl w:ilvl="8" w:tplc="04100005" w:tentative="1">
      <w:start w:val="1"/>
      <w:numFmt w:val="bullet"/>
      <w:lvlText w:val=""/>
      <w:lvlJc w:val="left"/>
      <w:pPr>
        <w:ind w:left="8069" w:hanging="360"/>
      </w:pPr>
      <w:rPr>
        <w:rFonts w:ascii="Wingdings" w:hAnsi="Wingdings" w:hint="default"/>
      </w:rPr>
    </w:lvl>
  </w:abstractNum>
  <w:abstractNum w:abstractNumId="17" w15:restartNumberingAfterBreak="0">
    <w:nsid w:val="3C4B4BA4"/>
    <w:multiLevelType w:val="hybridMultilevel"/>
    <w:tmpl w:val="47969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3971E0"/>
    <w:multiLevelType w:val="hybridMultilevel"/>
    <w:tmpl w:val="6C207F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B80463"/>
    <w:multiLevelType w:val="multilevel"/>
    <w:tmpl w:val="146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BC622F"/>
    <w:multiLevelType w:val="hybridMultilevel"/>
    <w:tmpl w:val="CCEE82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6F01CA2"/>
    <w:multiLevelType w:val="hybridMultilevel"/>
    <w:tmpl w:val="33AA718A"/>
    <w:lvl w:ilvl="0" w:tplc="1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0305860">
    <w:abstractNumId w:val="15"/>
  </w:num>
  <w:num w:numId="2" w16cid:durableId="1939479859">
    <w:abstractNumId w:val="8"/>
  </w:num>
  <w:num w:numId="3" w16cid:durableId="976295760">
    <w:abstractNumId w:val="3"/>
  </w:num>
  <w:num w:numId="4" w16cid:durableId="23678545">
    <w:abstractNumId w:val="2"/>
  </w:num>
  <w:num w:numId="5" w16cid:durableId="1901554720">
    <w:abstractNumId w:val="1"/>
  </w:num>
  <w:num w:numId="6" w16cid:durableId="1979601308">
    <w:abstractNumId w:val="0"/>
  </w:num>
  <w:num w:numId="7" w16cid:durableId="1215388478">
    <w:abstractNumId w:val="9"/>
  </w:num>
  <w:num w:numId="8" w16cid:durableId="759717833">
    <w:abstractNumId w:val="7"/>
  </w:num>
  <w:num w:numId="9" w16cid:durableId="815683955">
    <w:abstractNumId w:val="6"/>
  </w:num>
  <w:num w:numId="10" w16cid:durableId="1066416165">
    <w:abstractNumId w:val="5"/>
  </w:num>
  <w:num w:numId="11" w16cid:durableId="438722583">
    <w:abstractNumId w:val="4"/>
  </w:num>
  <w:num w:numId="12" w16cid:durableId="1573659240">
    <w:abstractNumId w:val="16"/>
  </w:num>
  <w:num w:numId="13" w16cid:durableId="2092192635">
    <w:abstractNumId w:val="20"/>
  </w:num>
  <w:num w:numId="14" w16cid:durableId="1115637783">
    <w:abstractNumId w:val="21"/>
  </w:num>
  <w:num w:numId="15" w16cid:durableId="786317962">
    <w:abstractNumId w:val="22"/>
  </w:num>
  <w:num w:numId="16" w16cid:durableId="765687079">
    <w:abstractNumId w:val="18"/>
  </w:num>
  <w:num w:numId="17" w16cid:durableId="930433692">
    <w:abstractNumId w:val="11"/>
  </w:num>
  <w:num w:numId="18" w16cid:durableId="181208049">
    <w:abstractNumId w:val="10"/>
  </w:num>
  <w:num w:numId="19" w16cid:durableId="2019963037">
    <w:abstractNumId w:val="14"/>
  </w:num>
  <w:num w:numId="20" w16cid:durableId="988749198">
    <w:abstractNumId w:val="23"/>
  </w:num>
  <w:num w:numId="21" w16cid:durableId="650251155">
    <w:abstractNumId w:val="19"/>
  </w:num>
  <w:num w:numId="22" w16cid:durableId="151413276">
    <w:abstractNumId w:val="13"/>
  </w:num>
  <w:num w:numId="23" w16cid:durableId="347215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97419">
    <w:abstractNumId w:val="17"/>
  </w:num>
  <w:num w:numId="25" w16cid:durableId="47310815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9"/>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3C1E"/>
    <w:rsid w:val="0003148D"/>
    <w:rsid w:val="00031EEC"/>
    <w:rsid w:val="00032C69"/>
    <w:rsid w:val="0005110F"/>
    <w:rsid w:val="00051566"/>
    <w:rsid w:val="00062A9A"/>
    <w:rsid w:val="0006334E"/>
    <w:rsid w:val="00064FB6"/>
    <w:rsid w:val="00065058"/>
    <w:rsid w:val="00071381"/>
    <w:rsid w:val="00074C38"/>
    <w:rsid w:val="0007789D"/>
    <w:rsid w:val="0008187F"/>
    <w:rsid w:val="00083A8B"/>
    <w:rsid w:val="00086C39"/>
    <w:rsid w:val="000926D9"/>
    <w:rsid w:val="000931D1"/>
    <w:rsid w:val="00095FD3"/>
    <w:rsid w:val="000A03B2"/>
    <w:rsid w:val="000A368C"/>
    <w:rsid w:val="000B006F"/>
    <w:rsid w:val="000B63C8"/>
    <w:rsid w:val="000C3944"/>
    <w:rsid w:val="000D0268"/>
    <w:rsid w:val="000D34BE"/>
    <w:rsid w:val="000E102F"/>
    <w:rsid w:val="000E36F1"/>
    <w:rsid w:val="000E3A73"/>
    <w:rsid w:val="000E414A"/>
    <w:rsid w:val="000F093C"/>
    <w:rsid w:val="000F3AD8"/>
    <w:rsid w:val="000F787B"/>
    <w:rsid w:val="00106B28"/>
    <w:rsid w:val="0012091F"/>
    <w:rsid w:val="00123A09"/>
    <w:rsid w:val="00126BC2"/>
    <w:rsid w:val="001308B6"/>
    <w:rsid w:val="0013121F"/>
    <w:rsid w:val="00131FE6"/>
    <w:rsid w:val="001323D1"/>
    <w:rsid w:val="0013263F"/>
    <w:rsid w:val="001331DF"/>
    <w:rsid w:val="00134DE4"/>
    <w:rsid w:val="00136CA7"/>
    <w:rsid w:val="0014034D"/>
    <w:rsid w:val="001412EB"/>
    <w:rsid w:val="00142B64"/>
    <w:rsid w:val="00143E79"/>
    <w:rsid w:val="00144D16"/>
    <w:rsid w:val="0014511D"/>
    <w:rsid w:val="001466DB"/>
    <w:rsid w:val="00147FEF"/>
    <w:rsid w:val="001503AF"/>
    <w:rsid w:val="00150E2A"/>
    <w:rsid w:val="00150E59"/>
    <w:rsid w:val="001517BD"/>
    <w:rsid w:val="00152DE3"/>
    <w:rsid w:val="00153865"/>
    <w:rsid w:val="001605F9"/>
    <w:rsid w:val="001615BC"/>
    <w:rsid w:val="00164CF9"/>
    <w:rsid w:val="001667A6"/>
    <w:rsid w:val="00181524"/>
    <w:rsid w:val="00181E96"/>
    <w:rsid w:val="00182C2C"/>
    <w:rsid w:val="00182CE3"/>
    <w:rsid w:val="00184AD6"/>
    <w:rsid w:val="0018576A"/>
    <w:rsid w:val="001874B2"/>
    <w:rsid w:val="00190080"/>
    <w:rsid w:val="00191681"/>
    <w:rsid w:val="0019410E"/>
    <w:rsid w:val="001A145E"/>
    <w:rsid w:val="001A1738"/>
    <w:rsid w:val="001A4AF7"/>
    <w:rsid w:val="001B0349"/>
    <w:rsid w:val="001B1E93"/>
    <w:rsid w:val="001B65C1"/>
    <w:rsid w:val="001C0F52"/>
    <w:rsid w:val="001C334C"/>
    <w:rsid w:val="001C684B"/>
    <w:rsid w:val="001D0CFB"/>
    <w:rsid w:val="001D53FC"/>
    <w:rsid w:val="001D6F68"/>
    <w:rsid w:val="001F0047"/>
    <w:rsid w:val="001F42A5"/>
    <w:rsid w:val="001F7B9D"/>
    <w:rsid w:val="00201C93"/>
    <w:rsid w:val="00206306"/>
    <w:rsid w:val="00206BE1"/>
    <w:rsid w:val="002211E4"/>
    <w:rsid w:val="002224B4"/>
    <w:rsid w:val="00222C4E"/>
    <w:rsid w:val="00224C3C"/>
    <w:rsid w:val="00232406"/>
    <w:rsid w:val="002447EF"/>
    <w:rsid w:val="00251550"/>
    <w:rsid w:val="0025251D"/>
    <w:rsid w:val="00263B05"/>
    <w:rsid w:val="0026457E"/>
    <w:rsid w:val="00265AE9"/>
    <w:rsid w:val="0027221A"/>
    <w:rsid w:val="0027245F"/>
    <w:rsid w:val="00273A59"/>
    <w:rsid w:val="00275B61"/>
    <w:rsid w:val="00280E1F"/>
    <w:rsid w:val="00280FAF"/>
    <w:rsid w:val="00282656"/>
    <w:rsid w:val="0028274C"/>
    <w:rsid w:val="00293A8E"/>
    <w:rsid w:val="00296B83"/>
    <w:rsid w:val="002A1EF8"/>
    <w:rsid w:val="002A5923"/>
    <w:rsid w:val="002B3B9E"/>
    <w:rsid w:val="002B4015"/>
    <w:rsid w:val="002B78CE"/>
    <w:rsid w:val="002C2FB6"/>
    <w:rsid w:val="002D4B15"/>
    <w:rsid w:val="002D7B40"/>
    <w:rsid w:val="002E5FA7"/>
    <w:rsid w:val="002E62BE"/>
    <w:rsid w:val="002F3309"/>
    <w:rsid w:val="002F457C"/>
    <w:rsid w:val="002F66F0"/>
    <w:rsid w:val="003008CE"/>
    <w:rsid w:val="003009B7"/>
    <w:rsid w:val="00300E56"/>
    <w:rsid w:val="00302C85"/>
    <w:rsid w:val="00303534"/>
    <w:rsid w:val="003041B5"/>
    <w:rsid w:val="0030469C"/>
    <w:rsid w:val="00310063"/>
    <w:rsid w:val="003135C8"/>
    <w:rsid w:val="00321CA6"/>
    <w:rsid w:val="00323763"/>
    <w:rsid w:val="00323A94"/>
    <w:rsid w:val="0032585D"/>
    <w:rsid w:val="003272F4"/>
    <w:rsid w:val="00334C09"/>
    <w:rsid w:val="00343071"/>
    <w:rsid w:val="00347BAD"/>
    <w:rsid w:val="00352E0E"/>
    <w:rsid w:val="00354B59"/>
    <w:rsid w:val="0036216B"/>
    <w:rsid w:val="00365103"/>
    <w:rsid w:val="003723D4"/>
    <w:rsid w:val="00381905"/>
    <w:rsid w:val="003826E0"/>
    <w:rsid w:val="00384CC8"/>
    <w:rsid w:val="003871FD"/>
    <w:rsid w:val="003A0820"/>
    <w:rsid w:val="003A1424"/>
    <w:rsid w:val="003A1E30"/>
    <w:rsid w:val="003A2446"/>
    <w:rsid w:val="003A2829"/>
    <w:rsid w:val="003A5608"/>
    <w:rsid w:val="003A7173"/>
    <w:rsid w:val="003A7D1C"/>
    <w:rsid w:val="003B304B"/>
    <w:rsid w:val="003B3146"/>
    <w:rsid w:val="003C168C"/>
    <w:rsid w:val="003D11FD"/>
    <w:rsid w:val="003D3BF0"/>
    <w:rsid w:val="003D5721"/>
    <w:rsid w:val="003E6B64"/>
    <w:rsid w:val="003F015E"/>
    <w:rsid w:val="003F2457"/>
    <w:rsid w:val="003F60F7"/>
    <w:rsid w:val="00400414"/>
    <w:rsid w:val="004041C2"/>
    <w:rsid w:val="004121DC"/>
    <w:rsid w:val="0041446B"/>
    <w:rsid w:val="00420FF9"/>
    <w:rsid w:val="0042222B"/>
    <w:rsid w:val="004360FE"/>
    <w:rsid w:val="0044329C"/>
    <w:rsid w:val="00447201"/>
    <w:rsid w:val="00453E24"/>
    <w:rsid w:val="00456D14"/>
    <w:rsid w:val="00457456"/>
    <w:rsid w:val="004577FE"/>
    <w:rsid w:val="00457B9C"/>
    <w:rsid w:val="0046164A"/>
    <w:rsid w:val="004628D2"/>
    <w:rsid w:val="00462DCD"/>
    <w:rsid w:val="004648AD"/>
    <w:rsid w:val="004703A9"/>
    <w:rsid w:val="004760DE"/>
    <w:rsid w:val="004763D7"/>
    <w:rsid w:val="0049462F"/>
    <w:rsid w:val="00496DF0"/>
    <w:rsid w:val="004A004E"/>
    <w:rsid w:val="004A24CF"/>
    <w:rsid w:val="004A7D7F"/>
    <w:rsid w:val="004C3D1D"/>
    <w:rsid w:val="004C6F65"/>
    <w:rsid w:val="004C7913"/>
    <w:rsid w:val="004D0D15"/>
    <w:rsid w:val="004D77E8"/>
    <w:rsid w:val="004E099A"/>
    <w:rsid w:val="004E4DD6"/>
    <w:rsid w:val="004F4C4D"/>
    <w:rsid w:val="004F5E36"/>
    <w:rsid w:val="00504B5C"/>
    <w:rsid w:val="00504D4B"/>
    <w:rsid w:val="00505D52"/>
    <w:rsid w:val="00507B47"/>
    <w:rsid w:val="00507BEF"/>
    <w:rsid w:val="00507CC9"/>
    <w:rsid w:val="005119A5"/>
    <w:rsid w:val="005245B7"/>
    <w:rsid w:val="005278B7"/>
    <w:rsid w:val="00530837"/>
    <w:rsid w:val="00531B1B"/>
    <w:rsid w:val="00532016"/>
    <w:rsid w:val="005346C8"/>
    <w:rsid w:val="00535E3C"/>
    <w:rsid w:val="00537946"/>
    <w:rsid w:val="005431D9"/>
    <w:rsid w:val="00543E7D"/>
    <w:rsid w:val="00547A68"/>
    <w:rsid w:val="005531C9"/>
    <w:rsid w:val="005563E8"/>
    <w:rsid w:val="00570C43"/>
    <w:rsid w:val="00571C8A"/>
    <w:rsid w:val="0057229D"/>
    <w:rsid w:val="00576105"/>
    <w:rsid w:val="0058582C"/>
    <w:rsid w:val="005B2110"/>
    <w:rsid w:val="005B61E6"/>
    <w:rsid w:val="005B791F"/>
    <w:rsid w:val="005C77E1"/>
    <w:rsid w:val="005D3358"/>
    <w:rsid w:val="005D668A"/>
    <w:rsid w:val="005D6A2F"/>
    <w:rsid w:val="005E051B"/>
    <w:rsid w:val="005E0BA3"/>
    <w:rsid w:val="005E1A82"/>
    <w:rsid w:val="005E794C"/>
    <w:rsid w:val="005F0A28"/>
    <w:rsid w:val="005F0E5E"/>
    <w:rsid w:val="005F4661"/>
    <w:rsid w:val="00600535"/>
    <w:rsid w:val="0060069E"/>
    <w:rsid w:val="00610CD6"/>
    <w:rsid w:val="00615756"/>
    <w:rsid w:val="00620DEE"/>
    <w:rsid w:val="00621F92"/>
    <w:rsid w:val="0062280A"/>
    <w:rsid w:val="00625639"/>
    <w:rsid w:val="00631B33"/>
    <w:rsid w:val="0064184D"/>
    <w:rsid w:val="006422CC"/>
    <w:rsid w:val="00643F63"/>
    <w:rsid w:val="006454BB"/>
    <w:rsid w:val="00652B6E"/>
    <w:rsid w:val="00660E3E"/>
    <w:rsid w:val="00662E74"/>
    <w:rsid w:val="00665323"/>
    <w:rsid w:val="0066733B"/>
    <w:rsid w:val="0067422A"/>
    <w:rsid w:val="006745C7"/>
    <w:rsid w:val="0068022A"/>
    <w:rsid w:val="00680B79"/>
    <w:rsid w:val="00680C23"/>
    <w:rsid w:val="00687071"/>
    <w:rsid w:val="006909A6"/>
    <w:rsid w:val="006929E6"/>
    <w:rsid w:val="00693766"/>
    <w:rsid w:val="00697FA6"/>
    <w:rsid w:val="006A21BF"/>
    <w:rsid w:val="006A3281"/>
    <w:rsid w:val="006A7585"/>
    <w:rsid w:val="006B4888"/>
    <w:rsid w:val="006B4D1E"/>
    <w:rsid w:val="006C1760"/>
    <w:rsid w:val="006C2E45"/>
    <w:rsid w:val="006C359C"/>
    <w:rsid w:val="006C5579"/>
    <w:rsid w:val="006D6AB7"/>
    <w:rsid w:val="006D6E8B"/>
    <w:rsid w:val="006D791E"/>
    <w:rsid w:val="006E737D"/>
    <w:rsid w:val="006F0BA1"/>
    <w:rsid w:val="006F0FB2"/>
    <w:rsid w:val="006F478E"/>
    <w:rsid w:val="006F64B5"/>
    <w:rsid w:val="006F7938"/>
    <w:rsid w:val="007116DB"/>
    <w:rsid w:val="007118EF"/>
    <w:rsid w:val="00713973"/>
    <w:rsid w:val="007145B6"/>
    <w:rsid w:val="007170F3"/>
    <w:rsid w:val="00720A24"/>
    <w:rsid w:val="007277B6"/>
    <w:rsid w:val="00732386"/>
    <w:rsid w:val="007328C9"/>
    <w:rsid w:val="0073514D"/>
    <w:rsid w:val="007447F3"/>
    <w:rsid w:val="00745531"/>
    <w:rsid w:val="0075499F"/>
    <w:rsid w:val="00764DCE"/>
    <w:rsid w:val="007652E5"/>
    <w:rsid w:val="007661C8"/>
    <w:rsid w:val="00767B22"/>
    <w:rsid w:val="0077098D"/>
    <w:rsid w:val="0078259D"/>
    <w:rsid w:val="007931FA"/>
    <w:rsid w:val="007A2E72"/>
    <w:rsid w:val="007A4861"/>
    <w:rsid w:val="007A7BBA"/>
    <w:rsid w:val="007A7DF2"/>
    <w:rsid w:val="007B0C50"/>
    <w:rsid w:val="007B1572"/>
    <w:rsid w:val="007B48F9"/>
    <w:rsid w:val="007C1A43"/>
    <w:rsid w:val="007C5139"/>
    <w:rsid w:val="007D624C"/>
    <w:rsid w:val="007E77A8"/>
    <w:rsid w:val="0080013E"/>
    <w:rsid w:val="00803D2E"/>
    <w:rsid w:val="00805795"/>
    <w:rsid w:val="00813288"/>
    <w:rsid w:val="00815C8A"/>
    <w:rsid w:val="008168FC"/>
    <w:rsid w:val="00825DD9"/>
    <w:rsid w:val="00830996"/>
    <w:rsid w:val="0083104C"/>
    <w:rsid w:val="008345F1"/>
    <w:rsid w:val="00835563"/>
    <w:rsid w:val="00836BD0"/>
    <w:rsid w:val="008442EB"/>
    <w:rsid w:val="00846EAB"/>
    <w:rsid w:val="008532FD"/>
    <w:rsid w:val="00865B07"/>
    <w:rsid w:val="008667EA"/>
    <w:rsid w:val="00873AE8"/>
    <w:rsid w:val="0087637F"/>
    <w:rsid w:val="00876715"/>
    <w:rsid w:val="0088391A"/>
    <w:rsid w:val="00886C93"/>
    <w:rsid w:val="00892AD5"/>
    <w:rsid w:val="008935EA"/>
    <w:rsid w:val="00895CB8"/>
    <w:rsid w:val="008A1512"/>
    <w:rsid w:val="008A4B50"/>
    <w:rsid w:val="008A4F05"/>
    <w:rsid w:val="008A799C"/>
    <w:rsid w:val="008B2AD0"/>
    <w:rsid w:val="008C225E"/>
    <w:rsid w:val="008D0274"/>
    <w:rsid w:val="008D32B9"/>
    <w:rsid w:val="008D433B"/>
    <w:rsid w:val="008E0616"/>
    <w:rsid w:val="008E0FD5"/>
    <w:rsid w:val="008E566E"/>
    <w:rsid w:val="008F0881"/>
    <w:rsid w:val="0090046B"/>
    <w:rsid w:val="0090161A"/>
    <w:rsid w:val="00901EB6"/>
    <w:rsid w:val="00904C62"/>
    <w:rsid w:val="00904DF2"/>
    <w:rsid w:val="00905397"/>
    <w:rsid w:val="00922BA8"/>
    <w:rsid w:val="00924DAC"/>
    <w:rsid w:val="00927058"/>
    <w:rsid w:val="00942750"/>
    <w:rsid w:val="00944809"/>
    <w:rsid w:val="009450CE"/>
    <w:rsid w:val="00947179"/>
    <w:rsid w:val="00947B7E"/>
    <w:rsid w:val="0095164B"/>
    <w:rsid w:val="00951872"/>
    <w:rsid w:val="00953A20"/>
    <w:rsid w:val="00954090"/>
    <w:rsid w:val="009573E7"/>
    <w:rsid w:val="00963E05"/>
    <w:rsid w:val="00964A66"/>
    <w:rsid w:val="00967843"/>
    <w:rsid w:val="00967D54"/>
    <w:rsid w:val="00971028"/>
    <w:rsid w:val="00980BB0"/>
    <w:rsid w:val="009820DF"/>
    <w:rsid w:val="00993B84"/>
    <w:rsid w:val="00996483"/>
    <w:rsid w:val="00996F5A"/>
    <w:rsid w:val="009B041A"/>
    <w:rsid w:val="009B2EE0"/>
    <w:rsid w:val="009C37C3"/>
    <w:rsid w:val="009C7C86"/>
    <w:rsid w:val="009D2FF7"/>
    <w:rsid w:val="009D47CF"/>
    <w:rsid w:val="009D7D95"/>
    <w:rsid w:val="009E202A"/>
    <w:rsid w:val="009E7884"/>
    <w:rsid w:val="009E788A"/>
    <w:rsid w:val="009F0E08"/>
    <w:rsid w:val="00A033F9"/>
    <w:rsid w:val="00A1763D"/>
    <w:rsid w:val="00A17CEC"/>
    <w:rsid w:val="00A214E9"/>
    <w:rsid w:val="00A27EF0"/>
    <w:rsid w:val="00A31551"/>
    <w:rsid w:val="00A42361"/>
    <w:rsid w:val="00A50B20"/>
    <w:rsid w:val="00A51390"/>
    <w:rsid w:val="00A544A1"/>
    <w:rsid w:val="00A56397"/>
    <w:rsid w:val="00A60D13"/>
    <w:rsid w:val="00A70631"/>
    <w:rsid w:val="00A7106A"/>
    <w:rsid w:val="00A72745"/>
    <w:rsid w:val="00A72FE2"/>
    <w:rsid w:val="00A76EFC"/>
    <w:rsid w:val="00A87BF3"/>
    <w:rsid w:val="00A91010"/>
    <w:rsid w:val="00A929C5"/>
    <w:rsid w:val="00A93A2F"/>
    <w:rsid w:val="00A97F29"/>
    <w:rsid w:val="00AA1EA6"/>
    <w:rsid w:val="00AA702E"/>
    <w:rsid w:val="00AB0964"/>
    <w:rsid w:val="00AB33A5"/>
    <w:rsid w:val="00AB3BEC"/>
    <w:rsid w:val="00AB5011"/>
    <w:rsid w:val="00AC1B28"/>
    <w:rsid w:val="00AC7368"/>
    <w:rsid w:val="00AD16B9"/>
    <w:rsid w:val="00AE1087"/>
    <w:rsid w:val="00AE2951"/>
    <w:rsid w:val="00AE377D"/>
    <w:rsid w:val="00AF0EBA"/>
    <w:rsid w:val="00AF1452"/>
    <w:rsid w:val="00AF448B"/>
    <w:rsid w:val="00AF7AE4"/>
    <w:rsid w:val="00B02C8A"/>
    <w:rsid w:val="00B14FA5"/>
    <w:rsid w:val="00B16A87"/>
    <w:rsid w:val="00B175C3"/>
    <w:rsid w:val="00B17FBD"/>
    <w:rsid w:val="00B315A6"/>
    <w:rsid w:val="00B31813"/>
    <w:rsid w:val="00B33365"/>
    <w:rsid w:val="00B416DB"/>
    <w:rsid w:val="00B43622"/>
    <w:rsid w:val="00B45FB6"/>
    <w:rsid w:val="00B57965"/>
    <w:rsid w:val="00B57B36"/>
    <w:rsid w:val="00B57B5C"/>
    <w:rsid w:val="00B57E6F"/>
    <w:rsid w:val="00B61038"/>
    <w:rsid w:val="00B627FF"/>
    <w:rsid w:val="00B72A1C"/>
    <w:rsid w:val="00B768B6"/>
    <w:rsid w:val="00B769B3"/>
    <w:rsid w:val="00B85322"/>
    <w:rsid w:val="00B8686D"/>
    <w:rsid w:val="00B91694"/>
    <w:rsid w:val="00B93F69"/>
    <w:rsid w:val="00BA49A3"/>
    <w:rsid w:val="00BA68B7"/>
    <w:rsid w:val="00BB1DDC"/>
    <w:rsid w:val="00BB7651"/>
    <w:rsid w:val="00BB7D11"/>
    <w:rsid w:val="00BC145A"/>
    <w:rsid w:val="00BC30C9"/>
    <w:rsid w:val="00BD077D"/>
    <w:rsid w:val="00BE3E58"/>
    <w:rsid w:val="00BE6C4C"/>
    <w:rsid w:val="00BF2C7D"/>
    <w:rsid w:val="00C01616"/>
    <w:rsid w:val="00C0162B"/>
    <w:rsid w:val="00C068ED"/>
    <w:rsid w:val="00C173D8"/>
    <w:rsid w:val="00C22E0C"/>
    <w:rsid w:val="00C323A0"/>
    <w:rsid w:val="00C345B1"/>
    <w:rsid w:val="00C40142"/>
    <w:rsid w:val="00C451AE"/>
    <w:rsid w:val="00C52C3C"/>
    <w:rsid w:val="00C57182"/>
    <w:rsid w:val="00C57863"/>
    <w:rsid w:val="00C6210C"/>
    <w:rsid w:val="00C655FD"/>
    <w:rsid w:val="00C67F5C"/>
    <w:rsid w:val="00C713B8"/>
    <w:rsid w:val="00C71544"/>
    <w:rsid w:val="00C74E8C"/>
    <w:rsid w:val="00C75407"/>
    <w:rsid w:val="00C870A8"/>
    <w:rsid w:val="00C90A53"/>
    <w:rsid w:val="00C94434"/>
    <w:rsid w:val="00C974F8"/>
    <w:rsid w:val="00CA0D75"/>
    <w:rsid w:val="00CA1C95"/>
    <w:rsid w:val="00CA5A9C"/>
    <w:rsid w:val="00CC4C20"/>
    <w:rsid w:val="00CC7EF4"/>
    <w:rsid w:val="00CD14C9"/>
    <w:rsid w:val="00CD1E95"/>
    <w:rsid w:val="00CD20BC"/>
    <w:rsid w:val="00CD3517"/>
    <w:rsid w:val="00CD5FE2"/>
    <w:rsid w:val="00CE7C68"/>
    <w:rsid w:val="00CF6776"/>
    <w:rsid w:val="00D02B4C"/>
    <w:rsid w:val="00D040C4"/>
    <w:rsid w:val="00D04720"/>
    <w:rsid w:val="00D12A0A"/>
    <w:rsid w:val="00D1605E"/>
    <w:rsid w:val="00D23730"/>
    <w:rsid w:val="00D30232"/>
    <w:rsid w:val="00D320F7"/>
    <w:rsid w:val="00D42D5E"/>
    <w:rsid w:val="00D46B7E"/>
    <w:rsid w:val="00D473D9"/>
    <w:rsid w:val="00D52EDE"/>
    <w:rsid w:val="00D53EFC"/>
    <w:rsid w:val="00D57C84"/>
    <w:rsid w:val="00D6057D"/>
    <w:rsid w:val="00D6124D"/>
    <w:rsid w:val="00D649C0"/>
    <w:rsid w:val="00D704D4"/>
    <w:rsid w:val="00D81EEC"/>
    <w:rsid w:val="00D83034"/>
    <w:rsid w:val="00D836C5"/>
    <w:rsid w:val="00D84576"/>
    <w:rsid w:val="00D859D1"/>
    <w:rsid w:val="00D93387"/>
    <w:rsid w:val="00D967D0"/>
    <w:rsid w:val="00DA1399"/>
    <w:rsid w:val="00DA24C6"/>
    <w:rsid w:val="00DA4D7B"/>
    <w:rsid w:val="00DC1556"/>
    <w:rsid w:val="00DC46A0"/>
    <w:rsid w:val="00DC7F4D"/>
    <w:rsid w:val="00DD1158"/>
    <w:rsid w:val="00DE04EE"/>
    <w:rsid w:val="00DE264A"/>
    <w:rsid w:val="00DE576C"/>
    <w:rsid w:val="00DF5072"/>
    <w:rsid w:val="00E02D18"/>
    <w:rsid w:val="00E039CE"/>
    <w:rsid w:val="00E041E7"/>
    <w:rsid w:val="00E159D1"/>
    <w:rsid w:val="00E20283"/>
    <w:rsid w:val="00E23CA1"/>
    <w:rsid w:val="00E409A8"/>
    <w:rsid w:val="00E50C12"/>
    <w:rsid w:val="00E51C93"/>
    <w:rsid w:val="00E548C4"/>
    <w:rsid w:val="00E6009F"/>
    <w:rsid w:val="00E65B91"/>
    <w:rsid w:val="00E704D7"/>
    <w:rsid w:val="00E70B77"/>
    <w:rsid w:val="00E7209D"/>
    <w:rsid w:val="00E72EAD"/>
    <w:rsid w:val="00E765FE"/>
    <w:rsid w:val="00E77223"/>
    <w:rsid w:val="00E813C6"/>
    <w:rsid w:val="00E8528B"/>
    <w:rsid w:val="00E85B74"/>
    <w:rsid w:val="00E85B94"/>
    <w:rsid w:val="00E9363B"/>
    <w:rsid w:val="00E94EF3"/>
    <w:rsid w:val="00E958AC"/>
    <w:rsid w:val="00E978D0"/>
    <w:rsid w:val="00EA1997"/>
    <w:rsid w:val="00EA4613"/>
    <w:rsid w:val="00EA7F91"/>
    <w:rsid w:val="00EB1523"/>
    <w:rsid w:val="00EB2806"/>
    <w:rsid w:val="00EB3F7E"/>
    <w:rsid w:val="00EC09C0"/>
    <w:rsid w:val="00EC0E49"/>
    <w:rsid w:val="00EC101F"/>
    <w:rsid w:val="00EC1D9F"/>
    <w:rsid w:val="00EC6760"/>
    <w:rsid w:val="00EE0131"/>
    <w:rsid w:val="00EE17B0"/>
    <w:rsid w:val="00EE5B2D"/>
    <w:rsid w:val="00EF06D9"/>
    <w:rsid w:val="00F12A80"/>
    <w:rsid w:val="00F2370D"/>
    <w:rsid w:val="00F30C64"/>
    <w:rsid w:val="00F32A6D"/>
    <w:rsid w:val="00F32BA2"/>
    <w:rsid w:val="00F32CDB"/>
    <w:rsid w:val="00F441CC"/>
    <w:rsid w:val="00F553E8"/>
    <w:rsid w:val="00F565FE"/>
    <w:rsid w:val="00F6024A"/>
    <w:rsid w:val="00F61D5A"/>
    <w:rsid w:val="00F63A70"/>
    <w:rsid w:val="00F67E1E"/>
    <w:rsid w:val="00F71B42"/>
    <w:rsid w:val="00F73D81"/>
    <w:rsid w:val="00F74418"/>
    <w:rsid w:val="00F75222"/>
    <w:rsid w:val="00F7534E"/>
    <w:rsid w:val="00F77F49"/>
    <w:rsid w:val="00F80B3D"/>
    <w:rsid w:val="00F8664A"/>
    <w:rsid w:val="00F87375"/>
    <w:rsid w:val="00F95002"/>
    <w:rsid w:val="00FA21D0"/>
    <w:rsid w:val="00FA2ED7"/>
    <w:rsid w:val="00FA5F5F"/>
    <w:rsid w:val="00FA641D"/>
    <w:rsid w:val="00FB5AFF"/>
    <w:rsid w:val="00FB730C"/>
    <w:rsid w:val="00FC2695"/>
    <w:rsid w:val="00FC3E03"/>
    <w:rsid w:val="00FC3FC1"/>
    <w:rsid w:val="00FC4F82"/>
    <w:rsid w:val="00FC7757"/>
    <w:rsid w:val="00FE5A8C"/>
    <w:rsid w:val="00FF07C7"/>
    <w:rsid w:val="00FF24B5"/>
    <w:rsid w:val="00FF3606"/>
    <w:rsid w:val="00FF6058"/>
    <w:rsid w:val="00FF748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DE5B9DFA-7F9F-497B-A0F7-CB1436F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C713B8"/>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967D0"/>
    <w:pPr>
      <w:keepNext/>
      <w:numPr>
        <w:ilvl w:val="2"/>
        <w:numId w:val="1"/>
      </w:numPr>
      <w:suppressAutoHyphens/>
      <w:spacing w:before="120" w:after="120" w:line="240" w:lineRule="auto"/>
      <w:ind w:left="0"/>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967D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2"/>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3"/>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4"/>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styleId="Menzionenonrisolta">
    <w:name w:val="Unresolved Mention"/>
    <w:basedOn w:val="Carpredefinitoparagrafo"/>
    <w:uiPriority w:val="99"/>
    <w:semiHidden/>
    <w:unhideWhenUsed/>
    <w:rsid w:val="0027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0F71-191D-47BC-A8C1-3D0E845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6</Pages>
  <Words>3709</Words>
  <Characters>21144</Characters>
  <Application>Microsoft Office Word</Application>
  <DocSecurity>0</DocSecurity>
  <Lines>176</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Muratore Antonino</cp:lastModifiedBy>
  <cp:revision>92</cp:revision>
  <cp:lastPrinted>2015-05-12T18:31:00Z</cp:lastPrinted>
  <dcterms:created xsi:type="dcterms:W3CDTF">2024-04-08T17:58:00Z</dcterms:created>
  <dcterms:modified xsi:type="dcterms:W3CDTF">2026-02-21T17:59:00Z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