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DD09A4"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DD09A4" w:rsidRDefault="000A03B2" w:rsidP="00DE264A">
            <w:pPr>
              <w:tabs>
                <w:tab w:val="left" w:pos="-108"/>
              </w:tabs>
              <w:ind w:left="-108"/>
              <w:jc w:val="left"/>
              <w:rPr>
                <w:rFonts w:cs="Arial"/>
                <w:b/>
                <w:bCs/>
                <w:i/>
                <w:iCs/>
                <w:color w:val="000066"/>
                <w:sz w:val="12"/>
                <w:szCs w:val="12"/>
                <w:lang w:eastAsia="it-IT"/>
              </w:rPr>
            </w:pPr>
            <w:bookmarkStart w:id="0" w:name="_Hlk220073777"/>
            <w:bookmarkStart w:id="1" w:name="_Hlk145068772"/>
            <w:bookmarkEnd w:id="0"/>
            <w:r w:rsidRPr="00DD09A4">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DD09A4">
              <w:rPr>
                <w:rFonts w:ascii="AdvP6960" w:hAnsi="AdvP6960" w:cs="AdvP6960"/>
                <w:color w:val="241F20"/>
                <w:szCs w:val="18"/>
                <w:lang w:eastAsia="it-IT"/>
              </w:rPr>
              <w:t xml:space="preserve"> </w:t>
            </w:r>
            <w:r w:rsidRPr="00DD09A4">
              <w:rPr>
                <w:rFonts w:cs="Arial"/>
                <w:b/>
                <w:bCs/>
                <w:i/>
                <w:iCs/>
                <w:color w:val="000066"/>
                <w:sz w:val="24"/>
                <w:szCs w:val="24"/>
                <w:lang w:eastAsia="it-IT"/>
              </w:rPr>
              <w:t>CHEMICAL ENGINEERING</w:t>
            </w:r>
            <w:r w:rsidRPr="00DD09A4">
              <w:rPr>
                <w:rFonts w:cs="Arial"/>
                <w:b/>
                <w:bCs/>
                <w:i/>
                <w:iCs/>
                <w:color w:val="0033FF"/>
                <w:sz w:val="24"/>
                <w:szCs w:val="24"/>
                <w:lang w:eastAsia="it-IT"/>
              </w:rPr>
              <w:t xml:space="preserve"> </w:t>
            </w:r>
            <w:r w:rsidRPr="00DD09A4">
              <w:rPr>
                <w:rFonts w:cs="Arial"/>
                <w:b/>
                <w:bCs/>
                <w:i/>
                <w:iCs/>
                <w:color w:val="666666"/>
                <w:sz w:val="24"/>
                <w:szCs w:val="24"/>
                <w:lang w:eastAsia="it-IT"/>
              </w:rPr>
              <w:t>TRANSACTIONS</w:t>
            </w:r>
            <w:r w:rsidRPr="00DD09A4">
              <w:rPr>
                <w:color w:val="333333"/>
                <w:sz w:val="24"/>
                <w:szCs w:val="24"/>
                <w:lang w:eastAsia="it-IT"/>
              </w:rPr>
              <w:t xml:space="preserve"> </w:t>
            </w:r>
            <w:r w:rsidRPr="00DD09A4">
              <w:rPr>
                <w:rFonts w:cs="Arial"/>
                <w:b/>
                <w:bCs/>
                <w:i/>
                <w:iCs/>
                <w:color w:val="000066"/>
                <w:sz w:val="27"/>
                <w:szCs w:val="27"/>
                <w:lang w:eastAsia="it-IT"/>
              </w:rPr>
              <w:br/>
            </w:r>
          </w:p>
          <w:p w14:paraId="4B780582" w14:textId="753620B8" w:rsidR="000A03B2" w:rsidRPr="00DD09A4" w:rsidRDefault="00A76EFC" w:rsidP="001D21AF">
            <w:pPr>
              <w:tabs>
                <w:tab w:val="left" w:pos="-108"/>
              </w:tabs>
              <w:ind w:left="-108"/>
              <w:rPr>
                <w:rFonts w:cs="Arial"/>
                <w:b/>
                <w:bCs/>
                <w:i/>
                <w:iCs/>
                <w:color w:val="000066"/>
                <w:sz w:val="22"/>
                <w:szCs w:val="22"/>
                <w:lang w:eastAsia="it-IT"/>
              </w:rPr>
            </w:pPr>
            <w:r w:rsidRPr="00DD09A4">
              <w:rPr>
                <w:rFonts w:cs="Arial"/>
                <w:b/>
                <w:bCs/>
                <w:i/>
                <w:iCs/>
                <w:color w:val="000066"/>
                <w:sz w:val="22"/>
                <w:szCs w:val="22"/>
                <w:lang w:eastAsia="it-IT"/>
              </w:rPr>
              <w:t>VOL.</w:t>
            </w:r>
            <w:r w:rsidR="00785BF9" w:rsidRPr="00DD09A4">
              <w:rPr>
                <w:rFonts w:cs="Arial"/>
                <w:b/>
                <w:bCs/>
                <w:i/>
                <w:iCs/>
                <w:color w:val="000066"/>
                <w:sz w:val="22"/>
                <w:szCs w:val="22"/>
                <w:lang w:eastAsia="it-IT"/>
              </w:rPr>
              <w:t xml:space="preserve"> </w:t>
            </w:r>
            <w:r w:rsidR="00AD0278" w:rsidRPr="00DD09A4">
              <w:rPr>
                <w:rFonts w:cs="Arial"/>
                <w:b/>
                <w:bCs/>
                <w:i/>
                <w:iCs/>
                <w:color w:val="000066"/>
                <w:sz w:val="22"/>
                <w:szCs w:val="22"/>
                <w:lang w:eastAsia="it-IT"/>
              </w:rPr>
              <w:t>xxx</w:t>
            </w:r>
            <w:r w:rsidR="007B48F9" w:rsidRPr="00DD09A4">
              <w:rPr>
                <w:rFonts w:cs="Arial"/>
                <w:b/>
                <w:bCs/>
                <w:i/>
                <w:iCs/>
                <w:color w:val="000066"/>
                <w:sz w:val="22"/>
                <w:szCs w:val="22"/>
                <w:lang w:eastAsia="it-IT"/>
              </w:rPr>
              <w:t>,</w:t>
            </w:r>
            <w:r w:rsidR="00FA5F5F" w:rsidRPr="00DD09A4">
              <w:rPr>
                <w:rFonts w:cs="Arial"/>
                <w:b/>
                <w:bCs/>
                <w:i/>
                <w:iCs/>
                <w:color w:val="000066"/>
                <w:sz w:val="22"/>
                <w:szCs w:val="22"/>
                <w:lang w:eastAsia="it-IT"/>
              </w:rPr>
              <w:t xml:space="preserve"> </w:t>
            </w:r>
            <w:r w:rsidR="0030152C" w:rsidRPr="00DD09A4">
              <w:rPr>
                <w:rFonts w:cs="Arial"/>
                <w:b/>
                <w:bCs/>
                <w:i/>
                <w:iCs/>
                <w:color w:val="000066"/>
                <w:sz w:val="22"/>
                <w:szCs w:val="22"/>
                <w:lang w:eastAsia="it-IT"/>
              </w:rPr>
              <w:t>202</w:t>
            </w:r>
            <w:r w:rsidR="00AD0278" w:rsidRPr="00DD09A4">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DD09A4" w:rsidRDefault="000A03B2" w:rsidP="00CD5FE2">
            <w:pPr>
              <w:spacing w:line="140" w:lineRule="atLeast"/>
              <w:jc w:val="right"/>
              <w:rPr>
                <w:rFonts w:cs="Arial"/>
                <w:sz w:val="14"/>
                <w:szCs w:val="14"/>
              </w:rPr>
            </w:pPr>
            <w:r w:rsidRPr="00DD09A4">
              <w:rPr>
                <w:rFonts w:cs="Arial"/>
                <w:sz w:val="14"/>
                <w:szCs w:val="14"/>
              </w:rPr>
              <w:t>A publication of</w:t>
            </w:r>
          </w:p>
          <w:p w14:paraId="599E5441" w14:textId="77777777" w:rsidR="000A03B2" w:rsidRPr="00DD09A4" w:rsidRDefault="000A03B2" w:rsidP="00CD5FE2">
            <w:pPr>
              <w:jc w:val="right"/>
            </w:pPr>
            <w:r w:rsidRPr="00DD09A4">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DD09A4" w14:paraId="380FA3CD" w14:textId="77777777" w:rsidTr="00DE264A">
        <w:trPr>
          <w:trHeight w:val="567"/>
          <w:jc w:val="center"/>
        </w:trPr>
        <w:tc>
          <w:tcPr>
            <w:tcW w:w="6946" w:type="dxa"/>
            <w:vMerge/>
            <w:tcBorders>
              <w:right w:val="single" w:sz="4" w:space="0" w:color="auto"/>
            </w:tcBorders>
          </w:tcPr>
          <w:p w14:paraId="39E5E4C1" w14:textId="77777777" w:rsidR="000A03B2" w:rsidRPr="00DD09A4"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DD09A4" w:rsidRDefault="000A03B2" w:rsidP="00CD5FE2">
            <w:pPr>
              <w:spacing w:line="140" w:lineRule="atLeast"/>
              <w:jc w:val="right"/>
              <w:rPr>
                <w:rFonts w:cs="Arial"/>
                <w:sz w:val="14"/>
                <w:szCs w:val="14"/>
              </w:rPr>
            </w:pPr>
            <w:r w:rsidRPr="00DD09A4">
              <w:rPr>
                <w:rFonts w:cs="Arial"/>
                <w:sz w:val="14"/>
                <w:szCs w:val="14"/>
              </w:rPr>
              <w:t>The Italian Association</w:t>
            </w:r>
          </w:p>
          <w:p w14:paraId="7522B1D2" w14:textId="77777777" w:rsidR="000A03B2" w:rsidRPr="00DD09A4" w:rsidRDefault="000A03B2" w:rsidP="00CD5FE2">
            <w:pPr>
              <w:spacing w:line="140" w:lineRule="atLeast"/>
              <w:jc w:val="right"/>
              <w:rPr>
                <w:rFonts w:cs="Arial"/>
                <w:sz w:val="14"/>
                <w:szCs w:val="14"/>
              </w:rPr>
            </w:pPr>
            <w:r w:rsidRPr="00DD09A4">
              <w:rPr>
                <w:rFonts w:cs="Arial"/>
                <w:sz w:val="14"/>
                <w:szCs w:val="14"/>
              </w:rPr>
              <w:t>of Chemical Engineering</w:t>
            </w:r>
          </w:p>
          <w:p w14:paraId="4F0CC5DE" w14:textId="47FDB2FC" w:rsidR="000A03B2" w:rsidRPr="00DD09A4" w:rsidRDefault="000D0268" w:rsidP="00CD5FE2">
            <w:pPr>
              <w:spacing w:line="140" w:lineRule="atLeast"/>
              <w:jc w:val="right"/>
              <w:rPr>
                <w:rFonts w:cs="Arial"/>
                <w:sz w:val="13"/>
                <w:szCs w:val="13"/>
              </w:rPr>
            </w:pPr>
            <w:r w:rsidRPr="00DD09A4">
              <w:rPr>
                <w:rFonts w:cs="Arial"/>
                <w:sz w:val="13"/>
                <w:szCs w:val="13"/>
              </w:rPr>
              <w:t>Online at www.cetjournal.it</w:t>
            </w:r>
          </w:p>
        </w:tc>
      </w:tr>
      <w:tr w:rsidR="000A03B2" w:rsidRPr="00DD09A4" w14:paraId="2D1B7169" w14:textId="77777777" w:rsidTr="00DE264A">
        <w:trPr>
          <w:trHeight w:val="68"/>
          <w:jc w:val="center"/>
        </w:trPr>
        <w:tc>
          <w:tcPr>
            <w:tcW w:w="8789" w:type="dxa"/>
            <w:gridSpan w:val="2"/>
          </w:tcPr>
          <w:p w14:paraId="1D8DD3C9" w14:textId="775EC904" w:rsidR="00AA7D26" w:rsidRPr="00766DB1" w:rsidRDefault="004A5E57" w:rsidP="007A6DF8">
            <w:pPr>
              <w:ind w:left="-107"/>
              <w:outlineLvl w:val="2"/>
              <w:rPr>
                <w:rFonts w:ascii="Tahoma" w:hAnsi="Tahoma" w:cs="Tahoma"/>
                <w:color w:val="000000"/>
                <w:sz w:val="14"/>
                <w:szCs w:val="14"/>
                <w:shd w:val="clear" w:color="auto" w:fill="FFFFFF"/>
                <w:lang w:val="it-IT"/>
              </w:rPr>
            </w:pPr>
            <w:r w:rsidRPr="00766DB1">
              <w:rPr>
                <w:rFonts w:ascii="Tahoma" w:hAnsi="Tahoma" w:cs="Tahoma"/>
                <w:iCs/>
                <w:color w:val="333333"/>
                <w:sz w:val="14"/>
                <w:szCs w:val="14"/>
                <w:lang w:val="it-IT" w:eastAsia="it-IT"/>
              </w:rPr>
              <w:t xml:space="preserve">Guest </w:t>
            </w:r>
            <w:proofErr w:type="spellStart"/>
            <w:r w:rsidRPr="00766DB1">
              <w:rPr>
                <w:rFonts w:ascii="Tahoma" w:hAnsi="Tahoma" w:cs="Tahoma"/>
                <w:iCs/>
                <w:color w:val="333333"/>
                <w:sz w:val="14"/>
                <w:szCs w:val="14"/>
                <w:lang w:val="it-IT" w:eastAsia="it-IT"/>
              </w:rPr>
              <w:t>Editors</w:t>
            </w:r>
            <w:proofErr w:type="spellEnd"/>
            <w:r w:rsidRPr="00766DB1">
              <w:rPr>
                <w:rFonts w:ascii="Tahoma" w:hAnsi="Tahoma" w:cs="Tahoma"/>
                <w:iCs/>
                <w:color w:val="333333"/>
                <w:sz w:val="14"/>
                <w:szCs w:val="14"/>
                <w:lang w:val="it-IT" w:eastAsia="it-IT"/>
              </w:rPr>
              <w:t>:</w:t>
            </w:r>
            <w:r w:rsidRPr="00766DB1">
              <w:rPr>
                <w:rFonts w:ascii="Tahoma" w:hAnsi="Tahoma" w:cs="Tahoma"/>
                <w:color w:val="000000"/>
                <w:sz w:val="14"/>
                <w:szCs w:val="14"/>
                <w:shd w:val="clear" w:color="auto" w:fill="FFFFFF"/>
                <w:lang w:val="it-IT"/>
              </w:rPr>
              <w:t xml:space="preserve"> </w:t>
            </w:r>
            <w:r w:rsidR="007A6DF8" w:rsidRPr="00766DB1">
              <w:rPr>
                <w:rFonts w:ascii="Tahoma" w:hAnsi="Tahoma" w:cs="Tahoma"/>
                <w:color w:val="000000"/>
                <w:sz w:val="14"/>
                <w:szCs w:val="14"/>
                <w:shd w:val="clear" w:color="auto" w:fill="FFFFFF"/>
                <w:lang w:val="it-IT"/>
              </w:rPr>
              <w:t xml:space="preserve">Valerio </w:t>
            </w:r>
            <w:proofErr w:type="spellStart"/>
            <w:r w:rsidR="007A6DF8" w:rsidRPr="00766DB1">
              <w:rPr>
                <w:rFonts w:ascii="Tahoma" w:hAnsi="Tahoma" w:cs="Tahoma"/>
                <w:color w:val="000000"/>
                <w:sz w:val="14"/>
                <w:szCs w:val="14"/>
                <w:shd w:val="clear" w:color="auto" w:fill="FFFFFF"/>
                <w:lang w:val="it-IT"/>
              </w:rPr>
              <w:t>Cozzani</w:t>
            </w:r>
            <w:proofErr w:type="spellEnd"/>
            <w:r w:rsidR="007A6DF8" w:rsidRPr="00766DB1">
              <w:rPr>
                <w:rFonts w:ascii="Tahoma" w:hAnsi="Tahoma" w:cs="Tahoma"/>
                <w:color w:val="000000"/>
                <w:sz w:val="14"/>
                <w:szCs w:val="14"/>
                <w:shd w:val="clear" w:color="auto" w:fill="FFFFFF"/>
                <w:lang w:val="it-IT"/>
              </w:rPr>
              <w:t xml:space="preserve">, Bruno Fabiano, </w:t>
            </w:r>
            <w:proofErr w:type="spellStart"/>
            <w:r w:rsidR="007A6DF8" w:rsidRPr="00766DB1">
              <w:rPr>
                <w:rFonts w:ascii="Tahoma" w:hAnsi="Tahoma" w:cs="Tahoma"/>
                <w:color w:val="000000"/>
                <w:sz w:val="14"/>
                <w:szCs w:val="14"/>
                <w:shd w:val="clear" w:color="auto" w:fill="FFFFFF"/>
                <w:lang w:val="it-IT"/>
              </w:rPr>
              <w:t>Genserik</w:t>
            </w:r>
            <w:proofErr w:type="spellEnd"/>
            <w:r w:rsidR="007A6DF8" w:rsidRPr="00766DB1">
              <w:rPr>
                <w:rFonts w:ascii="Tahoma" w:hAnsi="Tahoma" w:cs="Tahoma"/>
                <w:color w:val="000000"/>
                <w:sz w:val="14"/>
                <w:szCs w:val="14"/>
                <w:shd w:val="clear" w:color="auto" w:fill="FFFFFF"/>
                <w:lang w:val="it-IT"/>
              </w:rPr>
              <w:t xml:space="preserve"> </w:t>
            </w:r>
            <w:proofErr w:type="spellStart"/>
            <w:r w:rsidR="007A6DF8" w:rsidRPr="00766DB1">
              <w:rPr>
                <w:rFonts w:ascii="Tahoma" w:hAnsi="Tahoma" w:cs="Tahoma"/>
                <w:color w:val="000000"/>
                <w:sz w:val="14"/>
                <w:szCs w:val="14"/>
                <w:shd w:val="clear" w:color="auto" w:fill="FFFFFF"/>
                <w:lang w:val="it-IT"/>
              </w:rPr>
              <w:t>Reniers</w:t>
            </w:r>
            <w:proofErr w:type="spellEnd"/>
          </w:p>
          <w:p w14:paraId="1B0F1814" w14:textId="710B7B96" w:rsidR="000A03B2" w:rsidRPr="00DD09A4" w:rsidRDefault="00AA7D26" w:rsidP="00AA7D26">
            <w:pPr>
              <w:tabs>
                <w:tab w:val="left" w:pos="-108"/>
              </w:tabs>
              <w:spacing w:line="140" w:lineRule="atLeast"/>
              <w:ind w:left="-107"/>
              <w:jc w:val="left"/>
            </w:pPr>
            <w:r w:rsidRPr="00DD09A4">
              <w:rPr>
                <w:rFonts w:ascii="Tahoma" w:hAnsi="Tahoma" w:cs="Tahoma"/>
                <w:iCs/>
                <w:color w:val="333333"/>
                <w:sz w:val="14"/>
                <w:szCs w:val="14"/>
                <w:lang w:eastAsia="it-IT"/>
              </w:rPr>
              <w:t>Copyright © 202</w:t>
            </w:r>
            <w:r w:rsidR="00005884" w:rsidRPr="00DD09A4">
              <w:rPr>
                <w:rFonts w:ascii="Tahoma" w:hAnsi="Tahoma" w:cs="Tahoma"/>
                <w:iCs/>
                <w:color w:val="333333"/>
                <w:sz w:val="14"/>
                <w:szCs w:val="14"/>
                <w:lang w:eastAsia="it-IT"/>
              </w:rPr>
              <w:t>6</w:t>
            </w:r>
            <w:r w:rsidRPr="00DD09A4">
              <w:rPr>
                <w:rFonts w:ascii="Tahoma" w:hAnsi="Tahoma" w:cs="Tahoma"/>
                <w:iCs/>
                <w:color w:val="333333"/>
                <w:sz w:val="14"/>
                <w:szCs w:val="14"/>
                <w:lang w:eastAsia="it-IT"/>
              </w:rPr>
              <w:t xml:space="preserve">, AIDIC </w:t>
            </w:r>
            <w:proofErr w:type="spellStart"/>
            <w:r w:rsidRPr="00DD09A4">
              <w:rPr>
                <w:rFonts w:ascii="Tahoma" w:hAnsi="Tahoma" w:cs="Tahoma"/>
                <w:iCs/>
                <w:color w:val="333333"/>
                <w:sz w:val="14"/>
                <w:szCs w:val="14"/>
                <w:lang w:eastAsia="it-IT"/>
              </w:rPr>
              <w:t>Servizi</w:t>
            </w:r>
            <w:proofErr w:type="spellEnd"/>
            <w:r w:rsidRPr="00DD09A4">
              <w:rPr>
                <w:rFonts w:ascii="Tahoma" w:hAnsi="Tahoma" w:cs="Tahoma"/>
                <w:iCs/>
                <w:color w:val="333333"/>
                <w:sz w:val="14"/>
                <w:szCs w:val="14"/>
                <w:lang w:eastAsia="it-IT"/>
              </w:rPr>
              <w:t xml:space="preserve"> </w:t>
            </w:r>
            <w:proofErr w:type="spellStart"/>
            <w:r w:rsidRPr="00DD09A4">
              <w:rPr>
                <w:rFonts w:ascii="Tahoma" w:hAnsi="Tahoma" w:cs="Tahoma"/>
                <w:iCs/>
                <w:color w:val="333333"/>
                <w:sz w:val="14"/>
                <w:szCs w:val="14"/>
                <w:lang w:eastAsia="it-IT"/>
              </w:rPr>
              <w:t>S.r.l</w:t>
            </w:r>
            <w:proofErr w:type="spellEnd"/>
            <w:r w:rsidRPr="00DD09A4">
              <w:rPr>
                <w:rFonts w:ascii="Tahoma" w:hAnsi="Tahoma" w:cs="Tahoma"/>
                <w:iCs/>
                <w:color w:val="333333"/>
                <w:sz w:val="14"/>
                <w:szCs w:val="14"/>
                <w:lang w:eastAsia="it-IT"/>
              </w:rPr>
              <w:t>.</w:t>
            </w:r>
            <w:r w:rsidRPr="00DD09A4">
              <w:rPr>
                <w:rFonts w:ascii="Tahoma" w:hAnsi="Tahoma" w:cs="Tahoma"/>
                <w:iCs/>
                <w:color w:val="333333"/>
                <w:sz w:val="14"/>
                <w:szCs w:val="14"/>
                <w:lang w:eastAsia="it-IT"/>
              </w:rPr>
              <w:br/>
            </w:r>
            <w:r w:rsidRPr="00DD09A4">
              <w:rPr>
                <w:rFonts w:ascii="Tahoma" w:hAnsi="Tahoma" w:cs="Tahoma"/>
                <w:b/>
                <w:iCs/>
                <w:color w:val="000000"/>
                <w:sz w:val="14"/>
                <w:szCs w:val="14"/>
                <w:lang w:eastAsia="it-IT"/>
              </w:rPr>
              <w:t>ISBN</w:t>
            </w:r>
            <w:r w:rsidRPr="00DD09A4">
              <w:rPr>
                <w:rFonts w:ascii="Tahoma" w:hAnsi="Tahoma" w:cs="Tahoma"/>
                <w:iCs/>
                <w:color w:val="000000"/>
                <w:sz w:val="14"/>
                <w:szCs w:val="14"/>
                <w:lang w:eastAsia="it-IT"/>
              </w:rPr>
              <w:t xml:space="preserve"> </w:t>
            </w:r>
            <w:r w:rsidR="00D2582C" w:rsidRPr="00DD09A4">
              <w:rPr>
                <w:rFonts w:ascii="Tahoma" w:hAnsi="Tahoma" w:cs="Tahoma"/>
                <w:sz w:val="14"/>
                <w:szCs w:val="14"/>
              </w:rPr>
              <w:t>979-12-81206-</w:t>
            </w:r>
            <w:r w:rsidR="00005884" w:rsidRPr="00DD09A4">
              <w:rPr>
                <w:rFonts w:ascii="Tahoma" w:hAnsi="Tahoma" w:cs="Tahoma"/>
                <w:sz w:val="14"/>
                <w:szCs w:val="14"/>
              </w:rPr>
              <w:t>xx</w:t>
            </w:r>
            <w:r w:rsidR="009041F8" w:rsidRPr="00DD09A4">
              <w:rPr>
                <w:rFonts w:ascii="Tahoma" w:hAnsi="Tahoma" w:cs="Tahoma"/>
                <w:sz w:val="14"/>
                <w:szCs w:val="14"/>
              </w:rPr>
              <w:t>-</w:t>
            </w:r>
            <w:r w:rsidR="00005884" w:rsidRPr="00DD09A4">
              <w:rPr>
                <w:rFonts w:ascii="Tahoma" w:hAnsi="Tahoma" w:cs="Tahoma"/>
                <w:sz w:val="14"/>
                <w:szCs w:val="14"/>
              </w:rPr>
              <w:t>x</w:t>
            </w:r>
            <w:r w:rsidRPr="00DD09A4">
              <w:rPr>
                <w:rFonts w:ascii="Tahoma" w:hAnsi="Tahoma" w:cs="Tahoma"/>
                <w:iCs/>
                <w:color w:val="333333"/>
                <w:sz w:val="14"/>
                <w:szCs w:val="14"/>
                <w:lang w:eastAsia="it-IT"/>
              </w:rPr>
              <w:t xml:space="preserve">; </w:t>
            </w:r>
            <w:r w:rsidRPr="00DD09A4">
              <w:rPr>
                <w:rFonts w:ascii="Tahoma" w:hAnsi="Tahoma" w:cs="Tahoma"/>
                <w:b/>
                <w:iCs/>
                <w:color w:val="333333"/>
                <w:sz w:val="14"/>
                <w:szCs w:val="14"/>
                <w:lang w:eastAsia="it-IT"/>
              </w:rPr>
              <w:t>ISSN</w:t>
            </w:r>
            <w:r w:rsidRPr="00DD09A4">
              <w:rPr>
                <w:rFonts w:ascii="Tahoma" w:hAnsi="Tahoma" w:cs="Tahoma"/>
                <w:iCs/>
                <w:color w:val="333333"/>
                <w:sz w:val="14"/>
                <w:szCs w:val="14"/>
                <w:lang w:eastAsia="it-IT"/>
              </w:rPr>
              <w:t xml:space="preserve"> 2283-9216</w:t>
            </w:r>
          </w:p>
        </w:tc>
      </w:tr>
    </w:tbl>
    <w:bookmarkEnd w:id="1"/>
    <w:p w14:paraId="2E667253" w14:textId="1445E56C" w:rsidR="00E978D0" w:rsidRPr="00DD09A4" w:rsidRDefault="00C33C96" w:rsidP="00E978D0">
      <w:pPr>
        <w:pStyle w:val="CETTitle"/>
      </w:pPr>
      <w:r w:rsidRPr="00DD09A4">
        <w:t>A Digital Twin-based Approach Supporting the Calculation of Cyber-Attack Success Probability in Process Plants</w:t>
      </w:r>
    </w:p>
    <w:p w14:paraId="0488FED2" w14:textId="1262E02F" w:rsidR="00B57E6F" w:rsidRPr="00766DB1" w:rsidRDefault="00C33C96" w:rsidP="00B57E6F">
      <w:pPr>
        <w:pStyle w:val="CETAuthors"/>
        <w:rPr>
          <w:lang w:val="it-IT"/>
        </w:rPr>
      </w:pPr>
      <w:r w:rsidRPr="00766DB1">
        <w:rPr>
          <w:lang w:val="it-IT"/>
        </w:rPr>
        <w:t>Antonio Manzi</w:t>
      </w:r>
      <w:r w:rsidR="00B57E6F" w:rsidRPr="00766DB1">
        <w:rPr>
          <w:vertAlign w:val="superscript"/>
          <w:lang w:val="it-IT"/>
        </w:rPr>
        <w:t>a</w:t>
      </w:r>
      <w:r w:rsidR="00B57E6F" w:rsidRPr="00766DB1">
        <w:rPr>
          <w:lang w:val="it-IT"/>
        </w:rPr>
        <w:t xml:space="preserve">, </w:t>
      </w:r>
      <w:r w:rsidRPr="00766DB1">
        <w:rPr>
          <w:lang w:val="it-IT"/>
        </w:rPr>
        <w:t>Matteo Iaiani</w:t>
      </w:r>
      <w:r w:rsidRPr="00766DB1">
        <w:rPr>
          <w:vertAlign w:val="superscript"/>
          <w:lang w:val="it-IT"/>
        </w:rPr>
        <w:t>a,</w:t>
      </w:r>
      <w:r w:rsidR="00B57E6F" w:rsidRPr="00766DB1">
        <w:rPr>
          <w:lang w:val="it-IT"/>
        </w:rPr>
        <w:t>*,</w:t>
      </w:r>
      <w:r w:rsidRPr="00766DB1">
        <w:rPr>
          <w:lang w:val="it-IT"/>
        </w:rPr>
        <w:t xml:space="preserve"> </w:t>
      </w:r>
      <w:r w:rsidR="008776C2" w:rsidRPr="00766DB1">
        <w:rPr>
          <w:lang w:val="it-IT"/>
        </w:rPr>
        <w:t>Alessandro Tugnoli</w:t>
      </w:r>
      <w:r w:rsidR="008776C2" w:rsidRPr="00766DB1">
        <w:rPr>
          <w:vertAlign w:val="superscript"/>
          <w:lang w:val="it-IT"/>
        </w:rPr>
        <w:t>a</w:t>
      </w:r>
      <w:r w:rsidR="008776C2" w:rsidRPr="00766DB1">
        <w:rPr>
          <w:lang w:val="it-IT"/>
        </w:rPr>
        <w:t>, Giacomo Antonioni</w:t>
      </w:r>
      <w:r w:rsidR="008776C2" w:rsidRPr="00766DB1">
        <w:rPr>
          <w:vertAlign w:val="superscript"/>
          <w:lang w:val="it-IT"/>
        </w:rPr>
        <w:t>a</w:t>
      </w:r>
      <w:r w:rsidR="008776C2" w:rsidRPr="00766DB1">
        <w:rPr>
          <w:lang w:val="it-IT"/>
        </w:rPr>
        <w:t>, Valerio Cozzani</w:t>
      </w:r>
      <w:r w:rsidR="008776C2" w:rsidRPr="00766DB1">
        <w:rPr>
          <w:vertAlign w:val="superscript"/>
          <w:lang w:val="it-IT"/>
        </w:rPr>
        <w:t>a</w:t>
      </w:r>
    </w:p>
    <w:p w14:paraId="5D79C33F" w14:textId="07DE06A9" w:rsidR="00C6567E" w:rsidRPr="00DD09A4" w:rsidRDefault="00B57E6F" w:rsidP="00C6567E">
      <w:pPr>
        <w:pStyle w:val="CETAddress"/>
      </w:pPr>
      <w:r w:rsidRPr="00DD09A4">
        <w:rPr>
          <w:vertAlign w:val="superscript"/>
        </w:rPr>
        <w:t>a</w:t>
      </w:r>
      <w:r w:rsidR="00C6567E" w:rsidRPr="00DD09A4">
        <w:t>Department of Civil, Chemical, Environmental, and Materials Engineering, Alma Mater Studiorum – University of Bologna, via Terracini n.28, 40131 Bologna (Italy)</w:t>
      </w:r>
      <w:r w:rsidRPr="00DD09A4">
        <w:t xml:space="preserve"> </w:t>
      </w:r>
    </w:p>
    <w:p w14:paraId="73F1267A" w14:textId="649B0BC5" w:rsidR="00B57E6F" w:rsidRPr="00DD09A4" w:rsidRDefault="00C6567E" w:rsidP="00C6567E">
      <w:pPr>
        <w:pStyle w:val="CETAddress"/>
      </w:pPr>
      <w:r w:rsidRPr="00DD09A4">
        <w:rPr>
          <w:iCs/>
        </w:rPr>
        <w:t>matteo.iaiani@unibo.it</w:t>
      </w:r>
      <w:r w:rsidR="008776C2" w:rsidRPr="00DD09A4">
        <w:t xml:space="preserve"> </w:t>
      </w:r>
    </w:p>
    <w:p w14:paraId="2E8941D9" w14:textId="77777777" w:rsidR="00C6567E" w:rsidRPr="00DD09A4" w:rsidRDefault="00C6567E" w:rsidP="00C6567E">
      <w:pPr>
        <w:pStyle w:val="CETAddress"/>
      </w:pPr>
    </w:p>
    <w:p w14:paraId="630FA865" w14:textId="57A6819C" w:rsidR="008F3C75" w:rsidRPr="00DD09A4" w:rsidRDefault="00B36BCC" w:rsidP="008F3C75">
      <w:pPr>
        <w:pStyle w:val="CETBodytext"/>
        <w:rPr>
          <w:lang w:val="en-GB"/>
        </w:rPr>
      </w:pPr>
      <w:r w:rsidRPr="00DD09A4">
        <w:rPr>
          <w:lang w:val="en-GB"/>
        </w:rPr>
        <w:t>The</w:t>
      </w:r>
      <w:r w:rsidR="00CA25AF" w:rsidRPr="00DD09A4">
        <w:rPr>
          <w:lang w:val="en-GB"/>
        </w:rPr>
        <w:t xml:space="preserve"> implementation of Basic Process Control Systems (BPCS) and Safety Instrumented Systems (SIS) </w:t>
      </w:r>
      <w:r w:rsidR="0052446A" w:rsidRPr="00DD09A4">
        <w:rPr>
          <w:lang w:val="en-GB"/>
        </w:rPr>
        <w:t xml:space="preserve">in the chemical and process industry </w:t>
      </w:r>
      <w:r w:rsidR="00CA25AF" w:rsidRPr="00DD09A4">
        <w:rPr>
          <w:lang w:val="en-GB"/>
        </w:rPr>
        <w:t xml:space="preserve">has brought significant advantages in terms of safety and operational efficiency. However, this </w:t>
      </w:r>
      <w:r w:rsidR="00C021E9" w:rsidRPr="00DD09A4">
        <w:rPr>
          <w:lang w:val="en-GB"/>
        </w:rPr>
        <w:t xml:space="preserve">dependency from digitalized systems </w:t>
      </w:r>
      <w:r w:rsidR="005A7723" w:rsidRPr="00DD09A4">
        <w:rPr>
          <w:lang w:val="en-GB"/>
        </w:rPr>
        <w:t>exposes process plants</w:t>
      </w:r>
      <w:r w:rsidR="00741172" w:rsidRPr="00DD09A4">
        <w:rPr>
          <w:lang w:val="en-GB"/>
        </w:rPr>
        <w:t xml:space="preserve"> to cyber-attacks </w:t>
      </w:r>
      <w:r w:rsidR="00EC446A" w:rsidRPr="00DD09A4">
        <w:rPr>
          <w:lang w:val="en-GB"/>
        </w:rPr>
        <w:t xml:space="preserve">that </w:t>
      </w:r>
      <w:r w:rsidR="00C44571" w:rsidRPr="00DD09A4">
        <w:rPr>
          <w:lang w:val="en-GB"/>
        </w:rPr>
        <w:t>may disrupt production or</w:t>
      </w:r>
      <w:r w:rsidR="00D426D0" w:rsidRPr="00DD09A4">
        <w:rPr>
          <w:lang w:val="en-GB"/>
        </w:rPr>
        <w:t xml:space="preserve"> initiate</w:t>
      </w:r>
      <w:r w:rsidR="00CA25AF" w:rsidRPr="00DD09A4">
        <w:rPr>
          <w:lang w:val="en-GB"/>
        </w:rPr>
        <w:t xml:space="preserve"> major accidents</w:t>
      </w:r>
      <w:r w:rsidR="00D426D0" w:rsidRPr="00DD09A4">
        <w:rPr>
          <w:lang w:val="en-GB"/>
        </w:rPr>
        <w:t xml:space="preserve"> (</w:t>
      </w:r>
      <w:r w:rsidR="00647B84" w:rsidRPr="00DD09A4">
        <w:rPr>
          <w:lang w:val="en-GB"/>
        </w:rPr>
        <w:t>e.g., releases of hazardous substances)</w:t>
      </w:r>
      <w:r w:rsidR="00CA25AF" w:rsidRPr="00DD09A4">
        <w:rPr>
          <w:lang w:val="en-GB"/>
        </w:rPr>
        <w:t>.</w:t>
      </w:r>
      <w:r w:rsidR="00EC446A" w:rsidRPr="00DD09A4">
        <w:rPr>
          <w:lang w:val="en-GB"/>
        </w:rPr>
        <w:t xml:space="preserve"> </w:t>
      </w:r>
      <w:r w:rsidR="00CA25AF" w:rsidRPr="00DD09A4">
        <w:rPr>
          <w:lang w:val="en-GB"/>
        </w:rPr>
        <w:t xml:space="preserve">In this context, </w:t>
      </w:r>
      <w:r w:rsidR="00DE762A" w:rsidRPr="00DD09A4">
        <w:rPr>
          <w:lang w:val="en-GB"/>
        </w:rPr>
        <w:t xml:space="preserve">cyber quantitative risk assessment (cyber QRA) provides a framework to </w:t>
      </w:r>
      <w:r w:rsidR="00705AAC" w:rsidRPr="00DD09A4">
        <w:rPr>
          <w:lang w:val="en-GB"/>
        </w:rPr>
        <w:t>identify</w:t>
      </w:r>
      <w:r w:rsidR="00CA25AF" w:rsidRPr="00DD09A4">
        <w:rPr>
          <w:lang w:val="en-GB"/>
        </w:rPr>
        <w:t xml:space="preserve"> and quantify cyber risk</w:t>
      </w:r>
      <w:r w:rsidR="00DE762A" w:rsidRPr="00DD09A4">
        <w:rPr>
          <w:lang w:val="en-GB"/>
        </w:rPr>
        <w:t>s</w:t>
      </w:r>
      <w:r w:rsidR="0083412C" w:rsidRPr="00DD09A4">
        <w:rPr>
          <w:lang w:val="en-GB"/>
        </w:rPr>
        <w:t xml:space="preserve"> related to BPCS and SIS malicious </w:t>
      </w:r>
      <w:r w:rsidR="00DE762A" w:rsidRPr="00DD09A4">
        <w:rPr>
          <w:lang w:val="en-GB"/>
        </w:rPr>
        <w:t>manipulation</w:t>
      </w:r>
      <w:r w:rsidR="00CA25AF" w:rsidRPr="00DD09A4">
        <w:rPr>
          <w:lang w:val="en-GB"/>
        </w:rPr>
        <w:t>.</w:t>
      </w:r>
      <w:r w:rsidR="00DE762A" w:rsidRPr="00DD09A4">
        <w:rPr>
          <w:lang w:val="en-GB"/>
        </w:rPr>
        <w:t xml:space="preserve"> H</w:t>
      </w:r>
      <w:r w:rsidR="00CA25AF" w:rsidRPr="00DD09A4">
        <w:rPr>
          <w:lang w:val="en-GB"/>
        </w:rPr>
        <w:t>owever, its application requires the estimation of key variables. In particular, the probability of cyber-attack success represents one of the most challenging parameters to determine, as it depends on detailed knowledge of the system’s dynamic response to malicious manipulations. Such information is highly</w:t>
      </w:r>
      <w:r w:rsidR="00025A5C" w:rsidRPr="00DD09A4">
        <w:rPr>
          <w:lang w:val="en-GB"/>
        </w:rPr>
        <w:t xml:space="preserve"> specific to the facility under analysis</w:t>
      </w:r>
      <w:r w:rsidR="00304DF3" w:rsidRPr="00DD09A4">
        <w:rPr>
          <w:lang w:val="en-GB"/>
        </w:rPr>
        <w:t xml:space="preserve"> and is difficult to retrieve. </w:t>
      </w:r>
      <w:r w:rsidR="00CA25AF" w:rsidRPr="00DD09A4">
        <w:rPr>
          <w:lang w:val="en-GB"/>
        </w:rPr>
        <w:t xml:space="preserve">To address this gap, this study proposes a Digital Twin–based approach to simulate cyber-attack scenarios and retrieve the data required for estimating the probability of attack success. </w:t>
      </w:r>
      <w:r w:rsidR="001B138D" w:rsidRPr="00DD09A4">
        <w:rPr>
          <w:lang w:val="en-GB"/>
        </w:rPr>
        <w:t xml:space="preserve">The approach is demonstrated on a specific scenario involving the intentional shutdown of the cooling system of an </w:t>
      </w:r>
      <w:proofErr w:type="spellStart"/>
      <w:r w:rsidR="001B138D" w:rsidRPr="00DD09A4">
        <w:rPr>
          <w:lang w:val="en-GB"/>
        </w:rPr>
        <w:t>electrolyzer</w:t>
      </w:r>
      <w:proofErr w:type="spellEnd"/>
      <w:r w:rsidR="001B138D" w:rsidRPr="00DD09A4">
        <w:rPr>
          <w:lang w:val="en-GB"/>
        </w:rPr>
        <w:t xml:space="preserve"> module.</w:t>
      </w:r>
    </w:p>
    <w:p w14:paraId="6AE00163" w14:textId="6ABC269F" w:rsidR="00A731AA" w:rsidRPr="00DD09A4" w:rsidRDefault="00A731AA" w:rsidP="006C6D72">
      <w:pPr>
        <w:pStyle w:val="CETBodytext"/>
        <w:rPr>
          <w:lang w:val="en-GB"/>
        </w:rPr>
      </w:pPr>
    </w:p>
    <w:p w14:paraId="476B2F2E" w14:textId="77777777" w:rsidR="00600535" w:rsidRPr="00DD09A4" w:rsidRDefault="00600535" w:rsidP="005B223B">
      <w:pPr>
        <w:pStyle w:val="CETHeading1"/>
        <w:rPr>
          <w:lang w:val="en-GB"/>
        </w:rPr>
      </w:pPr>
      <w:r w:rsidRPr="00DD09A4">
        <w:rPr>
          <w:lang w:val="en-GB"/>
        </w:rPr>
        <w:t>Introduction</w:t>
      </w:r>
    </w:p>
    <w:p w14:paraId="6744C39A" w14:textId="03D5794C" w:rsidR="00B42FD0" w:rsidRPr="00DD09A4" w:rsidRDefault="00584F9A" w:rsidP="00584F9A">
      <w:pPr>
        <w:pStyle w:val="CETBodytext"/>
        <w:rPr>
          <w:lang w:val="en-GB"/>
        </w:rPr>
      </w:pPr>
      <w:r w:rsidRPr="00DD09A4">
        <w:rPr>
          <w:lang w:val="en-GB"/>
        </w:rPr>
        <w:t xml:space="preserve">The adoption of </w:t>
      </w:r>
      <w:r w:rsidR="00F313F9" w:rsidRPr="00DD09A4">
        <w:rPr>
          <w:lang w:val="en-GB"/>
        </w:rPr>
        <w:t>Operational Technology (OT)</w:t>
      </w:r>
      <w:r w:rsidRPr="00DD09A4">
        <w:rPr>
          <w:lang w:val="en-GB"/>
        </w:rPr>
        <w:t xml:space="preserve"> systems in chemical and process plants, including Basic Process Control Systems (BPCS) and Safety Instrumented Systems (SIS), has become standard practice</w:t>
      </w:r>
      <w:r w:rsidR="00FD0F2C" w:rsidRPr="00DD09A4">
        <w:rPr>
          <w:lang w:val="en-GB"/>
        </w:rPr>
        <w:t xml:space="preserve"> </w:t>
      </w:r>
      <w:sdt>
        <w:sdtPr>
          <w:rPr>
            <w:rFonts w:cs="Arial"/>
            <w:color w:val="000000"/>
            <w:lang w:val="en-GB"/>
          </w:rPr>
          <w:tag w:val="MENDELEY_CITATION_v3_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"/>
          <w:id w:val="-897357132"/>
          <w:placeholder>
            <w:docPart w:val="DefaultPlaceholder_-1854013440"/>
          </w:placeholder>
        </w:sdtPr>
        <w:sdtEndPr/>
        <w:sdtContent>
          <w:r w:rsidR="007A320F" w:rsidRPr="007A320F">
            <w:rPr>
              <w:rFonts w:cs="Arial"/>
              <w:color w:val="000000"/>
              <w:lang w:val="en-GB"/>
            </w:rPr>
            <w:t>(Stouffer et al., 2011)</w:t>
          </w:r>
        </w:sdtContent>
      </w:sdt>
      <w:r w:rsidRPr="00DD09A4">
        <w:rPr>
          <w:lang w:val="en-GB"/>
        </w:rPr>
        <w:t>. While these technologies provide significant operational and safety benefits, they also introduce new vulnerabilities, particularly to cyber-attacks (i.e., attacks carried out via the network system and aimed at manipulating BPCS and SIS components to induce critical conditions in the plant)</w:t>
      </w:r>
      <w:r w:rsidR="009F7118" w:rsidRPr="00DD09A4">
        <w:rPr>
          <w:lang w:val="en-GB"/>
        </w:rPr>
        <w:t xml:space="preserve"> </w:t>
      </w:r>
      <w:sdt>
        <w:sdtPr>
          <w:rPr>
            <w:rFonts w:cs="Arial"/>
            <w:color w:val="000000"/>
            <w:lang w:val="en-GB"/>
          </w:rPr>
          <w:tag w:val="MENDELEY_CITATION_v3_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"/>
          <w:id w:val="1035475850"/>
          <w:placeholder>
            <w:docPart w:val="DefaultPlaceholder_-1854013440"/>
          </w:placeholder>
        </w:sdtPr>
        <w:sdtEndPr/>
        <w:sdtContent>
          <w:r w:rsidR="007A320F" w:rsidRPr="007A320F">
            <w:rPr>
              <w:rFonts w:cs="Arial"/>
              <w:color w:val="000000"/>
              <w:lang w:val="en-GB"/>
            </w:rPr>
            <w:t>(Liu et al., 2024)</w:t>
          </w:r>
        </w:sdtContent>
      </w:sdt>
      <w:r w:rsidRPr="00DD09A4">
        <w:rPr>
          <w:lang w:val="en-GB"/>
        </w:rPr>
        <w:t xml:space="preserve">. The growing number of cyber-related incidents targeting industrial facilities worldwide highlights the need for effective methods to </w:t>
      </w:r>
      <w:r w:rsidR="00821512" w:rsidRPr="00DD09A4">
        <w:rPr>
          <w:lang w:val="en-GB"/>
        </w:rPr>
        <w:t>analyse</w:t>
      </w:r>
      <w:r w:rsidRPr="00DD09A4">
        <w:rPr>
          <w:lang w:val="en-GB"/>
        </w:rPr>
        <w:t xml:space="preserve"> and mitigate cyber-related risks</w:t>
      </w:r>
      <w:r w:rsidR="009F7118" w:rsidRPr="00DD09A4">
        <w:rPr>
          <w:lang w:val="en-GB"/>
        </w:rPr>
        <w:t xml:space="preserve"> </w:t>
      </w:r>
      <w:sdt>
        <w:sdtPr>
          <w:rPr>
            <w:rFonts w:cs="Arial"/>
            <w:color w:val="000000"/>
            <w:lang w:val="en-GB"/>
          </w:rPr>
          <w:tag w:val="MENDELEY_CITATION_v3_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"/>
          <w:id w:val="2001531092"/>
          <w:placeholder>
            <w:docPart w:val="DefaultPlaceholder_-1854013440"/>
          </w:placeholder>
        </w:sdtPr>
        <w:sdtEndPr/>
        <w:sdtContent>
          <w:r w:rsidR="007A320F" w:rsidRPr="007A320F">
            <w:rPr>
              <w:rFonts w:cs="Arial"/>
              <w:color w:val="000000"/>
              <w:lang w:val="en-GB"/>
            </w:rPr>
            <w:t>(El-</w:t>
          </w:r>
          <w:proofErr w:type="spellStart"/>
          <w:r w:rsidR="007A320F" w:rsidRPr="007A320F">
            <w:rPr>
              <w:rFonts w:cs="Arial"/>
              <w:color w:val="000000"/>
              <w:lang w:val="en-GB"/>
            </w:rPr>
            <w:t>Kady</w:t>
          </w:r>
          <w:proofErr w:type="spellEnd"/>
          <w:r w:rsidR="007A320F" w:rsidRPr="007A320F">
            <w:rPr>
              <w:rFonts w:cs="Arial"/>
              <w:color w:val="000000"/>
              <w:lang w:val="en-GB"/>
            </w:rPr>
            <w:t xml:space="preserve"> et al., 2023)</w:t>
          </w:r>
        </w:sdtContent>
      </w:sdt>
      <w:r w:rsidRPr="00DD09A4">
        <w:rPr>
          <w:lang w:val="en-GB"/>
        </w:rPr>
        <w:t>.</w:t>
      </w:r>
    </w:p>
    <w:p w14:paraId="490DC882" w14:textId="24DE4A89" w:rsidR="002C30C5" w:rsidRPr="00DD09A4" w:rsidRDefault="001334E5" w:rsidP="00A82701">
      <w:pPr>
        <w:pStyle w:val="CETBodytext"/>
        <w:rPr>
          <w:lang w:val="en-GB"/>
        </w:rPr>
      </w:pPr>
      <w:r w:rsidRPr="00DD09A4">
        <w:rPr>
          <w:lang w:val="en-GB"/>
        </w:rPr>
        <w:t xml:space="preserve">In this context, </w:t>
      </w:r>
      <w:r w:rsidR="00CE7A42" w:rsidRPr="00DD09A4">
        <w:rPr>
          <w:lang w:val="en-GB"/>
        </w:rPr>
        <w:t xml:space="preserve">cyber </w:t>
      </w:r>
      <w:r w:rsidRPr="00DD09A4">
        <w:rPr>
          <w:lang w:val="en-GB"/>
        </w:rPr>
        <w:t>quantitative risk assessment (cyber QRA) provides a structured approach to</w:t>
      </w:r>
      <w:r w:rsidR="00FD75C7" w:rsidRPr="00DD09A4">
        <w:rPr>
          <w:lang w:val="en-GB"/>
        </w:rPr>
        <w:t xml:space="preserve"> identify and</w:t>
      </w:r>
      <w:r w:rsidRPr="00DD09A4">
        <w:rPr>
          <w:lang w:val="en-GB"/>
        </w:rPr>
        <w:t xml:space="preserve"> quantify cyber risk </w:t>
      </w:r>
      <w:r w:rsidR="001C395E" w:rsidRPr="00DD09A4">
        <w:rPr>
          <w:lang w:val="en-GB"/>
        </w:rPr>
        <w:t xml:space="preserve">related to OT system </w:t>
      </w:r>
      <w:r w:rsidRPr="00DD09A4">
        <w:rPr>
          <w:lang w:val="en-GB"/>
        </w:rPr>
        <w:t>by estimating the likelihood and consequences of cyber-attack scenarios, and by evaluating the effectiveness of existing safety and security barriers</w:t>
      </w:r>
      <w:r w:rsidR="00E60162" w:rsidRPr="00DD09A4">
        <w:rPr>
          <w:lang w:val="en-GB"/>
        </w:rPr>
        <w:t xml:space="preserve"> </w:t>
      </w:r>
      <w:sdt>
        <w:sdtPr>
          <w:rPr>
            <w:rFonts w:cs="Arial"/>
            <w:color w:val="000000"/>
            <w:lang w:val="en-GB"/>
          </w:rPr>
          <w:tag w:val="MENDELEY_CITATION_v3_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"/>
          <w:id w:val="2010167525"/>
          <w:placeholder>
            <w:docPart w:val="DefaultPlaceholder_-1854013440"/>
          </w:placeholder>
        </w:sdtPr>
        <w:sdtEndPr/>
        <w:sdtContent>
          <w:r w:rsidR="007A320F" w:rsidRPr="007A320F">
            <w:rPr>
              <w:rFonts w:cs="Arial"/>
              <w:color w:val="000000"/>
              <w:lang w:val="en-GB"/>
            </w:rPr>
            <w:t>(Crotty and Daniel, 2022)</w:t>
          </w:r>
        </w:sdtContent>
      </w:sdt>
      <w:r w:rsidRPr="00DD09A4">
        <w:rPr>
          <w:lang w:val="en-GB"/>
        </w:rPr>
        <w:t>. This supports risk-informed decisions across the facility lifecycle (e.g., defining or updating cybersecurity requirements of passive safeguards such as pressure safety valves). However, performing such assessments requires detailed knowledge of the process dynamics in respon</w:t>
      </w:r>
      <w:r w:rsidR="000F5180" w:rsidRPr="00DD09A4">
        <w:rPr>
          <w:lang w:val="en-GB"/>
        </w:rPr>
        <w:t>se</w:t>
      </w:r>
      <w:r w:rsidRPr="00DD09A4">
        <w:rPr>
          <w:lang w:val="en-GB"/>
        </w:rPr>
        <w:t xml:space="preserve"> to malicious manipulations of BPCS and SIS controllers</w:t>
      </w:r>
      <w:r w:rsidR="002656E3" w:rsidRPr="00DD09A4">
        <w:rPr>
          <w:lang w:val="en-GB"/>
        </w:rPr>
        <w:t xml:space="preserve"> as this information is required to estimate </w:t>
      </w:r>
      <w:r w:rsidR="00E07EC8" w:rsidRPr="00DD09A4">
        <w:rPr>
          <w:lang w:val="en-GB"/>
        </w:rPr>
        <w:t>the probability of cyber-attack success</w:t>
      </w:r>
      <w:r w:rsidRPr="00DD09A4">
        <w:rPr>
          <w:lang w:val="en-GB"/>
        </w:rPr>
        <w:t>.</w:t>
      </w:r>
      <w:r w:rsidR="00B42FD0" w:rsidRPr="00DD09A4">
        <w:rPr>
          <w:lang w:val="en-GB"/>
        </w:rPr>
        <w:t xml:space="preserve"> </w:t>
      </w:r>
      <w:r w:rsidR="00025FF7" w:rsidRPr="00DD09A4">
        <w:rPr>
          <w:lang w:val="en-GB"/>
        </w:rPr>
        <w:t>This</w:t>
      </w:r>
      <w:r w:rsidR="00B42FD0" w:rsidRPr="00DD09A4">
        <w:rPr>
          <w:lang w:val="en-GB"/>
        </w:rPr>
        <w:t xml:space="preserve"> data </w:t>
      </w:r>
      <w:r w:rsidR="00025FF7" w:rsidRPr="00DD09A4">
        <w:rPr>
          <w:lang w:val="en-GB"/>
        </w:rPr>
        <w:t>is difficult to retrieve sinc</w:t>
      </w:r>
      <w:r w:rsidR="002C6D81" w:rsidRPr="00DD09A4">
        <w:rPr>
          <w:lang w:val="en-GB"/>
        </w:rPr>
        <w:t xml:space="preserve">e they are strongly affected by the specific characteristic of the facility or process that is </w:t>
      </w:r>
      <w:r w:rsidR="00B40416" w:rsidRPr="00DD09A4">
        <w:rPr>
          <w:lang w:val="en-GB"/>
        </w:rPr>
        <w:t>the target of the cyber-</w:t>
      </w:r>
      <w:r w:rsidR="00DB6F3A" w:rsidRPr="00DD09A4">
        <w:rPr>
          <w:lang w:val="en-GB"/>
        </w:rPr>
        <w:t>attacker</w:t>
      </w:r>
      <w:r w:rsidR="002C6D81" w:rsidRPr="00DD09A4">
        <w:rPr>
          <w:lang w:val="en-GB"/>
        </w:rPr>
        <w:t xml:space="preserve">. </w:t>
      </w:r>
    </w:p>
    <w:p w14:paraId="30E658A8" w14:textId="7D180E44" w:rsidR="00890751" w:rsidRPr="00DD09A4" w:rsidRDefault="009A2E49" w:rsidP="00A82701">
      <w:pPr>
        <w:pStyle w:val="CETBodytext"/>
        <w:rPr>
          <w:lang w:val="en-GB"/>
        </w:rPr>
      </w:pPr>
      <w:r w:rsidRPr="00DD09A4">
        <w:rPr>
          <w:lang w:val="en-GB"/>
        </w:rPr>
        <w:t>In this context</w:t>
      </w:r>
      <w:r w:rsidR="00D11F6E" w:rsidRPr="00DD09A4">
        <w:rPr>
          <w:lang w:val="en-GB"/>
        </w:rPr>
        <w:t>, t</w:t>
      </w:r>
      <w:r w:rsidR="002C30C5" w:rsidRPr="00DD09A4">
        <w:rPr>
          <w:lang w:val="en-GB"/>
        </w:rPr>
        <w:t xml:space="preserve">his study introduces a </w:t>
      </w:r>
      <w:r w:rsidR="000515CB">
        <w:rPr>
          <w:lang w:val="en-GB"/>
        </w:rPr>
        <w:t>D</w:t>
      </w:r>
      <w:r w:rsidR="002C30C5" w:rsidRPr="00DD09A4">
        <w:rPr>
          <w:lang w:val="en-GB"/>
        </w:rPr>
        <w:t xml:space="preserve">igital </w:t>
      </w:r>
      <w:r w:rsidR="000515CB">
        <w:rPr>
          <w:lang w:val="en-GB"/>
        </w:rPr>
        <w:t>T</w:t>
      </w:r>
      <w:r w:rsidR="002C30C5" w:rsidRPr="00DD09A4">
        <w:rPr>
          <w:lang w:val="en-GB"/>
        </w:rPr>
        <w:t xml:space="preserve">win–based </w:t>
      </w:r>
      <w:r w:rsidR="006864D6" w:rsidRPr="00DD09A4">
        <w:rPr>
          <w:lang w:val="en-GB"/>
        </w:rPr>
        <w:t xml:space="preserve">approach </w:t>
      </w:r>
      <w:r w:rsidR="002C30C5" w:rsidRPr="00DD09A4">
        <w:rPr>
          <w:lang w:val="en-GB"/>
        </w:rPr>
        <w:t xml:space="preserve">to address these challenges. </w:t>
      </w:r>
      <w:r w:rsidR="00F65C18" w:rsidRPr="00DD09A4">
        <w:rPr>
          <w:lang w:val="en-GB"/>
        </w:rPr>
        <w:t>A</w:t>
      </w:r>
      <w:r w:rsidR="002C30C5" w:rsidRPr="00DD09A4">
        <w:rPr>
          <w:lang w:val="en-GB"/>
        </w:rPr>
        <w:t xml:space="preserve"> </w:t>
      </w:r>
      <w:r w:rsidR="004B2AB4" w:rsidRPr="00DD09A4">
        <w:rPr>
          <w:lang w:val="en-GB"/>
        </w:rPr>
        <w:t>Digital Twin</w:t>
      </w:r>
      <w:r w:rsidR="000515CB">
        <w:rPr>
          <w:lang w:val="en-GB"/>
        </w:rPr>
        <w:t xml:space="preserve"> </w:t>
      </w:r>
      <w:r w:rsidR="001A5A27" w:rsidRPr="00DD09A4">
        <w:rPr>
          <w:lang w:val="en-GB"/>
        </w:rPr>
        <w:t>is a</w:t>
      </w:r>
      <w:r w:rsidR="002C30C5" w:rsidRPr="00DD09A4">
        <w:rPr>
          <w:lang w:val="en-GB"/>
        </w:rPr>
        <w:t xml:space="preserve"> high-fidelity virtual replica of a real process plant</w:t>
      </w:r>
      <w:r w:rsidR="00F65C18" w:rsidRPr="00DD09A4">
        <w:rPr>
          <w:lang w:val="en-GB"/>
        </w:rPr>
        <w:t xml:space="preserve"> that enables</w:t>
      </w:r>
      <w:r w:rsidR="002C30C5" w:rsidRPr="00DD09A4">
        <w:rPr>
          <w:lang w:val="en-GB"/>
        </w:rPr>
        <w:t xml:space="preserve"> the simulation of </w:t>
      </w:r>
      <w:r w:rsidR="00B119A6" w:rsidRPr="00DD09A4">
        <w:rPr>
          <w:lang w:val="en-GB"/>
        </w:rPr>
        <w:t xml:space="preserve">the </w:t>
      </w:r>
      <w:r w:rsidR="002C30C5" w:rsidRPr="00DD09A4">
        <w:rPr>
          <w:lang w:val="en-GB"/>
        </w:rPr>
        <w:t>process under both normal operating conditions and cyber-attack scenarios</w:t>
      </w:r>
      <w:r w:rsidR="00B0168C" w:rsidRPr="00DD09A4">
        <w:rPr>
          <w:lang w:val="en-GB"/>
        </w:rPr>
        <w:t xml:space="preserve"> </w:t>
      </w:r>
      <w:sdt>
        <w:sdtPr>
          <w:rPr>
            <w:rFonts w:cs="Arial"/>
            <w:color w:val="000000"/>
            <w:lang w:val="en-GB"/>
          </w:rPr>
          <w:tag w:val="MENDELEY_CITATION_v3_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"/>
          <w:id w:val="-266933625"/>
          <w:placeholder>
            <w:docPart w:val="DefaultPlaceholder_-1854013440"/>
          </w:placeholder>
        </w:sdtPr>
        <w:sdtEndPr/>
        <w:sdtContent>
          <w:r w:rsidR="007A320F" w:rsidRPr="007A320F">
            <w:rPr>
              <w:rFonts w:cs="Arial"/>
              <w:color w:val="000000"/>
              <w:lang w:val="en-GB"/>
            </w:rPr>
            <w:t>(Pal et al., 2025)</w:t>
          </w:r>
        </w:sdtContent>
      </w:sdt>
      <w:r w:rsidR="002C30C5" w:rsidRPr="00DD09A4">
        <w:rPr>
          <w:lang w:val="en-GB"/>
        </w:rPr>
        <w:t>. Such simulations allow for a detailed analysis of the system’s dynamic response to cyber-attacks</w:t>
      </w:r>
      <w:r w:rsidR="00462238" w:rsidRPr="00DD09A4">
        <w:rPr>
          <w:lang w:val="en-GB"/>
        </w:rPr>
        <w:t xml:space="preserve"> to OT systems</w:t>
      </w:r>
      <w:r w:rsidR="002C30C5" w:rsidRPr="00DD09A4">
        <w:rPr>
          <w:lang w:val="en-GB"/>
        </w:rPr>
        <w:t xml:space="preserve">, particularly supporting the estimation of the characteristic response time </w:t>
      </w:r>
      <w:r w:rsidR="00FC5BF9" w:rsidRPr="00DD09A4">
        <w:rPr>
          <w:lang w:val="en-GB"/>
        </w:rPr>
        <w:t>(</w:t>
      </w:r>
      <w:r w:rsidR="00A77A27" w:rsidRPr="00DD09A4">
        <w:rPr>
          <w:lang w:val="en-GB"/>
        </w:rPr>
        <w:t>from first manipulation to expected damage</w:t>
      </w:r>
      <w:r w:rsidR="00FC5BF9" w:rsidRPr="00DD09A4">
        <w:rPr>
          <w:lang w:val="en-GB"/>
        </w:rPr>
        <w:t xml:space="preserve">) </w:t>
      </w:r>
      <w:r w:rsidR="002C30C5" w:rsidRPr="00DD09A4">
        <w:rPr>
          <w:lang w:val="en-GB"/>
        </w:rPr>
        <w:t xml:space="preserve">associated with a </w:t>
      </w:r>
      <w:r w:rsidR="002C30C5" w:rsidRPr="00DD09A4">
        <w:rPr>
          <w:lang w:val="en-GB"/>
        </w:rPr>
        <w:lastRenderedPageBreak/>
        <w:t xml:space="preserve">specific cyber-attack scenario. Consequently, the proposed approach provides quantitative inputs for the calculation of the conditional probability of cyber-attack success given </w:t>
      </w:r>
      <w:r w:rsidR="00B119A6" w:rsidRPr="00DD09A4">
        <w:rPr>
          <w:lang w:val="en-GB"/>
        </w:rPr>
        <w:t>the attempt</w:t>
      </w:r>
      <w:r w:rsidR="002C30C5" w:rsidRPr="00DD09A4">
        <w:rPr>
          <w:lang w:val="en-GB"/>
        </w:rPr>
        <w:t xml:space="preserve">, which is required for the </w:t>
      </w:r>
      <w:r w:rsidR="002A20C9" w:rsidRPr="00DD09A4">
        <w:rPr>
          <w:lang w:val="en-GB"/>
        </w:rPr>
        <w:t xml:space="preserve">evaluation </w:t>
      </w:r>
      <w:r w:rsidR="002C30C5" w:rsidRPr="00DD09A4">
        <w:rPr>
          <w:lang w:val="en-GB"/>
        </w:rPr>
        <w:t xml:space="preserve">of </w:t>
      </w:r>
      <w:r w:rsidR="002A20C9" w:rsidRPr="00DD09A4">
        <w:rPr>
          <w:lang w:val="en-GB"/>
        </w:rPr>
        <w:t xml:space="preserve">the </w:t>
      </w:r>
      <w:r w:rsidR="00A40286" w:rsidRPr="00DD09A4">
        <w:rPr>
          <w:lang w:val="en-GB"/>
        </w:rPr>
        <w:t xml:space="preserve">OT-related </w:t>
      </w:r>
      <w:r w:rsidR="002C30C5" w:rsidRPr="00DD09A4">
        <w:rPr>
          <w:lang w:val="en-GB"/>
        </w:rPr>
        <w:t xml:space="preserve">cyber risk. </w:t>
      </w:r>
      <w:r w:rsidR="00424FCB" w:rsidRPr="00DD09A4">
        <w:rPr>
          <w:lang w:val="en-GB"/>
        </w:rPr>
        <w:t xml:space="preserve">The </w:t>
      </w:r>
      <w:r w:rsidR="006A7C95" w:rsidRPr="00DD09A4">
        <w:rPr>
          <w:lang w:val="en-GB"/>
        </w:rPr>
        <w:t xml:space="preserve">approach </w:t>
      </w:r>
      <w:r w:rsidR="00424FCB" w:rsidRPr="00DD09A4">
        <w:rPr>
          <w:lang w:val="en-GB"/>
        </w:rPr>
        <w:t>is demonstrated through its application to a</w:t>
      </w:r>
      <w:r w:rsidR="006A7C95" w:rsidRPr="00DD09A4">
        <w:rPr>
          <w:lang w:val="en-GB"/>
        </w:rPr>
        <w:t xml:space="preserve">n </w:t>
      </w:r>
      <w:proofErr w:type="spellStart"/>
      <w:r w:rsidR="006A7C95" w:rsidRPr="00DD09A4">
        <w:rPr>
          <w:lang w:val="en-GB"/>
        </w:rPr>
        <w:t>electrolyzer</w:t>
      </w:r>
      <w:proofErr w:type="spellEnd"/>
      <w:r w:rsidR="006A7C95" w:rsidRPr="00DD09A4">
        <w:rPr>
          <w:lang w:val="en-GB"/>
        </w:rPr>
        <w:t xml:space="preserve"> module of a</w:t>
      </w:r>
      <w:r w:rsidR="00424FCB" w:rsidRPr="00DD09A4">
        <w:rPr>
          <w:lang w:val="en-GB"/>
        </w:rPr>
        <w:t xml:space="preserve"> green hydrogen production facility. This case study was selected due to the growing relevance and interest in these emerging technologies</w:t>
      </w:r>
      <w:r w:rsidR="00A84858" w:rsidRPr="00DD09A4">
        <w:rPr>
          <w:rFonts w:cs="Arial"/>
          <w:color w:val="000000"/>
          <w:lang w:val="en-GB"/>
        </w:rPr>
        <w:t xml:space="preserve"> </w:t>
      </w:r>
      <w:r w:rsidR="00624E4E" w:rsidRPr="00DD09A4">
        <w:rPr>
          <w:rFonts w:cs="Arial"/>
          <w:color w:val="000000"/>
          <w:lang w:val="en-GB"/>
        </w:rPr>
        <w:t>for which significant gaps still remain in the fields of safety and cybersecurity</w:t>
      </w:r>
      <w:r w:rsidR="005C3147" w:rsidRPr="00DD09A4">
        <w:rPr>
          <w:rFonts w:cs="Arial"/>
          <w:color w:val="000000"/>
          <w:lang w:val="en-GB"/>
        </w:rPr>
        <w:t xml:space="preserve"> </w:t>
      </w:r>
      <w:sdt>
        <w:sdtPr>
          <w:rPr>
            <w:rFonts w:cs="Arial"/>
            <w:color w:val="000000"/>
            <w:lang w:val="en-GB"/>
          </w:rPr>
          <w:tag w:val="MENDELEY_CITATION_v3_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"/>
          <w:id w:val="-1089462081"/>
          <w:placeholder>
            <w:docPart w:val="1AF4E3D4E35D4BADB238DA77F6B33053"/>
          </w:placeholder>
        </w:sdtPr>
        <w:sdtEndPr/>
        <w:sdtContent>
          <w:r w:rsidR="007A320F" w:rsidRPr="007A320F">
            <w:rPr>
              <w:rFonts w:cs="Arial"/>
              <w:color w:val="000000"/>
              <w:lang w:val="en-GB"/>
            </w:rPr>
            <w:t>(</w:t>
          </w:r>
          <w:proofErr w:type="spellStart"/>
          <w:r w:rsidR="007A320F" w:rsidRPr="007A320F">
            <w:rPr>
              <w:rFonts w:cs="Arial"/>
              <w:color w:val="000000"/>
              <w:lang w:val="en-GB"/>
            </w:rPr>
            <w:t>Tamburini</w:t>
          </w:r>
          <w:proofErr w:type="spellEnd"/>
          <w:r w:rsidR="007A320F" w:rsidRPr="007A320F">
            <w:rPr>
              <w:rFonts w:cs="Arial"/>
              <w:color w:val="000000"/>
              <w:lang w:val="en-GB"/>
            </w:rPr>
            <w:t xml:space="preserve"> et al., 2025)</w:t>
          </w:r>
        </w:sdtContent>
      </w:sdt>
      <w:r w:rsidR="00624E4E" w:rsidRPr="00DD09A4">
        <w:rPr>
          <w:rFonts w:cs="Arial"/>
          <w:color w:val="000000"/>
          <w:lang w:val="en-GB"/>
        </w:rPr>
        <w:t>.</w:t>
      </w:r>
    </w:p>
    <w:p w14:paraId="5741900F" w14:textId="2742DE36" w:rsidR="00453E24" w:rsidRPr="00DD09A4" w:rsidRDefault="002C6D81" w:rsidP="00453E24">
      <w:pPr>
        <w:pStyle w:val="CETHeading1"/>
        <w:rPr>
          <w:lang w:val="en-GB"/>
        </w:rPr>
      </w:pPr>
      <w:r w:rsidRPr="00DD09A4">
        <w:rPr>
          <w:lang w:val="en-GB"/>
        </w:rPr>
        <w:t>Probabilistic formulation of</w:t>
      </w:r>
      <w:r w:rsidR="00B14A95" w:rsidRPr="00DD09A4">
        <w:rPr>
          <w:lang w:val="en-GB"/>
        </w:rPr>
        <w:t xml:space="preserve"> the</w:t>
      </w:r>
      <w:r w:rsidRPr="00DD09A4">
        <w:rPr>
          <w:lang w:val="en-GB"/>
        </w:rPr>
        <w:t xml:space="preserve"> OT</w:t>
      </w:r>
      <w:r w:rsidR="00A40286" w:rsidRPr="00DD09A4">
        <w:rPr>
          <w:lang w:val="en-GB"/>
        </w:rPr>
        <w:t>-related</w:t>
      </w:r>
      <w:r w:rsidRPr="00DD09A4">
        <w:rPr>
          <w:lang w:val="en-GB"/>
        </w:rPr>
        <w:t xml:space="preserve"> cyber risk </w:t>
      </w:r>
    </w:p>
    <w:p w14:paraId="5774069E" w14:textId="3E21A118" w:rsidR="000A3E41" w:rsidRPr="00DD09A4" w:rsidRDefault="00D10355" w:rsidP="00B97EB3">
      <w:pPr>
        <w:spacing w:before="240"/>
      </w:pPr>
      <w:r w:rsidRPr="00DD09A4">
        <w:t xml:space="preserve">This section presents in detail </w:t>
      </w:r>
      <w:r w:rsidR="002C3EF6" w:rsidRPr="00DD09A4">
        <w:t xml:space="preserve">how the </w:t>
      </w:r>
      <w:r w:rsidR="00A40286" w:rsidRPr="00DD09A4">
        <w:t xml:space="preserve">OT-related </w:t>
      </w:r>
      <w:r w:rsidR="002C3EF6" w:rsidRPr="00DD09A4">
        <w:t xml:space="preserve">cyber risk </w:t>
      </w:r>
      <w:r w:rsidR="00134187" w:rsidRPr="00DD09A4">
        <w:t xml:space="preserve">of a cybersecurity scenario </w:t>
      </w:r>
      <w:r w:rsidR="002C3EF6" w:rsidRPr="00DD09A4">
        <w:t xml:space="preserve">is formulated, and which </w:t>
      </w:r>
      <w:r w:rsidR="00A01CA6" w:rsidRPr="00DD09A4">
        <w:t>data are necessary for its estimation.</w:t>
      </w:r>
      <w:r w:rsidR="006C4C7D" w:rsidRPr="00DD09A4">
        <w:t xml:space="preserve"> </w:t>
      </w:r>
      <w:r w:rsidR="00D5198E" w:rsidRPr="00DD09A4">
        <w:t>Specifically,</w:t>
      </w:r>
      <w:r w:rsidR="006C4C7D" w:rsidRPr="00DD09A4">
        <w:t xml:space="preserve"> a cybersecurity scenario </w:t>
      </w:r>
      <w:r w:rsidR="00C27731" w:rsidRPr="00DD09A4">
        <w:t xml:space="preserve">is </w:t>
      </w:r>
      <w:r w:rsidR="006C4C7D" w:rsidRPr="00DD09A4">
        <w:t xml:space="preserve">defined </w:t>
      </w:r>
      <w:r w:rsidR="00A2356F" w:rsidRPr="00DD09A4">
        <w:t>as</w:t>
      </w:r>
      <w:r w:rsidR="00172782" w:rsidRPr="00DD09A4">
        <w:t xml:space="preserve"> an event in which an attacker gains access to the OT system </w:t>
      </w:r>
      <w:r w:rsidR="00C55739" w:rsidRPr="00DD09A4">
        <w:t xml:space="preserve">(BPCS and SIS) </w:t>
      </w:r>
      <w:r w:rsidR="00172782" w:rsidRPr="00DD09A4">
        <w:t xml:space="preserve">and performs one or more malicious manipulations </w:t>
      </w:r>
      <w:r w:rsidR="00FA1A66" w:rsidRPr="00DD09A4">
        <w:t xml:space="preserve">to </w:t>
      </w:r>
      <w:r w:rsidR="00F80ADD" w:rsidRPr="00DD09A4">
        <w:t>its components.</w:t>
      </w:r>
      <w:r w:rsidR="00BC36EA" w:rsidRPr="00DD09A4">
        <w:t xml:space="preserve"> </w:t>
      </w:r>
      <w:r w:rsidR="00F80ADD" w:rsidRPr="00DD09A4">
        <w:t>The associated</w:t>
      </w:r>
      <w:r w:rsidR="00293943" w:rsidRPr="00DD09A4">
        <w:t xml:space="preserve"> cyber</w:t>
      </w:r>
      <w:r w:rsidR="00F80ADD" w:rsidRPr="00DD09A4">
        <w:t xml:space="preserve"> risk</w:t>
      </w:r>
      <w:r w:rsidR="00293943" w:rsidRPr="00DD09A4">
        <w:t xml:space="preserve"> (</w:t>
      </w:r>
      <m:oMath>
        <m:sSup>
          <m:sSupPr>
            <m:ctrlPr>
              <w:rPr>
                <w:rFonts w:ascii="Cambria Math" w:hAnsi="Cambria Math"/>
                <w:i/>
              </w:rPr>
            </m:ctrlPr>
          </m:sSupPr>
          <m:e>
            <m:r>
              <w:rPr>
                <w:rFonts w:ascii="Cambria Math" w:hAnsi="Cambria Math"/>
              </w:rPr>
              <m:t>R</m:t>
            </m:r>
          </m:e>
          <m:sup>
            <m:r>
              <w:rPr>
                <w:rFonts w:ascii="Cambria Math" w:hAnsi="Cambria Math"/>
              </w:rPr>
              <m:t>i</m:t>
            </m:r>
          </m:sup>
        </m:sSup>
      </m:oMath>
      <w:r w:rsidR="00293943" w:rsidRPr="00DD09A4">
        <w:t>)</w:t>
      </w:r>
      <w:r w:rsidR="00F80ADD" w:rsidRPr="00DD09A4">
        <w:t xml:space="preserve"> is expressed </w:t>
      </w:r>
      <w:r w:rsidR="00B458C3" w:rsidRPr="00DD09A4">
        <w:t xml:space="preserve">probabilistically </w:t>
      </w:r>
      <w:r w:rsidR="00293943" w:rsidRPr="00DD09A4">
        <w:t>as follows</w:t>
      </w:r>
      <w:r w:rsidR="000A3E41" w:rsidRPr="00DD09A4">
        <w:t>:</w:t>
      </w:r>
    </w:p>
    <w:tbl>
      <w:tblPr>
        <w:tblW w:w="5000" w:type="pct"/>
        <w:tblLook w:val="04A0" w:firstRow="1" w:lastRow="0" w:firstColumn="1" w:lastColumn="0" w:noHBand="0" w:noVBand="1"/>
      </w:tblPr>
      <w:tblGrid>
        <w:gridCol w:w="7984"/>
        <w:gridCol w:w="803"/>
      </w:tblGrid>
      <w:tr w:rsidR="00440BE4" w:rsidRPr="00DD09A4" w14:paraId="7D2609B8" w14:textId="77777777" w:rsidTr="005D2B90">
        <w:tc>
          <w:tcPr>
            <w:tcW w:w="8188" w:type="dxa"/>
            <w:vAlign w:val="center"/>
          </w:tcPr>
          <w:p w14:paraId="1FEC630A" w14:textId="6A11F95D" w:rsidR="00440BE4" w:rsidRPr="00043982" w:rsidRDefault="007074D2" w:rsidP="005D2B90">
            <w:pPr>
              <w:pStyle w:val="CETEquation"/>
              <w:rPr>
                <w:i/>
                <w:iCs/>
              </w:rPr>
            </w:pPr>
            <m:oMathPara>
              <m:oMathParaPr>
                <m:jc m:val="left"/>
              </m:oMathParaPr>
              <m:oMath>
                <m:sSup>
                  <m:sSupPr>
                    <m:ctrlPr>
                      <w:rPr>
                        <w:rFonts w:ascii="Cambria Math" w:hAnsi="Cambria Math"/>
                        <w:i/>
                        <w:iCs/>
                      </w:rPr>
                    </m:ctrlPr>
                  </m:sSupPr>
                  <m:e>
                    <m:r>
                      <w:rPr>
                        <w:rFonts w:ascii="Cambria Math" w:hAnsi="Cambria Math"/>
                      </w:rPr>
                      <m:t>R</m:t>
                    </m:r>
                  </m:e>
                  <m:sup>
                    <m:r>
                      <w:rPr>
                        <w:rFonts w:ascii="Cambria Math" w:hAnsi="Cambria Math"/>
                      </w:rPr>
                      <m:t>i</m:t>
                    </m:r>
                  </m:sup>
                </m:sSup>
                <m:r>
                  <w:rPr>
                    <w:rFonts w:ascii="Cambria Math" w:hAnsi="Cambria Math"/>
                  </w:rPr>
                  <m:t>=</m:t>
                </m:r>
                <m:r>
                  <m:rPr>
                    <m:sty m:val="p"/>
                  </m:rPr>
                  <w:rPr>
                    <w:rFonts w:ascii="Cambria Math" w:hAnsi="Cambria Math"/>
                  </w:rPr>
                  <m:t>function</m:t>
                </m:r>
                <m:r>
                  <w:rPr>
                    <w:rFonts w:ascii="Cambria Math" w:hAnsi="Cambria Math"/>
                  </w:rPr>
                  <m:t>(</m:t>
                </m:r>
                <m:sSup>
                  <m:sSupPr>
                    <m:ctrlPr>
                      <w:rPr>
                        <w:rFonts w:ascii="Cambria Math" w:hAnsi="Cambria Math"/>
                        <w:i/>
                        <w:iCs/>
                      </w:rPr>
                    </m:ctrlPr>
                  </m:sSupPr>
                  <m:e>
                    <m:r>
                      <w:rPr>
                        <w:rFonts w:ascii="Cambria Math" w:hAnsi="Cambria Math"/>
                      </w:rPr>
                      <m:t>f</m:t>
                    </m:r>
                  </m:e>
                  <m:sup>
                    <m:r>
                      <w:rPr>
                        <w:rFonts w:ascii="Cambria Math" w:hAnsi="Cambria Math"/>
                      </w:rPr>
                      <m:t>i</m:t>
                    </m:r>
                  </m:sup>
                </m:sSup>
                <m:r>
                  <w:rPr>
                    <w:rFonts w:ascii="Cambria Math" w:hAnsi="Cambria Math"/>
                  </w:rPr>
                  <m:t xml:space="preserve">, </m:t>
                </m:r>
                <m:sSup>
                  <m:sSupPr>
                    <m:ctrlPr>
                      <w:rPr>
                        <w:rFonts w:ascii="Cambria Math" w:hAnsi="Cambria Math"/>
                        <w:i/>
                        <w:iCs/>
                      </w:rPr>
                    </m:ctrlPr>
                  </m:sSupPr>
                  <m:e>
                    <m:r>
                      <w:rPr>
                        <w:rFonts w:ascii="Cambria Math" w:hAnsi="Cambria Math"/>
                      </w:rPr>
                      <m:t>P</m:t>
                    </m:r>
                  </m:e>
                  <m:sup>
                    <m:r>
                      <w:rPr>
                        <w:rFonts w:ascii="Cambria Math" w:hAnsi="Cambria Math"/>
                      </w:rPr>
                      <m:t>i</m:t>
                    </m:r>
                  </m:sup>
                </m:sSup>
                <m:r>
                  <w:rPr>
                    <w:rFonts w:ascii="Cambria Math" w:hAnsi="Cambria Math"/>
                  </w:rPr>
                  <m:t xml:space="preserve">, </m:t>
                </m:r>
                <m:sSup>
                  <m:sSupPr>
                    <m:ctrlPr>
                      <w:rPr>
                        <w:rFonts w:ascii="Cambria Math" w:hAnsi="Cambria Math"/>
                        <w:i/>
                        <w:iCs/>
                      </w:rPr>
                    </m:ctrlPr>
                  </m:sSupPr>
                  <m:e>
                    <m:r>
                      <w:rPr>
                        <w:rFonts w:ascii="Cambria Math" w:hAnsi="Cambria Math"/>
                      </w:rPr>
                      <m:t>C</m:t>
                    </m:r>
                  </m:e>
                  <m:sup>
                    <m:r>
                      <w:rPr>
                        <w:rFonts w:ascii="Cambria Math" w:hAnsi="Cambria Math"/>
                      </w:rPr>
                      <m:t>i</m:t>
                    </m:r>
                  </m:sup>
                </m:sSup>
                <m:r>
                  <w:rPr>
                    <w:rFonts w:ascii="Cambria Math" w:hAnsi="Cambria Math"/>
                  </w:rPr>
                  <m:t>)</m:t>
                </m:r>
              </m:oMath>
            </m:oMathPara>
          </w:p>
        </w:tc>
        <w:tc>
          <w:tcPr>
            <w:tcW w:w="815" w:type="dxa"/>
            <w:vAlign w:val="center"/>
          </w:tcPr>
          <w:p w14:paraId="4AA027DC" w14:textId="77777777" w:rsidR="00440BE4" w:rsidRPr="00DD09A4" w:rsidRDefault="00440BE4" w:rsidP="005D2B90">
            <w:pPr>
              <w:pStyle w:val="CETEquation"/>
              <w:jc w:val="right"/>
            </w:pPr>
            <w:r w:rsidRPr="00DD09A4">
              <w:t>(1)</w:t>
            </w:r>
          </w:p>
        </w:tc>
      </w:tr>
    </w:tbl>
    <w:p w14:paraId="2B5D1BAC" w14:textId="36E3080B" w:rsidR="00917C40" w:rsidRPr="00DD09A4" w:rsidRDefault="00440BE4" w:rsidP="006A71F1">
      <w:pPr>
        <w:pStyle w:val="CETBodytext"/>
      </w:pPr>
      <w:r w:rsidRPr="00DD09A4">
        <w:t>where</w:t>
      </w:r>
      <w:r w:rsidR="00BD5EE6" w:rsidRPr="00DD09A4">
        <w:t xml:space="preserve"> </w:t>
      </w:r>
      <m:oMath>
        <m:sSup>
          <m:sSupPr>
            <m:ctrlPr>
              <w:rPr>
                <w:rFonts w:ascii="Cambria Math" w:hAnsi="Cambria Math"/>
                <w:i/>
                <w:vertAlign w:val="superscript"/>
              </w:rPr>
            </m:ctrlPr>
          </m:sSupPr>
          <m:e>
            <m:r>
              <w:rPr>
                <w:rFonts w:ascii="Cambria Math" w:hAnsi="Cambria Math"/>
                <w:vertAlign w:val="superscript"/>
              </w:rPr>
              <m:t>f</m:t>
            </m:r>
          </m:e>
          <m:sup>
            <m:r>
              <w:rPr>
                <w:rFonts w:ascii="Cambria Math" w:hAnsi="Cambria Math"/>
                <w:vertAlign w:val="superscript"/>
              </w:rPr>
              <m:t>i</m:t>
            </m:r>
          </m:sup>
        </m:sSup>
      </m:oMath>
      <w:r w:rsidR="00BD5EE6" w:rsidRPr="00DD09A4">
        <w:t xml:space="preserve"> is</w:t>
      </w:r>
      <w:r w:rsidR="009732CD" w:rsidRPr="00DD09A4">
        <w:t xml:space="preserve"> </w:t>
      </w:r>
      <w:r w:rsidR="00BF1DD0" w:rsidRPr="00DD09A4">
        <w:t xml:space="preserve">the frequency of attempted cyber-attack </w:t>
      </w:r>
      <w:r w:rsidR="002C0E7A" w:rsidRPr="00DD09A4">
        <w:t xml:space="preserve">initiating cybersecurity scenario </w:t>
      </w:r>
      <m:oMath>
        <m:r>
          <w:rPr>
            <w:rFonts w:ascii="Cambria Math" w:hAnsi="Cambria Math"/>
          </w:rPr>
          <m:t>i</m:t>
        </m:r>
      </m:oMath>
      <w:r w:rsidR="002C0E7A" w:rsidRPr="00DD09A4">
        <w:t xml:space="preserve"> (y</w:t>
      </w:r>
      <w:r w:rsidR="002C0E7A" w:rsidRPr="00DD09A4">
        <w:rPr>
          <w:vertAlign w:val="superscript"/>
        </w:rPr>
        <w:t>-1</w:t>
      </w:r>
      <w:r w:rsidR="002C0E7A" w:rsidRPr="00DD09A4">
        <w:t>)</w:t>
      </w:r>
      <w:r w:rsidR="00BD5EE6" w:rsidRPr="00DD09A4">
        <w:t xml:space="preserve">, </w:t>
      </w:r>
      <m:oMath>
        <m:sSup>
          <m:sSupPr>
            <m:ctrlPr>
              <w:rPr>
                <w:rFonts w:ascii="Cambria Math" w:hAnsi="Cambria Math"/>
                <w:i/>
              </w:rPr>
            </m:ctrlPr>
          </m:sSupPr>
          <m:e>
            <m:r>
              <w:rPr>
                <w:rFonts w:ascii="Cambria Math" w:hAnsi="Cambria Math"/>
              </w:rPr>
              <m:t>P</m:t>
            </m:r>
          </m:e>
          <m:sup>
            <m:r>
              <w:rPr>
                <w:rFonts w:ascii="Cambria Math" w:hAnsi="Cambria Math"/>
              </w:rPr>
              <m:t>i</m:t>
            </m:r>
          </m:sup>
        </m:sSup>
      </m:oMath>
      <w:r w:rsidR="00BD5EE6" w:rsidRPr="00DD09A4">
        <w:t xml:space="preserve"> is the </w:t>
      </w:r>
      <w:r w:rsidR="00156CBB" w:rsidRPr="00DD09A4">
        <w:t xml:space="preserve">probability of </w:t>
      </w:r>
      <w:r w:rsidR="00E66305" w:rsidRPr="00DD09A4">
        <w:t>successful cyber-attack initiating cybersecurity scenario</w:t>
      </w:r>
      <m:oMath>
        <m:r>
          <w:rPr>
            <w:rFonts w:ascii="Cambria Math" w:hAnsi="Cambria Math"/>
          </w:rPr>
          <m:t xml:space="preserve"> i</m:t>
        </m:r>
      </m:oMath>
      <w:r w:rsidR="00E66305" w:rsidRPr="00DD09A4">
        <w:t xml:space="preserve"> given the attempt</w:t>
      </w:r>
      <w:r w:rsidR="00BD5EE6" w:rsidRPr="00DD09A4">
        <w:t xml:space="preserve">, </w:t>
      </w:r>
      <m:oMath>
        <m:sSup>
          <m:sSupPr>
            <m:ctrlPr>
              <w:rPr>
                <w:rFonts w:ascii="Cambria Math" w:hAnsi="Cambria Math"/>
                <w:i/>
              </w:rPr>
            </m:ctrlPr>
          </m:sSupPr>
          <m:e>
            <m:r>
              <w:rPr>
                <w:rFonts w:ascii="Cambria Math" w:hAnsi="Cambria Math"/>
              </w:rPr>
              <m:t>C</m:t>
            </m:r>
          </m:e>
          <m:sup>
            <m:r>
              <w:rPr>
                <w:rFonts w:ascii="Cambria Math" w:hAnsi="Cambria Math"/>
              </w:rPr>
              <m:t>i</m:t>
            </m:r>
          </m:sup>
        </m:sSup>
      </m:oMath>
      <w:r w:rsidR="00BD5EE6" w:rsidRPr="00DD09A4">
        <w:t xml:space="preserve"> is the </w:t>
      </w:r>
      <w:r w:rsidR="00F604C2" w:rsidRPr="00DD09A4">
        <w:t xml:space="preserve">severity of expected consequences of cybersecurity scenario </w:t>
      </w:r>
      <m:oMath>
        <m:r>
          <w:rPr>
            <w:rFonts w:ascii="Cambria Math" w:hAnsi="Cambria Math"/>
          </w:rPr>
          <m:t>i</m:t>
        </m:r>
      </m:oMath>
      <w:r w:rsidR="00B458C3" w:rsidRPr="00DD09A4">
        <w:t>.</w:t>
      </w:r>
      <w:r w:rsidR="00134D65">
        <w:t xml:space="preserve"> </w:t>
      </w:r>
      <w:r w:rsidR="00917C40" w:rsidRPr="00DD09A4">
        <w:t>The estimation of the</w:t>
      </w:r>
      <w:r w:rsidR="00301487" w:rsidRPr="00DD09A4">
        <w:t xml:space="preserve"> cyber-</w:t>
      </w:r>
      <w:r w:rsidR="00917C40" w:rsidRPr="00DD09A4">
        <w:t>attack frequency (</w:t>
      </w:r>
      <m:oMath>
        <m:sSup>
          <m:sSupPr>
            <m:ctrlPr>
              <w:rPr>
                <w:rFonts w:ascii="Cambria Math" w:hAnsi="Cambria Math"/>
                <w:i/>
              </w:rPr>
            </m:ctrlPr>
          </m:sSupPr>
          <m:e>
            <m:r>
              <w:rPr>
                <w:rFonts w:ascii="Cambria Math" w:hAnsi="Cambria Math"/>
              </w:rPr>
              <m:t>f</m:t>
            </m:r>
            <m:ctrlPr>
              <w:rPr>
                <w:rFonts w:ascii="Cambria Math" w:hAnsi="Cambria Math"/>
                <w:i/>
                <w:iCs/>
              </w:rPr>
            </m:ctrlPr>
          </m:e>
          <m:sup>
            <m:r>
              <w:rPr>
                <w:rFonts w:ascii="Cambria Math" w:hAnsi="Cambria Math"/>
              </w:rPr>
              <m:t>i</m:t>
            </m:r>
          </m:sup>
        </m:sSup>
      </m:oMath>
      <w:r w:rsidR="00917C40" w:rsidRPr="00DD09A4">
        <w:t xml:space="preserve">) represents a challenging task, </w:t>
      </w:r>
      <w:r w:rsidR="00F5199D" w:rsidRPr="00DD09A4">
        <w:t xml:space="preserve">as it depends on factors external to the risk analysis domain, such as the </w:t>
      </w:r>
      <w:r w:rsidR="00A4653F" w:rsidRPr="00DD09A4">
        <w:t>socio-</w:t>
      </w:r>
      <w:r w:rsidR="00F5199D" w:rsidRPr="00DD09A4">
        <w:t>political context</w:t>
      </w:r>
      <w:r w:rsidR="00B643CA" w:rsidRPr="00DD09A4">
        <w:t xml:space="preserve"> of the facility under analysis</w:t>
      </w:r>
      <w:r w:rsidR="00F8129F" w:rsidRPr="00DD09A4">
        <w:t xml:space="preserve">, so is </w:t>
      </w:r>
      <w:r w:rsidR="00917C40" w:rsidRPr="00DD09A4">
        <w:t xml:space="preserve">often assumed </w:t>
      </w:r>
      <w:r w:rsidR="00F5199D" w:rsidRPr="00DD09A4">
        <w:t>as unitary</w:t>
      </w:r>
      <w:r w:rsidR="00892E39" w:rsidRPr="00DD09A4">
        <w:t xml:space="preserve"> (</w:t>
      </w:r>
      <w:r w:rsidR="00E5185F" w:rsidRPr="00DD09A4">
        <w:t xml:space="preserve">i.e., the risk </w:t>
      </w:r>
      <w:r w:rsidR="00B643CA" w:rsidRPr="00DD09A4">
        <w:t xml:space="preserve">is </w:t>
      </w:r>
      <w:r w:rsidR="00E5185F" w:rsidRPr="00DD09A4">
        <w:t>calculated in the event of the attack)</w:t>
      </w:r>
      <w:r w:rsidR="00917C40" w:rsidRPr="00DD09A4">
        <w:t>. However, dedicated models based on the concept of system attractiveness are available for its evaluation</w:t>
      </w:r>
      <w:r w:rsidR="006A71F1">
        <w:t xml:space="preserve"> </w:t>
      </w:r>
      <w:sdt>
        <w:sdtPr>
          <w:rPr>
            <w:rFonts w:cs="Arial"/>
            <w:color w:val="000000"/>
          </w:rPr>
          <w:tag w:val="MENDELEY_CITATION_v3_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"/>
          <w:id w:val="-1134787078"/>
          <w:placeholder>
            <w:docPart w:val="5A7E08A6AA944F089BF031E1C72BFB35"/>
          </w:placeholder>
        </w:sdtPr>
        <w:sdtEndPr/>
        <w:sdtContent>
          <w:r w:rsidR="007A320F" w:rsidRPr="007A320F">
            <w:rPr>
              <w:rFonts w:cs="Arial"/>
              <w:color w:val="000000"/>
            </w:rPr>
            <w:t>(</w:t>
          </w:r>
          <w:proofErr w:type="spellStart"/>
          <w:r w:rsidR="007A320F" w:rsidRPr="007A320F">
            <w:rPr>
              <w:rFonts w:cs="Arial"/>
              <w:color w:val="000000"/>
            </w:rPr>
            <w:t>Landucci</w:t>
          </w:r>
          <w:proofErr w:type="spellEnd"/>
          <w:r w:rsidR="007A320F" w:rsidRPr="007A320F">
            <w:rPr>
              <w:rFonts w:cs="Arial"/>
              <w:color w:val="000000"/>
            </w:rPr>
            <w:t xml:space="preserve"> et al., 2022)</w:t>
          </w:r>
        </w:sdtContent>
      </w:sdt>
      <w:r w:rsidR="00917C40" w:rsidRPr="00DD09A4">
        <w:t>. Conversely, the estimation of the probability of success (</w:t>
      </w:r>
      <m:oMath>
        <m:sSup>
          <m:sSupPr>
            <m:ctrlPr>
              <w:rPr>
                <w:rFonts w:ascii="Cambria Math" w:hAnsi="Cambria Math"/>
                <w:i/>
              </w:rPr>
            </m:ctrlPr>
          </m:sSupPr>
          <m:e>
            <m:r>
              <w:rPr>
                <w:rFonts w:ascii="Cambria Math" w:hAnsi="Cambria Math"/>
              </w:rPr>
              <m:t>P</m:t>
            </m:r>
            <m:ctrlPr>
              <w:rPr>
                <w:rFonts w:ascii="Cambria Math" w:hAnsi="Cambria Math"/>
                <w:i/>
                <w:iCs/>
              </w:rPr>
            </m:ctrlPr>
          </m:e>
          <m:sup>
            <m:r>
              <w:rPr>
                <w:rFonts w:ascii="Cambria Math" w:hAnsi="Cambria Math"/>
              </w:rPr>
              <m:t>i</m:t>
            </m:r>
          </m:sup>
        </m:sSup>
      </m:oMath>
      <w:r w:rsidR="00917C40" w:rsidRPr="00DD09A4">
        <w:t>)</w:t>
      </w:r>
      <w:r w:rsidR="00986F24" w:rsidRPr="00DD09A4">
        <w:t xml:space="preserve">, </w:t>
      </w:r>
      <w:r w:rsidR="00A96943" w:rsidRPr="00DD09A4">
        <w:t xml:space="preserve">which is the subject of the present study, </w:t>
      </w:r>
      <w:r w:rsidR="00742146" w:rsidRPr="00DD09A4">
        <w:t xml:space="preserve">falls within the background of risk analysists as it </w:t>
      </w:r>
      <w:r w:rsidR="00917C40" w:rsidRPr="00DD09A4">
        <w:t xml:space="preserve">requires </w:t>
      </w:r>
      <w:r w:rsidR="000B2AA3" w:rsidRPr="00DD09A4">
        <w:t xml:space="preserve">the </w:t>
      </w:r>
      <w:r w:rsidR="007870C0" w:rsidRPr="00DD09A4">
        <w:t>simulation</w:t>
      </w:r>
      <w:r w:rsidR="000B2AA3" w:rsidRPr="00DD09A4">
        <w:t xml:space="preserve"> of the </w:t>
      </w:r>
      <w:r w:rsidR="007870C0" w:rsidRPr="00DD09A4">
        <w:t xml:space="preserve">dynamic of the system as a consequence </w:t>
      </w:r>
      <w:r w:rsidR="00C000FA" w:rsidRPr="00DD09A4">
        <w:t>of</w:t>
      </w:r>
      <w:r w:rsidR="00917C40" w:rsidRPr="00DD09A4">
        <w:t xml:space="preserve"> </w:t>
      </w:r>
      <w:r w:rsidR="00FE5247" w:rsidRPr="00DD09A4">
        <w:t>BPCS</w:t>
      </w:r>
      <w:r w:rsidR="00917C40" w:rsidRPr="00DD09A4">
        <w:t xml:space="preserve"> and </w:t>
      </w:r>
      <w:r w:rsidR="00FE5247" w:rsidRPr="00DD09A4">
        <w:t xml:space="preserve">SIS </w:t>
      </w:r>
      <w:r w:rsidR="00C000FA" w:rsidRPr="00DD09A4">
        <w:t>controller</w:t>
      </w:r>
      <w:r w:rsidR="00917C40" w:rsidRPr="00DD09A4">
        <w:t xml:space="preserve">. In particular, it relies on the evaluation of the characteristic time of the cybersecurity scenario, defined as the time interval between the first malicious manipulation and the occurrence of </w:t>
      </w:r>
      <w:r w:rsidR="002E06DC" w:rsidRPr="00DD09A4">
        <w:t>the expected damage</w:t>
      </w:r>
      <w:r w:rsidR="00917C40" w:rsidRPr="00DD09A4">
        <w:t>.</w:t>
      </w:r>
      <w:r w:rsidR="00A2389A" w:rsidRPr="00DD09A4">
        <w:t xml:space="preserve"> Finally, the assessment of consequences (</w:t>
      </w:r>
      <m:oMath>
        <m:sSup>
          <m:sSupPr>
            <m:ctrlPr>
              <w:rPr>
                <w:rFonts w:ascii="Cambria Math" w:hAnsi="Cambria Math"/>
                <w:i/>
              </w:rPr>
            </m:ctrlPr>
          </m:sSupPr>
          <m:e>
            <m:r>
              <w:rPr>
                <w:rFonts w:ascii="Cambria Math" w:hAnsi="Cambria Math"/>
              </w:rPr>
              <m:t>C</m:t>
            </m:r>
            <m:ctrlPr>
              <w:rPr>
                <w:rFonts w:ascii="Cambria Math" w:hAnsi="Cambria Math"/>
                <w:i/>
                <w:iCs/>
              </w:rPr>
            </m:ctrlPr>
          </m:e>
          <m:sup>
            <m:r>
              <w:rPr>
                <w:rFonts w:ascii="Cambria Math" w:hAnsi="Cambria Math"/>
              </w:rPr>
              <m:t>i</m:t>
            </m:r>
          </m:sup>
        </m:sSup>
      </m:oMath>
      <w:r w:rsidR="00A2389A" w:rsidRPr="00DD09A4">
        <w:t xml:space="preserve">) can be performed using consequence analysis models that are commonly applied in the process safety domain </w:t>
      </w:r>
      <w:sdt>
        <w:sdtPr>
          <w:rPr>
            <w:rFonts w:cs="Arial"/>
            <w:color w:val="000000"/>
          </w:rPr>
          <w:tag w:val="MENDELEY_CITATION_v3_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"/>
          <w:id w:val="-172647696"/>
          <w:placeholder>
            <w:docPart w:val="4F9F57AA15134A6FA691F6596388FD10"/>
          </w:placeholder>
        </w:sdtPr>
        <w:sdtEndPr/>
        <w:sdtContent>
          <w:r w:rsidR="007A320F" w:rsidRPr="007A320F">
            <w:rPr>
              <w:rFonts w:cs="Arial"/>
              <w:color w:val="000000"/>
            </w:rPr>
            <w:t>(Ab Rahim et al., 2024)</w:t>
          </w:r>
        </w:sdtContent>
      </w:sdt>
      <w:r w:rsidR="00A2389A" w:rsidRPr="00DD09A4">
        <w:t>.</w:t>
      </w:r>
    </w:p>
    <w:p w14:paraId="40DFA740" w14:textId="7BF379FF" w:rsidR="00F25760" w:rsidRPr="00DD09A4" w:rsidRDefault="00CF03CD" w:rsidP="004C260A">
      <w:pPr>
        <w:pStyle w:val="CETBodytext"/>
        <w:rPr>
          <w:lang w:val="en-GB"/>
        </w:rPr>
      </w:pPr>
      <w:r w:rsidRPr="00DD09A4">
        <w:rPr>
          <w:lang w:val="en-GB"/>
        </w:rPr>
        <w:t>In this study, the EASI (Estimate of Adversary Sequence Interruption) model</w:t>
      </w:r>
      <w:r w:rsidR="00A96943" w:rsidRPr="00DD09A4">
        <w:rPr>
          <w:lang w:val="en-GB"/>
        </w:rPr>
        <w:t xml:space="preserve">, developed by the Sandia National Laboratories </w:t>
      </w:r>
      <w:r w:rsidR="00506501" w:rsidRPr="00DD09A4">
        <w:rPr>
          <w:lang w:val="en-GB"/>
        </w:rPr>
        <w:t xml:space="preserve">in the context of </w:t>
      </w:r>
      <w:r w:rsidR="00885709" w:rsidRPr="00DD09A4">
        <w:rPr>
          <w:lang w:val="en-GB"/>
        </w:rPr>
        <w:t>security of nuclear power plants</w:t>
      </w:r>
      <w:r w:rsidR="00356BAC" w:rsidRPr="00DD09A4">
        <w:rPr>
          <w:lang w:val="en-GB"/>
        </w:rPr>
        <w:t xml:space="preserve"> </w:t>
      </w:r>
      <w:sdt>
        <w:sdtPr>
          <w:rPr>
            <w:rFonts w:cs="Arial"/>
            <w:color w:val="000000"/>
            <w:lang w:val="en-GB"/>
          </w:rPr>
          <w:tag w:val="MENDELEY_CITATION_v3_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"/>
          <w:id w:val="409048723"/>
          <w:placeholder>
            <w:docPart w:val="23127477D2CD46ECBFD09DCD750B20A5"/>
          </w:placeholder>
        </w:sdtPr>
        <w:sdtEndPr/>
        <w:sdtContent>
          <w:r w:rsidR="007A320F" w:rsidRPr="007A320F">
            <w:rPr>
              <w:rFonts w:cs="Arial"/>
              <w:color w:val="000000"/>
              <w:lang w:val="en-GB"/>
            </w:rPr>
            <w:t>(Garcia, 2007)</w:t>
          </w:r>
        </w:sdtContent>
      </w:sdt>
      <w:r w:rsidR="00885709" w:rsidRPr="00DD09A4">
        <w:rPr>
          <w:lang w:val="en-GB"/>
        </w:rPr>
        <w:t xml:space="preserve">, </w:t>
      </w:r>
      <w:r w:rsidRPr="00DD09A4">
        <w:rPr>
          <w:lang w:val="en-GB"/>
        </w:rPr>
        <w:t>is ad</w:t>
      </w:r>
      <w:r w:rsidR="007A4875" w:rsidRPr="00DD09A4">
        <w:rPr>
          <w:lang w:val="en-GB"/>
        </w:rPr>
        <w:t xml:space="preserve">apted </w:t>
      </w:r>
      <w:r w:rsidR="00356BAC" w:rsidRPr="00DD09A4">
        <w:rPr>
          <w:lang w:val="en-GB"/>
        </w:rPr>
        <w:t xml:space="preserve">and used for the calculation of </w:t>
      </w:r>
      <m:oMath>
        <m:sSup>
          <m:sSupPr>
            <m:ctrlPr>
              <w:rPr>
                <w:rFonts w:ascii="Cambria Math" w:hAnsi="Cambria Math"/>
                <w:i/>
                <w:lang w:val="en-GB"/>
              </w:rPr>
            </m:ctrlPr>
          </m:sSupPr>
          <m:e>
            <m:r>
              <w:rPr>
                <w:rFonts w:ascii="Cambria Math" w:hAnsi="Cambria Math"/>
                <w:lang w:val="en-GB"/>
              </w:rPr>
              <m:t>P</m:t>
            </m:r>
            <m:ctrlPr>
              <w:rPr>
                <w:rFonts w:ascii="Cambria Math" w:hAnsi="Cambria Math"/>
                <w:i/>
                <w:iCs/>
                <w:lang w:val="en-GB"/>
              </w:rPr>
            </m:ctrlPr>
          </m:e>
          <m:sup>
            <m:r>
              <w:rPr>
                <w:rFonts w:ascii="Cambria Math" w:hAnsi="Cambria Math"/>
                <w:lang w:val="en-GB"/>
              </w:rPr>
              <m:t>i</m:t>
            </m:r>
          </m:sup>
        </m:sSup>
      </m:oMath>
      <w:r w:rsidRPr="00DD09A4">
        <w:rPr>
          <w:lang w:val="en-GB"/>
        </w:rPr>
        <w:t xml:space="preserve">. The </w:t>
      </w:r>
      <w:r w:rsidR="00533160" w:rsidRPr="00DD09A4">
        <w:rPr>
          <w:lang w:val="en-GB"/>
        </w:rPr>
        <w:t>latter</w:t>
      </w:r>
      <w:r w:rsidRPr="00DD09A4">
        <w:rPr>
          <w:lang w:val="en-GB"/>
        </w:rPr>
        <w:t xml:space="preserve"> is estimated by comparing the time required for the</w:t>
      </w:r>
      <w:r w:rsidR="00B52162" w:rsidRPr="00DD09A4">
        <w:rPr>
          <w:lang w:val="en-GB"/>
        </w:rPr>
        <w:t xml:space="preserve"> attacker</w:t>
      </w:r>
      <w:r w:rsidRPr="00DD09A4">
        <w:rPr>
          <w:lang w:val="en-GB"/>
        </w:rPr>
        <w:t xml:space="preserve"> to complete the attack after </w:t>
      </w:r>
      <w:r w:rsidR="00B52162" w:rsidRPr="00DD09A4">
        <w:rPr>
          <w:lang w:val="en-GB"/>
        </w:rPr>
        <w:t xml:space="preserve">first </w:t>
      </w:r>
      <w:r w:rsidRPr="00DD09A4">
        <w:rPr>
          <w:lang w:val="en-GB"/>
        </w:rPr>
        <w:t>detection</w:t>
      </w:r>
      <w:r w:rsidR="00ED7B9D" w:rsidRPr="00DD09A4">
        <w:rPr>
          <w:lang w:val="en-GB"/>
        </w:rPr>
        <w:t xml:space="preserve"> </w:t>
      </w:r>
      <w:r w:rsidR="00325E6C" w:rsidRPr="00DD09A4">
        <w:rPr>
          <w:lang w:val="en-GB"/>
        </w:rPr>
        <w:t xml:space="preserve">(see DTDT in EASI timing diagram in </w:t>
      </w:r>
      <w:r w:rsidR="00325E6C" w:rsidRPr="00DD09A4">
        <w:rPr>
          <w:highlight w:val="yellow"/>
          <w:lang w:val="en-GB"/>
        </w:rPr>
        <w:fldChar w:fldCharType="begin"/>
      </w:r>
      <w:r w:rsidR="00325E6C" w:rsidRPr="00DD09A4">
        <w:rPr>
          <w:lang w:val="en-GB"/>
        </w:rPr>
        <w:instrText xml:space="preserve"> REF _Ref221162999 \h </w:instrText>
      </w:r>
      <w:r w:rsidR="00325E6C" w:rsidRPr="00DD09A4">
        <w:rPr>
          <w:highlight w:val="yellow"/>
          <w:lang w:val="en-GB"/>
        </w:rPr>
      </w:r>
      <w:r w:rsidR="00325E6C" w:rsidRPr="00DD09A4">
        <w:rPr>
          <w:highlight w:val="yellow"/>
          <w:lang w:val="en-GB"/>
        </w:rPr>
        <w:fldChar w:fldCharType="separate"/>
      </w:r>
      <w:r w:rsidR="00325E6C" w:rsidRPr="00DD09A4">
        <w:rPr>
          <w:lang w:val="en-GB"/>
        </w:rPr>
        <w:t xml:space="preserve">Figure </w:t>
      </w:r>
      <w:r w:rsidR="00325E6C" w:rsidRPr="00DD09A4">
        <w:rPr>
          <w:noProof/>
          <w:lang w:val="en-GB"/>
        </w:rPr>
        <w:t>1</w:t>
      </w:r>
      <w:r w:rsidR="00325E6C" w:rsidRPr="00DD09A4">
        <w:rPr>
          <w:highlight w:val="yellow"/>
          <w:lang w:val="en-GB"/>
        </w:rPr>
        <w:fldChar w:fldCharType="end"/>
      </w:r>
      <w:r w:rsidR="00325E6C" w:rsidRPr="00DD09A4">
        <w:rPr>
          <w:lang w:val="en-GB"/>
        </w:rPr>
        <w:t>)</w:t>
      </w:r>
      <w:r w:rsidRPr="00DD09A4">
        <w:rPr>
          <w:lang w:val="en-GB"/>
        </w:rPr>
        <w:t xml:space="preserve"> with the response time associated with a specific intervention strategy</w:t>
      </w:r>
      <w:r w:rsidR="00AA2E36" w:rsidRPr="00DD09A4">
        <w:rPr>
          <w:lang w:val="en-GB"/>
        </w:rPr>
        <w:t xml:space="preserve"> (see RT in </w:t>
      </w:r>
      <w:r w:rsidR="00505506" w:rsidRPr="00DD09A4">
        <w:rPr>
          <w:highlight w:val="yellow"/>
          <w:lang w:val="en-GB"/>
        </w:rPr>
        <w:fldChar w:fldCharType="begin"/>
      </w:r>
      <w:r w:rsidR="00505506" w:rsidRPr="00DD09A4">
        <w:rPr>
          <w:lang w:val="en-GB"/>
        </w:rPr>
        <w:instrText xml:space="preserve"> REF _Ref221162999 \h </w:instrText>
      </w:r>
      <w:r w:rsidR="00505506" w:rsidRPr="00DD09A4">
        <w:rPr>
          <w:highlight w:val="yellow"/>
          <w:lang w:val="en-GB"/>
        </w:rPr>
      </w:r>
      <w:r w:rsidR="00505506" w:rsidRPr="00DD09A4">
        <w:rPr>
          <w:highlight w:val="yellow"/>
          <w:lang w:val="en-GB"/>
        </w:rPr>
        <w:fldChar w:fldCharType="separate"/>
      </w:r>
      <w:r w:rsidR="00505506" w:rsidRPr="00DD09A4">
        <w:rPr>
          <w:lang w:val="en-GB"/>
        </w:rPr>
        <w:t xml:space="preserve">Figure </w:t>
      </w:r>
      <w:r w:rsidR="00505506" w:rsidRPr="00DD09A4">
        <w:rPr>
          <w:noProof/>
          <w:lang w:val="en-GB"/>
        </w:rPr>
        <w:t>1</w:t>
      </w:r>
      <w:r w:rsidR="00505506" w:rsidRPr="00DD09A4">
        <w:rPr>
          <w:highlight w:val="yellow"/>
          <w:lang w:val="en-GB"/>
        </w:rPr>
        <w:fldChar w:fldCharType="end"/>
      </w:r>
      <w:r w:rsidR="00AA2E36" w:rsidRPr="00DD09A4">
        <w:rPr>
          <w:lang w:val="en-GB"/>
        </w:rPr>
        <w:t>)</w:t>
      </w:r>
      <w:r w:rsidR="008F410C" w:rsidRPr="00DD09A4">
        <w:rPr>
          <w:lang w:val="en-GB"/>
        </w:rPr>
        <w:t xml:space="preserve">, considering normal distributions </w:t>
      </w:r>
      <w:r w:rsidR="00BC1B6B" w:rsidRPr="00DD09A4">
        <w:rPr>
          <w:lang w:val="en-GB"/>
        </w:rPr>
        <w:t>(standard deviation equal to 30% of their mean value)</w:t>
      </w:r>
      <w:r w:rsidR="00FF5307" w:rsidRPr="00DD09A4">
        <w:rPr>
          <w:lang w:val="en-GB"/>
        </w:rPr>
        <w:t xml:space="preserve"> </w:t>
      </w:r>
      <w:r w:rsidR="008F410C" w:rsidRPr="00DD09A4">
        <w:rPr>
          <w:lang w:val="en-GB"/>
        </w:rPr>
        <w:t>for both DTDT and RT, as expressed in Eq. (2):</w:t>
      </w:r>
    </w:p>
    <w:tbl>
      <w:tblPr>
        <w:tblW w:w="5000" w:type="pct"/>
        <w:tblLook w:val="04A0" w:firstRow="1" w:lastRow="0" w:firstColumn="1" w:lastColumn="0" w:noHBand="0" w:noVBand="1"/>
      </w:tblPr>
      <w:tblGrid>
        <w:gridCol w:w="8006"/>
        <w:gridCol w:w="781"/>
      </w:tblGrid>
      <w:tr w:rsidR="00215DDE" w:rsidRPr="00DD09A4" w14:paraId="32458BA8" w14:textId="77777777" w:rsidTr="00215DDE">
        <w:tc>
          <w:tcPr>
            <w:tcW w:w="8006" w:type="dxa"/>
            <w:vAlign w:val="center"/>
          </w:tcPr>
          <w:p w14:paraId="52602BE3" w14:textId="608E4684" w:rsidR="00215DDE" w:rsidRPr="00043982" w:rsidRDefault="007074D2" w:rsidP="005D2B90">
            <w:pPr>
              <w:pStyle w:val="CETEquation"/>
              <w:rPr>
                <w:noProof/>
              </w:rPr>
            </w:pPr>
            <m:oMathPara>
              <m:oMathParaPr>
                <m:jc m:val="left"/>
              </m:oMathParaPr>
              <m:oMath>
                <m:sSup>
                  <m:sSupPr>
                    <m:ctrlPr>
                      <w:rPr>
                        <w:rFonts w:ascii="Cambria Math" w:hAnsi="Cambria Math"/>
                        <w:i/>
                        <w:noProof/>
                      </w:rPr>
                    </m:ctrlPr>
                  </m:sSupPr>
                  <m:e>
                    <m:r>
                      <w:rPr>
                        <w:rFonts w:ascii="Cambria Math" w:hAnsi="Cambria Math"/>
                        <w:noProof/>
                      </w:rPr>
                      <m:t>P</m:t>
                    </m:r>
                  </m:e>
                  <m:sup>
                    <m:r>
                      <w:rPr>
                        <w:rFonts w:ascii="Cambria Math" w:hAnsi="Cambria Math"/>
                        <w:noProof/>
                      </w:rPr>
                      <m:t>i</m:t>
                    </m:r>
                  </m:sup>
                </m:sSup>
                <m:r>
                  <w:rPr>
                    <w:rFonts w:ascii="Cambria Math" w:hAnsi="Cambria Math"/>
                    <w:noProof/>
                  </w:rPr>
                  <m:t>=</m:t>
                </m:r>
                <m:r>
                  <w:rPr>
                    <w:rFonts w:ascii="Cambria Math" w:hAnsi="Cambria Math"/>
                    <w:noProof/>
                  </w:rPr>
                  <m:t>p</m:t>
                </m:r>
                <m:d>
                  <m:dPr>
                    <m:ctrlPr>
                      <w:rPr>
                        <w:rFonts w:ascii="Cambria Math" w:hAnsi="Cambria Math"/>
                        <w:i/>
                        <w:noProof/>
                      </w:rPr>
                    </m:ctrlPr>
                  </m:dPr>
                  <m:e>
                    <m:r>
                      <w:rPr>
                        <w:rFonts w:ascii="Cambria Math" w:hAnsi="Cambria Math"/>
                        <w:noProof/>
                      </w:rPr>
                      <m:t>x</m:t>
                    </m:r>
                    <m:r>
                      <w:rPr>
                        <w:rFonts w:ascii="Cambria Math" w:hAnsi="Cambria Math"/>
                        <w:noProof/>
                      </w:rPr>
                      <m:t>=</m:t>
                    </m:r>
                    <m:r>
                      <w:rPr>
                        <w:rFonts w:ascii="Cambria Math" w:hAnsi="Cambria Math"/>
                        <w:noProof/>
                      </w:rPr>
                      <m:t>RT</m:t>
                    </m:r>
                    <m:r>
                      <w:rPr>
                        <w:rFonts w:ascii="Cambria Math" w:hAnsi="Cambria Math"/>
                        <w:noProof/>
                      </w:rPr>
                      <m:t>-</m:t>
                    </m:r>
                    <m:r>
                      <w:rPr>
                        <w:rFonts w:ascii="Cambria Math" w:hAnsi="Cambria Math"/>
                        <w:noProof/>
                      </w:rPr>
                      <m:t>DTDT</m:t>
                    </m:r>
                    <m:r>
                      <w:rPr>
                        <w:rFonts w:ascii="Cambria Math" w:hAnsi="Cambria Math"/>
                        <w:noProof/>
                      </w:rPr>
                      <m:t>&gt;0</m:t>
                    </m:r>
                  </m:e>
                </m:d>
                <m:r>
                  <w:rPr>
                    <w:rFonts w:ascii="Cambria Math" w:hAnsi="Cambria Math"/>
                    <w:noProof/>
                  </w:rPr>
                  <m:t>=</m:t>
                </m:r>
                <m:nary>
                  <m:naryPr>
                    <m:limLoc m:val="subSup"/>
                    <m:ctrlPr>
                      <w:rPr>
                        <w:rFonts w:ascii="Cambria Math" w:hAnsi="Cambria Math"/>
                        <w:i/>
                        <w:noProof/>
                      </w:rPr>
                    </m:ctrlPr>
                  </m:naryPr>
                  <m:sub>
                    <m:r>
                      <w:rPr>
                        <w:rFonts w:ascii="Cambria Math" w:hAnsi="Cambria Math"/>
                        <w:noProof/>
                      </w:rPr>
                      <m:t>0</m:t>
                    </m:r>
                  </m:sub>
                  <m:sup>
                    <m:r>
                      <w:rPr>
                        <w:rFonts w:ascii="Cambria Math" w:hAnsi="Cambria Math"/>
                        <w:noProof/>
                      </w:rPr>
                      <m:t>+∞</m:t>
                    </m:r>
                  </m:sup>
                  <m:e>
                    <m:f>
                      <m:fPr>
                        <m:ctrlPr>
                          <w:rPr>
                            <w:rFonts w:ascii="Cambria Math" w:hAnsi="Cambria Math"/>
                            <w:i/>
                            <w:noProof/>
                          </w:rPr>
                        </m:ctrlPr>
                      </m:fPr>
                      <m:num>
                        <m:r>
                          <w:rPr>
                            <w:rFonts w:ascii="Cambria Math" w:hAnsi="Cambria Math"/>
                            <w:noProof/>
                          </w:rPr>
                          <m:t>1</m:t>
                        </m:r>
                      </m:num>
                      <m:den>
                        <m:rad>
                          <m:radPr>
                            <m:degHide m:val="1"/>
                            <m:ctrlPr>
                              <w:rPr>
                                <w:rFonts w:ascii="Cambria Math" w:hAnsi="Cambria Math"/>
                                <w:i/>
                                <w:noProof/>
                              </w:rPr>
                            </m:ctrlPr>
                          </m:radPr>
                          <m:deg/>
                          <m:e>
                            <m:r>
                              <w:rPr>
                                <w:rFonts w:ascii="Cambria Math" w:hAnsi="Cambria Math"/>
                                <w:noProof/>
                              </w:rPr>
                              <m:t>2</m:t>
                            </m:r>
                            <m:r>
                              <w:rPr>
                                <w:rFonts w:ascii="Cambria Math" w:hAnsi="Cambria Math"/>
                                <w:noProof/>
                              </w:rPr>
                              <m:t>π</m:t>
                            </m:r>
                            <m:sSup>
                              <m:sSupPr>
                                <m:ctrlPr>
                                  <w:rPr>
                                    <w:rFonts w:ascii="Cambria Math" w:hAnsi="Cambria Math"/>
                                    <w:i/>
                                    <w:noProof/>
                                  </w:rPr>
                                </m:ctrlPr>
                              </m:sSupPr>
                              <m:e>
                                <m:r>
                                  <w:rPr>
                                    <w:rFonts w:ascii="Cambria Math" w:hAnsi="Cambria Math"/>
                                    <w:noProof/>
                                  </w:rPr>
                                  <m:t>σ</m:t>
                                </m:r>
                              </m:e>
                              <m:sup>
                                <m:r>
                                  <w:rPr>
                                    <w:rFonts w:ascii="Cambria Math" w:hAnsi="Cambria Math"/>
                                    <w:noProof/>
                                  </w:rPr>
                                  <m:t>2</m:t>
                                </m:r>
                              </m:sup>
                            </m:sSup>
                          </m:e>
                        </m:rad>
                      </m:den>
                    </m:f>
                    <m:func>
                      <m:funcPr>
                        <m:ctrlPr>
                          <w:rPr>
                            <w:rFonts w:ascii="Cambria Math" w:hAnsi="Cambria Math"/>
                            <w:i/>
                            <w:noProof/>
                          </w:rPr>
                        </m:ctrlPr>
                      </m:funcPr>
                      <m:fName>
                        <m:r>
                          <m:rPr>
                            <m:sty m:val="p"/>
                          </m:rPr>
                          <w:rPr>
                            <w:rFonts w:ascii="Cambria Math" w:hAnsi="Cambria Math"/>
                            <w:noProof/>
                          </w:rPr>
                          <m:t>exp</m:t>
                        </m:r>
                      </m:fName>
                      <m:e>
                        <m:d>
                          <m:dPr>
                            <m:begChr m:val="["/>
                            <m:endChr m:val="]"/>
                            <m:ctrlPr>
                              <w:rPr>
                                <w:rFonts w:ascii="Cambria Math" w:hAnsi="Cambria Math"/>
                                <w:i/>
                                <w:noProof/>
                              </w:rPr>
                            </m:ctrlPr>
                          </m:dPr>
                          <m:e>
                            <m:r>
                              <w:rPr>
                                <w:rFonts w:ascii="Cambria Math" w:hAnsi="Cambria Math"/>
                                <w:noProof/>
                              </w:rPr>
                              <m:t>-</m:t>
                            </m:r>
                            <m:f>
                              <m:fPr>
                                <m:ctrlPr>
                                  <w:rPr>
                                    <w:rFonts w:ascii="Cambria Math" w:hAnsi="Cambria Math"/>
                                    <w:i/>
                                    <w:noProof/>
                                  </w:rPr>
                                </m:ctrlPr>
                              </m:fPr>
                              <m:num>
                                <m:sSup>
                                  <m:sSupPr>
                                    <m:ctrlPr>
                                      <w:rPr>
                                        <w:rFonts w:ascii="Cambria Math" w:hAnsi="Cambria Math"/>
                                        <w:i/>
                                        <w:noProof/>
                                      </w:rPr>
                                    </m:ctrlPr>
                                  </m:sSupPr>
                                  <m:e>
                                    <m:d>
                                      <m:dPr>
                                        <m:ctrlPr>
                                          <w:rPr>
                                            <w:rFonts w:ascii="Cambria Math" w:hAnsi="Cambria Math"/>
                                            <w:i/>
                                            <w:noProof/>
                                          </w:rPr>
                                        </m:ctrlPr>
                                      </m:dPr>
                                      <m:e>
                                        <m:r>
                                          <w:rPr>
                                            <w:rFonts w:ascii="Cambria Math" w:hAnsi="Cambria Math"/>
                                            <w:noProof/>
                                          </w:rPr>
                                          <m:t>x</m:t>
                                        </m:r>
                                        <m:r>
                                          <w:rPr>
                                            <w:rFonts w:ascii="Cambria Math" w:hAnsi="Cambria Math"/>
                                            <w:noProof/>
                                          </w:rPr>
                                          <m:t>-</m:t>
                                        </m:r>
                                        <m:sSub>
                                          <m:sSubPr>
                                            <m:ctrlPr>
                                              <w:rPr>
                                                <w:rFonts w:ascii="Cambria Math" w:hAnsi="Cambria Math"/>
                                                <w:i/>
                                                <w:noProof/>
                                              </w:rPr>
                                            </m:ctrlPr>
                                          </m:sSubPr>
                                          <m:e>
                                            <m:r>
                                              <w:rPr>
                                                <w:rFonts w:ascii="Cambria Math" w:hAnsi="Cambria Math"/>
                                                <w:noProof/>
                                              </w:rPr>
                                              <m:t>μ</m:t>
                                            </m:r>
                                          </m:e>
                                          <m:sub>
                                            <m:r>
                                              <w:rPr>
                                                <w:rFonts w:ascii="Cambria Math" w:hAnsi="Cambria Math"/>
                                                <w:noProof/>
                                              </w:rPr>
                                              <m:t>x</m:t>
                                            </m:r>
                                          </m:sub>
                                        </m:sSub>
                                      </m:e>
                                    </m:d>
                                  </m:e>
                                  <m:sup>
                                    <m:r>
                                      <w:rPr>
                                        <w:rFonts w:ascii="Cambria Math" w:hAnsi="Cambria Math"/>
                                        <w:noProof/>
                                      </w:rPr>
                                      <m:t>2</m:t>
                                    </m:r>
                                  </m:sup>
                                </m:sSup>
                              </m:num>
                              <m:den>
                                <m:r>
                                  <w:rPr>
                                    <w:rFonts w:ascii="Cambria Math" w:hAnsi="Cambria Math"/>
                                    <w:noProof/>
                                  </w:rPr>
                                  <m:t>2</m:t>
                                </m:r>
                                <m:sSubSup>
                                  <m:sSubSupPr>
                                    <m:ctrlPr>
                                      <w:rPr>
                                        <w:rFonts w:ascii="Cambria Math" w:hAnsi="Cambria Math"/>
                                        <w:i/>
                                        <w:noProof/>
                                      </w:rPr>
                                    </m:ctrlPr>
                                  </m:sSubSupPr>
                                  <m:e>
                                    <m:r>
                                      <w:rPr>
                                        <w:rFonts w:ascii="Cambria Math" w:hAnsi="Cambria Math"/>
                                        <w:noProof/>
                                      </w:rPr>
                                      <m:t>σ</m:t>
                                    </m:r>
                                  </m:e>
                                  <m:sub>
                                    <m:r>
                                      <w:rPr>
                                        <w:rFonts w:ascii="Cambria Math" w:hAnsi="Cambria Math"/>
                                        <w:noProof/>
                                      </w:rPr>
                                      <m:t>x</m:t>
                                    </m:r>
                                  </m:sub>
                                  <m:sup>
                                    <m:r>
                                      <w:rPr>
                                        <w:rFonts w:ascii="Cambria Math" w:hAnsi="Cambria Math"/>
                                        <w:noProof/>
                                      </w:rPr>
                                      <m:t>2</m:t>
                                    </m:r>
                                  </m:sup>
                                </m:sSubSup>
                              </m:den>
                            </m:f>
                          </m:e>
                        </m:d>
                      </m:e>
                    </m:func>
                    <m:r>
                      <w:rPr>
                        <w:rFonts w:ascii="Cambria Math" w:hAnsi="Cambria Math"/>
                        <w:noProof/>
                      </w:rPr>
                      <m:t>d</m:t>
                    </m:r>
                    <m:r>
                      <w:rPr>
                        <w:rFonts w:ascii="Cambria Math" w:hAnsi="Cambria Math"/>
                        <w:noProof/>
                      </w:rPr>
                      <m:t>x</m:t>
                    </m:r>
                  </m:e>
                </m:nary>
              </m:oMath>
            </m:oMathPara>
          </w:p>
        </w:tc>
        <w:tc>
          <w:tcPr>
            <w:tcW w:w="781" w:type="dxa"/>
            <w:vAlign w:val="center"/>
          </w:tcPr>
          <w:p w14:paraId="4E807CEE" w14:textId="77777777" w:rsidR="00215DDE" w:rsidRPr="00DD09A4" w:rsidRDefault="00215DDE" w:rsidP="005D2B90">
            <w:pPr>
              <w:pStyle w:val="CETEquation"/>
              <w:jc w:val="right"/>
            </w:pPr>
            <w:r w:rsidRPr="00DD09A4">
              <w:t>(2)</w:t>
            </w:r>
          </w:p>
        </w:tc>
      </w:tr>
    </w:tbl>
    <w:p w14:paraId="0E271A99" w14:textId="77777777" w:rsidR="002C20F5" w:rsidRPr="00DD09A4" w:rsidRDefault="002C20F5" w:rsidP="005B6C0B">
      <w:pPr>
        <w:pStyle w:val="CETBodytext"/>
        <w:rPr>
          <w:lang w:val="en-GB"/>
        </w:rPr>
      </w:pPr>
    </w:p>
    <w:p w14:paraId="61C71DDC" w14:textId="77777777" w:rsidR="004D4417" w:rsidRPr="00DD09A4" w:rsidRDefault="00F25760" w:rsidP="00F92D8B">
      <w:pPr>
        <w:pStyle w:val="CETBodytext"/>
        <w:keepNext/>
        <w:jc w:val="left"/>
        <w:rPr>
          <w:lang w:val="en-GB"/>
        </w:rPr>
      </w:pPr>
      <w:r w:rsidRPr="00DD09A4">
        <w:rPr>
          <w:noProof/>
          <w:lang w:val="en-GB"/>
        </w:rPr>
        <w:drawing>
          <wp:inline distT="0" distB="0" distL="0" distR="0" wp14:anchorId="4E8FF4B6" wp14:editId="4EDE2261">
            <wp:extent cx="4301337" cy="1914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8917" cy="1926333"/>
                    </a:xfrm>
                    <a:prstGeom prst="rect">
                      <a:avLst/>
                    </a:prstGeom>
                    <a:noFill/>
                    <a:ln>
                      <a:noFill/>
                    </a:ln>
                  </pic:spPr>
                </pic:pic>
              </a:graphicData>
            </a:graphic>
          </wp:inline>
        </w:drawing>
      </w:r>
    </w:p>
    <w:p w14:paraId="6E248D0D" w14:textId="1FCA73E6" w:rsidR="00F25760" w:rsidRPr="00DD09A4" w:rsidRDefault="004D4417" w:rsidP="004B2AB4">
      <w:pPr>
        <w:pStyle w:val="CETCaption"/>
      </w:pPr>
      <w:bookmarkStart w:id="2" w:name="_Ref221162999"/>
      <w:r w:rsidRPr="00DD09A4">
        <w:t xml:space="preserve">Figure </w:t>
      </w:r>
      <w:r w:rsidRPr="00DD09A4">
        <w:fldChar w:fldCharType="begin"/>
      </w:r>
      <w:r w:rsidRPr="00DD09A4">
        <w:instrText xml:space="preserve"> SEQ Figure \* ARABIC </w:instrText>
      </w:r>
      <w:r w:rsidRPr="00DD09A4">
        <w:fldChar w:fldCharType="separate"/>
      </w:r>
      <w:r w:rsidR="00766DB1">
        <w:rPr>
          <w:noProof/>
        </w:rPr>
        <w:t>1</w:t>
      </w:r>
      <w:r w:rsidRPr="00DD09A4">
        <w:fldChar w:fldCharType="end"/>
      </w:r>
      <w:bookmarkEnd w:id="2"/>
      <w:r w:rsidRPr="00DD09A4">
        <w:t xml:space="preserve"> </w:t>
      </w:r>
      <w:r w:rsidR="00B52162" w:rsidRPr="00DD09A4">
        <w:t>Timing diagram of EASI model adapted to the context of cyber</w:t>
      </w:r>
      <w:r w:rsidR="00626324" w:rsidRPr="00DD09A4">
        <w:t>security.</w:t>
      </w:r>
      <w:r w:rsidR="00B97EB3">
        <w:t xml:space="preserve"> Adapted from </w:t>
      </w:r>
      <w:sdt>
        <w:sdtPr>
          <w:rPr>
            <w:rFonts w:cs="Arial"/>
            <w:color w:val="000000"/>
          </w:rPr>
          <w:tag w:val="MENDELEY_CITATION_v3_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"/>
          <w:id w:val="-39442694"/>
          <w:placeholder>
            <w:docPart w:val="DefaultPlaceholder_-1854013440"/>
          </w:placeholder>
        </w:sdtPr>
        <w:sdtEndPr/>
        <w:sdtContent>
          <w:r w:rsidR="007A320F" w:rsidRPr="007A320F">
            <w:rPr>
              <w:rFonts w:cs="Arial"/>
              <w:color w:val="000000"/>
            </w:rPr>
            <w:t>(Garcia, 2007)</w:t>
          </w:r>
        </w:sdtContent>
      </w:sdt>
    </w:p>
    <w:p w14:paraId="151B166E" w14:textId="77777777" w:rsidR="00CD71A6" w:rsidRPr="00DD09A4" w:rsidRDefault="00CD71A6" w:rsidP="00CF03CD">
      <w:pPr>
        <w:pStyle w:val="CETBodytext"/>
        <w:rPr>
          <w:lang w:val="en-GB"/>
        </w:rPr>
      </w:pPr>
    </w:p>
    <w:p w14:paraId="5ED27010" w14:textId="77777777" w:rsidR="00F75CB2" w:rsidRPr="00DD09A4" w:rsidRDefault="00F75CB2" w:rsidP="00CF03CD">
      <w:pPr>
        <w:pStyle w:val="CETBodytext"/>
        <w:rPr>
          <w:lang w:val="en-GB"/>
        </w:rPr>
      </w:pPr>
    </w:p>
    <w:p w14:paraId="677EBFF0" w14:textId="744FD7DB" w:rsidR="00600535" w:rsidRPr="00DD09A4" w:rsidRDefault="003660BA" w:rsidP="00600535">
      <w:pPr>
        <w:pStyle w:val="CETHeading1"/>
        <w:tabs>
          <w:tab w:val="clear" w:pos="360"/>
          <w:tab w:val="right" w:pos="7100"/>
        </w:tabs>
        <w:jc w:val="both"/>
        <w:rPr>
          <w:lang w:val="en-GB"/>
        </w:rPr>
      </w:pPr>
      <w:r w:rsidRPr="00DD09A4">
        <w:rPr>
          <w:lang w:val="en-GB"/>
        </w:rPr>
        <w:lastRenderedPageBreak/>
        <w:t>Use</w:t>
      </w:r>
      <w:r w:rsidR="00437BCC" w:rsidRPr="00DD09A4">
        <w:rPr>
          <w:lang w:val="en-GB"/>
        </w:rPr>
        <w:t xml:space="preserve"> of Digital Twins </w:t>
      </w:r>
      <w:r w:rsidR="00C20560" w:rsidRPr="00DD09A4">
        <w:rPr>
          <w:lang w:val="en-GB"/>
        </w:rPr>
        <w:t xml:space="preserve">to support evaluation of </w:t>
      </w:r>
      <m:oMath>
        <m:sSup>
          <m:sSupPr>
            <m:ctrlPr>
              <w:rPr>
                <w:rFonts w:ascii="Cambria Math" w:hAnsi="Cambria Math"/>
                <w:i/>
                <w:lang w:val="en-GB"/>
              </w:rPr>
            </m:ctrlPr>
          </m:sSupPr>
          <m:e>
            <m:r>
              <m:rPr>
                <m:sty m:val="bi"/>
              </m:rPr>
              <w:rPr>
                <w:rFonts w:ascii="Cambria Math" w:hAnsi="Cambria Math"/>
                <w:lang w:val="en-GB"/>
              </w:rPr>
              <m:t>P</m:t>
            </m:r>
          </m:e>
          <m:sup>
            <m:r>
              <m:rPr>
                <m:sty m:val="bi"/>
              </m:rPr>
              <w:rPr>
                <w:rFonts w:ascii="Cambria Math" w:hAnsi="Cambria Math"/>
                <w:lang w:val="en-GB"/>
              </w:rPr>
              <m:t>i</m:t>
            </m:r>
          </m:sup>
        </m:sSup>
      </m:oMath>
    </w:p>
    <w:p w14:paraId="62D10C9C" w14:textId="2ECA0BFC" w:rsidR="00E10886" w:rsidRPr="00BC62B2" w:rsidRDefault="00BC62B2" w:rsidP="00EE4706">
      <w:pPr>
        <w:pStyle w:val="CETBodytext"/>
        <w:rPr>
          <w:lang w:val="en-GB"/>
        </w:rPr>
      </w:pPr>
      <w:r w:rsidRPr="00BC62B2">
        <w:rPr>
          <w:lang w:val="en-GB"/>
        </w:rPr>
        <w:t>This section outlines the proposed method for using Digital Twins of a process plant to estimate the conditional probability of cyber-attack success (</w:t>
      </w:r>
      <m:oMath>
        <m:sSup>
          <m:sSupPr>
            <m:ctrlPr>
              <w:rPr>
                <w:rFonts w:ascii="Cambria Math" w:hAnsi="Cambria Math"/>
                <w:i/>
                <w:lang w:val="en-GB"/>
              </w:rPr>
            </m:ctrlPr>
          </m:sSupPr>
          <m:e>
            <m:r>
              <w:rPr>
                <w:rFonts w:ascii="Cambria Math" w:hAnsi="Cambria Math"/>
                <w:lang w:val="en-GB"/>
              </w:rPr>
              <m:t>P</m:t>
            </m:r>
          </m:e>
          <m:sup>
            <m:r>
              <w:rPr>
                <w:rFonts w:ascii="Cambria Math" w:hAnsi="Cambria Math"/>
                <w:lang w:val="en-GB"/>
              </w:rPr>
              <m:t>i</m:t>
            </m:r>
          </m:sup>
        </m:sSup>
      </m:oMath>
      <w:r w:rsidRPr="00BC62B2">
        <w:rPr>
          <w:lang w:val="en-GB"/>
        </w:rPr>
        <w:t xml:space="preserve"> in Eq. (1)) when targeting its OT system</w:t>
      </w:r>
      <w:r w:rsidR="003F3234" w:rsidRPr="00BC62B2">
        <w:rPr>
          <w:lang w:val="en-GB"/>
        </w:rPr>
        <w:t xml:space="preserve">. </w:t>
      </w:r>
      <w:r>
        <w:rPr>
          <w:lang w:val="en-GB"/>
        </w:rPr>
        <w:t xml:space="preserve">The flowchart of the method is illustrated </w:t>
      </w:r>
      <w:r w:rsidRPr="00BC62B2">
        <w:rPr>
          <w:lang w:val="en-GB"/>
        </w:rPr>
        <w:t xml:space="preserve">in </w:t>
      </w:r>
      <w:r w:rsidRPr="00BC62B2">
        <w:rPr>
          <w:lang w:val="en-GB"/>
        </w:rPr>
        <w:fldChar w:fldCharType="begin"/>
      </w:r>
      <w:r w:rsidRPr="00BC62B2">
        <w:rPr>
          <w:lang w:val="en-GB"/>
        </w:rPr>
        <w:instrText xml:space="preserve"> REF _Ref221163211 \h  \* MERGEFORMAT </w:instrText>
      </w:r>
      <w:r w:rsidRPr="00BC62B2">
        <w:rPr>
          <w:lang w:val="en-GB"/>
        </w:rPr>
      </w:r>
      <w:r w:rsidRPr="00BC62B2">
        <w:rPr>
          <w:lang w:val="en-GB"/>
        </w:rPr>
        <w:fldChar w:fldCharType="separate"/>
      </w:r>
      <w:r w:rsidRPr="00BC62B2">
        <w:rPr>
          <w:lang w:val="en-GB"/>
        </w:rPr>
        <w:t xml:space="preserve">Figure </w:t>
      </w:r>
      <w:r w:rsidRPr="00BC62B2">
        <w:rPr>
          <w:noProof/>
          <w:lang w:val="en-GB"/>
        </w:rPr>
        <w:t>2</w:t>
      </w:r>
      <w:r w:rsidRPr="00BC62B2">
        <w:rPr>
          <w:lang w:val="en-GB"/>
        </w:rPr>
        <w:fldChar w:fldCharType="end"/>
      </w:r>
      <w:r w:rsidRPr="00BC62B2">
        <w:rPr>
          <w:lang w:val="en-GB"/>
        </w:rPr>
        <w:t>.</w:t>
      </w:r>
    </w:p>
    <w:p w14:paraId="30779B16" w14:textId="50886220" w:rsidR="00C97D6F" w:rsidRPr="00DD09A4" w:rsidRDefault="00BC62B2" w:rsidP="00EE4706">
      <w:pPr>
        <w:pStyle w:val="CETBodytext"/>
        <w:rPr>
          <w:lang w:val="en-GB"/>
        </w:rPr>
      </w:pPr>
      <w:r>
        <w:rPr>
          <w:lang w:val="en-GB"/>
        </w:rPr>
        <w:t>T</w:t>
      </w:r>
      <w:r w:rsidR="00843785" w:rsidRPr="00DD09A4">
        <w:rPr>
          <w:lang w:val="en-GB"/>
        </w:rPr>
        <w:t xml:space="preserve">he first step requires the systematic </w:t>
      </w:r>
      <w:r w:rsidR="004E16BF" w:rsidRPr="00DD09A4">
        <w:rPr>
          <w:lang w:val="en-GB"/>
        </w:rPr>
        <w:t xml:space="preserve">identification </w:t>
      </w:r>
      <w:r w:rsidR="00843785" w:rsidRPr="00DD09A4">
        <w:rPr>
          <w:lang w:val="en-GB"/>
        </w:rPr>
        <w:t xml:space="preserve">and characterisation of the </w:t>
      </w:r>
      <w:r w:rsidR="00165A29" w:rsidRPr="00DD09A4">
        <w:rPr>
          <w:lang w:val="en-GB"/>
        </w:rPr>
        <w:t xml:space="preserve">cybersecurity </w:t>
      </w:r>
      <w:r w:rsidR="00843785" w:rsidRPr="00DD09A4">
        <w:rPr>
          <w:lang w:val="en-GB"/>
        </w:rPr>
        <w:t xml:space="preserve">scenarios of </w:t>
      </w:r>
      <w:r w:rsidR="00974A62" w:rsidRPr="00DD09A4">
        <w:rPr>
          <w:lang w:val="en-GB"/>
        </w:rPr>
        <w:t xml:space="preserve">concern </w:t>
      </w:r>
      <w:r w:rsidR="00BC7261" w:rsidRPr="00DD09A4">
        <w:rPr>
          <w:lang w:val="en-GB"/>
        </w:rPr>
        <w:t xml:space="preserve">in terms of the specific manipulations </w:t>
      </w:r>
      <w:r w:rsidR="001E4B3B" w:rsidRPr="00DD09A4">
        <w:rPr>
          <w:lang w:val="en-GB"/>
        </w:rPr>
        <w:t>an attacker would perform on BPCS and/or SIS components to trigger the desired critical event in the plant.</w:t>
      </w:r>
      <w:r w:rsidR="00F62E98" w:rsidRPr="00DD09A4">
        <w:rPr>
          <w:lang w:val="en-GB"/>
        </w:rPr>
        <w:t xml:space="preserve"> </w:t>
      </w:r>
      <w:r w:rsidR="00854278" w:rsidRPr="00DD09A4">
        <w:rPr>
          <w:lang w:val="en-GB"/>
        </w:rPr>
        <w:t xml:space="preserve">An overview of </w:t>
      </w:r>
      <w:r w:rsidR="00230F99" w:rsidRPr="00DD09A4">
        <w:rPr>
          <w:lang w:val="en-GB"/>
        </w:rPr>
        <w:t xml:space="preserve">available methodologies </w:t>
      </w:r>
      <w:r w:rsidR="00550F3A" w:rsidRPr="00DD09A4">
        <w:rPr>
          <w:lang w:val="en-GB"/>
        </w:rPr>
        <w:t xml:space="preserve">suitable for this purpose </w:t>
      </w:r>
      <w:r w:rsidR="00230F99" w:rsidRPr="00DD09A4">
        <w:rPr>
          <w:lang w:val="en-GB"/>
        </w:rPr>
        <w:t xml:space="preserve">is provided in </w:t>
      </w:r>
      <w:sdt>
        <w:sdtPr>
          <w:rPr>
            <w:rFonts w:cs="Arial"/>
            <w:color w:val="000000"/>
            <w:lang w:val="en-GB"/>
          </w:rPr>
          <w:tag w:val="MENDELEY_CITATION_v3_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"/>
          <w:id w:val="875352947"/>
          <w:placeholder>
            <w:docPart w:val="DefaultPlaceholder_-1854013440"/>
          </w:placeholder>
        </w:sdtPr>
        <w:sdtEndPr/>
        <w:sdtContent>
          <w:proofErr w:type="spellStart"/>
          <w:r w:rsidR="007A320F" w:rsidRPr="007A320F">
            <w:rPr>
              <w:rFonts w:cs="Arial"/>
              <w:color w:val="000000"/>
              <w:lang w:val="en-GB"/>
            </w:rPr>
            <w:t>Iaiani</w:t>
          </w:r>
          <w:proofErr w:type="spellEnd"/>
          <w:r w:rsidR="007A320F" w:rsidRPr="007A320F">
            <w:rPr>
              <w:rFonts w:cs="Arial"/>
              <w:color w:val="000000"/>
              <w:lang w:val="en-GB"/>
            </w:rPr>
            <w:t xml:space="preserve"> et al. (2025)</w:t>
          </w:r>
        </w:sdtContent>
      </w:sdt>
      <w:r w:rsidR="001B480D" w:rsidRPr="00DD09A4">
        <w:rPr>
          <w:rFonts w:cs="Arial"/>
          <w:color w:val="000000"/>
          <w:lang w:val="en-GB"/>
        </w:rPr>
        <w:t xml:space="preserve">. Among these, </w:t>
      </w:r>
      <w:r w:rsidR="00AA465D" w:rsidRPr="00DD09A4">
        <w:rPr>
          <w:lang w:val="en-GB"/>
        </w:rPr>
        <w:t>t</w:t>
      </w:r>
      <w:r w:rsidR="00A65A9A" w:rsidRPr="00DD09A4">
        <w:rPr>
          <w:lang w:val="en-GB"/>
        </w:rPr>
        <w:t xml:space="preserve">he POROS </w:t>
      </w:r>
      <w:r w:rsidR="00EF2796" w:rsidRPr="00DD09A4">
        <w:rPr>
          <w:lang w:val="en-GB"/>
        </w:rPr>
        <w:t xml:space="preserve">2.0 </w:t>
      </w:r>
      <w:r w:rsidR="00A65A9A" w:rsidRPr="00DD09A4">
        <w:rPr>
          <w:lang w:val="en-GB"/>
        </w:rPr>
        <w:t xml:space="preserve">(Process Operability analysis of Remote manipulations through the </w:t>
      </w:r>
      <w:proofErr w:type="spellStart"/>
      <w:r w:rsidR="00A65A9A" w:rsidRPr="00DD09A4">
        <w:rPr>
          <w:lang w:val="en-GB"/>
        </w:rPr>
        <w:t>cOntrol</w:t>
      </w:r>
      <w:proofErr w:type="spellEnd"/>
      <w:r w:rsidR="00A65A9A" w:rsidRPr="00DD09A4">
        <w:rPr>
          <w:lang w:val="en-GB"/>
        </w:rPr>
        <w:t xml:space="preserve"> System) methodology, previously developed by the authors, represents one possible approach for performing this analysis</w:t>
      </w:r>
      <w:r w:rsidR="004034F4" w:rsidRPr="00DD09A4">
        <w:rPr>
          <w:lang w:val="en-GB"/>
        </w:rPr>
        <w:t xml:space="preserve"> </w:t>
      </w:r>
      <w:sdt>
        <w:sdtPr>
          <w:rPr>
            <w:rFonts w:cs="Arial"/>
            <w:color w:val="000000"/>
            <w:lang w:val="en-GB"/>
          </w:rPr>
          <w:tag w:val="MENDELEY_CITATION_v3_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"/>
          <w:id w:val="-1259292793"/>
          <w:placeholder>
            <w:docPart w:val="DefaultPlaceholder_-1854013440"/>
          </w:placeholder>
        </w:sdtPr>
        <w:sdtEndPr/>
        <w:sdtContent>
          <w:r w:rsidR="007A320F" w:rsidRPr="007A320F">
            <w:rPr>
              <w:rFonts w:cs="Arial"/>
              <w:color w:val="000000"/>
              <w:lang w:val="en-GB"/>
            </w:rPr>
            <w:t>(</w:t>
          </w:r>
          <w:proofErr w:type="spellStart"/>
          <w:r w:rsidR="007A320F" w:rsidRPr="007A320F">
            <w:rPr>
              <w:rFonts w:cs="Arial"/>
              <w:color w:val="000000"/>
              <w:lang w:val="en-GB"/>
            </w:rPr>
            <w:t>Iaiani</w:t>
          </w:r>
          <w:proofErr w:type="spellEnd"/>
          <w:r w:rsidR="007A320F" w:rsidRPr="007A320F">
            <w:rPr>
              <w:rFonts w:cs="Arial"/>
              <w:color w:val="000000"/>
              <w:lang w:val="en-GB"/>
            </w:rPr>
            <w:t xml:space="preserve"> et al., 2023)</w:t>
          </w:r>
        </w:sdtContent>
      </w:sdt>
      <w:r w:rsidR="00A65A9A" w:rsidRPr="00DD09A4">
        <w:rPr>
          <w:lang w:val="en-GB"/>
        </w:rPr>
        <w:t>.</w:t>
      </w:r>
      <w:r w:rsidR="00794EA0" w:rsidRPr="00DD09A4">
        <w:rPr>
          <w:color w:val="000000"/>
          <w:lang w:val="en-GB"/>
        </w:rPr>
        <w:t xml:space="preserve">  </w:t>
      </w:r>
    </w:p>
    <w:p w14:paraId="697E5148" w14:textId="0F90CABF" w:rsidR="00C738AF" w:rsidRPr="00DD09A4" w:rsidRDefault="00C738AF" w:rsidP="00EE4706">
      <w:pPr>
        <w:pStyle w:val="CETBodytext"/>
        <w:rPr>
          <w:lang w:val="en-GB"/>
        </w:rPr>
      </w:pPr>
      <w:r w:rsidRPr="00DD09A4">
        <w:rPr>
          <w:lang w:val="en-GB"/>
        </w:rPr>
        <w:t>The second step involves</w:t>
      </w:r>
      <w:r w:rsidR="00FE7301" w:rsidRPr="00DD09A4">
        <w:rPr>
          <w:lang w:val="en-GB"/>
        </w:rPr>
        <w:t xml:space="preserve"> the setup of the</w:t>
      </w:r>
      <w:r w:rsidRPr="00DD09A4">
        <w:rPr>
          <w:lang w:val="en-GB"/>
        </w:rPr>
        <w:t xml:space="preserve"> </w:t>
      </w:r>
      <w:r w:rsidR="006B1E0D">
        <w:rPr>
          <w:lang w:val="en-GB"/>
        </w:rPr>
        <w:t>D</w:t>
      </w:r>
      <w:r w:rsidRPr="00DD09A4">
        <w:rPr>
          <w:lang w:val="en-GB"/>
        </w:rPr>
        <w:t xml:space="preserve">igital </w:t>
      </w:r>
      <w:r w:rsidR="006B1E0D">
        <w:rPr>
          <w:lang w:val="en-GB"/>
        </w:rPr>
        <w:t>T</w:t>
      </w:r>
      <w:r w:rsidRPr="00DD09A4">
        <w:rPr>
          <w:lang w:val="en-GB"/>
        </w:rPr>
        <w:t xml:space="preserve">win. This requires collecting all the information necessary to accurately reproduce the dynamic behaviour of the </w:t>
      </w:r>
      <w:r w:rsidR="002C21EC" w:rsidRPr="00DD09A4">
        <w:rPr>
          <w:lang w:val="en-GB"/>
        </w:rPr>
        <w:t xml:space="preserve">real </w:t>
      </w:r>
      <w:r w:rsidRPr="00DD09A4">
        <w:rPr>
          <w:lang w:val="en-GB"/>
        </w:rPr>
        <w:t xml:space="preserve">process and implementing it within a suitable simulation software or machine learning environment. Key inputs for </w:t>
      </w:r>
      <w:r w:rsidR="004B2AB4" w:rsidRPr="00DD09A4">
        <w:rPr>
          <w:lang w:val="en-GB"/>
        </w:rPr>
        <w:t xml:space="preserve">Digital Twin </w:t>
      </w:r>
      <w:r w:rsidRPr="00DD09A4">
        <w:rPr>
          <w:lang w:val="en-GB"/>
        </w:rPr>
        <w:t xml:space="preserve">development include the list of installed process equipment and auxiliary machinery, the streams connecting process units, operating and design conditions, </w:t>
      </w:r>
      <w:r w:rsidR="006D5CC9" w:rsidRPr="00DD09A4">
        <w:rPr>
          <w:lang w:val="en-GB"/>
        </w:rPr>
        <w:t xml:space="preserve">design </w:t>
      </w:r>
      <w:r w:rsidRPr="00DD09A4">
        <w:rPr>
          <w:lang w:val="en-GB"/>
        </w:rPr>
        <w:t>dimensions, control loops and their associated control philosophy</w:t>
      </w:r>
      <w:r w:rsidR="00FD49F4" w:rsidRPr="00DD09A4">
        <w:rPr>
          <w:lang w:val="en-GB"/>
        </w:rPr>
        <w:t xml:space="preserve">, </w:t>
      </w:r>
      <w:r w:rsidR="00DF5076" w:rsidRPr="00DD09A4">
        <w:rPr>
          <w:lang w:val="en-GB"/>
        </w:rPr>
        <w:t xml:space="preserve">control and </w:t>
      </w:r>
      <w:r w:rsidR="00FD49F4" w:rsidRPr="00DD09A4">
        <w:rPr>
          <w:lang w:val="en-GB"/>
        </w:rPr>
        <w:t>shutdown</w:t>
      </w:r>
      <w:r w:rsidRPr="00DD09A4">
        <w:rPr>
          <w:lang w:val="en-GB"/>
        </w:rPr>
        <w:t xml:space="preserve"> valves</w:t>
      </w:r>
      <w:r w:rsidR="00FD49F4" w:rsidRPr="00DD09A4">
        <w:rPr>
          <w:lang w:val="en-GB"/>
        </w:rPr>
        <w:t>,</w:t>
      </w:r>
      <w:r w:rsidRPr="00DD09A4">
        <w:rPr>
          <w:lang w:val="en-GB"/>
        </w:rPr>
        <w:t xml:space="preserve"> and alarm systems.</w:t>
      </w:r>
    </w:p>
    <w:p w14:paraId="75153CE1" w14:textId="4CB282F9" w:rsidR="00811B06" w:rsidRPr="00DD09A4" w:rsidRDefault="00811B06" w:rsidP="00EE4706">
      <w:pPr>
        <w:pStyle w:val="CETBodytext"/>
        <w:rPr>
          <w:lang w:val="en-GB"/>
        </w:rPr>
      </w:pPr>
      <w:r w:rsidRPr="00DD09A4">
        <w:rPr>
          <w:lang w:val="en-GB"/>
        </w:rPr>
        <w:t xml:space="preserve">The third step </w:t>
      </w:r>
      <w:r w:rsidR="00E77344" w:rsidRPr="00DD09A4">
        <w:rPr>
          <w:lang w:val="en-GB"/>
        </w:rPr>
        <w:t>consists of</w:t>
      </w:r>
      <w:r w:rsidRPr="00DD09A4">
        <w:rPr>
          <w:lang w:val="en-GB"/>
        </w:rPr>
        <w:t xml:space="preserve"> </w:t>
      </w:r>
      <w:r w:rsidR="00741A31" w:rsidRPr="00DD09A4">
        <w:rPr>
          <w:lang w:val="en-GB"/>
        </w:rPr>
        <w:t>the simulation of each identified cybersecurity scenario</w:t>
      </w:r>
      <w:r w:rsidR="007C049A" w:rsidRPr="00DD09A4">
        <w:rPr>
          <w:lang w:val="en-GB"/>
        </w:rPr>
        <w:t xml:space="preserve"> using the developed Digital Twin</w:t>
      </w:r>
      <w:r w:rsidR="00FB6D53" w:rsidRPr="00DD09A4">
        <w:rPr>
          <w:lang w:val="en-GB"/>
        </w:rPr>
        <w:t>,</w:t>
      </w:r>
      <w:r w:rsidR="006C22AE" w:rsidRPr="00DD09A4">
        <w:rPr>
          <w:lang w:val="en-GB"/>
        </w:rPr>
        <w:t xml:space="preserve"> by reproducing all the </w:t>
      </w:r>
      <w:r w:rsidR="00FB6D53" w:rsidRPr="00DD09A4">
        <w:rPr>
          <w:lang w:val="en-GB"/>
        </w:rPr>
        <w:t>ma</w:t>
      </w:r>
      <w:r w:rsidR="007D53AA" w:rsidRPr="00DD09A4">
        <w:rPr>
          <w:lang w:val="en-GB"/>
        </w:rPr>
        <w:t>ni</w:t>
      </w:r>
      <w:r w:rsidR="00FB6D53" w:rsidRPr="00DD09A4">
        <w:rPr>
          <w:lang w:val="en-GB"/>
        </w:rPr>
        <w:t xml:space="preserve">pulations that </w:t>
      </w:r>
      <w:r w:rsidR="000350E6" w:rsidRPr="00DD09A4">
        <w:rPr>
          <w:lang w:val="en-GB"/>
        </w:rPr>
        <w:t xml:space="preserve">characterize </w:t>
      </w:r>
      <w:r w:rsidR="002E03DD" w:rsidRPr="00DD09A4">
        <w:rPr>
          <w:lang w:val="en-GB"/>
        </w:rPr>
        <w:t>it</w:t>
      </w:r>
      <w:r w:rsidRPr="00DD09A4">
        <w:rPr>
          <w:lang w:val="en-GB"/>
        </w:rPr>
        <w:t xml:space="preserve">. During this </w:t>
      </w:r>
      <w:r w:rsidR="00514BFD" w:rsidRPr="00DD09A4">
        <w:rPr>
          <w:lang w:val="en-GB"/>
        </w:rPr>
        <w:t>step</w:t>
      </w:r>
      <w:r w:rsidRPr="00DD09A4">
        <w:rPr>
          <w:lang w:val="en-GB"/>
        </w:rPr>
        <w:t xml:space="preserve">, key simulation parameters must be defined, such as the total simulation time, the simulation time step, and the sampling frequency. The main outputs include trends of relevant operating variables </w:t>
      </w:r>
      <w:r w:rsidR="00522646" w:rsidRPr="00DD09A4">
        <w:rPr>
          <w:lang w:val="en-GB"/>
        </w:rPr>
        <w:t xml:space="preserve">(e.g., temperature and pressure) </w:t>
      </w:r>
      <w:r w:rsidRPr="00DD09A4">
        <w:rPr>
          <w:lang w:val="en-GB"/>
        </w:rPr>
        <w:t xml:space="preserve">and the alarms triggered throughout the scenario. </w:t>
      </w:r>
    </w:p>
    <w:p w14:paraId="433A2033" w14:textId="6F184507" w:rsidR="007F19F1" w:rsidRPr="00DD09A4" w:rsidRDefault="00437548" w:rsidP="00EE4706">
      <w:pPr>
        <w:pStyle w:val="CETBodytext"/>
        <w:rPr>
          <w:lang w:val="en-GB"/>
        </w:rPr>
      </w:pPr>
      <w:r w:rsidRPr="00DD09A4">
        <w:rPr>
          <w:lang w:val="en-GB"/>
        </w:rPr>
        <w:t xml:space="preserve">Finally, the fourth step focuses on estimating the probability of </w:t>
      </w:r>
      <w:r w:rsidR="007307A6" w:rsidRPr="00DD09A4">
        <w:rPr>
          <w:lang w:val="en-GB"/>
        </w:rPr>
        <w:t>cyber-</w:t>
      </w:r>
      <w:r w:rsidRPr="00DD09A4">
        <w:rPr>
          <w:lang w:val="en-GB"/>
        </w:rPr>
        <w:t xml:space="preserve">attack success </w:t>
      </w:r>
      <w:r w:rsidR="007307A6" w:rsidRPr="00DD09A4">
        <w:rPr>
          <w:lang w:val="en-GB"/>
        </w:rPr>
        <w:t>(</w:t>
      </w:r>
      <m:oMath>
        <m:sSup>
          <m:sSupPr>
            <m:ctrlPr>
              <w:rPr>
                <w:rFonts w:ascii="Cambria Math" w:hAnsi="Cambria Math"/>
                <w:i/>
                <w:lang w:val="en-GB"/>
              </w:rPr>
            </m:ctrlPr>
          </m:sSupPr>
          <m:e>
            <m:r>
              <w:rPr>
                <w:rFonts w:ascii="Cambria Math" w:hAnsi="Cambria Math"/>
                <w:lang w:val="en-GB"/>
              </w:rPr>
              <m:t>P</m:t>
            </m:r>
          </m:e>
          <m:sup>
            <m:r>
              <w:rPr>
                <w:rFonts w:ascii="Cambria Math" w:hAnsi="Cambria Math"/>
                <w:lang w:val="en-GB"/>
              </w:rPr>
              <m:t>i</m:t>
            </m:r>
          </m:sup>
        </m:sSup>
      </m:oMath>
      <w:r w:rsidR="007307A6" w:rsidRPr="00DD09A4">
        <w:rPr>
          <w:lang w:val="en-GB"/>
        </w:rPr>
        <w:t xml:space="preserve"> in Eq. (1)) </w:t>
      </w:r>
      <w:r w:rsidRPr="00DD09A4">
        <w:rPr>
          <w:lang w:val="en-GB"/>
        </w:rPr>
        <w:t xml:space="preserve">through the application of the EASI method. This requires the evaluation of the detection-to-damage time (DTDT) for each scenario, based on the outputs obtained in Step 3. </w:t>
      </w:r>
      <w:r w:rsidR="00ED130A" w:rsidRPr="00DD09A4">
        <w:rPr>
          <w:lang w:val="en-GB"/>
        </w:rPr>
        <w:t>In particular, the times at which detection and the consequence occur must be defined</w:t>
      </w:r>
      <w:r w:rsidR="008971BE" w:rsidRPr="00DD09A4">
        <w:rPr>
          <w:lang w:val="en-GB"/>
        </w:rPr>
        <w:t>.</w:t>
      </w:r>
      <w:r w:rsidRPr="00DD09A4">
        <w:rPr>
          <w:lang w:val="en-GB"/>
        </w:rPr>
        <w:t xml:space="preserve"> Detection could be assumed to occur at the moment of the first malicious manipulation; however, this is unlikely in practice, as operators may not immediately recognise external interference. A more realistic assumption is that detection occurs when the first alarm is triggered, providing a clear indication that abnormal process conditions are developing. </w:t>
      </w:r>
      <w:r w:rsidR="008971BE" w:rsidRPr="00DD09A4">
        <w:rPr>
          <w:lang w:val="en-GB"/>
        </w:rPr>
        <w:t>Meanwhile</w:t>
      </w:r>
      <w:r w:rsidRPr="00DD09A4">
        <w:rPr>
          <w:lang w:val="en-GB"/>
        </w:rPr>
        <w:t>,</w:t>
      </w:r>
      <w:r w:rsidR="00FC3676" w:rsidRPr="00DD09A4">
        <w:rPr>
          <w:lang w:val="en-GB"/>
        </w:rPr>
        <w:t xml:space="preserve"> </w:t>
      </w:r>
      <w:r w:rsidR="005D1942" w:rsidRPr="00DD09A4">
        <w:rPr>
          <w:lang w:val="en-GB"/>
        </w:rPr>
        <w:t>the</w:t>
      </w:r>
      <w:r w:rsidR="00FC3676" w:rsidRPr="00DD09A4">
        <w:rPr>
          <w:lang w:val="en-GB"/>
        </w:rPr>
        <w:t xml:space="preserve"> time at which the consequence occurs can instead be identified as the moment when the variable responsible for the failure reaches a critical threshold</w:t>
      </w:r>
      <w:r w:rsidR="00D6714E" w:rsidRPr="00DD09A4">
        <w:rPr>
          <w:lang w:val="en-GB"/>
        </w:rPr>
        <w:t xml:space="preserve"> (e.g., pressure reaches the maximum allowable working </w:t>
      </w:r>
      <w:r w:rsidR="00E77344" w:rsidRPr="00DD09A4">
        <w:rPr>
          <w:lang w:val="en-GB"/>
        </w:rPr>
        <w:t>pressure,</w:t>
      </w:r>
      <w:r w:rsidR="000401E0" w:rsidRPr="00DD09A4">
        <w:rPr>
          <w:lang w:val="en-GB"/>
        </w:rPr>
        <w:t xml:space="preserve"> or temperature reaches </w:t>
      </w:r>
      <w:r w:rsidR="004F678E" w:rsidRPr="00DD09A4">
        <w:rPr>
          <w:lang w:val="en-GB"/>
        </w:rPr>
        <w:t xml:space="preserve">the </w:t>
      </w:r>
      <w:r w:rsidR="000401E0" w:rsidRPr="00DD09A4">
        <w:rPr>
          <w:lang w:val="en-GB"/>
        </w:rPr>
        <w:t>degradation temperature)</w:t>
      </w:r>
      <w:r w:rsidR="00FC3676" w:rsidRPr="00DD09A4">
        <w:rPr>
          <w:lang w:val="en-GB"/>
        </w:rPr>
        <w:t>. After DTDT is determined</w:t>
      </w:r>
      <w:r w:rsidR="007307A6" w:rsidRPr="00DD09A4">
        <w:rPr>
          <w:lang w:val="en-GB"/>
        </w:rPr>
        <w:t xml:space="preserve"> and the response time (RT) is defined</w:t>
      </w:r>
      <w:r w:rsidR="00FC3676" w:rsidRPr="00DD09A4">
        <w:rPr>
          <w:lang w:val="en-GB"/>
        </w:rPr>
        <w:t xml:space="preserve">, the probability of cyber-attack success for each scenario </w:t>
      </w:r>
      <w:r w:rsidR="000401E0" w:rsidRPr="00DD09A4">
        <w:rPr>
          <w:lang w:val="en-GB"/>
        </w:rPr>
        <w:t xml:space="preserve">is </w:t>
      </w:r>
      <w:r w:rsidR="00FC3676" w:rsidRPr="00DD09A4">
        <w:rPr>
          <w:lang w:val="en-GB"/>
        </w:rPr>
        <w:t xml:space="preserve">calculated </w:t>
      </w:r>
      <w:r w:rsidR="000401E0" w:rsidRPr="00DD09A4">
        <w:rPr>
          <w:lang w:val="en-GB"/>
        </w:rPr>
        <w:t xml:space="preserve">using </w:t>
      </w:r>
      <w:r w:rsidR="004F678E" w:rsidRPr="00DD09A4">
        <w:rPr>
          <w:lang w:val="en-GB"/>
        </w:rPr>
        <w:t>Eq. (</w:t>
      </w:r>
      <w:r w:rsidR="007307A6" w:rsidRPr="00DD09A4">
        <w:rPr>
          <w:lang w:val="en-GB"/>
        </w:rPr>
        <w:t>2</w:t>
      </w:r>
      <w:r w:rsidR="004F678E" w:rsidRPr="00DD09A4">
        <w:rPr>
          <w:lang w:val="en-GB"/>
        </w:rPr>
        <w:t>)</w:t>
      </w:r>
      <w:r w:rsidR="00FC3676" w:rsidRPr="00DD09A4">
        <w:rPr>
          <w:lang w:val="en-GB"/>
        </w:rPr>
        <w:t>.</w:t>
      </w:r>
      <w:r w:rsidRPr="00DD09A4">
        <w:rPr>
          <w:lang w:val="en-GB"/>
        </w:rPr>
        <w:t xml:space="preserve"> </w:t>
      </w:r>
    </w:p>
    <w:p w14:paraId="4775FDDD" w14:textId="772101C6" w:rsidR="00C07177" w:rsidRPr="00DD09A4" w:rsidRDefault="007810D5" w:rsidP="00C07177">
      <w:pPr>
        <w:pStyle w:val="CETBodytext"/>
        <w:keepNext/>
        <w:rPr>
          <w:lang w:val="en-GB"/>
        </w:rPr>
      </w:pPr>
      <w:r w:rsidRPr="007810D5">
        <w:rPr>
          <w:noProof/>
        </w:rPr>
        <w:drawing>
          <wp:inline distT="0" distB="0" distL="0" distR="0" wp14:anchorId="082A1185" wp14:editId="42882149">
            <wp:extent cx="5047488" cy="2547008"/>
            <wp:effectExtent l="0" t="0" r="1270" b="5715"/>
            <wp:docPr id="12324410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5587" cy="2551095"/>
                    </a:xfrm>
                    <a:prstGeom prst="rect">
                      <a:avLst/>
                    </a:prstGeom>
                    <a:noFill/>
                    <a:ln>
                      <a:noFill/>
                    </a:ln>
                  </pic:spPr>
                </pic:pic>
              </a:graphicData>
            </a:graphic>
          </wp:inline>
        </w:drawing>
      </w:r>
    </w:p>
    <w:p w14:paraId="7D539947" w14:textId="13ACAC3A" w:rsidR="004908A4" w:rsidRDefault="00C07177" w:rsidP="004B2AB4">
      <w:pPr>
        <w:pStyle w:val="CETCaption"/>
      </w:pPr>
      <w:bookmarkStart w:id="3" w:name="_Ref221163211"/>
      <w:r w:rsidRPr="00DD09A4">
        <w:t xml:space="preserve">Figure </w:t>
      </w:r>
      <w:r w:rsidRPr="00DD09A4">
        <w:fldChar w:fldCharType="begin"/>
      </w:r>
      <w:r w:rsidRPr="00DD09A4">
        <w:instrText xml:space="preserve"> SEQ Figure \* ARABIC </w:instrText>
      </w:r>
      <w:r w:rsidRPr="00DD09A4">
        <w:fldChar w:fldCharType="separate"/>
      </w:r>
      <w:r w:rsidR="00766DB1">
        <w:rPr>
          <w:noProof/>
        </w:rPr>
        <w:t>2</w:t>
      </w:r>
      <w:r w:rsidRPr="00DD09A4">
        <w:fldChar w:fldCharType="end"/>
      </w:r>
      <w:bookmarkEnd w:id="3"/>
      <w:r w:rsidRPr="00DD09A4">
        <w:t xml:space="preserve"> </w:t>
      </w:r>
      <w:r w:rsidR="00D70BF9" w:rsidRPr="00DD09A4">
        <w:t>(</w:t>
      </w:r>
      <w:r w:rsidR="008458B7" w:rsidRPr="00DD09A4">
        <w:t xml:space="preserve">a) </w:t>
      </w:r>
      <w:r w:rsidRPr="00DD09A4">
        <w:t xml:space="preserve">Method proposed for </w:t>
      </w:r>
      <w:r w:rsidR="00BC62B2">
        <w:t>using</w:t>
      </w:r>
      <w:r w:rsidRPr="00DD09A4">
        <w:t xml:space="preserve"> Digital Twins for the estimation of the </w:t>
      </w:r>
      <w:r w:rsidR="003146E7" w:rsidRPr="00DD09A4">
        <w:t xml:space="preserve">conditional </w:t>
      </w:r>
      <w:r w:rsidRPr="00DD09A4">
        <w:t xml:space="preserve">probability of success of </w:t>
      </w:r>
      <w:r w:rsidR="003146E7" w:rsidRPr="00DD09A4">
        <w:t>cyber-attacks</w:t>
      </w:r>
      <w:r w:rsidR="00BC62B2">
        <w:t xml:space="preserve"> targeting OT systems</w:t>
      </w:r>
      <w:r w:rsidR="00D70BF9" w:rsidRPr="00DD09A4">
        <w:t>;</w:t>
      </w:r>
      <w:r w:rsidR="008458B7" w:rsidRPr="00DD09A4">
        <w:t xml:space="preserve"> </w:t>
      </w:r>
      <w:r w:rsidR="00D70BF9" w:rsidRPr="00DD09A4">
        <w:t>(</w:t>
      </w:r>
      <w:r w:rsidR="008458B7" w:rsidRPr="00DD09A4">
        <w:t>b)</w:t>
      </w:r>
      <w:r w:rsidR="00CE780C" w:rsidRPr="00DD09A4">
        <w:t xml:space="preserve"> Schematic of a single AEL </w:t>
      </w:r>
      <w:proofErr w:type="spellStart"/>
      <w:r w:rsidR="00CE780C" w:rsidRPr="00DD09A4">
        <w:t>electrolyzer</w:t>
      </w:r>
      <w:proofErr w:type="spellEnd"/>
      <w:r w:rsidR="00CE780C" w:rsidRPr="00DD09A4">
        <w:t xml:space="preserve"> stack with </w:t>
      </w:r>
      <w:r w:rsidR="00BC62B2">
        <w:t>its</w:t>
      </w:r>
      <w:r w:rsidR="00D70BF9" w:rsidRPr="00DD09A4">
        <w:t xml:space="preserve"> dedicated cooling system.</w:t>
      </w:r>
    </w:p>
    <w:p w14:paraId="752D458D" w14:textId="77777777" w:rsidR="004908A4" w:rsidRPr="00DD09A4" w:rsidRDefault="004908A4" w:rsidP="004B2AB4">
      <w:pPr>
        <w:pStyle w:val="CETCaption"/>
      </w:pPr>
    </w:p>
    <w:p w14:paraId="68D26B83" w14:textId="56067ACE" w:rsidR="00600535" w:rsidRPr="00DD09A4" w:rsidRDefault="007F19F1" w:rsidP="00600535">
      <w:pPr>
        <w:pStyle w:val="CETHeading1"/>
        <w:rPr>
          <w:lang w:val="en-GB"/>
        </w:rPr>
      </w:pPr>
      <w:r w:rsidRPr="00DD09A4">
        <w:rPr>
          <w:lang w:val="en-GB"/>
        </w:rPr>
        <w:lastRenderedPageBreak/>
        <w:t>Case Study</w:t>
      </w:r>
    </w:p>
    <w:p w14:paraId="527D8595" w14:textId="1EDD88FA" w:rsidR="0085734D" w:rsidRPr="00DD09A4" w:rsidRDefault="00AC72F0" w:rsidP="00600535">
      <w:pPr>
        <w:pStyle w:val="CETBodytext"/>
        <w:rPr>
          <w:lang w:val="en-GB"/>
        </w:rPr>
      </w:pPr>
      <w:r w:rsidRPr="00DD09A4">
        <w:rPr>
          <w:lang w:val="en-GB"/>
        </w:rPr>
        <w:t>T</w:t>
      </w:r>
      <w:r w:rsidR="00546587" w:rsidRPr="00DD09A4">
        <w:rPr>
          <w:lang w:val="en-GB"/>
        </w:rPr>
        <w:t xml:space="preserve">his section </w:t>
      </w:r>
      <w:r w:rsidRPr="00DD09A4">
        <w:rPr>
          <w:lang w:val="en-GB"/>
        </w:rPr>
        <w:t>presents</w:t>
      </w:r>
      <w:r w:rsidR="0085734D" w:rsidRPr="00DD09A4">
        <w:rPr>
          <w:lang w:val="en-GB"/>
        </w:rPr>
        <w:t xml:space="preserve"> the case study used </w:t>
      </w:r>
      <w:r w:rsidRPr="00DD09A4">
        <w:rPr>
          <w:lang w:val="en-GB"/>
        </w:rPr>
        <w:t>to demonstrate</w:t>
      </w:r>
      <w:r w:rsidR="0085734D" w:rsidRPr="00DD09A4">
        <w:rPr>
          <w:lang w:val="en-GB"/>
        </w:rPr>
        <w:t xml:space="preserve"> the </w:t>
      </w:r>
      <w:r w:rsidR="00AB6FCF" w:rsidRPr="00DD09A4">
        <w:rPr>
          <w:lang w:val="en-GB"/>
        </w:rPr>
        <w:t>proposed approach</w:t>
      </w:r>
      <w:r w:rsidR="0085734D" w:rsidRPr="00DD09A4">
        <w:rPr>
          <w:lang w:val="en-GB"/>
        </w:rPr>
        <w:t>.</w:t>
      </w:r>
    </w:p>
    <w:p w14:paraId="2E234574" w14:textId="5BA9E20D" w:rsidR="0085734D" w:rsidRPr="00DD09A4" w:rsidRDefault="0085734D" w:rsidP="0085734D">
      <w:pPr>
        <w:pStyle w:val="CETheadingx"/>
        <w:rPr>
          <w:lang w:val="en-GB"/>
        </w:rPr>
      </w:pPr>
      <w:r w:rsidRPr="00DD09A4">
        <w:rPr>
          <w:lang w:val="en-GB"/>
        </w:rPr>
        <w:t xml:space="preserve">Description of the facility </w:t>
      </w:r>
    </w:p>
    <w:p w14:paraId="6B3B4DC7" w14:textId="22CA58F0" w:rsidR="00EF09BE" w:rsidRPr="00DD09A4" w:rsidRDefault="006E0DD2" w:rsidP="0085734D">
      <w:pPr>
        <w:pStyle w:val="CETBodytext"/>
        <w:rPr>
          <w:lang w:val="en-GB"/>
        </w:rPr>
      </w:pPr>
      <w:r w:rsidRPr="00DD09A4">
        <w:rPr>
          <w:lang w:val="en-GB"/>
        </w:rPr>
        <w:t xml:space="preserve">The facility considered in this </w:t>
      </w:r>
      <w:r w:rsidR="00EF756F" w:rsidRPr="00DD09A4">
        <w:rPr>
          <w:lang w:val="en-GB"/>
        </w:rPr>
        <w:t xml:space="preserve">case </w:t>
      </w:r>
      <w:r w:rsidRPr="00DD09A4">
        <w:rPr>
          <w:lang w:val="en-GB"/>
        </w:rPr>
        <w:t xml:space="preserve">study is a green hydrogen production plant composed of ten </w:t>
      </w:r>
      <w:proofErr w:type="spellStart"/>
      <w:r w:rsidRPr="00DD09A4">
        <w:rPr>
          <w:lang w:val="en-GB"/>
        </w:rPr>
        <w:t>electrolyzers</w:t>
      </w:r>
      <w:proofErr w:type="spellEnd"/>
      <w:r w:rsidRPr="00DD09A4">
        <w:rPr>
          <w:lang w:val="en-GB"/>
        </w:rPr>
        <w:t xml:space="preserve"> connected to a downstream conditioning line</w:t>
      </w:r>
      <w:r w:rsidR="00B57D8E" w:rsidRPr="00DD09A4">
        <w:rPr>
          <w:lang w:val="en-GB"/>
        </w:rPr>
        <w:t xml:space="preserve"> </w:t>
      </w:r>
      <w:r w:rsidR="004E1F99" w:rsidRPr="00DD09A4">
        <w:rPr>
          <w:lang w:val="en-GB"/>
        </w:rPr>
        <w:t>that prepares</w:t>
      </w:r>
      <w:r w:rsidR="00B57D8E" w:rsidRPr="00DD09A4">
        <w:rPr>
          <w:lang w:val="en-GB"/>
        </w:rPr>
        <w:t xml:space="preserve"> hydrogen for subsequent transportation</w:t>
      </w:r>
      <w:r w:rsidRPr="00DD09A4">
        <w:rPr>
          <w:lang w:val="en-GB"/>
        </w:rPr>
        <w:t xml:space="preserve">. The </w:t>
      </w:r>
      <w:proofErr w:type="spellStart"/>
      <w:r w:rsidRPr="00DD09A4">
        <w:rPr>
          <w:lang w:val="en-GB"/>
        </w:rPr>
        <w:t>electrolyzers</w:t>
      </w:r>
      <w:proofErr w:type="spellEnd"/>
      <w:r w:rsidRPr="00DD09A4">
        <w:rPr>
          <w:lang w:val="en-GB"/>
        </w:rPr>
        <w:t xml:space="preserve"> are dual-feed alkaline units </w:t>
      </w:r>
      <w:r w:rsidR="00213516" w:rsidRPr="00DD09A4">
        <w:rPr>
          <w:lang w:val="en-GB"/>
        </w:rPr>
        <w:t xml:space="preserve">(AEL) </w:t>
      </w:r>
      <w:r w:rsidRPr="00DD09A4">
        <w:rPr>
          <w:lang w:val="en-GB"/>
        </w:rPr>
        <w:t>equipped with an external cooling system, as shown in</w:t>
      </w:r>
      <w:r w:rsidR="00A24931" w:rsidRPr="00DD09A4">
        <w:rPr>
          <w:lang w:val="en-GB"/>
        </w:rPr>
        <w:t xml:space="preserve"> </w:t>
      </w:r>
      <w:r w:rsidR="00A24931" w:rsidRPr="00DD09A4">
        <w:rPr>
          <w:lang w:val="en-GB"/>
        </w:rPr>
        <w:fldChar w:fldCharType="begin"/>
      </w:r>
      <w:r w:rsidR="00A24931" w:rsidRPr="00DD09A4">
        <w:rPr>
          <w:lang w:val="en-GB"/>
        </w:rPr>
        <w:instrText xml:space="preserve"> REF _Ref221163211 \h </w:instrText>
      </w:r>
      <w:r w:rsidR="00A24931" w:rsidRPr="00DD09A4">
        <w:rPr>
          <w:lang w:val="en-GB"/>
        </w:rPr>
      </w:r>
      <w:r w:rsidR="00A24931" w:rsidRPr="00DD09A4">
        <w:rPr>
          <w:lang w:val="en-GB"/>
        </w:rPr>
        <w:fldChar w:fldCharType="separate"/>
      </w:r>
      <w:r w:rsidR="00A24931" w:rsidRPr="00DD09A4">
        <w:rPr>
          <w:lang w:val="en-GB"/>
        </w:rPr>
        <w:t xml:space="preserve">Figure </w:t>
      </w:r>
      <w:r w:rsidR="00A24931" w:rsidRPr="00DD09A4">
        <w:rPr>
          <w:noProof/>
          <w:lang w:val="en-GB"/>
        </w:rPr>
        <w:t>2</w:t>
      </w:r>
      <w:r w:rsidR="00A24931" w:rsidRPr="00DD09A4">
        <w:rPr>
          <w:lang w:val="en-GB"/>
        </w:rPr>
        <w:fldChar w:fldCharType="end"/>
      </w:r>
      <w:r w:rsidR="00A24931" w:rsidRPr="00DD09A4">
        <w:rPr>
          <w:lang w:val="en-GB"/>
        </w:rPr>
        <w:t>b</w:t>
      </w:r>
      <w:r w:rsidRPr="00DD09A4">
        <w:rPr>
          <w:lang w:val="en-GB"/>
        </w:rPr>
        <w:t xml:space="preserve">. </w:t>
      </w:r>
      <w:r w:rsidR="002851A7" w:rsidRPr="002851A7">
        <w:rPr>
          <w:lang w:val="en-GB"/>
        </w:rPr>
        <w:t xml:space="preserve">The cooling system is essential because the electrolysis process generates a considerable heat load. The membrane operating temperature typically ranges between 60 °C and 80 °C </w:t>
      </w:r>
      <w:sdt>
        <w:sdtPr>
          <w:rPr>
            <w:rFonts w:cs="Arial"/>
            <w:color w:val="000000"/>
          </w:rPr>
          <w:tag w:val="MENDELEY_CITATION_v3_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"/>
          <w:id w:val="1390544718"/>
          <w:placeholder>
            <w:docPart w:val="6BEC9BE6F04F4F4EB83744D6DCD18633"/>
          </w:placeholder>
        </w:sdtPr>
        <w:sdtEndPr/>
        <w:sdtContent>
          <w:r w:rsidR="007A320F" w:rsidRPr="007A320F">
            <w:rPr>
              <w:rFonts w:cs="Arial"/>
              <w:color w:val="000000"/>
            </w:rPr>
            <w:t>(</w:t>
          </w:r>
          <w:proofErr w:type="spellStart"/>
          <w:r w:rsidR="007A320F" w:rsidRPr="007A320F">
            <w:rPr>
              <w:rFonts w:cs="Arial"/>
              <w:color w:val="000000"/>
            </w:rPr>
            <w:t>Emam</w:t>
          </w:r>
          <w:proofErr w:type="spellEnd"/>
          <w:r w:rsidR="007A320F" w:rsidRPr="007A320F">
            <w:rPr>
              <w:rFonts w:cs="Arial"/>
              <w:color w:val="000000"/>
            </w:rPr>
            <w:t xml:space="preserve"> et al., 2024)</w:t>
          </w:r>
        </w:sdtContent>
      </w:sdt>
      <w:r w:rsidR="002851A7" w:rsidRPr="002851A7">
        <w:rPr>
          <w:lang w:val="en-GB"/>
        </w:rPr>
        <w:t xml:space="preserve">. If temperature increases excessively, membrane passivation or failure may occur, particularly as temperatures approach 150 °C </w:t>
      </w:r>
      <w:sdt>
        <w:sdtPr>
          <w:rPr>
            <w:rFonts w:cs="Arial"/>
            <w:color w:val="000000"/>
          </w:rPr>
          <w:tag w:val="MENDELEY_CITATION_v3_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"/>
          <w:id w:val="1291705082"/>
          <w:placeholder>
            <w:docPart w:val="E24B48FA4E264B86A7C18CA8A7E1E3D0"/>
          </w:placeholder>
        </w:sdtPr>
        <w:sdtEndPr/>
        <w:sdtContent>
          <w:r w:rsidR="007A320F" w:rsidRPr="007A320F">
            <w:rPr>
              <w:rFonts w:cs="Arial"/>
              <w:color w:val="000000"/>
            </w:rPr>
            <w:t>(</w:t>
          </w:r>
          <w:proofErr w:type="spellStart"/>
          <w:r w:rsidR="007A320F" w:rsidRPr="007A320F">
            <w:rPr>
              <w:rFonts w:cs="Arial"/>
              <w:color w:val="000000"/>
            </w:rPr>
            <w:t>Allebrod</w:t>
          </w:r>
          <w:proofErr w:type="spellEnd"/>
          <w:r w:rsidR="007A320F" w:rsidRPr="007A320F">
            <w:rPr>
              <w:rFonts w:cs="Arial"/>
              <w:color w:val="000000"/>
            </w:rPr>
            <w:t xml:space="preserve"> et al., 2014)</w:t>
          </w:r>
        </w:sdtContent>
      </w:sdt>
      <w:r w:rsidR="002851A7" w:rsidRPr="002851A7">
        <w:rPr>
          <w:lang w:val="en-GB"/>
        </w:rPr>
        <w:t xml:space="preserve">. To prevent this, when the </w:t>
      </w:r>
      <w:proofErr w:type="spellStart"/>
      <w:r w:rsidR="002851A7" w:rsidRPr="002851A7">
        <w:rPr>
          <w:lang w:val="en-GB"/>
        </w:rPr>
        <w:t>electrolyzer</w:t>
      </w:r>
      <w:proofErr w:type="spellEnd"/>
      <w:r w:rsidR="002851A7" w:rsidRPr="002851A7">
        <w:rPr>
          <w:lang w:val="en-GB"/>
        </w:rPr>
        <w:t xml:space="preserve"> temperature reaches 110 °C, a very high temperature alarm is triggered and the electrical supply is automatically disconnected through a Local Shut Down (LSD) logic.</w:t>
      </w:r>
    </w:p>
    <w:p w14:paraId="3F235167" w14:textId="0253D76D" w:rsidR="00EF09BE" w:rsidRPr="00DD09A4" w:rsidRDefault="00EF09BE" w:rsidP="00EF09BE">
      <w:pPr>
        <w:pStyle w:val="CETheadingx"/>
        <w:rPr>
          <w:lang w:val="en-GB"/>
        </w:rPr>
      </w:pPr>
      <w:r w:rsidRPr="00DD09A4">
        <w:rPr>
          <w:lang w:val="en-GB"/>
        </w:rPr>
        <w:t xml:space="preserve">Results and discussion of application of the </w:t>
      </w:r>
      <w:r w:rsidR="009E60F4" w:rsidRPr="00DD09A4">
        <w:rPr>
          <w:lang w:val="en-GB"/>
        </w:rPr>
        <w:t>approach</w:t>
      </w:r>
    </w:p>
    <w:p w14:paraId="7DB59133" w14:textId="6CF02CE0" w:rsidR="00F55C15" w:rsidRPr="0006191C" w:rsidRDefault="004F43A5" w:rsidP="00EF09BE">
      <w:pPr>
        <w:pStyle w:val="CETBodytext"/>
        <w:rPr>
          <w:highlight w:val="yellow"/>
        </w:rPr>
      </w:pPr>
      <w:r w:rsidRPr="00DD09A4">
        <w:rPr>
          <w:lang w:val="en-GB"/>
        </w:rPr>
        <w:t xml:space="preserve">In </w:t>
      </w:r>
      <w:r w:rsidR="00F55C15" w:rsidRPr="00DD09A4">
        <w:rPr>
          <w:lang w:val="en-GB"/>
        </w:rPr>
        <w:t xml:space="preserve">the first step of the proposed </w:t>
      </w:r>
      <w:r w:rsidRPr="00DD09A4">
        <w:rPr>
          <w:lang w:val="en-GB"/>
        </w:rPr>
        <w:t>approach</w:t>
      </w:r>
      <w:r w:rsidR="00F55C15" w:rsidRPr="00DD09A4">
        <w:rPr>
          <w:lang w:val="en-GB"/>
        </w:rPr>
        <w:t>, the cybersecurity scenarios</w:t>
      </w:r>
      <w:r w:rsidRPr="00DD09A4">
        <w:rPr>
          <w:lang w:val="en-GB"/>
        </w:rPr>
        <w:t xml:space="preserve"> of concern for the </w:t>
      </w:r>
      <w:r w:rsidR="00F50CFE" w:rsidRPr="00DD09A4">
        <w:rPr>
          <w:lang w:val="en-GB"/>
        </w:rPr>
        <w:t>analysed</w:t>
      </w:r>
      <w:r w:rsidRPr="00DD09A4">
        <w:rPr>
          <w:lang w:val="en-GB"/>
        </w:rPr>
        <w:t xml:space="preserve"> </w:t>
      </w:r>
      <w:r w:rsidR="00F50CFE" w:rsidRPr="00DD09A4">
        <w:rPr>
          <w:lang w:val="en-GB"/>
        </w:rPr>
        <w:t>plant</w:t>
      </w:r>
      <w:r w:rsidR="00F55C15" w:rsidRPr="00DD09A4">
        <w:rPr>
          <w:lang w:val="en-GB"/>
        </w:rPr>
        <w:t xml:space="preserve"> are identified using the POROS 2.0</w:t>
      </w:r>
      <w:r w:rsidR="00EF2796" w:rsidRPr="00DD09A4">
        <w:rPr>
          <w:lang w:val="en-GB"/>
        </w:rPr>
        <w:t xml:space="preserve"> methodology</w:t>
      </w:r>
      <w:r w:rsidR="00F55C15" w:rsidRPr="00DD09A4">
        <w:rPr>
          <w:lang w:val="en-GB"/>
        </w:rPr>
        <w:t xml:space="preserve">. For brevity, only one representative scenario is considered in this </w:t>
      </w:r>
      <w:r w:rsidR="00EF2796" w:rsidRPr="00DD09A4">
        <w:rPr>
          <w:lang w:val="en-GB"/>
        </w:rPr>
        <w:t>study</w:t>
      </w:r>
      <w:r w:rsidR="00F55C15" w:rsidRPr="00DD09A4">
        <w:rPr>
          <w:lang w:val="en-GB"/>
        </w:rPr>
        <w:t>. Specifically, the integrated cooling system is targeted by maliciously closing the cooling fluid inlet valve VLV-100</w:t>
      </w:r>
      <w:r w:rsidR="008854B9" w:rsidRPr="00DD09A4">
        <w:rPr>
          <w:lang w:val="en-GB"/>
        </w:rPr>
        <w:t xml:space="preserve"> (see </w:t>
      </w:r>
      <w:r w:rsidR="008854B9" w:rsidRPr="00DD09A4">
        <w:rPr>
          <w:lang w:val="en-GB"/>
        </w:rPr>
        <w:fldChar w:fldCharType="begin"/>
      </w:r>
      <w:r w:rsidR="008854B9" w:rsidRPr="00DD09A4">
        <w:rPr>
          <w:lang w:val="en-GB"/>
        </w:rPr>
        <w:instrText xml:space="preserve"> REF _Ref221163211 \h </w:instrText>
      </w:r>
      <w:r w:rsidR="008854B9" w:rsidRPr="00DD09A4">
        <w:rPr>
          <w:lang w:val="en-GB"/>
        </w:rPr>
      </w:r>
      <w:r w:rsidR="008854B9" w:rsidRPr="00DD09A4">
        <w:rPr>
          <w:lang w:val="en-GB"/>
        </w:rPr>
        <w:fldChar w:fldCharType="separate"/>
      </w:r>
      <w:r w:rsidR="008854B9" w:rsidRPr="00DD09A4">
        <w:rPr>
          <w:lang w:val="en-GB"/>
        </w:rPr>
        <w:t xml:space="preserve">Figure </w:t>
      </w:r>
      <w:r w:rsidR="008854B9" w:rsidRPr="00DD09A4">
        <w:rPr>
          <w:noProof/>
          <w:lang w:val="en-GB"/>
        </w:rPr>
        <w:t>2</w:t>
      </w:r>
      <w:r w:rsidR="008854B9" w:rsidRPr="00DD09A4">
        <w:rPr>
          <w:lang w:val="en-GB"/>
        </w:rPr>
        <w:fldChar w:fldCharType="end"/>
      </w:r>
      <w:r w:rsidR="008854B9" w:rsidRPr="00DD09A4">
        <w:rPr>
          <w:lang w:val="en-GB"/>
        </w:rPr>
        <w:t>b)</w:t>
      </w:r>
      <w:r w:rsidR="00F55C15" w:rsidRPr="00DD09A4">
        <w:rPr>
          <w:lang w:val="en-GB"/>
        </w:rPr>
        <w:t xml:space="preserve">, with the aim of inducing a temperature increase in the </w:t>
      </w:r>
      <w:proofErr w:type="spellStart"/>
      <w:r w:rsidR="00F55C15" w:rsidRPr="00DD09A4">
        <w:rPr>
          <w:lang w:val="en-GB"/>
        </w:rPr>
        <w:t>electrolyzer</w:t>
      </w:r>
      <w:proofErr w:type="spellEnd"/>
      <w:r w:rsidR="0033128F" w:rsidRPr="00DD09A4">
        <w:rPr>
          <w:lang w:val="en-GB"/>
        </w:rPr>
        <w:t xml:space="preserve"> E-100</w:t>
      </w:r>
      <w:r w:rsidR="00F55C15" w:rsidRPr="00DD09A4">
        <w:rPr>
          <w:lang w:val="en-GB"/>
        </w:rPr>
        <w:t xml:space="preserve">. </w:t>
      </w:r>
      <w:r w:rsidR="008F1D3A" w:rsidRPr="00DD09A4">
        <w:rPr>
          <w:lang w:val="en-GB"/>
        </w:rPr>
        <w:t xml:space="preserve">This may lead to </w:t>
      </w:r>
      <w:r w:rsidR="0006191C">
        <w:rPr>
          <w:lang w:val="en-GB"/>
        </w:rPr>
        <w:t>passivation</w:t>
      </w:r>
      <w:r w:rsidR="008F1D3A" w:rsidRPr="00DD09A4">
        <w:rPr>
          <w:lang w:val="en-GB"/>
        </w:rPr>
        <w:t xml:space="preserve"> of the membrane and electrodes within the stack, reducing or even completely compromising the process efficiency</w:t>
      </w:r>
      <w:r w:rsidR="00F55C15" w:rsidRPr="00DD09A4">
        <w:rPr>
          <w:lang w:val="en-GB"/>
        </w:rPr>
        <w:t xml:space="preserve">. </w:t>
      </w:r>
      <w:r w:rsidR="00A15F5D" w:rsidRPr="00DD09A4">
        <w:rPr>
          <w:lang w:val="en-GB"/>
        </w:rPr>
        <w:fldChar w:fldCharType="begin"/>
      </w:r>
      <w:r w:rsidR="00A15F5D" w:rsidRPr="00DD09A4">
        <w:rPr>
          <w:lang w:val="en-GB"/>
        </w:rPr>
        <w:instrText xml:space="preserve"> REF _Ref221166798 \h </w:instrText>
      </w:r>
      <w:r w:rsidR="00A15F5D" w:rsidRPr="00DD09A4">
        <w:rPr>
          <w:lang w:val="en-GB"/>
        </w:rPr>
      </w:r>
      <w:r w:rsidR="00A15F5D" w:rsidRPr="00DD09A4">
        <w:rPr>
          <w:lang w:val="en-GB"/>
        </w:rPr>
        <w:fldChar w:fldCharType="separate"/>
      </w:r>
      <w:r w:rsidR="00A15F5D" w:rsidRPr="00DD09A4">
        <w:rPr>
          <w:lang w:val="en-GB"/>
        </w:rPr>
        <w:t xml:space="preserve">Table </w:t>
      </w:r>
      <w:r w:rsidR="00A15F5D" w:rsidRPr="00DD09A4">
        <w:rPr>
          <w:noProof/>
          <w:lang w:val="en-GB"/>
        </w:rPr>
        <w:t>1</w:t>
      </w:r>
      <w:r w:rsidR="00A15F5D" w:rsidRPr="00DD09A4">
        <w:rPr>
          <w:lang w:val="en-GB"/>
        </w:rPr>
        <w:fldChar w:fldCharType="end"/>
      </w:r>
      <w:r w:rsidR="00F55C15" w:rsidRPr="00DD09A4">
        <w:rPr>
          <w:lang w:val="en-GB"/>
        </w:rPr>
        <w:t xml:space="preserve"> summarises the scenario details, along with the active and passive safeguards </w:t>
      </w:r>
      <w:r w:rsidR="00573517" w:rsidRPr="00DD09A4">
        <w:rPr>
          <w:lang w:val="en-GB"/>
        </w:rPr>
        <w:t xml:space="preserve">in place </w:t>
      </w:r>
      <w:r w:rsidR="00F55C15" w:rsidRPr="00DD09A4">
        <w:rPr>
          <w:lang w:val="en-GB"/>
        </w:rPr>
        <w:t>to mitigate</w:t>
      </w:r>
      <w:r w:rsidR="0006191C">
        <w:rPr>
          <w:lang w:val="en-GB"/>
        </w:rPr>
        <w:t>/prevent</w:t>
      </w:r>
      <w:r w:rsidR="00F55C15" w:rsidRPr="00DD09A4">
        <w:rPr>
          <w:lang w:val="en-GB"/>
        </w:rPr>
        <w:t xml:space="preserve"> its effects.</w:t>
      </w:r>
      <w:r w:rsidR="00B86E89" w:rsidRPr="00DD09A4">
        <w:rPr>
          <w:lang w:val="en-GB"/>
        </w:rPr>
        <w:t xml:space="preserve"> </w:t>
      </w:r>
      <w:r w:rsidR="0006191C" w:rsidRPr="0006191C">
        <w:t xml:space="preserve">In this scenario, </w:t>
      </w:r>
      <w:r w:rsidR="0090207F">
        <w:t>i</w:t>
      </w:r>
      <w:r w:rsidR="00D71113" w:rsidRPr="00D71113">
        <w:t xml:space="preserve">t is assumed that the attacker has disabled the automatic shutdown triggered by the very high temperature switch, leaving only manual operator intervention to disconnect the </w:t>
      </w:r>
      <w:proofErr w:type="spellStart"/>
      <w:r w:rsidR="00D71113" w:rsidRPr="00D71113">
        <w:t>electrolyzer</w:t>
      </w:r>
      <w:proofErr w:type="spellEnd"/>
      <w:r w:rsidR="00D71113" w:rsidRPr="00D71113">
        <w:t xml:space="preserve"> power supply in case of temperature rise over the safety limit.</w:t>
      </w:r>
    </w:p>
    <w:p w14:paraId="6C7B5A80" w14:textId="3311BFF6" w:rsidR="00F55C15" w:rsidRPr="00DD09A4" w:rsidRDefault="00F55C15" w:rsidP="00325C86">
      <w:pPr>
        <w:pStyle w:val="CETTabletitle"/>
      </w:pPr>
      <w:bookmarkStart w:id="4" w:name="_Ref221166798"/>
      <w:r w:rsidRPr="00DD09A4">
        <w:t xml:space="preserve">Table </w:t>
      </w:r>
      <w:r w:rsidRPr="00DD09A4">
        <w:fldChar w:fldCharType="begin"/>
      </w:r>
      <w:r w:rsidRPr="00DD09A4">
        <w:instrText xml:space="preserve"> SEQ Table \* ARABIC </w:instrText>
      </w:r>
      <w:r w:rsidRPr="00DD09A4">
        <w:fldChar w:fldCharType="separate"/>
      </w:r>
      <w:r w:rsidR="003226A8" w:rsidRPr="00DD09A4">
        <w:rPr>
          <w:noProof/>
        </w:rPr>
        <w:t>1</w:t>
      </w:r>
      <w:r w:rsidRPr="00DD09A4">
        <w:fldChar w:fldCharType="end"/>
      </w:r>
      <w:bookmarkEnd w:id="4"/>
      <w:r w:rsidRPr="00DD09A4">
        <w:t xml:space="preserve"> </w:t>
      </w:r>
      <w:r w:rsidR="006F2388" w:rsidRPr="00DD09A4">
        <w:t xml:space="preserve">Details of the cybersecurity scenario </w:t>
      </w:r>
      <w:r w:rsidR="009B3203" w:rsidRPr="00DD09A4">
        <w:t>identified through POROS</w:t>
      </w:r>
      <w:r w:rsidR="00EF2796" w:rsidRPr="00DD09A4">
        <w:t xml:space="preserve"> 2.0</w:t>
      </w:r>
      <w:r w:rsidR="00DD09A4" w:rsidRPr="00DD09A4">
        <w:t xml:space="preserve"> </w:t>
      </w:r>
      <w:sdt>
        <w:sdtPr>
          <w:rPr>
            <w:rFonts w:cs="Arial"/>
            <w:color w:val="000000"/>
          </w:rPr>
          <w:tag w:val="MENDELEY_CITATION_v3_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"/>
          <w:id w:val="-1159922505"/>
          <w:placeholder>
            <w:docPart w:val="DefaultPlaceholder_-1854013440"/>
          </w:placeholder>
        </w:sdtPr>
        <w:sdtEndPr/>
        <w:sdtContent>
          <w:r w:rsidR="007A320F" w:rsidRPr="007A320F">
            <w:rPr>
              <w:rFonts w:cs="Arial"/>
              <w:color w:val="000000"/>
            </w:rPr>
            <w:t>(</w:t>
          </w:r>
          <w:proofErr w:type="spellStart"/>
          <w:r w:rsidR="007A320F" w:rsidRPr="007A320F">
            <w:rPr>
              <w:rFonts w:cs="Arial"/>
              <w:color w:val="000000"/>
            </w:rPr>
            <w:t>Iaiani</w:t>
          </w:r>
          <w:proofErr w:type="spellEnd"/>
          <w:r w:rsidR="007A320F" w:rsidRPr="007A320F">
            <w:rPr>
              <w:rFonts w:cs="Arial"/>
              <w:color w:val="000000"/>
            </w:rPr>
            <w:t xml:space="preserve"> et al., 2023)</w:t>
          </w:r>
        </w:sdtContent>
      </w:sdt>
      <w:r w:rsidR="009B3203" w:rsidRPr="00DD09A4">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65"/>
        <w:gridCol w:w="1468"/>
        <w:gridCol w:w="1467"/>
        <w:gridCol w:w="1467"/>
        <w:gridCol w:w="1467"/>
        <w:gridCol w:w="1453"/>
      </w:tblGrid>
      <w:tr w:rsidR="002851A7" w:rsidRPr="00DD09A4" w14:paraId="460B72AE" w14:textId="77777777" w:rsidTr="0006191C">
        <w:trPr>
          <w:trHeight w:val="343"/>
        </w:trPr>
        <w:tc>
          <w:tcPr>
            <w:tcW w:w="833" w:type="pct"/>
            <w:tcBorders>
              <w:top w:val="single" w:sz="12" w:space="0" w:color="008000"/>
              <w:bottom w:val="single" w:sz="6" w:space="0" w:color="008000"/>
            </w:tcBorders>
            <w:tcMar>
              <w:left w:w="57" w:type="dxa"/>
              <w:right w:w="57" w:type="dxa"/>
            </w:tcMar>
          </w:tcPr>
          <w:p w14:paraId="08F872BB" w14:textId="22E8DA7E" w:rsidR="002851A7" w:rsidRPr="0006191C" w:rsidRDefault="002851A7" w:rsidP="0007594B">
            <w:pPr>
              <w:pStyle w:val="CETBodytext"/>
              <w:jc w:val="left"/>
              <w:rPr>
                <w:lang w:val="en-GB"/>
              </w:rPr>
            </w:pPr>
            <w:r w:rsidRPr="0006191C">
              <w:rPr>
                <w:bCs/>
                <w:lang w:val="en-GB"/>
              </w:rPr>
              <w:t>Scenario description</w:t>
            </w:r>
          </w:p>
        </w:tc>
        <w:tc>
          <w:tcPr>
            <w:tcW w:w="835" w:type="pct"/>
            <w:tcBorders>
              <w:top w:val="single" w:sz="12" w:space="0" w:color="008000"/>
              <w:bottom w:val="single" w:sz="6" w:space="0" w:color="008000"/>
            </w:tcBorders>
            <w:tcMar>
              <w:left w:w="57" w:type="dxa"/>
              <w:right w:w="57" w:type="dxa"/>
            </w:tcMar>
          </w:tcPr>
          <w:p w14:paraId="6AFB5742" w14:textId="6408E89D" w:rsidR="002851A7" w:rsidRPr="0006191C" w:rsidRDefault="002851A7" w:rsidP="0007594B">
            <w:pPr>
              <w:pStyle w:val="CETBodytext"/>
              <w:ind w:right="-1"/>
              <w:jc w:val="left"/>
              <w:rPr>
                <w:bCs/>
                <w:lang w:val="en-GB"/>
              </w:rPr>
            </w:pPr>
            <w:r w:rsidRPr="0006191C">
              <w:rPr>
                <w:bCs/>
                <w:lang w:val="en-GB"/>
              </w:rPr>
              <w:t xml:space="preserve">Targeted OT controller </w:t>
            </w:r>
            <w:r w:rsidR="0006191C">
              <w:rPr>
                <w:bCs/>
                <w:lang w:val="en-GB"/>
              </w:rPr>
              <w:t xml:space="preserve">&amp; </w:t>
            </w:r>
            <w:r w:rsidRPr="0006191C">
              <w:rPr>
                <w:bCs/>
                <w:lang w:val="en-GB"/>
              </w:rPr>
              <w:t>regulated</w:t>
            </w:r>
          </w:p>
          <w:p w14:paraId="2A7FCA5A" w14:textId="474F7404" w:rsidR="002851A7" w:rsidRPr="0006191C" w:rsidRDefault="002851A7" w:rsidP="0007594B">
            <w:pPr>
              <w:pStyle w:val="CETBodytext"/>
              <w:ind w:right="-1"/>
              <w:jc w:val="left"/>
              <w:rPr>
                <w:rFonts w:cs="Arial"/>
                <w:szCs w:val="18"/>
                <w:lang w:val="en-GB"/>
              </w:rPr>
            </w:pPr>
            <w:r w:rsidRPr="0006191C">
              <w:rPr>
                <w:bCs/>
                <w:lang w:val="en-GB"/>
              </w:rPr>
              <w:t>valve</w:t>
            </w:r>
          </w:p>
        </w:tc>
        <w:tc>
          <w:tcPr>
            <w:tcW w:w="835" w:type="pct"/>
            <w:tcBorders>
              <w:top w:val="single" w:sz="12" w:space="0" w:color="008000"/>
              <w:bottom w:val="single" w:sz="6" w:space="0" w:color="008000"/>
            </w:tcBorders>
            <w:tcMar>
              <w:left w:w="57" w:type="dxa"/>
              <w:right w:w="57" w:type="dxa"/>
            </w:tcMar>
          </w:tcPr>
          <w:p w14:paraId="3B704F55" w14:textId="5C5177B2" w:rsidR="002851A7" w:rsidRPr="0006191C" w:rsidRDefault="002851A7" w:rsidP="0007594B">
            <w:pPr>
              <w:pStyle w:val="CETBodytext"/>
              <w:ind w:right="-1"/>
              <w:jc w:val="left"/>
              <w:rPr>
                <w:bCs/>
                <w:lang w:val="en-GB"/>
              </w:rPr>
            </w:pPr>
            <w:r w:rsidRPr="0006191C">
              <w:rPr>
                <w:bCs/>
                <w:lang w:val="en-GB"/>
              </w:rPr>
              <w:t>Manipulation on targeted OT controller</w:t>
            </w:r>
          </w:p>
        </w:tc>
        <w:tc>
          <w:tcPr>
            <w:tcW w:w="835" w:type="pct"/>
            <w:tcBorders>
              <w:top w:val="single" w:sz="12" w:space="0" w:color="008000"/>
              <w:bottom w:val="single" w:sz="6" w:space="0" w:color="008000"/>
            </w:tcBorders>
            <w:tcMar>
              <w:left w:w="57" w:type="dxa"/>
              <w:right w:w="57" w:type="dxa"/>
            </w:tcMar>
          </w:tcPr>
          <w:p w14:paraId="61AB1C8F" w14:textId="4A832499" w:rsidR="002851A7" w:rsidRPr="0006191C" w:rsidRDefault="002851A7" w:rsidP="0006191C">
            <w:pPr>
              <w:pStyle w:val="CETBodytext"/>
              <w:ind w:right="-1"/>
              <w:rPr>
                <w:bCs/>
                <w:lang w:val="en-GB"/>
              </w:rPr>
            </w:pPr>
            <w:r w:rsidRPr="0006191C">
              <w:rPr>
                <w:bCs/>
                <w:lang w:val="en-GB"/>
              </w:rPr>
              <w:t>Consequence</w:t>
            </w:r>
            <w:r w:rsidR="0006191C">
              <w:rPr>
                <w:bCs/>
                <w:lang w:val="en-GB"/>
              </w:rPr>
              <w:t>s</w:t>
            </w:r>
            <w:r w:rsidRPr="0006191C">
              <w:rPr>
                <w:bCs/>
                <w:lang w:val="en-GB"/>
              </w:rPr>
              <w:t xml:space="preserve"> </w:t>
            </w:r>
            <w:r w:rsidR="0006191C">
              <w:rPr>
                <w:bCs/>
                <w:lang w:val="en-GB"/>
              </w:rPr>
              <w:t>in the</w:t>
            </w:r>
            <w:r w:rsidRPr="0006191C">
              <w:rPr>
                <w:bCs/>
                <w:lang w:val="en-GB"/>
              </w:rPr>
              <w:t xml:space="preserve"> plant </w:t>
            </w:r>
          </w:p>
        </w:tc>
        <w:tc>
          <w:tcPr>
            <w:tcW w:w="835" w:type="pct"/>
            <w:tcBorders>
              <w:top w:val="single" w:sz="12" w:space="0" w:color="008000"/>
              <w:bottom w:val="single" w:sz="6" w:space="0" w:color="008000"/>
            </w:tcBorders>
            <w:tcMar>
              <w:left w:w="57" w:type="dxa"/>
              <w:right w:w="57" w:type="dxa"/>
            </w:tcMar>
          </w:tcPr>
          <w:p w14:paraId="63DF13B4" w14:textId="25B7CE62" w:rsidR="002851A7" w:rsidRPr="0006191C" w:rsidRDefault="002851A7" w:rsidP="0007594B">
            <w:pPr>
              <w:pStyle w:val="CETBodytext"/>
              <w:ind w:right="-1"/>
              <w:jc w:val="left"/>
              <w:rPr>
                <w:rFonts w:cs="Arial"/>
                <w:szCs w:val="18"/>
                <w:lang w:val="en-GB"/>
              </w:rPr>
            </w:pPr>
            <w:r w:rsidRPr="0006191C">
              <w:rPr>
                <w:bCs/>
                <w:lang w:val="en-GB"/>
              </w:rPr>
              <w:t xml:space="preserve">Active safeguards </w:t>
            </w:r>
            <w:r w:rsidR="0006191C">
              <w:rPr>
                <w:bCs/>
                <w:lang w:val="en-GB"/>
              </w:rPr>
              <w:t>effective against scenario</w:t>
            </w:r>
          </w:p>
        </w:tc>
        <w:tc>
          <w:tcPr>
            <w:tcW w:w="829" w:type="pct"/>
            <w:tcBorders>
              <w:top w:val="single" w:sz="12" w:space="0" w:color="008000"/>
              <w:bottom w:val="single" w:sz="6" w:space="0" w:color="008000"/>
            </w:tcBorders>
            <w:tcMar>
              <w:left w:w="57" w:type="dxa"/>
              <w:right w:w="57" w:type="dxa"/>
            </w:tcMar>
          </w:tcPr>
          <w:p w14:paraId="517C94C2" w14:textId="753E1539" w:rsidR="002851A7" w:rsidRPr="0006191C" w:rsidRDefault="0006191C" w:rsidP="0006191C">
            <w:pPr>
              <w:pStyle w:val="CETBodytext"/>
              <w:jc w:val="left"/>
              <w:rPr>
                <w:rFonts w:cs="Arial"/>
                <w:szCs w:val="18"/>
                <w:lang w:val="en-GB"/>
              </w:rPr>
            </w:pPr>
            <w:r>
              <w:rPr>
                <w:bCs/>
                <w:lang w:val="en-GB"/>
              </w:rPr>
              <w:t>Passive</w:t>
            </w:r>
            <w:r w:rsidRPr="0006191C">
              <w:rPr>
                <w:bCs/>
                <w:lang w:val="en-GB"/>
              </w:rPr>
              <w:t xml:space="preserve"> safeguards </w:t>
            </w:r>
            <w:r>
              <w:rPr>
                <w:bCs/>
                <w:lang w:val="en-GB"/>
              </w:rPr>
              <w:t>effective against scenario</w:t>
            </w:r>
            <w:r w:rsidRPr="0006191C">
              <w:rPr>
                <w:rFonts w:cs="Arial"/>
                <w:szCs w:val="18"/>
                <w:lang w:val="en-GB"/>
              </w:rPr>
              <w:t xml:space="preserve"> </w:t>
            </w:r>
          </w:p>
        </w:tc>
      </w:tr>
      <w:tr w:rsidR="002851A7" w:rsidRPr="00DD09A4" w14:paraId="555EFE68" w14:textId="77777777" w:rsidTr="0006191C">
        <w:trPr>
          <w:trHeight w:val="693"/>
        </w:trPr>
        <w:tc>
          <w:tcPr>
            <w:tcW w:w="833" w:type="pct"/>
            <w:shd w:val="clear" w:color="auto" w:fill="FFFFFF"/>
            <w:tcMar>
              <w:left w:w="57" w:type="dxa"/>
              <w:right w:w="57" w:type="dxa"/>
            </w:tcMar>
          </w:tcPr>
          <w:p w14:paraId="403B478A" w14:textId="73A9D0DA" w:rsidR="002851A7" w:rsidRPr="00DD09A4" w:rsidRDefault="002851A7" w:rsidP="0007594B">
            <w:pPr>
              <w:pStyle w:val="CETBodytext"/>
              <w:jc w:val="left"/>
              <w:rPr>
                <w:lang w:val="en-GB"/>
              </w:rPr>
            </w:pPr>
            <w:r w:rsidRPr="00DD09A4">
              <w:rPr>
                <w:lang w:val="en-GB"/>
              </w:rPr>
              <w:t>Damage of electrolyser E-100 by inducing temperature rise through cooling interruption</w:t>
            </w:r>
          </w:p>
        </w:tc>
        <w:tc>
          <w:tcPr>
            <w:tcW w:w="835" w:type="pct"/>
            <w:shd w:val="clear" w:color="auto" w:fill="FFFFFF"/>
            <w:tcMar>
              <w:left w:w="57" w:type="dxa"/>
              <w:right w:w="57" w:type="dxa"/>
            </w:tcMar>
          </w:tcPr>
          <w:p w14:paraId="245A3CE2" w14:textId="261E4EC1" w:rsidR="002851A7" w:rsidRPr="00DD09A4" w:rsidRDefault="002851A7" w:rsidP="0007594B">
            <w:pPr>
              <w:pStyle w:val="CETBodytext"/>
              <w:ind w:right="-1"/>
              <w:jc w:val="left"/>
              <w:rPr>
                <w:rFonts w:cs="Arial"/>
                <w:szCs w:val="18"/>
                <w:lang w:val="en-GB"/>
              </w:rPr>
            </w:pPr>
            <w:r w:rsidRPr="00DD09A4">
              <w:rPr>
                <w:lang w:val="en-GB"/>
              </w:rPr>
              <w:t>TC-T01</w:t>
            </w:r>
            <w:r>
              <w:rPr>
                <w:lang w:val="en-GB"/>
              </w:rPr>
              <w:t xml:space="preserve"> regulating valve VLV-100</w:t>
            </w:r>
          </w:p>
        </w:tc>
        <w:tc>
          <w:tcPr>
            <w:tcW w:w="835" w:type="pct"/>
            <w:shd w:val="clear" w:color="auto" w:fill="FFFFFF"/>
            <w:tcMar>
              <w:left w:w="57" w:type="dxa"/>
              <w:right w:w="57" w:type="dxa"/>
            </w:tcMar>
          </w:tcPr>
          <w:p w14:paraId="473B9DE0" w14:textId="4CA68F5E" w:rsidR="002851A7" w:rsidRPr="00766DB1" w:rsidRDefault="002851A7" w:rsidP="0007594B">
            <w:pPr>
              <w:pStyle w:val="CETBodytext"/>
              <w:ind w:right="-1"/>
              <w:jc w:val="left"/>
              <w:rPr>
                <w:lang w:val="en-GB"/>
              </w:rPr>
            </w:pPr>
            <w:r>
              <w:rPr>
                <w:lang w:val="en-GB"/>
              </w:rPr>
              <w:t xml:space="preserve">Temperature setpoint increased above </w:t>
            </w:r>
            <w:r w:rsidR="0006191C">
              <w:rPr>
                <w:lang w:val="en-GB"/>
              </w:rPr>
              <w:t xml:space="preserve">membrane </w:t>
            </w:r>
            <w:r>
              <w:rPr>
                <w:lang w:val="en-GB"/>
              </w:rPr>
              <w:t>passivation temperature</w:t>
            </w:r>
          </w:p>
        </w:tc>
        <w:tc>
          <w:tcPr>
            <w:tcW w:w="835" w:type="pct"/>
            <w:shd w:val="clear" w:color="auto" w:fill="FFFFFF"/>
            <w:tcMar>
              <w:left w:w="57" w:type="dxa"/>
              <w:right w:w="57" w:type="dxa"/>
            </w:tcMar>
          </w:tcPr>
          <w:p w14:paraId="76CFEFB0" w14:textId="27788C07" w:rsidR="002851A7" w:rsidRPr="00766DB1" w:rsidRDefault="002851A7" w:rsidP="0007594B">
            <w:pPr>
              <w:pStyle w:val="CETBodytext"/>
              <w:ind w:right="-1"/>
              <w:jc w:val="left"/>
              <w:rPr>
                <w:lang w:val="en-GB"/>
              </w:rPr>
            </w:pPr>
            <w:r>
              <w:rPr>
                <w:lang w:val="en-GB"/>
              </w:rPr>
              <w:t xml:space="preserve">Valve VLV-100 </w:t>
            </w:r>
            <w:r w:rsidR="0006191C">
              <w:rPr>
                <w:lang w:val="en-GB"/>
              </w:rPr>
              <w:t>closes</w:t>
            </w:r>
            <w:r>
              <w:rPr>
                <w:lang w:val="en-GB"/>
              </w:rPr>
              <w:t xml:space="preserve"> </w:t>
            </w:r>
            <w:r w:rsidR="0006191C">
              <w:rPr>
                <w:lang w:val="en-GB"/>
              </w:rPr>
              <w:t>fully</w:t>
            </w:r>
          </w:p>
        </w:tc>
        <w:tc>
          <w:tcPr>
            <w:tcW w:w="835" w:type="pct"/>
            <w:shd w:val="clear" w:color="auto" w:fill="FFFFFF"/>
            <w:tcMar>
              <w:left w:w="57" w:type="dxa"/>
              <w:right w:w="57" w:type="dxa"/>
            </w:tcMar>
          </w:tcPr>
          <w:p w14:paraId="08CC6C53" w14:textId="396062C6" w:rsidR="002851A7" w:rsidRPr="00DD09A4" w:rsidRDefault="002851A7" w:rsidP="0007594B">
            <w:pPr>
              <w:pStyle w:val="CETBodytext"/>
              <w:ind w:right="-1"/>
              <w:jc w:val="left"/>
              <w:rPr>
                <w:rFonts w:cs="Arial"/>
                <w:szCs w:val="18"/>
                <w:lang w:val="en-GB"/>
              </w:rPr>
            </w:pPr>
            <w:r w:rsidRPr="00766DB1">
              <w:rPr>
                <w:lang w:val="en-GB"/>
              </w:rPr>
              <w:t>LSD</w:t>
            </w:r>
            <w:r w:rsidRPr="00DD09A4">
              <w:rPr>
                <w:lang w:val="en-GB"/>
              </w:rPr>
              <w:t xml:space="preserve"> logic activated by very high temperature </w:t>
            </w:r>
            <w:r w:rsidR="0006191C">
              <w:rPr>
                <w:lang w:val="en-GB"/>
              </w:rPr>
              <w:t xml:space="preserve">switch </w:t>
            </w:r>
            <w:r w:rsidRPr="00DD09A4">
              <w:rPr>
                <w:lang w:val="en-GB"/>
              </w:rPr>
              <w:t>in E-100</w:t>
            </w:r>
          </w:p>
        </w:tc>
        <w:tc>
          <w:tcPr>
            <w:tcW w:w="829" w:type="pct"/>
            <w:shd w:val="clear" w:color="auto" w:fill="FFFFFF"/>
            <w:tcMar>
              <w:left w:w="57" w:type="dxa"/>
              <w:right w:w="57" w:type="dxa"/>
            </w:tcMar>
          </w:tcPr>
          <w:p w14:paraId="34DE75EE" w14:textId="7DBEDDDD" w:rsidR="002851A7" w:rsidRPr="00DD09A4" w:rsidRDefault="002851A7" w:rsidP="0007594B">
            <w:pPr>
              <w:pStyle w:val="CETBodytext"/>
              <w:ind w:right="-1"/>
              <w:jc w:val="left"/>
              <w:rPr>
                <w:rFonts w:cs="Arial"/>
                <w:szCs w:val="18"/>
                <w:lang w:val="en-GB"/>
              </w:rPr>
            </w:pPr>
            <w:r w:rsidRPr="00DD09A4">
              <w:rPr>
                <w:lang w:val="en-GB"/>
              </w:rPr>
              <w:t>None</w:t>
            </w:r>
          </w:p>
        </w:tc>
      </w:tr>
    </w:tbl>
    <w:p w14:paraId="4A430A8C" w14:textId="77777777" w:rsidR="0007594B" w:rsidRPr="00DD09A4" w:rsidRDefault="0007594B" w:rsidP="00EF09BE">
      <w:pPr>
        <w:pStyle w:val="CETBodytext"/>
        <w:rPr>
          <w:lang w:val="en-GB"/>
        </w:rPr>
      </w:pPr>
    </w:p>
    <w:p w14:paraId="47BCB081" w14:textId="57D789CD" w:rsidR="00561BB2" w:rsidRDefault="003577BB" w:rsidP="00134D65">
      <w:pPr>
        <w:pStyle w:val="CETBodytext"/>
        <w:rPr>
          <w:rFonts w:cs="Arial"/>
          <w:color w:val="000000"/>
          <w:lang w:val="en-GB"/>
        </w:rPr>
      </w:pPr>
      <w:r w:rsidRPr="00DD09A4">
        <w:rPr>
          <w:lang w:val="en-GB"/>
        </w:rPr>
        <w:t xml:space="preserve">In the second step, the </w:t>
      </w:r>
      <w:r w:rsidR="004B2AB4" w:rsidRPr="00DD09A4">
        <w:rPr>
          <w:lang w:val="en-GB"/>
        </w:rPr>
        <w:t xml:space="preserve">Digital Twin </w:t>
      </w:r>
      <w:r w:rsidRPr="00DD09A4">
        <w:rPr>
          <w:lang w:val="en-GB"/>
        </w:rPr>
        <w:t xml:space="preserve">of the facility is developed. </w:t>
      </w:r>
      <w:r w:rsidR="004D3A3A" w:rsidRPr="004D3A3A">
        <w:rPr>
          <w:lang w:val="en-GB"/>
        </w:rPr>
        <w:t>Aspen HYSYS in dynamic mode is adopted as the simulation environment. Aspen HYSYS is a process simulation software used to model, design, and optimize chemical and oil &amp; gas processes. In dynamic mode, it can accurately simulate the time-dependent and transient behavio</w:t>
      </w:r>
      <w:r w:rsidR="00945513">
        <w:rPr>
          <w:lang w:val="en-GB"/>
        </w:rPr>
        <w:t>u</w:t>
      </w:r>
      <w:r w:rsidR="004D3A3A" w:rsidRPr="004D3A3A">
        <w:rPr>
          <w:lang w:val="en-GB"/>
        </w:rPr>
        <w:t xml:space="preserve">r of a process; however, it requires precise input data to run properly, and not all unit operations available in steady-state mode are supported in dynamic simulations. This limitation also applies to the </w:t>
      </w:r>
      <w:proofErr w:type="spellStart"/>
      <w:r w:rsidR="004D3A3A" w:rsidRPr="004D3A3A">
        <w:rPr>
          <w:lang w:val="en-GB"/>
        </w:rPr>
        <w:t>electrolyzer</w:t>
      </w:r>
      <w:proofErr w:type="spellEnd"/>
      <w:r w:rsidR="004D3A3A" w:rsidRPr="004D3A3A">
        <w:rPr>
          <w:lang w:val="en-GB"/>
        </w:rPr>
        <w:t xml:space="preserve"> module, which does not operate in dynamic mode. To </w:t>
      </w:r>
      <w:r w:rsidR="001D1E07">
        <w:rPr>
          <w:lang w:val="en-GB"/>
        </w:rPr>
        <w:t>address</w:t>
      </w:r>
      <w:r w:rsidR="004D3A3A" w:rsidRPr="004D3A3A">
        <w:rPr>
          <w:lang w:val="en-GB"/>
        </w:rPr>
        <w:t xml:space="preserve"> this issue, the </w:t>
      </w:r>
      <w:proofErr w:type="spellStart"/>
      <w:r w:rsidR="004D3A3A" w:rsidRPr="004D3A3A">
        <w:rPr>
          <w:lang w:val="en-GB"/>
        </w:rPr>
        <w:t>electrolyzer</w:t>
      </w:r>
      <w:proofErr w:type="spellEnd"/>
      <w:r w:rsidR="004D3A3A" w:rsidRPr="004D3A3A">
        <w:rPr>
          <w:lang w:val="en-GB"/>
        </w:rPr>
        <w:t xml:space="preserve"> behavio</w:t>
      </w:r>
      <w:r w:rsidR="00844FB9">
        <w:rPr>
          <w:lang w:val="en-GB"/>
        </w:rPr>
        <w:t>u</w:t>
      </w:r>
      <w:r w:rsidR="004D3A3A" w:rsidRPr="004D3A3A">
        <w:rPr>
          <w:lang w:val="en-GB"/>
        </w:rPr>
        <w:t xml:space="preserve">r is approximated using a Continuous Stirred Tank Reactor (CSTR) model coupled with a component splitter, fitted to the available process data of the plant. The CSTR volume is assumed to represent the cumulative volume of all </w:t>
      </w:r>
      <w:proofErr w:type="spellStart"/>
      <w:r w:rsidR="004D3A3A" w:rsidRPr="004D3A3A">
        <w:rPr>
          <w:lang w:val="en-GB"/>
        </w:rPr>
        <w:t>electrolyzer</w:t>
      </w:r>
      <w:proofErr w:type="spellEnd"/>
      <w:r w:rsidR="004D3A3A" w:rsidRPr="004D3A3A">
        <w:rPr>
          <w:lang w:val="en-GB"/>
        </w:rPr>
        <w:t xml:space="preserve"> cells. In addition, the relevant control loops, alarms, and safety functions are implemented within the model.</w:t>
      </w:r>
      <w:r w:rsidR="00945513">
        <w:rPr>
          <w:lang w:val="en-GB"/>
        </w:rPr>
        <w:t xml:space="preserve"> </w:t>
      </w:r>
      <w:r w:rsidR="00C123D9" w:rsidRPr="00DD09A4">
        <w:rPr>
          <w:lang w:val="en-GB"/>
        </w:rPr>
        <w:t xml:space="preserve">In </w:t>
      </w:r>
      <w:r w:rsidRPr="00DD09A4">
        <w:rPr>
          <w:lang w:val="en-GB"/>
        </w:rPr>
        <w:t xml:space="preserve">the third step, the </w:t>
      </w:r>
      <w:r w:rsidR="00C123D9" w:rsidRPr="00DD09A4">
        <w:rPr>
          <w:lang w:val="en-GB"/>
        </w:rPr>
        <w:t xml:space="preserve">cybersecurity </w:t>
      </w:r>
      <w:r w:rsidRPr="00DD09A4">
        <w:rPr>
          <w:lang w:val="en-GB"/>
        </w:rPr>
        <w:t xml:space="preserve">scenario </w:t>
      </w:r>
      <w:r w:rsidR="00C123D9" w:rsidRPr="00DD09A4">
        <w:rPr>
          <w:lang w:val="en-GB"/>
        </w:rPr>
        <w:t xml:space="preserve">described in </w:t>
      </w:r>
      <w:r w:rsidR="00C123D9" w:rsidRPr="00DD09A4">
        <w:rPr>
          <w:lang w:val="en-GB"/>
        </w:rPr>
        <w:fldChar w:fldCharType="begin"/>
      </w:r>
      <w:r w:rsidR="00C123D9" w:rsidRPr="00DD09A4">
        <w:rPr>
          <w:lang w:val="en-GB"/>
        </w:rPr>
        <w:instrText xml:space="preserve"> REF _Ref221166798 \h </w:instrText>
      </w:r>
      <w:r w:rsidR="00C123D9" w:rsidRPr="00DD09A4">
        <w:rPr>
          <w:lang w:val="en-GB"/>
        </w:rPr>
      </w:r>
      <w:r w:rsidR="00C123D9" w:rsidRPr="00DD09A4">
        <w:rPr>
          <w:lang w:val="en-GB"/>
        </w:rPr>
        <w:fldChar w:fldCharType="separate"/>
      </w:r>
      <w:r w:rsidR="00C123D9" w:rsidRPr="00DD09A4">
        <w:rPr>
          <w:lang w:val="en-GB"/>
        </w:rPr>
        <w:t xml:space="preserve">Table </w:t>
      </w:r>
      <w:r w:rsidR="00C123D9" w:rsidRPr="00DD09A4">
        <w:rPr>
          <w:noProof/>
          <w:lang w:val="en-GB"/>
        </w:rPr>
        <w:t>1</w:t>
      </w:r>
      <w:r w:rsidR="00C123D9" w:rsidRPr="00DD09A4">
        <w:rPr>
          <w:lang w:val="en-GB"/>
        </w:rPr>
        <w:fldChar w:fldCharType="end"/>
      </w:r>
      <w:r w:rsidR="00C123D9" w:rsidRPr="00DD09A4">
        <w:rPr>
          <w:lang w:val="en-GB"/>
        </w:rPr>
        <w:t xml:space="preserve"> </w:t>
      </w:r>
      <w:r w:rsidRPr="00DD09A4">
        <w:rPr>
          <w:lang w:val="en-GB"/>
        </w:rPr>
        <w:t xml:space="preserve">is simulated. The simulation is performed over a total time of 2000 s, with both a time step and sampling interval of 0.5 s. The main output of the simulation is the time evolution of the </w:t>
      </w:r>
      <w:proofErr w:type="spellStart"/>
      <w:r w:rsidRPr="00DD09A4">
        <w:rPr>
          <w:lang w:val="en-GB"/>
        </w:rPr>
        <w:t>electrolyzer</w:t>
      </w:r>
      <w:proofErr w:type="spellEnd"/>
      <w:r w:rsidRPr="00DD09A4">
        <w:rPr>
          <w:lang w:val="en-GB"/>
        </w:rPr>
        <w:t xml:space="preserve"> temperature</w:t>
      </w:r>
      <w:r w:rsidR="000E046E" w:rsidRPr="00DD09A4">
        <w:rPr>
          <w:lang w:val="en-GB"/>
        </w:rPr>
        <w:t xml:space="preserve"> during the scenario</w:t>
      </w:r>
      <w:r w:rsidRPr="00DD09A4">
        <w:rPr>
          <w:lang w:val="en-GB"/>
        </w:rPr>
        <w:t xml:space="preserve">. As shown in </w:t>
      </w:r>
      <w:r w:rsidR="006C6A3C" w:rsidRPr="00DD09A4">
        <w:rPr>
          <w:lang w:val="en-GB"/>
        </w:rPr>
        <w:fldChar w:fldCharType="begin"/>
      </w:r>
      <w:r w:rsidR="006C6A3C" w:rsidRPr="00DD09A4">
        <w:rPr>
          <w:lang w:val="en-GB"/>
        </w:rPr>
        <w:instrText xml:space="preserve"> REF _Ref221167426 \h </w:instrText>
      </w:r>
      <w:r w:rsidR="006C6A3C" w:rsidRPr="00DD09A4">
        <w:rPr>
          <w:lang w:val="en-GB"/>
        </w:rPr>
      </w:r>
      <w:r w:rsidR="006C6A3C" w:rsidRPr="00DD09A4">
        <w:rPr>
          <w:lang w:val="en-GB"/>
        </w:rPr>
        <w:fldChar w:fldCharType="separate"/>
      </w:r>
      <w:r w:rsidR="006C6A3C" w:rsidRPr="00DD09A4">
        <w:rPr>
          <w:lang w:val="en-GB"/>
        </w:rPr>
        <w:t xml:space="preserve">Figure </w:t>
      </w:r>
      <w:r w:rsidR="006C6A3C" w:rsidRPr="00DD09A4">
        <w:rPr>
          <w:noProof/>
          <w:lang w:val="en-GB"/>
        </w:rPr>
        <w:t>3</w:t>
      </w:r>
      <w:r w:rsidR="006C6A3C" w:rsidRPr="00DD09A4">
        <w:rPr>
          <w:lang w:val="en-GB"/>
        </w:rPr>
        <w:fldChar w:fldCharType="end"/>
      </w:r>
      <w:r w:rsidRPr="00DD09A4">
        <w:rPr>
          <w:lang w:val="en-GB"/>
        </w:rPr>
        <w:t>, following the first malicious manipulation</w:t>
      </w:r>
      <w:r w:rsidR="006C6A3C" w:rsidRPr="00DD09A4">
        <w:rPr>
          <w:lang w:val="en-GB"/>
        </w:rPr>
        <w:t xml:space="preserve"> (</w:t>
      </w:r>
      <w:r w:rsidRPr="00DD09A4">
        <w:rPr>
          <w:lang w:val="en-GB"/>
        </w:rPr>
        <w:t>closure of valve VLV-100</w:t>
      </w:r>
      <w:r w:rsidR="006C6A3C" w:rsidRPr="00DD09A4">
        <w:rPr>
          <w:lang w:val="en-GB"/>
        </w:rPr>
        <w:t xml:space="preserve">) </w:t>
      </w:r>
      <w:r w:rsidRPr="00DD09A4">
        <w:rPr>
          <w:lang w:val="en-GB"/>
        </w:rPr>
        <w:t xml:space="preserve">the </w:t>
      </w:r>
      <w:proofErr w:type="spellStart"/>
      <w:r w:rsidRPr="00DD09A4">
        <w:rPr>
          <w:lang w:val="en-GB"/>
        </w:rPr>
        <w:t>electrolyzer</w:t>
      </w:r>
      <w:proofErr w:type="spellEnd"/>
      <w:r w:rsidRPr="00DD09A4">
        <w:rPr>
          <w:lang w:val="en-GB"/>
        </w:rPr>
        <w:t xml:space="preserve"> temperature immediately begins to rise, triggering first the high-temperature alarm and subsequently the very-high-temperature alarm. The temperature eventually reaches 150 °C at 14</w:t>
      </w:r>
      <w:r w:rsidR="008D4854">
        <w:rPr>
          <w:lang w:val="en-GB"/>
        </w:rPr>
        <w:t>3</w:t>
      </w:r>
      <w:r w:rsidRPr="00DD09A4">
        <w:rPr>
          <w:lang w:val="en-GB"/>
        </w:rPr>
        <w:t xml:space="preserve">5 s, </w:t>
      </w:r>
      <w:r w:rsidR="009377A9" w:rsidRPr="00DD09A4">
        <w:rPr>
          <w:lang w:val="en-GB"/>
        </w:rPr>
        <w:t xml:space="preserve">a temperature that is reported to possibly causing </w:t>
      </w:r>
      <w:r w:rsidR="008A1409" w:rsidRPr="00DD09A4">
        <w:rPr>
          <w:lang w:val="en-GB"/>
        </w:rPr>
        <w:t>the passivation of the membrane</w:t>
      </w:r>
      <w:r w:rsidR="00425464" w:rsidRPr="00DD09A4">
        <w:rPr>
          <w:lang w:val="en-GB"/>
        </w:rPr>
        <w:t xml:space="preserve"> cell</w:t>
      </w:r>
      <w:r w:rsidR="008A1409" w:rsidRPr="00DD09A4">
        <w:rPr>
          <w:lang w:val="en-GB"/>
        </w:rPr>
        <w:t xml:space="preserve"> </w:t>
      </w:r>
      <w:sdt>
        <w:sdtPr>
          <w:rPr>
            <w:rFonts w:cs="Arial"/>
            <w:color w:val="000000"/>
            <w:lang w:val="en-GB"/>
          </w:rPr>
          <w:tag w:val="MENDELEY_CITATION_v3_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"/>
          <w:id w:val="-1309939303"/>
          <w:placeholder>
            <w:docPart w:val="DefaultPlaceholder_-1854013440"/>
          </w:placeholder>
        </w:sdtPr>
        <w:sdtEndPr/>
        <w:sdtContent>
          <w:r w:rsidR="007A320F" w:rsidRPr="007A320F">
            <w:rPr>
              <w:rFonts w:cs="Arial"/>
              <w:color w:val="000000"/>
              <w:lang w:val="en-GB"/>
            </w:rPr>
            <w:t>(</w:t>
          </w:r>
          <w:proofErr w:type="spellStart"/>
          <w:r w:rsidR="007A320F" w:rsidRPr="007A320F">
            <w:rPr>
              <w:rFonts w:cs="Arial"/>
              <w:color w:val="000000"/>
              <w:lang w:val="en-GB"/>
            </w:rPr>
            <w:t>Allebrod</w:t>
          </w:r>
          <w:proofErr w:type="spellEnd"/>
          <w:r w:rsidR="007A320F" w:rsidRPr="007A320F">
            <w:rPr>
              <w:rFonts w:cs="Arial"/>
              <w:color w:val="000000"/>
              <w:lang w:val="en-GB"/>
            </w:rPr>
            <w:t xml:space="preserve"> et al., 2014)</w:t>
          </w:r>
        </w:sdtContent>
      </w:sdt>
      <w:r w:rsidR="00425464" w:rsidRPr="00DD09A4">
        <w:rPr>
          <w:rFonts w:cs="Arial"/>
          <w:color w:val="000000"/>
          <w:lang w:val="en-GB"/>
        </w:rPr>
        <w:t xml:space="preserve"> </w:t>
      </w:r>
      <w:r w:rsidR="008275AE" w:rsidRPr="00DD09A4">
        <w:rPr>
          <w:rFonts w:cs="Arial"/>
          <w:color w:val="000000"/>
          <w:lang w:val="en-GB"/>
        </w:rPr>
        <w:t xml:space="preserve">leading to severe damage to the entire </w:t>
      </w:r>
      <w:proofErr w:type="spellStart"/>
      <w:r w:rsidR="008275AE" w:rsidRPr="00DD09A4">
        <w:rPr>
          <w:rFonts w:cs="Arial"/>
          <w:color w:val="000000"/>
          <w:lang w:val="en-GB"/>
        </w:rPr>
        <w:t>electrolyzer</w:t>
      </w:r>
      <w:proofErr w:type="spellEnd"/>
      <w:r w:rsidR="008275AE" w:rsidRPr="00DD09A4">
        <w:rPr>
          <w:rFonts w:cs="Arial"/>
          <w:color w:val="000000"/>
          <w:lang w:val="en-GB"/>
        </w:rPr>
        <w:t xml:space="preserve"> stack.</w:t>
      </w:r>
    </w:p>
    <w:p w14:paraId="294263E7" w14:textId="63CEAC6F" w:rsidR="00134D65" w:rsidRDefault="00134D65" w:rsidP="00134D65">
      <w:pPr>
        <w:pStyle w:val="CETBodytext"/>
        <w:rPr>
          <w:lang w:val="en-GB"/>
        </w:rPr>
      </w:pPr>
      <w:r w:rsidRPr="00DD09A4">
        <w:rPr>
          <w:lang w:val="en-GB"/>
        </w:rPr>
        <w:t xml:space="preserve">In the fourth step, the outputs from the previous simulation are used to estimate the detection-to-damage time (DTDT), which is required for the calculation of the probability of cyber-attack success. In this case, detection is assumed to occur when the high temperature alarm is activated. Based on the temperature trend, the </w:t>
      </w:r>
      <w:r w:rsidRPr="00DD09A4">
        <w:rPr>
          <w:lang w:val="en-GB"/>
        </w:rPr>
        <w:lastRenderedPageBreak/>
        <w:t>consequence time is identified as the moment when the temperature reaches 150 °C, which corresponds to the threshold at which membrane passivation may occur</w:t>
      </w:r>
      <w:r>
        <w:rPr>
          <w:lang w:val="en-GB"/>
        </w:rPr>
        <w:t xml:space="preserve"> </w:t>
      </w:r>
      <w:sdt>
        <w:sdtPr>
          <w:rPr>
            <w:rFonts w:cs="Arial"/>
            <w:color w:val="000000"/>
            <w:lang w:val="en-GB"/>
          </w:rPr>
          <w:tag w:val="MENDELEY_CITATION_v3_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"/>
          <w:id w:val="-503281643"/>
          <w:placeholder>
            <w:docPart w:val="7FC9A3CD47B840B3842E30989F742BBD"/>
          </w:placeholder>
        </w:sdtPr>
        <w:sdtEndPr/>
        <w:sdtContent>
          <w:r w:rsidR="007A320F" w:rsidRPr="007A320F">
            <w:rPr>
              <w:rFonts w:cs="Arial"/>
              <w:color w:val="000000"/>
              <w:lang w:val="en-GB"/>
            </w:rPr>
            <w:t>(</w:t>
          </w:r>
          <w:proofErr w:type="spellStart"/>
          <w:r w:rsidR="007A320F" w:rsidRPr="007A320F">
            <w:rPr>
              <w:rFonts w:cs="Arial"/>
              <w:color w:val="000000"/>
              <w:lang w:val="en-GB"/>
            </w:rPr>
            <w:t>Allebrod</w:t>
          </w:r>
          <w:proofErr w:type="spellEnd"/>
          <w:r w:rsidR="007A320F" w:rsidRPr="007A320F">
            <w:rPr>
              <w:rFonts w:cs="Arial"/>
              <w:color w:val="000000"/>
              <w:lang w:val="en-GB"/>
            </w:rPr>
            <w:t xml:space="preserve"> et al., 2014)</w:t>
          </w:r>
        </w:sdtContent>
      </w:sdt>
      <w:r w:rsidRPr="00DD09A4">
        <w:rPr>
          <w:lang w:val="en-GB"/>
        </w:rPr>
        <w:t xml:space="preserve">. </w:t>
      </w:r>
      <w:r w:rsidR="006E330B" w:rsidRPr="006E330B">
        <w:rPr>
          <w:lang w:val="en-GB"/>
        </w:rPr>
        <w:t xml:space="preserve">The operator response time is assumed to be 120 s, representing the time required to manually shut down the </w:t>
      </w:r>
      <w:proofErr w:type="spellStart"/>
      <w:r w:rsidR="006E330B" w:rsidRPr="006E330B">
        <w:rPr>
          <w:lang w:val="en-GB"/>
        </w:rPr>
        <w:t>electrolyzer</w:t>
      </w:r>
      <w:proofErr w:type="spellEnd"/>
      <w:r w:rsidR="006E330B" w:rsidRPr="006E330B">
        <w:rPr>
          <w:lang w:val="en-GB"/>
        </w:rPr>
        <w:t xml:space="preserve">. The results reported in </w:t>
      </w:r>
      <w:r w:rsidR="006E330B" w:rsidRPr="006E330B">
        <w:rPr>
          <w:lang w:val="en-GB"/>
        </w:rPr>
        <w:fldChar w:fldCharType="begin"/>
      </w:r>
      <w:r w:rsidR="006E330B" w:rsidRPr="006E330B">
        <w:rPr>
          <w:lang w:val="en-GB"/>
        </w:rPr>
        <w:instrText xml:space="preserve"> REF _Ref221784612 \h </w:instrText>
      </w:r>
      <w:r w:rsidR="006E330B">
        <w:rPr>
          <w:lang w:val="en-GB"/>
        </w:rPr>
        <w:instrText xml:space="preserve"> \* MERGEFORMAT </w:instrText>
      </w:r>
      <w:r w:rsidR="006E330B" w:rsidRPr="006E330B">
        <w:rPr>
          <w:lang w:val="en-GB"/>
        </w:rPr>
      </w:r>
      <w:r w:rsidR="006E330B" w:rsidRPr="006E330B">
        <w:rPr>
          <w:lang w:val="en-GB"/>
        </w:rPr>
        <w:fldChar w:fldCharType="separate"/>
      </w:r>
      <w:r w:rsidR="006E330B" w:rsidRPr="006E330B">
        <w:t xml:space="preserve">Table </w:t>
      </w:r>
      <w:r w:rsidR="006E330B" w:rsidRPr="006E330B">
        <w:rPr>
          <w:noProof/>
        </w:rPr>
        <w:t>2</w:t>
      </w:r>
      <w:r w:rsidR="006E330B" w:rsidRPr="006E330B">
        <w:rPr>
          <w:lang w:val="en-GB"/>
        </w:rPr>
        <w:fldChar w:fldCharType="end"/>
      </w:r>
      <w:r w:rsidR="006E330B" w:rsidRPr="006E330B">
        <w:rPr>
          <w:lang w:val="en-GB"/>
        </w:rPr>
        <w:t xml:space="preserve"> indicate that, for a DTDT of 1123 s, the probability of cyber-attack success is 0.002. This low value suggests that, even if the attack occurs, severe damage is unlikely given the operator’s prompt intervention.</w:t>
      </w:r>
    </w:p>
    <w:p w14:paraId="063560FF" w14:textId="14AA4499" w:rsidR="00C10E6C" w:rsidRPr="00C10E6C" w:rsidRDefault="00C10E6C" w:rsidP="00C10E6C">
      <w:pPr>
        <w:pStyle w:val="CETBodytext"/>
        <w:keepNext/>
        <w:rPr>
          <w:lang w:val="en-GB"/>
        </w:rPr>
      </w:pPr>
      <w:r w:rsidRPr="00C10E6C">
        <w:rPr>
          <w:lang w:val="en-GB"/>
        </w:rPr>
        <w:t xml:space="preserve">Therefore, the results indicate that this cybersecurity scenario does not pose a severe threat to the </w:t>
      </w:r>
      <w:r w:rsidR="001065A6" w:rsidRPr="00C10E6C">
        <w:rPr>
          <w:lang w:val="en-GB"/>
        </w:rPr>
        <w:t>analysed</w:t>
      </w:r>
      <w:r w:rsidRPr="00C10E6C">
        <w:rPr>
          <w:lang w:val="en-GB"/>
        </w:rPr>
        <w:t xml:space="preserve"> facility. This is mainly because the DTDT is approximately one order of magnitude greater than the operator response time, meaning that plant shutdown would be initiated well before the </w:t>
      </w:r>
      <w:proofErr w:type="spellStart"/>
      <w:r w:rsidRPr="00C10E6C">
        <w:rPr>
          <w:lang w:val="en-GB"/>
        </w:rPr>
        <w:t>electrolyzer</w:t>
      </w:r>
      <w:proofErr w:type="spellEnd"/>
      <w:r w:rsidRPr="00C10E6C">
        <w:rPr>
          <w:lang w:val="en-GB"/>
        </w:rPr>
        <w:t xml:space="preserve"> temperature could reach critical levels.</w:t>
      </w:r>
    </w:p>
    <w:p w14:paraId="7E280784" w14:textId="48D6C7CA" w:rsidR="00DD09A4" w:rsidRPr="00DD09A4" w:rsidRDefault="00DD09A4" w:rsidP="001065A6">
      <w:pPr>
        <w:pStyle w:val="CETBodytext"/>
        <w:keepNext/>
        <w:jc w:val="left"/>
        <w:rPr>
          <w:lang w:val="en-GB"/>
        </w:rPr>
      </w:pPr>
      <w:r w:rsidRPr="00DD09A4">
        <w:rPr>
          <w:noProof/>
        </w:rPr>
        <w:drawing>
          <wp:inline distT="0" distB="0" distL="0" distR="0" wp14:anchorId="1DBDDCEA" wp14:editId="632F1B24">
            <wp:extent cx="3378200" cy="2195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4836" cy="2206503"/>
                    </a:xfrm>
                    <a:prstGeom prst="rect">
                      <a:avLst/>
                    </a:prstGeom>
                    <a:noFill/>
                    <a:ln>
                      <a:noFill/>
                    </a:ln>
                  </pic:spPr>
                </pic:pic>
              </a:graphicData>
            </a:graphic>
          </wp:inline>
        </w:drawing>
      </w:r>
    </w:p>
    <w:p w14:paraId="7F2E1E53" w14:textId="1145596B" w:rsidR="0003286E" w:rsidRPr="00DD09A4" w:rsidRDefault="00561BB2" w:rsidP="002851A7">
      <w:pPr>
        <w:pStyle w:val="CETCaption"/>
        <w:spacing w:before="0"/>
      </w:pPr>
      <w:bookmarkStart w:id="5" w:name="_Ref221167426"/>
      <w:r w:rsidRPr="00DD09A4">
        <w:t xml:space="preserve">Figure </w:t>
      </w:r>
      <w:r w:rsidRPr="00DD09A4">
        <w:fldChar w:fldCharType="begin"/>
      </w:r>
      <w:r w:rsidRPr="00DD09A4">
        <w:instrText xml:space="preserve"> SEQ Figure \* ARABIC </w:instrText>
      </w:r>
      <w:r w:rsidRPr="00DD09A4">
        <w:fldChar w:fldCharType="separate"/>
      </w:r>
      <w:r w:rsidR="00766DB1">
        <w:rPr>
          <w:noProof/>
        </w:rPr>
        <w:t>3</w:t>
      </w:r>
      <w:r w:rsidRPr="00DD09A4">
        <w:fldChar w:fldCharType="end"/>
      </w:r>
      <w:bookmarkEnd w:id="5"/>
      <w:r w:rsidRPr="00DD09A4">
        <w:t xml:space="preserve"> </w:t>
      </w:r>
      <w:r w:rsidR="006E330B" w:rsidRPr="006E330B">
        <w:t xml:space="preserve">Temperature trend in </w:t>
      </w:r>
      <w:proofErr w:type="spellStart"/>
      <w:r w:rsidR="006E330B" w:rsidRPr="006E330B">
        <w:t>electrolyzer</w:t>
      </w:r>
      <w:proofErr w:type="spellEnd"/>
      <w:r w:rsidR="006E330B" w:rsidRPr="006E330B">
        <w:t xml:space="preserve"> E-100 obtained by simulating, through the Digital Twin, the cybersecurity scenario described in </w:t>
      </w:r>
      <w:r w:rsidR="006E330B">
        <w:fldChar w:fldCharType="begin"/>
      </w:r>
      <w:r w:rsidR="006E330B">
        <w:instrText xml:space="preserve"> REF _Ref221166798 \h </w:instrText>
      </w:r>
      <w:r w:rsidR="006E330B">
        <w:fldChar w:fldCharType="separate"/>
      </w:r>
      <w:r w:rsidR="006E330B" w:rsidRPr="00DD09A4">
        <w:t xml:space="preserve">Table </w:t>
      </w:r>
      <w:r w:rsidR="006E330B" w:rsidRPr="00DD09A4">
        <w:rPr>
          <w:noProof/>
        </w:rPr>
        <w:t>1</w:t>
      </w:r>
      <w:r w:rsidR="006E330B">
        <w:fldChar w:fldCharType="end"/>
      </w:r>
      <w:r w:rsidR="006E330B">
        <w:t>.</w:t>
      </w:r>
    </w:p>
    <w:p w14:paraId="44D2BEC2" w14:textId="753E24AF" w:rsidR="00F35FC7" w:rsidRPr="00DD09A4" w:rsidRDefault="00F35FC7" w:rsidP="00325C86">
      <w:pPr>
        <w:pStyle w:val="CETTabletitle"/>
      </w:pPr>
      <w:bookmarkStart w:id="6" w:name="_Ref221182637"/>
      <w:bookmarkStart w:id="7" w:name="_Ref221784612"/>
      <w:r w:rsidRPr="00DD09A4">
        <w:t xml:space="preserve">Table </w:t>
      </w:r>
      <w:r w:rsidRPr="00DD09A4">
        <w:fldChar w:fldCharType="begin"/>
      </w:r>
      <w:r w:rsidRPr="00DD09A4">
        <w:instrText xml:space="preserve"> SEQ Table \* ARABIC </w:instrText>
      </w:r>
      <w:r w:rsidRPr="00DD09A4">
        <w:fldChar w:fldCharType="separate"/>
      </w:r>
      <w:r w:rsidR="003226A8" w:rsidRPr="00DD09A4">
        <w:rPr>
          <w:noProof/>
        </w:rPr>
        <w:t>2</w:t>
      </w:r>
      <w:r w:rsidRPr="00DD09A4">
        <w:fldChar w:fldCharType="end"/>
      </w:r>
      <w:bookmarkEnd w:id="6"/>
      <w:bookmarkEnd w:id="7"/>
      <w:r w:rsidRPr="00DD09A4">
        <w:t xml:space="preserve"> Detection-to-damage</w:t>
      </w:r>
      <w:r w:rsidR="00C5088A">
        <w:t xml:space="preserve"> </w:t>
      </w:r>
      <w:r w:rsidRPr="00DD09A4">
        <w:t>time</w:t>
      </w:r>
      <w:r w:rsidR="005220F1" w:rsidRPr="00DD09A4">
        <w:t xml:space="preserve"> (DTDT)</w:t>
      </w:r>
      <w:r w:rsidRPr="00DD09A4">
        <w:t xml:space="preserve">, </w:t>
      </w:r>
      <w:r w:rsidR="00DD09A4" w:rsidRPr="00DD09A4">
        <w:t xml:space="preserve">response </w:t>
      </w:r>
      <w:r w:rsidR="00DD09A4">
        <w:t xml:space="preserve">time </w:t>
      </w:r>
      <w:r w:rsidR="006E330B">
        <w:t xml:space="preserve">(RT), related </w:t>
      </w:r>
      <w:r w:rsidR="006E330B" w:rsidRPr="00DD09A4">
        <w:t>standard deviation</w:t>
      </w:r>
      <w:r w:rsidR="006E330B">
        <w:t>s</w:t>
      </w:r>
      <w:r w:rsidR="006E330B" w:rsidRPr="00DD09A4">
        <w:t xml:space="preserve">, </w:t>
      </w:r>
      <w:r w:rsidR="00DD09A4">
        <w:t xml:space="preserve">and </w:t>
      </w:r>
      <w:r w:rsidR="006E330B">
        <w:t xml:space="preserve">calculated </w:t>
      </w:r>
      <w:r w:rsidRPr="00DD09A4">
        <w:t>probability of cyber-attack success</w:t>
      </w:r>
      <w:r w:rsidR="006E330B">
        <w:t xml:space="preserve"> (</w:t>
      </w:r>
      <m:oMath>
        <m:sSup>
          <m:sSupPr>
            <m:ctrlPr>
              <w:rPr>
                <w:rFonts w:ascii="Cambria Math" w:hAnsi="Cambria Math"/>
              </w:rPr>
            </m:ctrlPr>
          </m:sSupPr>
          <m:e>
            <m:r>
              <w:rPr>
                <w:rFonts w:ascii="Cambria Math" w:hAnsi="Cambria Math"/>
              </w:rPr>
              <m:t>P</m:t>
            </m:r>
          </m:e>
          <m:sup>
            <m:r>
              <w:rPr>
                <w:rFonts w:ascii="Cambria Math" w:hAnsi="Cambria Math"/>
              </w:rPr>
              <m:t>i</m:t>
            </m:r>
          </m:sup>
        </m:sSup>
      </m:oMath>
      <w:r w:rsidR="006E330B">
        <w:t>)</w:t>
      </w:r>
      <w:r w:rsidRPr="00DD09A4">
        <w:t xml:space="preserve"> for the cybersecurity scenario</w:t>
      </w:r>
      <w:r w:rsidR="006E330B">
        <w:t xml:space="preserve"> described in </w:t>
      </w:r>
      <w:r w:rsidR="006E330B">
        <w:fldChar w:fldCharType="begin"/>
      </w:r>
      <w:r w:rsidR="006E330B">
        <w:instrText xml:space="preserve"> REF _Ref221166798 \h </w:instrText>
      </w:r>
      <w:r w:rsidR="006E330B">
        <w:fldChar w:fldCharType="separate"/>
      </w:r>
      <w:r w:rsidR="006E330B" w:rsidRPr="00DD09A4">
        <w:t xml:space="preserve">Table </w:t>
      </w:r>
      <w:r w:rsidR="006E330B" w:rsidRPr="00DD09A4">
        <w:rPr>
          <w:noProof/>
        </w:rPr>
        <w:t>1</w:t>
      </w:r>
      <w:r w:rsidR="006E330B">
        <w:fldChar w:fldCharType="end"/>
      </w:r>
      <w:r w:rsidR="006E330B">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58"/>
        <w:gridCol w:w="1757"/>
        <w:gridCol w:w="1304"/>
        <w:gridCol w:w="2211"/>
        <w:gridCol w:w="1757"/>
      </w:tblGrid>
      <w:tr w:rsidR="006E330B" w:rsidRPr="00C10E6C" w14:paraId="2BE8F342" w14:textId="77777777" w:rsidTr="00C10E6C">
        <w:trPr>
          <w:trHeight w:val="224"/>
        </w:trPr>
        <w:tc>
          <w:tcPr>
            <w:tcW w:w="1000" w:type="pct"/>
            <w:tcBorders>
              <w:top w:val="single" w:sz="12" w:space="0" w:color="008000"/>
              <w:bottom w:val="single" w:sz="6" w:space="0" w:color="008000"/>
            </w:tcBorders>
            <w:shd w:val="clear" w:color="auto" w:fill="FFFFFF"/>
          </w:tcPr>
          <w:p w14:paraId="2B90E49B" w14:textId="1C09943B" w:rsidR="006E330B" w:rsidRPr="00043982" w:rsidRDefault="006E330B" w:rsidP="006E330B">
            <w:pPr>
              <w:pStyle w:val="CETBodytext"/>
              <w:jc w:val="left"/>
              <w:rPr>
                <w:lang w:val="en-GB"/>
              </w:rPr>
            </w:pPr>
            <w:r>
              <w:rPr>
                <w:lang w:val="en-GB"/>
              </w:rPr>
              <w:t>DTDT</w:t>
            </w:r>
            <w:r w:rsidRPr="00043982">
              <w:rPr>
                <w:lang w:val="en-GB"/>
              </w:rPr>
              <w:t xml:space="preserve"> [s]</w:t>
            </w:r>
          </w:p>
        </w:tc>
        <w:tc>
          <w:tcPr>
            <w:tcW w:w="1000" w:type="pct"/>
            <w:tcBorders>
              <w:top w:val="single" w:sz="12" w:space="0" w:color="008000"/>
              <w:bottom w:val="single" w:sz="6" w:space="0" w:color="008000"/>
            </w:tcBorders>
            <w:shd w:val="clear" w:color="auto" w:fill="FFFFFF"/>
          </w:tcPr>
          <w:p w14:paraId="709ECCF2" w14:textId="51C977AB" w:rsidR="006E330B" w:rsidRPr="00043982" w:rsidRDefault="006E330B" w:rsidP="006E330B">
            <w:pPr>
              <w:pStyle w:val="CETBodytext"/>
              <w:jc w:val="left"/>
              <w:rPr>
                <w:lang w:val="en-GB"/>
              </w:rPr>
            </w:pPr>
            <w:r>
              <w:rPr>
                <w:lang w:val="en-GB"/>
              </w:rPr>
              <w:t>DTDT s</w:t>
            </w:r>
            <w:r w:rsidRPr="00043982">
              <w:rPr>
                <w:lang w:val="en-GB"/>
              </w:rPr>
              <w:t>tandard deviation (30%) [s]</w:t>
            </w:r>
          </w:p>
        </w:tc>
        <w:tc>
          <w:tcPr>
            <w:tcW w:w="742" w:type="pct"/>
            <w:tcBorders>
              <w:top w:val="single" w:sz="12" w:space="0" w:color="008000"/>
              <w:bottom w:val="single" w:sz="6" w:space="0" w:color="008000"/>
            </w:tcBorders>
            <w:shd w:val="clear" w:color="auto" w:fill="FFFFFF"/>
          </w:tcPr>
          <w:p w14:paraId="17295A6D" w14:textId="4D61C91E" w:rsidR="006E330B" w:rsidRPr="00043982" w:rsidRDefault="006E330B" w:rsidP="006E330B">
            <w:pPr>
              <w:pStyle w:val="CETBodytext"/>
              <w:jc w:val="left"/>
              <w:rPr>
                <w:lang w:val="en-GB"/>
              </w:rPr>
            </w:pPr>
            <w:r>
              <w:rPr>
                <w:lang w:val="en-GB"/>
              </w:rPr>
              <w:t>RT</w:t>
            </w:r>
            <w:r w:rsidRPr="00043982">
              <w:rPr>
                <w:lang w:val="en-GB"/>
              </w:rPr>
              <w:t xml:space="preserve"> [s]</w:t>
            </w:r>
          </w:p>
        </w:tc>
        <w:tc>
          <w:tcPr>
            <w:tcW w:w="1258" w:type="pct"/>
            <w:tcBorders>
              <w:top w:val="single" w:sz="12" w:space="0" w:color="008000"/>
              <w:bottom w:val="single" w:sz="6" w:space="0" w:color="008000"/>
            </w:tcBorders>
            <w:shd w:val="clear" w:color="auto" w:fill="FFFFFF"/>
          </w:tcPr>
          <w:p w14:paraId="750A786C" w14:textId="62F4AF52" w:rsidR="006E330B" w:rsidRPr="00043982" w:rsidRDefault="006E330B" w:rsidP="006E330B">
            <w:pPr>
              <w:pStyle w:val="CETBodytext"/>
              <w:ind w:right="-1"/>
              <w:jc w:val="left"/>
              <w:rPr>
                <w:lang w:val="en-GB"/>
              </w:rPr>
            </w:pPr>
            <w:r>
              <w:rPr>
                <w:lang w:val="en-GB"/>
              </w:rPr>
              <w:t>RT s</w:t>
            </w:r>
            <w:r w:rsidRPr="00043982">
              <w:rPr>
                <w:lang w:val="en-GB"/>
              </w:rPr>
              <w:t>tandard deviation (30%) [s]</w:t>
            </w:r>
          </w:p>
        </w:tc>
        <w:tc>
          <w:tcPr>
            <w:tcW w:w="1000" w:type="pct"/>
            <w:tcBorders>
              <w:top w:val="single" w:sz="12" w:space="0" w:color="008000"/>
              <w:bottom w:val="single" w:sz="6" w:space="0" w:color="008000"/>
            </w:tcBorders>
            <w:shd w:val="clear" w:color="auto" w:fill="FFFFFF"/>
          </w:tcPr>
          <w:p w14:paraId="20C49A9C" w14:textId="66419AB1" w:rsidR="006E330B" w:rsidRPr="00C10E6C" w:rsidRDefault="00C10E6C" w:rsidP="006E330B">
            <w:pPr>
              <w:pStyle w:val="CETBodytext"/>
              <w:ind w:right="-1"/>
              <w:jc w:val="left"/>
              <w:rPr>
                <w:rFonts w:cs="Arial"/>
                <w:szCs w:val="18"/>
              </w:rPr>
            </w:pPr>
            <w:r w:rsidRPr="00C10E6C">
              <w:t xml:space="preserve">Calculated </w:t>
            </w:r>
            <m:oMath>
              <m:sSup>
                <m:sSupPr>
                  <m:ctrlPr>
                    <w:rPr>
                      <w:rFonts w:ascii="Cambria Math" w:hAnsi="Cambria Math"/>
                      <w:i/>
                      <w:lang w:val="en-GB"/>
                    </w:rPr>
                  </m:ctrlPr>
                </m:sSupPr>
                <m:e>
                  <m:r>
                    <w:rPr>
                      <w:rFonts w:ascii="Cambria Math" w:hAnsi="Cambria Math"/>
                      <w:lang w:val="en-GB"/>
                    </w:rPr>
                    <m:t>P</m:t>
                  </m:r>
                </m:e>
                <m:sup>
                  <m:r>
                    <w:rPr>
                      <w:rFonts w:ascii="Cambria Math" w:hAnsi="Cambria Math"/>
                      <w:lang w:val="en-GB"/>
                    </w:rPr>
                    <m:t>i</m:t>
                  </m:r>
                </m:sup>
              </m:sSup>
            </m:oMath>
            <w:r w:rsidRPr="00C10E6C">
              <w:t xml:space="preserve"> (EASI </w:t>
            </w:r>
            <w:r>
              <w:t>m</w:t>
            </w:r>
            <w:r w:rsidRPr="00C10E6C">
              <w:t>ode</w:t>
            </w:r>
            <w:r>
              <w:t>l)</w:t>
            </w:r>
          </w:p>
        </w:tc>
      </w:tr>
      <w:tr w:rsidR="006E330B" w:rsidRPr="00DD09A4" w14:paraId="7164C716" w14:textId="77777777" w:rsidTr="00C10E6C">
        <w:trPr>
          <w:trHeight w:val="265"/>
        </w:trPr>
        <w:tc>
          <w:tcPr>
            <w:tcW w:w="1000" w:type="pct"/>
            <w:shd w:val="clear" w:color="auto" w:fill="FFFFFF"/>
          </w:tcPr>
          <w:p w14:paraId="22C90258" w14:textId="7D90F23E" w:rsidR="006E330B" w:rsidRPr="00DD09A4" w:rsidRDefault="006E330B" w:rsidP="006E330B">
            <w:pPr>
              <w:pStyle w:val="CETBodytext"/>
              <w:jc w:val="left"/>
              <w:rPr>
                <w:lang w:val="en-GB"/>
              </w:rPr>
            </w:pPr>
            <w:r w:rsidRPr="00DD09A4">
              <w:rPr>
                <w:lang w:val="en-GB"/>
              </w:rPr>
              <w:t>1123</w:t>
            </w:r>
          </w:p>
        </w:tc>
        <w:tc>
          <w:tcPr>
            <w:tcW w:w="1000" w:type="pct"/>
            <w:shd w:val="clear" w:color="auto" w:fill="FFFFFF"/>
          </w:tcPr>
          <w:p w14:paraId="146BBBDE" w14:textId="54266581" w:rsidR="006E330B" w:rsidRPr="00DD09A4" w:rsidRDefault="006E330B" w:rsidP="006E330B">
            <w:pPr>
              <w:pStyle w:val="CETBodytext"/>
              <w:jc w:val="left"/>
              <w:rPr>
                <w:lang w:val="en-GB"/>
              </w:rPr>
            </w:pPr>
            <w:r w:rsidRPr="00DD09A4">
              <w:rPr>
                <w:lang w:val="en-GB"/>
              </w:rPr>
              <w:t>336.9</w:t>
            </w:r>
          </w:p>
        </w:tc>
        <w:tc>
          <w:tcPr>
            <w:tcW w:w="742" w:type="pct"/>
            <w:shd w:val="clear" w:color="auto" w:fill="FFFFFF"/>
          </w:tcPr>
          <w:p w14:paraId="0412FB95" w14:textId="73D1C4D9" w:rsidR="006E330B" w:rsidRPr="00DD09A4" w:rsidRDefault="006E330B" w:rsidP="006E330B">
            <w:pPr>
              <w:pStyle w:val="CETBodytext"/>
              <w:jc w:val="left"/>
              <w:rPr>
                <w:lang w:val="en-GB"/>
              </w:rPr>
            </w:pPr>
            <w:r w:rsidRPr="00DD09A4">
              <w:rPr>
                <w:lang w:val="en-GB"/>
              </w:rPr>
              <w:t>120</w:t>
            </w:r>
          </w:p>
        </w:tc>
        <w:tc>
          <w:tcPr>
            <w:tcW w:w="1258" w:type="pct"/>
            <w:shd w:val="clear" w:color="auto" w:fill="FFFFFF"/>
          </w:tcPr>
          <w:p w14:paraId="6D5D353A" w14:textId="17E0C28F" w:rsidR="006E330B" w:rsidRPr="00DD09A4" w:rsidRDefault="00C10E6C" w:rsidP="006E330B">
            <w:pPr>
              <w:pStyle w:val="CETBodytext"/>
              <w:ind w:right="-1"/>
              <w:jc w:val="left"/>
              <w:rPr>
                <w:rFonts w:cs="Arial"/>
                <w:szCs w:val="18"/>
                <w:lang w:val="en-GB"/>
              </w:rPr>
            </w:pPr>
            <w:r>
              <w:rPr>
                <w:rFonts w:cs="Arial"/>
                <w:szCs w:val="18"/>
                <w:lang w:val="en-GB"/>
              </w:rPr>
              <w:t>36</w:t>
            </w:r>
          </w:p>
        </w:tc>
        <w:tc>
          <w:tcPr>
            <w:tcW w:w="1000" w:type="pct"/>
            <w:shd w:val="clear" w:color="auto" w:fill="FFFFFF"/>
          </w:tcPr>
          <w:p w14:paraId="27459127" w14:textId="2DBAABCA" w:rsidR="006E330B" w:rsidRPr="00DD09A4" w:rsidRDefault="006E330B" w:rsidP="006E330B">
            <w:pPr>
              <w:pStyle w:val="CETBodytext"/>
              <w:ind w:right="-1"/>
              <w:jc w:val="left"/>
              <w:rPr>
                <w:rFonts w:cs="Arial"/>
                <w:szCs w:val="18"/>
                <w:lang w:val="en-GB"/>
              </w:rPr>
            </w:pPr>
            <w:r w:rsidRPr="00DD09A4">
              <w:rPr>
                <w:rFonts w:cs="Arial"/>
                <w:szCs w:val="18"/>
                <w:lang w:val="en-GB"/>
              </w:rPr>
              <w:t>0.002</w:t>
            </w:r>
          </w:p>
        </w:tc>
      </w:tr>
    </w:tbl>
    <w:p w14:paraId="37B0625C" w14:textId="77777777" w:rsidR="009231BF" w:rsidRDefault="009231BF" w:rsidP="00E057FE">
      <w:pPr>
        <w:pStyle w:val="CETBodytext"/>
        <w:rPr>
          <w:lang w:val="en-GB"/>
        </w:rPr>
      </w:pPr>
    </w:p>
    <w:p w14:paraId="6A507477" w14:textId="0ECEF5E5" w:rsidR="008F6A3E" w:rsidRPr="00DD09A4" w:rsidRDefault="009231BF" w:rsidP="00E057FE">
      <w:pPr>
        <w:pStyle w:val="CETBodytext"/>
        <w:rPr>
          <w:lang w:val="en-GB"/>
        </w:rPr>
      </w:pPr>
      <w:r w:rsidRPr="009231BF">
        <w:rPr>
          <w:lang w:val="en-GB"/>
        </w:rPr>
        <w:t xml:space="preserve">The operator response time was set to 120 s as a reference value, representing the time required to initiate the </w:t>
      </w:r>
      <w:proofErr w:type="spellStart"/>
      <w:r w:rsidRPr="009231BF">
        <w:rPr>
          <w:lang w:val="en-GB"/>
        </w:rPr>
        <w:t>electrolyzer</w:t>
      </w:r>
      <w:proofErr w:type="spellEnd"/>
      <w:r w:rsidRPr="009231BF">
        <w:rPr>
          <w:lang w:val="en-GB"/>
        </w:rPr>
        <w:t xml:space="preserve"> shutdown once the deviation is recognised. In practice, the effective response time may exhibit significant variability, as it depends on multiple factors, including the operator’s ability to diagnose the event, the need to confirm the anomaly, and the availability of the shutdown action</w:t>
      </w:r>
      <w:r>
        <w:rPr>
          <w:lang w:val="en-GB"/>
        </w:rPr>
        <w:t xml:space="preserve"> which could have been impaired by the attacker</w:t>
      </w:r>
      <w:r w:rsidRPr="009231BF">
        <w:rPr>
          <w:lang w:val="en-GB"/>
        </w:rPr>
        <w:t xml:space="preserve">. For these reasons, a sensitivity analysis was performed to investigate the impact of delayed operator intervention. </w:t>
      </w:r>
      <w:r w:rsidRPr="009231BF">
        <w:rPr>
          <w:lang w:val="en-GB"/>
        </w:rPr>
        <w:fldChar w:fldCharType="begin"/>
      </w:r>
      <w:r w:rsidRPr="009231BF">
        <w:rPr>
          <w:lang w:val="en-GB"/>
        </w:rPr>
        <w:instrText xml:space="preserve"> REF _Ref221724557 \h  \* MERGEFORMAT </w:instrText>
      </w:r>
      <w:r w:rsidRPr="009231BF">
        <w:rPr>
          <w:lang w:val="en-GB"/>
        </w:rPr>
      </w:r>
      <w:r w:rsidRPr="009231BF">
        <w:rPr>
          <w:lang w:val="en-GB"/>
        </w:rPr>
        <w:fldChar w:fldCharType="separate"/>
      </w:r>
      <w:r w:rsidRPr="009231BF">
        <w:t xml:space="preserve">Figure </w:t>
      </w:r>
      <w:r w:rsidRPr="009231BF">
        <w:rPr>
          <w:noProof/>
        </w:rPr>
        <w:t>4</w:t>
      </w:r>
      <w:r w:rsidRPr="009231BF">
        <w:rPr>
          <w:lang w:val="en-GB"/>
        </w:rPr>
        <w:fldChar w:fldCharType="end"/>
      </w:r>
      <w:r w:rsidRPr="009231BF">
        <w:rPr>
          <w:lang w:val="en-GB"/>
        </w:rPr>
        <w:t xml:space="preserve"> shows the results. As can be seen, the probability of cyber-attack success becomes non-negligible at 10 min (close to 0.1) and then increases steadily with longer response times, reaching approximately 0.86 at 30 min. These findings indicate that delayed recognition and intervention, for instance due to limited training or increased decision-making time, can markedly reduce the facility’s ability to withstand the scenario, even when the process response to the malicious manipulation is relatively slow.</w:t>
      </w:r>
    </w:p>
    <w:p w14:paraId="01E31142" w14:textId="77777777" w:rsidR="007F1CB7" w:rsidRPr="004908A4" w:rsidRDefault="007F1CB7" w:rsidP="00116F22">
      <w:pPr>
        <w:pStyle w:val="CETBodytext"/>
        <w:rPr>
          <w:highlight w:val="yellow"/>
          <w:lang w:val="en-GB"/>
        </w:rPr>
      </w:pPr>
    </w:p>
    <w:p w14:paraId="012D930D" w14:textId="0CFF9F1D" w:rsidR="00766DB1" w:rsidRDefault="001065A6" w:rsidP="001065A6">
      <w:pPr>
        <w:pStyle w:val="CETBodytext"/>
        <w:keepNext/>
        <w:jc w:val="left"/>
      </w:pPr>
      <w:r w:rsidRPr="001065A6">
        <w:rPr>
          <w:noProof/>
        </w:rPr>
        <w:drawing>
          <wp:inline distT="0" distB="0" distL="0" distR="0" wp14:anchorId="34C1857E" wp14:editId="2EFC33B3">
            <wp:extent cx="3917950" cy="1511978"/>
            <wp:effectExtent l="0" t="0" r="6350" b="0"/>
            <wp:docPr id="9965086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4970" cy="1533983"/>
                    </a:xfrm>
                    <a:prstGeom prst="rect">
                      <a:avLst/>
                    </a:prstGeom>
                    <a:noFill/>
                    <a:ln>
                      <a:noFill/>
                    </a:ln>
                  </pic:spPr>
                </pic:pic>
              </a:graphicData>
            </a:graphic>
          </wp:inline>
        </w:drawing>
      </w:r>
    </w:p>
    <w:p w14:paraId="1DE0C118" w14:textId="7AAB5455" w:rsidR="00DF724A" w:rsidRPr="00DD09A4" w:rsidRDefault="00766DB1" w:rsidP="00134D65">
      <w:pPr>
        <w:pStyle w:val="CETCaption"/>
      </w:pPr>
      <w:bookmarkStart w:id="8" w:name="_Ref221724557"/>
      <w:r w:rsidRPr="00FF7758">
        <w:t xml:space="preserve">Figure </w:t>
      </w:r>
      <w:r w:rsidRPr="00FF7758">
        <w:fldChar w:fldCharType="begin"/>
      </w:r>
      <w:r w:rsidRPr="00FF7758">
        <w:instrText xml:space="preserve"> SEQ Figure \* ARABIC </w:instrText>
      </w:r>
      <w:r w:rsidRPr="00FF7758">
        <w:fldChar w:fldCharType="separate"/>
      </w:r>
      <w:r w:rsidRPr="00FF7758">
        <w:rPr>
          <w:noProof/>
        </w:rPr>
        <w:t>4</w:t>
      </w:r>
      <w:r w:rsidRPr="00FF7758">
        <w:fldChar w:fldCharType="end"/>
      </w:r>
      <w:bookmarkEnd w:id="8"/>
      <w:r w:rsidRPr="00FF7758">
        <w:t xml:space="preserve"> Probability of cyber-attack success</w:t>
      </w:r>
      <w:r w:rsidR="009231BF" w:rsidRPr="00FF7758">
        <w:t xml:space="preserve"> (</w:t>
      </w:r>
      <m:oMath>
        <m:sSup>
          <m:sSupPr>
            <m:ctrlPr>
              <w:rPr>
                <w:rFonts w:ascii="Cambria Math" w:hAnsi="Cambria Math"/>
              </w:rPr>
            </m:ctrlPr>
          </m:sSupPr>
          <m:e>
            <m:r>
              <w:rPr>
                <w:rFonts w:ascii="Cambria Math" w:hAnsi="Cambria Math"/>
              </w:rPr>
              <m:t>P</m:t>
            </m:r>
          </m:e>
          <m:sup>
            <m:r>
              <w:rPr>
                <w:rFonts w:ascii="Cambria Math" w:hAnsi="Cambria Math"/>
              </w:rPr>
              <m:t>i</m:t>
            </m:r>
          </m:sup>
        </m:sSup>
      </m:oMath>
      <w:r w:rsidR="009231BF" w:rsidRPr="00FF7758">
        <w:t>)</w:t>
      </w:r>
      <w:r w:rsidRPr="00FF7758">
        <w:t xml:space="preserve"> as function of the response time</w:t>
      </w:r>
      <w:r w:rsidR="00FF7758">
        <w:t xml:space="preserve"> (RT)</w:t>
      </w:r>
      <w:r w:rsidRPr="00FF7758">
        <w:t xml:space="preserve">, </w:t>
      </w:r>
      <w:r w:rsidR="007F1CB7" w:rsidRPr="00FF7758">
        <w:t>assuming</w:t>
      </w:r>
      <w:r w:rsidRPr="00FF7758">
        <w:t xml:space="preserve"> DTDT constant</w:t>
      </w:r>
      <w:r w:rsidR="00C10E6C" w:rsidRPr="00FF7758">
        <w:t xml:space="preserve"> and equal to 1123 s.</w:t>
      </w:r>
      <w:r>
        <w:t xml:space="preserve">  </w:t>
      </w:r>
    </w:p>
    <w:p w14:paraId="2F33F60F" w14:textId="51720EA9" w:rsidR="00BD4847" w:rsidRPr="00DD09A4" w:rsidRDefault="00BD4847" w:rsidP="000E5308">
      <w:pPr>
        <w:pStyle w:val="CETHeading1"/>
        <w:rPr>
          <w:lang w:val="en-GB"/>
        </w:rPr>
      </w:pPr>
      <w:r w:rsidRPr="00DD09A4">
        <w:rPr>
          <w:lang w:val="en-GB"/>
        </w:rPr>
        <w:lastRenderedPageBreak/>
        <w:t>Conclusions</w:t>
      </w:r>
    </w:p>
    <w:p w14:paraId="3E4E11A6" w14:textId="69388235" w:rsidR="00FF7758" w:rsidRDefault="00FF7758" w:rsidP="00FF7758">
      <w:pPr>
        <w:pStyle w:val="CETAcknowledgementstitle"/>
        <w:jc w:val="both"/>
        <w:rPr>
          <w:b w:val="0"/>
        </w:rPr>
      </w:pPr>
      <w:r w:rsidRPr="00FF7758">
        <w:rPr>
          <w:b w:val="0"/>
        </w:rPr>
        <w:t xml:space="preserve">This study proposes a method to estimate the conditional probability of cyber-attack success by leveraging digital twins to reproduce the dynamic behaviour of process systems under cybersecurity scenarios. It introduces the detection-to-damage time (DTDT) as a key metric to support probability estimation through the adapted EASI (Estimate of Adversary Sequence Interruption) model. The method is demonstrated through a case study on a green hydrogen production facility, analysing a scenario in which the cooling fluid supply to the </w:t>
      </w:r>
      <w:proofErr w:type="spellStart"/>
      <w:r w:rsidRPr="00FF7758">
        <w:rPr>
          <w:b w:val="0"/>
        </w:rPr>
        <w:t>electrolyzer</w:t>
      </w:r>
      <w:proofErr w:type="spellEnd"/>
      <w:r w:rsidRPr="00FF7758">
        <w:rPr>
          <w:b w:val="0"/>
        </w:rPr>
        <w:t xml:space="preserve"> is maliciously interrupted, potentially leading to membrane passivation. In this context, the digital twin, developed in the Aspen </w:t>
      </w:r>
      <w:r w:rsidR="002C3AB4">
        <w:rPr>
          <w:b w:val="0"/>
        </w:rPr>
        <w:t>HYSYS</w:t>
      </w:r>
      <w:r w:rsidRPr="00FF7758">
        <w:rPr>
          <w:b w:val="0"/>
        </w:rPr>
        <w:t xml:space="preserve"> environment, proved effective in capturing the process dynamic response to the malicious manipulation. Although this scenario yields a low probability of cyber-attack success under the assumed 120 s response time (time for manual </w:t>
      </w:r>
      <w:proofErr w:type="spellStart"/>
      <w:r w:rsidRPr="00FF7758">
        <w:rPr>
          <w:b w:val="0"/>
        </w:rPr>
        <w:t>electrolyzer</w:t>
      </w:r>
      <w:proofErr w:type="spellEnd"/>
      <w:r w:rsidRPr="00FF7758">
        <w:rPr>
          <w:b w:val="0"/>
        </w:rPr>
        <w:t xml:space="preserve"> shutdown), the sensitivity analysis indicates that the outcome can change markedly when the response is delayed. In particular, the probability becomes non-negligible at 10 min (about 0.1) and rises to approximately 0.86 at 30 min. These results show that the effectiveness of the protection against the analysed manipulation is strongly conditioned by the ability to detect the event and react promptly. Consequently, strengthening early detection capabilities and ensuring adequate operator preparedness remain key aspects to ensure an adequate cybersecurity level for the plant.</w:t>
      </w:r>
    </w:p>
    <w:p w14:paraId="6597FADE" w14:textId="4996EEA5" w:rsidR="000354AA" w:rsidRPr="00DD09A4" w:rsidRDefault="00561680" w:rsidP="007F2072">
      <w:pPr>
        <w:pStyle w:val="CETAcknowledgementstitle"/>
      </w:pPr>
      <w:proofErr w:type="spellStart"/>
      <w:r w:rsidRPr="00DD09A4">
        <w:t>A</w:t>
      </w:r>
      <w:r w:rsidR="007F2072" w:rsidRPr="00DD09A4">
        <w:t>knowledgments</w:t>
      </w:r>
      <w:proofErr w:type="spellEnd"/>
    </w:p>
    <w:p w14:paraId="53E2FE6E" w14:textId="5DC5F8C8" w:rsidR="000354AA" w:rsidRPr="00DD09A4" w:rsidRDefault="007F2072" w:rsidP="005878A4">
      <w:pPr>
        <w:pStyle w:val="CETBodytext"/>
        <w:rPr>
          <w:lang w:val="en-GB"/>
        </w:rPr>
      </w:pPr>
      <w:r w:rsidRPr="00DD09A4">
        <w:rPr>
          <w:lang w:val="en-GB"/>
        </w:rPr>
        <w:t xml:space="preserve">This work was supported by project SERICS (PE00000014) under the MUR National Recovery and Resilience Plan funded by the European Union – </w:t>
      </w:r>
      <w:proofErr w:type="spellStart"/>
      <w:r w:rsidRPr="00DD09A4">
        <w:rPr>
          <w:lang w:val="en-GB"/>
        </w:rPr>
        <w:t>NextGenerationEU</w:t>
      </w:r>
      <w:proofErr w:type="spellEnd"/>
      <w:r w:rsidR="005878A4">
        <w:rPr>
          <w:lang w:val="en-GB"/>
        </w:rPr>
        <w:t xml:space="preserve"> and</w:t>
      </w:r>
      <w:bookmarkStart w:id="9" w:name="_GoBack"/>
      <w:bookmarkEnd w:id="9"/>
      <w:r w:rsidR="00280090" w:rsidRPr="00280090">
        <w:rPr>
          <w:lang w:val="en-GB"/>
        </w:rPr>
        <w:t xml:space="preserve"> PRIN 2022 - “Resilience against Cyber Threats for Plant Integrity and Worker Safety in Process Industry” - MUR code 2022339B79_002 – CUP J53C24002820006, funded by </w:t>
      </w:r>
      <w:proofErr w:type="spellStart"/>
      <w:r w:rsidR="00280090" w:rsidRPr="00280090">
        <w:rPr>
          <w:lang w:val="en-GB"/>
        </w:rPr>
        <w:t>Ministero</w:t>
      </w:r>
      <w:proofErr w:type="spellEnd"/>
      <w:r w:rsidR="00280090" w:rsidRPr="00280090">
        <w:rPr>
          <w:lang w:val="en-GB"/>
        </w:rPr>
        <w:t xml:space="preserve"> </w:t>
      </w:r>
      <w:proofErr w:type="spellStart"/>
      <w:r w:rsidR="00280090" w:rsidRPr="00280090">
        <w:rPr>
          <w:lang w:val="en-GB"/>
        </w:rPr>
        <w:t>dell’Università</w:t>
      </w:r>
      <w:proofErr w:type="spellEnd"/>
      <w:r w:rsidR="00280090" w:rsidRPr="00280090">
        <w:rPr>
          <w:lang w:val="en-GB"/>
        </w:rPr>
        <w:t xml:space="preserve"> e </w:t>
      </w:r>
      <w:proofErr w:type="spellStart"/>
      <w:r w:rsidR="00280090" w:rsidRPr="00280090">
        <w:rPr>
          <w:lang w:val="en-GB"/>
        </w:rPr>
        <w:t>della</w:t>
      </w:r>
      <w:proofErr w:type="spellEnd"/>
      <w:r w:rsidR="00280090" w:rsidRPr="00280090">
        <w:rPr>
          <w:lang w:val="en-GB"/>
        </w:rPr>
        <w:t xml:space="preserve"> </w:t>
      </w:r>
      <w:proofErr w:type="spellStart"/>
      <w:r w:rsidR="00280090" w:rsidRPr="00280090">
        <w:rPr>
          <w:lang w:val="en-GB"/>
        </w:rPr>
        <w:t>Ricerca</w:t>
      </w:r>
      <w:proofErr w:type="spellEnd"/>
      <w:r w:rsidR="00280090" w:rsidRPr="00280090">
        <w:rPr>
          <w:lang w:val="en-GB"/>
        </w:rPr>
        <w:t xml:space="preserve"> (Italy)</w:t>
      </w:r>
      <w:r w:rsidR="00280090">
        <w:rPr>
          <w:lang w:val="en-GB"/>
        </w:rPr>
        <w:t>.</w:t>
      </w:r>
    </w:p>
    <w:p w14:paraId="6DA82989" w14:textId="77777777" w:rsidR="000E5308" w:rsidRPr="00DD09A4" w:rsidRDefault="000E5308" w:rsidP="000E5308">
      <w:pPr>
        <w:pStyle w:val="CETBodytext"/>
        <w:rPr>
          <w:lang w:val="en-GB"/>
        </w:rPr>
      </w:pPr>
    </w:p>
    <w:p w14:paraId="4314081B" w14:textId="7501A15B" w:rsidR="000E5308" w:rsidRPr="00DD09A4" w:rsidRDefault="00E372A8" w:rsidP="000354AA">
      <w:pPr>
        <w:pStyle w:val="CETHeadingxx"/>
        <w:rPr>
          <w:lang w:val="en-GB"/>
        </w:rPr>
      </w:pPr>
      <w:r w:rsidRPr="00DD09A4">
        <w:rPr>
          <w:lang w:val="en-GB"/>
        </w:rPr>
        <w:t>References</w:t>
      </w:r>
    </w:p>
    <w:p w14:paraId="6EBF8436" w14:textId="77777777" w:rsidR="00545645" w:rsidRDefault="00545645" w:rsidP="00545645">
      <w:pPr>
        <w:pStyle w:val="CETReferencetext"/>
      </w:pPr>
      <w:r>
        <w:t xml:space="preserve">Ab Rahim, M.S., </w:t>
      </w:r>
      <w:proofErr w:type="spellStart"/>
      <w:r>
        <w:t>Reniers</w:t>
      </w:r>
      <w:proofErr w:type="spellEnd"/>
      <w:r>
        <w:t>, G., Yang, M., Bajpai, S., 2024. Risk assessment methods for process safety, process security and resilience in the chemical process industry: A thorough literature review. J. Loss Prev. Process Ind. 88, 105274.</w:t>
      </w:r>
    </w:p>
    <w:p w14:paraId="443FF5CA" w14:textId="77777777" w:rsidR="00545645" w:rsidRDefault="00545645" w:rsidP="00545645">
      <w:pPr>
        <w:pStyle w:val="CETReferencetext"/>
      </w:pPr>
      <w:proofErr w:type="spellStart"/>
      <w:r>
        <w:t>Allebrod</w:t>
      </w:r>
      <w:proofErr w:type="spellEnd"/>
      <w:r>
        <w:t xml:space="preserve">, F., </w:t>
      </w:r>
      <w:proofErr w:type="spellStart"/>
      <w:r>
        <w:t>Chatzichristodoulou</w:t>
      </w:r>
      <w:proofErr w:type="spellEnd"/>
      <w:r>
        <w:t xml:space="preserve">, C., </w:t>
      </w:r>
      <w:proofErr w:type="spellStart"/>
      <w:r>
        <w:t>Mogensen</w:t>
      </w:r>
      <w:proofErr w:type="spellEnd"/>
      <w:r>
        <w:t xml:space="preserve">, M.B., 2014. Cobalt and molybdenum activated electrodes in foam based alkaline electrolysis cells at 150–250 °C and 40 </w:t>
      </w:r>
      <w:proofErr w:type="gramStart"/>
      <w:r>
        <w:t>bar</w:t>
      </w:r>
      <w:proofErr w:type="gramEnd"/>
      <w:r>
        <w:t xml:space="preserve">. J. Power Sources 255, 394–403. </w:t>
      </w:r>
    </w:p>
    <w:p w14:paraId="64C52F0E" w14:textId="77777777" w:rsidR="00545645" w:rsidRDefault="00545645" w:rsidP="00545645">
      <w:pPr>
        <w:pStyle w:val="CETReferencetext"/>
      </w:pPr>
      <w:r>
        <w:t xml:space="preserve">Crotty, J., Daniel, E., 2022. Cyber threat: its origins and consequence and the use of qualitative and quantitative methods in cyber risk assessment. Applied Computing and Informatics. </w:t>
      </w:r>
    </w:p>
    <w:p w14:paraId="7BAB22C5" w14:textId="77777777" w:rsidR="00545645" w:rsidRDefault="00545645" w:rsidP="00545645">
      <w:pPr>
        <w:pStyle w:val="CETReferencetext"/>
      </w:pPr>
      <w:r>
        <w:t>El-</w:t>
      </w:r>
      <w:proofErr w:type="spellStart"/>
      <w:r>
        <w:t>Kady</w:t>
      </w:r>
      <w:proofErr w:type="spellEnd"/>
      <w:r>
        <w:t>, A.H., Halim, S., El-</w:t>
      </w:r>
      <w:proofErr w:type="spellStart"/>
      <w:r>
        <w:t>Halwagi</w:t>
      </w:r>
      <w:proofErr w:type="spellEnd"/>
      <w:r>
        <w:t xml:space="preserve">, M.M., Khan, F., 2023. Analysis of safety and security challenges and opportunities related to cyber-physical systems. Process Safety and Environmental Protection 173, 384–413. </w:t>
      </w:r>
    </w:p>
    <w:p w14:paraId="6F61D4FA" w14:textId="77777777" w:rsidR="00545645" w:rsidRDefault="00545645" w:rsidP="00545645">
      <w:pPr>
        <w:pStyle w:val="CETReferencetext"/>
      </w:pPr>
      <w:proofErr w:type="spellStart"/>
      <w:r>
        <w:t>Emam</w:t>
      </w:r>
      <w:proofErr w:type="spellEnd"/>
      <w:r>
        <w:t>, A.S., Hamdan, M.O., Abu-</w:t>
      </w:r>
      <w:proofErr w:type="spellStart"/>
      <w:r>
        <w:t>Nabah</w:t>
      </w:r>
      <w:proofErr w:type="spellEnd"/>
      <w:r>
        <w:t xml:space="preserve">, B.A., </w:t>
      </w:r>
      <w:proofErr w:type="spellStart"/>
      <w:r>
        <w:t>Elnajjar</w:t>
      </w:r>
      <w:proofErr w:type="spellEnd"/>
      <w:r>
        <w:t>, E., 2024. A review on recent trends, challenges, and innovations in alkaline water electrolysis. Int. J. Hydrogen Energy 64, 599–625.</w:t>
      </w:r>
    </w:p>
    <w:p w14:paraId="17346CF0" w14:textId="77777777" w:rsidR="00545645" w:rsidRPr="00280090" w:rsidRDefault="00545645" w:rsidP="00545645">
      <w:pPr>
        <w:pStyle w:val="CETReferencetext"/>
        <w:rPr>
          <w:lang w:val="it-IT"/>
        </w:rPr>
      </w:pPr>
      <w:r>
        <w:t xml:space="preserve">Garcia, M.L., 2007. Design and Evaluation of Physical Protection Systems, 2nd ed. </w:t>
      </w:r>
      <w:proofErr w:type="spellStart"/>
      <w:r w:rsidRPr="00280090">
        <w:rPr>
          <w:lang w:val="it-IT"/>
        </w:rPr>
        <w:t>Butterworth</w:t>
      </w:r>
      <w:proofErr w:type="spellEnd"/>
      <w:r w:rsidRPr="00280090">
        <w:rPr>
          <w:lang w:val="it-IT"/>
        </w:rPr>
        <w:t xml:space="preserve"> </w:t>
      </w:r>
      <w:proofErr w:type="spellStart"/>
      <w:r w:rsidRPr="00280090">
        <w:rPr>
          <w:lang w:val="it-IT"/>
        </w:rPr>
        <w:t>Heinemann</w:t>
      </w:r>
      <w:proofErr w:type="spellEnd"/>
      <w:r w:rsidRPr="00280090">
        <w:rPr>
          <w:lang w:val="it-IT"/>
        </w:rPr>
        <w:t>, Oxford / Boston.</w:t>
      </w:r>
    </w:p>
    <w:p w14:paraId="5143FF3D" w14:textId="77777777" w:rsidR="00545645" w:rsidRPr="004D3A3A" w:rsidRDefault="00545645" w:rsidP="00545645">
      <w:pPr>
        <w:pStyle w:val="CETReferencetext"/>
        <w:rPr>
          <w:lang w:val="it-IT"/>
        </w:rPr>
      </w:pPr>
      <w:proofErr w:type="spellStart"/>
      <w:r w:rsidRPr="004D3A3A">
        <w:rPr>
          <w:lang w:val="it-IT"/>
        </w:rPr>
        <w:t>Iaiani</w:t>
      </w:r>
      <w:proofErr w:type="spellEnd"/>
      <w:r w:rsidRPr="004D3A3A">
        <w:rPr>
          <w:lang w:val="it-IT"/>
        </w:rPr>
        <w:t xml:space="preserve">, M., </w:t>
      </w:r>
      <w:proofErr w:type="spellStart"/>
      <w:r w:rsidRPr="004D3A3A">
        <w:rPr>
          <w:lang w:val="it-IT"/>
        </w:rPr>
        <w:t>Fazari</w:t>
      </w:r>
      <w:proofErr w:type="spellEnd"/>
      <w:r w:rsidRPr="004D3A3A">
        <w:rPr>
          <w:lang w:val="it-IT"/>
        </w:rPr>
        <w:t xml:space="preserve">, G., Tugnoli, A., </w:t>
      </w:r>
      <w:proofErr w:type="spellStart"/>
      <w:r w:rsidRPr="004D3A3A">
        <w:rPr>
          <w:lang w:val="it-IT"/>
        </w:rPr>
        <w:t>Cozzani</w:t>
      </w:r>
      <w:proofErr w:type="spellEnd"/>
      <w:r w:rsidRPr="004D3A3A">
        <w:rPr>
          <w:lang w:val="it-IT"/>
        </w:rPr>
        <w:t xml:space="preserve">, V., 2025. </w:t>
      </w:r>
      <w:r>
        <w:t xml:space="preserve">Identification of reference security scenarios from past event datasets by Bayesian Network analysis. </w:t>
      </w:r>
      <w:proofErr w:type="spellStart"/>
      <w:r w:rsidRPr="004D3A3A">
        <w:rPr>
          <w:lang w:val="it-IT"/>
        </w:rPr>
        <w:t>Reliab</w:t>
      </w:r>
      <w:proofErr w:type="spellEnd"/>
      <w:r w:rsidRPr="004D3A3A">
        <w:rPr>
          <w:lang w:val="it-IT"/>
        </w:rPr>
        <w:t xml:space="preserve">. </w:t>
      </w:r>
      <w:proofErr w:type="spellStart"/>
      <w:r w:rsidRPr="004D3A3A">
        <w:rPr>
          <w:lang w:val="it-IT"/>
        </w:rPr>
        <w:t>Eng</w:t>
      </w:r>
      <w:proofErr w:type="spellEnd"/>
      <w:r w:rsidRPr="004D3A3A">
        <w:rPr>
          <w:lang w:val="it-IT"/>
        </w:rPr>
        <w:t xml:space="preserve">. </w:t>
      </w:r>
      <w:proofErr w:type="spellStart"/>
      <w:r w:rsidRPr="004D3A3A">
        <w:rPr>
          <w:lang w:val="it-IT"/>
        </w:rPr>
        <w:t>Syst</w:t>
      </w:r>
      <w:proofErr w:type="spellEnd"/>
      <w:r w:rsidRPr="004D3A3A">
        <w:rPr>
          <w:lang w:val="it-IT"/>
        </w:rPr>
        <w:t xml:space="preserve">. </w:t>
      </w:r>
      <w:proofErr w:type="spellStart"/>
      <w:r w:rsidRPr="004D3A3A">
        <w:rPr>
          <w:lang w:val="it-IT"/>
        </w:rPr>
        <w:t>Saf</w:t>
      </w:r>
      <w:proofErr w:type="spellEnd"/>
      <w:r w:rsidRPr="004D3A3A">
        <w:rPr>
          <w:lang w:val="it-IT"/>
        </w:rPr>
        <w:t xml:space="preserve">. 254, 110615. </w:t>
      </w:r>
    </w:p>
    <w:p w14:paraId="38A3AF03" w14:textId="77777777" w:rsidR="00545645" w:rsidRDefault="00545645" w:rsidP="00545645">
      <w:pPr>
        <w:pStyle w:val="CETReferencetext"/>
      </w:pPr>
      <w:proofErr w:type="spellStart"/>
      <w:r w:rsidRPr="004D3A3A">
        <w:rPr>
          <w:lang w:val="it-IT"/>
        </w:rPr>
        <w:t>Iaiani</w:t>
      </w:r>
      <w:proofErr w:type="spellEnd"/>
      <w:r w:rsidRPr="004D3A3A">
        <w:rPr>
          <w:lang w:val="it-IT"/>
        </w:rPr>
        <w:t xml:space="preserve">, M., Tugnoli, A., </w:t>
      </w:r>
      <w:proofErr w:type="spellStart"/>
      <w:r w:rsidRPr="004D3A3A">
        <w:rPr>
          <w:lang w:val="it-IT"/>
        </w:rPr>
        <w:t>Cozzani</w:t>
      </w:r>
      <w:proofErr w:type="spellEnd"/>
      <w:r w:rsidRPr="004D3A3A">
        <w:rPr>
          <w:lang w:val="it-IT"/>
        </w:rPr>
        <w:t xml:space="preserve">, V., 2023. </w:t>
      </w:r>
      <w:r>
        <w:t xml:space="preserve">Process hazard and operability analysis of BPCS and SIS malicious manipulations by POROS 2.0. Process Safety and Environmental Protection 176, 226–237. </w:t>
      </w:r>
    </w:p>
    <w:p w14:paraId="7A7DD67C" w14:textId="77777777" w:rsidR="00545645" w:rsidRDefault="00545645" w:rsidP="00545645">
      <w:pPr>
        <w:pStyle w:val="CETReferencetext"/>
      </w:pPr>
      <w:proofErr w:type="spellStart"/>
      <w:r>
        <w:t>Landucci</w:t>
      </w:r>
      <w:proofErr w:type="spellEnd"/>
      <w:r>
        <w:t xml:space="preserve">, G., Tonelli, J., </w:t>
      </w:r>
      <w:proofErr w:type="spellStart"/>
      <w:r>
        <w:t>Tortolini</w:t>
      </w:r>
      <w:proofErr w:type="spellEnd"/>
      <w:r>
        <w:t xml:space="preserve">, A., </w:t>
      </w:r>
      <w:proofErr w:type="spellStart"/>
      <w:r>
        <w:t>Marroni</w:t>
      </w:r>
      <w:proofErr w:type="spellEnd"/>
      <w:r>
        <w:t xml:space="preserve">, G., Pepe, E., </w:t>
      </w:r>
      <w:proofErr w:type="spellStart"/>
      <w:r>
        <w:t>Tamburini</w:t>
      </w:r>
      <w:proofErr w:type="spellEnd"/>
      <w:r>
        <w:t xml:space="preserve">, F., 2022. Attractiveness Assessment of Chemical Facilities Operating in Critical Areas: Development of a Semi-Quantitative Methodology Tailored to the Maghreb Context. Chem. Eng. Trans. 90, 421 – 426. </w:t>
      </w:r>
    </w:p>
    <w:p w14:paraId="489A4F6D" w14:textId="77777777" w:rsidR="00545645" w:rsidRDefault="00545645" w:rsidP="00545645">
      <w:pPr>
        <w:pStyle w:val="CETReferencetext"/>
      </w:pPr>
      <w:r>
        <w:t xml:space="preserve">Liu, L., Sajid, Z., </w:t>
      </w:r>
      <w:proofErr w:type="spellStart"/>
      <w:r>
        <w:t>Kravaris</w:t>
      </w:r>
      <w:proofErr w:type="spellEnd"/>
      <w:r>
        <w:t xml:space="preserve">, C., Khan, F., 2024. Detection and analysis of cybersecurity challenges for processing systems. Process Safety and Environmental Protection 185, 1061–1071. </w:t>
      </w:r>
    </w:p>
    <w:p w14:paraId="62E5F684" w14:textId="77777777" w:rsidR="00545645" w:rsidRDefault="00545645" w:rsidP="00545645">
      <w:pPr>
        <w:pStyle w:val="CETReferencetext"/>
      </w:pPr>
      <w:r>
        <w:t xml:space="preserve">Pal, P., Hens, A., Behera, N., 2025. Digital twins: Transforming the chemical process industry—A review. Can. J. Chem. Eng. 103, 3611–3636. </w:t>
      </w:r>
    </w:p>
    <w:p w14:paraId="2B2F11B4" w14:textId="77777777" w:rsidR="00545645" w:rsidRDefault="00545645" w:rsidP="00545645">
      <w:pPr>
        <w:pStyle w:val="CETReferencetext"/>
      </w:pPr>
      <w:r>
        <w:t xml:space="preserve">Stouffer, K., Falco, J., </w:t>
      </w:r>
      <w:proofErr w:type="spellStart"/>
      <w:r>
        <w:t>Scarfone</w:t>
      </w:r>
      <w:proofErr w:type="spellEnd"/>
      <w:r>
        <w:t>, K., others, 2011. Guide to industrial control systems (ICS) security. NIST special publication 800, 16.</w:t>
      </w:r>
    </w:p>
    <w:p w14:paraId="47C6E182" w14:textId="77777777" w:rsidR="00545645" w:rsidRDefault="00545645" w:rsidP="00545645">
      <w:pPr>
        <w:pStyle w:val="CETReferencetext"/>
      </w:pPr>
      <w:proofErr w:type="spellStart"/>
      <w:r>
        <w:t>Tamburini</w:t>
      </w:r>
      <w:proofErr w:type="spellEnd"/>
      <w:r>
        <w:t xml:space="preserve">, F., </w:t>
      </w:r>
      <w:proofErr w:type="spellStart"/>
      <w:r>
        <w:t>Iaiani</w:t>
      </w:r>
      <w:proofErr w:type="spellEnd"/>
      <w:r>
        <w:t xml:space="preserve">, M., </w:t>
      </w:r>
      <w:proofErr w:type="spellStart"/>
      <w:r>
        <w:t>Cozzani</w:t>
      </w:r>
      <w:proofErr w:type="spellEnd"/>
      <w:r>
        <w:t xml:space="preserve">, V., 2025. Analysis of system resilience in escalation scenarios involving LH2 bunkering operations. </w:t>
      </w:r>
      <w:proofErr w:type="spellStart"/>
      <w:r>
        <w:t>Reliab</w:t>
      </w:r>
      <w:proofErr w:type="spellEnd"/>
      <w:r>
        <w:t xml:space="preserve">. Eng. Syst. </w:t>
      </w:r>
      <w:proofErr w:type="spellStart"/>
      <w:r>
        <w:t>Saf</w:t>
      </w:r>
      <w:proofErr w:type="spellEnd"/>
      <w:r>
        <w:t xml:space="preserve">. 257, 110816. </w:t>
      </w:r>
    </w:p>
    <w:p w14:paraId="1A8575BD" w14:textId="013433E0" w:rsidR="004908A4" w:rsidRPr="004908A4" w:rsidRDefault="004908A4" w:rsidP="00184929">
      <w:pPr>
        <w:pStyle w:val="CETReferencetext"/>
        <w:ind w:left="0" w:firstLine="0"/>
        <w:rPr>
          <w:rFonts w:cs="Arial"/>
          <w:color w:val="000000"/>
        </w:rPr>
      </w:pPr>
    </w:p>
    <w:sectPr w:rsidR="004908A4" w:rsidRPr="004908A4"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A114D" w14:textId="77777777" w:rsidR="007074D2" w:rsidRDefault="007074D2" w:rsidP="004F5E36">
      <w:r>
        <w:separator/>
      </w:r>
    </w:p>
  </w:endnote>
  <w:endnote w:type="continuationSeparator" w:id="0">
    <w:p w14:paraId="7DB128DA" w14:textId="77777777" w:rsidR="007074D2" w:rsidRDefault="007074D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53EC6" w14:textId="77777777" w:rsidR="007074D2" w:rsidRDefault="007074D2" w:rsidP="004F5E36">
      <w:r>
        <w:separator/>
      </w:r>
    </w:p>
  </w:footnote>
  <w:footnote w:type="continuationSeparator" w:id="0">
    <w:p w14:paraId="7D22FC30" w14:textId="77777777" w:rsidR="007074D2" w:rsidRDefault="007074D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212D33"/>
    <w:multiLevelType w:val="hybridMultilevel"/>
    <w:tmpl w:val="74D8F25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E45B3F"/>
    <w:multiLevelType w:val="hybridMultilevel"/>
    <w:tmpl w:val="BA10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2"/>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A09"/>
    <w:rsid w:val="00004545"/>
    <w:rsid w:val="000048DF"/>
    <w:rsid w:val="000052FB"/>
    <w:rsid w:val="00005449"/>
    <w:rsid w:val="00005884"/>
    <w:rsid w:val="00005A19"/>
    <w:rsid w:val="00005EF7"/>
    <w:rsid w:val="00007EC1"/>
    <w:rsid w:val="00010FFD"/>
    <w:rsid w:val="000117CB"/>
    <w:rsid w:val="00012B6F"/>
    <w:rsid w:val="000170D9"/>
    <w:rsid w:val="0001747E"/>
    <w:rsid w:val="00020B4A"/>
    <w:rsid w:val="0002565C"/>
    <w:rsid w:val="00025A5C"/>
    <w:rsid w:val="00025FF7"/>
    <w:rsid w:val="00027D61"/>
    <w:rsid w:val="000300D3"/>
    <w:rsid w:val="0003148D"/>
    <w:rsid w:val="00031EEC"/>
    <w:rsid w:val="0003286E"/>
    <w:rsid w:val="0003404D"/>
    <w:rsid w:val="000350E6"/>
    <w:rsid w:val="000354AA"/>
    <w:rsid w:val="000401E0"/>
    <w:rsid w:val="00040ACC"/>
    <w:rsid w:val="00043982"/>
    <w:rsid w:val="00050C2F"/>
    <w:rsid w:val="00051566"/>
    <w:rsid w:val="000515CB"/>
    <w:rsid w:val="00053C21"/>
    <w:rsid w:val="00054714"/>
    <w:rsid w:val="000562A9"/>
    <w:rsid w:val="0006191C"/>
    <w:rsid w:val="00062385"/>
    <w:rsid w:val="00062A9A"/>
    <w:rsid w:val="00065058"/>
    <w:rsid w:val="00070DA9"/>
    <w:rsid w:val="00074443"/>
    <w:rsid w:val="0007593F"/>
    <w:rsid w:val="0007594B"/>
    <w:rsid w:val="00081614"/>
    <w:rsid w:val="00086C39"/>
    <w:rsid w:val="00091411"/>
    <w:rsid w:val="000A03B2"/>
    <w:rsid w:val="000A3E41"/>
    <w:rsid w:val="000B0BB7"/>
    <w:rsid w:val="000B109D"/>
    <w:rsid w:val="000B10CD"/>
    <w:rsid w:val="000B2AA3"/>
    <w:rsid w:val="000B4F79"/>
    <w:rsid w:val="000B69E8"/>
    <w:rsid w:val="000B6F1E"/>
    <w:rsid w:val="000C123D"/>
    <w:rsid w:val="000C5153"/>
    <w:rsid w:val="000D0268"/>
    <w:rsid w:val="000D0841"/>
    <w:rsid w:val="000D0AD8"/>
    <w:rsid w:val="000D34BE"/>
    <w:rsid w:val="000D4190"/>
    <w:rsid w:val="000D48D5"/>
    <w:rsid w:val="000D7554"/>
    <w:rsid w:val="000E046E"/>
    <w:rsid w:val="000E102F"/>
    <w:rsid w:val="000E1976"/>
    <w:rsid w:val="000E23FB"/>
    <w:rsid w:val="000E338E"/>
    <w:rsid w:val="000E3629"/>
    <w:rsid w:val="000E36F1"/>
    <w:rsid w:val="000E3A73"/>
    <w:rsid w:val="000E414A"/>
    <w:rsid w:val="000E5308"/>
    <w:rsid w:val="000E75FD"/>
    <w:rsid w:val="000E7F31"/>
    <w:rsid w:val="000F093C"/>
    <w:rsid w:val="000F259B"/>
    <w:rsid w:val="000F5180"/>
    <w:rsid w:val="000F787B"/>
    <w:rsid w:val="001003B2"/>
    <w:rsid w:val="00104B15"/>
    <w:rsid w:val="001054F9"/>
    <w:rsid w:val="001065A6"/>
    <w:rsid w:val="0010743D"/>
    <w:rsid w:val="00111DF1"/>
    <w:rsid w:val="001132AA"/>
    <w:rsid w:val="00114C76"/>
    <w:rsid w:val="00116F22"/>
    <w:rsid w:val="00117599"/>
    <w:rsid w:val="0012074A"/>
    <w:rsid w:val="0012091F"/>
    <w:rsid w:val="00121EC8"/>
    <w:rsid w:val="001230D7"/>
    <w:rsid w:val="00124AAD"/>
    <w:rsid w:val="00124B60"/>
    <w:rsid w:val="00126BC2"/>
    <w:rsid w:val="001279B6"/>
    <w:rsid w:val="00130654"/>
    <w:rsid w:val="001308B6"/>
    <w:rsid w:val="0013121F"/>
    <w:rsid w:val="00131FE6"/>
    <w:rsid w:val="0013263F"/>
    <w:rsid w:val="00132CB5"/>
    <w:rsid w:val="001331DF"/>
    <w:rsid w:val="001334E5"/>
    <w:rsid w:val="00134187"/>
    <w:rsid w:val="00134D65"/>
    <w:rsid w:val="00134DE4"/>
    <w:rsid w:val="00140123"/>
    <w:rsid w:val="0014034D"/>
    <w:rsid w:val="00140FE3"/>
    <w:rsid w:val="001420A5"/>
    <w:rsid w:val="00142ED3"/>
    <w:rsid w:val="00144D16"/>
    <w:rsid w:val="00146F19"/>
    <w:rsid w:val="00147D4E"/>
    <w:rsid w:val="00150E59"/>
    <w:rsid w:val="001516AA"/>
    <w:rsid w:val="00152DE3"/>
    <w:rsid w:val="00153854"/>
    <w:rsid w:val="00156CBB"/>
    <w:rsid w:val="00157C15"/>
    <w:rsid w:val="00161879"/>
    <w:rsid w:val="00163729"/>
    <w:rsid w:val="00164CF9"/>
    <w:rsid w:val="001651C1"/>
    <w:rsid w:val="00165A29"/>
    <w:rsid w:val="001667A6"/>
    <w:rsid w:val="00166AD1"/>
    <w:rsid w:val="00172782"/>
    <w:rsid w:val="00177A15"/>
    <w:rsid w:val="001815E2"/>
    <w:rsid w:val="0018189D"/>
    <w:rsid w:val="00181F09"/>
    <w:rsid w:val="00184929"/>
    <w:rsid w:val="00184AD6"/>
    <w:rsid w:val="0019476B"/>
    <w:rsid w:val="001A4AF7"/>
    <w:rsid w:val="001A5A27"/>
    <w:rsid w:val="001A7804"/>
    <w:rsid w:val="001B0349"/>
    <w:rsid w:val="001B138D"/>
    <w:rsid w:val="001B1582"/>
    <w:rsid w:val="001B1E93"/>
    <w:rsid w:val="001B3316"/>
    <w:rsid w:val="001B480D"/>
    <w:rsid w:val="001B4A57"/>
    <w:rsid w:val="001B61A7"/>
    <w:rsid w:val="001B6558"/>
    <w:rsid w:val="001B65C1"/>
    <w:rsid w:val="001C260F"/>
    <w:rsid w:val="001C33F1"/>
    <w:rsid w:val="001C395E"/>
    <w:rsid w:val="001C5A7F"/>
    <w:rsid w:val="001C684B"/>
    <w:rsid w:val="001D0CFB"/>
    <w:rsid w:val="001D1E07"/>
    <w:rsid w:val="001D21AF"/>
    <w:rsid w:val="001D24D5"/>
    <w:rsid w:val="001D4AB7"/>
    <w:rsid w:val="001D53FC"/>
    <w:rsid w:val="001D5D5C"/>
    <w:rsid w:val="001D6978"/>
    <w:rsid w:val="001D7840"/>
    <w:rsid w:val="001E2912"/>
    <w:rsid w:val="001E312B"/>
    <w:rsid w:val="001E44DD"/>
    <w:rsid w:val="001E4B3B"/>
    <w:rsid w:val="001F001A"/>
    <w:rsid w:val="001F16EA"/>
    <w:rsid w:val="001F2BAA"/>
    <w:rsid w:val="001F369C"/>
    <w:rsid w:val="001F42A5"/>
    <w:rsid w:val="001F64BE"/>
    <w:rsid w:val="001F7B9D"/>
    <w:rsid w:val="0020191C"/>
    <w:rsid w:val="00201C93"/>
    <w:rsid w:val="00213516"/>
    <w:rsid w:val="00214CC2"/>
    <w:rsid w:val="00215DDE"/>
    <w:rsid w:val="002170C4"/>
    <w:rsid w:val="0022080C"/>
    <w:rsid w:val="002224B4"/>
    <w:rsid w:val="002309EC"/>
    <w:rsid w:val="00230F99"/>
    <w:rsid w:val="00235BC7"/>
    <w:rsid w:val="00237EDA"/>
    <w:rsid w:val="002401E8"/>
    <w:rsid w:val="002447EF"/>
    <w:rsid w:val="002506C9"/>
    <w:rsid w:val="00250A40"/>
    <w:rsid w:val="00251550"/>
    <w:rsid w:val="00261185"/>
    <w:rsid w:val="00261A44"/>
    <w:rsid w:val="00263788"/>
    <w:rsid w:val="00263B05"/>
    <w:rsid w:val="00263E51"/>
    <w:rsid w:val="002656E3"/>
    <w:rsid w:val="0027221A"/>
    <w:rsid w:val="00275B61"/>
    <w:rsid w:val="00280090"/>
    <w:rsid w:val="00280B9E"/>
    <w:rsid w:val="00280FAF"/>
    <w:rsid w:val="00282656"/>
    <w:rsid w:val="00282BA6"/>
    <w:rsid w:val="002851A7"/>
    <w:rsid w:val="002903B8"/>
    <w:rsid w:val="00291DFC"/>
    <w:rsid w:val="00293943"/>
    <w:rsid w:val="00294C22"/>
    <w:rsid w:val="00296B83"/>
    <w:rsid w:val="00297620"/>
    <w:rsid w:val="002A20C9"/>
    <w:rsid w:val="002A211F"/>
    <w:rsid w:val="002A3769"/>
    <w:rsid w:val="002A3CAD"/>
    <w:rsid w:val="002B4015"/>
    <w:rsid w:val="002B40C1"/>
    <w:rsid w:val="002B5195"/>
    <w:rsid w:val="002B78CE"/>
    <w:rsid w:val="002C0E7A"/>
    <w:rsid w:val="002C20F5"/>
    <w:rsid w:val="002C21EC"/>
    <w:rsid w:val="002C2FB6"/>
    <w:rsid w:val="002C30C5"/>
    <w:rsid w:val="002C3AB4"/>
    <w:rsid w:val="002C3EF6"/>
    <w:rsid w:val="002C40E7"/>
    <w:rsid w:val="002C6D81"/>
    <w:rsid w:val="002D2B78"/>
    <w:rsid w:val="002D4FC4"/>
    <w:rsid w:val="002D6F84"/>
    <w:rsid w:val="002E03DD"/>
    <w:rsid w:val="002E06DC"/>
    <w:rsid w:val="002E1DB0"/>
    <w:rsid w:val="002E4C90"/>
    <w:rsid w:val="002E57B8"/>
    <w:rsid w:val="002E580E"/>
    <w:rsid w:val="002E5FA7"/>
    <w:rsid w:val="002F14CF"/>
    <w:rsid w:val="002F3309"/>
    <w:rsid w:val="002F3B7A"/>
    <w:rsid w:val="002F3DB3"/>
    <w:rsid w:val="003008CE"/>
    <w:rsid w:val="003009B7"/>
    <w:rsid w:val="00300E56"/>
    <w:rsid w:val="00301487"/>
    <w:rsid w:val="0030152C"/>
    <w:rsid w:val="00303F09"/>
    <w:rsid w:val="0030469C"/>
    <w:rsid w:val="00304DF3"/>
    <w:rsid w:val="0031018B"/>
    <w:rsid w:val="003146E7"/>
    <w:rsid w:val="003148BE"/>
    <w:rsid w:val="00317959"/>
    <w:rsid w:val="00321CA6"/>
    <w:rsid w:val="0032210A"/>
    <w:rsid w:val="003226A8"/>
    <w:rsid w:val="003227CE"/>
    <w:rsid w:val="00323763"/>
    <w:rsid w:val="00323863"/>
    <w:rsid w:val="00323C5F"/>
    <w:rsid w:val="00325C86"/>
    <w:rsid w:val="00325E6C"/>
    <w:rsid w:val="003307CB"/>
    <w:rsid w:val="0033111B"/>
    <w:rsid w:val="0033128F"/>
    <w:rsid w:val="00332934"/>
    <w:rsid w:val="00334C09"/>
    <w:rsid w:val="00343E9E"/>
    <w:rsid w:val="00352FE2"/>
    <w:rsid w:val="00353B51"/>
    <w:rsid w:val="00355B77"/>
    <w:rsid w:val="00356BAC"/>
    <w:rsid w:val="003577BB"/>
    <w:rsid w:val="0036285A"/>
    <w:rsid w:val="00364904"/>
    <w:rsid w:val="003653D1"/>
    <w:rsid w:val="003660BA"/>
    <w:rsid w:val="00366938"/>
    <w:rsid w:val="003723D4"/>
    <w:rsid w:val="00372C88"/>
    <w:rsid w:val="00372F5D"/>
    <w:rsid w:val="00376C6D"/>
    <w:rsid w:val="00377EE7"/>
    <w:rsid w:val="003803BE"/>
    <w:rsid w:val="00381905"/>
    <w:rsid w:val="00382C69"/>
    <w:rsid w:val="003842EC"/>
    <w:rsid w:val="00384CC8"/>
    <w:rsid w:val="003871FD"/>
    <w:rsid w:val="003903B9"/>
    <w:rsid w:val="00390702"/>
    <w:rsid w:val="0039259E"/>
    <w:rsid w:val="00393070"/>
    <w:rsid w:val="0039335D"/>
    <w:rsid w:val="00395086"/>
    <w:rsid w:val="003958ED"/>
    <w:rsid w:val="003A1E30"/>
    <w:rsid w:val="003A2829"/>
    <w:rsid w:val="003A7D1C"/>
    <w:rsid w:val="003A7EF3"/>
    <w:rsid w:val="003B304B"/>
    <w:rsid w:val="003B3146"/>
    <w:rsid w:val="003B3DA5"/>
    <w:rsid w:val="003C1980"/>
    <w:rsid w:val="003C2444"/>
    <w:rsid w:val="003C62B3"/>
    <w:rsid w:val="003D1E02"/>
    <w:rsid w:val="003D658A"/>
    <w:rsid w:val="003D6D77"/>
    <w:rsid w:val="003E07E4"/>
    <w:rsid w:val="003E0A5A"/>
    <w:rsid w:val="003E1F9F"/>
    <w:rsid w:val="003E60C2"/>
    <w:rsid w:val="003E78A3"/>
    <w:rsid w:val="003F015E"/>
    <w:rsid w:val="003F139F"/>
    <w:rsid w:val="003F275B"/>
    <w:rsid w:val="003F2A08"/>
    <w:rsid w:val="003F2E6F"/>
    <w:rsid w:val="003F3234"/>
    <w:rsid w:val="00400414"/>
    <w:rsid w:val="00401DE6"/>
    <w:rsid w:val="0040240E"/>
    <w:rsid w:val="004034F4"/>
    <w:rsid w:val="004105AF"/>
    <w:rsid w:val="004124E2"/>
    <w:rsid w:val="0041446B"/>
    <w:rsid w:val="00415855"/>
    <w:rsid w:val="00424FCB"/>
    <w:rsid w:val="00425464"/>
    <w:rsid w:val="004255AA"/>
    <w:rsid w:val="00436425"/>
    <w:rsid w:val="00437548"/>
    <w:rsid w:val="0043792A"/>
    <w:rsid w:val="00437BCC"/>
    <w:rsid w:val="0044071E"/>
    <w:rsid w:val="00440BE4"/>
    <w:rsid w:val="004417AD"/>
    <w:rsid w:val="0044329C"/>
    <w:rsid w:val="00443486"/>
    <w:rsid w:val="00446CAA"/>
    <w:rsid w:val="00446D04"/>
    <w:rsid w:val="00453E24"/>
    <w:rsid w:val="00455F27"/>
    <w:rsid w:val="00457456"/>
    <w:rsid w:val="004577FE"/>
    <w:rsid w:val="00457B9C"/>
    <w:rsid w:val="0046164A"/>
    <w:rsid w:val="00462238"/>
    <w:rsid w:val="004628D2"/>
    <w:rsid w:val="00462DCD"/>
    <w:rsid w:val="004633D5"/>
    <w:rsid w:val="004648AD"/>
    <w:rsid w:val="004703A9"/>
    <w:rsid w:val="00473E62"/>
    <w:rsid w:val="00474295"/>
    <w:rsid w:val="004760DE"/>
    <w:rsid w:val="004763D7"/>
    <w:rsid w:val="0047672E"/>
    <w:rsid w:val="00477996"/>
    <w:rsid w:val="00482DF6"/>
    <w:rsid w:val="00483334"/>
    <w:rsid w:val="004849F7"/>
    <w:rsid w:val="004860AC"/>
    <w:rsid w:val="00486D0A"/>
    <w:rsid w:val="004908A4"/>
    <w:rsid w:val="004A004E"/>
    <w:rsid w:val="004A0B6B"/>
    <w:rsid w:val="004A24CF"/>
    <w:rsid w:val="004A3C66"/>
    <w:rsid w:val="004A4D7C"/>
    <w:rsid w:val="004A5E57"/>
    <w:rsid w:val="004A6FC8"/>
    <w:rsid w:val="004A71F5"/>
    <w:rsid w:val="004B2AB4"/>
    <w:rsid w:val="004B2DAE"/>
    <w:rsid w:val="004B78EE"/>
    <w:rsid w:val="004C194F"/>
    <w:rsid w:val="004C260A"/>
    <w:rsid w:val="004C26CA"/>
    <w:rsid w:val="004C3D1D"/>
    <w:rsid w:val="004C3D84"/>
    <w:rsid w:val="004C7913"/>
    <w:rsid w:val="004D3A3A"/>
    <w:rsid w:val="004D4417"/>
    <w:rsid w:val="004E13E7"/>
    <w:rsid w:val="004E16BF"/>
    <w:rsid w:val="004E1F99"/>
    <w:rsid w:val="004E26FF"/>
    <w:rsid w:val="004E4DD6"/>
    <w:rsid w:val="004F3608"/>
    <w:rsid w:val="004F43A5"/>
    <w:rsid w:val="004F5E36"/>
    <w:rsid w:val="004F678E"/>
    <w:rsid w:val="004F6A56"/>
    <w:rsid w:val="005008CF"/>
    <w:rsid w:val="00503530"/>
    <w:rsid w:val="00504B4E"/>
    <w:rsid w:val="00505506"/>
    <w:rsid w:val="00506501"/>
    <w:rsid w:val="005072C4"/>
    <w:rsid w:val="005076C0"/>
    <w:rsid w:val="00507B47"/>
    <w:rsid w:val="00507BEF"/>
    <w:rsid w:val="00507CC9"/>
    <w:rsid w:val="0051019F"/>
    <w:rsid w:val="005119A5"/>
    <w:rsid w:val="00514BFD"/>
    <w:rsid w:val="00516110"/>
    <w:rsid w:val="005168BE"/>
    <w:rsid w:val="005204E2"/>
    <w:rsid w:val="00521FCB"/>
    <w:rsid w:val="005220F1"/>
    <w:rsid w:val="00522646"/>
    <w:rsid w:val="00522C7B"/>
    <w:rsid w:val="0052397F"/>
    <w:rsid w:val="0052446A"/>
    <w:rsid w:val="0052598D"/>
    <w:rsid w:val="0052680A"/>
    <w:rsid w:val="005278B7"/>
    <w:rsid w:val="00532016"/>
    <w:rsid w:val="00533083"/>
    <w:rsid w:val="00533160"/>
    <w:rsid w:val="005346C8"/>
    <w:rsid w:val="00543E7D"/>
    <w:rsid w:val="005452C1"/>
    <w:rsid w:val="00545645"/>
    <w:rsid w:val="00546587"/>
    <w:rsid w:val="00547A68"/>
    <w:rsid w:val="00550F3A"/>
    <w:rsid w:val="005531C9"/>
    <w:rsid w:val="00556DFA"/>
    <w:rsid w:val="00561680"/>
    <w:rsid w:val="00561BB2"/>
    <w:rsid w:val="005645AF"/>
    <w:rsid w:val="00570C43"/>
    <w:rsid w:val="00572005"/>
    <w:rsid w:val="00572753"/>
    <w:rsid w:val="00573517"/>
    <w:rsid w:val="00573849"/>
    <w:rsid w:val="00573953"/>
    <w:rsid w:val="0057405B"/>
    <w:rsid w:val="005743EC"/>
    <w:rsid w:val="0057506C"/>
    <w:rsid w:val="00577DE4"/>
    <w:rsid w:val="00581CDB"/>
    <w:rsid w:val="00581EAD"/>
    <w:rsid w:val="00584F9A"/>
    <w:rsid w:val="005878A4"/>
    <w:rsid w:val="00592274"/>
    <w:rsid w:val="005926F2"/>
    <w:rsid w:val="00592C77"/>
    <w:rsid w:val="0059560C"/>
    <w:rsid w:val="005A0F4F"/>
    <w:rsid w:val="005A2A91"/>
    <w:rsid w:val="005A4FBA"/>
    <w:rsid w:val="005A5922"/>
    <w:rsid w:val="005A7723"/>
    <w:rsid w:val="005A7A12"/>
    <w:rsid w:val="005B0040"/>
    <w:rsid w:val="005B1269"/>
    <w:rsid w:val="005B2110"/>
    <w:rsid w:val="005B223B"/>
    <w:rsid w:val="005B61E6"/>
    <w:rsid w:val="005B6C0B"/>
    <w:rsid w:val="005C3147"/>
    <w:rsid w:val="005C704B"/>
    <w:rsid w:val="005C77E1"/>
    <w:rsid w:val="005D1942"/>
    <w:rsid w:val="005D5451"/>
    <w:rsid w:val="005D668A"/>
    <w:rsid w:val="005D6A2F"/>
    <w:rsid w:val="005E0592"/>
    <w:rsid w:val="005E1A82"/>
    <w:rsid w:val="005E1C48"/>
    <w:rsid w:val="005E3901"/>
    <w:rsid w:val="005E794C"/>
    <w:rsid w:val="005F0A28"/>
    <w:rsid w:val="005F0E5E"/>
    <w:rsid w:val="00600535"/>
    <w:rsid w:val="00610CD6"/>
    <w:rsid w:val="00615CA4"/>
    <w:rsid w:val="0062070C"/>
    <w:rsid w:val="00620DEE"/>
    <w:rsid w:val="00621F92"/>
    <w:rsid w:val="0062280A"/>
    <w:rsid w:val="006231E1"/>
    <w:rsid w:val="00623545"/>
    <w:rsid w:val="00624E4E"/>
    <w:rsid w:val="00625639"/>
    <w:rsid w:val="00625B22"/>
    <w:rsid w:val="00625F49"/>
    <w:rsid w:val="00626324"/>
    <w:rsid w:val="00626517"/>
    <w:rsid w:val="006276FA"/>
    <w:rsid w:val="0063105F"/>
    <w:rsid w:val="00631B33"/>
    <w:rsid w:val="0063786E"/>
    <w:rsid w:val="0064184D"/>
    <w:rsid w:val="006422CC"/>
    <w:rsid w:val="00644363"/>
    <w:rsid w:val="00647B84"/>
    <w:rsid w:val="00651D18"/>
    <w:rsid w:val="0065627E"/>
    <w:rsid w:val="00660E3E"/>
    <w:rsid w:val="00662E74"/>
    <w:rsid w:val="00666EAC"/>
    <w:rsid w:val="00667EFA"/>
    <w:rsid w:val="00671100"/>
    <w:rsid w:val="00672EAA"/>
    <w:rsid w:val="006745DF"/>
    <w:rsid w:val="00677136"/>
    <w:rsid w:val="00677D61"/>
    <w:rsid w:val="00680C23"/>
    <w:rsid w:val="00681E70"/>
    <w:rsid w:val="00683E23"/>
    <w:rsid w:val="00683F10"/>
    <w:rsid w:val="00684058"/>
    <w:rsid w:val="006864D6"/>
    <w:rsid w:val="00693766"/>
    <w:rsid w:val="00694A3C"/>
    <w:rsid w:val="006951B8"/>
    <w:rsid w:val="006A3281"/>
    <w:rsid w:val="006A3903"/>
    <w:rsid w:val="006A39EB"/>
    <w:rsid w:val="006A71F1"/>
    <w:rsid w:val="006A7617"/>
    <w:rsid w:val="006A7C95"/>
    <w:rsid w:val="006B1E0D"/>
    <w:rsid w:val="006B230C"/>
    <w:rsid w:val="006B4888"/>
    <w:rsid w:val="006C22AE"/>
    <w:rsid w:val="006C24FE"/>
    <w:rsid w:val="006C2E45"/>
    <w:rsid w:val="006C359C"/>
    <w:rsid w:val="006C43B3"/>
    <w:rsid w:val="006C4C7D"/>
    <w:rsid w:val="006C5579"/>
    <w:rsid w:val="006C6993"/>
    <w:rsid w:val="006C6A3C"/>
    <w:rsid w:val="006C6D72"/>
    <w:rsid w:val="006D12F6"/>
    <w:rsid w:val="006D5CC9"/>
    <w:rsid w:val="006D6708"/>
    <w:rsid w:val="006D6E8B"/>
    <w:rsid w:val="006D7209"/>
    <w:rsid w:val="006E0DD2"/>
    <w:rsid w:val="006E17DC"/>
    <w:rsid w:val="006E2DCA"/>
    <w:rsid w:val="006E330B"/>
    <w:rsid w:val="006E3BD0"/>
    <w:rsid w:val="006E41DA"/>
    <w:rsid w:val="006E45F8"/>
    <w:rsid w:val="006E6474"/>
    <w:rsid w:val="006E737D"/>
    <w:rsid w:val="006E79AD"/>
    <w:rsid w:val="006F19F0"/>
    <w:rsid w:val="006F1F14"/>
    <w:rsid w:val="006F2388"/>
    <w:rsid w:val="006F4B21"/>
    <w:rsid w:val="006F5084"/>
    <w:rsid w:val="006F5AA4"/>
    <w:rsid w:val="006F62C0"/>
    <w:rsid w:val="007000F2"/>
    <w:rsid w:val="0070019B"/>
    <w:rsid w:val="00702903"/>
    <w:rsid w:val="00705AAC"/>
    <w:rsid w:val="007074D2"/>
    <w:rsid w:val="00707DD1"/>
    <w:rsid w:val="0071052C"/>
    <w:rsid w:val="00711B9B"/>
    <w:rsid w:val="007130CF"/>
    <w:rsid w:val="00713973"/>
    <w:rsid w:val="007160BA"/>
    <w:rsid w:val="00720783"/>
    <w:rsid w:val="00720A24"/>
    <w:rsid w:val="00722808"/>
    <w:rsid w:val="00725C12"/>
    <w:rsid w:val="00727F92"/>
    <w:rsid w:val="007307A6"/>
    <w:rsid w:val="00732386"/>
    <w:rsid w:val="0073305D"/>
    <w:rsid w:val="00733592"/>
    <w:rsid w:val="0073514D"/>
    <w:rsid w:val="007409C6"/>
    <w:rsid w:val="00741172"/>
    <w:rsid w:val="00741A31"/>
    <w:rsid w:val="00742146"/>
    <w:rsid w:val="007447F3"/>
    <w:rsid w:val="00745F7C"/>
    <w:rsid w:val="00752300"/>
    <w:rsid w:val="00752D16"/>
    <w:rsid w:val="0075499F"/>
    <w:rsid w:val="007579A1"/>
    <w:rsid w:val="00760BC4"/>
    <w:rsid w:val="007617CC"/>
    <w:rsid w:val="007645FD"/>
    <w:rsid w:val="007661C8"/>
    <w:rsid w:val="00766DB1"/>
    <w:rsid w:val="00767E83"/>
    <w:rsid w:val="00770533"/>
    <w:rsid w:val="00770647"/>
    <w:rsid w:val="0077098D"/>
    <w:rsid w:val="007724F1"/>
    <w:rsid w:val="0077461B"/>
    <w:rsid w:val="00774CD4"/>
    <w:rsid w:val="00775748"/>
    <w:rsid w:val="0077597D"/>
    <w:rsid w:val="00781050"/>
    <w:rsid w:val="007810D5"/>
    <w:rsid w:val="007829DA"/>
    <w:rsid w:val="00784257"/>
    <w:rsid w:val="00785AE4"/>
    <w:rsid w:val="00785BF9"/>
    <w:rsid w:val="007870C0"/>
    <w:rsid w:val="00791C0D"/>
    <w:rsid w:val="00792DE1"/>
    <w:rsid w:val="007931FA"/>
    <w:rsid w:val="00793768"/>
    <w:rsid w:val="00794B81"/>
    <w:rsid w:val="00794EA0"/>
    <w:rsid w:val="007A320F"/>
    <w:rsid w:val="007A3B5E"/>
    <w:rsid w:val="007A3E5C"/>
    <w:rsid w:val="007A4861"/>
    <w:rsid w:val="007A4875"/>
    <w:rsid w:val="007A6DF8"/>
    <w:rsid w:val="007A7BBA"/>
    <w:rsid w:val="007B0916"/>
    <w:rsid w:val="007B0C50"/>
    <w:rsid w:val="007B48F9"/>
    <w:rsid w:val="007B5F9A"/>
    <w:rsid w:val="007C049A"/>
    <w:rsid w:val="007C055B"/>
    <w:rsid w:val="007C1A43"/>
    <w:rsid w:val="007C1DD2"/>
    <w:rsid w:val="007C54C7"/>
    <w:rsid w:val="007C6217"/>
    <w:rsid w:val="007C6415"/>
    <w:rsid w:val="007D0951"/>
    <w:rsid w:val="007D53AA"/>
    <w:rsid w:val="007D7AE2"/>
    <w:rsid w:val="007E7160"/>
    <w:rsid w:val="007F0CD2"/>
    <w:rsid w:val="007F19F1"/>
    <w:rsid w:val="007F1CB7"/>
    <w:rsid w:val="007F2072"/>
    <w:rsid w:val="007F27C8"/>
    <w:rsid w:val="007F2C38"/>
    <w:rsid w:val="007F7BF2"/>
    <w:rsid w:val="0080013E"/>
    <w:rsid w:val="00800B82"/>
    <w:rsid w:val="0080326D"/>
    <w:rsid w:val="008035B6"/>
    <w:rsid w:val="00811844"/>
    <w:rsid w:val="00811B06"/>
    <w:rsid w:val="00813233"/>
    <w:rsid w:val="00813288"/>
    <w:rsid w:val="00814365"/>
    <w:rsid w:val="008168FC"/>
    <w:rsid w:val="00821512"/>
    <w:rsid w:val="0082183D"/>
    <w:rsid w:val="0082248B"/>
    <w:rsid w:val="00823F57"/>
    <w:rsid w:val="00825D22"/>
    <w:rsid w:val="008275AE"/>
    <w:rsid w:val="00830326"/>
    <w:rsid w:val="00830996"/>
    <w:rsid w:val="008314D7"/>
    <w:rsid w:val="0083412C"/>
    <w:rsid w:val="008345F1"/>
    <w:rsid w:val="00837F83"/>
    <w:rsid w:val="00840E96"/>
    <w:rsid w:val="00843090"/>
    <w:rsid w:val="00843785"/>
    <w:rsid w:val="00844FB9"/>
    <w:rsid w:val="008458B7"/>
    <w:rsid w:val="00851633"/>
    <w:rsid w:val="00851BF7"/>
    <w:rsid w:val="00852457"/>
    <w:rsid w:val="00854278"/>
    <w:rsid w:val="00854E18"/>
    <w:rsid w:val="0085734D"/>
    <w:rsid w:val="00861CA6"/>
    <w:rsid w:val="00862CF3"/>
    <w:rsid w:val="00865B07"/>
    <w:rsid w:val="00865FFD"/>
    <w:rsid w:val="008667EA"/>
    <w:rsid w:val="00866A59"/>
    <w:rsid w:val="0087637F"/>
    <w:rsid w:val="008776C2"/>
    <w:rsid w:val="0088095F"/>
    <w:rsid w:val="00880C26"/>
    <w:rsid w:val="008823BE"/>
    <w:rsid w:val="0088504C"/>
    <w:rsid w:val="008854B9"/>
    <w:rsid w:val="00885709"/>
    <w:rsid w:val="00885F09"/>
    <w:rsid w:val="00885F7B"/>
    <w:rsid w:val="00890751"/>
    <w:rsid w:val="00892AD5"/>
    <w:rsid w:val="00892E39"/>
    <w:rsid w:val="0089594A"/>
    <w:rsid w:val="00896DF8"/>
    <w:rsid w:val="008971BE"/>
    <w:rsid w:val="008979BD"/>
    <w:rsid w:val="008A0542"/>
    <w:rsid w:val="008A1409"/>
    <w:rsid w:val="008A1512"/>
    <w:rsid w:val="008B0774"/>
    <w:rsid w:val="008C16A0"/>
    <w:rsid w:val="008C76DE"/>
    <w:rsid w:val="008D0AD1"/>
    <w:rsid w:val="008D1FA8"/>
    <w:rsid w:val="008D2C22"/>
    <w:rsid w:val="008D32B9"/>
    <w:rsid w:val="008D433B"/>
    <w:rsid w:val="008D4424"/>
    <w:rsid w:val="008D4854"/>
    <w:rsid w:val="008D4A16"/>
    <w:rsid w:val="008D4B44"/>
    <w:rsid w:val="008D51F5"/>
    <w:rsid w:val="008D581A"/>
    <w:rsid w:val="008E209A"/>
    <w:rsid w:val="008E45BC"/>
    <w:rsid w:val="008E4F26"/>
    <w:rsid w:val="008E566E"/>
    <w:rsid w:val="008F1D3A"/>
    <w:rsid w:val="008F2B6C"/>
    <w:rsid w:val="008F3C75"/>
    <w:rsid w:val="008F410C"/>
    <w:rsid w:val="008F5D0B"/>
    <w:rsid w:val="008F6141"/>
    <w:rsid w:val="008F6A3E"/>
    <w:rsid w:val="008F71D2"/>
    <w:rsid w:val="008F720B"/>
    <w:rsid w:val="0090161A"/>
    <w:rsid w:val="00901EB6"/>
    <w:rsid w:val="00902059"/>
    <w:rsid w:val="0090207F"/>
    <w:rsid w:val="009041F8"/>
    <w:rsid w:val="00904C62"/>
    <w:rsid w:val="00905622"/>
    <w:rsid w:val="00905C54"/>
    <w:rsid w:val="00907A01"/>
    <w:rsid w:val="00913A0C"/>
    <w:rsid w:val="00915064"/>
    <w:rsid w:val="00917C40"/>
    <w:rsid w:val="00921ACE"/>
    <w:rsid w:val="00922BA8"/>
    <w:rsid w:val="009231BF"/>
    <w:rsid w:val="0092376C"/>
    <w:rsid w:val="00924DAC"/>
    <w:rsid w:val="00927058"/>
    <w:rsid w:val="00930312"/>
    <w:rsid w:val="009337B4"/>
    <w:rsid w:val="00936A3F"/>
    <w:rsid w:val="009377A9"/>
    <w:rsid w:val="00942750"/>
    <w:rsid w:val="009428BC"/>
    <w:rsid w:val="00944544"/>
    <w:rsid w:val="00944F87"/>
    <w:rsid w:val="009450CE"/>
    <w:rsid w:val="00945513"/>
    <w:rsid w:val="009459BB"/>
    <w:rsid w:val="00947179"/>
    <w:rsid w:val="00947E37"/>
    <w:rsid w:val="009500B8"/>
    <w:rsid w:val="009511DB"/>
    <w:rsid w:val="0095164B"/>
    <w:rsid w:val="00954090"/>
    <w:rsid w:val="00957146"/>
    <w:rsid w:val="009573E7"/>
    <w:rsid w:val="00963E05"/>
    <w:rsid w:val="00964A45"/>
    <w:rsid w:val="00966E80"/>
    <w:rsid w:val="009676E0"/>
    <w:rsid w:val="00967843"/>
    <w:rsid w:val="00967D54"/>
    <w:rsid w:val="0097084E"/>
    <w:rsid w:val="00970FB1"/>
    <w:rsid w:val="00971028"/>
    <w:rsid w:val="009732CD"/>
    <w:rsid w:val="00974A62"/>
    <w:rsid w:val="009767FB"/>
    <w:rsid w:val="00977B32"/>
    <w:rsid w:val="00981F73"/>
    <w:rsid w:val="00986F24"/>
    <w:rsid w:val="00987DCB"/>
    <w:rsid w:val="00991C6B"/>
    <w:rsid w:val="00993B84"/>
    <w:rsid w:val="00996483"/>
    <w:rsid w:val="00996F5A"/>
    <w:rsid w:val="009A0FF8"/>
    <w:rsid w:val="009A2E49"/>
    <w:rsid w:val="009A2E87"/>
    <w:rsid w:val="009A4B08"/>
    <w:rsid w:val="009A6BBE"/>
    <w:rsid w:val="009B041A"/>
    <w:rsid w:val="009B3203"/>
    <w:rsid w:val="009C26D1"/>
    <w:rsid w:val="009C37C3"/>
    <w:rsid w:val="009C7C86"/>
    <w:rsid w:val="009D07E9"/>
    <w:rsid w:val="009D2FF7"/>
    <w:rsid w:val="009D3DF3"/>
    <w:rsid w:val="009E12A6"/>
    <w:rsid w:val="009E147F"/>
    <w:rsid w:val="009E60F4"/>
    <w:rsid w:val="009E7884"/>
    <w:rsid w:val="009E788A"/>
    <w:rsid w:val="009F0E08"/>
    <w:rsid w:val="009F11D4"/>
    <w:rsid w:val="009F24E0"/>
    <w:rsid w:val="009F2998"/>
    <w:rsid w:val="009F3D7B"/>
    <w:rsid w:val="009F595F"/>
    <w:rsid w:val="009F7118"/>
    <w:rsid w:val="00A00ED2"/>
    <w:rsid w:val="00A01CA6"/>
    <w:rsid w:val="00A04BFB"/>
    <w:rsid w:val="00A052DA"/>
    <w:rsid w:val="00A079AE"/>
    <w:rsid w:val="00A15F5D"/>
    <w:rsid w:val="00A1763D"/>
    <w:rsid w:val="00A17CEC"/>
    <w:rsid w:val="00A2019A"/>
    <w:rsid w:val="00A2356F"/>
    <w:rsid w:val="00A2389A"/>
    <w:rsid w:val="00A24931"/>
    <w:rsid w:val="00A265D5"/>
    <w:rsid w:val="00A26CBB"/>
    <w:rsid w:val="00A27EF0"/>
    <w:rsid w:val="00A31DC4"/>
    <w:rsid w:val="00A35FF1"/>
    <w:rsid w:val="00A40286"/>
    <w:rsid w:val="00A42361"/>
    <w:rsid w:val="00A42BA1"/>
    <w:rsid w:val="00A42F99"/>
    <w:rsid w:val="00A435FF"/>
    <w:rsid w:val="00A4653F"/>
    <w:rsid w:val="00A50B20"/>
    <w:rsid w:val="00A50CAD"/>
    <w:rsid w:val="00A51390"/>
    <w:rsid w:val="00A53C2A"/>
    <w:rsid w:val="00A572AB"/>
    <w:rsid w:val="00A60D13"/>
    <w:rsid w:val="00A645CA"/>
    <w:rsid w:val="00A65A9A"/>
    <w:rsid w:val="00A70C77"/>
    <w:rsid w:val="00A7223D"/>
    <w:rsid w:val="00A72745"/>
    <w:rsid w:val="00A731AA"/>
    <w:rsid w:val="00A743E0"/>
    <w:rsid w:val="00A76EA2"/>
    <w:rsid w:val="00A76EFC"/>
    <w:rsid w:val="00A77A27"/>
    <w:rsid w:val="00A819F9"/>
    <w:rsid w:val="00A82701"/>
    <w:rsid w:val="00A84858"/>
    <w:rsid w:val="00A8678E"/>
    <w:rsid w:val="00A87D50"/>
    <w:rsid w:val="00A91010"/>
    <w:rsid w:val="00A92CFC"/>
    <w:rsid w:val="00A92FB0"/>
    <w:rsid w:val="00A95857"/>
    <w:rsid w:val="00A96943"/>
    <w:rsid w:val="00A97AC5"/>
    <w:rsid w:val="00A97F29"/>
    <w:rsid w:val="00AA2E36"/>
    <w:rsid w:val="00AA465D"/>
    <w:rsid w:val="00AA702E"/>
    <w:rsid w:val="00AA7D26"/>
    <w:rsid w:val="00AB0964"/>
    <w:rsid w:val="00AB0DC0"/>
    <w:rsid w:val="00AB3482"/>
    <w:rsid w:val="00AB5011"/>
    <w:rsid w:val="00AB6FCF"/>
    <w:rsid w:val="00AC05D2"/>
    <w:rsid w:val="00AC72F0"/>
    <w:rsid w:val="00AC7368"/>
    <w:rsid w:val="00AC7750"/>
    <w:rsid w:val="00AD0278"/>
    <w:rsid w:val="00AD16B9"/>
    <w:rsid w:val="00AD1F46"/>
    <w:rsid w:val="00AD210E"/>
    <w:rsid w:val="00AD56ED"/>
    <w:rsid w:val="00AE336A"/>
    <w:rsid w:val="00AE377D"/>
    <w:rsid w:val="00AE4122"/>
    <w:rsid w:val="00AF0EBA"/>
    <w:rsid w:val="00AF161C"/>
    <w:rsid w:val="00AF2C59"/>
    <w:rsid w:val="00AF60CB"/>
    <w:rsid w:val="00AF6569"/>
    <w:rsid w:val="00AF7E08"/>
    <w:rsid w:val="00B0168C"/>
    <w:rsid w:val="00B02734"/>
    <w:rsid w:val="00B02C8A"/>
    <w:rsid w:val="00B04419"/>
    <w:rsid w:val="00B05E3F"/>
    <w:rsid w:val="00B066B1"/>
    <w:rsid w:val="00B07985"/>
    <w:rsid w:val="00B10EDF"/>
    <w:rsid w:val="00B119A6"/>
    <w:rsid w:val="00B14A95"/>
    <w:rsid w:val="00B1677E"/>
    <w:rsid w:val="00B17FBD"/>
    <w:rsid w:val="00B23F68"/>
    <w:rsid w:val="00B269A4"/>
    <w:rsid w:val="00B315A6"/>
    <w:rsid w:val="00B31813"/>
    <w:rsid w:val="00B31E46"/>
    <w:rsid w:val="00B33365"/>
    <w:rsid w:val="00B33EA6"/>
    <w:rsid w:val="00B36BCC"/>
    <w:rsid w:val="00B40416"/>
    <w:rsid w:val="00B4222B"/>
    <w:rsid w:val="00B42FD0"/>
    <w:rsid w:val="00B435AF"/>
    <w:rsid w:val="00B44677"/>
    <w:rsid w:val="00B458C3"/>
    <w:rsid w:val="00B509A4"/>
    <w:rsid w:val="00B52162"/>
    <w:rsid w:val="00B54A0F"/>
    <w:rsid w:val="00B57B36"/>
    <w:rsid w:val="00B57D8E"/>
    <w:rsid w:val="00B57E6F"/>
    <w:rsid w:val="00B643CA"/>
    <w:rsid w:val="00B778EC"/>
    <w:rsid w:val="00B81539"/>
    <w:rsid w:val="00B8686D"/>
    <w:rsid w:val="00B86E89"/>
    <w:rsid w:val="00B92875"/>
    <w:rsid w:val="00B93F69"/>
    <w:rsid w:val="00B9410B"/>
    <w:rsid w:val="00B97EB3"/>
    <w:rsid w:val="00BA4579"/>
    <w:rsid w:val="00BB0E3C"/>
    <w:rsid w:val="00BB1DDC"/>
    <w:rsid w:val="00BB3BB6"/>
    <w:rsid w:val="00BB7C29"/>
    <w:rsid w:val="00BC1B6B"/>
    <w:rsid w:val="00BC30C9"/>
    <w:rsid w:val="00BC36EA"/>
    <w:rsid w:val="00BC5176"/>
    <w:rsid w:val="00BC62B2"/>
    <w:rsid w:val="00BC704C"/>
    <w:rsid w:val="00BC7261"/>
    <w:rsid w:val="00BC7BB9"/>
    <w:rsid w:val="00BC7F9B"/>
    <w:rsid w:val="00BD077D"/>
    <w:rsid w:val="00BD0AA1"/>
    <w:rsid w:val="00BD26F7"/>
    <w:rsid w:val="00BD3303"/>
    <w:rsid w:val="00BD4847"/>
    <w:rsid w:val="00BD48FF"/>
    <w:rsid w:val="00BD4DA7"/>
    <w:rsid w:val="00BD4EC9"/>
    <w:rsid w:val="00BD5EE6"/>
    <w:rsid w:val="00BD67E2"/>
    <w:rsid w:val="00BD6D73"/>
    <w:rsid w:val="00BD6E2D"/>
    <w:rsid w:val="00BE113F"/>
    <w:rsid w:val="00BE3296"/>
    <w:rsid w:val="00BE3E58"/>
    <w:rsid w:val="00BE79F3"/>
    <w:rsid w:val="00BF1DD0"/>
    <w:rsid w:val="00BF20B5"/>
    <w:rsid w:val="00BF7E77"/>
    <w:rsid w:val="00C000FA"/>
    <w:rsid w:val="00C01616"/>
    <w:rsid w:val="00C0162B"/>
    <w:rsid w:val="00C021E9"/>
    <w:rsid w:val="00C068ED"/>
    <w:rsid w:val="00C07177"/>
    <w:rsid w:val="00C07D80"/>
    <w:rsid w:val="00C10E6C"/>
    <w:rsid w:val="00C11216"/>
    <w:rsid w:val="00C123D9"/>
    <w:rsid w:val="00C13BA8"/>
    <w:rsid w:val="00C14AF2"/>
    <w:rsid w:val="00C162E1"/>
    <w:rsid w:val="00C178A2"/>
    <w:rsid w:val="00C20560"/>
    <w:rsid w:val="00C208E9"/>
    <w:rsid w:val="00C209ED"/>
    <w:rsid w:val="00C21AA0"/>
    <w:rsid w:val="00C22E0C"/>
    <w:rsid w:val="00C23A3D"/>
    <w:rsid w:val="00C27731"/>
    <w:rsid w:val="00C27A1A"/>
    <w:rsid w:val="00C30196"/>
    <w:rsid w:val="00C309FC"/>
    <w:rsid w:val="00C3140B"/>
    <w:rsid w:val="00C33C96"/>
    <w:rsid w:val="00C345B1"/>
    <w:rsid w:val="00C34959"/>
    <w:rsid w:val="00C40142"/>
    <w:rsid w:val="00C409B2"/>
    <w:rsid w:val="00C40A32"/>
    <w:rsid w:val="00C42378"/>
    <w:rsid w:val="00C442B2"/>
    <w:rsid w:val="00C44571"/>
    <w:rsid w:val="00C504B0"/>
    <w:rsid w:val="00C5088A"/>
    <w:rsid w:val="00C508A9"/>
    <w:rsid w:val="00C52C3C"/>
    <w:rsid w:val="00C54713"/>
    <w:rsid w:val="00C55739"/>
    <w:rsid w:val="00C57182"/>
    <w:rsid w:val="00C57187"/>
    <w:rsid w:val="00C57863"/>
    <w:rsid w:val="00C6171C"/>
    <w:rsid w:val="00C62D1B"/>
    <w:rsid w:val="00C640AF"/>
    <w:rsid w:val="00C64FA1"/>
    <w:rsid w:val="00C64FB0"/>
    <w:rsid w:val="00C654DF"/>
    <w:rsid w:val="00C655FD"/>
    <w:rsid w:val="00C6567E"/>
    <w:rsid w:val="00C65B73"/>
    <w:rsid w:val="00C70D7F"/>
    <w:rsid w:val="00C738AF"/>
    <w:rsid w:val="00C74888"/>
    <w:rsid w:val="00C74C71"/>
    <w:rsid w:val="00C75407"/>
    <w:rsid w:val="00C7598D"/>
    <w:rsid w:val="00C81593"/>
    <w:rsid w:val="00C8382B"/>
    <w:rsid w:val="00C841C6"/>
    <w:rsid w:val="00C870A8"/>
    <w:rsid w:val="00C87A2A"/>
    <w:rsid w:val="00C92AD4"/>
    <w:rsid w:val="00C94434"/>
    <w:rsid w:val="00C94632"/>
    <w:rsid w:val="00C96974"/>
    <w:rsid w:val="00C97D6F"/>
    <w:rsid w:val="00CA0631"/>
    <w:rsid w:val="00CA07BA"/>
    <w:rsid w:val="00CA0D75"/>
    <w:rsid w:val="00CA1C95"/>
    <w:rsid w:val="00CA20DF"/>
    <w:rsid w:val="00CA25AF"/>
    <w:rsid w:val="00CA3436"/>
    <w:rsid w:val="00CA39DE"/>
    <w:rsid w:val="00CA4983"/>
    <w:rsid w:val="00CA5A9C"/>
    <w:rsid w:val="00CA6E79"/>
    <w:rsid w:val="00CB785A"/>
    <w:rsid w:val="00CC1258"/>
    <w:rsid w:val="00CC20D4"/>
    <w:rsid w:val="00CC4600"/>
    <w:rsid w:val="00CC4C20"/>
    <w:rsid w:val="00CD3517"/>
    <w:rsid w:val="00CD3CB4"/>
    <w:rsid w:val="00CD3DC3"/>
    <w:rsid w:val="00CD5FE2"/>
    <w:rsid w:val="00CD71A6"/>
    <w:rsid w:val="00CE07B8"/>
    <w:rsid w:val="00CE0CE7"/>
    <w:rsid w:val="00CE3FD9"/>
    <w:rsid w:val="00CE6446"/>
    <w:rsid w:val="00CE7595"/>
    <w:rsid w:val="00CE780C"/>
    <w:rsid w:val="00CE7872"/>
    <w:rsid w:val="00CE7A42"/>
    <w:rsid w:val="00CE7C68"/>
    <w:rsid w:val="00CF03CD"/>
    <w:rsid w:val="00CF3622"/>
    <w:rsid w:val="00CF4F7F"/>
    <w:rsid w:val="00CF54F3"/>
    <w:rsid w:val="00CF638C"/>
    <w:rsid w:val="00D00311"/>
    <w:rsid w:val="00D02B4C"/>
    <w:rsid w:val="00D040C4"/>
    <w:rsid w:val="00D06838"/>
    <w:rsid w:val="00D10355"/>
    <w:rsid w:val="00D1147F"/>
    <w:rsid w:val="00D11F6E"/>
    <w:rsid w:val="00D20926"/>
    <w:rsid w:val="00D20AD1"/>
    <w:rsid w:val="00D2582C"/>
    <w:rsid w:val="00D32C34"/>
    <w:rsid w:val="00D32C5B"/>
    <w:rsid w:val="00D37AFF"/>
    <w:rsid w:val="00D426D0"/>
    <w:rsid w:val="00D443CE"/>
    <w:rsid w:val="00D44623"/>
    <w:rsid w:val="00D4656E"/>
    <w:rsid w:val="00D46B7E"/>
    <w:rsid w:val="00D5182A"/>
    <w:rsid w:val="00D5198E"/>
    <w:rsid w:val="00D5755E"/>
    <w:rsid w:val="00D57C84"/>
    <w:rsid w:val="00D60060"/>
    <w:rsid w:val="00D6057D"/>
    <w:rsid w:val="00D6714E"/>
    <w:rsid w:val="00D67304"/>
    <w:rsid w:val="00D70BF9"/>
    <w:rsid w:val="00D71113"/>
    <w:rsid w:val="00D71640"/>
    <w:rsid w:val="00D72FC7"/>
    <w:rsid w:val="00D741FD"/>
    <w:rsid w:val="00D805AA"/>
    <w:rsid w:val="00D836C5"/>
    <w:rsid w:val="00D84576"/>
    <w:rsid w:val="00D84F40"/>
    <w:rsid w:val="00D940C2"/>
    <w:rsid w:val="00DA0BFD"/>
    <w:rsid w:val="00DA1399"/>
    <w:rsid w:val="00DA1BFB"/>
    <w:rsid w:val="00DA24C6"/>
    <w:rsid w:val="00DA4D7B"/>
    <w:rsid w:val="00DB2B84"/>
    <w:rsid w:val="00DB3034"/>
    <w:rsid w:val="00DB37CE"/>
    <w:rsid w:val="00DB6F3A"/>
    <w:rsid w:val="00DB7800"/>
    <w:rsid w:val="00DC0B5A"/>
    <w:rsid w:val="00DC46E5"/>
    <w:rsid w:val="00DC7ED8"/>
    <w:rsid w:val="00DD09A4"/>
    <w:rsid w:val="00DD271C"/>
    <w:rsid w:val="00DD3CF6"/>
    <w:rsid w:val="00DD53ED"/>
    <w:rsid w:val="00DE264A"/>
    <w:rsid w:val="00DE3730"/>
    <w:rsid w:val="00DE4A04"/>
    <w:rsid w:val="00DE4E2D"/>
    <w:rsid w:val="00DE4EC2"/>
    <w:rsid w:val="00DE6F8C"/>
    <w:rsid w:val="00DE762A"/>
    <w:rsid w:val="00DE7659"/>
    <w:rsid w:val="00DE7CFF"/>
    <w:rsid w:val="00DF0798"/>
    <w:rsid w:val="00DF5072"/>
    <w:rsid w:val="00DF5076"/>
    <w:rsid w:val="00DF724A"/>
    <w:rsid w:val="00E003C4"/>
    <w:rsid w:val="00E014BB"/>
    <w:rsid w:val="00E02D18"/>
    <w:rsid w:val="00E037A8"/>
    <w:rsid w:val="00E03A62"/>
    <w:rsid w:val="00E041E7"/>
    <w:rsid w:val="00E057FE"/>
    <w:rsid w:val="00E079AA"/>
    <w:rsid w:val="00E07EC8"/>
    <w:rsid w:val="00E10886"/>
    <w:rsid w:val="00E10D77"/>
    <w:rsid w:val="00E11EEB"/>
    <w:rsid w:val="00E22AED"/>
    <w:rsid w:val="00E232EC"/>
    <w:rsid w:val="00E23CA1"/>
    <w:rsid w:val="00E24537"/>
    <w:rsid w:val="00E27C76"/>
    <w:rsid w:val="00E34092"/>
    <w:rsid w:val="00E36444"/>
    <w:rsid w:val="00E372A8"/>
    <w:rsid w:val="00E409A8"/>
    <w:rsid w:val="00E42F12"/>
    <w:rsid w:val="00E47310"/>
    <w:rsid w:val="00E47D61"/>
    <w:rsid w:val="00E50C12"/>
    <w:rsid w:val="00E5185F"/>
    <w:rsid w:val="00E51E28"/>
    <w:rsid w:val="00E54F09"/>
    <w:rsid w:val="00E56464"/>
    <w:rsid w:val="00E56DFC"/>
    <w:rsid w:val="00E60162"/>
    <w:rsid w:val="00E6060D"/>
    <w:rsid w:val="00E65B91"/>
    <w:rsid w:val="00E66305"/>
    <w:rsid w:val="00E7209D"/>
    <w:rsid w:val="00E72EAD"/>
    <w:rsid w:val="00E73270"/>
    <w:rsid w:val="00E77223"/>
    <w:rsid w:val="00E77344"/>
    <w:rsid w:val="00E77CF6"/>
    <w:rsid w:val="00E82EC2"/>
    <w:rsid w:val="00E84229"/>
    <w:rsid w:val="00E8528B"/>
    <w:rsid w:val="00E85B7A"/>
    <w:rsid w:val="00E85B94"/>
    <w:rsid w:val="00E90257"/>
    <w:rsid w:val="00E905A0"/>
    <w:rsid w:val="00E909D3"/>
    <w:rsid w:val="00E918BC"/>
    <w:rsid w:val="00E9340B"/>
    <w:rsid w:val="00E960EB"/>
    <w:rsid w:val="00E96F7B"/>
    <w:rsid w:val="00E978D0"/>
    <w:rsid w:val="00EA394E"/>
    <w:rsid w:val="00EA4613"/>
    <w:rsid w:val="00EA7F91"/>
    <w:rsid w:val="00EB1523"/>
    <w:rsid w:val="00EB44E0"/>
    <w:rsid w:val="00EB715E"/>
    <w:rsid w:val="00EC0E49"/>
    <w:rsid w:val="00EC101F"/>
    <w:rsid w:val="00EC1D9F"/>
    <w:rsid w:val="00EC446A"/>
    <w:rsid w:val="00EC6A71"/>
    <w:rsid w:val="00ED130A"/>
    <w:rsid w:val="00ED2660"/>
    <w:rsid w:val="00ED7B9D"/>
    <w:rsid w:val="00EE0131"/>
    <w:rsid w:val="00EE17B0"/>
    <w:rsid w:val="00EE1929"/>
    <w:rsid w:val="00EE385E"/>
    <w:rsid w:val="00EE4220"/>
    <w:rsid w:val="00EE4706"/>
    <w:rsid w:val="00EF06D9"/>
    <w:rsid w:val="00EF0982"/>
    <w:rsid w:val="00EF09BE"/>
    <w:rsid w:val="00EF1EA4"/>
    <w:rsid w:val="00EF23EE"/>
    <w:rsid w:val="00EF2796"/>
    <w:rsid w:val="00EF289A"/>
    <w:rsid w:val="00EF756F"/>
    <w:rsid w:val="00EF7C84"/>
    <w:rsid w:val="00F04DC2"/>
    <w:rsid w:val="00F101C0"/>
    <w:rsid w:val="00F1027C"/>
    <w:rsid w:val="00F10989"/>
    <w:rsid w:val="00F14E61"/>
    <w:rsid w:val="00F16DBD"/>
    <w:rsid w:val="00F178E2"/>
    <w:rsid w:val="00F17982"/>
    <w:rsid w:val="00F25760"/>
    <w:rsid w:val="00F27A03"/>
    <w:rsid w:val="00F3049E"/>
    <w:rsid w:val="00F30C64"/>
    <w:rsid w:val="00F313F9"/>
    <w:rsid w:val="00F32BA2"/>
    <w:rsid w:val="00F32C32"/>
    <w:rsid w:val="00F32CDB"/>
    <w:rsid w:val="00F3348F"/>
    <w:rsid w:val="00F35524"/>
    <w:rsid w:val="00F35FC7"/>
    <w:rsid w:val="00F37280"/>
    <w:rsid w:val="00F40988"/>
    <w:rsid w:val="00F41EE4"/>
    <w:rsid w:val="00F45B42"/>
    <w:rsid w:val="00F47236"/>
    <w:rsid w:val="00F475AF"/>
    <w:rsid w:val="00F50CFE"/>
    <w:rsid w:val="00F5199D"/>
    <w:rsid w:val="00F51C16"/>
    <w:rsid w:val="00F5258C"/>
    <w:rsid w:val="00F55C15"/>
    <w:rsid w:val="00F565FE"/>
    <w:rsid w:val="00F604C2"/>
    <w:rsid w:val="00F611E4"/>
    <w:rsid w:val="00F61DB5"/>
    <w:rsid w:val="00F62E98"/>
    <w:rsid w:val="00F63A70"/>
    <w:rsid w:val="00F63D8C"/>
    <w:rsid w:val="00F65752"/>
    <w:rsid w:val="00F65C18"/>
    <w:rsid w:val="00F67C56"/>
    <w:rsid w:val="00F7534E"/>
    <w:rsid w:val="00F75CB2"/>
    <w:rsid w:val="00F80ADD"/>
    <w:rsid w:val="00F81148"/>
    <w:rsid w:val="00F8129F"/>
    <w:rsid w:val="00F873C0"/>
    <w:rsid w:val="00F90157"/>
    <w:rsid w:val="00F92340"/>
    <w:rsid w:val="00F92D8B"/>
    <w:rsid w:val="00F93EDF"/>
    <w:rsid w:val="00F959DE"/>
    <w:rsid w:val="00FA0804"/>
    <w:rsid w:val="00FA1802"/>
    <w:rsid w:val="00FA1A66"/>
    <w:rsid w:val="00FA21D0"/>
    <w:rsid w:val="00FA5F5F"/>
    <w:rsid w:val="00FB519F"/>
    <w:rsid w:val="00FB6D53"/>
    <w:rsid w:val="00FB730C"/>
    <w:rsid w:val="00FC076E"/>
    <w:rsid w:val="00FC08D0"/>
    <w:rsid w:val="00FC21B2"/>
    <w:rsid w:val="00FC2695"/>
    <w:rsid w:val="00FC3676"/>
    <w:rsid w:val="00FC3E03"/>
    <w:rsid w:val="00FC3FC1"/>
    <w:rsid w:val="00FC5BF9"/>
    <w:rsid w:val="00FD0F2C"/>
    <w:rsid w:val="00FD1E77"/>
    <w:rsid w:val="00FD231B"/>
    <w:rsid w:val="00FD49F4"/>
    <w:rsid w:val="00FD715D"/>
    <w:rsid w:val="00FD75C7"/>
    <w:rsid w:val="00FE1ADF"/>
    <w:rsid w:val="00FE2614"/>
    <w:rsid w:val="00FE4398"/>
    <w:rsid w:val="00FE5247"/>
    <w:rsid w:val="00FE7301"/>
    <w:rsid w:val="00FE76F1"/>
    <w:rsid w:val="00FE7CFA"/>
    <w:rsid w:val="00FF074B"/>
    <w:rsid w:val="00FF1960"/>
    <w:rsid w:val="00FF5307"/>
    <w:rsid w:val="00FF6832"/>
    <w:rsid w:val="00FF7758"/>
    <w:rsid w:val="00FF77D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8776C2"/>
    <w:rPr>
      <w:color w:val="605E5C"/>
      <w:shd w:val="clear" w:color="auto" w:fill="E1DFDD"/>
    </w:rPr>
  </w:style>
  <w:style w:type="character" w:styleId="PlaceholderText">
    <w:name w:val="Placeholder Text"/>
    <w:basedOn w:val="DefaultParagraphFont"/>
    <w:uiPriority w:val="99"/>
    <w:semiHidden/>
    <w:rsid w:val="00AD56ED"/>
    <w:rPr>
      <w:color w:val="666666"/>
    </w:rPr>
  </w:style>
  <w:style w:type="paragraph" w:styleId="Revision">
    <w:name w:val="Revision"/>
    <w:hidden/>
    <w:uiPriority w:val="99"/>
    <w:semiHidden/>
    <w:rsid w:val="00C504B0"/>
    <w:pPr>
      <w:spacing w:after="0" w:line="240" w:lineRule="auto"/>
    </w:pPr>
    <w:rPr>
      <w:rFonts w:ascii="Arial" w:eastAsia="Times New Roman" w:hAnsi="Arial" w:cs="Times New Roman"/>
      <w:sz w:val="18"/>
      <w:szCs w:val="20"/>
      <w:lang w:val="en-GB"/>
    </w:rPr>
  </w:style>
  <w:style w:type="character" w:styleId="FollowedHyperlink">
    <w:name w:val="FollowedHyperlink"/>
    <w:basedOn w:val="DefaultParagraphFont"/>
    <w:uiPriority w:val="99"/>
    <w:semiHidden/>
    <w:unhideWhenUsed/>
    <w:rsid w:val="004B2A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789">
      <w:marLeft w:val="480"/>
      <w:marRight w:val="0"/>
      <w:marTop w:val="0"/>
      <w:marBottom w:val="0"/>
      <w:divBdr>
        <w:top w:val="none" w:sz="0" w:space="0" w:color="auto"/>
        <w:left w:val="none" w:sz="0" w:space="0" w:color="auto"/>
        <w:bottom w:val="none" w:sz="0" w:space="0" w:color="auto"/>
        <w:right w:val="none" w:sz="0" w:space="0" w:color="auto"/>
      </w:divBdr>
    </w:div>
    <w:div w:id="52657709">
      <w:marLeft w:val="480"/>
      <w:marRight w:val="0"/>
      <w:marTop w:val="0"/>
      <w:marBottom w:val="0"/>
      <w:divBdr>
        <w:top w:val="none" w:sz="0" w:space="0" w:color="auto"/>
        <w:left w:val="none" w:sz="0" w:space="0" w:color="auto"/>
        <w:bottom w:val="none" w:sz="0" w:space="0" w:color="auto"/>
        <w:right w:val="none" w:sz="0" w:space="0" w:color="auto"/>
      </w:divBdr>
    </w:div>
    <w:div w:id="67583051">
      <w:marLeft w:val="480"/>
      <w:marRight w:val="0"/>
      <w:marTop w:val="0"/>
      <w:marBottom w:val="0"/>
      <w:divBdr>
        <w:top w:val="none" w:sz="0" w:space="0" w:color="auto"/>
        <w:left w:val="none" w:sz="0" w:space="0" w:color="auto"/>
        <w:bottom w:val="none" w:sz="0" w:space="0" w:color="auto"/>
        <w:right w:val="none" w:sz="0" w:space="0" w:color="auto"/>
      </w:divBdr>
    </w:div>
    <w:div w:id="114184117">
      <w:marLeft w:val="480"/>
      <w:marRight w:val="0"/>
      <w:marTop w:val="0"/>
      <w:marBottom w:val="0"/>
      <w:divBdr>
        <w:top w:val="none" w:sz="0" w:space="0" w:color="auto"/>
        <w:left w:val="none" w:sz="0" w:space="0" w:color="auto"/>
        <w:bottom w:val="none" w:sz="0" w:space="0" w:color="auto"/>
        <w:right w:val="none" w:sz="0" w:space="0" w:color="auto"/>
      </w:divBdr>
    </w:div>
    <w:div w:id="134615041">
      <w:marLeft w:val="480"/>
      <w:marRight w:val="0"/>
      <w:marTop w:val="0"/>
      <w:marBottom w:val="0"/>
      <w:divBdr>
        <w:top w:val="none" w:sz="0" w:space="0" w:color="auto"/>
        <w:left w:val="none" w:sz="0" w:space="0" w:color="auto"/>
        <w:bottom w:val="none" w:sz="0" w:space="0" w:color="auto"/>
        <w:right w:val="none" w:sz="0" w:space="0" w:color="auto"/>
      </w:divBdr>
    </w:div>
    <w:div w:id="153297304">
      <w:marLeft w:val="480"/>
      <w:marRight w:val="0"/>
      <w:marTop w:val="0"/>
      <w:marBottom w:val="0"/>
      <w:divBdr>
        <w:top w:val="none" w:sz="0" w:space="0" w:color="auto"/>
        <w:left w:val="none" w:sz="0" w:space="0" w:color="auto"/>
        <w:bottom w:val="none" w:sz="0" w:space="0" w:color="auto"/>
        <w:right w:val="none" w:sz="0" w:space="0" w:color="auto"/>
      </w:divBdr>
    </w:div>
    <w:div w:id="181936526">
      <w:marLeft w:val="480"/>
      <w:marRight w:val="0"/>
      <w:marTop w:val="0"/>
      <w:marBottom w:val="0"/>
      <w:divBdr>
        <w:top w:val="none" w:sz="0" w:space="0" w:color="auto"/>
        <w:left w:val="none" w:sz="0" w:space="0" w:color="auto"/>
        <w:bottom w:val="none" w:sz="0" w:space="0" w:color="auto"/>
        <w:right w:val="none" w:sz="0" w:space="0" w:color="auto"/>
      </w:divBdr>
    </w:div>
    <w:div w:id="213780001">
      <w:marLeft w:val="480"/>
      <w:marRight w:val="0"/>
      <w:marTop w:val="0"/>
      <w:marBottom w:val="0"/>
      <w:divBdr>
        <w:top w:val="none" w:sz="0" w:space="0" w:color="auto"/>
        <w:left w:val="none" w:sz="0" w:space="0" w:color="auto"/>
        <w:bottom w:val="none" w:sz="0" w:space="0" w:color="auto"/>
        <w:right w:val="none" w:sz="0" w:space="0" w:color="auto"/>
      </w:divBdr>
    </w:div>
    <w:div w:id="254828392">
      <w:marLeft w:val="480"/>
      <w:marRight w:val="0"/>
      <w:marTop w:val="0"/>
      <w:marBottom w:val="0"/>
      <w:divBdr>
        <w:top w:val="none" w:sz="0" w:space="0" w:color="auto"/>
        <w:left w:val="none" w:sz="0" w:space="0" w:color="auto"/>
        <w:bottom w:val="none" w:sz="0" w:space="0" w:color="auto"/>
        <w:right w:val="none" w:sz="0" w:space="0" w:color="auto"/>
      </w:divBdr>
    </w:div>
    <w:div w:id="257257877">
      <w:marLeft w:val="480"/>
      <w:marRight w:val="0"/>
      <w:marTop w:val="0"/>
      <w:marBottom w:val="0"/>
      <w:divBdr>
        <w:top w:val="none" w:sz="0" w:space="0" w:color="auto"/>
        <w:left w:val="none" w:sz="0" w:space="0" w:color="auto"/>
        <w:bottom w:val="none" w:sz="0" w:space="0" w:color="auto"/>
        <w:right w:val="none" w:sz="0" w:space="0" w:color="auto"/>
      </w:divBdr>
    </w:div>
    <w:div w:id="258371223">
      <w:marLeft w:val="480"/>
      <w:marRight w:val="0"/>
      <w:marTop w:val="0"/>
      <w:marBottom w:val="0"/>
      <w:divBdr>
        <w:top w:val="none" w:sz="0" w:space="0" w:color="auto"/>
        <w:left w:val="none" w:sz="0" w:space="0" w:color="auto"/>
        <w:bottom w:val="none" w:sz="0" w:space="0" w:color="auto"/>
        <w:right w:val="none" w:sz="0" w:space="0" w:color="auto"/>
      </w:divBdr>
    </w:div>
    <w:div w:id="284196561">
      <w:marLeft w:val="480"/>
      <w:marRight w:val="0"/>
      <w:marTop w:val="0"/>
      <w:marBottom w:val="0"/>
      <w:divBdr>
        <w:top w:val="none" w:sz="0" w:space="0" w:color="auto"/>
        <w:left w:val="none" w:sz="0" w:space="0" w:color="auto"/>
        <w:bottom w:val="none" w:sz="0" w:space="0" w:color="auto"/>
        <w:right w:val="none" w:sz="0" w:space="0" w:color="auto"/>
      </w:divBdr>
    </w:div>
    <w:div w:id="351996098">
      <w:marLeft w:val="480"/>
      <w:marRight w:val="0"/>
      <w:marTop w:val="0"/>
      <w:marBottom w:val="0"/>
      <w:divBdr>
        <w:top w:val="none" w:sz="0" w:space="0" w:color="auto"/>
        <w:left w:val="none" w:sz="0" w:space="0" w:color="auto"/>
        <w:bottom w:val="none" w:sz="0" w:space="0" w:color="auto"/>
        <w:right w:val="none" w:sz="0" w:space="0" w:color="auto"/>
      </w:divBdr>
    </w:div>
    <w:div w:id="385877801">
      <w:marLeft w:val="480"/>
      <w:marRight w:val="0"/>
      <w:marTop w:val="0"/>
      <w:marBottom w:val="0"/>
      <w:divBdr>
        <w:top w:val="none" w:sz="0" w:space="0" w:color="auto"/>
        <w:left w:val="none" w:sz="0" w:space="0" w:color="auto"/>
        <w:bottom w:val="none" w:sz="0" w:space="0" w:color="auto"/>
        <w:right w:val="none" w:sz="0" w:space="0" w:color="auto"/>
      </w:divBdr>
    </w:div>
    <w:div w:id="408964986">
      <w:marLeft w:val="480"/>
      <w:marRight w:val="0"/>
      <w:marTop w:val="0"/>
      <w:marBottom w:val="0"/>
      <w:divBdr>
        <w:top w:val="none" w:sz="0" w:space="0" w:color="auto"/>
        <w:left w:val="none" w:sz="0" w:space="0" w:color="auto"/>
        <w:bottom w:val="none" w:sz="0" w:space="0" w:color="auto"/>
        <w:right w:val="none" w:sz="0" w:space="0" w:color="auto"/>
      </w:divBdr>
    </w:div>
    <w:div w:id="420565787">
      <w:marLeft w:val="480"/>
      <w:marRight w:val="0"/>
      <w:marTop w:val="0"/>
      <w:marBottom w:val="0"/>
      <w:divBdr>
        <w:top w:val="none" w:sz="0" w:space="0" w:color="auto"/>
        <w:left w:val="none" w:sz="0" w:space="0" w:color="auto"/>
        <w:bottom w:val="none" w:sz="0" w:space="0" w:color="auto"/>
        <w:right w:val="none" w:sz="0" w:space="0" w:color="auto"/>
      </w:divBdr>
    </w:div>
    <w:div w:id="423192653">
      <w:marLeft w:val="480"/>
      <w:marRight w:val="0"/>
      <w:marTop w:val="0"/>
      <w:marBottom w:val="0"/>
      <w:divBdr>
        <w:top w:val="none" w:sz="0" w:space="0" w:color="auto"/>
        <w:left w:val="none" w:sz="0" w:space="0" w:color="auto"/>
        <w:bottom w:val="none" w:sz="0" w:space="0" w:color="auto"/>
        <w:right w:val="none" w:sz="0" w:space="0" w:color="auto"/>
      </w:divBdr>
    </w:div>
    <w:div w:id="461505092">
      <w:marLeft w:val="480"/>
      <w:marRight w:val="0"/>
      <w:marTop w:val="0"/>
      <w:marBottom w:val="0"/>
      <w:divBdr>
        <w:top w:val="none" w:sz="0" w:space="0" w:color="auto"/>
        <w:left w:val="none" w:sz="0" w:space="0" w:color="auto"/>
        <w:bottom w:val="none" w:sz="0" w:space="0" w:color="auto"/>
        <w:right w:val="none" w:sz="0" w:space="0" w:color="auto"/>
      </w:divBdr>
    </w:div>
    <w:div w:id="632101518">
      <w:marLeft w:val="480"/>
      <w:marRight w:val="0"/>
      <w:marTop w:val="0"/>
      <w:marBottom w:val="0"/>
      <w:divBdr>
        <w:top w:val="none" w:sz="0" w:space="0" w:color="auto"/>
        <w:left w:val="none" w:sz="0" w:space="0" w:color="auto"/>
        <w:bottom w:val="none" w:sz="0" w:space="0" w:color="auto"/>
        <w:right w:val="none" w:sz="0" w:space="0" w:color="auto"/>
      </w:divBdr>
    </w:div>
    <w:div w:id="632251110">
      <w:marLeft w:val="480"/>
      <w:marRight w:val="0"/>
      <w:marTop w:val="0"/>
      <w:marBottom w:val="0"/>
      <w:divBdr>
        <w:top w:val="none" w:sz="0" w:space="0" w:color="auto"/>
        <w:left w:val="none" w:sz="0" w:space="0" w:color="auto"/>
        <w:bottom w:val="none" w:sz="0" w:space="0" w:color="auto"/>
        <w:right w:val="none" w:sz="0" w:space="0" w:color="auto"/>
      </w:divBdr>
    </w:div>
    <w:div w:id="641227108">
      <w:marLeft w:val="480"/>
      <w:marRight w:val="0"/>
      <w:marTop w:val="0"/>
      <w:marBottom w:val="0"/>
      <w:divBdr>
        <w:top w:val="none" w:sz="0" w:space="0" w:color="auto"/>
        <w:left w:val="none" w:sz="0" w:space="0" w:color="auto"/>
        <w:bottom w:val="none" w:sz="0" w:space="0" w:color="auto"/>
        <w:right w:val="none" w:sz="0" w:space="0" w:color="auto"/>
      </w:divBdr>
    </w:div>
    <w:div w:id="703791125">
      <w:marLeft w:val="480"/>
      <w:marRight w:val="0"/>
      <w:marTop w:val="0"/>
      <w:marBottom w:val="0"/>
      <w:divBdr>
        <w:top w:val="none" w:sz="0" w:space="0" w:color="auto"/>
        <w:left w:val="none" w:sz="0" w:space="0" w:color="auto"/>
        <w:bottom w:val="none" w:sz="0" w:space="0" w:color="auto"/>
        <w:right w:val="none" w:sz="0" w:space="0" w:color="auto"/>
      </w:divBdr>
    </w:div>
    <w:div w:id="708381630">
      <w:marLeft w:val="480"/>
      <w:marRight w:val="0"/>
      <w:marTop w:val="0"/>
      <w:marBottom w:val="0"/>
      <w:divBdr>
        <w:top w:val="none" w:sz="0" w:space="0" w:color="auto"/>
        <w:left w:val="none" w:sz="0" w:space="0" w:color="auto"/>
        <w:bottom w:val="none" w:sz="0" w:space="0" w:color="auto"/>
        <w:right w:val="none" w:sz="0" w:space="0" w:color="auto"/>
      </w:divBdr>
    </w:div>
    <w:div w:id="728260446">
      <w:marLeft w:val="480"/>
      <w:marRight w:val="0"/>
      <w:marTop w:val="0"/>
      <w:marBottom w:val="0"/>
      <w:divBdr>
        <w:top w:val="none" w:sz="0" w:space="0" w:color="auto"/>
        <w:left w:val="none" w:sz="0" w:space="0" w:color="auto"/>
        <w:bottom w:val="none" w:sz="0" w:space="0" w:color="auto"/>
        <w:right w:val="none" w:sz="0" w:space="0" w:color="auto"/>
      </w:divBdr>
    </w:div>
    <w:div w:id="732779343">
      <w:marLeft w:val="480"/>
      <w:marRight w:val="0"/>
      <w:marTop w:val="0"/>
      <w:marBottom w:val="0"/>
      <w:divBdr>
        <w:top w:val="none" w:sz="0" w:space="0" w:color="auto"/>
        <w:left w:val="none" w:sz="0" w:space="0" w:color="auto"/>
        <w:bottom w:val="none" w:sz="0" w:space="0" w:color="auto"/>
        <w:right w:val="none" w:sz="0" w:space="0" w:color="auto"/>
      </w:divBdr>
    </w:div>
    <w:div w:id="738330097">
      <w:marLeft w:val="480"/>
      <w:marRight w:val="0"/>
      <w:marTop w:val="0"/>
      <w:marBottom w:val="0"/>
      <w:divBdr>
        <w:top w:val="none" w:sz="0" w:space="0" w:color="auto"/>
        <w:left w:val="none" w:sz="0" w:space="0" w:color="auto"/>
        <w:bottom w:val="none" w:sz="0" w:space="0" w:color="auto"/>
        <w:right w:val="none" w:sz="0" w:space="0" w:color="auto"/>
      </w:divBdr>
    </w:div>
    <w:div w:id="740836987">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4477">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848597">
      <w:marLeft w:val="480"/>
      <w:marRight w:val="0"/>
      <w:marTop w:val="0"/>
      <w:marBottom w:val="0"/>
      <w:divBdr>
        <w:top w:val="none" w:sz="0" w:space="0" w:color="auto"/>
        <w:left w:val="none" w:sz="0" w:space="0" w:color="auto"/>
        <w:bottom w:val="none" w:sz="0" w:space="0" w:color="auto"/>
        <w:right w:val="none" w:sz="0" w:space="0" w:color="auto"/>
      </w:divBdr>
    </w:div>
    <w:div w:id="917667000">
      <w:marLeft w:val="480"/>
      <w:marRight w:val="0"/>
      <w:marTop w:val="0"/>
      <w:marBottom w:val="0"/>
      <w:divBdr>
        <w:top w:val="none" w:sz="0" w:space="0" w:color="auto"/>
        <w:left w:val="none" w:sz="0" w:space="0" w:color="auto"/>
        <w:bottom w:val="none" w:sz="0" w:space="0" w:color="auto"/>
        <w:right w:val="none" w:sz="0" w:space="0" w:color="auto"/>
      </w:divBdr>
    </w:div>
    <w:div w:id="926812092">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3386">
      <w:marLeft w:val="480"/>
      <w:marRight w:val="0"/>
      <w:marTop w:val="0"/>
      <w:marBottom w:val="0"/>
      <w:divBdr>
        <w:top w:val="none" w:sz="0" w:space="0" w:color="auto"/>
        <w:left w:val="none" w:sz="0" w:space="0" w:color="auto"/>
        <w:bottom w:val="none" w:sz="0" w:space="0" w:color="auto"/>
        <w:right w:val="none" w:sz="0" w:space="0" w:color="auto"/>
      </w:divBdr>
    </w:div>
    <w:div w:id="1000163007">
      <w:marLeft w:val="480"/>
      <w:marRight w:val="0"/>
      <w:marTop w:val="0"/>
      <w:marBottom w:val="0"/>
      <w:divBdr>
        <w:top w:val="none" w:sz="0" w:space="0" w:color="auto"/>
        <w:left w:val="none" w:sz="0" w:space="0" w:color="auto"/>
        <w:bottom w:val="none" w:sz="0" w:space="0" w:color="auto"/>
        <w:right w:val="none" w:sz="0" w:space="0" w:color="auto"/>
      </w:divBdr>
    </w:div>
    <w:div w:id="1010065450">
      <w:marLeft w:val="480"/>
      <w:marRight w:val="0"/>
      <w:marTop w:val="0"/>
      <w:marBottom w:val="0"/>
      <w:divBdr>
        <w:top w:val="none" w:sz="0" w:space="0" w:color="auto"/>
        <w:left w:val="none" w:sz="0" w:space="0" w:color="auto"/>
        <w:bottom w:val="none" w:sz="0" w:space="0" w:color="auto"/>
        <w:right w:val="none" w:sz="0" w:space="0" w:color="auto"/>
      </w:divBdr>
    </w:div>
    <w:div w:id="1035229654">
      <w:marLeft w:val="480"/>
      <w:marRight w:val="0"/>
      <w:marTop w:val="0"/>
      <w:marBottom w:val="0"/>
      <w:divBdr>
        <w:top w:val="none" w:sz="0" w:space="0" w:color="auto"/>
        <w:left w:val="none" w:sz="0" w:space="0" w:color="auto"/>
        <w:bottom w:val="none" w:sz="0" w:space="0" w:color="auto"/>
        <w:right w:val="none" w:sz="0" w:space="0" w:color="auto"/>
      </w:divBdr>
    </w:div>
    <w:div w:id="1073284903">
      <w:marLeft w:val="480"/>
      <w:marRight w:val="0"/>
      <w:marTop w:val="0"/>
      <w:marBottom w:val="0"/>
      <w:divBdr>
        <w:top w:val="none" w:sz="0" w:space="0" w:color="auto"/>
        <w:left w:val="none" w:sz="0" w:space="0" w:color="auto"/>
        <w:bottom w:val="none" w:sz="0" w:space="0" w:color="auto"/>
        <w:right w:val="none" w:sz="0" w:space="0" w:color="auto"/>
      </w:divBdr>
    </w:div>
    <w:div w:id="1084111629">
      <w:marLeft w:val="480"/>
      <w:marRight w:val="0"/>
      <w:marTop w:val="0"/>
      <w:marBottom w:val="0"/>
      <w:divBdr>
        <w:top w:val="none" w:sz="0" w:space="0" w:color="auto"/>
        <w:left w:val="none" w:sz="0" w:space="0" w:color="auto"/>
        <w:bottom w:val="none" w:sz="0" w:space="0" w:color="auto"/>
        <w:right w:val="none" w:sz="0" w:space="0" w:color="auto"/>
      </w:divBdr>
    </w:div>
    <w:div w:id="1110128121">
      <w:marLeft w:val="480"/>
      <w:marRight w:val="0"/>
      <w:marTop w:val="0"/>
      <w:marBottom w:val="0"/>
      <w:divBdr>
        <w:top w:val="none" w:sz="0" w:space="0" w:color="auto"/>
        <w:left w:val="none" w:sz="0" w:space="0" w:color="auto"/>
        <w:bottom w:val="none" w:sz="0" w:space="0" w:color="auto"/>
        <w:right w:val="none" w:sz="0" w:space="0" w:color="auto"/>
      </w:divBdr>
    </w:div>
    <w:div w:id="1164051296">
      <w:marLeft w:val="480"/>
      <w:marRight w:val="0"/>
      <w:marTop w:val="0"/>
      <w:marBottom w:val="0"/>
      <w:divBdr>
        <w:top w:val="none" w:sz="0" w:space="0" w:color="auto"/>
        <w:left w:val="none" w:sz="0" w:space="0" w:color="auto"/>
        <w:bottom w:val="none" w:sz="0" w:space="0" w:color="auto"/>
        <w:right w:val="none" w:sz="0" w:space="0" w:color="auto"/>
      </w:divBdr>
    </w:div>
    <w:div w:id="1167134273">
      <w:marLeft w:val="480"/>
      <w:marRight w:val="0"/>
      <w:marTop w:val="0"/>
      <w:marBottom w:val="0"/>
      <w:divBdr>
        <w:top w:val="none" w:sz="0" w:space="0" w:color="auto"/>
        <w:left w:val="none" w:sz="0" w:space="0" w:color="auto"/>
        <w:bottom w:val="none" w:sz="0" w:space="0" w:color="auto"/>
        <w:right w:val="none" w:sz="0" w:space="0" w:color="auto"/>
      </w:divBdr>
    </w:div>
    <w:div w:id="1198009967">
      <w:marLeft w:val="480"/>
      <w:marRight w:val="0"/>
      <w:marTop w:val="0"/>
      <w:marBottom w:val="0"/>
      <w:divBdr>
        <w:top w:val="none" w:sz="0" w:space="0" w:color="auto"/>
        <w:left w:val="none" w:sz="0" w:space="0" w:color="auto"/>
        <w:bottom w:val="none" w:sz="0" w:space="0" w:color="auto"/>
        <w:right w:val="none" w:sz="0" w:space="0" w:color="auto"/>
      </w:divBdr>
    </w:div>
    <w:div w:id="1208759644">
      <w:marLeft w:val="480"/>
      <w:marRight w:val="0"/>
      <w:marTop w:val="0"/>
      <w:marBottom w:val="0"/>
      <w:divBdr>
        <w:top w:val="none" w:sz="0" w:space="0" w:color="auto"/>
        <w:left w:val="none" w:sz="0" w:space="0" w:color="auto"/>
        <w:bottom w:val="none" w:sz="0" w:space="0" w:color="auto"/>
        <w:right w:val="none" w:sz="0" w:space="0" w:color="auto"/>
      </w:divBdr>
    </w:div>
    <w:div w:id="1236090309">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45668876">
      <w:marLeft w:val="480"/>
      <w:marRight w:val="0"/>
      <w:marTop w:val="0"/>
      <w:marBottom w:val="0"/>
      <w:divBdr>
        <w:top w:val="none" w:sz="0" w:space="0" w:color="auto"/>
        <w:left w:val="none" w:sz="0" w:space="0" w:color="auto"/>
        <w:bottom w:val="none" w:sz="0" w:space="0" w:color="auto"/>
        <w:right w:val="none" w:sz="0" w:space="0" w:color="auto"/>
      </w:divBdr>
    </w:div>
    <w:div w:id="1395280662">
      <w:marLeft w:val="480"/>
      <w:marRight w:val="0"/>
      <w:marTop w:val="0"/>
      <w:marBottom w:val="0"/>
      <w:divBdr>
        <w:top w:val="none" w:sz="0" w:space="0" w:color="auto"/>
        <w:left w:val="none" w:sz="0" w:space="0" w:color="auto"/>
        <w:bottom w:val="none" w:sz="0" w:space="0" w:color="auto"/>
        <w:right w:val="none" w:sz="0" w:space="0" w:color="auto"/>
      </w:divBdr>
    </w:div>
    <w:div w:id="1414353453">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36091913">
      <w:marLeft w:val="480"/>
      <w:marRight w:val="0"/>
      <w:marTop w:val="0"/>
      <w:marBottom w:val="0"/>
      <w:divBdr>
        <w:top w:val="none" w:sz="0" w:space="0" w:color="auto"/>
        <w:left w:val="none" w:sz="0" w:space="0" w:color="auto"/>
        <w:bottom w:val="none" w:sz="0" w:space="0" w:color="auto"/>
        <w:right w:val="none" w:sz="0" w:space="0" w:color="auto"/>
      </w:divBdr>
    </w:div>
    <w:div w:id="1479374728">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2715574">
      <w:bodyDiv w:val="1"/>
      <w:marLeft w:val="0"/>
      <w:marRight w:val="0"/>
      <w:marTop w:val="0"/>
      <w:marBottom w:val="0"/>
      <w:divBdr>
        <w:top w:val="none" w:sz="0" w:space="0" w:color="auto"/>
        <w:left w:val="none" w:sz="0" w:space="0" w:color="auto"/>
        <w:bottom w:val="none" w:sz="0" w:space="0" w:color="auto"/>
        <w:right w:val="none" w:sz="0" w:space="0" w:color="auto"/>
      </w:divBdr>
      <w:divsChild>
        <w:div w:id="131794898">
          <w:marLeft w:val="480"/>
          <w:marRight w:val="0"/>
          <w:marTop w:val="0"/>
          <w:marBottom w:val="0"/>
          <w:divBdr>
            <w:top w:val="none" w:sz="0" w:space="0" w:color="auto"/>
            <w:left w:val="none" w:sz="0" w:space="0" w:color="auto"/>
            <w:bottom w:val="none" w:sz="0" w:space="0" w:color="auto"/>
            <w:right w:val="none" w:sz="0" w:space="0" w:color="auto"/>
          </w:divBdr>
        </w:div>
        <w:div w:id="454759101">
          <w:marLeft w:val="480"/>
          <w:marRight w:val="0"/>
          <w:marTop w:val="0"/>
          <w:marBottom w:val="0"/>
          <w:divBdr>
            <w:top w:val="none" w:sz="0" w:space="0" w:color="auto"/>
            <w:left w:val="none" w:sz="0" w:space="0" w:color="auto"/>
            <w:bottom w:val="none" w:sz="0" w:space="0" w:color="auto"/>
            <w:right w:val="none" w:sz="0" w:space="0" w:color="auto"/>
          </w:divBdr>
        </w:div>
        <w:div w:id="1646542236">
          <w:marLeft w:val="480"/>
          <w:marRight w:val="0"/>
          <w:marTop w:val="0"/>
          <w:marBottom w:val="0"/>
          <w:divBdr>
            <w:top w:val="none" w:sz="0" w:space="0" w:color="auto"/>
            <w:left w:val="none" w:sz="0" w:space="0" w:color="auto"/>
            <w:bottom w:val="none" w:sz="0" w:space="0" w:color="auto"/>
            <w:right w:val="none" w:sz="0" w:space="0" w:color="auto"/>
          </w:divBdr>
        </w:div>
        <w:div w:id="431240123">
          <w:marLeft w:val="480"/>
          <w:marRight w:val="0"/>
          <w:marTop w:val="0"/>
          <w:marBottom w:val="0"/>
          <w:divBdr>
            <w:top w:val="none" w:sz="0" w:space="0" w:color="auto"/>
            <w:left w:val="none" w:sz="0" w:space="0" w:color="auto"/>
            <w:bottom w:val="none" w:sz="0" w:space="0" w:color="auto"/>
            <w:right w:val="none" w:sz="0" w:space="0" w:color="auto"/>
          </w:divBdr>
        </w:div>
        <w:div w:id="466631808">
          <w:marLeft w:val="480"/>
          <w:marRight w:val="0"/>
          <w:marTop w:val="0"/>
          <w:marBottom w:val="0"/>
          <w:divBdr>
            <w:top w:val="none" w:sz="0" w:space="0" w:color="auto"/>
            <w:left w:val="none" w:sz="0" w:space="0" w:color="auto"/>
            <w:bottom w:val="none" w:sz="0" w:space="0" w:color="auto"/>
            <w:right w:val="none" w:sz="0" w:space="0" w:color="auto"/>
          </w:divBdr>
        </w:div>
        <w:div w:id="564069680">
          <w:marLeft w:val="480"/>
          <w:marRight w:val="0"/>
          <w:marTop w:val="0"/>
          <w:marBottom w:val="0"/>
          <w:divBdr>
            <w:top w:val="none" w:sz="0" w:space="0" w:color="auto"/>
            <w:left w:val="none" w:sz="0" w:space="0" w:color="auto"/>
            <w:bottom w:val="none" w:sz="0" w:space="0" w:color="auto"/>
            <w:right w:val="none" w:sz="0" w:space="0" w:color="auto"/>
          </w:divBdr>
        </w:div>
        <w:div w:id="2092389042">
          <w:marLeft w:val="480"/>
          <w:marRight w:val="0"/>
          <w:marTop w:val="0"/>
          <w:marBottom w:val="0"/>
          <w:divBdr>
            <w:top w:val="none" w:sz="0" w:space="0" w:color="auto"/>
            <w:left w:val="none" w:sz="0" w:space="0" w:color="auto"/>
            <w:bottom w:val="none" w:sz="0" w:space="0" w:color="auto"/>
            <w:right w:val="none" w:sz="0" w:space="0" w:color="auto"/>
          </w:divBdr>
        </w:div>
        <w:div w:id="697313857">
          <w:marLeft w:val="480"/>
          <w:marRight w:val="0"/>
          <w:marTop w:val="0"/>
          <w:marBottom w:val="0"/>
          <w:divBdr>
            <w:top w:val="none" w:sz="0" w:space="0" w:color="auto"/>
            <w:left w:val="none" w:sz="0" w:space="0" w:color="auto"/>
            <w:bottom w:val="none" w:sz="0" w:space="0" w:color="auto"/>
            <w:right w:val="none" w:sz="0" w:space="0" w:color="auto"/>
          </w:divBdr>
        </w:div>
        <w:div w:id="400099769">
          <w:marLeft w:val="480"/>
          <w:marRight w:val="0"/>
          <w:marTop w:val="0"/>
          <w:marBottom w:val="0"/>
          <w:divBdr>
            <w:top w:val="none" w:sz="0" w:space="0" w:color="auto"/>
            <w:left w:val="none" w:sz="0" w:space="0" w:color="auto"/>
            <w:bottom w:val="none" w:sz="0" w:space="0" w:color="auto"/>
            <w:right w:val="none" w:sz="0" w:space="0" w:color="auto"/>
          </w:divBdr>
        </w:div>
        <w:div w:id="190657119">
          <w:marLeft w:val="480"/>
          <w:marRight w:val="0"/>
          <w:marTop w:val="0"/>
          <w:marBottom w:val="0"/>
          <w:divBdr>
            <w:top w:val="none" w:sz="0" w:space="0" w:color="auto"/>
            <w:left w:val="none" w:sz="0" w:space="0" w:color="auto"/>
            <w:bottom w:val="none" w:sz="0" w:space="0" w:color="auto"/>
            <w:right w:val="none" w:sz="0" w:space="0" w:color="auto"/>
          </w:divBdr>
        </w:div>
        <w:div w:id="125660583">
          <w:marLeft w:val="480"/>
          <w:marRight w:val="0"/>
          <w:marTop w:val="0"/>
          <w:marBottom w:val="0"/>
          <w:divBdr>
            <w:top w:val="none" w:sz="0" w:space="0" w:color="auto"/>
            <w:left w:val="none" w:sz="0" w:space="0" w:color="auto"/>
            <w:bottom w:val="none" w:sz="0" w:space="0" w:color="auto"/>
            <w:right w:val="none" w:sz="0" w:space="0" w:color="auto"/>
          </w:divBdr>
        </w:div>
        <w:div w:id="1293636312">
          <w:marLeft w:val="480"/>
          <w:marRight w:val="0"/>
          <w:marTop w:val="0"/>
          <w:marBottom w:val="0"/>
          <w:divBdr>
            <w:top w:val="none" w:sz="0" w:space="0" w:color="auto"/>
            <w:left w:val="none" w:sz="0" w:space="0" w:color="auto"/>
            <w:bottom w:val="none" w:sz="0" w:space="0" w:color="auto"/>
            <w:right w:val="none" w:sz="0" w:space="0" w:color="auto"/>
          </w:divBdr>
        </w:div>
      </w:divsChild>
    </w:div>
    <w:div w:id="1496259183">
      <w:marLeft w:val="480"/>
      <w:marRight w:val="0"/>
      <w:marTop w:val="0"/>
      <w:marBottom w:val="0"/>
      <w:divBdr>
        <w:top w:val="none" w:sz="0" w:space="0" w:color="auto"/>
        <w:left w:val="none" w:sz="0" w:space="0" w:color="auto"/>
        <w:bottom w:val="none" w:sz="0" w:space="0" w:color="auto"/>
        <w:right w:val="none" w:sz="0" w:space="0" w:color="auto"/>
      </w:divBdr>
    </w:div>
    <w:div w:id="1515074610">
      <w:marLeft w:val="480"/>
      <w:marRight w:val="0"/>
      <w:marTop w:val="0"/>
      <w:marBottom w:val="0"/>
      <w:divBdr>
        <w:top w:val="none" w:sz="0" w:space="0" w:color="auto"/>
        <w:left w:val="none" w:sz="0" w:space="0" w:color="auto"/>
        <w:bottom w:val="none" w:sz="0" w:space="0" w:color="auto"/>
        <w:right w:val="none" w:sz="0" w:space="0" w:color="auto"/>
      </w:divBdr>
    </w:div>
    <w:div w:id="1528836686">
      <w:marLeft w:val="480"/>
      <w:marRight w:val="0"/>
      <w:marTop w:val="0"/>
      <w:marBottom w:val="0"/>
      <w:divBdr>
        <w:top w:val="none" w:sz="0" w:space="0" w:color="auto"/>
        <w:left w:val="none" w:sz="0" w:space="0" w:color="auto"/>
        <w:bottom w:val="none" w:sz="0" w:space="0" w:color="auto"/>
        <w:right w:val="none" w:sz="0" w:space="0" w:color="auto"/>
      </w:divBdr>
    </w:div>
    <w:div w:id="1553805255">
      <w:marLeft w:val="480"/>
      <w:marRight w:val="0"/>
      <w:marTop w:val="0"/>
      <w:marBottom w:val="0"/>
      <w:divBdr>
        <w:top w:val="none" w:sz="0" w:space="0" w:color="auto"/>
        <w:left w:val="none" w:sz="0" w:space="0" w:color="auto"/>
        <w:bottom w:val="none" w:sz="0" w:space="0" w:color="auto"/>
        <w:right w:val="none" w:sz="0" w:space="0" w:color="auto"/>
      </w:divBdr>
    </w:div>
    <w:div w:id="1565795777">
      <w:marLeft w:val="480"/>
      <w:marRight w:val="0"/>
      <w:marTop w:val="0"/>
      <w:marBottom w:val="0"/>
      <w:divBdr>
        <w:top w:val="none" w:sz="0" w:space="0" w:color="auto"/>
        <w:left w:val="none" w:sz="0" w:space="0" w:color="auto"/>
        <w:bottom w:val="none" w:sz="0" w:space="0" w:color="auto"/>
        <w:right w:val="none" w:sz="0" w:space="0" w:color="auto"/>
      </w:divBdr>
    </w:div>
    <w:div w:id="1567106936">
      <w:marLeft w:val="480"/>
      <w:marRight w:val="0"/>
      <w:marTop w:val="0"/>
      <w:marBottom w:val="0"/>
      <w:divBdr>
        <w:top w:val="none" w:sz="0" w:space="0" w:color="auto"/>
        <w:left w:val="none" w:sz="0" w:space="0" w:color="auto"/>
        <w:bottom w:val="none" w:sz="0" w:space="0" w:color="auto"/>
        <w:right w:val="none" w:sz="0" w:space="0" w:color="auto"/>
      </w:divBdr>
    </w:div>
    <w:div w:id="1568952744">
      <w:marLeft w:val="480"/>
      <w:marRight w:val="0"/>
      <w:marTop w:val="0"/>
      <w:marBottom w:val="0"/>
      <w:divBdr>
        <w:top w:val="none" w:sz="0" w:space="0" w:color="auto"/>
        <w:left w:val="none" w:sz="0" w:space="0" w:color="auto"/>
        <w:bottom w:val="none" w:sz="0" w:space="0" w:color="auto"/>
        <w:right w:val="none" w:sz="0" w:space="0" w:color="auto"/>
      </w:divBdr>
    </w:div>
    <w:div w:id="1581986398">
      <w:marLeft w:val="480"/>
      <w:marRight w:val="0"/>
      <w:marTop w:val="0"/>
      <w:marBottom w:val="0"/>
      <w:divBdr>
        <w:top w:val="none" w:sz="0" w:space="0" w:color="auto"/>
        <w:left w:val="none" w:sz="0" w:space="0" w:color="auto"/>
        <w:bottom w:val="none" w:sz="0" w:space="0" w:color="auto"/>
        <w:right w:val="none" w:sz="0" w:space="0" w:color="auto"/>
      </w:divBdr>
    </w:div>
    <w:div w:id="1585070683">
      <w:marLeft w:val="480"/>
      <w:marRight w:val="0"/>
      <w:marTop w:val="0"/>
      <w:marBottom w:val="0"/>
      <w:divBdr>
        <w:top w:val="none" w:sz="0" w:space="0" w:color="auto"/>
        <w:left w:val="none" w:sz="0" w:space="0" w:color="auto"/>
        <w:bottom w:val="none" w:sz="0" w:space="0" w:color="auto"/>
        <w:right w:val="none" w:sz="0" w:space="0" w:color="auto"/>
      </w:divBdr>
    </w:div>
    <w:div w:id="1606841790">
      <w:marLeft w:val="480"/>
      <w:marRight w:val="0"/>
      <w:marTop w:val="0"/>
      <w:marBottom w:val="0"/>
      <w:divBdr>
        <w:top w:val="none" w:sz="0" w:space="0" w:color="auto"/>
        <w:left w:val="none" w:sz="0" w:space="0" w:color="auto"/>
        <w:bottom w:val="none" w:sz="0" w:space="0" w:color="auto"/>
        <w:right w:val="none" w:sz="0" w:space="0" w:color="auto"/>
      </w:divBdr>
    </w:div>
    <w:div w:id="1640458522">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780">
      <w:marLeft w:val="480"/>
      <w:marRight w:val="0"/>
      <w:marTop w:val="0"/>
      <w:marBottom w:val="0"/>
      <w:divBdr>
        <w:top w:val="none" w:sz="0" w:space="0" w:color="auto"/>
        <w:left w:val="none" w:sz="0" w:space="0" w:color="auto"/>
        <w:bottom w:val="none" w:sz="0" w:space="0" w:color="auto"/>
        <w:right w:val="none" w:sz="0" w:space="0" w:color="auto"/>
      </w:divBdr>
    </w:div>
    <w:div w:id="1728186208">
      <w:marLeft w:val="480"/>
      <w:marRight w:val="0"/>
      <w:marTop w:val="0"/>
      <w:marBottom w:val="0"/>
      <w:divBdr>
        <w:top w:val="none" w:sz="0" w:space="0" w:color="auto"/>
        <w:left w:val="none" w:sz="0" w:space="0" w:color="auto"/>
        <w:bottom w:val="none" w:sz="0" w:space="0" w:color="auto"/>
        <w:right w:val="none" w:sz="0" w:space="0" w:color="auto"/>
      </w:divBdr>
    </w:div>
    <w:div w:id="1733697052">
      <w:marLeft w:val="480"/>
      <w:marRight w:val="0"/>
      <w:marTop w:val="0"/>
      <w:marBottom w:val="0"/>
      <w:divBdr>
        <w:top w:val="none" w:sz="0" w:space="0" w:color="auto"/>
        <w:left w:val="none" w:sz="0" w:space="0" w:color="auto"/>
        <w:bottom w:val="none" w:sz="0" w:space="0" w:color="auto"/>
        <w:right w:val="none" w:sz="0" w:space="0" w:color="auto"/>
      </w:divBdr>
    </w:div>
    <w:div w:id="1755667679">
      <w:marLeft w:val="480"/>
      <w:marRight w:val="0"/>
      <w:marTop w:val="0"/>
      <w:marBottom w:val="0"/>
      <w:divBdr>
        <w:top w:val="none" w:sz="0" w:space="0" w:color="auto"/>
        <w:left w:val="none" w:sz="0" w:space="0" w:color="auto"/>
        <w:bottom w:val="none" w:sz="0" w:space="0" w:color="auto"/>
        <w:right w:val="none" w:sz="0" w:space="0" w:color="auto"/>
      </w:divBdr>
    </w:div>
    <w:div w:id="1841962529">
      <w:marLeft w:val="480"/>
      <w:marRight w:val="0"/>
      <w:marTop w:val="0"/>
      <w:marBottom w:val="0"/>
      <w:divBdr>
        <w:top w:val="none" w:sz="0" w:space="0" w:color="auto"/>
        <w:left w:val="none" w:sz="0" w:space="0" w:color="auto"/>
        <w:bottom w:val="none" w:sz="0" w:space="0" w:color="auto"/>
        <w:right w:val="none" w:sz="0" w:space="0" w:color="auto"/>
      </w:divBdr>
    </w:div>
    <w:div w:id="1849902526">
      <w:marLeft w:val="480"/>
      <w:marRight w:val="0"/>
      <w:marTop w:val="0"/>
      <w:marBottom w:val="0"/>
      <w:divBdr>
        <w:top w:val="none" w:sz="0" w:space="0" w:color="auto"/>
        <w:left w:val="none" w:sz="0" w:space="0" w:color="auto"/>
        <w:bottom w:val="none" w:sz="0" w:space="0" w:color="auto"/>
        <w:right w:val="none" w:sz="0" w:space="0" w:color="auto"/>
      </w:divBdr>
    </w:div>
    <w:div w:id="1933397077">
      <w:marLeft w:val="480"/>
      <w:marRight w:val="0"/>
      <w:marTop w:val="0"/>
      <w:marBottom w:val="0"/>
      <w:divBdr>
        <w:top w:val="none" w:sz="0" w:space="0" w:color="auto"/>
        <w:left w:val="none" w:sz="0" w:space="0" w:color="auto"/>
        <w:bottom w:val="none" w:sz="0" w:space="0" w:color="auto"/>
        <w:right w:val="none" w:sz="0" w:space="0" w:color="auto"/>
      </w:divBdr>
    </w:div>
    <w:div w:id="1937665535">
      <w:marLeft w:val="480"/>
      <w:marRight w:val="0"/>
      <w:marTop w:val="0"/>
      <w:marBottom w:val="0"/>
      <w:divBdr>
        <w:top w:val="none" w:sz="0" w:space="0" w:color="auto"/>
        <w:left w:val="none" w:sz="0" w:space="0" w:color="auto"/>
        <w:bottom w:val="none" w:sz="0" w:space="0" w:color="auto"/>
        <w:right w:val="none" w:sz="0" w:space="0" w:color="auto"/>
      </w:divBdr>
    </w:div>
    <w:div w:id="1979526013">
      <w:marLeft w:val="480"/>
      <w:marRight w:val="0"/>
      <w:marTop w:val="0"/>
      <w:marBottom w:val="0"/>
      <w:divBdr>
        <w:top w:val="none" w:sz="0" w:space="0" w:color="auto"/>
        <w:left w:val="none" w:sz="0" w:space="0" w:color="auto"/>
        <w:bottom w:val="none" w:sz="0" w:space="0" w:color="auto"/>
        <w:right w:val="none" w:sz="0" w:space="0" w:color="auto"/>
      </w:divBdr>
    </w:div>
    <w:div w:id="1988512017">
      <w:bodyDiv w:val="1"/>
      <w:marLeft w:val="0"/>
      <w:marRight w:val="0"/>
      <w:marTop w:val="0"/>
      <w:marBottom w:val="0"/>
      <w:divBdr>
        <w:top w:val="none" w:sz="0" w:space="0" w:color="auto"/>
        <w:left w:val="none" w:sz="0" w:space="0" w:color="auto"/>
        <w:bottom w:val="none" w:sz="0" w:space="0" w:color="auto"/>
        <w:right w:val="none" w:sz="0" w:space="0" w:color="auto"/>
      </w:divBdr>
    </w:div>
    <w:div w:id="2033723992">
      <w:marLeft w:val="480"/>
      <w:marRight w:val="0"/>
      <w:marTop w:val="0"/>
      <w:marBottom w:val="0"/>
      <w:divBdr>
        <w:top w:val="none" w:sz="0" w:space="0" w:color="auto"/>
        <w:left w:val="none" w:sz="0" w:space="0" w:color="auto"/>
        <w:bottom w:val="none" w:sz="0" w:space="0" w:color="auto"/>
        <w:right w:val="none" w:sz="0" w:space="0" w:color="auto"/>
      </w:divBdr>
    </w:div>
    <w:div w:id="2057387983">
      <w:marLeft w:val="480"/>
      <w:marRight w:val="0"/>
      <w:marTop w:val="0"/>
      <w:marBottom w:val="0"/>
      <w:divBdr>
        <w:top w:val="none" w:sz="0" w:space="0" w:color="auto"/>
        <w:left w:val="none" w:sz="0" w:space="0" w:color="auto"/>
        <w:bottom w:val="none" w:sz="0" w:space="0" w:color="auto"/>
        <w:right w:val="none" w:sz="0" w:space="0" w:color="auto"/>
      </w:divBdr>
    </w:div>
    <w:div w:id="2074691929">
      <w:marLeft w:val="480"/>
      <w:marRight w:val="0"/>
      <w:marTop w:val="0"/>
      <w:marBottom w:val="0"/>
      <w:divBdr>
        <w:top w:val="none" w:sz="0" w:space="0" w:color="auto"/>
        <w:left w:val="none" w:sz="0" w:space="0" w:color="auto"/>
        <w:bottom w:val="none" w:sz="0" w:space="0" w:color="auto"/>
        <w:right w:val="none" w:sz="0" w:space="0" w:color="auto"/>
      </w:divBdr>
    </w:div>
    <w:div w:id="2087603569">
      <w:bodyDiv w:val="1"/>
      <w:marLeft w:val="0"/>
      <w:marRight w:val="0"/>
      <w:marTop w:val="0"/>
      <w:marBottom w:val="0"/>
      <w:divBdr>
        <w:top w:val="none" w:sz="0" w:space="0" w:color="auto"/>
        <w:left w:val="none" w:sz="0" w:space="0" w:color="auto"/>
        <w:bottom w:val="none" w:sz="0" w:space="0" w:color="auto"/>
        <w:right w:val="none" w:sz="0" w:space="0" w:color="auto"/>
      </w:divBdr>
      <w:divsChild>
        <w:div w:id="1219903126">
          <w:marLeft w:val="480"/>
          <w:marRight w:val="0"/>
          <w:marTop w:val="0"/>
          <w:marBottom w:val="0"/>
          <w:divBdr>
            <w:top w:val="none" w:sz="0" w:space="0" w:color="auto"/>
            <w:left w:val="none" w:sz="0" w:space="0" w:color="auto"/>
            <w:bottom w:val="none" w:sz="0" w:space="0" w:color="auto"/>
            <w:right w:val="none" w:sz="0" w:space="0" w:color="auto"/>
          </w:divBdr>
        </w:div>
        <w:div w:id="263466784">
          <w:marLeft w:val="480"/>
          <w:marRight w:val="0"/>
          <w:marTop w:val="0"/>
          <w:marBottom w:val="0"/>
          <w:divBdr>
            <w:top w:val="none" w:sz="0" w:space="0" w:color="auto"/>
            <w:left w:val="none" w:sz="0" w:space="0" w:color="auto"/>
            <w:bottom w:val="none" w:sz="0" w:space="0" w:color="auto"/>
            <w:right w:val="none" w:sz="0" w:space="0" w:color="auto"/>
          </w:divBdr>
        </w:div>
        <w:div w:id="99374416">
          <w:marLeft w:val="480"/>
          <w:marRight w:val="0"/>
          <w:marTop w:val="0"/>
          <w:marBottom w:val="0"/>
          <w:divBdr>
            <w:top w:val="none" w:sz="0" w:space="0" w:color="auto"/>
            <w:left w:val="none" w:sz="0" w:space="0" w:color="auto"/>
            <w:bottom w:val="none" w:sz="0" w:space="0" w:color="auto"/>
            <w:right w:val="none" w:sz="0" w:space="0" w:color="auto"/>
          </w:divBdr>
        </w:div>
        <w:div w:id="1934632336">
          <w:marLeft w:val="480"/>
          <w:marRight w:val="0"/>
          <w:marTop w:val="0"/>
          <w:marBottom w:val="0"/>
          <w:divBdr>
            <w:top w:val="none" w:sz="0" w:space="0" w:color="auto"/>
            <w:left w:val="none" w:sz="0" w:space="0" w:color="auto"/>
            <w:bottom w:val="none" w:sz="0" w:space="0" w:color="auto"/>
            <w:right w:val="none" w:sz="0" w:space="0" w:color="auto"/>
          </w:divBdr>
        </w:div>
        <w:div w:id="572810982">
          <w:marLeft w:val="480"/>
          <w:marRight w:val="0"/>
          <w:marTop w:val="0"/>
          <w:marBottom w:val="0"/>
          <w:divBdr>
            <w:top w:val="none" w:sz="0" w:space="0" w:color="auto"/>
            <w:left w:val="none" w:sz="0" w:space="0" w:color="auto"/>
            <w:bottom w:val="none" w:sz="0" w:space="0" w:color="auto"/>
            <w:right w:val="none" w:sz="0" w:space="0" w:color="auto"/>
          </w:divBdr>
        </w:div>
        <w:div w:id="1004238779">
          <w:marLeft w:val="480"/>
          <w:marRight w:val="0"/>
          <w:marTop w:val="0"/>
          <w:marBottom w:val="0"/>
          <w:divBdr>
            <w:top w:val="none" w:sz="0" w:space="0" w:color="auto"/>
            <w:left w:val="none" w:sz="0" w:space="0" w:color="auto"/>
            <w:bottom w:val="none" w:sz="0" w:space="0" w:color="auto"/>
            <w:right w:val="none" w:sz="0" w:space="0" w:color="auto"/>
          </w:divBdr>
        </w:div>
        <w:div w:id="1899900828">
          <w:marLeft w:val="480"/>
          <w:marRight w:val="0"/>
          <w:marTop w:val="0"/>
          <w:marBottom w:val="0"/>
          <w:divBdr>
            <w:top w:val="none" w:sz="0" w:space="0" w:color="auto"/>
            <w:left w:val="none" w:sz="0" w:space="0" w:color="auto"/>
            <w:bottom w:val="none" w:sz="0" w:space="0" w:color="auto"/>
            <w:right w:val="none" w:sz="0" w:space="0" w:color="auto"/>
          </w:divBdr>
        </w:div>
        <w:div w:id="2073043800">
          <w:marLeft w:val="480"/>
          <w:marRight w:val="0"/>
          <w:marTop w:val="0"/>
          <w:marBottom w:val="0"/>
          <w:divBdr>
            <w:top w:val="none" w:sz="0" w:space="0" w:color="auto"/>
            <w:left w:val="none" w:sz="0" w:space="0" w:color="auto"/>
            <w:bottom w:val="none" w:sz="0" w:space="0" w:color="auto"/>
            <w:right w:val="none" w:sz="0" w:space="0" w:color="auto"/>
          </w:divBdr>
        </w:div>
        <w:div w:id="44450591">
          <w:marLeft w:val="480"/>
          <w:marRight w:val="0"/>
          <w:marTop w:val="0"/>
          <w:marBottom w:val="0"/>
          <w:divBdr>
            <w:top w:val="none" w:sz="0" w:space="0" w:color="auto"/>
            <w:left w:val="none" w:sz="0" w:space="0" w:color="auto"/>
            <w:bottom w:val="none" w:sz="0" w:space="0" w:color="auto"/>
            <w:right w:val="none" w:sz="0" w:space="0" w:color="auto"/>
          </w:divBdr>
        </w:div>
        <w:div w:id="460806135">
          <w:marLeft w:val="480"/>
          <w:marRight w:val="0"/>
          <w:marTop w:val="0"/>
          <w:marBottom w:val="0"/>
          <w:divBdr>
            <w:top w:val="none" w:sz="0" w:space="0" w:color="auto"/>
            <w:left w:val="none" w:sz="0" w:space="0" w:color="auto"/>
            <w:bottom w:val="none" w:sz="0" w:space="0" w:color="auto"/>
            <w:right w:val="none" w:sz="0" w:space="0" w:color="auto"/>
          </w:divBdr>
        </w:div>
        <w:div w:id="1361394111">
          <w:marLeft w:val="48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CE0DDF5E-E78A-448C-B072-F74B44515CCA}"/>
      </w:docPartPr>
      <w:docPartBody>
        <w:p w:rsidR="00DD7F39" w:rsidRDefault="008E6A2D">
          <w:r w:rsidRPr="00395AFD">
            <w:rPr>
              <w:rStyle w:val="PlaceholderText"/>
            </w:rPr>
            <w:t>Fare clic o toccare qui per immettere il testo.</w:t>
          </w:r>
        </w:p>
      </w:docPartBody>
    </w:docPart>
    <w:docPart>
      <w:docPartPr>
        <w:name w:val="1AF4E3D4E35D4BADB238DA77F6B33053"/>
        <w:category>
          <w:name w:val="Generale"/>
          <w:gallery w:val="placeholder"/>
        </w:category>
        <w:types>
          <w:type w:val="bbPlcHdr"/>
        </w:types>
        <w:behaviors>
          <w:behavior w:val="content"/>
        </w:behaviors>
        <w:guid w:val="{D94B83B1-3ED7-480D-8A24-F34DB6043CE2}"/>
      </w:docPartPr>
      <w:docPartBody>
        <w:p w:rsidR="007C1053" w:rsidRDefault="00DD7F39" w:rsidP="00DD7F39">
          <w:pPr>
            <w:pStyle w:val="1AF4E3D4E35D4BADB238DA77F6B33053"/>
          </w:pPr>
          <w:r w:rsidRPr="00395AFD">
            <w:rPr>
              <w:rStyle w:val="PlaceholderText"/>
            </w:rPr>
            <w:t>Fare clic o toccare qui per immettere il testo.</w:t>
          </w:r>
        </w:p>
      </w:docPartBody>
    </w:docPart>
    <w:docPart>
      <w:docPartPr>
        <w:name w:val="4F9F57AA15134A6FA691F6596388FD10"/>
        <w:category>
          <w:name w:val="Generale"/>
          <w:gallery w:val="placeholder"/>
        </w:category>
        <w:types>
          <w:type w:val="bbPlcHdr"/>
        </w:types>
        <w:behaviors>
          <w:behavior w:val="content"/>
        </w:behaviors>
        <w:guid w:val="{2DA56867-2738-4337-88BE-A8B42180EEB1}"/>
      </w:docPartPr>
      <w:docPartBody>
        <w:p w:rsidR="007C1053" w:rsidRDefault="00DD7F39" w:rsidP="00DD7F39">
          <w:pPr>
            <w:pStyle w:val="4F9F57AA15134A6FA691F6596388FD10"/>
          </w:pPr>
          <w:r w:rsidRPr="00395AFD">
            <w:rPr>
              <w:rStyle w:val="PlaceholderText"/>
            </w:rPr>
            <w:t>Fare clic o toccare qui per immettere il testo.</w:t>
          </w:r>
        </w:p>
      </w:docPartBody>
    </w:docPart>
    <w:docPart>
      <w:docPartPr>
        <w:name w:val="23127477D2CD46ECBFD09DCD750B20A5"/>
        <w:category>
          <w:name w:val="Generale"/>
          <w:gallery w:val="placeholder"/>
        </w:category>
        <w:types>
          <w:type w:val="bbPlcHdr"/>
        </w:types>
        <w:behaviors>
          <w:behavior w:val="content"/>
        </w:behaviors>
        <w:guid w:val="{E6286026-FE1C-48D1-952E-9CDB0B3FCD5B}"/>
      </w:docPartPr>
      <w:docPartBody>
        <w:p w:rsidR="007C1053" w:rsidRDefault="00DD7F39" w:rsidP="00DD7F39">
          <w:pPr>
            <w:pStyle w:val="23127477D2CD46ECBFD09DCD750B20A5"/>
          </w:pPr>
          <w:r w:rsidRPr="00395AFD">
            <w:rPr>
              <w:rStyle w:val="PlaceholderText"/>
            </w:rPr>
            <w:t>Fare clic o toccare qui per immettere il testo.</w:t>
          </w:r>
        </w:p>
      </w:docPartBody>
    </w:docPart>
    <w:docPart>
      <w:docPartPr>
        <w:name w:val="7FC9A3CD47B840B3842E30989F742BBD"/>
        <w:category>
          <w:name w:val="General"/>
          <w:gallery w:val="placeholder"/>
        </w:category>
        <w:types>
          <w:type w:val="bbPlcHdr"/>
        </w:types>
        <w:behaviors>
          <w:behavior w:val="content"/>
        </w:behaviors>
        <w:guid w:val="{D61ABC4F-09B2-4D3E-8547-695D2BEAE32E}"/>
      </w:docPartPr>
      <w:docPartBody>
        <w:p w:rsidR="00CF0E6E" w:rsidRDefault="001F77BD" w:rsidP="001F77BD">
          <w:pPr>
            <w:pStyle w:val="7FC9A3CD47B840B3842E30989F742BBD"/>
          </w:pPr>
          <w:r w:rsidRPr="00395AFD">
            <w:rPr>
              <w:rStyle w:val="PlaceholderText"/>
            </w:rPr>
            <w:t>Fare clic o toccare qui per immettere il testo.</w:t>
          </w:r>
        </w:p>
      </w:docPartBody>
    </w:docPart>
    <w:docPart>
      <w:docPartPr>
        <w:name w:val="6BEC9BE6F04F4F4EB83744D6DCD18633"/>
        <w:category>
          <w:name w:val="Generale"/>
          <w:gallery w:val="placeholder"/>
        </w:category>
        <w:types>
          <w:type w:val="bbPlcHdr"/>
        </w:types>
        <w:behaviors>
          <w:behavior w:val="content"/>
        </w:behaviors>
        <w:guid w:val="{CDE74DD2-2284-4DFF-8598-B1E5AAFA9872}"/>
      </w:docPartPr>
      <w:docPartBody>
        <w:p w:rsidR="00383D29" w:rsidRDefault="00D21BE2" w:rsidP="00D21BE2">
          <w:pPr>
            <w:pStyle w:val="6BEC9BE6F04F4F4EB83744D6DCD18633"/>
          </w:pPr>
          <w:r w:rsidRPr="00395AFD">
            <w:rPr>
              <w:rStyle w:val="PlaceholderText"/>
            </w:rPr>
            <w:t>Fare clic o toccare qui per immettere il testo.</w:t>
          </w:r>
        </w:p>
      </w:docPartBody>
    </w:docPart>
    <w:docPart>
      <w:docPartPr>
        <w:name w:val="E24B48FA4E264B86A7C18CA8A7E1E3D0"/>
        <w:category>
          <w:name w:val="Generale"/>
          <w:gallery w:val="placeholder"/>
        </w:category>
        <w:types>
          <w:type w:val="bbPlcHdr"/>
        </w:types>
        <w:behaviors>
          <w:behavior w:val="content"/>
        </w:behaviors>
        <w:guid w:val="{5BFAFC0B-000C-4922-81A5-C8D02A9D51F7}"/>
      </w:docPartPr>
      <w:docPartBody>
        <w:p w:rsidR="00383D29" w:rsidRDefault="00D21BE2" w:rsidP="00D21BE2">
          <w:pPr>
            <w:pStyle w:val="E24B48FA4E264B86A7C18CA8A7E1E3D0"/>
          </w:pPr>
          <w:r w:rsidRPr="00395AFD">
            <w:rPr>
              <w:rStyle w:val="PlaceholderText"/>
            </w:rPr>
            <w:t>Fare clic o toccare qui per immettere il testo.</w:t>
          </w:r>
        </w:p>
      </w:docPartBody>
    </w:docPart>
    <w:docPart>
      <w:docPartPr>
        <w:name w:val="5A7E08A6AA944F089BF031E1C72BFB35"/>
        <w:category>
          <w:name w:val="Generale"/>
          <w:gallery w:val="placeholder"/>
        </w:category>
        <w:types>
          <w:type w:val="bbPlcHdr"/>
        </w:types>
        <w:behaviors>
          <w:behavior w:val="content"/>
        </w:behaviors>
        <w:guid w:val="{622E0EB4-8F86-411A-BA87-9694F14DCC39}"/>
      </w:docPartPr>
      <w:docPartBody>
        <w:p w:rsidR="0049605F" w:rsidRDefault="0049605F" w:rsidP="0049605F">
          <w:pPr>
            <w:pStyle w:val="5A7E08A6AA944F089BF031E1C72BFB35"/>
          </w:pPr>
          <w:r w:rsidRPr="00395AFD">
            <w:rPr>
              <w:rStyle w:val="Placehold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2D"/>
    <w:rsid w:val="00010FFD"/>
    <w:rsid w:val="00020F09"/>
    <w:rsid w:val="001F77BD"/>
    <w:rsid w:val="00383D29"/>
    <w:rsid w:val="0049605F"/>
    <w:rsid w:val="004E2018"/>
    <w:rsid w:val="004F3608"/>
    <w:rsid w:val="007504A5"/>
    <w:rsid w:val="007811E6"/>
    <w:rsid w:val="007C1053"/>
    <w:rsid w:val="007C6415"/>
    <w:rsid w:val="007D3FB1"/>
    <w:rsid w:val="00851633"/>
    <w:rsid w:val="008E6A2D"/>
    <w:rsid w:val="00A572AB"/>
    <w:rsid w:val="00AD210E"/>
    <w:rsid w:val="00CF0E6E"/>
    <w:rsid w:val="00D21BE2"/>
    <w:rsid w:val="00DD7F39"/>
    <w:rsid w:val="00EA4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7D5F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05F"/>
    <w:rPr>
      <w:color w:val="666666"/>
    </w:rPr>
  </w:style>
  <w:style w:type="paragraph" w:customStyle="1" w:styleId="1AF4E3D4E35D4BADB238DA77F6B33053">
    <w:name w:val="1AF4E3D4E35D4BADB238DA77F6B33053"/>
    <w:rsid w:val="00DD7F39"/>
    <w:rPr>
      <w:lang w:val="it-IT" w:eastAsia="it-IT"/>
    </w:rPr>
  </w:style>
  <w:style w:type="paragraph" w:customStyle="1" w:styleId="4F9F57AA15134A6FA691F6596388FD10">
    <w:name w:val="4F9F57AA15134A6FA691F6596388FD10"/>
    <w:rsid w:val="00DD7F39"/>
    <w:rPr>
      <w:lang w:val="it-IT" w:eastAsia="it-IT"/>
    </w:rPr>
  </w:style>
  <w:style w:type="paragraph" w:customStyle="1" w:styleId="23127477D2CD46ECBFD09DCD750B20A5">
    <w:name w:val="23127477D2CD46ECBFD09DCD750B20A5"/>
    <w:rsid w:val="00DD7F39"/>
    <w:rPr>
      <w:lang w:val="it-IT" w:eastAsia="it-IT"/>
    </w:rPr>
  </w:style>
  <w:style w:type="paragraph" w:customStyle="1" w:styleId="7FC9A3CD47B840B3842E30989F742BBD">
    <w:name w:val="7FC9A3CD47B840B3842E30989F742BBD"/>
    <w:rsid w:val="001F77BD"/>
    <w:pPr>
      <w:spacing w:line="259" w:lineRule="auto"/>
    </w:pPr>
    <w:rPr>
      <w:kern w:val="0"/>
      <w:sz w:val="22"/>
      <w:szCs w:val="22"/>
      <w14:ligatures w14:val="none"/>
    </w:rPr>
  </w:style>
  <w:style w:type="paragraph" w:customStyle="1" w:styleId="6BEC9BE6F04F4F4EB83744D6DCD18633">
    <w:name w:val="6BEC9BE6F04F4F4EB83744D6DCD18633"/>
    <w:rsid w:val="00D21BE2"/>
    <w:rPr>
      <w:lang w:val="it-IT" w:eastAsia="it-IT"/>
    </w:rPr>
  </w:style>
  <w:style w:type="paragraph" w:customStyle="1" w:styleId="E24B48FA4E264B86A7C18CA8A7E1E3D0">
    <w:name w:val="E24B48FA4E264B86A7C18CA8A7E1E3D0"/>
    <w:rsid w:val="00D21BE2"/>
    <w:rPr>
      <w:lang w:val="it-IT" w:eastAsia="it-IT"/>
    </w:rPr>
  </w:style>
  <w:style w:type="paragraph" w:customStyle="1" w:styleId="5A7E08A6AA944F089BF031E1C72BFB35">
    <w:name w:val="5A7E08A6AA944F089BF031E1C72BFB35"/>
    <w:rsid w:val="00496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5BE6A2-3DB6-466A-904A-24E0BE393563}">
  <we:reference id="f78a3046-9e99-4300-aa2b-5814002b01a2" version="1.55.1.0" store="EXCatalog" storeType="EXCatalog"/>
  <we:alternateReferences>
    <we:reference id="WA104382081" version="1.55.1.0" store="it-IT" storeType="OMEX"/>
  </we:alternateReferences>
  <we:properties>
    <we:property name="MENDELEY_BIBLIOGRAPHY_IS_DIRTY" value="true"/>
    <we:property name="MENDELEY_BIBLIOGRAPHY_LAST_MODIFIED" value="1771160888432"/>
    <we:property name="MENDELEY_CITATIONS" value="[{&quot;citationID&quot;:&quot;MENDELEY_CITATION_0f859d4d-b4ec-4cc4-bd76-71a85fed756a&quot;,&quot;properties&quot;:{&quot;noteIndex&quot;:0},&quot;isEdited&quot;:false,&quot;manualOverride&quot;:{&quot;isManuallyOverridden&quot;:false,&quot;citeprocText&quot;:&quot;(Stouffer et al., 2011)&quot;,&quot;manualOverrideText&quot;:&quot;&quot;},&quot;citationTag&quot;:&quot;MENDELEY_CITATION_v3_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&quot;,&quot;citationItems&quot;:[{&quot;id&quot;:&quot;ae033913-23ec-35bb-b54a-71722a0c57b0&quot;,&quot;itemData&quot;:{&quot;type&quot;:&quot;article-journal&quot;,&quot;id&quot;:&quot;ae033913-23ec-35bb-b54a-71722a0c57b0&quot;,&quot;title&quot;:&quot;Guide to industrial control systems (ICS) security&quot;,&quot;author&quot;:[{&quot;family&quot;:&quot;Stouffer&quot;,&quot;given&quot;:&quot;Keith&quot;,&quot;parse-names&quot;:false,&quot;dropping-particle&quot;:&quot;&quot;,&quot;non-dropping-particle&quot;:&quot;&quot;},{&quot;family&quot;:&quot;Falco&quot;,&quot;given&quot;:&quot;Joe&quot;,&quot;parse-names&quot;:false,&quot;dropping-particle&quot;:&quot;&quot;,&quot;non-dropping-particle&quot;:&quot;&quot;},{&quot;family&quot;:&quot;Scarfone&quot;,&quot;given&quot;:&quot;Karen&quot;,&quot;parse-names&quot;:false,&quot;dropping-particle&quot;:&quot;&quot;,&quot;non-dropping-particle&quot;:&quot;&quot;},{&quot;family&quot;:&quot;others&quot;,&quot;given&quot;:&quot;&quot;,&quot;parse-names&quot;:false,&quot;dropping-particle&quot;:&quot;&quot;,&quot;non-dropping-particle&quot;:&quot;&quot;}],&quot;container-title&quot;:&quot;NIST special publication&quot;,&quot;issued&quot;:{&quot;date-parts&quot;:[[2011]]},&quot;page&quot;:&quot;16&quot;,&quot;issue&quot;:&quot;82&quot;,&quot;volume&quot;:&quot;800&quot;,&quot;container-title-short&quot;:&quot;&quot;},&quot;isTemporary&quot;:false}]},{&quot;citationID&quot;:&quot;MENDELEY_CITATION_3832db3e-e366-4829-8ddb-f992902668e5&quot;,&quot;properties&quot;:{&quot;noteIndex&quot;:0},&quot;isEdited&quot;:false,&quot;manualOverride&quot;:{&quot;isManuallyOverridden&quot;:false,&quot;citeprocText&quot;:&quot;(Liu et al., 2024)&quot;,&quot;manualOverrideText&quot;:&quot;&quot;},&quot;citationTag&quot;:&quot;MENDELEY_CITATION_v3_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&quot;,&quot;citationItems&quot;:[{&quot;id&quot;:&quot;e2f4ea2d-b6cd-3ad6-b5c3-6ebce759f23b&quot;,&quot;itemData&quot;:{&quot;type&quot;:&quot;article-journal&quot;,&quot;id&quot;:&quot;e2f4ea2d-b6cd-3ad6-b5c3-6ebce759f23b&quot;,&quot;title&quot;:&quot;Detection and analysis of cybersecurity challenges for processing systems&quot;,&quot;author&quot;:[{&quot;family&quot;:&quot;Liu&quot;,&quot;given&quot;:&quot;Luyang&quot;,&quot;parse-names&quot;:false,&quot;dropping-particle&quot;:&quot;&quot;,&quot;non-dropping-particle&quot;:&quot;&quot;},{&quot;family&quot;:&quot;Sajid&quot;,&quot;given&quot;:&quot;Zaman&quot;,&quot;parse-names&quot;:false,&quot;dropping-particle&quot;:&quot;&quot;,&quot;non-dropping-particle&quot;:&quot;&quot;},{&quot;family&quot;:&quot;Kravaris&quot;,&quot;given&quot;:&quot;Costas&quot;,&quot;parse-names&quot;:false,&quot;dropping-particle&quot;:&quot;&quot;,&quot;non-dropping-particle&quot;:&quot;&quot;},{&quot;family&quot;:&quot;Khan&quot;,&quot;given&quot;:&quot;Faisal&quot;,&quot;parse-names&quot;:false,&quot;dropping-particle&quot;:&quot;&quot;,&quot;non-dropping-particle&quot;:&quot;&quot;}],&quot;container-title&quot;:&quot;Process Safety and Environmental Protection&quot;,&quot;accessed&quot;:{&quot;date-parts&quot;:[[2025,11,3]]},&quot;DOI&quot;:&quot;10.1016/J.PSEP.2024.03.088&quot;,&quot;ISSN&quot;:&quot;0957-5820&quot;,&quot;URL&quot;:&quot;https://www.sciencedirect.com/science/article/abs/pii/S0957582024003070&quot;,&quot;issued&quot;:{&quot;date-parts&quot;:[[2024,5,1]]},&quot;page&quot;:&quot;1061-1071&quot;,&quot;abstract&quot;:&quot;Due to cyber threats, Process Control Systems (PCS) are increasingly at risk in the interconnected world. This review elucidates PCS's mounting cybersecurity challenges, underscored by past incidents. Utilizing the National Institute of Standards and Technology (NIST) framework, we emphasize the importance of a comprehensive approach to cybersecurity, spanning risk identification to its mitigation. This systematic framework comprises five pillars: risk identification, protective measures, active threat detection, timely incident response, and post-attack recovery. This study then delves into the range of cyber-attack detection algorithms, from traditional fault detection and isolation techniques to advanced machine learning-based methods, qualitative models, hybrid approaches, and signature-based methods. Notwithstanding the progress, research gaps, challenges, and a demand for a proactive path forward remain. This study proposes a path forward that integrates the digital system with a resilient control system to ensure the security of the process control systems and a harmonious blend of domain expertise and evolving technological innovations.&quot;,&quot;publisher&quot;:&quot;Elsevier&quot;,&quot;volume&quot;:&quot;185&quot;,&quot;container-title-short&quot;:&quot;&quot;},&quot;isTemporary&quot;:false}]},{&quot;citationID&quot;:&quot;MENDELEY_CITATION_bd6d7e27-6bf8-491c-b31a-79b114ebd550&quot;,&quot;properties&quot;:{&quot;noteIndex&quot;:0},&quot;isEdited&quot;:false,&quot;manualOverride&quot;:{&quot;isManuallyOverridden&quot;:false,&quot;citeprocText&quot;:&quot;(El-Kady et al., 2023)&quot;,&quot;manualOverrideText&quot;:&quot;&quot;},&quot;citationTag&quot;:&quot;MENDELEY_CITATION_v3_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&quot;,&quot;citationItems&quot;:[{&quot;id&quot;:&quot;5f284231-383f-3882-8461-45ad7dbbd459&quot;,&quot;itemData&quot;:{&quot;type&quot;:&quot;article-journal&quot;,&quot;id&quot;:&quot;5f284231-383f-3882-8461-45ad7dbbd459&quot;,&quot;title&quot;:&quot;Analysis of safety and security challenges and opportunities related to cyber-physical systems&quot;,&quot;author&quot;:[{&quot;family&quot;:&quot;El-Kady&quot;,&quot;given&quot;:&quot;Ahmed Hamdy&quot;,&quot;parse-names&quot;:false,&quot;dropping-particle&quot;:&quot;&quot;,&quot;non-dropping-particle&quot;:&quot;&quot;},{&quot;family&quot;:&quot;Halim&quot;,&quot;given&quot;:&quot;Syeda&quot;,&quot;parse-names&quot;:false,&quot;dropping-particle&quot;:&quot;&quot;,&quot;non-dropping-particle&quot;:&quot;&quot;},{&quot;family&quot;:&quot;El-Halwagi&quot;,&quot;given&quot;:&quot;Mahmoud M.&quot;,&quot;parse-names&quot;:false,&quot;dropping-particle&quot;:&quot;&quot;,&quot;non-dropping-particle&quot;:&quot;&quot;},{&quot;family&quot;:&quot;Khan&quot;,&quot;given&quot;:&quot;Faisal&quot;,&quot;parse-names&quot;:false,&quot;dropping-particle&quot;:&quot;&quot;,&quot;non-dropping-particle&quot;:&quot;&quot;}],&quot;container-title&quot;:&quot;Process Safety and Environmental Protection&quot;,&quot;accessed&quot;:{&quot;date-parts&quot;:[[2025,10,14]]},&quot;DOI&quot;:&quot;10.1016/J.PSEP.2023.03.012&quot;,&quot;ISSN&quot;:&quot;0957-5820&quot;,&quot;URL&quot;:&quot;https://www.sciencedirect.com/science/article/pii/S0957582023002045#bib255&quot;,&quot;issued&quot;:{&quot;date-parts&quot;:[[2023,5,1]]},&quot;page&quot;:&quot;384-413&quot;,&quot;abstract&quot;:&quot;A cyber-physical system (CPS) is an interconnected physical system that can be monitored, controlled, and operated remotely. A systems-based analysis of CPS is critical for enhancing operational safety and security. Such analysis is particularly important in light of the evolving Fourth Industrial Revolution (Industry 4.0) which is largely driven by CPS, Internet of Things (IoT), algorithmic systems, automation, and smart manufacturing. As a result of industries’ and societies’ growing dependence on CPSs, their safe and secure applications need to be scrutinized to avoid any threats or harm to processes and human lives. In order to achieve this target, the current work analyzes the literature to investigate challenges and opportunities present in the CPSs. The analysis attempts to answer the following Research Questions (RQs): (RQ1) What are the prominent trends in the field of safety and security of CPSs? (RQ2) What are the opportunities in Industry 4.0 technologies related to safety? (RQ3) What characteristics of CPSs are likely to cause safety and security issues? (RQ4) What are the emerging safety and security issues introduced by CPSs? (RQ5) How were these issues addressed in the literature? CPSs can address some traditional safety issues due to characteristics like high efficiency and control. However, a CPS is challenged by heterogeneity, dependencies, complexity, unattended nature, increased machine intelligence, autonomous reconfiguration, and uncertainties. Safety and security challenges include opaque system failure, complex socio-technical system, human-machine interface, cyber-physical attacks, unsecured remote configuration, lack of standards, and resilience. The paper is structured under the following key headings: bibliometric results, opportunities from Industry 4.0 technologies, issues introduced by Industry 4.0 technologies, literature proposed solutions, and research challenges. Based on the assessment of about 900 relevant publications extracted from two databases (Web of Science (WoS) Core Collection and Engineering village (EV)), the documents were categorized into eight major divisions: (i) Safety Opportunities, (ii) Hazardous Characteristics, (iii) Fault Occurrence, (iv) Cyber-physical attacks, (v) Human factors, (vi) occupational Health and safety, (vii) standards, and (viii) Reliability and resiliency. Proactive strategies were classified under four options: identification, evaluation, prevention, and management. The paper also raises some research needs and unanswered questions that require further analysis to address how security and safety mechanisms can introduce more complexity in the system that can lead to new risks. The paper concludes by emphasizing digital process safety as part of the engineering curriculum to address the process industry's need for digital solutions and to make process safety learning a conscious choice.&quot;,&quot;publisher&quot;:&quot;Elsevier&quot;,&quot;volume&quot;:&quot;173&quot;,&quot;container-title-short&quot;:&quot;&quot;},&quot;isTemporary&quot;:false}]},{&quot;citationID&quot;:&quot;MENDELEY_CITATION_5c497add-dc97-47e2-bad5-46d6ee197790&quot;,&quot;properties&quot;:{&quot;noteIndex&quot;:0},&quot;isEdited&quot;:false,&quot;manualOverride&quot;:{&quot;isManuallyOverridden&quot;:false,&quot;citeprocText&quot;:&quot;(Crotty and Daniel, 2022)&quot;,&quot;manualOverrideText&quot;:&quot;&quot;},&quot;citationTag&quot;:&quot;MENDELEY_CITATION_v3_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&quot;,&quot;citationItems&quot;:[{&quot;id&quot;:&quot;12c43bf9-c1f4-387d-939f-434f663a6061&quot;,&quot;itemData&quot;:{&quot;type&quot;:&quot;article-journal&quot;,&quot;id&quot;:&quot;12c43bf9-c1f4-387d-939f-434f663a6061&quot;,&quot;title&quot;:&quot;Cyber threat: its origins and consequence and the use of qualitative and quantitative methods in cyber risk assessment&quot;,&quot;author&quot;:[{&quot;family&quot;:&quot;Crotty&quot;,&quot;given&quot;:&quot;James&quot;,&quot;parse-names&quot;:false,&quot;dropping-particle&quot;:&quot;&quot;,&quot;non-dropping-particle&quot;:&quot;&quot;},{&quot;family&quot;:&quot;Daniel&quot;,&quot;given&quot;:&quot;Elizabeth&quot;,&quot;parse-names&quot;:false,&quot;dropping-particle&quot;:&quot;&quot;,&quot;non-dropping-particle&quot;:&quot;&quot;}],&quot;container-title&quot;:&quot;Applied Computing and Informatics&quot;,&quot;DOI&quot;:&quot;10.1108/ACI-07-2022-0178&quot;,&quot;ISSN&quot;:&quot;2634-1964&quot;,&quot;URL&quot;:&quot;https://doi.org/10.1108/ACI-07-2022-0178&quot;,&quot;issued&quot;:{&quot;date-parts&quot;:[[2022,12,26]]},&quot;abstract&quot;:&quot;Consumers increasingly rely on organisations for online services and data storage while these same institutions seek to digitise the information assets they hold to create economic value. Cybersecurity failures arising from malicious or accidental actions can lead to significant reputational and financial loss which organisations must guard against. Despite having some critical weaknesses, qualitative cybersecurity risk analysis is widely used in developing cybersecurity plans. This research explores these weaknesses, considers how quantitative methods might address the constraints and seeks the insights and recommendations of leading cybersecurity practitioners on the use of qualitative and quantitative cyber risk assessment methods.The study is based upon a literature review and thematic analysis of in-depth qualitative interviews with 16 senior cybersecurity practitioners representing financial services and advisory companies from across the world.While most organisations continue to rely on qualitative methods for cybersecurity risk assessment, some are also actively using quantitative approaches to enhance their cybersecurity planning efforts. The primary recommendation of this paper is that organisations should adopt both a qualitative and quantitative cyber risk assessment approach.This work provides the first insight into how senior practitioners are using and combining qualitative and quantitative cybersecurity risk assessment, and highlights the need for in-depth comparisons of these two different approaches.&quot;,&quot;container-title-short&quot;:&quot;&quot;},&quot;isTemporary&quot;:false}]},{&quot;citationID&quot;:&quot;MENDELEY_CITATION_ce8f35b5-33ca-444a-86fc-9c28d361074c&quot;,&quot;properties&quot;:{&quot;noteIndex&quot;:0},&quot;isEdited&quot;:false,&quot;manualOverride&quot;:{&quot;isManuallyOverridden&quot;:false,&quot;citeprocText&quot;:&quot;(Pal et al., 2025)&quot;,&quot;manualOverrideText&quot;:&quot;&quot;},&quot;citationTag&quot;:&quot;MENDELEY_CITATION_v3_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&quot;,&quot;citationItems&quot;:[{&quot;id&quot;:&quot;42f18ce8-a1e6-3448-9e1d-ea2cba9384dd&quot;,&quot;itemData&quot;:{&quot;type&quot;:&quot;article-journal&quot;,&quot;id&quot;:&quot;42f18ce8-a1e6-3448-9e1d-ea2cba9384dd&quot;,&quot;title&quot;:&quot;Digital twins: Transforming the chemical process industry—A review&quot;,&quot;author&quot;:[{&quot;family&quot;:&quot;Pal&quot;,&quot;given&quot;:&quot;Pratyush&quot;,&quot;parse-names&quot;:false,&quot;dropping-particle&quot;:&quot;&quot;,&quot;non-dropping-particle&quot;:&quot;&quot;},{&quot;family&quot;:&quot;Hens&quot;,&quot;given&quot;:&quot;Abhiram&quot;,&quot;parse-names&quot;:false,&quot;dropping-particle&quot;:&quot;&quot;,&quot;non-dropping-particle&quot;:&quot;&quot;},{&quot;family&quot;:&quot;Behera&quot;,&quot;given&quot;:&quot;Narottam&quot;,&quot;parse-names&quot;:false,&quot;dropping-particle&quot;:&quot;&quot;,&quot;non-dropping-particle&quot;:&quot;&quot;}],&quot;container-title&quot;:&quot;The Canadian Journal of Chemical Engineering&quot;,&quot;container-title-short&quot;:&quot;Can. J. Chem. Eng.&quot;,&quot;DOI&quot;:&quot;10.1002/cjce.25611&quot;,&quot;issued&quot;:{&quot;date-parts&quot;:[[2025,10]]},&quot;page&quot;:&quot;3611-3636&quot;,&quot;volume&quot;:&quot;103&quot;},&quot;isTemporary&quot;:false}]},{&quot;citationID&quot;:&quot;MENDELEY_CITATION_3c31e41c-3bbb-4ca1-94f9-2d28351634ad&quot;,&quot;properties&quot;:{&quot;noteIndex&quot;:0},&quot;isEdited&quot;:false,&quot;manualOverride&quot;:{&quot;isManuallyOverridden&quot;:false,&quot;citeprocText&quot;:&quot;(Tamburini et al., 2025)&quot;,&quot;manualOverrideText&quot;:&quot;&quot;},&quot;citationTag&quot;:&quot;MENDELEY_CITATION_v3_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&quot;,&quot;citationItems&quot;:[{&quot;id&quot;:&quot;470ac628-78a9-370c-be81-4167955bc445&quot;,&quot;itemData&quot;:{&quot;type&quot;:&quot;article-journal&quot;,&quot;id&quot;:&quot;470ac628-78a9-370c-be81-4167955bc445&quot;,&quot;title&quot;:&quot;Analysis of system resilience in escalation scenarios involving LH2 bunkering operations&quot;,&quot;author&quot;:[{&quot;family&quot;:&quot;Tamburini&quot;,&quot;given&quot;:&quot;Federica&quot;,&quot;parse-names&quot;:false,&quot;dropping-particle&quot;:&quot;&quot;,&quot;non-dropping-particle&quot;:&quot;&quot;},{&quot;family&quot;:&quot;Iaiani&quot;,&quot;given&quot;:&quot;Matteo&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accessed&quot;:{&quot;date-parts&quot;:[[2025,11,21]]},&quot;DOI&quot;:&quot;10.1016/J.RESS.2025.110816&quot;,&quot;ISSN&quot;:&quot;0951-8320&quot;,&quot;URL&quot;:&quot;https://www.sciencedirect.com/science/article/pii/S0951832025000195&quot;,&quot;issued&quot;:{&quot;date-parts&quot;:[[2025,5,1]]},&quot;page&quot;:&quot;110816&quot;,&quot;abstract&quot;:&quot;In the context of global energy transition and decarbonization efforts, resilience emerges as a critical factor in ensuring the reliability and adaptability of industrial infrastructure systems. This paper introduces a novel model rooted in Dynamic Bayesian Networks (DBNs) for the quantitative assessment of the resilience of engineered systems in the event of escalation scenarios triggered by domino effect. The model is integrated into a systematic, step-by-step procedure capable of evaluating the ability of complex systems to recover functionality from subsequent disruptions occurring at different times throughout the operational lifecycle. Leveraging DBNs, the methodology captures the dynamic interactions and feedback among subsystems or components, overcoming the limitations associated with conventional methods. The innovative methodology has been applied to a case study involving a liquid hydrogen (LH2) bunkering system, illustrating its effectiveness in assessing resilience amidst evolving accident scenarios. The results demonstrate the significant impact of escalation scenarios on system resilience and underscore the importance of proper implementation and management of safety measures and mitigation strategies. The proposed approach provides a valuable insight into system performance and empowers proactive risk management in the face of escalation scenarios, ensuring the continued operation and success of industrial operations in an uncertain and interconnected reality.&quot;,&quot;publisher&quot;:&quot;Elsevier&quot;,&quot;volume&quot;:&quot;257&quot;},&quot;isTemporary&quot;:false}]},{&quot;citationID&quot;:&quot;MENDELEY_CITATION_b3a6a40a-7ea4-4506-b880-fa108bbc6ef1&quot;,&quot;properties&quot;:{&quot;noteIndex&quot;:0},&quot;isEdited&quot;:false,&quot;manualOverride&quot;:{&quot;isManuallyOverridden&quot;:false,&quot;citeprocText&quot;:&quot;(Landucci et al., 2022)&quot;,&quot;manualOverrideText&quot;:&quot;&quot;},&quot;citationTag&quot;:&quot;MENDELEY_CITATION_v3_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&quot;,&quot;citationItems&quot;:[{&quot;id&quot;:&quot;b72fc088-9501-3d3e-9972-1668e004cb20&quot;,&quot;itemData&quot;:{&quot;type&quot;:&quot;article-journal&quot;,&quot;id&quot;:&quot;b72fc088-9501-3d3e-9972-1668e004cb20&quot;,&quot;title&quot;:&quot;Attractiveness Assessment of Chemical Facilities Operating in Critical Areas: Development of a Semi-Quantitative Methodology Tailored to the Maghreb Context&quot;,&quot;author&quot;:[{&quot;family&quot;:&quot;Landucci&quot;,&quot;given&quot;:&quot;Gabriele&quot;,&quot;parse-names&quot;:false,&quot;dropping-particle&quot;:&quot;&quot;,&quot;non-dropping-particle&quot;:&quot;&quot;},{&quot;family&quot;:&quot;Tonelli&quot;,&quot;given&quot;:&quot;Jacopo&quot;,&quot;parse-names&quot;:false,&quot;dropping-particle&quot;:&quot;&quot;,&quot;non-dropping-particle&quot;:&quot;&quot;},{&quot;family&quot;:&quot;Tortolini&quot;,&quot;given&quot;:&quot;Alessia&quot;,&quot;parse-names&quot;:false,&quot;dropping-particle&quot;:&quot;&quot;,&quot;non-dropping-particle&quot;:&quot;&quot;},{&quot;family&quot;:&quot;Marroni&quot;,&quot;given&quot;:&quot;Giulia&quot;,&quot;parse-names&quot;:false,&quot;dropping-particle&quot;:&quot;&quot;,&quot;non-dropping-particle&quot;:&quot;&quot;},{&quot;family&quot;:&quot;Pepe&quot;,&quot;given&quot;:&quot;Emanuela&quot;,&quot;parse-names&quot;:false,&quot;dropping-particle&quot;:&quot;&quot;,&quot;non-dropping-particle&quot;:&quot;&quot;},{&quot;family&quot;:&quot;Tamburini&quot;,&quot;given&quot;:&quot;Francesco&quot;,&quot;parse-names&quot;:false,&quot;dropping-particle&quot;:&quot;&quot;,&quot;non-dropping-particle&quot;:&quot;&quot;}],&quot;container-title&quot;:&quot;Chemical Engineering Transactions&quot;,&quot;DOI&quot;:&quot;10.3303/CET2290071&quot;,&quot;URL&quot;:&quot;https://www.scopus.com/inward/record.uri?eid=2-s2.0-85131261344&amp;doi=10.3303%2fCET2290071&amp;partnerID=40&amp;md5=3bdcbbafc2fa92f6c3268d6cffabd3cc&quot;,&quot;issued&quot;:{&quot;date-parts&quot;:[[2022]]},&quot;page&quot;:&quot;421 – 426&quot;,&quot;volume&quot;:&quot;90&quot;,&quot;container-title-short&quot;:&quot;Chem. Eng. Trans.&quot;},&quot;isTemporary&quot;:false}]},{&quot;citationID&quot;:&quot;MENDELEY_CITATION_c5aacce9-4765-4291-8d36-cb8a256d6ab8&quot;,&quot;properties&quot;:{&quot;noteIndex&quot;:0},&quot;isEdited&quot;:false,&quot;manualOverride&quot;:{&quot;isManuallyOverridden&quot;:false,&quot;citeprocText&quot;:&quot;(Ab Rahim et al., 2024)&quot;,&quot;manualOverrideText&quot;:&quot;&quot;},&quot;citationTag&quot;:&quot;MENDELEY_CITATION_v3_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&quot;,&quot;citationItems&quot;:[{&quot;id&quot;:&quot;43e53029-a306-37ba-afb5-bce2720d989c&quot;,&quot;itemData&quot;:{&quot;type&quot;:&quot;article-journal&quot;,&quot;id&quot;:&quot;43e53029-a306-37ba-afb5-bce2720d989c&quot;,&quot;title&quot;:&quot;Risk assessment methods for process safety, process security and resilience in the chemical process industry: A thorough literature review&quot;,&quot;author&quot;:[{&quot;family&quot;:&quot;Ab Rahim&quot;,&quot;given&quot;:&quot;Muhammad Shah&quot;,&quot;parse-names&quot;:false,&quot;dropping-particle&quot;:&quot;&quot;,&quot;non-dropping-particle&quot;:&quot;&quot;},{&quot;family&quot;:&quot;Reniers&quot;,&quot;given&quot;:&quot;Genserik&quot;,&quot;parse-names&quot;:false,&quot;dropping-particle&quot;:&quot;&quot;,&quot;non-dropping-particle&quot;:&quot;&quot;},{&quot;family&quot;:&quot;Yang&quot;,&quot;given&quot;:&quot;Ming&quot;,&quot;parse-names&quot;:false,&quot;dropping-particle&quot;:&quot;&quot;,&quot;non-dropping-particle&quot;:&quot;&quot;},{&quot;family&quot;:&quot;Bajpai&quot;,&quot;given&quot;:&quot;Shailendra&quot;,&quot;parse-names&quot;:false,&quot;dropping-particle&quot;:&quot;&quot;,&quot;non-dropping-particle&quot;:&quot;&quot;}],&quot;container-title&quot;:&quot;Journal of Loss Prevention in the Process Industries&quot;,&quot;container-title-short&quot;:&quot;J. Loss Prev. Process Ind.&quot;,&quot;accessed&quot;:{&quot;date-parts&quot;:[[2025,11,18]]},&quot;DOI&quot;:&quot;10.1016/J.JLP.2024.105274&quot;,&quot;ISSN&quot;:&quot;0950-4230&quot;,&quot;URL&quot;:&quot;https://www.sciencedirect.com/science/article/pii/S0950423024000329?pes=vor&amp;utm_source=scopus&amp;getft_integrator=scopus#bib2&quot;,&quot;issued&quot;:{&quot;date-parts&quot;:[[2024,4,1]]},&quot;page&quot;:&quot;105274&quot;,&quot;abstract&quot;:&quot;This paper presents a systematic literature review of risk assessment methods in the chemical process industry (CPI), focusing on process safety, process security, and resilience. We analyzed peer-reviewed articles from 2000 to 2022 using the PRISMA methodology and identified twelve predominant methods. Our findings reveal a shift towards dynamic, systemic-based assessments like the Functional Resonance Analysis Method (FRAM) and System-Theoretic Accident Model and Processes (STAMP). These methods are particularly effective at capturing the complexities of sociotechnical systems in the CPI. However, a significant observation from our review is the limited emphasis on the resilience paradigm within many existing methods when addressing both process safety and process security risks, which is crucial for preventing and recovering from disruptions. Given the evolving challenges in system safety and security threats, there is an urgent need for holistic methods that integrate process safety, process security, and resilience. Our review highlights the opportunity for further research to better prepare the industry for future challenges, ensuring safer, more secure, reliable, and resilient operations.&quot;,&quot;publisher&quot;:&quot;Elsevier&quot;,&quot;volume&quot;:&quot;88&quot;},&quot;isTemporary&quot;:false}]},{&quot;citationID&quot;:&quot;MENDELEY_CITATION_8ddd6a79-3cd7-4a56-a717-8829d11d5cda&quot;,&quot;properties&quot;:{&quot;noteIndex&quot;:0},&quot;isEdited&quot;:false,&quot;manualOverride&quot;:{&quot;isManuallyOverridden&quot;:false,&quot;citeprocText&quot;:&quot;(Garcia, 2007)&quot;,&quot;manualOverrideText&quot;:&quot;&quot;},&quot;citationTag&quot;:&quot;MENDELEY_CITATION_v3_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&quot;,&quot;citationItems&quot;:[{&quot;id&quot;:&quot;c6eb50d4-c8ae-31b7-9d67-9f6c79d3c3fe&quot;,&quot;itemData&quot;:{&quot;type&quot;:&quot;book&quot;,&quot;id&quot;:&quot;c6eb50d4-c8ae-31b7-9d67-9f6c79d3c3fe&quot;,&quot;title&quot;:&quot;Design and Evaluation of Physical Protection Systems&quot;,&quot;author&quot;:[{&quot;family&quot;:&quot;Garcia&quot;,&quot;given&quot;:&quot;M.L.&quot;,&quot;parse-names&quot;:false,&quot;dropping-particle&quot;:&quot;&quot;,&quot;non-dropping-particle&quot;:&quot;&quot;}],&quot;ISBN&quot;:&quot;978‑0‑7506‑8352‑4&quot;,&quot;issued&quot;:{&quot;date-parts&quot;:[[2007]]},&quot;publisher-place&quot;:&quot;Oxford / Boston&quot;,&quot;edition&quot;:&quot;2nd&quot;,&quot;publisher&quot;:&quot;Butterworth‑Heinemann&quot;,&quot;container-title-short&quot;:&quot;&quot;},&quot;isTemporary&quot;:false}]},{&quot;citationID&quot;:&quot;MENDELEY_CITATION_aebdcb9c-85d3-4b07-8a6a-abc6ec6b8cc4&quot;,&quot;properties&quot;:{&quot;noteIndex&quot;:0},&quot;isEdited&quot;:false,&quot;manualOverride&quot;:{&quot;isManuallyOverridden&quot;:false,&quot;citeprocText&quot;:&quot;(Garcia, 2007)&quot;,&quot;manualOverrideText&quot;:&quot;&quot;},&quot;citationTag&quot;:&quot;MENDELEY_CITATION_v3_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&quot;,&quot;citationItems&quot;:[{&quot;id&quot;:&quot;c6eb50d4-c8ae-31b7-9d67-9f6c79d3c3fe&quot;,&quot;itemData&quot;:{&quot;type&quot;:&quot;book&quot;,&quot;id&quot;:&quot;c6eb50d4-c8ae-31b7-9d67-9f6c79d3c3fe&quot;,&quot;title&quot;:&quot;Design and Evaluation of Physical Protection Systems&quot;,&quot;author&quot;:[{&quot;family&quot;:&quot;Garcia&quot;,&quot;given&quot;:&quot;M.L.&quot;,&quot;parse-names&quot;:false,&quot;dropping-particle&quot;:&quot;&quot;,&quot;non-dropping-particle&quot;:&quot;&quot;}],&quot;ISBN&quot;:&quot;978‑0‑7506‑8352‑4&quot;,&quot;issued&quot;:{&quot;date-parts&quot;:[[2007]]},&quot;publisher-place&quot;:&quot;Oxford / Boston&quot;,&quot;edition&quot;:&quot;2nd&quot;,&quot;publisher&quot;:&quot;Butterworth‑Heinemann&quot;,&quot;container-title-short&quot;:&quot;&quot;},&quot;isTemporary&quot;:false}]},{&quot;citationID&quot;:&quot;MENDELEY_CITATION_3757819a-d909-42e1-88c2-5803d33902ce&quot;,&quot;properties&quot;:{&quot;noteIndex&quot;:0,&quot;mode&quot;:&quot;composite&quot;},&quot;isEdited&quot;:false,&quot;manualOverride&quot;:{&quot;isManuallyOverridden&quot;:false,&quot;citeprocText&quot;:&quot;Iaiani et al. (2025)&quot;,&quot;manualOverrideText&quot;:&quot;&quot;},&quot;citationTag&quot;:&quot;MENDELEY_CITATION_v3_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&quot;,&quot;citationItems&quot;:[{&quot;displayAs&quot;:&quot;composite&quot;,&quot;label&quot;:&quot;page&quot;,&quot;id&quot;:&quot;be4da912-9f6c-3788-96c0-75328f12360a&quot;,&quot;itemData&quot;:{&quot;type&quot;:&quot;article-journal&quot;,&quot;id&quot;:&quot;be4da912-9f6c-3788-96c0-75328f12360a&quot;,&quot;title&quot;:&quot;Identification of reference security scenarios from past event datasets by Bayesian Network analysis&quot;,&quot;author&quot;:[{&quot;family&quot;:&quot;Iaiani&quot;,&quot;given&quot;:&quot;Matteo&quot;,&quot;parse-names&quot;:false,&quot;dropping-particle&quot;:&quot;&quot;,&quot;non-dropping-particle&quot;:&quot;&quot;},{&quot;family&quot;:&quot;Fazari&quot;,&quot;given&quot;:&quot;Giuseppe&quot;,&quot;parse-names&quot;:false,&quot;dropping-particle&quot;:&quot;&quot;,&quot;non-dropping-particle&quot;:&quot;&quot;},{&quot;family&quot;:&quot;Tugnoli&quot;,&quot;given&quot;:&quot;Alessandro&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accessed&quot;:{&quot;date-parts&quot;:[[2025,11,21]]},&quot;DOI&quot;:&quot;10.1016/J.RESS.2024.110615&quot;,&quot;ISSN&quot;:&quot;0951-8320&quot;,&quot;URL&quot;:&quot;https://www.sciencedirect.com/science/article/pii/S0951832024006860&quot;,&quot;issued&quot;:{&quot;date-parts&quot;:[[2025,2,1]]},&quot;page&quot;:&quot;110615&quot;,&quot;abstract&quot;:&quot;The global threat of deliberate attacks on chemical, process, and energy facilities underscores the urgent need to enhance Security Vulnerability/Risk Assessment (SVA/SRA) approaches. Traditional assessments often use historical data and Exploratory Data Analysis (EDA) to identify reference scenarios. However, EDA lacks a standardized approach to identify and rank the incident chains. A novel methodology based on Bayesian Networks (BN), named BAS2E, was developed to support the systematic identification of reference scenarios from past event datasets. The methodology is based on the development of a static quantified BN, that accurately reflects the causal relationships in incident chains, focusing specifically on those between threats, attack methods, and physical damage scenarios. The BN is quantified by statistical information from the analysis of the incident records and employs the Noisy-OR gate model to manage data gaps in the conditional probability tables (CPTs) specification. The application of the BN sensitivity analysis provides quantification of the reciprocal influence between nodes using a specific derivative-based parameter, allowing for the systematic ranking of the most impactful incident chains to be included as reference scenarios in SVA/SRA. The methodology is demonstrated through its application to a dataset of 109 security incidents that occurred in the offshore Oil&amp;Gas sector.&quot;,&quot;publisher&quot;:&quot;Elsevier&quot;,&quot;volume&quot;:&quot;254&quot;},&quot;isTemporary&quot;:false,&quot;suppress-author&quot;:false,&quot;composite&quot;:true,&quot;author-only&quot;:false}]},{&quot;citationID&quot;:&quot;MENDELEY_CITATION_1d4b4548-a9ab-42e5-85af-d6beda41b5dc&quot;,&quot;properties&quot;:{&quot;noteIndex&quot;:0},&quot;isEdited&quot;:false,&quot;manualOverride&quot;:{&quot;isManuallyOverridden&quot;:false,&quot;citeprocText&quot;:&quot;(Iaiani et al., 2023)&quot;,&quot;manualOverrideText&quot;:&quot;&quot;},&quot;citationTag&quot;:&quot;MENDELEY_CITATION_v3_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&quot;,&quot;citationItems&quot;:[{&quot;id&quot;:&quot;40ef8131-d31b-38b4-9837-9b16c5b3ecae&quot;,&quot;itemData&quot;:{&quot;type&quot;:&quot;article-journal&quot;,&quot;id&quot;:&quot;40ef8131-d31b-38b4-9837-9b16c5b3ecae&quot;,&quot;title&quot;:&quot;Process hazard and operability analysis of BPCS and SIS malicious manipulations by POROS 2.0&quot;,&quot;author&quot;:[{&quot;family&quot;:&quot;Iaiani&quot;,&quot;given&quot;:&quot;Matteo&quot;,&quot;parse-names&quot;:false,&quot;dropping-particle&quot;:&quot;&quot;,&quot;non-dropping-particle&quot;:&quot;&quot;},{&quot;family&quot;:&quot;Tugnoli&quot;,&quot;given&quot;:&quot;Alessandro&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accessed&quot;:{&quot;date-parts&quot;:[[2025,5,9]]},&quot;DOI&quot;:&quot;10.1016/J.PSEP.2023.06.024&quot;,&quot;ISSN&quot;:&quot;0957-5820&quot;,&quot;URL&quot;:&quot;https://www.sciencedirect.com/science/article/pii/S0957582023005049&quot;,&quot;issued&quot;:{&quot;date-parts&quot;:[[2023,8,1]]},&quot;page&quot;:&quot;226-237&quot;,&quot;abstract&quot;:&quot;The increasing interconnectivity with external networks and the higher reliance on digital systems make the facilities of the chemical, process, and Oil&amp;Gas industry more vulnerable to cyber-attacks. These attacks have the potential of causing events with severe consequences on property, people, and the surrounding environment such as major event scenarios. The application of the currently available methodologies for cyber risk identification to complex plants with a large number of units may be demanding and cumbersome. The present study proposes an updated methodology, named POROS 2.0, that allows reducing time and effort in application by limiting the scope of the analysis to relevant cybersecurity scenarios. The latter are identified by investigating the potential escalation of consequences propagating among process and/or utility nodes of the manipulations of BPCS and SIS, similar to what is done in the HazOp technique in the safety domain. POROS 2.0 was demonstrated by the application to a case study addressing a fixed offshore platform for gas exploitation.&quot;,&quot;publisher&quot;:&quot;Elsevier&quot;,&quot;volume&quot;:&quot;176&quot;,&quot;container-title-short&quot;:&quot;&quot;},&quot;isTemporary&quot;:false}]},{&quot;citationID&quot;:&quot;MENDELEY_CITATION_efd0176e-6c99-4f0f-ae91-8f449f25f9a7&quot;,&quot;properties&quot;:{&quot;noteIndex&quot;:0},&quot;isEdited&quot;:false,&quot;manualOverride&quot;:{&quot;isManuallyOverridden&quot;:false,&quot;citeprocText&quot;:&quot;(Emam et al., 2024)&quot;,&quot;manualOverrideText&quot;:&quot;&quot;},&quot;citationTag&quot;:&quot;MENDELEY_CITATION_v3_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&quot;,&quot;citationItems&quot;:[{&quot;id&quot;:&quot;0ac53a36-89f8-333a-a095-3ef5e6b4f140&quot;,&quot;itemData&quot;:{&quot;type&quot;:&quot;article-journal&quot;,&quot;id&quot;:&quot;0ac53a36-89f8-333a-a095-3ef5e6b4f140&quot;,&quot;title&quot;:&quot;A review on recent trends, challenges, and innovations in alkaline water electrolysis&quot;,&quot;author&quot;:[{&quot;family&quot;:&quot;Emam&quot;,&quot;given&quot;:&quot;Abdelrahman S.&quot;,&quot;parse-names&quot;:false,&quot;dropping-particle&quot;:&quot;&quot;,&quot;non-dropping-particle&quot;:&quot;&quot;},{&quot;family&quot;:&quot;Hamdan&quot;,&quot;given&quot;:&quot;Mohammad O.&quot;,&quot;parse-names&quot;:false,&quot;dropping-particle&quot;:&quot;&quot;,&quot;non-dropping-particle&quot;:&quot;&quot;},{&quot;family&quot;:&quot;Abu-Nabah&quot;,&quot;given&quot;:&quot;Bassam A.&quot;,&quot;parse-names&quot;:false,&quot;dropping-particle&quot;:&quot;&quot;,&quot;non-dropping-particle&quot;:&quot;&quot;},{&quot;family&quot;:&quot;Elnajjar&quot;,&quot;given&quot;:&quot;Emad&quot;,&quot;parse-names&quot;:false,&quot;dropping-particle&quot;:&quot;&quot;,&quot;non-dropping-particle&quot;:&quot;&quot;}],&quot;container-title&quot;:&quot;International Journal of Hydrogen Energy&quot;,&quot;container-title-short&quot;:&quot;Int. J. Hydrogen Energy&quot;,&quot;accessed&quot;:{&quot;date-parts&quot;:[[2025,10,6]]},&quot;DOI&quot;:&quot;10.1016/J.IJHYDENE.2024.03.238&quot;,&quot;ISSN&quot;:&quot;0360-3199&quot;,&quot;URL&quot;:&quot;https://www.sciencedirect.com/science/article/pii/S036031992401070X&quot;,&quot;issued&quot;:{&quot;date-parts&quot;:[[2024,4,25]]},&quot;page&quot;:&quot;599-625&quot;,&quot;abstract&quot;:&quot;This review paper explores into the extensive realm of alkaline water electrolysis (AWE), a transformative technology for hydrogen production, offering profound insights and future prospects for sustainable growth. It embarks on this journey by explaining the fundamental principles, the application of Faraday's laws, electrolyzer design, and the intricate electrochemical processes transpiring at the cathode and anode. Subsequently, it investigates electrode materials, catalysts, membrane material and their recent developments, unveiling essential aspects of material selection and performance enhancement. The exploration extends to the domain of alkaline electrolyte solutions, where it provides a comprehensive overview of common electrolytes, the impact of concentration on system performance, and pioneering research on alternative electrolytes. Shifting focus towards large-scale systems and industrial applications, the paper unravels the economic feasibility, considerations regarding costs, and the transformative influence of alkaline water electrolysis on diverse industries. The final segment is dedicated to emerging trends and future directions. It casts light on recent breakthroughs and the potential for commercialization, presenting a vivid image of the evolving role of this technology in the sustainable energy landscape. The conclusive segment, this review offers a recapitulation of the key discoveries and insights presented throughout the paper, while delivering a critical evaluation of the present state of alkaline water electrolysis. It emphasizes the potential of the technology while recognizing critical research areas such as electrode materials, safety standards, scaling efficiency, flexible operation, and surface modification techniques. In the rapidly changing energy scenario, this paper stands as a testament to the dynamic nature of alkaline water electrolysis and its pivotal role in a sustainable energy future.&quot;,&quot;publisher&quot;:&quot;Pergamon&quot;,&quot;volume&quot;:&quot;64&quot;},&quot;isTemporary&quot;:false}]},{&quot;citationID&quot;:&quot;MENDELEY_CITATION_62e454e7-5cf8-4c6e-8ac9-ed0b1fd9453c&quot;,&quot;properties&quot;:{&quot;noteIndex&quot;:0},&quot;isEdited&quot;:false,&quot;manualOverride&quot;:{&quot;isManuallyOverridden&quot;:false,&quot;citeprocText&quot;:&quot;(Allebrod et al., 2014)&quot;,&quot;manualOverrideText&quot;:&quot;&quot;},&quot;citationTag&quot;:&quot;MENDELEY_CITATION_v3_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&quot;,&quot;citationItems&quot;:[{&quot;id&quot;:&quot;d89c5dab-a314-36c4-b57f-b85c1515e9d1&quot;,&quot;itemData&quot;:{&quot;type&quot;:&quot;article-journal&quot;,&quot;id&quot;:&quot;d89c5dab-a314-36c4-b57f-b85c1515e9d1&quot;,&quot;title&quot;:&quot;Cobalt and molybdenum activated electrodes in foam based alkaline electrolysis cells at 150–250 °C and 40 bar&quot;,&quot;author&quot;:[{&quot;family&quot;:&quot;Allebrod&quot;,&quot;given&quot;:&quot;Frank&quot;,&quot;parse-names&quot;:false,&quot;dropping-particle&quot;:&quot;&quot;,&quot;non-dropping-particle&quot;:&quot;&quot;},{&quot;family&quot;:&quot;Chatzichristodoulou&quot;,&quot;given&quot;:&quot;Christodoulos&quot;,&quot;parse-names&quot;:false,&quot;dropping-particle&quot;:&quot;&quot;,&quot;non-dropping-particle&quot;:&quot;&quot;},{&quot;family&quot;:&quot;Mogensen&quot;,&quot;given&quot;:&quot;Mogens B.&quot;,&quot;parse-names&quot;:false,&quot;dropping-particle&quot;:&quot;&quot;,&quot;non-dropping-particle&quot;:&quot;&quot;}],&quot;container-title&quot;:&quot;Journal of Power Sources&quot;,&quot;container-title-short&quot;:&quot;J. Power Sources&quot;,&quot;accessed&quot;:{&quot;date-parts&quot;:[[2025,11,7]]},&quot;DOI&quot;:&quot;10.1016/J.JPOWSOUR.2014.01.024&quot;,&quot;ISSN&quot;:&quot;0378-7753&quot;,&quot;URL&quot;:&quot;https://www.sciencedirect.com/science/article/pii/S0378775314000391?via%3Dihub&quot;,&quot;issued&quot;:{&quot;date-parts&quot;:[[2014,6,1]]},&quot;page&quot;:&quot;394-403&quot;,&quot;abstract&quot;:&quot;A new type of alkaline electrolysis cells with nickel foam based gas diffusion electrodes and KOH (aq) immobilized in mesoporous SrTiO3 has been developed and tested at temperatures of 150 C, 200 C and 250 C at a pressure of 40 bar. Two cells have been characterized during the 270 h long test, using impedance spectroscopy, cyclic voltammetry and chronoamperometry at an applied cell voltage of 1.5 V, 1.625 V and 1.75 V. The performance of the electrolysis cells was improved by the addition of cobalt oxide and molybdenum oxide as nano sized electro-catalysts. At 250 C current densities of 1.1 A cm-2 and 2.3 A cm-2 were obtained at cell voltages of 1.5 V and 1.75 V, respectively.© 2014 Elsevier B.V. All rights reserved.&quot;,&quot;publisher&quot;:&quot;Elsevier&quot;,&quot;volume&quot;:&quot;255&quot;},&quot;isTemporary&quot;:false}]},{&quot;citationID&quot;:&quot;MENDELEY_CITATION_deb6ec22-a334-4b1c-b8c4-41f610e86838&quot;,&quot;properties&quot;:{&quot;noteIndex&quot;:0},&quot;isEdited&quot;:false,&quot;manualOverride&quot;:{&quot;isManuallyOverridden&quot;:false,&quot;citeprocText&quot;:&quot;(Iaiani et al., 2023)&quot;,&quot;manualOverrideText&quot;:&quot;&quot;},&quot;citationTag&quot;:&quot;MENDELEY_CITATION_v3_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&quot;,&quot;citationItems&quot;:[{&quot;id&quot;:&quot;40ef8131-d31b-38b4-9837-9b16c5b3ecae&quot;,&quot;itemData&quot;:{&quot;type&quot;:&quot;article-journal&quot;,&quot;id&quot;:&quot;40ef8131-d31b-38b4-9837-9b16c5b3ecae&quot;,&quot;title&quot;:&quot;Process hazard and operability analysis of BPCS and SIS malicious manipulations by POROS 2.0&quot;,&quot;author&quot;:[{&quot;family&quot;:&quot;Iaiani&quot;,&quot;given&quot;:&quot;Matteo&quot;,&quot;parse-names&quot;:false,&quot;dropping-particle&quot;:&quot;&quot;,&quot;non-dropping-particle&quot;:&quot;&quot;},{&quot;family&quot;:&quot;Tugnoli&quot;,&quot;given&quot;:&quot;Alessandro&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accessed&quot;:{&quot;date-parts&quot;:[[2025,5,9]]},&quot;DOI&quot;:&quot;10.1016/J.PSEP.2023.06.024&quot;,&quot;ISSN&quot;:&quot;0957-5820&quot;,&quot;URL&quot;:&quot;https://www.sciencedirect.com/science/article/pii/S0957582023005049&quot;,&quot;issued&quot;:{&quot;date-parts&quot;:[[2023,8,1]]},&quot;page&quot;:&quot;226-237&quot;,&quot;abstract&quot;:&quot;The increasing interconnectivity with external networks and the higher reliance on digital systems make the facilities of the chemical, process, and Oil&amp;Gas industry more vulnerable to cyber-attacks. These attacks have the potential of causing events with severe consequences on property, people, and the surrounding environment such as major event scenarios. The application of the currently available methodologies for cyber risk identification to complex plants with a large number of units may be demanding and cumbersome. The present study proposes an updated methodology, named POROS 2.0, that allows reducing time and effort in application by limiting the scope of the analysis to relevant cybersecurity scenarios. The latter are identified by investigating the potential escalation of consequences propagating among process and/or utility nodes of the manipulations of BPCS and SIS, similar to what is done in the HazOp technique in the safety domain. POROS 2.0 was demonstrated by the application to a case study addressing a fixed offshore platform for gas exploitation.&quot;,&quot;publisher&quot;:&quot;Elsevier&quot;,&quot;volume&quot;:&quot;176&quot;,&quot;container-title-short&quot;:&quot;&quot;},&quot;isTemporary&quot;:false}]},{&quot;citationID&quot;:&quot;MENDELEY_CITATION_5693ff45-a961-4e90-819e-20d3597b3197&quot;,&quot;properties&quot;:{&quot;noteIndex&quot;:0},&quot;isEdited&quot;:false,&quot;manualOverride&quot;:{&quot;isManuallyOverridden&quot;:false,&quot;citeprocText&quot;:&quot;(Allebrod et al., 2014)&quot;,&quot;manualOverrideText&quot;:&quot;&quot;},&quot;citationTag&quot;:&quot;MENDELEY_CITATION_v3_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&quot;,&quot;citationItems&quot;:[{&quot;id&quot;:&quot;d89c5dab-a314-36c4-b57f-b85c1515e9d1&quot;,&quot;itemData&quot;:{&quot;type&quot;:&quot;article-journal&quot;,&quot;id&quot;:&quot;d89c5dab-a314-36c4-b57f-b85c1515e9d1&quot;,&quot;title&quot;:&quot;Cobalt and molybdenum activated electrodes in foam based alkaline electrolysis cells at 150–250 °C and 40 bar&quot;,&quot;author&quot;:[{&quot;family&quot;:&quot;Allebrod&quot;,&quot;given&quot;:&quot;Frank&quot;,&quot;parse-names&quot;:false,&quot;dropping-particle&quot;:&quot;&quot;,&quot;non-dropping-particle&quot;:&quot;&quot;},{&quot;family&quot;:&quot;Chatzichristodoulou&quot;,&quot;given&quot;:&quot;Christodoulos&quot;,&quot;parse-names&quot;:false,&quot;dropping-particle&quot;:&quot;&quot;,&quot;non-dropping-particle&quot;:&quot;&quot;},{&quot;family&quot;:&quot;Mogensen&quot;,&quot;given&quot;:&quot;Mogens B.&quot;,&quot;parse-names&quot;:false,&quot;dropping-particle&quot;:&quot;&quot;,&quot;non-dropping-particle&quot;:&quot;&quot;}],&quot;container-title&quot;:&quot;Journal of Power Sources&quot;,&quot;container-title-short&quot;:&quot;J. Power Sources&quot;,&quot;accessed&quot;:{&quot;date-parts&quot;:[[2025,11,7]]},&quot;DOI&quot;:&quot;10.1016/J.JPOWSOUR.2014.01.024&quot;,&quot;ISSN&quot;:&quot;0378-7753&quot;,&quot;URL&quot;:&quot;https://www.sciencedirect.com/science/article/pii/S0378775314000391?via%3Dihub&quot;,&quot;issued&quot;:{&quot;date-parts&quot;:[[2014,6,1]]},&quot;page&quot;:&quot;394-403&quot;,&quot;abstract&quot;:&quot;A new type of alkaline electrolysis cells with nickel foam based gas diffusion electrodes and KOH (aq) immobilized in mesoporous SrTiO3 has been developed and tested at temperatures of 150 C, 200 C and 250 C at a pressure of 40 bar. Two cells have been characterized during the 270 h long test, using impedance spectroscopy, cyclic voltammetry and chronoamperometry at an applied cell voltage of 1.5 V, 1.625 V and 1.75 V. The performance of the electrolysis cells was improved by the addition of cobalt oxide and molybdenum oxide as nano sized electro-catalysts. At 250 C current densities of 1.1 A cm-2 and 2.3 A cm-2 were obtained at cell voltages of 1.5 V and 1.75 V, respectively.© 2014 Elsevier B.V. All rights reserved.&quot;,&quot;publisher&quot;:&quot;Elsevier&quot;,&quot;volume&quot;:&quot;255&quot;},&quot;isTemporary&quot;:false}]},{&quot;citationID&quot;:&quot;MENDELEY_CITATION_2f6bfe46-525a-415b-9b9a-00822b90050c&quot;,&quot;properties&quot;:{&quot;noteIndex&quot;:0},&quot;isEdited&quot;:false,&quot;manualOverride&quot;:{&quot;isManuallyOverridden&quot;:false,&quot;citeprocText&quot;:&quot;(Allebrod et al., 2014)&quot;,&quot;manualOverrideText&quot;:&quot;&quot;},&quot;citationTag&quot;:&quot;MENDELEY_CITATION_v3_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&quot;,&quot;citationItems&quot;:[{&quot;id&quot;:&quot;d89c5dab-a314-36c4-b57f-b85c1515e9d1&quot;,&quot;itemData&quot;:{&quot;type&quot;:&quot;article-journal&quot;,&quot;id&quot;:&quot;d89c5dab-a314-36c4-b57f-b85c1515e9d1&quot;,&quot;title&quot;:&quot;Cobalt and molybdenum activated electrodes in foam based alkaline electrolysis cells at 150–250 °C and 40 bar&quot;,&quot;author&quot;:[{&quot;family&quot;:&quot;Allebrod&quot;,&quot;given&quot;:&quot;Frank&quot;,&quot;parse-names&quot;:false,&quot;dropping-particle&quot;:&quot;&quot;,&quot;non-dropping-particle&quot;:&quot;&quot;},{&quot;family&quot;:&quot;Chatzichristodoulou&quot;,&quot;given&quot;:&quot;Christodoulos&quot;,&quot;parse-names&quot;:false,&quot;dropping-particle&quot;:&quot;&quot;,&quot;non-dropping-particle&quot;:&quot;&quot;},{&quot;family&quot;:&quot;Mogensen&quot;,&quot;given&quot;:&quot;Mogens B.&quot;,&quot;parse-names&quot;:false,&quot;dropping-particle&quot;:&quot;&quot;,&quot;non-dropping-particle&quot;:&quot;&quot;}],&quot;container-title&quot;:&quot;Journal of Power Sources&quot;,&quot;container-title-short&quot;:&quot;J. Power Sources&quot;,&quot;accessed&quot;:{&quot;date-parts&quot;:[[2025,11,7]]},&quot;DOI&quot;:&quot;10.1016/J.JPOWSOUR.2014.01.024&quot;,&quot;ISSN&quot;:&quot;0378-7753&quot;,&quot;URL&quot;:&quot;https://www.sciencedirect.com/science/article/pii/S0378775314000391?via%3Dihub&quot;,&quot;issued&quot;:{&quot;date-parts&quot;:[[2014,6,1]]},&quot;page&quot;:&quot;394-403&quot;,&quot;abstract&quot;:&quot;A new type of alkaline electrolysis cells with nickel foam based gas diffusion electrodes and KOH (aq) immobilized in mesoporous SrTiO3 has been developed and tested at temperatures of 150 C, 200 C and 250 C at a pressure of 40 bar. Two cells have been characterized during the 270 h long test, using impedance spectroscopy, cyclic voltammetry and chronoamperometry at an applied cell voltage of 1.5 V, 1.625 V and 1.75 V. The performance of the electrolysis cells was improved by the addition of cobalt oxide and molybdenum oxide as nano sized electro-catalysts. At 250 C current densities of 1.1 A cm-2 and 2.3 A cm-2 were obtained at cell voltages of 1.5 V and 1.75 V, respectively.© 2014 Elsevier B.V. All rights reserved.&quot;,&quot;publisher&quot;:&quot;Elsevier&quot;,&quot;volume&quot;:&quot;255&quot;},&quot;isTemporary&quot;:false}]}]"/>
    <we:property name="MENDELEY_CITATIONS_LOCALE_CODE" value="&quot;en-US&quot;"/>
    <we:property name="MENDELEY_CITATIONS_STYLE" value="{&quot;id&quot;:&quot;https://www.zotero.org/styles/process-safety-and-environmental-protection&quot;,&quot;title&quot;:&quot;Process Safety and Environmental Prote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535b4d-a0e8-46fb-bdf6-5ee4267324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F6169BFE15644B721CDD8725E19CC" ma:contentTypeVersion="11" ma:contentTypeDescription="Create a new document." ma:contentTypeScope="" ma:versionID="8444508e431f60b8a573f78b7722cd92">
  <xsd:schema xmlns:xsd="http://www.w3.org/2001/XMLSchema" xmlns:xs="http://www.w3.org/2001/XMLSchema" xmlns:p="http://schemas.microsoft.com/office/2006/metadata/properties" xmlns:ns3="07535b4d-a0e8-46fb-bdf6-5ee4267324c1" targetNamespace="http://schemas.microsoft.com/office/2006/metadata/properties" ma:root="true" ma:fieldsID="0df49465a1823d17948f8101bfaaa97f" ns3:_="">
    <xsd:import namespace="07535b4d-a0e8-46fb-bdf6-5ee4267324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5b4d-a0e8-46fb-bdf6-5ee4267324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C8158-C077-45BC-9A9C-910BB512E0D9}">
  <ds:schemaRefs>
    <ds:schemaRef ds:uri="http://schemas.microsoft.com/office/2006/metadata/properties"/>
    <ds:schemaRef ds:uri="http://schemas.microsoft.com/office/infopath/2007/PartnerControls"/>
    <ds:schemaRef ds:uri="07535b4d-a0e8-46fb-bdf6-5ee4267324c1"/>
  </ds:schemaRefs>
</ds:datastoreItem>
</file>

<file path=customXml/itemProps2.xml><?xml version="1.0" encoding="utf-8"?>
<ds:datastoreItem xmlns:ds="http://schemas.openxmlformats.org/officeDocument/2006/customXml" ds:itemID="{4FACA49E-43F7-4D9F-9824-D6846F955C2C}">
  <ds:schemaRefs>
    <ds:schemaRef ds:uri="http://schemas.microsoft.com/sharepoint/v3/contenttype/forms"/>
  </ds:schemaRefs>
</ds:datastoreItem>
</file>

<file path=customXml/itemProps3.xml><?xml version="1.0" encoding="utf-8"?>
<ds:datastoreItem xmlns:ds="http://schemas.openxmlformats.org/officeDocument/2006/customXml" ds:itemID="{3E602B0C-8BD1-44F4-AB17-BD7BEC374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5b4d-a0e8-46fb-bdf6-5ee426732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81C7D-D4CE-41A4-8527-73A11EC6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6</Pages>
  <Words>3462</Words>
  <Characters>19735</Characters>
  <Application>Microsoft Office Word</Application>
  <DocSecurity>0</DocSecurity>
  <Lines>164</Lines>
  <Paragraphs>46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Antonio Manzi</cp:lastModifiedBy>
  <cp:revision>5</cp:revision>
  <cp:lastPrinted>2015-05-12T18:31:00Z</cp:lastPrinted>
  <dcterms:created xsi:type="dcterms:W3CDTF">2026-03-12T14:03:00Z</dcterms:created>
  <dcterms:modified xsi:type="dcterms:W3CDTF">2026-04-23T16:47:00Z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0x01010034DF6169BFE15644B721CDD8725E19CC</vt:lpwstr>
  </property>
</Properties>
</file>