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AA4037" w14:paraId="2A131A54" w14:textId="77777777" w:rsidTr="000F4798">
        <w:trPr>
          <w:trHeight w:val="852"/>
          <w:jc w:val="center"/>
        </w:trPr>
        <w:tc>
          <w:tcPr>
            <w:tcW w:w="6940" w:type="dxa"/>
            <w:vMerge w:val="restart"/>
            <w:tcBorders>
              <w:right w:val="single" w:sz="4" w:space="0" w:color="auto"/>
            </w:tcBorders>
          </w:tcPr>
          <w:p w14:paraId="38C3D2BA" w14:textId="77777777" w:rsidR="000A03B2" w:rsidRPr="00AA4037" w:rsidRDefault="000A03B2" w:rsidP="00DE264A">
            <w:pPr>
              <w:tabs>
                <w:tab w:val="left" w:pos="-108"/>
              </w:tabs>
              <w:ind w:left="-108"/>
              <w:jc w:val="left"/>
              <w:rPr>
                <w:rFonts w:cs="Arial"/>
                <w:b/>
                <w:bCs/>
                <w:i/>
                <w:iCs/>
                <w:color w:val="000066"/>
                <w:sz w:val="12"/>
                <w:szCs w:val="12"/>
                <w:lang w:eastAsia="it-IT"/>
              </w:rPr>
            </w:pPr>
            <w:bookmarkStart w:id="0" w:name="_Hlk145068772"/>
            <w:r w:rsidRPr="00AA4037">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1"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AA4037">
              <w:rPr>
                <w:rFonts w:ascii="AdvP6960" w:hAnsi="AdvP6960" w:cs="AdvP6960"/>
                <w:color w:val="241F20"/>
                <w:szCs w:val="18"/>
                <w:lang w:eastAsia="it-IT"/>
              </w:rPr>
              <w:t xml:space="preserve"> </w:t>
            </w:r>
            <w:r w:rsidRPr="00AA4037">
              <w:rPr>
                <w:rFonts w:cs="Arial"/>
                <w:b/>
                <w:bCs/>
                <w:i/>
                <w:iCs/>
                <w:color w:val="000066"/>
                <w:sz w:val="24"/>
                <w:szCs w:val="24"/>
                <w:lang w:eastAsia="it-IT"/>
              </w:rPr>
              <w:t>CHEMICAL ENGINEERING</w:t>
            </w:r>
            <w:r w:rsidRPr="00AA4037">
              <w:rPr>
                <w:rFonts w:cs="Arial"/>
                <w:b/>
                <w:bCs/>
                <w:i/>
                <w:iCs/>
                <w:color w:val="0033FF"/>
                <w:sz w:val="24"/>
                <w:szCs w:val="24"/>
                <w:lang w:eastAsia="it-IT"/>
              </w:rPr>
              <w:t xml:space="preserve"> </w:t>
            </w:r>
            <w:r w:rsidRPr="00AA4037">
              <w:rPr>
                <w:rFonts w:cs="Arial"/>
                <w:b/>
                <w:bCs/>
                <w:i/>
                <w:iCs/>
                <w:color w:val="666666"/>
                <w:sz w:val="24"/>
                <w:szCs w:val="24"/>
                <w:lang w:eastAsia="it-IT"/>
              </w:rPr>
              <w:t>TRANSACTIONS</w:t>
            </w:r>
            <w:r w:rsidRPr="00AA4037">
              <w:rPr>
                <w:color w:val="333333"/>
                <w:sz w:val="24"/>
                <w:szCs w:val="24"/>
                <w:lang w:eastAsia="it-IT"/>
              </w:rPr>
              <w:t xml:space="preserve"> </w:t>
            </w:r>
            <w:r w:rsidRPr="00AA4037">
              <w:rPr>
                <w:rFonts w:cs="Arial"/>
                <w:b/>
                <w:bCs/>
                <w:i/>
                <w:iCs/>
                <w:color w:val="000066"/>
                <w:sz w:val="27"/>
                <w:szCs w:val="27"/>
                <w:lang w:eastAsia="it-IT"/>
              </w:rPr>
              <w:br/>
            </w:r>
          </w:p>
          <w:p w14:paraId="4B780582" w14:textId="753620B8" w:rsidR="000A03B2" w:rsidRPr="00AA4037" w:rsidRDefault="00A76EFC" w:rsidP="001D21AF">
            <w:pPr>
              <w:tabs>
                <w:tab w:val="left" w:pos="-108"/>
              </w:tabs>
              <w:ind w:left="-108"/>
              <w:rPr>
                <w:rFonts w:cs="Arial"/>
                <w:b/>
                <w:bCs/>
                <w:i/>
                <w:iCs/>
                <w:color w:val="000066"/>
                <w:sz w:val="22"/>
                <w:szCs w:val="22"/>
                <w:lang w:eastAsia="it-IT"/>
              </w:rPr>
            </w:pPr>
            <w:r w:rsidRPr="00AA4037">
              <w:rPr>
                <w:rFonts w:cs="Arial"/>
                <w:b/>
                <w:bCs/>
                <w:i/>
                <w:iCs/>
                <w:color w:val="000066"/>
                <w:sz w:val="22"/>
                <w:szCs w:val="22"/>
                <w:lang w:eastAsia="it-IT"/>
              </w:rPr>
              <w:t>VOL.</w:t>
            </w:r>
            <w:r w:rsidR="00785BF9" w:rsidRPr="00AA4037">
              <w:rPr>
                <w:rFonts w:cs="Arial"/>
                <w:b/>
                <w:bCs/>
                <w:i/>
                <w:iCs/>
                <w:color w:val="000066"/>
                <w:sz w:val="22"/>
                <w:szCs w:val="22"/>
                <w:lang w:eastAsia="it-IT"/>
              </w:rPr>
              <w:t xml:space="preserve"> </w:t>
            </w:r>
            <w:r w:rsidR="00AD0278" w:rsidRPr="00AA4037">
              <w:rPr>
                <w:rFonts w:cs="Arial"/>
                <w:b/>
                <w:bCs/>
                <w:i/>
                <w:iCs/>
                <w:color w:val="000066"/>
                <w:sz w:val="22"/>
                <w:szCs w:val="22"/>
                <w:lang w:eastAsia="it-IT"/>
              </w:rPr>
              <w:t>xxx</w:t>
            </w:r>
            <w:r w:rsidR="007B48F9" w:rsidRPr="00AA4037">
              <w:rPr>
                <w:rFonts w:cs="Arial"/>
                <w:b/>
                <w:bCs/>
                <w:i/>
                <w:iCs/>
                <w:color w:val="000066"/>
                <w:sz w:val="22"/>
                <w:szCs w:val="22"/>
                <w:lang w:eastAsia="it-IT"/>
              </w:rPr>
              <w:t>,</w:t>
            </w:r>
            <w:r w:rsidR="00FA5F5F" w:rsidRPr="00AA4037">
              <w:rPr>
                <w:rFonts w:cs="Arial"/>
                <w:b/>
                <w:bCs/>
                <w:i/>
                <w:iCs/>
                <w:color w:val="000066"/>
                <w:sz w:val="22"/>
                <w:szCs w:val="22"/>
                <w:lang w:eastAsia="it-IT"/>
              </w:rPr>
              <w:t xml:space="preserve"> </w:t>
            </w:r>
            <w:r w:rsidR="0030152C" w:rsidRPr="00AA4037">
              <w:rPr>
                <w:rFonts w:cs="Arial"/>
                <w:b/>
                <w:bCs/>
                <w:i/>
                <w:iCs/>
                <w:color w:val="000066"/>
                <w:sz w:val="22"/>
                <w:szCs w:val="22"/>
                <w:lang w:eastAsia="it-IT"/>
              </w:rPr>
              <w:t>202</w:t>
            </w:r>
            <w:r w:rsidR="00AD0278" w:rsidRPr="00AA4037">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AA4037" w:rsidRDefault="000A03B2" w:rsidP="00CD5FE2">
            <w:pPr>
              <w:spacing w:line="140" w:lineRule="atLeast"/>
              <w:jc w:val="right"/>
              <w:rPr>
                <w:rFonts w:cs="Arial"/>
                <w:sz w:val="14"/>
                <w:szCs w:val="14"/>
              </w:rPr>
            </w:pPr>
            <w:r w:rsidRPr="00AA4037">
              <w:rPr>
                <w:rFonts w:cs="Arial"/>
                <w:sz w:val="14"/>
                <w:szCs w:val="14"/>
              </w:rPr>
              <w:t>A publication of</w:t>
            </w:r>
          </w:p>
          <w:p w14:paraId="599E5441" w14:textId="77777777" w:rsidR="000A03B2" w:rsidRPr="00AA4037" w:rsidRDefault="000A03B2" w:rsidP="00CD5FE2">
            <w:pPr>
              <w:jc w:val="right"/>
            </w:pPr>
            <w:r w:rsidRPr="00AA4037">
              <w:rPr>
                <w:noProof/>
                <w:lang w:eastAsia="it-IT"/>
              </w:rPr>
              <w:drawing>
                <wp:inline distT="0" distB="0" distL="0" distR="0" wp14:anchorId="59C75AF4" wp14:editId="4FF92432">
                  <wp:extent cx="670560" cy="358140"/>
                  <wp:effectExtent l="0" t="0" r="0" b="3810"/>
                  <wp:docPr id="6" name="Immagine 2"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AA4037" w14:paraId="380FA3CD" w14:textId="77777777" w:rsidTr="000F4798">
        <w:trPr>
          <w:trHeight w:val="567"/>
          <w:jc w:val="center"/>
        </w:trPr>
        <w:tc>
          <w:tcPr>
            <w:tcW w:w="6940" w:type="dxa"/>
            <w:vMerge/>
            <w:tcBorders>
              <w:right w:val="single" w:sz="4" w:space="0" w:color="auto"/>
            </w:tcBorders>
          </w:tcPr>
          <w:p w14:paraId="39E5E4C1" w14:textId="77777777" w:rsidR="000A03B2" w:rsidRPr="00AA4037"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AA4037" w:rsidRDefault="000A03B2" w:rsidP="00CD5FE2">
            <w:pPr>
              <w:spacing w:line="140" w:lineRule="atLeast"/>
              <w:jc w:val="right"/>
              <w:rPr>
                <w:rFonts w:cs="Arial"/>
                <w:sz w:val="14"/>
                <w:szCs w:val="14"/>
              </w:rPr>
            </w:pPr>
            <w:r w:rsidRPr="00AA4037">
              <w:rPr>
                <w:rFonts w:cs="Arial"/>
                <w:sz w:val="14"/>
                <w:szCs w:val="14"/>
              </w:rPr>
              <w:t>The Italian Association</w:t>
            </w:r>
          </w:p>
          <w:p w14:paraId="7522B1D2" w14:textId="77777777" w:rsidR="000A03B2" w:rsidRPr="00AA4037" w:rsidRDefault="000A03B2" w:rsidP="00CD5FE2">
            <w:pPr>
              <w:spacing w:line="140" w:lineRule="atLeast"/>
              <w:jc w:val="right"/>
              <w:rPr>
                <w:rFonts w:cs="Arial"/>
                <w:sz w:val="14"/>
                <w:szCs w:val="14"/>
              </w:rPr>
            </w:pPr>
            <w:r w:rsidRPr="00AA4037">
              <w:rPr>
                <w:rFonts w:cs="Arial"/>
                <w:sz w:val="14"/>
                <w:szCs w:val="14"/>
              </w:rPr>
              <w:t>of Chemical Engineering</w:t>
            </w:r>
          </w:p>
          <w:p w14:paraId="4F0CC5DE" w14:textId="47FDB2FC" w:rsidR="000A03B2" w:rsidRPr="00AA4037" w:rsidRDefault="000D0268" w:rsidP="00CD5FE2">
            <w:pPr>
              <w:spacing w:line="140" w:lineRule="atLeast"/>
              <w:jc w:val="right"/>
              <w:rPr>
                <w:rFonts w:cs="Arial"/>
                <w:sz w:val="13"/>
                <w:szCs w:val="13"/>
              </w:rPr>
            </w:pPr>
            <w:r w:rsidRPr="00AA4037">
              <w:rPr>
                <w:rFonts w:cs="Arial"/>
                <w:sz w:val="13"/>
                <w:szCs w:val="13"/>
              </w:rPr>
              <w:t>Online at www.cetjournal.it</w:t>
            </w:r>
          </w:p>
        </w:tc>
      </w:tr>
      <w:tr w:rsidR="000A03B2" w:rsidRPr="00AA4037" w14:paraId="2D1B7169" w14:textId="77777777" w:rsidTr="000F4798">
        <w:trPr>
          <w:trHeight w:val="68"/>
          <w:jc w:val="center"/>
        </w:trPr>
        <w:tc>
          <w:tcPr>
            <w:tcW w:w="8782" w:type="dxa"/>
            <w:gridSpan w:val="2"/>
          </w:tcPr>
          <w:p w14:paraId="1D8DD3C9" w14:textId="775EC904" w:rsidR="00AA7D26" w:rsidRPr="00403C00" w:rsidRDefault="004A5E57" w:rsidP="007A6DF8">
            <w:pPr>
              <w:ind w:left="-107"/>
              <w:outlineLvl w:val="2"/>
              <w:rPr>
                <w:rFonts w:ascii="Tahoma" w:hAnsi="Tahoma" w:cs="Tahoma"/>
                <w:color w:val="000000"/>
                <w:sz w:val="14"/>
                <w:szCs w:val="14"/>
                <w:shd w:val="clear" w:color="auto" w:fill="FFFFFF"/>
                <w:lang w:val="it-IT"/>
              </w:rPr>
            </w:pPr>
            <w:r w:rsidRPr="00403C00">
              <w:rPr>
                <w:rFonts w:ascii="Tahoma" w:hAnsi="Tahoma" w:cs="Tahoma"/>
                <w:iCs/>
                <w:color w:val="333333"/>
                <w:sz w:val="14"/>
                <w:szCs w:val="14"/>
                <w:lang w:val="it-IT" w:eastAsia="it-IT"/>
              </w:rPr>
              <w:t>Guest Editors:</w:t>
            </w:r>
            <w:r w:rsidRPr="00403C00">
              <w:rPr>
                <w:rFonts w:ascii="Tahoma" w:hAnsi="Tahoma" w:cs="Tahoma"/>
                <w:color w:val="000000"/>
                <w:sz w:val="14"/>
                <w:szCs w:val="14"/>
                <w:shd w:val="clear" w:color="auto" w:fill="FFFFFF"/>
                <w:lang w:val="it-IT"/>
              </w:rPr>
              <w:t xml:space="preserve"> </w:t>
            </w:r>
            <w:r w:rsidR="007A6DF8" w:rsidRPr="00403C00">
              <w:rPr>
                <w:rFonts w:ascii="Tahoma" w:hAnsi="Tahoma" w:cs="Tahoma"/>
                <w:color w:val="000000"/>
                <w:sz w:val="14"/>
                <w:szCs w:val="14"/>
                <w:shd w:val="clear" w:color="auto" w:fill="FFFFFF"/>
                <w:lang w:val="it-IT"/>
              </w:rPr>
              <w:t xml:space="preserve">Valerio </w:t>
            </w:r>
            <w:proofErr w:type="spellStart"/>
            <w:r w:rsidR="007A6DF8" w:rsidRPr="00403C00">
              <w:rPr>
                <w:rFonts w:ascii="Tahoma" w:hAnsi="Tahoma" w:cs="Tahoma"/>
                <w:color w:val="000000"/>
                <w:sz w:val="14"/>
                <w:szCs w:val="14"/>
                <w:shd w:val="clear" w:color="auto" w:fill="FFFFFF"/>
                <w:lang w:val="it-IT"/>
              </w:rPr>
              <w:t>Cozzani</w:t>
            </w:r>
            <w:proofErr w:type="spellEnd"/>
            <w:r w:rsidR="007A6DF8" w:rsidRPr="00403C00">
              <w:rPr>
                <w:rFonts w:ascii="Tahoma" w:hAnsi="Tahoma" w:cs="Tahoma"/>
                <w:color w:val="000000"/>
                <w:sz w:val="14"/>
                <w:szCs w:val="14"/>
                <w:shd w:val="clear" w:color="auto" w:fill="FFFFFF"/>
                <w:lang w:val="it-IT"/>
              </w:rPr>
              <w:t xml:space="preserve">, Bruno Fabiano, </w:t>
            </w:r>
            <w:proofErr w:type="spellStart"/>
            <w:r w:rsidR="007A6DF8" w:rsidRPr="00403C00">
              <w:rPr>
                <w:rFonts w:ascii="Tahoma" w:hAnsi="Tahoma" w:cs="Tahoma"/>
                <w:color w:val="000000"/>
                <w:sz w:val="14"/>
                <w:szCs w:val="14"/>
                <w:shd w:val="clear" w:color="auto" w:fill="FFFFFF"/>
                <w:lang w:val="it-IT"/>
              </w:rPr>
              <w:t>Genserik</w:t>
            </w:r>
            <w:proofErr w:type="spellEnd"/>
            <w:r w:rsidR="007A6DF8" w:rsidRPr="00403C00">
              <w:rPr>
                <w:rFonts w:ascii="Tahoma" w:hAnsi="Tahoma" w:cs="Tahoma"/>
                <w:color w:val="000000"/>
                <w:sz w:val="14"/>
                <w:szCs w:val="14"/>
                <w:shd w:val="clear" w:color="auto" w:fill="FFFFFF"/>
                <w:lang w:val="it-IT"/>
              </w:rPr>
              <w:t xml:space="preserve"> </w:t>
            </w:r>
            <w:proofErr w:type="spellStart"/>
            <w:r w:rsidR="007A6DF8" w:rsidRPr="00403C00">
              <w:rPr>
                <w:rFonts w:ascii="Tahoma" w:hAnsi="Tahoma" w:cs="Tahoma"/>
                <w:color w:val="000000"/>
                <w:sz w:val="14"/>
                <w:szCs w:val="14"/>
                <w:shd w:val="clear" w:color="auto" w:fill="FFFFFF"/>
                <w:lang w:val="it-IT"/>
              </w:rPr>
              <w:t>Reniers</w:t>
            </w:r>
            <w:proofErr w:type="spellEnd"/>
          </w:p>
          <w:p w14:paraId="1B0F1814" w14:textId="710B7B96" w:rsidR="000A03B2" w:rsidRPr="00AA4037" w:rsidRDefault="00AA7D26" w:rsidP="00AA7D26">
            <w:pPr>
              <w:tabs>
                <w:tab w:val="left" w:pos="-108"/>
              </w:tabs>
              <w:spacing w:line="140" w:lineRule="atLeast"/>
              <w:ind w:left="-107"/>
              <w:jc w:val="left"/>
            </w:pPr>
            <w:r w:rsidRPr="00AA4037">
              <w:rPr>
                <w:rFonts w:ascii="Tahoma" w:hAnsi="Tahoma" w:cs="Tahoma"/>
                <w:iCs/>
                <w:color w:val="333333"/>
                <w:sz w:val="14"/>
                <w:szCs w:val="14"/>
                <w:lang w:eastAsia="it-IT"/>
              </w:rPr>
              <w:t>Copyright © 202</w:t>
            </w:r>
            <w:r w:rsidR="00005884" w:rsidRPr="00AA4037">
              <w:rPr>
                <w:rFonts w:ascii="Tahoma" w:hAnsi="Tahoma" w:cs="Tahoma"/>
                <w:iCs/>
                <w:color w:val="333333"/>
                <w:sz w:val="14"/>
                <w:szCs w:val="14"/>
                <w:lang w:eastAsia="it-IT"/>
              </w:rPr>
              <w:t>6</w:t>
            </w:r>
            <w:r w:rsidRPr="00AA4037">
              <w:rPr>
                <w:rFonts w:ascii="Tahoma" w:hAnsi="Tahoma" w:cs="Tahoma"/>
                <w:iCs/>
                <w:color w:val="333333"/>
                <w:sz w:val="14"/>
                <w:szCs w:val="14"/>
                <w:lang w:eastAsia="it-IT"/>
              </w:rPr>
              <w:t xml:space="preserve">, AIDIC </w:t>
            </w:r>
            <w:proofErr w:type="spellStart"/>
            <w:r w:rsidRPr="00AA4037">
              <w:rPr>
                <w:rFonts w:ascii="Tahoma" w:hAnsi="Tahoma" w:cs="Tahoma"/>
                <w:iCs/>
                <w:color w:val="333333"/>
                <w:sz w:val="14"/>
                <w:szCs w:val="14"/>
                <w:lang w:eastAsia="it-IT"/>
              </w:rPr>
              <w:t>Servizi</w:t>
            </w:r>
            <w:proofErr w:type="spellEnd"/>
            <w:r w:rsidRPr="00AA4037">
              <w:rPr>
                <w:rFonts w:ascii="Tahoma" w:hAnsi="Tahoma" w:cs="Tahoma"/>
                <w:iCs/>
                <w:color w:val="333333"/>
                <w:sz w:val="14"/>
                <w:szCs w:val="14"/>
                <w:lang w:eastAsia="it-IT"/>
              </w:rPr>
              <w:t xml:space="preserve"> </w:t>
            </w:r>
            <w:proofErr w:type="spellStart"/>
            <w:r w:rsidRPr="00AA4037">
              <w:rPr>
                <w:rFonts w:ascii="Tahoma" w:hAnsi="Tahoma" w:cs="Tahoma"/>
                <w:iCs/>
                <w:color w:val="333333"/>
                <w:sz w:val="14"/>
                <w:szCs w:val="14"/>
                <w:lang w:eastAsia="it-IT"/>
              </w:rPr>
              <w:t>S.r.l</w:t>
            </w:r>
            <w:proofErr w:type="spellEnd"/>
            <w:r w:rsidRPr="00AA4037">
              <w:rPr>
                <w:rFonts w:ascii="Tahoma" w:hAnsi="Tahoma" w:cs="Tahoma"/>
                <w:iCs/>
                <w:color w:val="333333"/>
                <w:sz w:val="14"/>
                <w:szCs w:val="14"/>
                <w:lang w:eastAsia="it-IT"/>
              </w:rPr>
              <w:t>.</w:t>
            </w:r>
            <w:r w:rsidRPr="00AA4037">
              <w:rPr>
                <w:rFonts w:ascii="Tahoma" w:hAnsi="Tahoma" w:cs="Tahoma"/>
                <w:iCs/>
                <w:color w:val="333333"/>
                <w:sz w:val="14"/>
                <w:szCs w:val="14"/>
                <w:lang w:eastAsia="it-IT"/>
              </w:rPr>
              <w:br/>
            </w:r>
            <w:r w:rsidRPr="00AA4037">
              <w:rPr>
                <w:rFonts w:ascii="Tahoma" w:hAnsi="Tahoma" w:cs="Tahoma"/>
                <w:b/>
                <w:iCs/>
                <w:color w:val="000000"/>
                <w:sz w:val="14"/>
                <w:szCs w:val="14"/>
                <w:lang w:eastAsia="it-IT"/>
              </w:rPr>
              <w:t>ISBN</w:t>
            </w:r>
            <w:r w:rsidRPr="00AA4037">
              <w:rPr>
                <w:rFonts w:ascii="Tahoma" w:hAnsi="Tahoma" w:cs="Tahoma"/>
                <w:iCs/>
                <w:color w:val="000000"/>
                <w:sz w:val="14"/>
                <w:szCs w:val="14"/>
                <w:lang w:eastAsia="it-IT"/>
              </w:rPr>
              <w:t xml:space="preserve"> </w:t>
            </w:r>
            <w:r w:rsidR="00D2582C" w:rsidRPr="00AA4037">
              <w:rPr>
                <w:rFonts w:ascii="Tahoma" w:hAnsi="Tahoma" w:cs="Tahoma"/>
                <w:sz w:val="14"/>
                <w:szCs w:val="14"/>
              </w:rPr>
              <w:t>979-12-81206-</w:t>
            </w:r>
            <w:r w:rsidR="00005884" w:rsidRPr="00AA4037">
              <w:rPr>
                <w:rFonts w:ascii="Tahoma" w:hAnsi="Tahoma" w:cs="Tahoma"/>
                <w:sz w:val="14"/>
                <w:szCs w:val="14"/>
              </w:rPr>
              <w:t>xx</w:t>
            </w:r>
            <w:r w:rsidR="009041F8" w:rsidRPr="00AA4037">
              <w:rPr>
                <w:rFonts w:ascii="Tahoma" w:hAnsi="Tahoma" w:cs="Tahoma"/>
                <w:sz w:val="14"/>
                <w:szCs w:val="14"/>
              </w:rPr>
              <w:t>-</w:t>
            </w:r>
            <w:r w:rsidR="00005884" w:rsidRPr="00AA4037">
              <w:rPr>
                <w:rFonts w:ascii="Tahoma" w:hAnsi="Tahoma" w:cs="Tahoma"/>
                <w:sz w:val="14"/>
                <w:szCs w:val="14"/>
              </w:rPr>
              <w:t>x</w:t>
            </w:r>
            <w:r w:rsidRPr="00AA4037">
              <w:rPr>
                <w:rFonts w:ascii="Tahoma" w:hAnsi="Tahoma" w:cs="Tahoma"/>
                <w:iCs/>
                <w:color w:val="333333"/>
                <w:sz w:val="14"/>
                <w:szCs w:val="14"/>
                <w:lang w:eastAsia="it-IT"/>
              </w:rPr>
              <w:t xml:space="preserve">; </w:t>
            </w:r>
            <w:r w:rsidRPr="00AA4037">
              <w:rPr>
                <w:rFonts w:ascii="Tahoma" w:hAnsi="Tahoma" w:cs="Tahoma"/>
                <w:b/>
                <w:iCs/>
                <w:color w:val="333333"/>
                <w:sz w:val="14"/>
                <w:szCs w:val="14"/>
                <w:lang w:eastAsia="it-IT"/>
              </w:rPr>
              <w:t>ISSN</w:t>
            </w:r>
            <w:r w:rsidRPr="00AA4037">
              <w:rPr>
                <w:rFonts w:ascii="Tahoma" w:hAnsi="Tahoma" w:cs="Tahoma"/>
                <w:iCs/>
                <w:color w:val="333333"/>
                <w:sz w:val="14"/>
                <w:szCs w:val="14"/>
                <w:lang w:eastAsia="it-IT"/>
              </w:rPr>
              <w:t xml:space="preserve"> 2283-9216</w:t>
            </w:r>
          </w:p>
        </w:tc>
      </w:tr>
    </w:tbl>
    <w:bookmarkEnd w:id="0"/>
    <w:p w14:paraId="2E667253" w14:textId="446173EB" w:rsidR="00E978D0" w:rsidRPr="00AA4037" w:rsidRDefault="000F4798" w:rsidP="00E978D0">
      <w:pPr>
        <w:pStyle w:val="CETTitle"/>
      </w:pPr>
      <w:r w:rsidRPr="00AA4037">
        <w:t>From Thermo</w:t>
      </w:r>
      <w:r w:rsidR="00A64E76" w:rsidRPr="00AA4037">
        <w:t>-</w:t>
      </w:r>
      <w:r w:rsidRPr="00AA4037">
        <w:t>analysis to Operating Windows: A Framework for Safe Industrial Drying</w:t>
      </w:r>
    </w:p>
    <w:p w14:paraId="0488FED2" w14:textId="0E70FAF1" w:rsidR="00B57E6F" w:rsidRPr="00403C00" w:rsidRDefault="00B61486" w:rsidP="00B57E6F">
      <w:pPr>
        <w:pStyle w:val="CETAuthors"/>
        <w:rPr>
          <w:lang w:val="it-IT"/>
        </w:rPr>
      </w:pPr>
      <w:r w:rsidRPr="00403C00">
        <w:rPr>
          <w:lang w:val="it-IT"/>
        </w:rPr>
        <w:t>Ballinari Davide</w:t>
      </w:r>
      <w:r w:rsidR="00B57E6F" w:rsidRPr="00403C00">
        <w:rPr>
          <w:vertAlign w:val="superscript"/>
          <w:lang w:val="it-IT"/>
        </w:rPr>
        <w:t>a</w:t>
      </w:r>
      <w:r w:rsidR="00B57E6F" w:rsidRPr="00403C00">
        <w:rPr>
          <w:lang w:val="it-IT"/>
        </w:rPr>
        <w:t xml:space="preserve">, </w:t>
      </w:r>
      <w:r w:rsidR="00D003BF" w:rsidRPr="00403C00">
        <w:rPr>
          <w:lang w:val="it-IT"/>
        </w:rPr>
        <w:t>Lugaresi Ottavio</w:t>
      </w:r>
      <w:r w:rsidR="00D003BF" w:rsidRPr="00403C00">
        <w:rPr>
          <w:vertAlign w:val="superscript"/>
          <w:lang w:val="it-IT"/>
        </w:rPr>
        <w:t>b</w:t>
      </w:r>
      <w:r w:rsidR="00D003BF" w:rsidRPr="00403C00">
        <w:rPr>
          <w:lang w:val="it-IT"/>
        </w:rPr>
        <w:t>, Karunaratnage Dilasni</w:t>
      </w:r>
      <w:r w:rsidR="00D003BF" w:rsidRPr="00403C00">
        <w:rPr>
          <w:vertAlign w:val="superscript"/>
          <w:lang w:val="it-IT"/>
        </w:rPr>
        <w:t>a</w:t>
      </w:r>
      <w:r w:rsidR="00D003BF" w:rsidRPr="00403C00">
        <w:rPr>
          <w:lang w:val="it-IT"/>
        </w:rPr>
        <w:t>, Barozzi Marco</w:t>
      </w:r>
      <w:r w:rsidR="00D003BF" w:rsidRPr="00403C00">
        <w:rPr>
          <w:vertAlign w:val="superscript"/>
          <w:lang w:val="it-IT"/>
        </w:rPr>
        <w:t>a</w:t>
      </w:r>
      <w:r w:rsidR="00D003BF" w:rsidRPr="00403C00">
        <w:rPr>
          <w:lang w:val="it-IT"/>
        </w:rPr>
        <w:t>, Copelli Sabrina</w:t>
      </w:r>
      <w:r w:rsidR="00D003BF" w:rsidRPr="00403C00">
        <w:rPr>
          <w:vertAlign w:val="superscript"/>
          <w:lang w:val="it-IT"/>
        </w:rPr>
        <w:t>a</w:t>
      </w:r>
      <w:r w:rsidR="00B57E6F" w:rsidRPr="00403C00">
        <w:rPr>
          <w:vertAlign w:val="superscript"/>
          <w:lang w:val="it-IT"/>
        </w:rPr>
        <w:t>,</w:t>
      </w:r>
      <w:r w:rsidR="00B57E6F" w:rsidRPr="00403C00">
        <w:rPr>
          <w:lang w:val="it-IT"/>
        </w:rPr>
        <w:t>*</w:t>
      </w:r>
    </w:p>
    <w:p w14:paraId="6B2D21B3" w14:textId="11A2275D" w:rsidR="00B57E6F" w:rsidRPr="00403C00" w:rsidRDefault="00B57E6F" w:rsidP="00B57E6F">
      <w:pPr>
        <w:pStyle w:val="CETAddress"/>
        <w:rPr>
          <w:lang w:val="it-IT"/>
        </w:rPr>
      </w:pPr>
      <w:r w:rsidRPr="00403C00">
        <w:rPr>
          <w:vertAlign w:val="superscript"/>
          <w:lang w:val="it-IT"/>
        </w:rPr>
        <w:t>a</w:t>
      </w:r>
      <w:r w:rsidR="00AD5B40" w:rsidRPr="00403C00">
        <w:rPr>
          <w:lang w:val="it-IT"/>
        </w:rPr>
        <w:t>Università degli Studi dell’Insubria - Dipartimento di Scienza e Alta Tecnologia - via Valleggio 11 – 22100 Como – Italy</w:t>
      </w:r>
    </w:p>
    <w:p w14:paraId="3D72B0B0" w14:textId="42C83C03" w:rsidR="00B57E6F" w:rsidRPr="00403C00" w:rsidRDefault="00B57E6F" w:rsidP="00B57E6F">
      <w:pPr>
        <w:pStyle w:val="CETAddress"/>
        <w:rPr>
          <w:lang w:val="it-IT"/>
        </w:rPr>
      </w:pPr>
      <w:r w:rsidRPr="00403C00">
        <w:rPr>
          <w:vertAlign w:val="superscript"/>
          <w:lang w:val="it-IT"/>
        </w:rPr>
        <w:t>b</w:t>
      </w:r>
      <w:r w:rsidR="00037FE8" w:rsidRPr="00403C00">
        <w:rPr>
          <w:lang w:val="it-IT"/>
        </w:rPr>
        <w:t>Mettler Toledo S.p.A. – Via A. M. Mozzoni 2/1 – 20152 Milano- Italy</w:t>
      </w:r>
    </w:p>
    <w:p w14:paraId="73F1267A" w14:textId="7D8401D7" w:rsidR="00B57E6F" w:rsidRPr="00AA4037" w:rsidRDefault="009A2A39" w:rsidP="00B57E6F">
      <w:pPr>
        <w:pStyle w:val="CETemail"/>
      </w:pPr>
      <w:r w:rsidRPr="00AA4037">
        <w:t>*</w:t>
      </w:r>
      <w:r w:rsidR="00037FE8" w:rsidRPr="00AA4037">
        <w:t>sabrina.copelli</w:t>
      </w:r>
      <w:r w:rsidR="00B57E6F" w:rsidRPr="00AA4037">
        <w:t>@</w:t>
      </w:r>
      <w:r w:rsidRPr="00AA4037">
        <w:t>uninsubria.it</w:t>
      </w:r>
    </w:p>
    <w:p w14:paraId="48433AE5" w14:textId="601BCC29" w:rsidR="00872885" w:rsidRPr="00AA4037" w:rsidRDefault="00872885" w:rsidP="00600535">
      <w:pPr>
        <w:pStyle w:val="CETBodytext"/>
        <w:rPr>
          <w:lang w:val="en-GB"/>
        </w:rPr>
      </w:pPr>
      <w:r w:rsidRPr="00AA4037">
        <w:rPr>
          <w:lang w:val="en-GB"/>
        </w:rPr>
        <w:t>Industrial drying of organic solids containing reactive functional groups may lead to severe safety issues when inappropriate operating conditions or equipment configurations are adopted. This work analyses the thermal hazards associated with the drying of epoxide-containing pharmaceutical intermediate</w:t>
      </w:r>
      <w:r w:rsidR="00991382" w:rsidRPr="00AA4037">
        <w:rPr>
          <w:lang w:val="en-GB"/>
        </w:rPr>
        <w:t>s</w:t>
      </w:r>
      <w:r w:rsidRPr="00AA4037">
        <w:rPr>
          <w:lang w:val="en-GB"/>
        </w:rPr>
        <w:t xml:space="preserve"> through a real industrial accident </w:t>
      </w:r>
      <w:r w:rsidR="00991382" w:rsidRPr="00AA4037">
        <w:rPr>
          <w:lang w:val="en-GB"/>
        </w:rPr>
        <w:t>occurred</w:t>
      </w:r>
      <w:r w:rsidRPr="00AA4037">
        <w:rPr>
          <w:lang w:val="en-GB"/>
        </w:rPr>
        <w:t xml:space="preserve"> in a non-static dryer. Differential Scanning Calorimetry (DSC) and Thermogravimetric Analysis coupled with DSC (TG-DSC) were used to characterize the thermal behaviour of the material, of its degradation products and of a structurally similar but non-epoxidized compound. The results show that the epoxide functional group is responsible for exothermic phenomena</w:t>
      </w:r>
      <w:r w:rsidR="008247B9">
        <w:rPr>
          <w:lang w:val="en-GB"/>
        </w:rPr>
        <w:t xml:space="preserve"> </w:t>
      </w:r>
      <w:r w:rsidR="008247B9" w:rsidRPr="008247B9">
        <w:rPr>
          <w:lang w:val="en-GB"/>
        </w:rPr>
        <w:t>occurring</w:t>
      </w:r>
      <w:r w:rsidR="008247B9" w:rsidRPr="008247B9">
        <w:rPr>
          <w:lang w:val="en-GB"/>
        </w:rPr>
        <w:t xml:space="preserve"> at low temperatures, starting well</w:t>
      </w:r>
      <w:r w:rsidRPr="00AA4037">
        <w:rPr>
          <w:lang w:val="en-GB"/>
        </w:rPr>
        <w:t xml:space="preserve"> before any detectable mass loss</w:t>
      </w:r>
      <w:r w:rsidR="0044136F" w:rsidRPr="00AA4037">
        <w:rPr>
          <w:lang w:val="en-GB"/>
        </w:rPr>
        <w:t xml:space="preserve"> due to an eventual decomposition</w:t>
      </w:r>
      <w:r w:rsidRPr="00AA4037">
        <w:rPr>
          <w:lang w:val="en-GB"/>
        </w:rPr>
        <w:t>. Kinetic modelling of DSC data allowed the estimation of Time to Maximum Rate (TMR) and the identification of safe temperature</w:t>
      </w:r>
      <w:r w:rsidR="00A55B54" w:rsidRPr="00AA4037">
        <w:rPr>
          <w:lang w:val="en-GB"/>
        </w:rPr>
        <w:t>-</w:t>
      </w:r>
      <w:r w:rsidRPr="00AA4037">
        <w:rPr>
          <w:lang w:val="en-GB"/>
        </w:rPr>
        <w:t xml:space="preserve">time domains for drying. A general protocol for the determination of safe drying conditions for reactive powders is </w:t>
      </w:r>
      <w:r w:rsidR="00A55B54" w:rsidRPr="00AA4037">
        <w:rPr>
          <w:lang w:val="en-GB"/>
        </w:rPr>
        <w:t xml:space="preserve">finally </w:t>
      </w:r>
      <w:r w:rsidRPr="00AA4037">
        <w:rPr>
          <w:lang w:val="en-GB"/>
        </w:rPr>
        <w:t xml:space="preserve">proposed. The study demonstrates that drying </w:t>
      </w:r>
      <w:r w:rsidR="00D4176D" w:rsidRPr="00D4176D">
        <w:rPr>
          <w:lang w:val="en-GB"/>
        </w:rPr>
        <w:t xml:space="preserve">of solid compounds characterized by </w:t>
      </w:r>
      <w:r w:rsidR="00D4176D" w:rsidRPr="00D4176D">
        <w:rPr>
          <w:lang w:val="en-GB"/>
        </w:rPr>
        <w:t>epoxydic</w:t>
      </w:r>
      <w:r w:rsidR="00D4176D" w:rsidRPr="00D4176D">
        <w:rPr>
          <w:lang w:val="en-GB"/>
        </w:rPr>
        <w:t xml:space="preserve"> groups</w:t>
      </w:r>
      <w:r w:rsidRPr="00AA4037">
        <w:rPr>
          <w:lang w:val="en-GB"/>
        </w:rPr>
        <w:t xml:space="preserve"> must be regarded as a chemically reactive operation rather than a purely physical unit operation.</w:t>
      </w:r>
    </w:p>
    <w:p w14:paraId="476B2F2E" w14:textId="77777777" w:rsidR="00600535" w:rsidRPr="00AA4037" w:rsidRDefault="00600535" w:rsidP="00600535">
      <w:pPr>
        <w:pStyle w:val="CETHeading1"/>
        <w:rPr>
          <w:lang w:val="en-GB"/>
        </w:rPr>
      </w:pPr>
      <w:r w:rsidRPr="00AA4037">
        <w:rPr>
          <w:lang w:val="en-GB"/>
        </w:rPr>
        <w:t>Introduction</w:t>
      </w:r>
    </w:p>
    <w:p w14:paraId="02A95A04" w14:textId="34B363AA" w:rsidR="00F66B9A" w:rsidRPr="00AA4037" w:rsidRDefault="00F66B9A" w:rsidP="00F66B9A">
      <w:pPr>
        <w:pStyle w:val="CETBodytext"/>
        <w:rPr>
          <w:lang w:val="en-GB"/>
        </w:rPr>
      </w:pPr>
      <w:r w:rsidRPr="00AA4037">
        <w:rPr>
          <w:lang w:val="en-GB"/>
        </w:rPr>
        <w:t xml:space="preserve">Drying is one of the most </w:t>
      </w:r>
      <w:r w:rsidR="00403C00">
        <w:rPr>
          <w:lang w:val="en-GB"/>
        </w:rPr>
        <w:t>common</w:t>
      </w:r>
      <w:r w:rsidRPr="00AA4037">
        <w:rPr>
          <w:lang w:val="en-GB"/>
        </w:rPr>
        <w:t xml:space="preserve"> unit operations in the chemical and pharmaceutical industries, routinely implemented to remove solvent or moisture from solid intermediates and final products. Although often conceptually treated as a purely physical separation process, drying can become a major source of hazard when the material to be dried exhibits chemical reactivity, thermal instability, or dust </w:t>
      </w:r>
      <w:r w:rsidR="000752B0">
        <w:rPr>
          <w:lang w:val="en-GB"/>
        </w:rPr>
        <w:t>flammability</w:t>
      </w:r>
      <w:r w:rsidRPr="00AA4037">
        <w:rPr>
          <w:lang w:val="en-GB"/>
        </w:rPr>
        <w:t>. Historically, industrial data show that drying operations account for a significant fraction of accidents</w:t>
      </w:r>
      <w:r w:rsidR="00E4741F" w:rsidRPr="00AA4037">
        <w:rPr>
          <w:lang w:val="en-GB"/>
        </w:rPr>
        <w:t xml:space="preserve"> </w:t>
      </w:r>
      <w:r w:rsidRPr="00AA4037">
        <w:rPr>
          <w:lang w:val="en-GB"/>
        </w:rPr>
        <w:t>involving fires and explosions in powder processing facilities</w:t>
      </w:r>
      <w:r w:rsidR="007D5943" w:rsidRPr="00AA4037">
        <w:rPr>
          <w:lang w:val="en-GB"/>
        </w:rPr>
        <w:t xml:space="preserve"> particularly when combustible dusts are present or when thermal and chemical risks are not systematically assessed during process design and scale-up (Markowski &amp; Mujumdar, 2006)</w:t>
      </w:r>
      <w:r w:rsidR="00EF7163" w:rsidRPr="00AA4037">
        <w:rPr>
          <w:lang w:val="en-GB"/>
        </w:rPr>
        <w:t>.</w:t>
      </w:r>
      <w:r w:rsidR="00E4741F" w:rsidRPr="00AA4037">
        <w:rPr>
          <w:lang w:val="en-GB"/>
        </w:rPr>
        <w:t xml:space="preserve"> </w:t>
      </w:r>
      <w:r w:rsidR="00316F3C" w:rsidRPr="00AA4037">
        <w:rPr>
          <w:lang w:val="en-GB"/>
        </w:rPr>
        <w:t>Among the most known</w:t>
      </w:r>
      <w:r w:rsidR="00FA624B" w:rsidRPr="00AA4037">
        <w:rPr>
          <w:lang w:val="en-GB"/>
        </w:rPr>
        <w:t>,</w:t>
      </w:r>
      <w:r w:rsidR="00316F3C" w:rsidRPr="00AA4037">
        <w:rPr>
          <w:lang w:val="en-GB"/>
        </w:rPr>
        <w:t xml:space="preserve"> it is possible to cite: </w:t>
      </w:r>
      <w:r w:rsidR="003E747F" w:rsidRPr="00AA4037">
        <w:rPr>
          <w:lang w:val="en-GB"/>
        </w:rPr>
        <w:t xml:space="preserve">the </w:t>
      </w:r>
      <w:r w:rsidR="008F08D8" w:rsidRPr="00AA4037">
        <w:rPr>
          <w:lang w:val="en-GB"/>
        </w:rPr>
        <w:t xml:space="preserve">Mesnil-Saint-Nicaise </w:t>
      </w:r>
      <w:r w:rsidR="00E36BE2" w:rsidRPr="00AA4037">
        <w:rPr>
          <w:lang w:val="en-GB"/>
        </w:rPr>
        <w:t xml:space="preserve">explosion </w:t>
      </w:r>
      <w:r w:rsidR="00C73E26" w:rsidRPr="00AA4037">
        <w:rPr>
          <w:lang w:val="en-GB"/>
        </w:rPr>
        <w:t xml:space="preserve">(France) </w:t>
      </w:r>
      <w:r w:rsidR="00E36BE2" w:rsidRPr="00AA4037">
        <w:rPr>
          <w:lang w:val="en-GB"/>
        </w:rPr>
        <w:t xml:space="preserve">occurred in a starchy product plant in 2010 during </w:t>
      </w:r>
      <w:r w:rsidR="00E63771" w:rsidRPr="00AA4037">
        <w:rPr>
          <w:lang w:val="en-GB"/>
        </w:rPr>
        <w:t>a drying operation of gluten type proteins</w:t>
      </w:r>
      <w:r w:rsidR="008F08D8" w:rsidRPr="00AA4037">
        <w:rPr>
          <w:lang w:val="en-GB"/>
        </w:rPr>
        <w:t xml:space="preserve">; </w:t>
      </w:r>
      <w:r w:rsidR="00871851" w:rsidRPr="00AA4037">
        <w:rPr>
          <w:lang w:val="en-GB"/>
        </w:rPr>
        <w:t xml:space="preserve">the Optima Belle chemical facility explosion, occurred </w:t>
      </w:r>
      <w:r w:rsidR="00807EFB" w:rsidRPr="00AA4037">
        <w:rPr>
          <w:lang w:val="en-GB"/>
        </w:rPr>
        <w:t xml:space="preserve">on December 8, 2020, during the </w:t>
      </w:r>
      <w:r w:rsidR="00A760B5" w:rsidRPr="00AA4037">
        <w:rPr>
          <w:lang w:val="en-GB"/>
        </w:rPr>
        <w:t>d</w:t>
      </w:r>
      <w:r w:rsidR="00B6208A" w:rsidRPr="00AA4037">
        <w:rPr>
          <w:lang w:val="en-GB"/>
        </w:rPr>
        <w:t xml:space="preserve">ehydration of </w:t>
      </w:r>
      <w:r w:rsidR="0065472B" w:rsidRPr="00AA4037">
        <w:rPr>
          <w:lang w:val="en-GB"/>
        </w:rPr>
        <w:t>CDB-56 in a pressurised rotary double cone dryer</w:t>
      </w:r>
      <w:r w:rsidR="002C2C1A" w:rsidRPr="00AA4037">
        <w:rPr>
          <w:lang w:val="en-GB"/>
        </w:rPr>
        <w:t xml:space="preserve"> (</w:t>
      </w:r>
      <w:hyperlink r:id="rId10" w:history="1">
        <w:r w:rsidR="0012625C" w:rsidRPr="00AA4037">
          <w:rPr>
            <w:rStyle w:val="Collegamentoipertestuale"/>
            <w:lang w:val="en-GB"/>
          </w:rPr>
          <w:t>www.csb.gov</w:t>
        </w:r>
      </w:hyperlink>
      <w:r w:rsidR="0012625C" w:rsidRPr="00AA4037">
        <w:rPr>
          <w:lang w:val="en-GB"/>
        </w:rPr>
        <w:t>, 2020</w:t>
      </w:r>
      <w:r w:rsidR="002C2C1A" w:rsidRPr="00AA4037">
        <w:rPr>
          <w:lang w:val="en-GB"/>
        </w:rPr>
        <w:t>)</w:t>
      </w:r>
      <w:r w:rsidR="00CE0C35" w:rsidRPr="00AA4037">
        <w:rPr>
          <w:lang w:val="en-GB"/>
        </w:rPr>
        <w:t xml:space="preserve">; </w:t>
      </w:r>
      <w:r w:rsidR="008204AF" w:rsidRPr="00AA4037">
        <w:rPr>
          <w:lang w:val="en-GB"/>
        </w:rPr>
        <w:t xml:space="preserve">till </w:t>
      </w:r>
      <w:r w:rsidR="0023361E" w:rsidRPr="00AA4037">
        <w:rPr>
          <w:lang w:val="en-GB"/>
        </w:rPr>
        <w:t xml:space="preserve">the recent </w:t>
      </w:r>
      <w:proofErr w:type="spellStart"/>
      <w:r w:rsidR="0023361E" w:rsidRPr="00AA4037">
        <w:rPr>
          <w:lang w:val="en-GB"/>
        </w:rPr>
        <w:t>Sigachi</w:t>
      </w:r>
      <w:proofErr w:type="spellEnd"/>
      <w:r w:rsidR="0023361E" w:rsidRPr="00AA4037">
        <w:rPr>
          <w:lang w:val="en-GB"/>
        </w:rPr>
        <w:t xml:space="preserve"> Industries explosion, occurred </w:t>
      </w:r>
      <w:r w:rsidR="00D46329" w:rsidRPr="00AA4037">
        <w:rPr>
          <w:lang w:val="en-GB"/>
        </w:rPr>
        <w:t>at</w:t>
      </w:r>
      <w:r w:rsidR="0023361E" w:rsidRPr="00AA4037">
        <w:rPr>
          <w:lang w:val="en-GB"/>
        </w:rPr>
        <w:t xml:space="preserve"> </w:t>
      </w:r>
      <w:r w:rsidR="00D46329" w:rsidRPr="00AA4037">
        <w:rPr>
          <w:lang w:val="en-GB"/>
        </w:rPr>
        <w:t>Hyderabad, India, on June 30, 2025</w:t>
      </w:r>
      <w:r w:rsidRPr="00AA4037">
        <w:rPr>
          <w:lang w:val="en-GB"/>
        </w:rPr>
        <w:t xml:space="preserve">, </w:t>
      </w:r>
      <w:r w:rsidR="00D46329" w:rsidRPr="00AA4037">
        <w:rPr>
          <w:lang w:val="en-GB"/>
        </w:rPr>
        <w:t xml:space="preserve">during </w:t>
      </w:r>
      <w:r w:rsidR="00DB5EDB" w:rsidRPr="00AA4037">
        <w:rPr>
          <w:lang w:val="en-GB"/>
        </w:rPr>
        <w:t>spray drying operations on microcrystalline-cellulose</w:t>
      </w:r>
      <w:r w:rsidR="008C4472" w:rsidRPr="00AA4037">
        <w:rPr>
          <w:lang w:val="en-GB"/>
        </w:rPr>
        <w:t xml:space="preserve"> (</w:t>
      </w:r>
      <w:r w:rsidR="004E1087" w:rsidRPr="00AA4037">
        <w:rPr>
          <w:lang w:val="en-GB"/>
        </w:rPr>
        <w:t>powderbulksolids.com, 2025</w:t>
      </w:r>
      <w:r w:rsidR="008C4472" w:rsidRPr="00AA4037">
        <w:rPr>
          <w:lang w:val="en-GB"/>
        </w:rPr>
        <w:t>)</w:t>
      </w:r>
      <w:r w:rsidR="008204AF" w:rsidRPr="00AA4037">
        <w:rPr>
          <w:lang w:val="en-GB"/>
        </w:rPr>
        <w:t>.</w:t>
      </w:r>
    </w:p>
    <w:p w14:paraId="2E17F8A8" w14:textId="34BA8B86" w:rsidR="00472918" w:rsidRPr="00AA4037" w:rsidRDefault="0079522A" w:rsidP="00F66B9A">
      <w:pPr>
        <w:pStyle w:val="CETBodytext"/>
        <w:rPr>
          <w:lang w:val="en-GB"/>
        </w:rPr>
      </w:pPr>
      <w:r w:rsidRPr="00AA4037">
        <w:rPr>
          <w:lang w:val="en-GB"/>
        </w:rPr>
        <w:t xml:space="preserve">Dryers of various types (e.g., spray, fluidized bed, rotary, vacuum) operate by applying external heat to a moist solid, which may increase its temperature </w:t>
      </w:r>
      <w:r w:rsidR="009D33F8" w:rsidRPr="009D33F8">
        <w:rPr>
          <w:lang w:val="en-GB"/>
        </w:rPr>
        <w:t>up to temperatures that can cause the triggering of side reactions and decompositions</w:t>
      </w:r>
      <w:r w:rsidRPr="00AA4037">
        <w:rPr>
          <w:lang w:val="en-GB"/>
        </w:rPr>
        <w:t xml:space="preserve">. Materials with reactive functional groups such as peroxides, </w:t>
      </w:r>
      <w:proofErr w:type="spellStart"/>
      <w:r w:rsidRPr="00AA4037">
        <w:rPr>
          <w:lang w:val="en-GB"/>
        </w:rPr>
        <w:t>azides</w:t>
      </w:r>
      <w:proofErr w:type="spellEnd"/>
      <w:r w:rsidRPr="00AA4037">
        <w:rPr>
          <w:lang w:val="en-GB"/>
        </w:rPr>
        <w:t>, or epoxides are especially problematic because these groups can undergo exothermic chemical transformations upon mild heating, even in the absence of significant mass loss. Moreover, mechanical agitation, enhanced heat transfer, and temperature gradients within industrial dryers may create hot spots that locally accelerate exothermic reactions. This complexity challenges the traditional assumption that drying is a safe and well-characteri</w:t>
      </w:r>
      <w:r w:rsidR="00D507BA" w:rsidRPr="00AA4037">
        <w:rPr>
          <w:lang w:val="en-GB"/>
        </w:rPr>
        <w:t>s</w:t>
      </w:r>
      <w:r w:rsidRPr="00AA4037">
        <w:rPr>
          <w:lang w:val="en-GB"/>
        </w:rPr>
        <w:t>ed unit operation for all solid materials (Markowski &amp; Mujumdar, 2006).</w:t>
      </w:r>
    </w:p>
    <w:p w14:paraId="0345B6CE" w14:textId="69B2EB15" w:rsidR="00472918" w:rsidRPr="00AA4037" w:rsidRDefault="00082131" w:rsidP="00F66B9A">
      <w:pPr>
        <w:pStyle w:val="CETBodytext"/>
        <w:rPr>
          <w:lang w:val="en-GB"/>
        </w:rPr>
      </w:pPr>
      <w:r w:rsidRPr="00AA4037">
        <w:rPr>
          <w:lang w:val="en-GB"/>
        </w:rPr>
        <w:t xml:space="preserve">In the context of pharmaceutical manufacturing, powders frequently contain biologically active or functional groups that are chemically labile. The presence of epoxide groups, in particular, is known to confer thermal and </w:t>
      </w:r>
      <w:r w:rsidRPr="00AA4037">
        <w:rPr>
          <w:lang w:val="en-GB"/>
        </w:rPr>
        <w:lastRenderedPageBreak/>
        <w:t>reactivity hazards because epoxides readily undergo ring-opening reactions under heat, moisture, and catalytic conditions. These reactions may be mild or may release significant heat depending on the chemical environment and solid morphology. Although the health hazards of epoxides (e.g., skin sensitization) are well documented in</w:t>
      </w:r>
      <w:r w:rsidR="0071071C">
        <w:rPr>
          <w:lang w:val="en-GB"/>
        </w:rPr>
        <w:t>side</w:t>
      </w:r>
      <w:r w:rsidRPr="00AA4037">
        <w:rPr>
          <w:lang w:val="en-GB"/>
        </w:rPr>
        <w:t xml:space="preserve"> </w:t>
      </w:r>
      <w:r w:rsidR="0071071C">
        <w:rPr>
          <w:lang w:val="en-GB"/>
        </w:rPr>
        <w:t xml:space="preserve">dedicated </w:t>
      </w:r>
      <w:r w:rsidRPr="00AA4037">
        <w:rPr>
          <w:lang w:val="en-GB"/>
        </w:rPr>
        <w:t>guide</w:t>
      </w:r>
      <w:r w:rsidR="0071071C">
        <w:rPr>
          <w:lang w:val="en-GB"/>
        </w:rPr>
        <w:t>line</w:t>
      </w:r>
      <w:r w:rsidRPr="00AA4037">
        <w:rPr>
          <w:lang w:val="en-GB"/>
        </w:rPr>
        <w:t>s, the implications of epoxide reactivity during bulk thermal processing such as drying are less emphasized in standard hazard analyses.</w:t>
      </w:r>
    </w:p>
    <w:p w14:paraId="2D6BD9FD" w14:textId="10195871" w:rsidR="00F66B9A" w:rsidRPr="00AA4037" w:rsidRDefault="00F66B9A" w:rsidP="00F66B9A">
      <w:pPr>
        <w:pStyle w:val="CETBodytext"/>
        <w:rPr>
          <w:lang w:val="en-GB"/>
        </w:rPr>
      </w:pPr>
      <w:r w:rsidRPr="00AA4037">
        <w:rPr>
          <w:lang w:val="en-GB"/>
        </w:rPr>
        <w:t xml:space="preserve">Several studies have used </w:t>
      </w:r>
      <w:r w:rsidR="00CA4C44" w:rsidRPr="00AA4037">
        <w:rPr>
          <w:lang w:val="en-GB"/>
        </w:rPr>
        <w:t>thermo-</w:t>
      </w:r>
      <w:r w:rsidRPr="00AA4037">
        <w:rPr>
          <w:lang w:val="en-GB"/>
        </w:rPr>
        <w:t xml:space="preserve">analytical techniques such as Thermogravimetric Analysis (TG) and Differential Scanning Calorimetry (DSC) to investigate the thermochemical stability of organic compounds, establishing that </w:t>
      </w:r>
      <w:r w:rsidR="00CF6398" w:rsidRPr="00CF6398">
        <w:rPr>
          <w:lang w:val="en-GB"/>
        </w:rPr>
        <w:t>unwanted exothermic and decomposition reactions can trigger at temperatures lower than the typical values used in drying operations</w:t>
      </w:r>
      <w:r w:rsidRPr="00AA4037">
        <w:rPr>
          <w:lang w:val="en-GB"/>
        </w:rPr>
        <w:t>. These techniques are indispensable not only for identifying phase transitions (e.g., melting, glass transitions</w:t>
      </w:r>
      <w:r w:rsidR="003B1372" w:rsidRPr="00AA4037">
        <w:rPr>
          <w:lang w:val="en-GB"/>
        </w:rPr>
        <w:t>, etc..</w:t>
      </w:r>
      <w:r w:rsidRPr="00AA4037">
        <w:rPr>
          <w:lang w:val="en-GB"/>
        </w:rPr>
        <w:t>) but also for revealing low-temperature exothermic reactions associated with functional groups such as epoxides, peroxides, and other labile moieties. A thorough understanding of such thermal behaviours is crucial for defining safe operating limits.</w:t>
      </w:r>
      <w:r w:rsidR="008B7CB7" w:rsidRPr="00AA4037">
        <w:rPr>
          <w:lang w:val="en-GB"/>
        </w:rPr>
        <w:t xml:space="preserve"> </w:t>
      </w:r>
    </w:p>
    <w:p w14:paraId="34665B52" w14:textId="40E684CA" w:rsidR="00F66B9A" w:rsidRPr="00AA4037" w:rsidRDefault="00F66B9A" w:rsidP="00F66B9A">
      <w:pPr>
        <w:pStyle w:val="CETBodytext"/>
        <w:rPr>
          <w:lang w:val="en-GB"/>
        </w:rPr>
      </w:pPr>
      <w:r w:rsidRPr="00403C00">
        <w:rPr>
          <w:lang w:val="it-IT"/>
        </w:rPr>
        <w:t xml:space="preserve">In </w:t>
      </w:r>
      <w:proofErr w:type="spellStart"/>
      <w:r w:rsidRPr="00403C00">
        <w:rPr>
          <w:lang w:val="it-IT"/>
        </w:rPr>
        <w:t>particular</w:t>
      </w:r>
      <w:proofErr w:type="spellEnd"/>
      <w:r w:rsidRPr="00403C00">
        <w:rPr>
          <w:lang w:val="it-IT"/>
        </w:rPr>
        <w:t xml:space="preserve">, </w:t>
      </w:r>
      <w:proofErr w:type="spellStart"/>
      <w:r w:rsidR="00AA4037" w:rsidRPr="00403C00">
        <w:rPr>
          <w:lang w:val="it-IT"/>
        </w:rPr>
        <w:t>Pasturenzi</w:t>
      </w:r>
      <w:proofErr w:type="spellEnd"/>
      <w:r w:rsidRPr="00403C00">
        <w:rPr>
          <w:lang w:val="it-IT"/>
        </w:rPr>
        <w:t xml:space="preserve"> et al. </w:t>
      </w:r>
      <w:r w:rsidR="003D170A" w:rsidRPr="00AA4037">
        <w:rPr>
          <w:lang w:val="en-GB"/>
        </w:rPr>
        <w:t xml:space="preserve">(2014) </w:t>
      </w:r>
      <w:r w:rsidRPr="00AA4037">
        <w:rPr>
          <w:lang w:val="en-GB"/>
        </w:rPr>
        <w:t>have demonstrat</w:t>
      </w:r>
      <w:r w:rsidR="003D170A" w:rsidRPr="00AA4037">
        <w:rPr>
          <w:lang w:val="en-GB"/>
        </w:rPr>
        <w:t>ed</w:t>
      </w:r>
      <w:r w:rsidRPr="00AA4037">
        <w:rPr>
          <w:lang w:val="en-GB"/>
        </w:rPr>
        <w:t xml:space="preserve"> how experimental TG and DSC data can be compared with predictive models to assess thermochemical stability of reactive organic substances. Their work shows that reliable heat release profiles and decomposition onset temperatures can be extracted from </w:t>
      </w:r>
      <w:r w:rsidR="00991382" w:rsidRPr="00AA4037">
        <w:rPr>
          <w:lang w:val="en-GB"/>
        </w:rPr>
        <w:t>thermos-</w:t>
      </w:r>
      <w:r w:rsidRPr="00AA4037">
        <w:rPr>
          <w:lang w:val="en-GB"/>
        </w:rPr>
        <w:t>analytical measurements, providing key inputs for safety assessment and kinetic modelling.</w:t>
      </w:r>
    </w:p>
    <w:p w14:paraId="67B4535C" w14:textId="76868D21" w:rsidR="00F66B9A" w:rsidRPr="00AA4037" w:rsidRDefault="00F66B9A" w:rsidP="00F66B9A">
      <w:pPr>
        <w:pStyle w:val="CETBodytext"/>
        <w:rPr>
          <w:lang w:val="en-GB"/>
        </w:rPr>
      </w:pPr>
      <w:r w:rsidRPr="00AA4037">
        <w:rPr>
          <w:lang w:val="en-GB"/>
        </w:rPr>
        <w:t>The literature on industrial safety underscores the importance of rigorous risk assessment and hazard quantification for drying operations</w:t>
      </w:r>
      <w:r w:rsidR="00B70558" w:rsidRPr="00AA4037">
        <w:rPr>
          <w:lang w:val="en-GB"/>
        </w:rPr>
        <w:t xml:space="preserve"> (</w:t>
      </w:r>
      <w:r w:rsidR="00296109" w:rsidRPr="00AA4037">
        <w:rPr>
          <w:lang w:val="en-GB"/>
        </w:rPr>
        <w:t>Henry</w:t>
      </w:r>
      <w:r w:rsidR="00B70558" w:rsidRPr="00AA4037">
        <w:rPr>
          <w:lang w:val="en-GB"/>
        </w:rPr>
        <w:t xml:space="preserve">, </w:t>
      </w:r>
      <w:r w:rsidR="00954F6D" w:rsidRPr="00AA4037">
        <w:rPr>
          <w:lang w:val="en-GB"/>
        </w:rPr>
        <w:t>2013); moreover, m</w:t>
      </w:r>
      <w:r w:rsidRPr="00AA4037">
        <w:rPr>
          <w:lang w:val="en-GB"/>
        </w:rPr>
        <w:t xml:space="preserve">odern </w:t>
      </w:r>
      <w:r w:rsidR="00954F6D" w:rsidRPr="00AA4037">
        <w:rPr>
          <w:lang w:val="en-GB"/>
        </w:rPr>
        <w:t>p</w:t>
      </w:r>
      <w:r w:rsidRPr="00AA4037">
        <w:rPr>
          <w:lang w:val="en-GB"/>
        </w:rPr>
        <w:t xml:space="preserve">rocess </w:t>
      </w:r>
      <w:r w:rsidR="00954F6D" w:rsidRPr="00AA4037">
        <w:rPr>
          <w:lang w:val="en-GB"/>
        </w:rPr>
        <w:t>s</w:t>
      </w:r>
      <w:r w:rsidRPr="00AA4037">
        <w:rPr>
          <w:lang w:val="en-GB"/>
        </w:rPr>
        <w:t xml:space="preserve">afety methodologies advocate for the integration of chemical hazard assessment with unit operation design. Detailed </w:t>
      </w:r>
      <w:r w:rsidR="007B3C6F" w:rsidRPr="00AA4037">
        <w:rPr>
          <w:lang w:val="en-GB"/>
        </w:rPr>
        <w:t>thermo-</w:t>
      </w:r>
      <w:r w:rsidRPr="00AA4037">
        <w:rPr>
          <w:lang w:val="en-GB"/>
        </w:rPr>
        <w:t>analytical and kinetic analyses are now recognized as essential tools for preventing thermal runaway events</w:t>
      </w:r>
      <w:r w:rsidR="00057E4D" w:rsidRPr="00AA4037">
        <w:rPr>
          <w:lang w:val="en-GB"/>
        </w:rPr>
        <w:t xml:space="preserve"> (</w:t>
      </w:r>
      <w:r w:rsidR="004B707B">
        <w:rPr>
          <w:lang w:val="en-GB"/>
        </w:rPr>
        <w:t xml:space="preserve">Fumagalli et al., 2017; </w:t>
      </w:r>
      <w:r w:rsidR="00057E4D" w:rsidRPr="00AA4037">
        <w:rPr>
          <w:lang w:val="en-GB"/>
        </w:rPr>
        <w:t>Scotton et al., 2020)</w:t>
      </w:r>
      <w:r w:rsidR="007B3C6F" w:rsidRPr="00AA4037">
        <w:rPr>
          <w:lang w:val="en-GB"/>
        </w:rPr>
        <w:t xml:space="preserve">, </w:t>
      </w:r>
      <w:r w:rsidRPr="00AA4037">
        <w:rPr>
          <w:lang w:val="en-GB"/>
        </w:rPr>
        <w:t>not just in reactor design, but also in downstream thermal processing such as drying</w:t>
      </w:r>
      <w:r w:rsidR="00C62259" w:rsidRPr="00AA4037">
        <w:rPr>
          <w:lang w:val="en-GB"/>
        </w:rPr>
        <w:t xml:space="preserve"> (</w:t>
      </w:r>
      <w:r w:rsidR="004110CF" w:rsidRPr="00AA4037">
        <w:rPr>
          <w:lang w:val="en-GB"/>
        </w:rPr>
        <w:t>Allian et al., 2025</w:t>
      </w:r>
      <w:r w:rsidR="00C62259" w:rsidRPr="00AA4037">
        <w:rPr>
          <w:lang w:val="en-GB"/>
        </w:rPr>
        <w:t>)</w:t>
      </w:r>
      <w:r w:rsidRPr="00AA4037">
        <w:rPr>
          <w:lang w:val="en-GB"/>
        </w:rPr>
        <w:t>.</w:t>
      </w:r>
    </w:p>
    <w:p w14:paraId="1AED3853" w14:textId="0D809EDE" w:rsidR="00600535" w:rsidRPr="00AA4037" w:rsidRDefault="00F66B9A" w:rsidP="007B3C6F">
      <w:pPr>
        <w:pStyle w:val="CETBodytext"/>
        <w:rPr>
          <w:lang w:val="en-GB"/>
        </w:rPr>
      </w:pPr>
      <w:r w:rsidRPr="00AA4037">
        <w:rPr>
          <w:lang w:val="en-GB"/>
        </w:rPr>
        <w:t xml:space="preserve">Despite advances in safety science and </w:t>
      </w:r>
      <w:r w:rsidR="007B3C6F" w:rsidRPr="00AA4037">
        <w:rPr>
          <w:lang w:val="en-GB"/>
        </w:rPr>
        <w:t>thermo-</w:t>
      </w:r>
      <w:r w:rsidRPr="00AA4037">
        <w:rPr>
          <w:lang w:val="en-GB"/>
        </w:rPr>
        <w:t xml:space="preserve">analytical protocols, quantitative approaches to drying safety for reactive powders remain under-utilised in industrial practice. Many facilities still rely on </w:t>
      </w:r>
      <w:r w:rsidR="006D70E2">
        <w:rPr>
          <w:lang w:val="en-GB"/>
        </w:rPr>
        <w:t>p</w:t>
      </w:r>
      <w:r w:rsidR="006D70E2" w:rsidRPr="006D70E2">
        <w:rPr>
          <w:lang w:val="en-GB"/>
        </w:rPr>
        <w:t>rocedures based on small-scale trial-and-error steps</w:t>
      </w:r>
      <w:r w:rsidRPr="00AA4037">
        <w:rPr>
          <w:lang w:val="en-GB"/>
        </w:rPr>
        <w:t xml:space="preserve"> rather than robust kinetic and thermal hazard analysis for designing drying schedules and setting operating limits. As demonstrated in this work, a systematic combination of DSC, TG-DSC and kinetic modelling provides a structured pathway to evaluate and mitigate risks associated with the drying of reactive solids.</w:t>
      </w:r>
    </w:p>
    <w:p w14:paraId="5741900F" w14:textId="4058D49D" w:rsidR="00453E24" w:rsidRPr="00AA4037" w:rsidRDefault="00FD1ABE" w:rsidP="00453E24">
      <w:pPr>
        <w:pStyle w:val="CETHeading1"/>
        <w:rPr>
          <w:lang w:val="en-GB"/>
        </w:rPr>
      </w:pPr>
      <w:r w:rsidRPr="00AA4037">
        <w:rPr>
          <w:lang w:val="en-GB"/>
        </w:rPr>
        <w:t>Case Study</w:t>
      </w:r>
    </w:p>
    <w:p w14:paraId="181B5A23" w14:textId="6A8F17D9" w:rsidR="00207881" w:rsidRPr="00AA4037" w:rsidRDefault="00207881" w:rsidP="00207881">
      <w:pPr>
        <w:pStyle w:val="CETBodytext"/>
        <w:rPr>
          <w:lang w:val="en-GB"/>
        </w:rPr>
      </w:pPr>
      <w:r w:rsidRPr="00AA4037">
        <w:rPr>
          <w:lang w:val="en-GB"/>
        </w:rPr>
        <w:t xml:space="preserve">The case </w:t>
      </w:r>
      <w:r w:rsidR="00FD1ABE" w:rsidRPr="00AA4037">
        <w:rPr>
          <w:lang w:val="en-GB"/>
        </w:rPr>
        <w:t xml:space="preserve">study </w:t>
      </w:r>
      <w:r w:rsidR="00EE4F48">
        <w:rPr>
          <w:lang w:val="en-GB"/>
        </w:rPr>
        <w:t xml:space="preserve">analysed in this work </w:t>
      </w:r>
      <w:r w:rsidRPr="00AA4037">
        <w:rPr>
          <w:lang w:val="en-GB"/>
        </w:rPr>
        <w:t xml:space="preserve">concerns the industrial drying of </w:t>
      </w:r>
      <w:r w:rsidR="00991382" w:rsidRPr="00AA4037">
        <w:rPr>
          <w:lang w:val="en-GB"/>
        </w:rPr>
        <w:t>a</w:t>
      </w:r>
      <w:r w:rsidR="002364A4">
        <w:rPr>
          <w:lang w:val="en-GB"/>
        </w:rPr>
        <w:t xml:space="preserve"> </w:t>
      </w:r>
      <w:r w:rsidR="002364A4" w:rsidRPr="002364A4">
        <w:rPr>
          <w:lang w:val="en-GB"/>
        </w:rPr>
        <w:t>pharmaceutical intermediate with an epoxydic bond in its structure</w:t>
      </w:r>
      <w:r w:rsidRPr="00AA4037">
        <w:rPr>
          <w:lang w:val="en-GB"/>
        </w:rPr>
        <w:t xml:space="preserve">. A batch of material had been dried for </w:t>
      </w:r>
      <w:r w:rsidR="00F77035" w:rsidRPr="00AA4037">
        <w:rPr>
          <w:lang w:val="en-GB"/>
        </w:rPr>
        <w:t>one</w:t>
      </w:r>
      <w:r w:rsidRPr="00AA4037">
        <w:rPr>
          <w:lang w:val="en-GB"/>
        </w:rPr>
        <w:t xml:space="preserve"> </w:t>
      </w:r>
      <w:r w:rsidR="00F77035" w:rsidRPr="00AA4037">
        <w:rPr>
          <w:lang w:val="en-GB"/>
        </w:rPr>
        <w:t>day</w:t>
      </w:r>
      <w:r w:rsidRPr="00AA4037">
        <w:rPr>
          <w:lang w:val="en-GB"/>
        </w:rPr>
        <w:t xml:space="preserve"> in a non-static dryer. The same batch </w:t>
      </w:r>
      <w:r w:rsidR="008660E7" w:rsidRPr="00AA4037">
        <w:rPr>
          <w:lang w:val="en-GB"/>
        </w:rPr>
        <w:t xml:space="preserve">of substance </w:t>
      </w:r>
      <w:r w:rsidRPr="00AA4037">
        <w:rPr>
          <w:lang w:val="en-GB"/>
        </w:rPr>
        <w:t>was then subjected to a further drying step at approximately 4</w:t>
      </w:r>
      <w:r w:rsidR="00F77035" w:rsidRPr="00AA4037">
        <w:rPr>
          <w:lang w:val="en-GB"/>
        </w:rPr>
        <w:t>3-45</w:t>
      </w:r>
      <w:r w:rsidRPr="00AA4037">
        <w:rPr>
          <w:lang w:val="en-GB"/>
        </w:rPr>
        <w:t xml:space="preserve"> °C in order to reach the required residual moisture specification.</w:t>
      </w:r>
    </w:p>
    <w:p w14:paraId="608790ED" w14:textId="1EA872EC" w:rsidR="00207881" w:rsidRPr="00AA4037" w:rsidRDefault="00207881" w:rsidP="00207881">
      <w:pPr>
        <w:pStyle w:val="CETBodytext"/>
        <w:rPr>
          <w:lang w:val="en-GB"/>
        </w:rPr>
      </w:pPr>
      <w:r w:rsidRPr="00AA4037">
        <w:rPr>
          <w:lang w:val="en-GB"/>
        </w:rPr>
        <w:t xml:space="preserve">During this second drying phase, the product temperature initially decreased due to evaporation of residual water. Subsequently, a slow but continuous temperature increase was observed, </w:t>
      </w:r>
      <w:r w:rsidR="00D90651">
        <w:rPr>
          <w:lang w:val="en-GB"/>
        </w:rPr>
        <w:t xml:space="preserve">till </w:t>
      </w:r>
      <w:r w:rsidRPr="00AA4037">
        <w:rPr>
          <w:lang w:val="en-GB"/>
        </w:rPr>
        <w:t>exceeding 100 °C. Operators reported a transient “flash-like” event, and the recovered solid appeared partially decomposed, with brown and darkened areas distributed throughout the batch.</w:t>
      </w:r>
    </w:p>
    <w:p w14:paraId="7C97FC18" w14:textId="7CC05A90" w:rsidR="00207881" w:rsidRPr="00AA4037" w:rsidRDefault="00207881" w:rsidP="00207881">
      <w:pPr>
        <w:pStyle w:val="CETBodytext"/>
        <w:rPr>
          <w:lang w:val="en-GB"/>
        </w:rPr>
      </w:pPr>
      <w:r w:rsidRPr="00AA4037">
        <w:rPr>
          <w:lang w:val="en-GB"/>
        </w:rPr>
        <w:t xml:space="preserve">This behaviour was highly unexpected, since the nominal drying temperature was well below typical decomposition temperatures reported for similar steroidal compounds. The </w:t>
      </w:r>
      <w:r w:rsidR="00860577" w:rsidRPr="00AA4037">
        <w:rPr>
          <w:lang w:val="en-GB"/>
        </w:rPr>
        <w:t>ac</w:t>
      </w:r>
      <w:r w:rsidRPr="00AA4037">
        <w:rPr>
          <w:lang w:val="en-GB"/>
        </w:rPr>
        <w:t>cident indicated the occurrence of an internal exothermic process capable of overcoming the heat removal capacity of the dryer</w:t>
      </w:r>
      <w:r w:rsidR="005450AF">
        <w:rPr>
          <w:lang w:val="en-GB"/>
        </w:rPr>
        <w:t>,</w:t>
      </w:r>
      <w:r w:rsidRPr="00AA4037">
        <w:rPr>
          <w:lang w:val="en-GB"/>
        </w:rPr>
        <w:t xml:space="preserve"> leading to </w:t>
      </w:r>
      <w:r w:rsidR="00B77BE1">
        <w:rPr>
          <w:lang w:val="en-GB"/>
        </w:rPr>
        <w:t xml:space="preserve">a </w:t>
      </w:r>
      <w:r w:rsidRPr="00AA4037">
        <w:rPr>
          <w:lang w:val="en-GB"/>
        </w:rPr>
        <w:t>localized thermal runaway.</w:t>
      </w:r>
    </w:p>
    <w:p w14:paraId="3288A821" w14:textId="4F36BF52" w:rsidR="00207881" w:rsidRPr="00AA4037" w:rsidRDefault="00207881" w:rsidP="00207881">
      <w:pPr>
        <w:pStyle w:val="CETBodytext"/>
        <w:rPr>
          <w:lang w:val="en-GB"/>
        </w:rPr>
      </w:pPr>
      <w:r w:rsidRPr="00AA4037">
        <w:rPr>
          <w:lang w:val="en-GB"/>
        </w:rPr>
        <w:t xml:space="preserve">Samples of three </w:t>
      </w:r>
      <w:r w:rsidR="00EE636B" w:rsidRPr="00AA4037">
        <w:rPr>
          <w:lang w:val="en-GB"/>
        </w:rPr>
        <w:t xml:space="preserve">different </w:t>
      </w:r>
      <w:r w:rsidRPr="00AA4037">
        <w:rPr>
          <w:lang w:val="en-GB"/>
        </w:rPr>
        <w:t>materials were therefore analysed:</w:t>
      </w:r>
      <w:r w:rsidR="001447B1" w:rsidRPr="00AA4037">
        <w:rPr>
          <w:lang w:val="en-GB"/>
        </w:rPr>
        <w:t xml:space="preserve"> a) </w:t>
      </w:r>
      <w:r w:rsidRPr="00AA4037">
        <w:rPr>
          <w:lang w:val="en-GB"/>
        </w:rPr>
        <w:t>the original epoxidized compound after standard drying;</w:t>
      </w:r>
      <w:r w:rsidR="001447B1" w:rsidRPr="00AA4037">
        <w:rPr>
          <w:lang w:val="en-GB"/>
        </w:rPr>
        <w:t xml:space="preserve"> b) </w:t>
      </w:r>
      <w:r w:rsidRPr="00AA4037">
        <w:rPr>
          <w:lang w:val="en-GB"/>
        </w:rPr>
        <w:t xml:space="preserve">the degraded material recovered after the </w:t>
      </w:r>
      <w:r w:rsidR="001447B1" w:rsidRPr="00AA4037">
        <w:rPr>
          <w:lang w:val="en-GB"/>
        </w:rPr>
        <w:t>ac</w:t>
      </w:r>
      <w:r w:rsidRPr="00AA4037">
        <w:rPr>
          <w:lang w:val="en-GB"/>
        </w:rPr>
        <w:t>cident;</w:t>
      </w:r>
      <w:r w:rsidR="001447B1" w:rsidRPr="00AA4037">
        <w:rPr>
          <w:lang w:val="en-GB"/>
        </w:rPr>
        <w:t xml:space="preserve"> c) </w:t>
      </w:r>
      <w:r w:rsidR="007D0974" w:rsidRPr="00AA4037">
        <w:rPr>
          <w:lang w:val="en-GB"/>
        </w:rPr>
        <w:t>an active pharmaceutical ingredient</w:t>
      </w:r>
      <w:r w:rsidRPr="00AA4037">
        <w:rPr>
          <w:lang w:val="en-GB"/>
        </w:rPr>
        <w:t xml:space="preserve"> </w:t>
      </w:r>
      <w:r w:rsidR="00E9263E" w:rsidRPr="00AA4037">
        <w:rPr>
          <w:lang w:val="en-GB"/>
        </w:rPr>
        <w:t>(</w:t>
      </w:r>
      <w:r w:rsidRPr="00AA4037">
        <w:rPr>
          <w:lang w:val="en-GB"/>
        </w:rPr>
        <w:t xml:space="preserve">structurally similar </w:t>
      </w:r>
      <w:r w:rsidR="007D0974" w:rsidRPr="00AA4037">
        <w:rPr>
          <w:lang w:val="en-GB"/>
        </w:rPr>
        <w:t xml:space="preserve">to the epoxy-containing </w:t>
      </w:r>
      <w:r w:rsidRPr="00AA4037">
        <w:rPr>
          <w:lang w:val="en-GB"/>
        </w:rPr>
        <w:t>compound</w:t>
      </w:r>
      <w:r w:rsidR="00E9263E" w:rsidRPr="00AA4037">
        <w:rPr>
          <w:lang w:val="en-GB"/>
        </w:rPr>
        <w:t>)</w:t>
      </w:r>
      <w:r w:rsidRPr="00AA4037">
        <w:rPr>
          <w:lang w:val="en-GB"/>
        </w:rPr>
        <w:t xml:space="preserve"> in which the epoxide ring has already been opened.</w:t>
      </w:r>
      <w:r w:rsidR="001447B1" w:rsidRPr="00AA4037">
        <w:rPr>
          <w:lang w:val="en-GB"/>
        </w:rPr>
        <w:t xml:space="preserve"> </w:t>
      </w:r>
    </w:p>
    <w:p w14:paraId="729B277E" w14:textId="3FA6BA6D" w:rsidR="00207881" w:rsidRPr="00AA4037" w:rsidRDefault="00207881" w:rsidP="00207881">
      <w:pPr>
        <w:pStyle w:val="CETBodytext"/>
        <w:rPr>
          <w:lang w:val="en-GB"/>
        </w:rPr>
      </w:pPr>
      <w:r w:rsidRPr="00AA4037">
        <w:rPr>
          <w:lang w:val="en-GB"/>
        </w:rPr>
        <w:t>The objective was to determine whether the epoxide functional group was responsible for the observed instability.</w:t>
      </w:r>
    </w:p>
    <w:p w14:paraId="677EBFF0" w14:textId="38D1B1C2" w:rsidR="00600535" w:rsidRPr="00AA4037" w:rsidRDefault="00D20DFA" w:rsidP="00600535">
      <w:pPr>
        <w:pStyle w:val="CETHeading1"/>
        <w:tabs>
          <w:tab w:val="clear" w:pos="360"/>
          <w:tab w:val="right" w:pos="7100"/>
        </w:tabs>
        <w:jc w:val="both"/>
        <w:rPr>
          <w:lang w:val="en-GB"/>
        </w:rPr>
      </w:pPr>
      <w:r w:rsidRPr="00AA4037">
        <w:rPr>
          <w:lang w:val="en-GB"/>
        </w:rPr>
        <w:t>Thermo</w:t>
      </w:r>
      <w:r w:rsidR="0005147B" w:rsidRPr="00AA4037">
        <w:rPr>
          <w:lang w:val="en-GB"/>
        </w:rPr>
        <w:t>-</w:t>
      </w:r>
      <w:r w:rsidRPr="00AA4037">
        <w:rPr>
          <w:lang w:val="en-GB"/>
        </w:rPr>
        <w:t>analytical investigation</w:t>
      </w:r>
    </w:p>
    <w:p w14:paraId="2FD511B7" w14:textId="281E4977" w:rsidR="00966333" w:rsidRPr="00AA4037" w:rsidRDefault="00966333" w:rsidP="00966333">
      <w:pPr>
        <w:pStyle w:val="CETBodytext"/>
        <w:rPr>
          <w:lang w:val="en-GB"/>
        </w:rPr>
      </w:pPr>
      <w:r w:rsidRPr="00AA4037">
        <w:rPr>
          <w:lang w:val="en-GB"/>
        </w:rPr>
        <w:t xml:space="preserve">The experimental campaign </w:t>
      </w:r>
      <w:r w:rsidR="00CB4312" w:rsidRPr="00AA4037">
        <w:rPr>
          <w:lang w:val="en-GB"/>
        </w:rPr>
        <w:t>consisted in</w:t>
      </w:r>
      <w:r w:rsidRPr="00AA4037">
        <w:rPr>
          <w:lang w:val="en-GB"/>
        </w:rPr>
        <w:t xml:space="preserve"> a comprehensive thermo-analytical characterization </w:t>
      </w:r>
      <w:r w:rsidR="00CB4312" w:rsidRPr="00AA4037">
        <w:rPr>
          <w:lang w:val="en-GB"/>
        </w:rPr>
        <w:t xml:space="preserve">using both </w:t>
      </w:r>
      <w:r w:rsidR="00C06761" w:rsidRPr="00AA4037">
        <w:rPr>
          <w:lang w:val="en-GB"/>
        </w:rPr>
        <w:t xml:space="preserve">Differential Scanning Calorimetry </w:t>
      </w:r>
      <w:r w:rsidR="00CB4312" w:rsidRPr="00AA4037">
        <w:rPr>
          <w:lang w:val="en-GB"/>
        </w:rPr>
        <w:t>(</w:t>
      </w:r>
      <w:r w:rsidRPr="00AA4037">
        <w:rPr>
          <w:lang w:val="en-GB"/>
        </w:rPr>
        <w:t>DSC</w:t>
      </w:r>
      <w:r w:rsidR="00CB4312" w:rsidRPr="00AA4037">
        <w:rPr>
          <w:lang w:val="en-GB"/>
        </w:rPr>
        <w:t>)</w:t>
      </w:r>
      <w:r w:rsidRPr="00AA4037">
        <w:rPr>
          <w:lang w:val="en-GB"/>
        </w:rPr>
        <w:t xml:space="preserve"> and </w:t>
      </w:r>
      <w:r w:rsidR="00C06761" w:rsidRPr="00AA4037">
        <w:rPr>
          <w:lang w:val="en-GB"/>
        </w:rPr>
        <w:t xml:space="preserve">Thermogravimetry coupled with Differential Scanning Calorimetry </w:t>
      </w:r>
      <w:r w:rsidR="00CB4312" w:rsidRPr="00AA4037">
        <w:rPr>
          <w:lang w:val="en-GB"/>
        </w:rPr>
        <w:t>(</w:t>
      </w:r>
      <w:r w:rsidRPr="00AA4037">
        <w:rPr>
          <w:lang w:val="en-GB"/>
        </w:rPr>
        <w:t>TG-DSC</w:t>
      </w:r>
      <w:r w:rsidR="00CB4312" w:rsidRPr="00AA4037">
        <w:rPr>
          <w:lang w:val="en-GB"/>
        </w:rPr>
        <w:t>)</w:t>
      </w:r>
      <w:r w:rsidR="00C06761" w:rsidRPr="00AA4037">
        <w:rPr>
          <w:lang w:val="en-GB"/>
        </w:rPr>
        <w:t>,</w:t>
      </w:r>
      <w:r w:rsidRPr="00AA4037">
        <w:rPr>
          <w:lang w:val="en-GB"/>
        </w:rPr>
        <w:t xml:space="preserve"> under inert atmosphere</w:t>
      </w:r>
      <w:r w:rsidR="00C31A21" w:rsidRPr="00AA4037">
        <w:rPr>
          <w:lang w:val="en-GB"/>
        </w:rPr>
        <w:t>,</w:t>
      </w:r>
      <w:r w:rsidRPr="00AA4037">
        <w:rPr>
          <w:lang w:val="en-GB"/>
        </w:rPr>
        <w:t xml:space="preserve"> at three different heating rates: 2, 5 and 10 °C/min</w:t>
      </w:r>
      <w:r w:rsidR="00CF5708" w:rsidRPr="00AA4037">
        <w:rPr>
          <w:lang w:val="en-GB"/>
        </w:rPr>
        <w:t>.</w:t>
      </w:r>
      <w:r w:rsidRPr="00AA4037">
        <w:rPr>
          <w:lang w:val="en-GB"/>
        </w:rPr>
        <w:t xml:space="preserve"> </w:t>
      </w:r>
      <w:r w:rsidR="00CF5708" w:rsidRPr="00AA4037">
        <w:rPr>
          <w:lang w:val="en-GB"/>
        </w:rPr>
        <w:t xml:space="preserve">Then the campaign </w:t>
      </w:r>
      <w:r w:rsidR="001D7068" w:rsidRPr="00AA4037">
        <w:rPr>
          <w:lang w:val="en-GB"/>
        </w:rPr>
        <w:t xml:space="preserve">moved toward </w:t>
      </w:r>
      <w:r w:rsidRPr="00AA4037">
        <w:rPr>
          <w:lang w:val="en-GB"/>
        </w:rPr>
        <w:t xml:space="preserve">a low-temperature isothermal ageing test (45 °C) to simulate the drying operation for the epoxy-containing compound. Subsequently, DSC tests under inert atmosphere </w:t>
      </w:r>
      <w:r w:rsidR="00337256" w:rsidRPr="00AA4037">
        <w:rPr>
          <w:lang w:val="en-GB"/>
        </w:rPr>
        <w:t>were</w:t>
      </w:r>
      <w:r w:rsidRPr="00AA4037">
        <w:rPr>
          <w:lang w:val="en-GB"/>
        </w:rPr>
        <w:t xml:space="preserve"> performed at three different heating rates (2, 5 and 10 °C/min) on the non</w:t>
      </w:r>
      <w:r w:rsidR="00FB2EB4" w:rsidRPr="00AA4037">
        <w:rPr>
          <w:lang w:val="en-GB"/>
        </w:rPr>
        <w:t>-</w:t>
      </w:r>
      <w:r w:rsidRPr="00AA4037">
        <w:rPr>
          <w:lang w:val="en-GB"/>
        </w:rPr>
        <w:t xml:space="preserve">epoxy-containing homologue. </w:t>
      </w:r>
    </w:p>
    <w:p w14:paraId="380527B9" w14:textId="2AAE05B2" w:rsidR="0005147B" w:rsidRPr="00AA4037" w:rsidRDefault="006A2543" w:rsidP="00966333">
      <w:pPr>
        <w:pStyle w:val="CETBodytext"/>
        <w:rPr>
          <w:lang w:val="en-GB"/>
        </w:rPr>
      </w:pPr>
      <w:r w:rsidRPr="00AA4037">
        <w:rPr>
          <w:lang w:val="en-GB"/>
        </w:rPr>
        <w:lastRenderedPageBreak/>
        <w:t>Finally, i</w:t>
      </w:r>
      <w:r w:rsidR="00966333" w:rsidRPr="00AA4037">
        <w:rPr>
          <w:lang w:val="en-GB"/>
        </w:rPr>
        <w:t xml:space="preserve">n order to assess the degradation state of the material recovered after the </w:t>
      </w:r>
      <w:r w:rsidR="00BF0BAB" w:rsidRPr="00AA4037">
        <w:rPr>
          <w:lang w:val="en-GB"/>
        </w:rPr>
        <w:t>ac</w:t>
      </w:r>
      <w:r w:rsidR="00966333" w:rsidRPr="00AA4037">
        <w:rPr>
          <w:lang w:val="en-GB"/>
        </w:rPr>
        <w:t xml:space="preserve">cident, DSC measurements </w:t>
      </w:r>
      <w:r w:rsidRPr="00AA4037">
        <w:rPr>
          <w:lang w:val="en-GB"/>
        </w:rPr>
        <w:t>were</w:t>
      </w:r>
      <w:r w:rsidR="00966333" w:rsidRPr="00AA4037">
        <w:rPr>
          <w:lang w:val="en-GB"/>
        </w:rPr>
        <w:t xml:space="preserve"> carried out at three heating rates (2, 5 and 10 °C/min), again under inert atmosphere. Table 1 summarizes </w:t>
      </w:r>
      <w:r w:rsidR="00BF0BAB" w:rsidRPr="00AA4037">
        <w:rPr>
          <w:lang w:val="en-GB"/>
        </w:rPr>
        <w:t xml:space="preserve">all </w:t>
      </w:r>
      <w:r w:rsidR="00966333" w:rsidRPr="00AA4037">
        <w:rPr>
          <w:lang w:val="en-GB"/>
        </w:rPr>
        <w:t xml:space="preserve">the </w:t>
      </w:r>
      <w:r w:rsidR="00BF0BAB" w:rsidRPr="00AA4037">
        <w:rPr>
          <w:lang w:val="en-GB"/>
        </w:rPr>
        <w:t>thermo-</w:t>
      </w:r>
      <w:r w:rsidR="00966333" w:rsidRPr="00AA4037">
        <w:rPr>
          <w:lang w:val="en-GB"/>
        </w:rPr>
        <w:t>analytical tests</w:t>
      </w:r>
      <w:r w:rsidR="00BF0BAB" w:rsidRPr="00AA4037">
        <w:rPr>
          <w:lang w:val="en-GB"/>
        </w:rPr>
        <w:t xml:space="preserve"> performed</w:t>
      </w:r>
      <w:r w:rsidR="00DB05E0" w:rsidRPr="00AA4037">
        <w:rPr>
          <w:lang w:val="en-GB"/>
        </w:rPr>
        <w:t xml:space="preserve"> during the campaign</w:t>
      </w:r>
      <w:r w:rsidR="00966333" w:rsidRPr="00AA4037">
        <w:rPr>
          <w:lang w:val="en-GB"/>
        </w:rPr>
        <w:t>.</w:t>
      </w:r>
    </w:p>
    <w:p w14:paraId="7BF197A1" w14:textId="0AA6EBC9" w:rsidR="00BF0BAB" w:rsidRPr="00AA4037" w:rsidRDefault="00BF0BAB" w:rsidP="00BF0BAB">
      <w:pPr>
        <w:pStyle w:val="CETTabletitle"/>
      </w:pPr>
      <w:r w:rsidRPr="00AA4037">
        <w:t>Table 1: T</w:t>
      </w:r>
      <w:r w:rsidR="009D2D4B" w:rsidRPr="00AA4037">
        <w:t>hermo-analytical tests carried out during the campaign.</w:t>
      </w:r>
    </w:p>
    <w:tbl>
      <w:tblPr>
        <w:tblW w:w="906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2663"/>
        <w:gridCol w:w="1799"/>
        <w:gridCol w:w="3605"/>
      </w:tblGrid>
      <w:tr w:rsidR="00C303EE" w:rsidRPr="00AA4037" w14:paraId="4E08A40B" w14:textId="77777777" w:rsidTr="002D71D3">
        <w:trPr>
          <w:trHeight w:val="186"/>
        </w:trPr>
        <w:tc>
          <w:tcPr>
            <w:tcW w:w="993" w:type="dxa"/>
            <w:tcBorders>
              <w:top w:val="single" w:sz="12" w:space="0" w:color="008000"/>
              <w:bottom w:val="single" w:sz="6" w:space="0" w:color="008000"/>
            </w:tcBorders>
            <w:shd w:val="clear" w:color="auto" w:fill="FFFFFF"/>
          </w:tcPr>
          <w:p w14:paraId="334FE933" w14:textId="137253FB" w:rsidR="00C303EE" w:rsidRPr="00AA4037" w:rsidRDefault="00C303EE" w:rsidP="00F13296">
            <w:pPr>
              <w:pStyle w:val="CETBodytext"/>
              <w:rPr>
                <w:szCs w:val="18"/>
                <w:lang w:val="en-GB"/>
              </w:rPr>
            </w:pPr>
            <w:r w:rsidRPr="00AA4037">
              <w:rPr>
                <w:b/>
                <w:bCs/>
                <w:szCs w:val="18"/>
                <w:lang w:val="en-GB"/>
              </w:rPr>
              <w:t>ID</w:t>
            </w:r>
          </w:p>
        </w:tc>
        <w:tc>
          <w:tcPr>
            <w:tcW w:w="2663" w:type="dxa"/>
            <w:tcBorders>
              <w:top w:val="single" w:sz="12" w:space="0" w:color="008000"/>
              <w:bottom w:val="single" w:sz="6" w:space="0" w:color="008000"/>
            </w:tcBorders>
            <w:shd w:val="clear" w:color="auto" w:fill="FFFFFF"/>
          </w:tcPr>
          <w:p w14:paraId="1BB2107D" w14:textId="72E77F4D" w:rsidR="00C303EE" w:rsidRPr="00AA4037" w:rsidRDefault="00C303EE" w:rsidP="00F13296">
            <w:pPr>
              <w:pStyle w:val="CETBodytext"/>
              <w:rPr>
                <w:b/>
                <w:bCs/>
                <w:szCs w:val="18"/>
                <w:lang w:val="en-GB"/>
              </w:rPr>
            </w:pPr>
            <w:r w:rsidRPr="00AA4037">
              <w:rPr>
                <w:b/>
                <w:bCs/>
                <w:szCs w:val="18"/>
                <w:lang w:val="en-GB"/>
              </w:rPr>
              <w:t>Compound</w:t>
            </w:r>
          </w:p>
        </w:tc>
        <w:tc>
          <w:tcPr>
            <w:tcW w:w="1799" w:type="dxa"/>
            <w:tcBorders>
              <w:top w:val="single" w:sz="12" w:space="0" w:color="008000"/>
              <w:bottom w:val="single" w:sz="6" w:space="0" w:color="008000"/>
            </w:tcBorders>
            <w:shd w:val="clear" w:color="auto" w:fill="FFFFFF"/>
          </w:tcPr>
          <w:p w14:paraId="192F3F6A" w14:textId="3E9F8D46" w:rsidR="00C303EE" w:rsidRPr="00AA4037" w:rsidRDefault="00C303EE" w:rsidP="00F13296">
            <w:pPr>
              <w:pStyle w:val="CETBodytext"/>
              <w:rPr>
                <w:b/>
                <w:bCs/>
                <w:szCs w:val="18"/>
                <w:lang w:val="en-GB"/>
              </w:rPr>
            </w:pPr>
            <w:r w:rsidRPr="00AA4037">
              <w:rPr>
                <w:b/>
                <w:bCs/>
                <w:szCs w:val="18"/>
                <w:lang w:val="en-GB"/>
              </w:rPr>
              <w:t>Thermo-analytical technique</w:t>
            </w:r>
          </w:p>
        </w:tc>
        <w:tc>
          <w:tcPr>
            <w:tcW w:w="3605" w:type="dxa"/>
            <w:tcBorders>
              <w:top w:val="single" w:sz="12" w:space="0" w:color="008000"/>
              <w:bottom w:val="single" w:sz="6" w:space="0" w:color="008000"/>
            </w:tcBorders>
            <w:shd w:val="clear" w:color="auto" w:fill="FFFFFF"/>
          </w:tcPr>
          <w:p w14:paraId="5BA46956" w14:textId="0A1526C3" w:rsidR="00C303EE" w:rsidRPr="00AA4037" w:rsidRDefault="00C303EE" w:rsidP="00F13296">
            <w:pPr>
              <w:pStyle w:val="CETBodytext"/>
              <w:rPr>
                <w:szCs w:val="18"/>
                <w:lang w:val="en-GB"/>
              </w:rPr>
            </w:pPr>
            <w:r w:rsidRPr="00AA4037">
              <w:rPr>
                <w:b/>
                <w:bCs/>
                <w:szCs w:val="18"/>
                <w:lang w:val="en-GB"/>
              </w:rPr>
              <w:t>Program</w:t>
            </w:r>
          </w:p>
        </w:tc>
      </w:tr>
      <w:tr w:rsidR="00C303EE" w:rsidRPr="00AA4037" w14:paraId="4F96E2C1" w14:textId="77777777" w:rsidTr="002D71D3">
        <w:trPr>
          <w:trHeight w:val="282"/>
        </w:trPr>
        <w:tc>
          <w:tcPr>
            <w:tcW w:w="993" w:type="dxa"/>
            <w:shd w:val="clear" w:color="auto" w:fill="FFFFFF"/>
          </w:tcPr>
          <w:p w14:paraId="5928FD5C" w14:textId="239C2415" w:rsidR="00C303EE" w:rsidRPr="00AA4037" w:rsidRDefault="00493F44" w:rsidP="00F13296">
            <w:pPr>
              <w:pStyle w:val="CETBodytext"/>
              <w:rPr>
                <w:szCs w:val="18"/>
                <w:lang w:val="en-GB"/>
              </w:rPr>
            </w:pPr>
            <w:r>
              <w:rPr>
                <w:szCs w:val="18"/>
                <w:lang w:val="en-GB"/>
              </w:rPr>
              <w:t>S</w:t>
            </w:r>
            <w:r w:rsidR="004F6D27" w:rsidRPr="00AA4037">
              <w:rPr>
                <w:szCs w:val="18"/>
                <w:lang w:val="en-GB"/>
              </w:rPr>
              <w:t>1</w:t>
            </w:r>
            <w:r w:rsidR="007952DB">
              <w:rPr>
                <w:szCs w:val="18"/>
                <w:lang w:val="en-GB"/>
              </w:rPr>
              <w:t>_DSC</w:t>
            </w:r>
          </w:p>
        </w:tc>
        <w:tc>
          <w:tcPr>
            <w:tcW w:w="2663" w:type="dxa"/>
            <w:shd w:val="clear" w:color="auto" w:fill="FFFFFF"/>
          </w:tcPr>
          <w:p w14:paraId="148C8BAA" w14:textId="58AEDA88" w:rsidR="00C303EE" w:rsidRPr="00AA4037" w:rsidRDefault="004F6D27" w:rsidP="00F13296">
            <w:pPr>
              <w:pStyle w:val="CETBodytext"/>
              <w:rPr>
                <w:szCs w:val="18"/>
                <w:lang w:val="en-GB"/>
              </w:rPr>
            </w:pPr>
            <w:r w:rsidRPr="00AA4037">
              <w:rPr>
                <w:szCs w:val="18"/>
                <w:lang w:val="en-GB"/>
              </w:rPr>
              <w:t>Epoxy compound</w:t>
            </w:r>
          </w:p>
        </w:tc>
        <w:tc>
          <w:tcPr>
            <w:tcW w:w="1799" w:type="dxa"/>
            <w:shd w:val="clear" w:color="auto" w:fill="FFFFFF"/>
          </w:tcPr>
          <w:p w14:paraId="6ED6B90B" w14:textId="27688102" w:rsidR="00C303EE" w:rsidRPr="00AA4037" w:rsidRDefault="00C303EE" w:rsidP="00C303EE">
            <w:pPr>
              <w:pStyle w:val="CETBodytext"/>
              <w:jc w:val="center"/>
              <w:rPr>
                <w:szCs w:val="18"/>
                <w:lang w:val="en-GB"/>
              </w:rPr>
            </w:pPr>
            <w:r w:rsidRPr="00AA4037">
              <w:rPr>
                <w:szCs w:val="18"/>
                <w:lang w:val="en-GB"/>
              </w:rPr>
              <w:t>DSC</w:t>
            </w:r>
            <w:r w:rsidR="00EA71D0" w:rsidRPr="00AA4037">
              <w:rPr>
                <w:szCs w:val="18"/>
                <w:lang w:val="en-GB"/>
              </w:rPr>
              <w:t xml:space="preserve"> (closed)</w:t>
            </w:r>
          </w:p>
        </w:tc>
        <w:tc>
          <w:tcPr>
            <w:tcW w:w="3605" w:type="dxa"/>
            <w:shd w:val="clear" w:color="auto" w:fill="FFFFFF"/>
          </w:tcPr>
          <w:p w14:paraId="2F56CF5D" w14:textId="16B78D79" w:rsidR="00C303EE" w:rsidRPr="00AA4037" w:rsidRDefault="00C303EE" w:rsidP="00F13296">
            <w:pPr>
              <w:pStyle w:val="CETBodytext"/>
              <w:rPr>
                <w:szCs w:val="18"/>
                <w:lang w:val="en-GB"/>
              </w:rPr>
            </w:pPr>
            <w:r w:rsidRPr="00AA4037">
              <w:rPr>
                <w:szCs w:val="18"/>
                <w:lang w:val="en-GB"/>
              </w:rPr>
              <w:t xml:space="preserve">30–300 °C; </w:t>
            </w:r>
            <w:r w:rsidR="002D71D3" w:rsidRPr="00AA4037">
              <w:rPr>
                <w:szCs w:val="18"/>
                <w:lang w:val="en-GB"/>
              </w:rPr>
              <w:t xml:space="preserve">heating rates of </w:t>
            </w:r>
            <w:r w:rsidRPr="00AA4037">
              <w:rPr>
                <w:szCs w:val="18"/>
                <w:lang w:val="en-GB"/>
              </w:rPr>
              <w:t>2, 5 e 10 °C/min</w:t>
            </w:r>
          </w:p>
        </w:tc>
      </w:tr>
      <w:tr w:rsidR="00C303EE" w:rsidRPr="00AA4037" w14:paraId="0C6C2885" w14:textId="77777777" w:rsidTr="002D71D3">
        <w:trPr>
          <w:trHeight w:val="374"/>
        </w:trPr>
        <w:tc>
          <w:tcPr>
            <w:tcW w:w="993" w:type="dxa"/>
            <w:shd w:val="clear" w:color="auto" w:fill="FFFFFF"/>
          </w:tcPr>
          <w:p w14:paraId="56919715" w14:textId="07511F4F" w:rsidR="00C303EE" w:rsidRPr="00AA4037" w:rsidRDefault="007952DB" w:rsidP="00F13296">
            <w:pPr>
              <w:pStyle w:val="CETBodytext"/>
              <w:ind w:right="-1"/>
              <w:rPr>
                <w:rFonts w:cs="Arial"/>
                <w:szCs w:val="18"/>
                <w:lang w:val="en-GB"/>
              </w:rPr>
            </w:pPr>
            <w:r>
              <w:rPr>
                <w:szCs w:val="18"/>
                <w:lang w:val="en-GB"/>
              </w:rPr>
              <w:t>S2_DSC</w:t>
            </w:r>
          </w:p>
        </w:tc>
        <w:tc>
          <w:tcPr>
            <w:tcW w:w="2663" w:type="dxa"/>
            <w:shd w:val="clear" w:color="auto" w:fill="FFFFFF"/>
          </w:tcPr>
          <w:p w14:paraId="2A5DF5BE" w14:textId="47027BDB" w:rsidR="00C303EE" w:rsidRPr="00AA4037" w:rsidRDefault="002D3913" w:rsidP="0083073A">
            <w:pPr>
              <w:pStyle w:val="CETBodytext"/>
              <w:ind w:right="-1"/>
              <w:jc w:val="left"/>
              <w:rPr>
                <w:rFonts w:cs="Arial"/>
                <w:szCs w:val="18"/>
                <w:lang w:val="en-GB"/>
              </w:rPr>
            </w:pPr>
            <w:r w:rsidRPr="00AA4037">
              <w:rPr>
                <w:szCs w:val="18"/>
                <w:lang w:val="en-GB"/>
              </w:rPr>
              <w:t>Epoxy compound after degradation</w:t>
            </w:r>
          </w:p>
        </w:tc>
        <w:tc>
          <w:tcPr>
            <w:tcW w:w="1799" w:type="dxa"/>
            <w:shd w:val="clear" w:color="auto" w:fill="FFFFFF"/>
          </w:tcPr>
          <w:p w14:paraId="71A95030" w14:textId="7EED2C47" w:rsidR="00C303EE" w:rsidRPr="00AA4037" w:rsidRDefault="00C303EE" w:rsidP="00C303EE">
            <w:pPr>
              <w:pStyle w:val="CETBodytext"/>
              <w:ind w:right="-1"/>
              <w:jc w:val="center"/>
              <w:rPr>
                <w:rFonts w:cs="Arial"/>
                <w:szCs w:val="18"/>
                <w:lang w:val="en-GB"/>
              </w:rPr>
            </w:pPr>
            <w:r w:rsidRPr="00AA4037">
              <w:rPr>
                <w:szCs w:val="18"/>
                <w:lang w:val="en-GB"/>
              </w:rPr>
              <w:t>DSC</w:t>
            </w:r>
            <w:r w:rsidR="00EA71D0" w:rsidRPr="00AA4037">
              <w:rPr>
                <w:szCs w:val="18"/>
                <w:lang w:val="en-GB"/>
              </w:rPr>
              <w:t xml:space="preserve"> (closed)</w:t>
            </w:r>
          </w:p>
        </w:tc>
        <w:tc>
          <w:tcPr>
            <w:tcW w:w="3605" w:type="dxa"/>
            <w:shd w:val="clear" w:color="auto" w:fill="FFFFFF"/>
          </w:tcPr>
          <w:p w14:paraId="5E1A49D3" w14:textId="3A238293" w:rsidR="00C303EE" w:rsidRPr="00AA4037" w:rsidRDefault="00C303EE" w:rsidP="00F13296">
            <w:pPr>
              <w:pStyle w:val="CETBodytext"/>
              <w:ind w:right="-1"/>
              <w:rPr>
                <w:rFonts w:cs="Arial"/>
                <w:szCs w:val="18"/>
                <w:lang w:val="en-GB"/>
              </w:rPr>
            </w:pPr>
            <w:r w:rsidRPr="00AA4037">
              <w:rPr>
                <w:szCs w:val="18"/>
                <w:lang w:val="en-GB"/>
              </w:rPr>
              <w:t xml:space="preserve">30–300 °C; </w:t>
            </w:r>
            <w:r w:rsidR="002D71D3" w:rsidRPr="00AA4037">
              <w:rPr>
                <w:szCs w:val="18"/>
                <w:lang w:val="en-GB"/>
              </w:rPr>
              <w:t xml:space="preserve">heating rates of </w:t>
            </w:r>
            <w:r w:rsidRPr="00AA4037">
              <w:rPr>
                <w:szCs w:val="18"/>
                <w:lang w:val="en-GB"/>
              </w:rPr>
              <w:t>2, 5 e 10 °C/min</w:t>
            </w:r>
          </w:p>
        </w:tc>
      </w:tr>
      <w:tr w:rsidR="00C303EE" w:rsidRPr="00AA4037" w14:paraId="1F18047E" w14:textId="77777777" w:rsidTr="002D71D3">
        <w:trPr>
          <w:trHeight w:val="282"/>
        </w:trPr>
        <w:tc>
          <w:tcPr>
            <w:tcW w:w="993" w:type="dxa"/>
            <w:shd w:val="clear" w:color="auto" w:fill="FFFFFF"/>
          </w:tcPr>
          <w:p w14:paraId="399A07A1" w14:textId="7B0B759F" w:rsidR="00C303EE" w:rsidRPr="00AA4037" w:rsidRDefault="007952DB" w:rsidP="00F13296">
            <w:pPr>
              <w:pStyle w:val="CETBodytext"/>
              <w:ind w:right="-1"/>
              <w:rPr>
                <w:szCs w:val="18"/>
                <w:lang w:val="en-GB"/>
              </w:rPr>
            </w:pPr>
            <w:r>
              <w:rPr>
                <w:szCs w:val="18"/>
                <w:lang w:val="en-GB"/>
              </w:rPr>
              <w:t>S3_DSC</w:t>
            </w:r>
          </w:p>
        </w:tc>
        <w:tc>
          <w:tcPr>
            <w:tcW w:w="2663" w:type="dxa"/>
            <w:shd w:val="clear" w:color="auto" w:fill="FFFFFF"/>
          </w:tcPr>
          <w:p w14:paraId="652370F2" w14:textId="45566257" w:rsidR="00C303EE" w:rsidRPr="00AA4037" w:rsidRDefault="002D3913" w:rsidP="00F13296">
            <w:pPr>
              <w:pStyle w:val="CETBodytext"/>
              <w:ind w:right="-1"/>
              <w:rPr>
                <w:szCs w:val="18"/>
                <w:lang w:val="en-GB"/>
              </w:rPr>
            </w:pPr>
            <w:r w:rsidRPr="00AA4037">
              <w:rPr>
                <w:szCs w:val="18"/>
                <w:lang w:val="en-GB"/>
              </w:rPr>
              <w:t>Non-epoxy compound</w:t>
            </w:r>
          </w:p>
        </w:tc>
        <w:tc>
          <w:tcPr>
            <w:tcW w:w="1799" w:type="dxa"/>
            <w:shd w:val="clear" w:color="auto" w:fill="FFFFFF"/>
          </w:tcPr>
          <w:p w14:paraId="1BB0DC5E" w14:textId="1A1969EA" w:rsidR="00C303EE" w:rsidRPr="00AA4037" w:rsidRDefault="00C303EE" w:rsidP="00C303EE">
            <w:pPr>
              <w:pStyle w:val="CETBodytext"/>
              <w:ind w:right="-1"/>
              <w:jc w:val="center"/>
              <w:rPr>
                <w:szCs w:val="18"/>
                <w:lang w:val="en-GB"/>
              </w:rPr>
            </w:pPr>
            <w:r w:rsidRPr="00AA4037">
              <w:rPr>
                <w:szCs w:val="18"/>
                <w:lang w:val="en-GB"/>
              </w:rPr>
              <w:t>DSC</w:t>
            </w:r>
            <w:r w:rsidR="00EA71D0" w:rsidRPr="00AA4037">
              <w:rPr>
                <w:szCs w:val="18"/>
                <w:lang w:val="en-GB"/>
              </w:rPr>
              <w:t xml:space="preserve"> (closed)</w:t>
            </w:r>
          </w:p>
        </w:tc>
        <w:tc>
          <w:tcPr>
            <w:tcW w:w="3605" w:type="dxa"/>
            <w:shd w:val="clear" w:color="auto" w:fill="FFFFFF"/>
          </w:tcPr>
          <w:p w14:paraId="632F3F16" w14:textId="5F7D1583" w:rsidR="00C303EE" w:rsidRPr="00AA4037" w:rsidRDefault="00C303EE" w:rsidP="00F13296">
            <w:pPr>
              <w:pStyle w:val="CETBodytext"/>
              <w:ind w:right="-1"/>
              <w:rPr>
                <w:szCs w:val="18"/>
                <w:lang w:val="en-GB"/>
              </w:rPr>
            </w:pPr>
            <w:r w:rsidRPr="00AA4037">
              <w:rPr>
                <w:szCs w:val="18"/>
                <w:lang w:val="en-GB"/>
              </w:rPr>
              <w:t xml:space="preserve">30–300 °C; </w:t>
            </w:r>
            <w:r w:rsidR="002D71D3" w:rsidRPr="00AA4037">
              <w:rPr>
                <w:szCs w:val="18"/>
                <w:lang w:val="en-GB"/>
              </w:rPr>
              <w:t xml:space="preserve">heating rates of </w:t>
            </w:r>
            <w:r w:rsidRPr="00AA4037">
              <w:rPr>
                <w:szCs w:val="18"/>
                <w:lang w:val="en-GB"/>
              </w:rPr>
              <w:t>2, 5 e 10 °C/min</w:t>
            </w:r>
          </w:p>
        </w:tc>
      </w:tr>
      <w:tr w:rsidR="00C303EE" w:rsidRPr="00AA4037" w14:paraId="4564B0C5" w14:textId="77777777" w:rsidTr="002D71D3">
        <w:trPr>
          <w:trHeight w:val="282"/>
        </w:trPr>
        <w:tc>
          <w:tcPr>
            <w:tcW w:w="993" w:type="dxa"/>
            <w:shd w:val="clear" w:color="auto" w:fill="FFFFFF"/>
          </w:tcPr>
          <w:p w14:paraId="0F61B19E" w14:textId="7AE47A3E" w:rsidR="00C303EE" w:rsidRPr="00AA4037" w:rsidRDefault="007952DB" w:rsidP="00F13296">
            <w:pPr>
              <w:pStyle w:val="CETBodytext"/>
              <w:ind w:right="-1"/>
              <w:rPr>
                <w:szCs w:val="18"/>
                <w:lang w:val="en-GB"/>
              </w:rPr>
            </w:pPr>
            <w:r>
              <w:rPr>
                <w:szCs w:val="18"/>
                <w:lang w:val="en-GB"/>
              </w:rPr>
              <w:t>S1_TG</w:t>
            </w:r>
            <w:r w:rsidR="00A17379">
              <w:rPr>
                <w:szCs w:val="18"/>
                <w:lang w:val="en-GB"/>
              </w:rPr>
              <w:t>1</w:t>
            </w:r>
          </w:p>
        </w:tc>
        <w:tc>
          <w:tcPr>
            <w:tcW w:w="2663" w:type="dxa"/>
            <w:shd w:val="clear" w:color="auto" w:fill="FFFFFF"/>
          </w:tcPr>
          <w:p w14:paraId="31E7B8F7" w14:textId="1E077F05" w:rsidR="00C303EE" w:rsidRPr="00AA4037" w:rsidRDefault="002D71D3" w:rsidP="00F13296">
            <w:pPr>
              <w:pStyle w:val="CETBodytext"/>
              <w:ind w:right="-1"/>
              <w:rPr>
                <w:szCs w:val="18"/>
                <w:lang w:val="en-GB"/>
              </w:rPr>
            </w:pPr>
            <w:r w:rsidRPr="00AA4037">
              <w:rPr>
                <w:szCs w:val="18"/>
                <w:lang w:val="en-GB"/>
              </w:rPr>
              <w:t>Epoxy compound</w:t>
            </w:r>
          </w:p>
        </w:tc>
        <w:tc>
          <w:tcPr>
            <w:tcW w:w="1799" w:type="dxa"/>
            <w:shd w:val="clear" w:color="auto" w:fill="FFFFFF"/>
          </w:tcPr>
          <w:p w14:paraId="21AFA8E9" w14:textId="5506EFD4" w:rsidR="00C303EE" w:rsidRPr="00AA4037" w:rsidRDefault="00C303EE" w:rsidP="00C303EE">
            <w:pPr>
              <w:pStyle w:val="CETBodytext"/>
              <w:ind w:right="-1"/>
              <w:jc w:val="center"/>
              <w:rPr>
                <w:szCs w:val="18"/>
                <w:lang w:val="en-GB"/>
              </w:rPr>
            </w:pPr>
            <w:r w:rsidRPr="00AA4037">
              <w:rPr>
                <w:szCs w:val="18"/>
                <w:lang w:val="en-GB"/>
              </w:rPr>
              <w:t>TG-DSC</w:t>
            </w:r>
          </w:p>
        </w:tc>
        <w:tc>
          <w:tcPr>
            <w:tcW w:w="3605" w:type="dxa"/>
            <w:shd w:val="clear" w:color="auto" w:fill="FFFFFF"/>
          </w:tcPr>
          <w:p w14:paraId="0748FEFD" w14:textId="1DEDC53A" w:rsidR="00C303EE" w:rsidRPr="00AA4037" w:rsidRDefault="00C303EE" w:rsidP="00F13296">
            <w:pPr>
              <w:pStyle w:val="CETBodytext"/>
              <w:ind w:right="-1"/>
              <w:rPr>
                <w:szCs w:val="18"/>
                <w:lang w:val="en-GB"/>
              </w:rPr>
            </w:pPr>
            <w:r w:rsidRPr="00AA4037">
              <w:rPr>
                <w:szCs w:val="18"/>
                <w:lang w:val="en-GB"/>
              </w:rPr>
              <w:t xml:space="preserve">30–300 °C; </w:t>
            </w:r>
            <w:r w:rsidR="002D71D3" w:rsidRPr="00AA4037">
              <w:rPr>
                <w:szCs w:val="18"/>
                <w:lang w:val="en-GB"/>
              </w:rPr>
              <w:t xml:space="preserve">heating rates of </w:t>
            </w:r>
            <w:r w:rsidRPr="00AA4037">
              <w:rPr>
                <w:szCs w:val="18"/>
                <w:lang w:val="en-GB"/>
              </w:rPr>
              <w:t>2, 5 e 10 °C/min</w:t>
            </w:r>
          </w:p>
        </w:tc>
      </w:tr>
      <w:tr w:rsidR="00C303EE" w:rsidRPr="00AA4037" w14:paraId="5EDAA58E" w14:textId="77777777" w:rsidTr="002D71D3">
        <w:trPr>
          <w:trHeight w:val="186"/>
        </w:trPr>
        <w:tc>
          <w:tcPr>
            <w:tcW w:w="993" w:type="dxa"/>
            <w:shd w:val="clear" w:color="auto" w:fill="FFFFFF"/>
          </w:tcPr>
          <w:p w14:paraId="5714AEB5" w14:textId="6F2BB5A5" w:rsidR="00C303EE" w:rsidRPr="00AA4037" w:rsidRDefault="007952DB" w:rsidP="00F13296">
            <w:pPr>
              <w:pStyle w:val="CETBodytext"/>
              <w:ind w:right="-1"/>
              <w:rPr>
                <w:szCs w:val="18"/>
                <w:lang w:val="en-GB"/>
              </w:rPr>
            </w:pPr>
            <w:r>
              <w:rPr>
                <w:szCs w:val="18"/>
                <w:lang w:val="en-GB"/>
              </w:rPr>
              <w:t>S</w:t>
            </w:r>
            <w:r w:rsidR="00A17379">
              <w:rPr>
                <w:szCs w:val="18"/>
                <w:lang w:val="en-GB"/>
              </w:rPr>
              <w:t>1_TG2</w:t>
            </w:r>
          </w:p>
        </w:tc>
        <w:tc>
          <w:tcPr>
            <w:tcW w:w="2663" w:type="dxa"/>
            <w:shd w:val="clear" w:color="auto" w:fill="FFFFFF"/>
          </w:tcPr>
          <w:p w14:paraId="4F7F4C97" w14:textId="20A0AD5F" w:rsidR="00C303EE" w:rsidRPr="00AA4037" w:rsidRDefault="002D71D3" w:rsidP="00F13296">
            <w:pPr>
              <w:pStyle w:val="CETBodytext"/>
              <w:ind w:right="-1"/>
              <w:rPr>
                <w:szCs w:val="18"/>
                <w:lang w:val="en-GB"/>
              </w:rPr>
            </w:pPr>
            <w:r w:rsidRPr="00AA4037">
              <w:rPr>
                <w:szCs w:val="18"/>
                <w:lang w:val="en-GB"/>
              </w:rPr>
              <w:t>Epoxy compound</w:t>
            </w:r>
          </w:p>
        </w:tc>
        <w:tc>
          <w:tcPr>
            <w:tcW w:w="1799" w:type="dxa"/>
            <w:shd w:val="clear" w:color="auto" w:fill="FFFFFF"/>
          </w:tcPr>
          <w:p w14:paraId="61AA19D7" w14:textId="30B932E8" w:rsidR="00C303EE" w:rsidRPr="00AA4037" w:rsidRDefault="00C303EE" w:rsidP="00C303EE">
            <w:pPr>
              <w:pStyle w:val="CETBodytext"/>
              <w:ind w:right="-1"/>
              <w:jc w:val="center"/>
              <w:rPr>
                <w:szCs w:val="18"/>
                <w:lang w:val="en-GB"/>
              </w:rPr>
            </w:pPr>
            <w:r w:rsidRPr="00AA4037">
              <w:rPr>
                <w:szCs w:val="18"/>
                <w:lang w:val="en-GB"/>
              </w:rPr>
              <w:t>TG-DSC</w:t>
            </w:r>
          </w:p>
        </w:tc>
        <w:tc>
          <w:tcPr>
            <w:tcW w:w="3605" w:type="dxa"/>
            <w:shd w:val="clear" w:color="auto" w:fill="FFFFFF"/>
          </w:tcPr>
          <w:p w14:paraId="177D280B" w14:textId="51716521" w:rsidR="00C303EE" w:rsidRPr="00AA4037" w:rsidRDefault="00C303EE" w:rsidP="00F13296">
            <w:pPr>
              <w:pStyle w:val="CETBodytext"/>
              <w:ind w:right="-1"/>
              <w:rPr>
                <w:szCs w:val="18"/>
                <w:lang w:val="en-GB"/>
              </w:rPr>
            </w:pPr>
            <w:r w:rsidRPr="00AA4037">
              <w:rPr>
                <w:szCs w:val="18"/>
                <w:lang w:val="en-GB"/>
              </w:rPr>
              <w:t>45 °C; t=24 h</w:t>
            </w:r>
          </w:p>
        </w:tc>
      </w:tr>
    </w:tbl>
    <w:p w14:paraId="04963A06" w14:textId="6DD3F54B" w:rsidR="00600535" w:rsidRPr="00AA4037" w:rsidRDefault="007B1835" w:rsidP="00FA5F5F">
      <w:pPr>
        <w:pStyle w:val="CETheadingx"/>
        <w:rPr>
          <w:lang w:val="en-GB"/>
        </w:rPr>
      </w:pPr>
      <w:r w:rsidRPr="00AA4037">
        <w:rPr>
          <w:lang w:val="en-GB"/>
        </w:rPr>
        <w:t xml:space="preserve">Differential Scanning Calorimetry </w:t>
      </w:r>
      <w:r w:rsidR="00A569D8" w:rsidRPr="00AA4037">
        <w:rPr>
          <w:lang w:val="en-GB"/>
        </w:rPr>
        <w:t xml:space="preserve">(DSC) </w:t>
      </w:r>
      <w:r w:rsidRPr="00AA4037">
        <w:rPr>
          <w:lang w:val="en-GB"/>
        </w:rPr>
        <w:t>Analysis</w:t>
      </w:r>
    </w:p>
    <w:p w14:paraId="2CC5339D" w14:textId="5C2DE1F4" w:rsidR="007B1835" w:rsidRPr="00AA4037" w:rsidRDefault="00C25D5F" w:rsidP="00600535">
      <w:pPr>
        <w:pStyle w:val="CETBodytext"/>
        <w:rPr>
          <w:lang w:val="en-GB"/>
        </w:rPr>
      </w:pPr>
      <w:r w:rsidRPr="00AA4037">
        <w:rPr>
          <w:lang w:val="en-GB"/>
        </w:rPr>
        <w:t>All DSC experiments were carried out using 70 µL sealed aluminium crucibles under inert atmosphere (N</w:t>
      </w:r>
      <w:r w:rsidRPr="00AA4037">
        <w:rPr>
          <w:rFonts w:ascii="Cambria Math" w:hAnsi="Cambria Math" w:cs="Cambria Math"/>
          <w:lang w:val="en-GB"/>
        </w:rPr>
        <w:t>₂</w:t>
      </w:r>
      <w:r w:rsidRPr="00AA4037">
        <w:rPr>
          <w:lang w:val="en-GB"/>
        </w:rPr>
        <w:t>). The purpose of these tests was to identify any thermal reactivity or instability of the investigated samples.</w:t>
      </w:r>
    </w:p>
    <w:p w14:paraId="56DBC066" w14:textId="358BFA93" w:rsidR="00563413" w:rsidRPr="00AA4037" w:rsidRDefault="00563413" w:rsidP="00E16136">
      <w:pPr>
        <w:pStyle w:val="CETBodytext"/>
        <w:spacing w:after="240"/>
        <w:rPr>
          <w:lang w:val="en-GB"/>
        </w:rPr>
      </w:pPr>
      <w:r w:rsidRPr="00AA4037">
        <w:rPr>
          <w:lang w:val="en-GB"/>
        </w:rPr>
        <w:t xml:space="preserve">Figure 1 shows the DSC traces obtained for sample </w:t>
      </w:r>
      <w:r w:rsidR="00A17379">
        <w:rPr>
          <w:lang w:val="en-GB"/>
        </w:rPr>
        <w:t>S1_DSC</w:t>
      </w:r>
      <w:r w:rsidRPr="00AA4037">
        <w:rPr>
          <w:lang w:val="en-GB"/>
        </w:rPr>
        <w:t xml:space="preserve"> </w:t>
      </w:r>
      <w:r w:rsidR="00DB05E0" w:rsidRPr="00AA4037">
        <w:rPr>
          <w:lang w:val="en-GB"/>
        </w:rPr>
        <w:t>using</w:t>
      </w:r>
      <w:r w:rsidRPr="00AA4037">
        <w:rPr>
          <w:lang w:val="en-GB"/>
        </w:rPr>
        <w:t xml:space="preserve"> heating rates </w:t>
      </w:r>
      <w:r w:rsidR="00DB05E0" w:rsidRPr="00AA4037">
        <w:rPr>
          <w:lang w:val="en-GB"/>
        </w:rPr>
        <w:t>equal to</w:t>
      </w:r>
      <w:r w:rsidRPr="00AA4037">
        <w:rPr>
          <w:lang w:val="en-GB"/>
        </w:rPr>
        <w:t xml:space="preserve"> 2, 5 and 10 °C/min. All thermal profiles </w:t>
      </w:r>
      <w:r w:rsidR="00DB05E0" w:rsidRPr="00AA4037">
        <w:rPr>
          <w:lang w:val="en-GB"/>
        </w:rPr>
        <w:t>appear to be</w:t>
      </w:r>
      <w:r w:rsidRPr="00AA4037">
        <w:rPr>
          <w:lang w:val="en-GB"/>
        </w:rPr>
        <w:t xml:space="preserve"> complex and exhibit multiple </w:t>
      </w:r>
      <w:r w:rsidR="00967238" w:rsidRPr="00AA4037">
        <w:rPr>
          <w:lang w:val="en-GB"/>
        </w:rPr>
        <w:t xml:space="preserve">heat flux </w:t>
      </w:r>
      <w:r w:rsidRPr="00AA4037">
        <w:rPr>
          <w:lang w:val="en-GB"/>
        </w:rPr>
        <w:t>peaks, indicating molecular degradation.</w:t>
      </w:r>
    </w:p>
    <w:p w14:paraId="3468082C" w14:textId="514430E8" w:rsidR="00B54F5D" w:rsidRPr="00AA4037" w:rsidRDefault="005123D8" w:rsidP="00563413">
      <w:pPr>
        <w:pStyle w:val="CETBodytext"/>
        <w:rPr>
          <w:lang w:val="en-GB"/>
        </w:rPr>
      </w:pPr>
      <w:r w:rsidRPr="005123D8">
        <w:rPr>
          <w:noProof/>
        </w:rPr>
        <w:drawing>
          <wp:inline distT="0" distB="0" distL="0" distR="0" wp14:anchorId="3170684C" wp14:editId="22A4A7F4">
            <wp:extent cx="5579745" cy="2141220"/>
            <wp:effectExtent l="0" t="0" r="1905" b="0"/>
            <wp:docPr id="144536472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745" cy="2141220"/>
                    </a:xfrm>
                    <a:prstGeom prst="rect">
                      <a:avLst/>
                    </a:prstGeom>
                    <a:noFill/>
                    <a:ln>
                      <a:noFill/>
                    </a:ln>
                  </pic:spPr>
                </pic:pic>
              </a:graphicData>
            </a:graphic>
          </wp:inline>
        </w:drawing>
      </w:r>
    </w:p>
    <w:p w14:paraId="3DFAD7F3" w14:textId="7A63329F" w:rsidR="00B54F5D" w:rsidRPr="003E5C42" w:rsidRDefault="00B54F5D" w:rsidP="00B54F5D">
      <w:pPr>
        <w:pStyle w:val="CETCaption"/>
        <w:rPr>
          <w:lang w:val="en-US"/>
        </w:rPr>
      </w:pPr>
      <w:r w:rsidRPr="00AA4037">
        <w:t xml:space="preserve">Figure 1: </w:t>
      </w:r>
      <w:r w:rsidR="00DC3D8B" w:rsidRPr="00AA4037">
        <w:t xml:space="preserve">DSC tests on </w:t>
      </w:r>
      <w:r w:rsidR="00A17379">
        <w:t>S1_DSC</w:t>
      </w:r>
      <w:r w:rsidR="00DC3D8B" w:rsidRPr="00AA4037">
        <w:t xml:space="preserve"> sample at different heating rates. </w:t>
      </w:r>
      <w:r w:rsidR="00DC3D8B" w:rsidRPr="003E5C42">
        <w:rPr>
          <w:lang w:val="en-US"/>
        </w:rPr>
        <w:t>A) 2 °C/min; B) 5 °C/min; C) 10 °C/min.</w:t>
      </w:r>
    </w:p>
    <w:p w14:paraId="4FEB664E" w14:textId="4936AD39" w:rsidR="00563413" w:rsidRPr="00AA4037" w:rsidRDefault="00563413" w:rsidP="00563413">
      <w:pPr>
        <w:pStyle w:val="CETBodytext"/>
        <w:rPr>
          <w:lang w:val="en-GB"/>
        </w:rPr>
      </w:pPr>
      <w:r w:rsidRPr="00AA4037">
        <w:rPr>
          <w:lang w:val="en-GB"/>
        </w:rPr>
        <w:t>An interesting feature is that the heat</w:t>
      </w:r>
      <w:r w:rsidR="00967238" w:rsidRPr="00AA4037">
        <w:rPr>
          <w:lang w:val="en-GB"/>
        </w:rPr>
        <w:t xml:space="preserve"> </w:t>
      </w:r>
      <w:r w:rsidRPr="00AA4037">
        <w:rPr>
          <w:lang w:val="en-GB"/>
        </w:rPr>
        <w:t xml:space="preserve">flow profiles depend strongly on the applied heating rate. In particular, the curve obtained at 2 °C/min is the smoothest </w:t>
      </w:r>
      <w:r w:rsidR="00967238" w:rsidRPr="00AA4037">
        <w:rPr>
          <w:lang w:val="en-GB"/>
        </w:rPr>
        <w:t xml:space="preserve">one </w:t>
      </w:r>
      <w:r w:rsidRPr="00AA4037">
        <w:rPr>
          <w:lang w:val="en-GB"/>
        </w:rPr>
        <w:t xml:space="preserve">and </w:t>
      </w:r>
      <w:r w:rsidR="005A107B" w:rsidRPr="00AA4037">
        <w:rPr>
          <w:lang w:val="en-GB"/>
        </w:rPr>
        <w:t xml:space="preserve">it </w:t>
      </w:r>
      <w:r w:rsidRPr="00AA4037">
        <w:rPr>
          <w:lang w:val="en-GB"/>
        </w:rPr>
        <w:t xml:space="preserve">does not show </w:t>
      </w:r>
      <w:r w:rsidR="008B06FE" w:rsidRPr="00AA4037">
        <w:rPr>
          <w:lang w:val="en-GB"/>
        </w:rPr>
        <w:t>a</w:t>
      </w:r>
      <w:r w:rsidR="003B05D2" w:rsidRPr="00AA4037">
        <w:rPr>
          <w:lang w:val="en-GB"/>
        </w:rPr>
        <w:t>ny</w:t>
      </w:r>
      <w:r w:rsidRPr="00AA4037">
        <w:rPr>
          <w:lang w:val="en-GB"/>
        </w:rPr>
        <w:t xml:space="preserve"> baseline disturbance above 260 °C</w:t>
      </w:r>
      <w:r w:rsidR="00967238" w:rsidRPr="00AA4037">
        <w:rPr>
          <w:lang w:val="en-GB"/>
        </w:rPr>
        <w:t>,</w:t>
      </w:r>
      <w:r w:rsidRPr="00AA4037">
        <w:rPr>
          <w:lang w:val="en-GB"/>
        </w:rPr>
        <w:t xml:space="preserve"> </w:t>
      </w:r>
      <w:r w:rsidR="003B05D2" w:rsidRPr="00AA4037">
        <w:rPr>
          <w:lang w:val="en-GB"/>
        </w:rPr>
        <w:t>conversely to what</w:t>
      </w:r>
      <w:r w:rsidR="004145BD" w:rsidRPr="00AA4037">
        <w:rPr>
          <w:lang w:val="en-GB"/>
        </w:rPr>
        <w:t xml:space="preserve"> </w:t>
      </w:r>
      <w:r w:rsidR="003B05D2" w:rsidRPr="00AA4037">
        <w:rPr>
          <w:lang w:val="en-GB"/>
        </w:rPr>
        <w:t>can be</w:t>
      </w:r>
      <w:r w:rsidRPr="00AA4037">
        <w:rPr>
          <w:lang w:val="en-GB"/>
        </w:rPr>
        <w:t xml:space="preserve"> observed </w:t>
      </w:r>
      <w:r w:rsidR="00DA4ADB" w:rsidRPr="00AA4037">
        <w:rPr>
          <w:lang w:val="en-GB"/>
        </w:rPr>
        <w:t>using</w:t>
      </w:r>
      <w:r w:rsidRPr="00AA4037">
        <w:rPr>
          <w:lang w:val="en-GB"/>
        </w:rPr>
        <w:t xml:space="preserve"> </w:t>
      </w:r>
      <w:r w:rsidR="004145BD" w:rsidRPr="00AA4037">
        <w:rPr>
          <w:lang w:val="en-GB"/>
        </w:rPr>
        <w:t xml:space="preserve">both </w:t>
      </w:r>
      <w:r w:rsidRPr="00AA4037">
        <w:rPr>
          <w:lang w:val="en-GB"/>
        </w:rPr>
        <w:t>5 and 10 °C/min</w:t>
      </w:r>
      <w:r w:rsidR="004145BD" w:rsidRPr="00AA4037">
        <w:rPr>
          <w:lang w:val="en-GB"/>
        </w:rPr>
        <w:t xml:space="preserve"> </w:t>
      </w:r>
      <w:r w:rsidR="00DA4ADB" w:rsidRPr="00AA4037">
        <w:rPr>
          <w:lang w:val="en-GB"/>
        </w:rPr>
        <w:t>as</w:t>
      </w:r>
      <w:r w:rsidR="004145BD" w:rsidRPr="00AA4037">
        <w:rPr>
          <w:lang w:val="en-GB"/>
        </w:rPr>
        <w:t xml:space="preserve"> heating rate</w:t>
      </w:r>
      <w:r w:rsidRPr="00AA4037">
        <w:rPr>
          <w:lang w:val="en-GB"/>
        </w:rPr>
        <w:t xml:space="preserve">. </w:t>
      </w:r>
      <w:r w:rsidR="004145BD" w:rsidRPr="00AA4037">
        <w:rPr>
          <w:lang w:val="en-GB"/>
        </w:rPr>
        <w:t>The</w:t>
      </w:r>
      <w:r w:rsidRPr="00AA4037">
        <w:rPr>
          <w:lang w:val="en-GB"/>
        </w:rPr>
        <w:t xml:space="preserve"> baseline disturbance above 260 °C may indicate loss of crucible tightness due to the occurrence of decomposition reactions</w:t>
      </w:r>
      <w:r w:rsidR="00967238" w:rsidRPr="00AA4037">
        <w:rPr>
          <w:lang w:val="en-GB"/>
        </w:rPr>
        <w:t>,</w:t>
      </w:r>
      <w:r w:rsidRPr="00AA4037">
        <w:rPr>
          <w:lang w:val="en-GB"/>
        </w:rPr>
        <w:t xml:space="preserve"> </w:t>
      </w:r>
      <w:r w:rsidR="00DA4ADB" w:rsidRPr="00AA4037">
        <w:rPr>
          <w:lang w:val="en-GB"/>
        </w:rPr>
        <w:t xml:space="preserve">but such an </w:t>
      </w:r>
      <w:r w:rsidRPr="00AA4037">
        <w:rPr>
          <w:lang w:val="en-GB"/>
        </w:rPr>
        <w:t xml:space="preserve">hypothesis can be verified </w:t>
      </w:r>
      <w:r w:rsidR="00DA4ADB" w:rsidRPr="00AA4037">
        <w:rPr>
          <w:lang w:val="en-GB"/>
        </w:rPr>
        <w:t xml:space="preserve">only </w:t>
      </w:r>
      <w:r w:rsidRPr="00AA4037">
        <w:rPr>
          <w:lang w:val="en-GB"/>
        </w:rPr>
        <w:t xml:space="preserve">by </w:t>
      </w:r>
      <w:r w:rsidR="00967238" w:rsidRPr="00AA4037">
        <w:rPr>
          <w:lang w:val="en-GB"/>
        </w:rPr>
        <w:t xml:space="preserve">carrying out </w:t>
      </w:r>
      <w:r w:rsidRPr="00AA4037">
        <w:rPr>
          <w:lang w:val="en-GB"/>
        </w:rPr>
        <w:t>TG-DSC tests.</w:t>
      </w:r>
      <w:r w:rsidR="00DA4ADB" w:rsidRPr="00AA4037">
        <w:rPr>
          <w:lang w:val="en-GB"/>
        </w:rPr>
        <w:t xml:space="preserve"> </w:t>
      </w:r>
    </w:p>
    <w:p w14:paraId="45DEC7CA" w14:textId="335D0162" w:rsidR="00563413" w:rsidRPr="00AA4037" w:rsidRDefault="00563413" w:rsidP="00563413">
      <w:pPr>
        <w:pStyle w:val="CETBodytext"/>
        <w:rPr>
          <w:lang w:val="en-GB"/>
        </w:rPr>
      </w:pPr>
      <w:r w:rsidRPr="00AA4037">
        <w:rPr>
          <w:lang w:val="en-GB"/>
        </w:rPr>
        <w:t>Integration of the overall exothermic effects yields the following reaction enthalpies:</w:t>
      </w:r>
      <w:r w:rsidR="00A85566" w:rsidRPr="00AA4037">
        <w:rPr>
          <w:lang w:val="en-GB"/>
        </w:rPr>
        <w:t xml:space="preserve"> </w:t>
      </w:r>
      <w:r w:rsidR="00A85566" w:rsidRPr="00A23716">
        <w:rPr>
          <w:lang w:val="en-GB"/>
        </w:rPr>
        <w:t xml:space="preserve">a) </w:t>
      </w:r>
      <w:r w:rsidRPr="00A23716">
        <w:rPr>
          <w:lang w:val="en-GB"/>
        </w:rPr>
        <w:t xml:space="preserve">2 °C/min: </w:t>
      </w:r>
      <w:r w:rsidR="00DA6236">
        <w:rPr>
          <w:lang w:val="en-GB"/>
        </w:rPr>
        <w:t>-</w:t>
      </w:r>
      <w:r w:rsidRPr="00A23716">
        <w:rPr>
          <w:lang w:val="en-GB"/>
        </w:rPr>
        <w:t>3</w:t>
      </w:r>
      <w:r w:rsidR="00F860B8">
        <w:rPr>
          <w:lang w:val="en-GB"/>
        </w:rPr>
        <w:t>22</w:t>
      </w:r>
      <w:r w:rsidRPr="00A23716">
        <w:rPr>
          <w:lang w:val="en-GB"/>
        </w:rPr>
        <w:t xml:space="preserve"> J/g</w:t>
      </w:r>
      <w:r w:rsidR="00A85566" w:rsidRPr="00A23716">
        <w:rPr>
          <w:lang w:val="en-GB"/>
        </w:rPr>
        <w:t xml:space="preserve">; b) </w:t>
      </w:r>
      <w:r w:rsidRPr="00A23716">
        <w:rPr>
          <w:lang w:val="en-GB"/>
        </w:rPr>
        <w:t xml:space="preserve">5 °C/min: </w:t>
      </w:r>
      <w:r w:rsidR="00DA6236">
        <w:rPr>
          <w:lang w:val="en-GB"/>
        </w:rPr>
        <w:t>-</w:t>
      </w:r>
      <w:r w:rsidRPr="00A23716">
        <w:rPr>
          <w:lang w:val="en-GB"/>
        </w:rPr>
        <w:t>26</w:t>
      </w:r>
      <w:r w:rsidR="00B57C98">
        <w:rPr>
          <w:lang w:val="en-GB"/>
        </w:rPr>
        <w:t>7</w:t>
      </w:r>
      <w:r w:rsidRPr="00A23716">
        <w:rPr>
          <w:lang w:val="en-GB"/>
        </w:rPr>
        <w:t xml:space="preserve"> J/g</w:t>
      </w:r>
      <w:r w:rsidR="00A85566" w:rsidRPr="00A23716">
        <w:rPr>
          <w:lang w:val="en-GB"/>
        </w:rPr>
        <w:t xml:space="preserve">; and c) </w:t>
      </w:r>
      <w:r w:rsidRPr="00A23716">
        <w:rPr>
          <w:lang w:val="en-GB"/>
        </w:rPr>
        <w:t xml:space="preserve">10 °C/min: </w:t>
      </w:r>
      <w:r w:rsidR="00DA6236">
        <w:rPr>
          <w:lang w:val="en-GB"/>
        </w:rPr>
        <w:t>-</w:t>
      </w:r>
      <w:r w:rsidRPr="00A23716">
        <w:rPr>
          <w:lang w:val="en-GB"/>
        </w:rPr>
        <w:t>2</w:t>
      </w:r>
      <w:r w:rsidR="00654FE3">
        <w:rPr>
          <w:lang w:val="en-GB"/>
        </w:rPr>
        <w:t>58</w:t>
      </w:r>
      <w:r w:rsidRPr="00A23716">
        <w:rPr>
          <w:lang w:val="en-GB"/>
        </w:rPr>
        <w:t xml:space="preserve"> J/g</w:t>
      </w:r>
      <w:r w:rsidR="00D453FE" w:rsidRPr="00A23716">
        <w:rPr>
          <w:lang w:val="en-GB"/>
        </w:rPr>
        <w:t>.</w:t>
      </w:r>
    </w:p>
    <w:p w14:paraId="2B7FDD4A" w14:textId="77777777" w:rsidR="00563413" w:rsidRPr="00AA4037" w:rsidRDefault="00563413" w:rsidP="00563413">
      <w:pPr>
        <w:pStyle w:val="CETBodytext"/>
        <w:rPr>
          <w:lang w:val="en-GB"/>
        </w:rPr>
      </w:pPr>
      <w:r w:rsidRPr="00AA4037">
        <w:rPr>
          <w:lang w:val="en-GB"/>
        </w:rPr>
        <w:t>The marked dependence of the reaction enthalpy on heating rate suggests a kinetically complex system, which would deserve further investigation (e.g., in a second experimental campaign) using appropriate kinetic models.</w:t>
      </w:r>
    </w:p>
    <w:p w14:paraId="3ED839F6" w14:textId="749DB29B" w:rsidR="007B1835" w:rsidRPr="00AA4037" w:rsidRDefault="00606538" w:rsidP="00E710F6">
      <w:pPr>
        <w:pStyle w:val="CETBodytext"/>
        <w:rPr>
          <w:lang w:val="en-GB"/>
        </w:rPr>
      </w:pPr>
      <w:r w:rsidRPr="00AA4037">
        <w:rPr>
          <w:lang w:val="en-GB"/>
        </w:rPr>
        <w:t xml:space="preserve">Carrying out </w:t>
      </w:r>
      <w:r w:rsidR="0098255D" w:rsidRPr="00AA4037">
        <w:rPr>
          <w:lang w:val="en-GB"/>
        </w:rPr>
        <w:t>the same DSC tests on the degraded epoxy compound</w:t>
      </w:r>
      <w:r w:rsidR="00C5315C">
        <w:rPr>
          <w:lang w:val="en-GB"/>
        </w:rPr>
        <w:t xml:space="preserve"> (ID </w:t>
      </w:r>
      <w:r w:rsidR="00A17379">
        <w:rPr>
          <w:lang w:val="en-GB"/>
        </w:rPr>
        <w:t>S2_DSC</w:t>
      </w:r>
      <w:r w:rsidR="00C5315C">
        <w:rPr>
          <w:lang w:val="en-GB"/>
        </w:rPr>
        <w:t>)</w:t>
      </w:r>
      <w:r w:rsidR="0098255D" w:rsidRPr="00AA4037">
        <w:rPr>
          <w:lang w:val="en-GB"/>
        </w:rPr>
        <w:t xml:space="preserve">, it was possible to note that </w:t>
      </w:r>
      <w:r w:rsidR="00E710F6" w:rsidRPr="00AA4037">
        <w:rPr>
          <w:lang w:val="en-GB"/>
        </w:rPr>
        <w:t>all thermal profiles were essentially linear and showed two main detectable features. The first</w:t>
      </w:r>
      <w:r w:rsidR="00BC46B4" w:rsidRPr="00AA4037">
        <w:rPr>
          <w:lang w:val="en-GB"/>
        </w:rPr>
        <w:t xml:space="preserve"> one</w:t>
      </w:r>
      <w:r w:rsidR="008018E1" w:rsidRPr="00AA4037">
        <w:rPr>
          <w:lang w:val="en-GB"/>
        </w:rPr>
        <w:t>,</w:t>
      </w:r>
      <w:r w:rsidR="00E710F6" w:rsidRPr="00AA4037">
        <w:rPr>
          <w:lang w:val="en-GB"/>
        </w:rPr>
        <w:t xml:space="preserve"> occurring in the temperature range between approximately 70 and 100 °C, appear</w:t>
      </w:r>
      <w:r w:rsidR="00BC46B4" w:rsidRPr="00AA4037">
        <w:rPr>
          <w:lang w:val="en-GB"/>
        </w:rPr>
        <w:t>ed</w:t>
      </w:r>
      <w:r w:rsidR="00E710F6" w:rsidRPr="00AA4037">
        <w:rPr>
          <w:lang w:val="en-GB"/>
        </w:rPr>
        <w:t xml:space="preserve"> as a broad endothermic signal and </w:t>
      </w:r>
      <w:r w:rsidR="00BC46B4" w:rsidRPr="00AA4037">
        <w:rPr>
          <w:lang w:val="en-GB"/>
        </w:rPr>
        <w:t xml:space="preserve">it was </w:t>
      </w:r>
      <w:r w:rsidR="00E710F6" w:rsidRPr="00AA4037">
        <w:rPr>
          <w:lang w:val="en-GB"/>
        </w:rPr>
        <w:t xml:space="preserve">attributable to the release of residual moisture. The second </w:t>
      </w:r>
      <w:r w:rsidR="00BC46B4" w:rsidRPr="00AA4037">
        <w:rPr>
          <w:lang w:val="en-GB"/>
        </w:rPr>
        <w:t>one</w:t>
      </w:r>
      <w:r w:rsidR="00E710F6" w:rsidRPr="00AA4037">
        <w:rPr>
          <w:lang w:val="en-GB"/>
        </w:rPr>
        <w:t xml:space="preserve"> </w:t>
      </w:r>
      <w:r w:rsidR="00BC46B4" w:rsidRPr="00AA4037">
        <w:rPr>
          <w:lang w:val="en-GB"/>
        </w:rPr>
        <w:t>was</w:t>
      </w:r>
      <w:r w:rsidR="00E710F6" w:rsidRPr="00AA4037">
        <w:rPr>
          <w:lang w:val="en-GB"/>
        </w:rPr>
        <w:t xml:space="preserve"> the onset of a further decomposition of the already degraded matrix at temperatures above about 240 °C.</w:t>
      </w:r>
      <w:r w:rsidR="00BC46B4" w:rsidRPr="00AA4037">
        <w:rPr>
          <w:lang w:val="en-GB"/>
        </w:rPr>
        <w:t xml:space="preserve"> </w:t>
      </w:r>
      <w:r w:rsidR="00E710F6" w:rsidRPr="00AA4037">
        <w:rPr>
          <w:lang w:val="en-GB"/>
        </w:rPr>
        <w:t>The low</w:t>
      </w:r>
      <w:r w:rsidR="00BC46B4" w:rsidRPr="00AA4037">
        <w:rPr>
          <w:lang w:val="en-GB"/>
        </w:rPr>
        <w:t xml:space="preserve"> </w:t>
      </w:r>
      <w:r w:rsidR="00E710F6" w:rsidRPr="00AA4037">
        <w:rPr>
          <w:lang w:val="en-GB"/>
        </w:rPr>
        <w:t>temperature endothermic effect is unavoidable, as the sample inevitably absorbs a certain amount of moisture during handling, recovery and storage. No evidence of chemical reactivity is observed in the temperature range where the epoxidized material exhibited significant exothermic behaviour.</w:t>
      </w:r>
      <w:r w:rsidR="000B6AC0" w:rsidRPr="00AA4037">
        <w:rPr>
          <w:lang w:val="en-GB"/>
        </w:rPr>
        <w:t xml:space="preserve"> </w:t>
      </w:r>
      <w:r w:rsidR="00E710F6" w:rsidRPr="00AA4037">
        <w:rPr>
          <w:lang w:val="en-GB"/>
        </w:rPr>
        <w:t xml:space="preserve">Above approximately 240 °C, a clear baseline disturbance </w:t>
      </w:r>
      <w:r w:rsidR="000B6AC0" w:rsidRPr="00AA4037">
        <w:rPr>
          <w:lang w:val="en-GB"/>
        </w:rPr>
        <w:t>wa</w:t>
      </w:r>
      <w:r w:rsidR="00E710F6" w:rsidRPr="00AA4037">
        <w:rPr>
          <w:lang w:val="en-GB"/>
        </w:rPr>
        <w:t>s detected, which can be attributed to loss of crucible tightness caused by the onset of decomposition reactions.</w:t>
      </w:r>
    </w:p>
    <w:p w14:paraId="5B3CEA65" w14:textId="13F7C66D" w:rsidR="00C77CFB" w:rsidRPr="00AA4037" w:rsidRDefault="00C77CFB" w:rsidP="00C77CFB">
      <w:pPr>
        <w:pStyle w:val="CETBodytext"/>
        <w:rPr>
          <w:lang w:val="en-GB"/>
        </w:rPr>
      </w:pPr>
      <w:r w:rsidRPr="00AA4037">
        <w:rPr>
          <w:lang w:val="en-GB"/>
        </w:rPr>
        <w:lastRenderedPageBreak/>
        <w:t xml:space="preserve">Figure 2 shows the DSC traces obtained for sample ID </w:t>
      </w:r>
      <w:r w:rsidR="00A17379">
        <w:rPr>
          <w:lang w:val="en-GB"/>
        </w:rPr>
        <w:t>S3_DSC</w:t>
      </w:r>
      <w:r w:rsidRPr="00AA4037">
        <w:rPr>
          <w:lang w:val="en-GB"/>
        </w:rPr>
        <w:t xml:space="preserve"> (</w:t>
      </w:r>
      <w:r w:rsidR="00104AC6" w:rsidRPr="00AA4037">
        <w:rPr>
          <w:lang w:val="en-GB"/>
        </w:rPr>
        <w:t>non</w:t>
      </w:r>
      <w:r w:rsidR="00A909CC" w:rsidRPr="00AA4037">
        <w:rPr>
          <w:lang w:val="en-GB"/>
        </w:rPr>
        <w:t>-</w:t>
      </w:r>
      <w:r w:rsidR="00104AC6" w:rsidRPr="00AA4037">
        <w:rPr>
          <w:lang w:val="en-GB"/>
        </w:rPr>
        <w:t xml:space="preserve">epoxy-containing </w:t>
      </w:r>
      <w:r w:rsidR="00A909CC" w:rsidRPr="00AA4037">
        <w:rPr>
          <w:lang w:val="en-GB"/>
        </w:rPr>
        <w:t>compound</w:t>
      </w:r>
      <w:r w:rsidRPr="00AA4037">
        <w:rPr>
          <w:lang w:val="en-GB"/>
        </w:rPr>
        <w:t xml:space="preserve"> after a standard production and drying process) at heating rates of 2, 5 and 10 °C/min. All thermal profiles are essentially linear and exhibit a single detectable event, namely an endothermic effect attributable to melting of the compound.</w:t>
      </w:r>
    </w:p>
    <w:p w14:paraId="4AF8FA1C" w14:textId="541E8149" w:rsidR="00C77CFB" w:rsidRPr="00AA4037" w:rsidRDefault="005472F2" w:rsidP="00A909CC">
      <w:pPr>
        <w:pStyle w:val="CETCaption"/>
      </w:pPr>
      <w:r w:rsidRPr="005472F2">
        <w:rPr>
          <w:noProof/>
        </w:rPr>
        <w:drawing>
          <wp:inline distT="0" distB="0" distL="0" distR="0" wp14:anchorId="5716BF46" wp14:editId="172F7756">
            <wp:extent cx="5579745" cy="2175510"/>
            <wp:effectExtent l="0" t="0" r="1905" b="0"/>
            <wp:docPr id="17880720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9745" cy="2175510"/>
                    </a:xfrm>
                    <a:prstGeom prst="rect">
                      <a:avLst/>
                    </a:prstGeom>
                    <a:noFill/>
                    <a:ln>
                      <a:noFill/>
                    </a:ln>
                  </pic:spPr>
                </pic:pic>
              </a:graphicData>
            </a:graphic>
          </wp:inline>
        </w:drawing>
      </w:r>
    </w:p>
    <w:p w14:paraId="24701FB3" w14:textId="7B2AA438" w:rsidR="00A909CC" w:rsidRPr="003E5C42" w:rsidRDefault="00A909CC" w:rsidP="00A909CC">
      <w:pPr>
        <w:pStyle w:val="CETCaption"/>
        <w:rPr>
          <w:lang w:val="en-US"/>
        </w:rPr>
      </w:pPr>
      <w:r w:rsidRPr="00AA4037">
        <w:t xml:space="preserve">Figure 2: DSC tests on </w:t>
      </w:r>
      <w:r w:rsidR="00A17379">
        <w:t>S3_DSC</w:t>
      </w:r>
      <w:r w:rsidRPr="00AA4037">
        <w:t xml:space="preserve"> sample at different heating rates. </w:t>
      </w:r>
      <w:r w:rsidRPr="003E5C42">
        <w:rPr>
          <w:lang w:val="en-US"/>
        </w:rPr>
        <w:t>A) 2 °C/min; B) 5 °C/min; C) 10 °C/min.</w:t>
      </w:r>
    </w:p>
    <w:p w14:paraId="5DC36373" w14:textId="3B113447" w:rsidR="007B1835" w:rsidRPr="00AA4037" w:rsidRDefault="00CA1132" w:rsidP="00C77CFB">
      <w:pPr>
        <w:pStyle w:val="CETBodytext"/>
        <w:rPr>
          <w:lang w:val="en-GB"/>
        </w:rPr>
      </w:pPr>
      <w:r>
        <w:rPr>
          <w:lang w:val="en-GB"/>
        </w:rPr>
        <w:t>I</w:t>
      </w:r>
      <w:r w:rsidR="00C77CFB" w:rsidRPr="00AA4037">
        <w:rPr>
          <w:lang w:val="en-GB"/>
        </w:rPr>
        <w:t xml:space="preserve">ntegration of </w:t>
      </w:r>
      <w:r w:rsidR="00421461" w:rsidRPr="00AA4037">
        <w:rPr>
          <w:lang w:val="en-GB"/>
        </w:rPr>
        <w:t>such</w:t>
      </w:r>
      <w:r w:rsidR="00C77CFB" w:rsidRPr="00AA4037">
        <w:rPr>
          <w:lang w:val="en-GB"/>
        </w:rPr>
        <w:t xml:space="preserve"> endothermic peak</w:t>
      </w:r>
      <w:r w:rsidR="00421461" w:rsidRPr="00AA4037">
        <w:rPr>
          <w:lang w:val="en-GB"/>
        </w:rPr>
        <w:t>s</w:t>
      </w:r>
      <w:r w:rsidR="00C77CFB" w:rsidRPr="00AA4037">
        <w:rPr>
          <w:lang w:val="en-GB"/>
        </w:rPr>
        <w:t xml:space="preserve"> </w:t>
      </w:r>
      <w:r w:rsidR="00421461" w:rsidRPr="00AA4037">
        <w:rPr>
          <w:lang w:val="en-GB"/>
        </w:rPr>
        <w:t>reveals</w:t>
      </w:r>
      <w:r w:rsidR="00C77CFB" w:rsidRPr="00AA4037">
        <w:rPr>
          <w:lang w:val="en-GB"/>
        </w:rPr>
        <w:t xml:space="preserve"> </w:t>
      </w:r>
      <w:r w:rsidR="00925AC7">
        <w:rPr>
          <w:lang w:val="en-GB"/>
        </w:rPr>
        <w:t>melting</w:t>
      </w:r>
      <w:r w:rsidR="00C77CFB" w:rsidRPr="00AA4037">
        <w:rPr>
          <w:lang w:val="en-GB"/>
        </w:rPr>
        <w:t xml:space="preserve"> enthalpy values </w:t>
      </w:r>
      <w:r w:rsidR="00925AC7">
        <w:rPr>
          <w:lang w:val="en-GB"/>
        </w:rPr>
        <w:t>constant with respect to the</w:t>
      </w:r>
      <w:r w:rsidR="00C77CFB" w:rsidRPr="00AA4037">
        <w:rPr>
          <w:lang w:val="en-GB"/>
        </w:rPr>
        <w:t xml:space="preserve"> heating rate</w:t>
      </w:r>
      <w:r w:rsidR="00925AC7">
        <w:rPr>
          <w:lang w:val="en-GB"/>
        </w:rPr>
        <w:t xml:space="preserve"> (around 100 J/g)</w:t>
      </w:r>
      <w:r w:rsidR="004F2A16">
        <w:rPr>
          <w:lang w:val="en-GB"/>
        </w:rPr>
        <w:t>; anyway,</w:t>
      </w:r>
      <w:r w:rsidR="003C0FB2">
        <w:rPr>
          <w:lang w:val="en-GB"/>
        </w:rPr>
        <w:t xml:space="preserve"> a deviation from the baseline trend</w:t>
      </w:r>
      <w:r w:rsidR="004F2A16">
        <w:rPr>
          <w:lang w:val="en-GB"/>
        </w:rPr>
        <w:t>,</w:t>
      </w:r>
      <w:r w:rsidR="003C0FB2">
        <w:rPr>
          <w:lang w:val="en-GB"/>
        </w:rPr>
        <w:t xml:space="preserve"> just after the end of the effect</w:t>
      </w:r>
      <w:r w:rsidR="004F2A16">
        <w:rPr>
          <w:lang w:val="en-GB"/>
        </w:rPr>
        <w:t>, can be noticed</w:t>
      </w:r>
      <w:r w:rsidR="00C77CFB" w:rsidRPr="00AA4037">
        <w:rPr>
          <w:lang w:val="en-GB"/>
        </w:rPr>
        <w:t>. This behaviour indicates the presence of an incipient decomposition process occurring in the tail of the melting event. In particular, the slower the heating rate, the earlier the onset of the exothermic degradation reaction becomes evident</w:t>
      </w:r>
      <w:r w:rsidR="009C2D7E">
        <w:rPr>
          <w:lang w:val="en-GB"/>
        </w:rPr>
        <w:t xml:space="preserve"> (and the higher is the </w:t>
      </w:r>
      <w:r w:rsidR="00EB2E62">
        <w:rPr>
          <w:lang w:val="en-GB"/>
        </w:rPr>
        <w:t>decomposition enthalpy measured)</w:t>
      </w:r>
      <w:r w:rsidR="00C77CFB" w:rsidRPr="00AA4037">
        <w:rPr>
          <w:lang w:val="en-GB"/>
        </w:rPr>
        <w:t>.</w:t>
      </w:r>
      <w:r w:rsidR="00724A26" w:rsidRPr="00AA4037">
        <w:rPr>
          <w:lang w:val="en-GB"/>
        </w:rPr>
        <w:t xml:space="preserve"> </w:t>
      </w:r>
      <w:r w:rsidR="00C77CFB" w:rsidRPr="00AA4037">
        <w:rPr>
          <w:lang w:val="en-GB"/>
        </w:rPr>
        <w:t xml:space="preserve">From a safety perspective, it can therefore be stated that, once the epoxide ring has been opened, the molecule no longer exhibits detectable reactivity in the temperature range between 80 and 240 °C. This finding confirms the hypothesis that the opening of the epoxide ring was the primary trigger of the industrial </w:t>
      </w:r>
      <w:r w:rsidR="00423938" w:rsidRPr="00AA4037">
        <w:rPr>
          <w:lang w:val="en-GB"/>
        </w:rPr>
        <w:t>ac</w:t>
      </w:r>
      <w:r w:rsidR="00C77CFB" w:rsidRPr="00AA4037">
        <w:rPr>
          <w:lang w:val="en-GB"/>
        </w:rPr>
        <w:t>cident.</w:t>
      </w:r>
      <w:r w:rsidR="00423938" w:rsidRPr="00AA4037">
        <w:rPr>
          <w:lang w:val="en-GB"/>
        </w:rPr>
        <w:t xml:space="preserve"> </w:t>
      </w:r>
      <w:r w:rsidR="00C77CFB" w:rsidRPr="00AA4037">
        <w:rPr>
          <w:lang w:val="en-GB"/>
        </w:rPr>
        <w:t>Nevertheless, a residual criticality remains, associated with the onset of melting followed by decomposition at temperatures above approximately 220 °C.</w:t>
      </w:r>
    </w:p>
    <w:p w14:paraId="25368537" w14:textId="1DC96209" w:rsidR="00A569D8" w:rsidRPr="00AA4037" w:rsidRDefault="00A569D8" w:rsidP="00A569D8">
      <w:pPr>
        <w:pStyle w:val="CETheadingx"/>
        <w:rPr>
          <w:lang w:val="en-GB"/>
        </w:rPr>
      </w:pPr>
      <w:r w:rsidRPr="00AA4037">
        <w:rPr>
          <w:lang w:val="en-GB"/>
        </w:rPr>
        <w:t>Thermogravimetric (TG) coupled with Differential Scanning Calorimetry (DSC) Analysis</w:t>
      </w:r>
    </w:p>
    <w:p w14:paraId="01F5B3C1" w14:textId="77777777" w:rsidR="00B2305D" w:rsidRDefault="00231197" w:rsidP="00231197">
      <w:pPr>
        <w:pStyle w:val="CETBodytext"/>
        <w:rPr>
          <w:lang w:val="en-GB"/>
        </w:rPr>
      </w:pPr>
      <w:r w:rsidRPr="00AA4037">
        <w:rPr>
          <w:lang w:val="en-GB"/>
        </w:rPr>
        <w:t xml:space="preserve">All TG-DSC experiments were performed using 120 µL alumina crucibles under inert atmosphere. </w:t>
      </w:r>
    </w:p>
    <w:p w14:paraId="27B05684" w14:textId="15BFCD12" w:rsidR="00231197" w:rsidRPr="00AA4037" w:rsidRDefault="00231197" w:rsidP="00E16136">
      <w:pPr>
        <w:pStyle w:val="CETBodytext"/>
        <w:spacing w:after="240"/>
        <w:rPr>
          <w:lang w:val="en-GB"/>
        </w:rPr>
      </w:pPr>
      <w:r w:rsidRPr="00AA4037">
        <w:rPr>
          <w:lang w:val="en-GB"/>
        </w:rPr>
        <w:t xml:space="preserve">Figure 3 shows the TG-DSC curves, including both mass loss and heat flow signals, obtained for sample </w:t>
      </w:r>
      <w:r w:rsidR="00A17379">
        <w:rPr>
          <w:lang w:val="en-GB"/>
        </w:rPr>
        <w:t>S1_TG1</w:t>
      </w:r>
      <w:r w:rsidRPr="00AA4037">
        <w:rPr>
          <w:lang w:val="en-GB"/>
        </w:rPr>
        <w:t xml:space="preserve"> at heating rates of 2, 5 and 10 °C/min. Analysis of the TG traces indicates that significant mass loss occurs only at temperatures above approximately 200 °C (see 2 </w:t>
      </w:r>
      <w:r w:rsidR="009C26A6" w:rsidRPr="00AA4037">
        <w:rPr>
          <w:lang w:val="en-GB"/>
        </w:rPr>
        <w:t>°C</w:t>
      </w:r>
      <w:r w:rsidRPr="00AA4037">
        <w:rPr>
          <w:lang w:val="en-GB"/>
        </w:rPr>
        <w:t xml:space="preserve">/min curve), confirming that decomposition of the solid matrix of </w:t>
      </w:r>
      <w:r w:rsidR="009C26A6" w:rsidRPr="00AA4037">
        <w:rPr>
          <w:lang w:val="en-GB"/>
        </w:rPr>
        <w:t>the epoxy-containing compound</w:t>
      </w:r>
      <w:r w:rsidRPr="00AA4037">
        <w:rPr>
          <w:lang w:val="en-GB"/>
        </w:rPr>
        <w:t xml:space="preserve"> takes place only at relatively high temperatures.</w:t>
      </w:r>
    </w:p>
    <w:p w14:paraId="32F3DAD9" w14:textId="424D86C1" w:rsidR="00231197" w:rsidRPr="00AA4037" w:rsidRDefault="00E16136" w:rsidP="00231197">
      <w:pPr>
        <w:pStyle w:val="CETBodytext"/>
        <w:rPr>
          <w:lang w:val="en-GB"/>
        </w:rPr>
      </w:pPr>
      <w:r w:rsidRPr="00E16136">
        <w:rPr>
          <w:noProof/>
        </w:rPr>
        <w:drawing>
          <wp:inline distT="0" distB="0" distL="0" distR="0" wp14:anchorId="738D110D" wp14:editId="6EF55AD1">
            <wp:extent cx="5579745" cy="2409190"/>
            <wp:effectExtent l="0" t="0" r="1905" b="0"/>
            <wp:docPr id="93409260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9745" cy="2409190"/>
                    </a:xfrm>
                    <a:prstGeom prst="rect">
                      <a:avLst/>
                    </a:prstGeom>
                    <a:noFill/>
                    <a:ln>
                      <a:noFill/>
                    </a:ln>
                  </pic:spPr>
                </pic:pic>
              </a:graphicData>
            </a:graphic>
          </wp:inline>
        </w:drawing>
      </w:r>
    </w:p>
    <w:p w14:paraId="223FA560" w14:textId="256BD1AD" w:rsidR="009C26A6" w:rsidRPr="00AA4037" w:rsidRDefault="009C26A6" w:rsidP="009C26A6">
      <w:pPr>
        <w:pStyle w:val="CETCaption"/>
      </w:pPr>
      <w:r w:rsidRPr="00AA4037">
        <w:lastRenderedPageBreak/>
        <w:t xml:space="preserve">Figure 3: TG-DSC tests on </w:t>
      </w:r>
      <w:r w:rsidR="002A3946" w:rsidRPr="002A3946">
        <w:t>S1_TG1</w:t>
      </w:r>
      <w:r w:rsidRPr="00AA4037">
        <w:t xml:space="preserve"> sample at different heating rates (both mass loss and </w:t>
      </w:r>
      <w:r w:rsidR="00BE40A9" w:rsidRPr="00AA4037">
        <w:t>heat flux)</w:t>
      </w:r>
      <w:r w:rsidRPr="00AA4037">
        <w:t>. A) 2 °C/min; B) 5 °C/min; C) 10 °C/min.</w:t>
      </w:r>
    </w:p>
    <w:p w14:paraId="1065E859" w14:textId="405B936A" w:rsidR="007B1835" w:rsidRPr="00AA4037" w:rsidRDefault="00231197" w:rsidP="00231197">
      <w:pPr>
        <w:pStyle w:val="CETBodytext"/>
        <w:rPr>
          <w:lang w:val="en-GB"/>
        </w:rPr>
      </w:pPr>
      <w:r w:rsidRPr="00AA4037">
        <w:rPr>
          <w:lang w:val="en-GB"/>
        </w:rPr>
        <w:t>In contrast, the DSC signals reveal, at all investigated heating rates, a sequence of two consecutive exothermic events starting at about 130 °C. It should be noted that the DSC signal derived from the TG-DSC setup is intrinsically less sensitive than that obtained from standalone DSC measurements; moreover, the use of alumina crucibles introduces higher thermal inertia compared to aluminium crucibles.</w:t>
      </w:r>
      <w:r w:rsidR="00FB601C" w:rsidRPr="00AA4037">
        <w:rPr>
          <w:lang w:val="en-GB"/>
        </w:rPr>
        <w:t xml:space="preserve"> </w:t>
      </w:r>
      <w:r w:rsidRPr="00AA4037">
        <w:rPr>
          <w:lang w:val="en-GB"/>
        </w:rPr>
        <w:t xml:space="preserve">These results confirm that the sample initially undergoes an exothermic process associated with epoxide ring opening, which is detected by DSC without any corresponding mass loss in TG, and that this primary reaction is capable of triggering a subsequent exothermic event attributable to </w:t>
      </w:r>
      <w:r w:rsidR="001C408F">
        <w:rPr>
          <w:lang w:val="en-GB"/>
        </w:rPr>
        <w:t xml:space="preserve">the </w:t>
      </w:r>
      <w:r w:rsidRPr="00AA4037">
        <w:rPr>
          <w:lang w:val="en-GB"/>
        </w:rPr>
        <w:t>decomposition of the remaining solid matrix.</w:t>
      </w:r>
    </w:p>
    <w:p w14:paraId="4EE6E63D" w14:textId="23EE5125" w:rsidR="00A2277F" w:rsidRPr="00AA4037" w:rsidRDefault="00996709" w:rsidP="00231197">
      <w:pPr>
        <w:pStyle w:val="CETBodytext"/>
        <w:rPr>
          <w:lang w:val="en-GB"/>
        </w:rPr>
      </w:pPr>
      <w:r w:rsidRPr="00AA4037">
        <w:rPr>
          <w:lang w:val="en-GB"/>
        </w:rPr>
        <w:t xml:space="preserve">An isothermal TG-DSC test at 45 °C for 24 h (sample </w:t>
      </w:r>
      <w:r w:rsidR="00A17379">
        <w:rPr>
          <w:lang w:val="en-GB"/>
        </w:rPr>
        <w:t>ID S1_TG2</w:t>
      </w:r>
      <w:r w:rsidRPr="00AA4037">
        <w:rPr>
          <w:lang w:val="en-GB"/>
        </w:rPr>
        <w:t xml:space="preserve">) showed no detectable mass loss or exothermic heat release, confirming that under ideal </w:t>
      </w:r>
      <w:r w:rsidR="004E7032" w:rsidRPr="00AA4037">
        <w:rPr>
          <w:lang w:val="en-GB"/>
        </w:rPr>
        <w:t>isothermal</w:t>
      </w:r>
      <w:r w:rsidRPr="00AA4037">
        <w:rPr>
          <w:lang w:val="en-GB"/>
        </w:rPr>
        <w:t xml:space="preserve"> laboratory conditions the </w:t>
      </w:r>
      <w:r w:rsidR="004E7032" w:rsidRPr="00AA4037">
        <w:rPr>
          <w:lang w:val="en-GB"/>
        </w:rPr>
        <w:t xml:space="preserve">epoxy-containing </w:t>
      </w:r>
      <w:r w:rsidRPr="00AA4037">
        <w:rPr>
          <w:lang w:val="en-GB"/>
        </w:rPr>
        <w:t>compound is stable for long periods at the nominal drying temperature.</w:t>
      </w:r>
    </w:p>
    <w:p w14:paraId="1FE97E51" w14:textId="1C648A94" w:rsidR="00FE163B" w:rsidRPr="00AA4037" w:rsidRDefault="005D5578" w:rsidP="00600535">
      <w:pPr>
        <w:pStyle w:val="CETHeading1"/>
        <w:rPr>
          <w:lang w:val="en-GB"/>
        </w:rPr>
      </w:pPr>
      <w:r w:rsidRPr="00AA4037">
        <w:rPr>
          <w:lang w:val="en-GB"/>
        </w:rPr>
        <w:t>Kinetic modelling and TMR analysis</w:t>
      </w:r>
    </w:p>
    <w:p w14:paraId="6E78583B" w14:textId="77777777" w:rsidR="00E41A66" w:rsidRDefault="00DD5818" w:rsidP="005D5578">
      <w:pPr>
        <w:pStyle w:val="CETBodytext"/>
        <w:rPr>
          <w:lang w:val="en-GB"/>
        </w:rPr>
      </w:pPr>
      <w:r w:rsidRPr="00AA4037">
        <w:rPr>
          <w:lang w:val="en-GB"/>
        </w:rPr>
        <w:t xml:space="preserve">DSC data for the epoxy-containing compound were fitted using </w:t>
      </w:r>
      <w:r w:rsidR="00291740" w:rsidRPr="00AA4037">
        <w:rPr>
          <w:lang w:val="en-GB"/>
        </w:rPr>
        <w:t xml:space="preserve">a </w:t>
      </w:r>
      <w:r w:rsidR="00800D68" w:rsidRPr="00AA4037">
        <w:rPr>
          <w:lang w:val="en-GB"/>
        </w:rPr>
        <w:t>Power Law</w:t>
      </w:r>
      <w:r w:rsidR="00291740" w:rsidRPr="00AA4037">
        <w:rPr>
          <w:lang w:val="en-GB"/>
        </w:rPr>
        <w:t xml:space="preserve"> model</w:t>
      </w:r>
      <w:r w:rsidR="00800D68" w:rsidRPr="00AA4037">
        <w:rPr>
          <w:lang w:val="en-GB"/>
        </w:rPr>
        <w:t xml:space="preserve"> </w:t>
      </w:r>
      <w:r w:rsidR="00483768" w:rsidRPr="00AA4037">
        <w:rPr>
          <w:lang w:val="en-GB"/>
        </w:rPr>
        <w:t xml:space="preserve">with kinetic constant </w:t>
      </w:r>
      <w:r w:rsidRPr="00AA4037">
        <w:rPr>
          <w:lang w:val="en-GB"/>
        </w:rPr>
        <w:t xml:space="preserve">of the Arrhenius type. Although the reaction proved to be kinetically complex, acceptable fits were obtained, allowing the estimation of apparent activation energies and reaction orders. </w:t>
      </w:r>
    </w:p>
    <w:p w14:paraId="117D2A10" w14:textId="5E5B4524" w:rsidR="00C40542" w:rsidRPr="00AA4037" w:rsidRDefault="00C40542" w:rsidP="005D5578">
      <w:pPr>
        <w:pStyle w:val="CETBodytext"/>
        <w:rPr>
          <w:lang w:val="en-GB"/>
        </w:rPr>
      </w:pPr>
      <w:r w:rsidRPr="00AA4037">
        <w:rPr>
          <w:lang w:val="en-GB"/>
        </w:rPr>
        <w:t xml:space="preserve">Results are reported in Table </w:t>
      </w:r>
      <w:r w:rsidR="006827FB" w:rsidRPr="00AA4037">
        <w:rPr>
          <w:lang w:val="en-GB"/>
        </w:rPr>
        <w:t>2 for the three different heating rates</w:t>
      </w:r>
      <w:r w:rsidR="00800D68" w:rsidRPr="00AA4037">
        <w:rPr>
          <w:lang w:val="en-GB"/>
        </w:rPr>
        <w:t xml:space="preserve"> tested.</w:t>
      </w:r>
    </w:p>
    <w:p w14:paraId="7CCAC130" w14:textId="77777777" w:rsidR="00800D68" w:rsidRPr="00AA4037" w:rsidRDefault="00800D68" w:rsidP="00800D68">
      <w:pPr>
        <w:pStyle w:val="CETCaption"/>
      </w:pPr>
      <w:r w:rsidRPr="00AA4037">
        <w:t>Table 2: Kinetic fitting results obtained for the three different heating rates.</w:t>
      </w:r>
    </w:p>
    <w:tbl>
      <w:tblPr>
        <w:tblW w:w="882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70"/>
        <w:gridCol w:w="1470"/>
        <w:gridCol w:w="1470"/>
        <w:gridCol w:w="1470"/>
        <w:gridCol w:w="1470"/>
        <w:gridCol w:w="1470"/>
      </w:tblGrid>
      <w:tr w:rsidR="00800D68" w:rsidRPr="00AA4037" w14:paraId="2CA2EE8B" w14:textId="77777777" w:rsidTr="00E860E8">
        <w:trPr>
          <w:trHeight w:val="674"/>
        </w:trPr>
        <w:tc>
          <w:tcPr>
            <w:tcW w:w="1470" w:type="dxa"/>
            <w:shd w:val="clear" w:color="auto" w:fill="FFFFFF"/>
          </w:tcPr>
          <w:p w14:paraId="09624E32" w14:textId="77777777" w:rsidR="00800D68" w:rsidRPr="00AA4037" w:rsidRDefault="00800D68" w:rsidP="00E860E8">
            <w:r w:rsidRPr="00AA4037">
              <w:t>Heating Rate</w:t>
            </w:r>
          </w:p>
          <w:p w14:paraId="1B5E7C1A" w14:textId="77777777" w:rsidR="00800D68" w:rsidRPr="00AA4037" w:rsidRDefault="00800D68" w:rsidP="00E860E8">
            <w:pPr>
              <w:pStyle w:val="CETBodytext"/>
              <w:rPr>
                <w:lang w:val="en-GB"/>
              </w:rPr>
            </w:pPr>
            <w:r w:rsidRPr="00AA4037">
              <w:rPr>
                <w:lang w:val="en-GB"/>
              </w:rPr>
              <w:t>[°C/min]</w:t>
            </w:r>
          </w:p>
        </w:tc>
        <w:tc>
          <w:tcPr>
            <w:tcW w:w="1470" w:type="dxa"/>
            <w:shd w:val="clear" w:color="auto" w:fill="FFFFFF"/>
          </w:tcPr>
          <w:p w14:paraId="12CBC42B" w14:textId="77777777" w:rsidR="00800D68" w:rsidRPr="00AA4037" w:rsidRDefault="00000000" w:rsidP="00E860E8">
            <w:pPr>
              <w:pStyle w:val="CETBodytext"/>
              <w:rPr>
                <w:lang w:val="en-GB"/>
              </w:rPr>
            </w:pPr>
            <m:oMathPara>
              <m:oMathParaPr>
                <m:jc m:val="left"/>
              </m:oMathParaPr>
              <m:oMath>
                <m:func>
                  <m:funcPr>
                    <m:ctrlPr>
                      <w:rPr>
                        <w:rFonts w:ascii="Cambria Math" w:hAnsi="Cambria Math"/>
                        <w:i/>
                        <w:lang w:val="en-GB"/>
                      </w:rPr>
                    </m:ctrlPr>
                  </m:funcPr>
                  <m:fName>
                    <m:r>
                      <m:rPr>
                        <m:sty m:val="p"/>
                      </m:rPr>
                      <w:rPr>
                        <w:rFonts w:ascii="Cambria Math" w:hAnsi="Cambria Math"/>
                        <w:lang w:val="en-GB"/>
                      </w:rPr>
                      <m:t>ln</m:t>
                    </m:r>
                  </m:fName>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0</m:t>
                            </m:r>
                          </m:sub>
                        </m:sSub>
                      </m:e>
                    </m:d>
                  </m:e>
                </m:func>
              </m:oMath>
            </m:oMathPara>
          </w:p>
        </w:tc>
        <w:tc>
          <w:tcPr>
            <w:tcW w:w="1470" w:type="dxa"/>
            <w:shd w:val="clear" w:color="auto" w:fill="FFFFFF"/>
          </w:tcPr>
          <w:p w14:paraId="2E316D7B" w14:textId="77777777" w:rsidR="00800D68" w:rsidRPr="00AA4037" w:rsidRDefault="00000000" w:rsidP="00E860E8">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a</m:t>
                    </m:r>
                  </m:sub>
                </m:sSub>
              </m:oMath>
            </m:oMathPara>
          </w:p>
          <w:p w14:paraId="3941C294" w14:textId="77777777" w:rsidR="00800D68" w:rsidRPr="00AA4037" w:rsidRDefault="00800D68" w:rsidP="00E860E8">
            <w:pPr>
              <w:pStyle w:val="CETBodytext"/>
              <w:rPr>
                <w:lang w:val="en-GB"/>
              </w:rPr>
            </w:pPr>
            <w:r w:rsidRPr="00AA4037">
              <w:rPr>
                <w:lang w:val="en-GB"/>
              </w:rPr>
              <w:t>[kJ/mol]</w:t>
            </w:r>
          </w:p>
        </w:tc>
        <w:tc>
          <w:tcPr>
            <w:tcW w:w="1470" w:type="dxa"/>
            <w:shd w:val="clear" w:color="auto" w:fill="FFFFFF"/>
          </w:tcPr>
          <w:p w14:paraId="2AD278C4" w14:textId="77777777" w:rsidR="00800D68" w:rsidRPr="00AA4037" w:rsidRDefault="00800D68" w:rsidP="00E860E8">
            <w:pPr>
              <w:pStyle w:val="CETBodytext"/>
              <w:rPr>
                <w:lang w:val="en-GB"/>
              </w:rPr>
            </w:pPr>
            <m:oMathPara>
              <m:oMathParaPr>
                <m:jc m:val="left"/>
              </m:oMathParaPr>
              <m:oMath>
                <m:r>
                  <w:rPr>
                    <w:rFonts w:ascii="Cambria Math" w:hAnsi="Cambria Math"/>
                    <w:lang w:val="en-GB"/>
                  </w:rPr>
                  <m:t>n</m:t>
                </m:r>
              </m:oMath>
            </m:oMathPara>
          </w:p>
        </w:tc>
        <w:tc>
          <w:tcPr>
            <w:tcW w:w="1470" w:type="dxa"/>
            <w:shd w:val="clear" w:color="auto" w:fill="FFFFFF"/>
          </w:tcPr>
          <w:p w14:paraId="676FB83D" w14:textId="63D3CC09" w:rsidR="00800D68" w:rsidRPr="00AA4037" w:rsidRDefault="00000000" w:rsidP="00E860E8">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min</m:t>
                    </m:r>
                  </m:sub>
                </m:sSub>
              </m:oMath>
            </m:oMathPara>
          </w:p>
          <w:p w14:paraId="43FBEF7A" w14:textId="77777777" w:rsidR="00800D68" w:rsidRPr="00AA4037" w:rsidRDefault="00800D68" w:rsidP="00E860E8">
            <w:pPr>
              <w:pStyle w:val="CETBodytext"/>
              <w:rPr>
                <w:lang w:val="en-GB"/>
              </w:rPr>
            </w:pPr>
            <w:r w:rsidRPr="00AA4037">
              <w:rPr>
                <w:lang w:val="en-GB"/>
              </w:rPr>
              <w:t>[°C]</w:t>
            </w:r>
          </w:p>
        </w:tc>
        <w:tc>
          <w:tcPr>
            <w:tcW w:w="1470" w:type="dxa"/>
          </w:tcPr>
          <w:p w14:paraId="331EE3B4" w14:textId="5425E127" w:rsidR="00800D68" w:rsidRPr="00AA4037" w:rsidRDefault="00000000" w:rsidP="00E860E8">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max</m:t>
                    </m:r>
                  </m:sub>
                </m:sSub>
              </m:oMath>
            </m:oMathPara>
          </w:p>
          <w:p w14:paraId="431235B3" w14:textId="77777777" w:rsidR="00800D68" w:rsidRPr="00AA4037" w:rsidRDefault="00800D68" w:rsidP="00E860E8">
            <w:pPr>
              <w:pStyle w:val="CETBodytext"/>
              <w:rPr>
                <w:lang w:val="en-GB"/>
              </w:rPr>
            </w:pPr>
            <w:r w:rsidRPr="00AA4037">
              <w:rPr>
                <w:lang w:val="en-GB"/>
              </w:rPr>
              <w:t>[°C]</w:t>
            </w:r>
          </w:p>
        </w:tc>
      </w:tr>
      <w:tr w:rsidR="00800D68" w:rsidRPr="00AA4037" w14:paraId="63DE3605" w14:textId="77777777" w:rsidTr="00E860E8">
        <w:trPr>
          <w:trHeight w:val="222"/>
        </w:trPr>
        <w:tc>
          <w:tcPr>
            <w:tcW w:w="1470" w:type="dxa"/>
            <w:shd w:val="clear" w:color="auto" w:fill="FFFFFF"/>
          </w:tcPr>
          <w:p w14:paraId="01A60E29" w14:textId="77777777" w:rsidR="00800D68" w:rsidRPr="00AA4037" w:rsidRDefault="00800D68" w:rsidP="00E860E8">
            <w:pPr>
              <w:pStyle w:val="CETBodytext"/>
              <w:rPr>
                <w:lang w:val="en-GB"/>
              </w:rPr>
            </w:pPr>
            <w:r w:rsidRPr="00AA4037">
              <w:rPr>
                <w:lang w:val="en-GB"/>
              </w:rPr>
              <w:t>2</w:t>
            </w:r>
          </w:p>
        </w:tc>
        <w:tc>
          <w:tcPr>
            <w:tcW w:w="1470" w:type="dxa"/>
            <w:shd w:val="clear" w:color="auto" w:fill="FFFFFF"/>
          </w:tcPr>
          <w:p w14:paraId="5A79EF31" w14:textId="77777777" w:rsidR="00800D68" w:rsidRPr="00AA4037" w:rsidRDefault="00800D68" w:rsidP="00E860E8">
            <w:pPr>
              <w:pStyle w:val="CETBodytext"/>
              <w:rPr>
                <w:lang w:val="en-GB"/>
              </w:rPr>
            </w:pPr>
            <w:r w:rsidRPr="00AA4037">
              <w:rPr>
                <w:lang w:val="en-GB"/>
              </w:rPr>
              <w:t>20.79</w:t>
            </w:r>
          </w:p>
        </w:tc>
        <w:tc>
          <w:tcPr>
            <w:tcW w:w="1470" w:type="dxa"/>
            <w:shd w:val="clear" w:color="auto" w:fill="FFFFFF"/>
          </w:tcPr>
          <w:p w14:paraId="12DA22C4" w14:textId="77777777" w:rsidR="00800D68" w:rsidRPr="00AA4037" w:rsidRDefault="00800D68" w:rsidP="00E860E8">
            <w:pPr>
              <w:pStyle w:val="CETBodytext"/>
              <w:rPr>
                <w:lang w:val="en-GB"/>
              </w:rPr>
            </w:pPr>
            <w:r w:rsidRPr="00AA4037">
              <w:rPr>
                <w:lang w:val="en-GB"/>
              </w:rPr>
              <w:t>100.19</w:t>
            </w:r>
          </w:p>
        </w:tc>
        <w:tc>
          <w:tcPr>
            <w:tcW w:w="1470" w:type="dxa"/>
            <w:shd w:val="clear" w:color="auto" w:fill="FFFFFF"/>
          </w:tcPr>
          <w:p w14:paraId="557470B9" w14:textId="77777777" w:rsidR="00800D68" w:rsidRPr="00AA4037" w:rsidRDefault="00800D68" w:rsidP="00E860E8">
            <w:pPr>
              <w:pStyle w:val="CETBodytext"/>
              <w:rPr>
                <w:lang w:val="en-GB"/>
              </w:rPr>
            </w:pPr>
            <w:r w:rsidRPr="00AA4037">
              <w:rPr>
                <w:lang w:val="en-GB"/>
              </w:rPr>
              <w:t>2.03</w:t>
            </w:r>
          </w:p>
        </w:tc>
        <w:tc>
          <w:tcPr>
            <w:tcW w:w="1470" w:type="dxa"/>
            <w:shd w:val="clear" w:color="auto" w:fill="FFFFFF"/>
          </w:tcPr>
          <w:p w14:paraId="6F1559E6" w14:textId="77777777" w:rsidR="00800D68" w:rsidRPr="00AA4037" w:rsidRDefault="00800D68" w:rsidP="00E860E8">
            <w:pPr>
              <w:pStyle w:val="CETBodytext"/>
              <w:rPr>
                <w:lang w:val="en-GB"/>
              </w:rPr>
            </w:pPr>
            <w:r w:rsidRPr="00AA4037">
              <w:rPr>
                <w:lang w:val="en-GB"/>
              </w:rPr>
              <w:t>83.63</w:t>
            </w:r>
          </w:p>
        </w:tc>
        <w:tc>
          <w:tcPr>
            <w:tcW w:w="1470" w:type="dxa"/>
          </w:tcPr>
          <w:p w14:paraId="2126AD97" w14:textId="77777777" w:rsidR="00800D68" w:rsidRPr="00AA4037" w:rsidRDefault="00800D68" w:rsidP="00E860E8">
            <w:pPr>
              <w:pStyle w:val="CETBodytext"/>
              <w:rPr>
                <w:lang w:val="en-GB"/>
              </w:rPr>
            </w:pPr>
            <w:r w:rsidRPr="00AA4037">
              <w:rPr>
                <w:lang w:val="en-GB"/>
              </w:rPr>
              <w:t>224.14</w:t>
            </w:r>
          </w:p>
        </w:tc>
      </w:tr>
      <w:tr w:rsidR="00800D68" w:rsidRPr="00AA4037" w14:paraId="65C17B75" w14:textId="77777777" w:rsidTr="00E860E8">
        <w:trPr>
          <w:trHeight w:val="222"/>
        </w:trPr>
        <w:tc>
          <w:tcPr>
            <w:tcW w:w="1470" w:type="dxa"/>
            <w:shd w:val="clear" w:color="auto" w:fill="FFFFFF"/>
          </w:tcPr>
          <w:p w14:paraId="5ECB588C" w14:textId="77777777" w:rsidR="00800D68" w:rsidRPr="00AA4037" w:rsidRDefault="00800D68" w:rsidP="00E860E8">
            <w:pPr>
              <w:pStyle w:val="CETBodytext"/>
              <w:ind w:right="-1"/>
              <w:rPr>
                <w:rFonts w:cs="Arial"/>
                <w:szCs w:val="18"/>
                <w:lang w:val="en-GB"/>
              </w:rPr>
            </w:pPr>
            <w:r w:rsidRPr="00AA4037">
              <w:rPr>
                <w:lang w:val="en-GB"/>
              </w:rPr>
              <w:t>5</w:t>
            </w:r>
          </w:p>
        </w:tc>
        <w:tc>
          <w:tcPr>
            <w:tcW w:w="1470" w:type="dxa"/>
            <w:shd w:val="clear" w:color="auto" w:fill="FFFFFF"/>
          </w:tcPr>
          <w:p w14:paraId="3A10E0EE" w14:textId="77777777" w:rsidR="00800D68" w:rsidRPr="00AA4037" w:rsidRDefault="00800D68" w:rsidP="00E860E8">
            <w:pPr>
              <w:pStyle w:val="CETBodytext"/>
              <w:ind w:right="-1"/>
              <w:rPr>
                <w:rFonts w:cs="Arial"/>
                <w:szCs w:val="18"/>
                <w:lang w:val="en-GB"/>
              </w:rPr>
            </w:pPr>
            <w:r w:rsidRPr="00AA4037">
              <w:rPr>
                <w:lang w:val="en-GB"/>
              </w:rPr>
              <w:t>5.06</w:t>
            </w:r>
          </w:p>
        </w:tc>
        <w:tc>
          <w:tcPr>
            <w:tcW w:w="1470" w:type="dxa"/>
            <w:shd w:val="clear" w:color="auto" w:fill="FFFFFF"/>
          </w:tcPr>
          <w:p w14:paraId="3491DDC8" w14:textId="77777777" w:rsidR="00800D68" w:rsidRPr="00AA4037" w:rsidRDefault="00800D68" w:rsidP="00E860E8">
            <w:pPr>
              <w:pStyle w:val="CETBodytext"/>
              <w:ind w:right="-1"/>
              <w:rPr>
                <w:rFonts w:cs="Arial"/>
                <w:szCs w:val="18"/>
                <w:lang w:val="en-GB"/>
              </w:rPr>
            </w:pPr>
            <w:r w:rsidRPr="00AA4037">
              <w:rPr>
                <w:lang w:val="en-GB"/>
              </w:rPr>
              <w:t>43.42</w:t>
            </w:r>
          </w:p>
        </w:tc>
        <w:tc>
          <w:tcPr>
            <w:tcW w:w="1470" w:type="dxa"/>
            <w:shd w:val="clear" w:color="auto" w:fill="FFFFFF"/>
          </w:tcPr>
          <w:p w14:paraId="5AF61AE5" w14:textId="77777777" w:rsidR="00800D68" w:rsidRPr="00AA4037" w:rsidRDefault="00800D68" w:rsidP="00E860E8">
            <w:pPr>
              <w:pStyle w:val="CETBodytext"/>
              <w:ind w:right="-1"/>
              <w:rPr>
                <w:rFonts w:cs="Arial"/>
                <w:szCs w:val="18"/>
                <w:lang w:val="en-GB"/>
              </w:rPr>
            </w:pPr>
            <w:r w:rsidRPr="00AA4037">
              <w:rPr>
                <w:lang w:val="en-GB"/>
              </w:rPr>
              <w:t>1.03</w:t>
            </w:r>
          </w:p>
        </w:tc>
        <w:tc>
          <w:tcPr>
            <w:tcW w:w="1470" w:type="dxa"/>
            <w:shd w:val="clear" w:color="auto" w:fill="FFFFFF"/>
          </w:tcPr>
          <w:p w14:paraId="2E72A9D8" w14:textId="77777777" w:rsidR="00800D68" w:rsidRPr="00AA4037" w:rsidRDefault="00800D68" w:rsidP="00E860E8">
            <w:pPr>
              <w:pStyle w:val="CETBodytext"/>
              <w:ind w:right="-1"/>
              <w:rPr>
                <w:rFonts w:cs="Arial"/>
                <w:szCs w:val="18"/>
                <w:lang w:val="en-GB"/>
              </w:rPr>
            </w:pPr>
            <w:r w:rsidRPr="00AA4037">
              <w:rPr>
                <w:lang w:val="en-GB"/>
              </w:rPr>
              <w:t>101.79</w:t>
            </w:r>
          </w:p>
        </w:tc>
        <w:tc>
          <w:tcPr>
            <w:tcW w:w="1470" w:type="dxa"/>
          </w:tcPr>
          <w:p w14:paraId="7FEA9776" w14:textId="77777777" w:rsidR="00800D68" w:rsidRPr="00AA4037" w:rsidRDefault="00800D68" w:rsidP="00E860E8">
            <w:pPr>
              <w:pStyle w:val="CETBodytext"/>
              <w:ind w:right="-1"/>
              <w:rPr>
                <w:rFonts w:cs="Arial"/>
                <w:szCs w:val="18"/>
                <w:lang w:val="en-GB"/>
              </w:rPr>
            </w:pPr>
            <w:r w:rsidRPr="00AA4037">
              <w:rPr>
                <w:lang w:val="en-GB"/>
              </w:rPr>
              <w:t>248.13</w:t>
            </w:r>
          </w:p>
        </w:tc>
      </w:tr>
      <w:tr w:rsidR="00800D68" w:rsidRPr="00AA4037" w14:paraId="2DC7B2B2" w14:textId="77777777" w:rsidTr="00E860E8">
        <w:trPr>
          <w:trHeight w:val="222"/>
        </w:trPr>
        <w:tc>
          <w:tcPr>
            <w:tcW w:w="1470" w:type="dxa"/>
            <w:shd w:val="clear" w:color="auto" w:fill="FFFFFF"/>
          </w:tcPr>
          <w:p w14:paraId="4AAA1F6E" w14:textId="77777777" w:rsidR="00800D68" w:rsidRPr="00AA4037" w:rsidRDefault="00800D68" w:rsidP="00E860E8">
            <w:pPr>
              <w:pStyle w:val="CETBodytext"/>
              <w:ind w:right="-1"/>
              <w:rPr>
                <w:rFonts w:cs="Arial"/>
                <w:szCs w:val="18"/>
                <w:lang w:val="en-GB"/>
              </w:rPr>
            </w:pPr>
            <w:r w:rsidRPr="00AA4037">
              <w:rPr>
                <w:lang w:val="en-GB"/>
              </w:rPr>
              <w:t>10</w:t>
            </w:r>
          </w:p>
        </w:tc>
        <w:tc>
          <w:tcPr>
            <w:tcW w:w="1470" w:type="dxa"/>
            <w:shd w:val="clear" w:color="auto" w:fill="FFFFFF"/>
          </w:tcPr>
          <w:p w14:paraId="7B849653" w14:textId="77777777" w:rsidR="00800D68" w:rsidRPr="00AA4037" w:rsidRDefault="00800D68" w:rsidP="00E860E8">
            <w:pPr>
              <w:pStyle w:val="CETBodytext"/>
              <w:ind w:right="-1"/>
              <w:rPr>
                <w:rFonts w:cs="Arial"/>
                <w:szCs w:val="18"/>
                <w:lang w:val="en-GB"/>
              </w:rPr>
            </w:pPr>
            <w:r w:rsidRPr="00AA4037">
              <w:rPr>
                <w:lang w:val="en-GB"/>
              </w:rPr>
              <w:t>1.83</w:t>
            </w:r>
          </w:p>
        </w:tc>
        <w:tc>
          <w:tcPr>
            <w:tcW w:w="1470" w:type="dxa"/>
            <w:shd w:val="clear" w:color="auto" w:fill="FFFFFF"/>
          </w:tcPr>
          <w:p w14:paraId="2887E66A" w14:textId="77777777" w:rsidR="00800D68" w:rsidRPr="00AA4037" w:rsidRDefault="00800D68" w:rsidP="00E860E8">
            <w:pPr>
              <w:pStyle w:val="CETBodytext"/>
              <w:ind w:right="-1"/>
              <w:rPr>
                <w:rFonts w:cs="Arial"/>
                <w:szCs w:val="18"/>
                <w:lang w:val="en-GB"/>
              </w:rPr>
            </w:pPr>
            <w:r w:rsidRPr="00AA4037">
              <w:rPr>
                <w:lang w:val="en-GB"/>
              </w:rPr>
              <w:t>31.18</w:t>
            </w:r>
          </w:p>
        </w:tc>
        <w:tc>
          <w:tcPr>
            <w:tcW w:w="1470" w:type="dxa"/>
            <w:shd w:val="clear" w:color="auto" w:fill="FFFFFF"/>
          </w:tcPr>
          <w:p w14:paraId="009F3885" w14:textId="77777777" w:rsidR="00800D68" w:rsidRPr="00AA4037" w:rsidRDefault="00800D68" w:rsidP="00E860E8">
            <w:pPr>
              <w:pStyle w:val="CETBodytext"/>
              <w:ind w:right="-1"/>
              <w:rPr>
                <w:rFonts w:cs="Arial"/>
                <w:szCs w:val="18"/>
                <w:lang w:val="en-GB"/>
              </w:rPr>
            </w:pPr>
            <w:r w:rsidRPr="00AA4037">
              <w:rPr>
                <w:lang w:val="en-GB"/>
              </w:rPr>
              <w:t>0.54</w:t>
            </w:r>
          </w:p>
        </w:tc>
        <w:tc>
          <w:tcPr>
            <w:tcW w:w="1470" w:type="dxa"/>
            <w:shd w:val="clear" w:color="auto" w:fill="FFFFFF"/>
          </w:tcPr>
          <w:p w14:paraId="7747E8C8" w14:textId="77777777" w:rsidR="00800D68" w:rsidRPr="00AA4037" w:rsidRDefault="00800D68" w:rsidP="00E860E8">
            <w:pPr>
              <w:pStyle w:val="CETBodytext"/>
              <w:ind w:right="-1"/>
              <w:rPr>
                <w:rFonts w:cs="Arial"/>
                <w:szCs w:val="18"/>
                <w:lang w:val="en-GB"/>
              </w:rPr>
            </w:pPr>
            <w:r w:rsidRPr="00AA4037">
              <w:rPr>
                <w:lang w:val="en-GB"/>
              </w:rPr>
              <w:t>128.06</w:t>
            </w:r>
          </w:p>
        </w:tc>
        <w:tc>
          <w:tcPr>
            <w:tcW w:w="1470" w:type="dxa"/>
          </w:tcPr>
          <w:p w14:paraId="1CBA2FC7" w14:textId="77777777" w:rsidR="00800D68" w:rsidRPr="00AA4037" w:rsidRDefault="00800D68" w:rsidP="00E860E8">
            <w:pPr>
              <w:pStyle w:val="CETBodytext"/>
              <w:ind w:right="-1"/>
              <w:rPr>
                <w:rFonts w:cs="Arial"/>
                <w:szCs w:val="18"/>
                <w:lang w:val="en-GB"/>
              </w:rPr>
            </w:pPr>
            <w:r w:rsidRPr="00AA4037">
              <w:rPr>
                <w:lang w:val="en-GB"/>
              </w:rPr>
              <w:t>265.17</w:t>
            </w:r>
          </w:p>
        </w:tc>
      </w:tr>
    </w:tbl>
    <w:p w14:paraId="7882D608" w14:textId="77777777" w:rsidR="0084343E" w:rsidRPr="00AA4037" w:rsidRDefault="00800D68" w:rsidP="00800D68">
      <w:pPr>
        <w:pStyle w:val="CETBodytext"/>
        <w:spacing w:before="240"/>
        <w:rPr>
          <w:lang w:val="en-GB"/>
        </w:rPr>
      </w:pPr>
      <w:r w:rsidRPr="00AA4037">
        <w:rPr>
          <w:lang w:val="en-GB"/>
        </w:rPr>
        <w:t>It can be observed that increasing the heating rate leads to a progressive decrease in both the apparent activation energy and the reaction order. This behaviour is indicative of autocatalytic effects and complex reaction mechanisms. In order to determine the number of reactive phenomena involved, a model-free kinetic analysis (that is, without constraining the data to an Arrhenius law) was also performed. The results reveal essentially two distinct activation energy levels, su</w:t>
      </w:r>
      <w:r w:rsidR="0084343E" w:rsidRPr="00AA4037">
        <w:rPr>
          <w:lang w:val="en-GB"/>
        </w:rPr>
        <w:t>pporting</w:t>
      </w:r>
      <w:r w:rsidRPr="00AA4037">
        <w:rPr>
          <w:lang w:val="en-GB"/>
        </w:rPr>
        <w:t xml:space="preserve"> the </w:t>
      </w:r>
      <w:r w:rsidR="0084343E" w:rsidRPr="00AA4037">
        <w:rPr>
          <w:lang w:val="en-GB"/>
        </w:rPr>
        <w:t>evidence</w:t>
      </w:r>
      <w:r w:rsidRPr="00AA4037">
        <w:rPr>
          <w:lang w:val="en-GB"/>
        </w:rPr>
        <w:t xml:space="preserve"> of at least two overlapping exothermic processes</w:t>
      </w:r>
      <w:r w:rsidR="0084343E" w:rsidRPr="00AA4037">
        <w:rPr>
          <w:lang w:val="en-GB"/>
        </w:rPr>
        <w:t>, as discussed for the</w:t>
      </w:r>
      <w:r w:rsidR="002B6A6A" w:rsidRPr="00AA4037">
        <w:rPr>
          <w:lang w:val="en-GB"/>
        </w:rPr>
        <w:t xml:space="preserve"> TG-DSC tests</w:t>
      </w:r>
      <w:r w:rsidR="0084343E" w:rsidRPr="00AA4037">
        <w:rPr>
          <w:lang w:val="en-GB"/>
        </w:rPr>
        <w:t xml:space="preserve">. </w:t>
      </w:r>
    </w:p>
    <w:p w14:paraId="611F227D" w14:textId="12B6590C" w:rsidR="00800D68" w:rsidRPr="00AA4037" w:rsidRDefault="00800D68" w:rsidP="0084343E">
      <w:pPr>
        <w:pStyle w:val="CETBodytext"/>
        <w:rPr>
          <w:lang w:val="en-GB"/>
        </w:rPr>
      </w:pPr>
      <w:r w:rsidRPr="00AA4037">
        <w:rPr>
          <w:lang w:val="en-GB"/>
        </w:rPr>
        <w:t>Results coming from the kinetic free model were successively used to simulate the TMR of the epoxy-containing compound in the temperature range from 35 to 50 °C; such a temperature interval is justified because industrial drying is usually performed at about 45 °C. Table 3 summarises TMR values obtained by the simulations.</w:t>
      </w:r>
    </w:p>
    <w:p w14:paraId="027B0EB9" w14:textId="77777777" w:rsidR="00800D68" w:rsidRPr="00AA4037" w:rsidRDefault="00800D68" w:rsidP="00800D68">
      <w:pPr>
        <w:pStyle w:val="CETCaption"/>
      </w:pPr>
      <w:r w:rsidRPr="00AA4037">
        <w:t>Table 3: TMR values obtained using the kinetic free model simulations.</w:t>
      </w:r>
    </w:p>
    <w:tbl>
      <w:tblPr>
        <w:tblW w:w="8475"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825"/>
        <w:gridCol w:w="2825"/>
        <w:gridCol w:w="2825"/>
      </w:tblGrid>
      <w:tr w:rsidR="00800D68" w:rsidRPr="00AA4037" w14:paraId="0848313A" w14:textId="77777777" w:rsidTr="003E5C42">
        <w:trPr>
          <w:trHeight w:val="362"/>
        </w:trPr>
        <w:tc>
          <w:tcPr>
            <w:tcW w:w="2825" w:type="dxa"/>
            <w:shd w:val="clear" w:color="auto" w:fill="FFFFFF"/>
          </w:tcPr>
          <w:p w14:paraId="45F0859B" w14:textId="77777777" w:rsidR="00800D68" w:rsidRPr="00AA4037" w:rsidRDefault="00800D68" w:rsidP="00E860E8">
            <w:r w:rsidRPr="00AA4037">
              <w:t>Temperature [°C]</w:t>
            </w:r>
          </w:p>
        </w:tc>
        <w:tc>
          <w:tcPr>
            <w:tcW w:w="2825" w:type="dxa"/>
            <w:shd w:val="clear" w:color="auto" w:fill="FFFFFF"/>
          </w:tcPr>
          <w:p w14:paraId="37426035" w14:textId="77777777" w:rsidR="00800D68" w:rsidRPr="00AA4037" w:rsidRDefault="00800D68" w:rsidP="00E860E8">
            <w:pPr>
              <w:pStyle w:val="CETBodytext"/>
              <w:rPr>
                <w:lang w:val="en-GB"/>
              </w:rPr>
            </w:pPr>
            <w:r w:rsidRPr="00AA4037">
              <w:rPr>
                <w:lang w:val="en-GB"/>
              </w:rPr>
              <w:t>TMR [h]</w:t>
            </w:r>
          </w:p>
        </w:tc>
        <w:tc>
          <w:tcPr>
            <w:tcW w:w="2825" w:type="dxa"/>
            <w:shd w:val="clear" w:color="auto" w:fill="FFFFFF"/>
          </w:tcPr>
          <w:p w14:paraId="08719405" w14:textId="77777777" w:rsidR="00800D68" w:rsidRPr="00AA4037" w:rsidRDefault="00800D68" w:rsidP="00E860E8">
            <w:r w:rsidRPr="00AA4037">
              <w:t>Temperature after 24 h [°C]</w:t>
            </w:r>
          </w:p>
        </w:tc>
      </w:tr>
      <w:tr w:rsidR="00800D68" w:rsidRPr="00AA4037" w14:paraId="6F847B1D" w14:textId="77777777" w:rsidTr="003E5C42">
        <w:trPr>
          <w:trHeight w:val="173"/>
        </w:trPr>
        <w:tc>
          <w:tcPr>
            <w:tcW w:w="2825" w:type="dxa"/>
            <w:shd w:val="clear" w:color="auto" w:fill="FFFFFF"/>
          </w:tcPr>
          <w:p w14:paraId="54953464" w14:textId="77777777" w:rsidR="00800D68" w:rsidRPr="00AA4037" w:rsidRDefault="00800D68" w:rsidP="00E860E8">
            <w:pPr>
              <w:pStyle w:val="CETBodytext"/>
              <w:rPr>
                <w:lang w:val="en-GB"/>
              </w:rPr>
            </w:pPr>
            <w:r w:rsidRPr="00AA4037">
              <w:rPr>
                <w:lang w:val="en-GB"/>
              </w:rPr>
              <w:t>35</w:t>
            </w:r>
          </w:p>
        </w:tc>
        <w:tc>
          <w:tcPr>
            <w:tcW w:w="2825" w:type="dxa"/>
            <w:shd w:val="clear" w:color="auto" w:fill="FFFFFF"/>
          </w:tcPr>
          <w:p w14:paraId="7B07D49D" w14:textId="77777777" w:rsidR="00800D68" w:rsidRPr="00AA4037" w:rsidRDefault="00800D68" w:rsidP="00E860E8">
            <w:pPr>
              <w:pStyle w:val="CETBodytext"/>
              <w:rPr>
                <w:lang w:val="en-GB"/>
              </w:rPr>
            </w:pPr>
            <w:r w:rsidRPr="00AA4037">
              <w:rPr>
                <w:lang w:val="en-GB"/>
              </w:rPr>
              <w:t>1284.9</w:t>
            </w:r>
          </w:p>
        </w:tc>
        <w:tc>
          <w:tcPr>
            <w:tcW w:w="2825" w:type="dxa"/>
            <w:shd w:val="clear" w:color="auto" w:fill="FFFFFF"/>
          </w:tcPr>
          <w:p w14:paraId="767487A3" w14:textId="77777777" w:rsidR="00800D68" w:rsidRPr="00AA4037" w:rsidRDefault="00800D68" w:rsidP="00E860E8">
            <w:pPr>
              <w:pStyle w:val="CETBodytext"/>
              <w:rPr>
                <w:lang w:val="en-GB"/>
              </w:rPr>
            </w:pPr>
            <w:r w:rsidRPr="00AA4037">
              <w:rPr>
                <w:lang w:val="en-GB"/>
              </w:rPr>
              <w:t>35.2</w:t>
            </w:r>
          </w:p>
        </w:tc>
      </w:tr>
      <w:tr w:rsidR="00800D68" w:rsidRPr="00AA4037" w14:paraId="22FEAE6F" w14:textId="77777777" w:rsidTr="003E5C42">
        <w:trPr>
          <w:trHeight w:val="173"/>
        </w:trPr>
        <w:tc>
          <w:tcPr>
            <w:tcW w:w="2825" w:type="dxa"/>
            <w:shd w:val="clear" w:color="auto" w:fill="FFFFFF"/>
          </w:tcPr>
          <w:p w14:paraId="4873EDF6" w14:textId="77777777" w:rsidR="00800D68" w:rsidRPr="00AA4037" w:rsidRDefault="00800D68" w:rsidP="00E860E8">
            <w:pPr>
              <w:pStyle w:val="CETBodytext"/>
              <w:ind w:right="-1"/>
              <w:rPr>
                <w:rFonts w:cs="Arial"/>
                <w:szCs w:val="18"/>
                <w:lang w:val="en-GB"/>
              </w:rPr>
            </w:pPr>
            <w:r w:rsidRPr="00AA4037">
              <w:rPr>
                <w:lang w:val="en-GB"/>
              </w:rPr>
              <w:t>40</w:t>
            </w:r>
          </w:p>
        </w:tc>
        <w:tc>
          <w:tcPr>
            <w:tcW w:w="2825" w:type="dxa"/>
            <w:shd w:val="clear" w:color="auto" w:fill="FFFFFF"/>
          </w:tcPr>
          <w:p w14:paraId="227CDBE6" w14:textId="77777777" w:rsidR="00800D68" w:rsidRPr="00AA4037" w:rsidRDefault="00800D68" w:rsidP="00E860E8">
            <w:pPr>
              <w:pStyle w:val="CETBodytext"/>
              <w:ind w:right="-1"/>
              <w:rPr>
                <w:rFonts w:cs="Arial"/>
                <w:szCs w:val="18"/>
                <w:lang w:val="en-GB"/>
              </w:rPr>
            </w:pPr>
            <w:r w:rsidRPr="00AA4037">
              <w:rPr>
                <w:rFonts w:cs="Arial"/>
                <w:szCs w:val="18"/>
                <w:lang w:val="en-GB"/>
              </w:rPr>
              <w:t>711.9</w:t>
            </w:r>
          </w:p>
        </w:tc>
        <w:tc>
          <w:tcPr>
            <w:tcW w:w="2825" w:type="dxa"/>
            <w:shd w:val="clear" w:color="auto" w:fill="FFFFFF"/>
          </w:tcPr>
          <w:p w14:paraId="2B0CBEC1" w14:textId="77777777" w:rsidR="00800D68" w:rsidRPr="00AA4037" w:rsidRDefault="00800D68" w:rsidP="00E860E8">
            <w:pPr>
              <w:pStyle w:val="CETBodytext"/>
              <w:ind w:right="-1"/>
              <w:rPr>
                <w:rFonts w:cs="Arial"/>
                <w:szCs w:val="18"/>
                <w:lang w:val="en-GB"/>
              </w:rPr>
            </w:pPr>
            <w:r w:rsidRPr="00AA4037">
              <w:rPr>
                <w:rFonts w:cs="Arial"/>
                <w:szCs w:val="18"/>
                <w:lang w:val="en-GB"/>
              </w:rPr>
              <w:t>40.3</w:t>
            </w:r>
          </w:p>
        </w:tc>
      </w:tr>
      <w:tr w:rsidR="00800D68" w:rsidRPr="00AA4037" w14:paraId="5B5C8584" w14:textId="77777777" w:rsidTr="003E5C42">
        <w:trPr>
          <w:trHeight w:val="173"/>
        </w:trPr>
        <w:tc>
          <w:tcPr>
            <w:tcW w:w="2825" w:type="dxa"/>
            <w:shd w:val="clear" w:color="auto" w:fill="FFFFFF"/>
          </w:tcPr>
          <w:p w14:paraId="1F769445" w14:textId="77777777" w:rsidR="00800D68" w:rsidRPr="00AA4037" w:rsidRDefault="00800D68" w:rsidP="00E860E8">
            <w:pPr>
              <w:pStyle w:val="CETBodytext"/>
              <w:ind w:right="-1"/>
              <w:rPr>
                <w:lang w:val="en-GB"/>
              </w:rPr>
            </w:pPr>
            <w:r w:rsidRPr="00AA4037">
              <w:rPr>
                <w:lang w:val="en-GB"/>
              </w:rPr>
              <w:t>45</w:t>
            </w:r>
          </w:p>
        </w:tc>
        <w:tc>
          <w:tcPr>
            <w:tcW w:w="2825" w:type="dxa"/>
            <w:shd w:val="clear" w:color="auto" w:fill="FFFFFF"/>
          </w:tcPr>
          <w:p w14:paraId="2322DA88" w14:textId="77777777" w:rsidR="00800D68" w:rsidRPr="00AA4037" w:rsidRDefault="00800D68" w:rsidP="00E860E8">
            <w:pPr>
              <w:pStyle w:val="CETBodytext"/>
              <w:ind w:right="-1"/>
              <w:rPr>
                <w:lang w:val="en-GB"/>
              </w:rPr>
            </w:pPr>
            <w:r w:rsidRPr="00AA4037">
              <w:rPr>
                <w:lang w:val="en-GB"/>
              </w:rPr>
              <w:t>402</w:t>
            </w:r>
          </w:p>
        </w:tc>
        <w:tc>
          <w:tcPr>
            <w:tcW w:w="2825" w:type="dxa"/>
            <w:shd w:val="clear" w:color="auto" w:fill="FFFFFF"/>
          </w:tcPr>
          <w:p w14:paraId="0B26677B" w14:textId="77777777" w:rsidR="00800D68" w:rsidRPr="00AA4037" w:rsidRDefault="00800D68" w:rsidP="00E860E8">
            <w:pPr>
              <w:pStyle w:val="CETBodytext"/>
              <w:ind w:right="-1"/>
              <w:rPr>
                <w:lang w:val="en-GB"/>
              </w:rPr>
            </w:pPr>
            <w:r w:rsidRPr="00AA4037">
              <w:rPr>
                <w:lang w:val="en-GB"/>
              </w:rPr>
              <w:t>45.5</w:t>
            </w:r>
          </w:p>
        </w:tc>
      </w:tr>
      <w:tr w:rsidR="00800D68" w:rsidRPr="00AA4037" w14:paraId="61393C88" w14:textId="77777777" w:rsidTr="003E5C42">
        <w:trPr>
          <w:trHeight w:val="173"/>
        </w:trPr>
        <w:tc>
          <w:tcPr>
            <w:tcW w:w="2825" w:type="dxa"/>
            <w:shd w:val="clear" w:color="auto" w:fill="FFFFFF"/>
          </w:tcPr>
          <w:p w14:paraId="077AFCC3" w14:textId="77777777" w:rsidR="00800D68" w:rsidRPr="00AA4037" w:rsidRDefault="00800D68" w:rsidP="00E860E8">
            <w:pPr>
              <w:pStyle w:val="CETBodytext"/>
              <w:ind w:right="-1"/>
              <w:rPr>
                <w:lang w:val="en-GB"/>
              </w:rPr>
            </w:pPr>
            <w:r w:rsidRPr="00AA4037">
              <w:rPr>
                <w:lang w:val="en-GB"/>
              </w:rPr>
              <w:t>46</w:t>
            </w:r>
          </w:p>
        </w:tc>
        <w:tc>
          <w:tcPr>
            <w:tcW w:w="2825" w:type="dxa"/>
            <w:shd w:val="clear" w:color="auto" w:fill="FFFFFF"/>
          </w:tcPr>
          <w:p w14:paraId="143F7638" w14:textId="77777777" w:rsidR="00800D68" w:rsidRPr="00AA4037" w:rsidRDefault="00800D68" w:rsidP="00E860E8">
            <w:pPr>
              <w:pStyle w:val="CETBodytext"/>
              <w:ind w:right="-1"/>
              <w:rPr>
                <w:lang w:val="en-GB"/>
              </w:rPr>
            </w:pPr>
            <w:r w:rsidRPr="00AA4037">
              <w:rPr>
                <w:lang w:val="en-GB"/>
              </w:rPr>
              <w:t>359.4</w:t>
            </w:r>
          </w:p>
        </w:tc>
        <w:tc>
          <w:tcPr>
            <w:tcW w:w="2825" w:type="dxa"/>
            <w:shd w:val="clear" w:color="auto" w:fill="FFFFFF"/>
          </w:tcPr>
          <w:p w14:paraId="61A710B8" w14:textId="77777777" w:rsidR="00800D68" w:rsidRPr="00AA4037" w:rsidRDefault="00800D68" w:rsidP="00E860E8">
            <w:pPr>
              <w:pStyle w:val="CETBodytext"/>
              <w:ind w:right="-1"/>
              <w:rPr>
                <w:lang w:val="en-GB"/>
              </w:rPr>
            </w:pPr>
            <w:r w:rsidRPr="00AA4037">
              <w:rPr>
                <w:lang w:val="en-GB"/>
              </w:rPr>
              <w:t>46.6</w:t>
            </w:r>
          </w:p>
        </w:tc>
      </w:tr>
      <w:tr w:rsidR="00800D68" w:rsidRPr="00AA4037" w14:paraId="4F9A73B3" w14:textId="77777777" w:rsidTr="003E5C42">
        <w:trPr>
          <w:trHeight w:val="173"/>
        </w:trPr>
        <w:tc>
          <w:tcPr>
            <w:tcW w:w="2825" w:type="dxa"/>
            <w:shd w:val="clear" w:color="auto" w:fill="FFFFFF"/>
          </w:tcPr>
          <w:p w14:paraId="6BD41781" w14:textId="77777777" w:rsidR="00800D68" w:rsidRPr="00AA4037" w:rsidRDefault="00800D68" w:rsidP="00E860E8">
            <w:pPr>
              <w:pStyle w:val="CETBodytext"/>
              <w:ind w:right="-1"/>
              <w:rPr>
                <w:lang w:val="en-GB"/>
              </w:rPr>
            </w:pPr>
            <w:r w:rsidRPr="00AA4037">
              <w:rPr>
                <w:lang w:val="en-GB"/>
              </w:rPr>
              <w:t>47</w:t>
            </w:r>
          </w:p>
        </w:tc>
        <w:tc>
          <w:tcPr>
            <w:tcW w:w="2825" w:type="dxa"/>
            <w:shd w:val="clear" w:color="auto" w:fill="FFFFFF"/>
          </w:tcPr>
          <w:p w14:paraId="4296917F" w14:textId="77777777" w:rsidR="00800D68" w:rsidRPr="00AA4037" w:rsidRDefault="00800D68" w:rsidP="00E860E8">
            <w:pPr>
              <w:pStyle w:val="CETBodytext"/>
              <w:ind w:right="-1"/>
              <w:rPr>
                <w:lang w:val="en-GB"/>
              </w:rPr>
            </w:pPr>
            <w:r w:rsidRPr="00AA4037">
              <w:rPr>
                <w:lang w:val="en-GB"/>
              </w:rPr>
              <w:t>321.5</w:t>
            </w:r>
          </w:p>
        </w:tc>
        <w:tc>
          <w:tcPr>
            <w:tcW w:w="2825" w:type="dxa"/>
            <w:shd w:val="clear" w:color="auto" w:fill="FFFFFF"/>
          </w:tcPr>
          <w:p w14:paraId="255882B1" w14:textId="77777777" w:rsidR="00800D68" w:rsidRPr="00AA4037" w:rsidRDefault="00800D68" w:rsidP="00E860E8">
            <w:pPr>
              <w:pStyle w:val="CETBodytext"/>
              <w:ind w:right="-1"/>
              <w:rPr>
                <w:lang w:val="en-GB"/>
              </w:rPr>
            </w:pPr>
            <w:r w:rsidRPr="00AA4037">
              <w:rPr>
                <w:lang w:val="en-GB"/>
              </w:rPr>
              <w:t>47.7</w:t>
            </w:r>
          </w:p>
        </w:tc>
      </w:tr>
      <w:tr w:rsidR="00800D68" w:rsidRPr="00AA4037" w14:paraId="3FC10DCB" w14:textId="77777777" w:rsidTr="003E5C42">
        <w:trPr>
          <w:trHeight w:val="173"/>
        </w:trPr>
        <w:tc>
          <w:tcPr>
            <w:tcW w:w="2825" w:type="dxa"/>
            <w:shd w:val="clear" w:color="auto" w:fill="FFFFFF"/>
          </w:tcPr>
          <w:p w14:paraId="73558B17" w14:textId="77777777" w:rsidR="00800D68" w:rsidRPr="00AA4037" w:rsidRDefault="00800D68" w:rsidP="00E860E8">
            <w:pPr>
              <w:pStyle w:val="CETBodytext"/>
              <w:ind w:right="-1"/>
              <w:rPr>
                <w:lang w:val="en-GB"/>
              </w:rPr>
            </w:pPr>
            <w:r w:rsidRPr="00AA4037">
              <w:rPr>
                <w:lang w:val="en-GB"/>
              </w:rPr>
              <w:t>50</w:t>
            </w:r>
          </w:p>
        </w:tc>
        <w:tc>
          <w:tcPr>
            <w:tcW w:w="2825" w:type="dxa"/>
            <w:shd w:val="clear" w:color="auto" w:fill="FFFFFF"/>
          </w:tcPr>
          <w:p w14:paraId="33C5F53B" w14:textId="77777777" w:rsidR="00800D68" w:rsidRPr="00AA4037" w:rsidRDefault="00800D68" w:rsidP="00E860E8">
            <w:pPr>
              <w:pStyle w:val="CETBodytext"/>
              <w:ind w:right="-1"/>
              <w:rPr>
                <w:lang w:val="en-GB"/>
              </w:rPr>
            </w:pPr>
            <w:r w:rsidRPr="00AA4037">
              <w:rPr>
                <w:lang w:val="en-GB"/>
              </w:rPr>
              <w:t>213.2</w:t>
            </w:r>
          </w:p>
        </w:tc>
        <w:tc>
          <w:tcPr>
            <w:tcW w:w="2825" w:type="dxa"/>
            <w:shd w:val="clear" w:color="auto" w:fill="FFFFFF"/>
          </w:tcPr>
          <w:p w14:paraId="4C5DA649" w14:textId="77777777" w:rsidR="00800D68" w:rsidRPr="00AA4037" w:rsidRDefault="00800D68" w:rsidP="00E860E8">
            <w:pPr>
              <w:pStyle w:val="CETBodytext"/>
              <w:ind w:right="-1"/>
              <w:rPr>
                <w:lang w:val="en-GB"/>
              </w:rPr>
            </w:pPr>
            <w:r w:rsidRPr="00AA4037">
              <w:rPr>
                <w:lang w:val="en-GB"/>
              </w:rPr>
              <w:t>51</w:t>
            </w:r>
          </w:p>
        </w:tc>
      </w:tr>
      <w:tr w:rsidR="00800D68" w:rsidRPr="00AA4037" w14:paraId="10AF96C8" w14:textId="77777777" w:rsidTr="003E5C42">
        <w:trPr>
          <w:trHeight w:val="173"/>
        </w:trPr>
        <w:tc>
          <w:tcPr>
            <w:tcW w:w="2825" w:type="dxa"/>
            <w:shd w:val="clear" w:color="auto" w:fill="FFFFFF"/>
          </w:tcPr>
          <w:p w14:paraId="6C3B0554" w14:textId="77777777" w:rsidR="00800D68" w:rsidRPr="00AA4037" w:rsidRDefault="00800D68" w:rsidP="00E860E8">
            <w:pPr>
              <w:pStyle w:val="CETBodytext"/>
              <w:ind w:right="-1"/>
              <w:rPr>
                <w:rFonts w:cs="Arial"/>
                <w:szCs w:val="18"/>
                <w:lang w:val="en-GB"/>
              </w:rPr>
            </w:pPr>
            <w:r w:rsidRPr="00AA4037">
              <w:rPr>
                <w:rFonts w:cs="Arial"/>
                <w:szCs w:val="18"/>
                <w:lang w:val="en-GB"/>
              </w:rPr>
              <w:t>72.3</w:t>
            </w:r>
          </w:p>
        </w:tc>
        <w:tc>
          <w:tcPr>
            <w:tcW w:w="2825" w:type="dxa"/>
            <w:shd w:val="clear" w:color="auto" w:fill="FFFFFF"/>
          </w:tcPr>
          <w:p w14:paraId="2F484687" w14:textId="77777777" w:rsidR="00800D68" w:rsidRPr="00AA4037" w:rsidRDefault="00800D68" w:rsidP="00E860E8">
            <w:pPr>
              <w:pStyle w:val="CETBodytext"/>
              <w:ind w:right="-1"/>
              <w:rPr>
                <w:rFonts w:cs="Arial"/>
                <w:szCs w:val="18"/>
                <w:lang w:val="en-GB"/>
              </w:rPr>
            </w:pPr>
            <w:r w:rsidRPr="00AA4037">
              <w:rPr>
                <w:rFonts w:cs="Arial"/>
                <w:szCs w:val="18"/>
                <w:lang w:val="en-GB"/>
              </w:rPr>
              <w:t>24</w:t>
            </w:r>
          </w:p>
        </w:tc>
        <w:tc>
          <w:tcPr>
            <w:tcW w:w="2825" w:type="dxa"/>
            <w:shd w:val="clear" w:color="auto" w:fill="FFFFFF"/>
          </w:tcPr>
          <w:p w14:paraId="02C668D0" w14:textId="4A068B79" w:rsidR="00800D68" w:rsidRPr="00AA4037" w:rsidRDefault="00800D68" w:rsidP="00E860E8">
            <w:pPr>
              <w:pStyle w:val="CETBodytext"/>
              <w:ind w:right="-1"/>
              <w:rPr>
                <w:rFonts w:cs="Arial"/>
                <w:szCs w:val="18"/>
                <w:lang w:val="en-GB"/>
              </w:rPr>
            </w:pPr>
          </w:p>
        </w:tc>
      </w:tr>
    </w:tbl>
    <w:p w14:paraId="3B38385F" w14:textId="7D6D5977" w:rsidR="00800D68" w:rsidRPr="00AA4037" w:rsidRDefault="00800D68" w:rsidP="00800D68">
      <w:pPr>
        <w:pStyle w:val="CETBodytext"/>
        <w:spacing w:before="240"/>
        <w:rPr>
          <w:lang w:val="en-GB"/>
        </w:rPr>
      </w:pPr>
      <w:r w:rsidRPr="00AA4037">
        <w:rPr>
          <w:lang w:val="en-GB"/>
        </w:rPr>
        <w:t xml:space="preserve">Referring to Table 3, it is possible to observe that, at 35 °C, TMR exceeds 1280 h, and the predicted temperature after 24 h under adiabatic conditions is only 35.2 °C; at 45 °C, TMR is about 400 h, with a predicted temperature after 24 h of 45.5 °C under adiabatic conditions; TD24, that is the temperature at which the </w:t>
      </w:r>
      <w:r w:rsidR="00D53ED1">
        <w:rPr>
          <w:lang w:val="en-GB"/>
        </w:rPr>
        <w:t xml:space="preserve">expected </w:t>
      </w:r>
      <w:r w:rsidRPr="00AA4037">
        <w:rPr>
          <w:lang w:val="en-GB"/>
        </w:rPr>
        <w:t>time to thermal runaway is 24 h, is 72.3 °C.</w:t>
      </w:r>
    </w:p>
    <w:p w14:paraId="255B8586" w14:textId="4F3EFDD2" w:rsidR="00C40542" w:rsidRPr="00AA4037" w:rsidRDefault="00E74D09" w:rsidP="005D5578">
      <w:pPr>
        <w:pStyle w:val="CETBodytext"/>
        <w:rPr>
          <w:lang w:val="en-GB"/>
        </w:rPr>
      </w:pPr>
      <w:r w:rsidRPr="00AA4037">
        <w:rPr>
          <w:lang w:val="en-GB"/>
        </w:rPr>
        <w:t xml:space="preserve">These TMR values indicate that, in the absence of additional heat sources, the compound should be thermally stable for several days at 45 °C. However, in a non-static industrial dryer, mechanical friction, local overheating, enhanced heat transfer and the presence of residual moisture can generate hot spots where the epoxide ring </w:t>
      </w:r>
      <w:r w:rsidRPr="00AA4037">
        <w:rPr>
          <w:lang w:val="en-GB"/>
        </w:rPr>
        <w:lastRenderedPageBreak/>
        <w:t xml:space="preserve">opening reaction is locally accelerated. Once initiated, the exothermic epoxide reaction can raise the temperature enough to trigger secondary decomposition, leading to a </w:t>
      </w:r>
      <w:r w:rsidR="00D53ED1">
        <w:rPr>
          <w:lang w:val="en-GB"/>
        </w:rPr>
        <w:t xml:space="preserve">thermal </w:t>
      </w:r>
      <w:r w:rsidRPr="00AA4037">
        <w:rPr>
          <w:lang w:val="en-GB"/>
        </w:rPr>
        <w:t>runaway scenario.</w:t>
      </w:r>
    </w:p>
    <w:p w14:paraId="2F244F2D" w14:textId="08F6A8EC" w:rsidR="005D5578" w:rsidRPr="00AA4037" w:rsidRDefault="00F643E5" w:rsidP="00600535">
      <w:pPr>
        <w:pStyle w:val="CETHeading1"/>
        <w:rPr>
          <w:lang w:val="en-GB"/>
        </w:rPr>
      </w:pPr>
      <w:r w:rsidRPr="00AA4037">
        <w:rPr>
          <w:lang w:val="en-GB"/>
        </w:rPr>
        <w:t>Proposal of a general safety protocol for drying</w:t>
      </w:r>
    </w:p>
    <w:p w14:paraId="02396A68" w14:textId="22803BA9" w:rsidR="00186227" w:rsidRPr="00AA4037" w:rsidRDefault="00186227" w:rsidP="00186227">
      <w:pPr>
        <w:pStyle w:val="CETBodytext"/>
        <w:rPr>
          <w:lang w:val="en-GB"/>
        </w:rPr>
      </w:pPr>
      <w:r w:rsidRPr="00AA4037">
        <w:rPr>
          <w:lang w:val="en-GB"/>
        </w:rPr>
        <w:t>Based on the present case study, a general methodology for the safe drying of reactive solids can be proposed. All steps can be summarised in the following procedure:</w:t>
      </w:r>
    </w:p>
    <w:p w14:paraId="08FA2528" w14:textId="3FC662BE" w:rsidR="00D53ED1" w:rsidRDefault="00186227" w:rsidP="00186227">
      <w:pPr>
        <w:pStyle w:val="CETBodytext"/>
        <w:numPr>
          <w:ilvl w:val="0"/>
          <w:numId w:val="24"/>
        </w:numPr>
        <w:rPr>
          <w:lang w:val="en-GB"/>
        </w:rPr>
      </w:pPr>
      <w:r w:rsidRPr="00AA4037">
        <w:rPr>
          <w:lang w:val="en-GB"/>
        </w:rPr>
        <w:t>Thermal screening</w:t>
      </w:r>
      <w:r w:rsidR="00BD7140">
        <w:rPr>
          <w:lang w:val="en-GB"/>
        </w:rPr>
        <w:t>.</w:t>
      </w:r>
    </w:p>
    <w:p w14:paraId="55744925" w14:textId="2B5777D8" w:rsidR="00075847" w:rsidRPr="00AA4037" w:rsidRDefault="00186227" w:rsidP="00D53ED1">
      <w:pPr>
        <w:pStyle w:val="CETBodytext"/>
        <w:ind w:left="720"/>
        <w:rPr>
          <w:lang w:val="en-GB"/>
        </w:rPr>
      </w:pPr>
      <w:r w:rsidRPr="00AA4037">
        <w:rPr>
          <w:lang w:val="en-GB"/>
        </w:rPr>
        <w:t xml:space="preserve">Perform DSC at multiple heating rates </w:t>
      </w:r>
      <w:r w:rsidR="00DA1364">
        <w:rPr>
          <w:lang w:val="en-GB"/>
        </w:rPr>
        <w:t xml:space="preserve">(e.g. 2, 5, 10 °C/min) </w:t>
      </w:r>
      <w:r w:rsidRPr="00AA4037">
        <w:rPr>
          <w:lang w:val="en-GB"/>
        </w:rPr>
        <w:t>to identify low-temperature exothermic events and quantify reaction enthalpies</w:t>
      </w:r>
      <w:r w:rsidR="00075847" w:rsidRPr="00AA4037">
        <w:rPr>
          <w:lang w:val="en-GB"/>
        </w:rPr>
        <w:t>.</w:t>
      </w:r>
    </w:p>
    <w:p w14:paraId="11DC6C37" w14:textId="38C6E97E" w:rsidR="00DA1364" w:rsidRDefault="00186227" w:rsidP="00186227">
      <w:pPr>
        <w:pStyle w:val="CETBodytext"/>
        <w:numPr>
          <w:ilvl w:val="0"/>
          <w:numId w:val="24"/>
        </w:numPr>
        <w:rPr>
          <w:lang w:val="en-GB"/>
        </w:rPr>
      </w:pPr>
      <w:r w:rsidRPr="00AA4037">
        <w:rPr>
          <w:lang w:val="en-GB"/>
        </w:rPr>
        <w:t>Decomposition discrimination</w:t>
      </w:r>
      <w:r w:rsidR="00BD7140">
        <w:rPr>
          <w:lang w:val="en-GB"/>
        </w:rPr>
        <w:t>.</w:t>
      </w:r>
    </w:p>
    <w:p w14:paraId="0DAF46D7" w14:textId="69F01652" w:rsidR="00186227" w:rsidRPr="00AA4037" w:rsidRDefault="00186227" w:rsidP="00DA1364">
      <w:pPr>
        <w:pStyle w:val="CETBodytext"/>
        <w:ind w:left="720"/>
        <w:rPr>
          <w:lang w:val="en-GB"/>
        </w:rPr>
      </w:pPr>
      <w:r w:rsidRPr="00AA4037">
        <w:rPr>
          <w:lang w:val="en-GB"/>
        </w:rPr>
        <w:t xml:space="preserve">Use TG-DSC to distinguish between chemical </w:t>
      </w:r>
      <w:r w:rsidR="00DA1364">
        <w:rPr>
          <w:lang w:val="en-GB"/>
        </w:rPr>
        <w:t>reactions</w:t>
      </w:r>
      <w:r w:rsidRPr="00AA4037">
        <w:rPr>
          <w:lang w:val="en-GB"/>
        </w:rPr>
        <w:t xml:space="preserve"> without mass loss (e.g. functional group reactions) and true decomposition.</w:t>
      </w:r>
    </w:p>
    <w:p w14:paraId="09C4464C" w14:textId="41F851C7" w:rsidR="00BD7140" w:rsidRDefault="00186227" w:rsidP="00186227">
      <w:pPr>
        <w:pStyle w:val="CETBodytext"/>
        <w:numPr>
          <w:ilvl w:val="0"/>
          <w:numId w:val="24"/>
        </w:numPr>
        <w:rPr>
          <w:lang w:val="en-GB"/>
        </w:rPr>
      </w:pPr>
      <w:r w:rsidRPr="00AA4037">
        <w:rPr>
          <w:lang w:val="en-GB"/>
        </w:rPr>
        <w:t>Kinetic evaluation</w:t>
      </w:r>
      <w:r w:rsidR="00BD7140">
        <w:rPr>
          <w:lang w:val="en-GB"/>
        </w:rPr>
        <w:t>.</w:t>
      </w:r>
    </w:p>
    <w:p w14:paraId="26A73065" w14:textId="3A95394E" w:rsidR="00075847" w:rsidRPr="00AA4037" w:rsidRDefault="00186227" w:rsidP="00BD7140">
      <w:pPr>
        <w:pStyle w:val="CETBodytext"/>
        <w:ind w:left="720"/>
        <w:rPr>
          <w:lang w:val="en-GB"/>
        </w:rPr>
      </w:pPr>
      <w:r w:rsidRPr="00AA4037">
        <w:rPr>
          <w:lang w:val="en-GB"/>
        </w:rPr>
        <w:t>Fit DSC data to suitable kinetic models and calculate TMR as a function of temperature.</w:t>
      </w:r>
    </w:p>
    <w:p w14:paraId="5CD96ACA" w14:textId="77777777" w:rsidR="00BD7140" w:rsidRDefault="00186227" w:rsidP="005B481B">
      <w:pPr>
        <w:pStyle w:val="CETBodytext"/>
        <w:numPr>
          <w:ilvl w:val="0"/>
          <w:numId w:val="24"/>
        </w:numPr>
        <w:rPr>
          <w:lang w:val="en-GB"/>
        </w:rPr>
      </w:pPr>
      <w:r w:rsidRPr="00AA4037">
        <w:rPr>
          <w:lang w:val="en-GB"/>
        </w:rPr>
        <w:t>Definition of safe drying window</w:t>
      </w:r>
      <w:r w:rsidR="00075847" w:rsidRPr="00AA4037">
        <w:rPr>
          <w:lang w:val="en-GB"/>
        </w:rPr>
        <w:t xml:space="preserve">. </w:t>
      </w:r>
    </w:p>
    <w:p w14:paraId="376CA379" w14:textId="08C832EC" w:rsidR="00490750" w:rsidRPr="00AA4037" w:rsidRDefault="00186227" w:rsidP="00BD7140">
      <w:pPr>
        <w:pStyle w:val="CETBodytext"/>
        <w:ind w:left="720"/>
        <w:rPr>
          <w:lang w:val="en-GB"/>
        </w:rPr>
      </w:pPr>
      <w:r w:rsidRPr="00AA4037">
        <w:rPr>
          <w:lang w:val="en-GB"/>
        </w:rPr>
        <w:t xml:space="preserve">Select drying temperatures </w:t>
      </w:r>
      <w:r w:rsidR="00D04EF8">
        <w:rPr>
          <w:lang w:val="en-GB"/>
        </w:rPr>
        <w:t>(</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dry</m:t>
            </m:r>
          </m:sub>
        </m:sSub>
      </m:oMath>
      <w:r w:rsidR="00D04EF8">
        <w:rPr>
          <w:lang w:val="en-GB"/>
        </w:rPr>
        <w:t xml:space="preserve">) </w:t>
      </w:r>
      <w:r w:rsidRPr="00AA4037">
        <w:rPr>
          <w:lang w:val="en-GB"/>
        </w:rPr>
        <w:t>such that</w:t>
      </w:r>
      <w:r w:rsidR="00490750" w:rsidRPr="00AA4037">
        <w:rPr>
          <w:lang w:val="en-GB"/>
        </w:rPr>
        <w:t>:</w:t>
      </w:r>
    </w:p>
    <w:p w14:paraId="61F30911" w14:textId="50753A08" w:rsidR="00490750" w:rsidRPr="00AA4037" w:rsidRDefault="00000000" w:rsidP="00490750">
      <w:pPr>
        <w:pStyle w:val="CETBodytext"/>
        <w:ind w:left="720"/>
        <w:rPr>
          <w:lang w:val="en-GB"/>
        </w:rPr>
      </w:pPr>
      <m:oMathPara>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dry</m:t>
              </m:r>
            </m:sub>
          </m:sSub>
          <m:r>
            <w:rPr>
              <w:rFonts w:ascii="Cambria Math" w:hAnsi="Cambria Math"/>
              <w:lang w:val="en-GB"/>
            </w:rPr>
            <m:t>≤TD24-toll</m:t>
          </m:r>
        </m:oMath>
      </m:oMathPara>
    </w:p>
    <w:p w14:paraId="3CFD1D5D" w14:textId="043C05FA" w:rsidR="00490750" w:rsidRPr="00AA4037" w:rsidRDefault="00D04EF8" w:rsidP="00490750">
      <w:pPr>
        <w:pStyle w:val="CETBodytext"/>
        <w:ind w:left="720"/>
        <w:rPr>
          <w:lang w:val="en-GB"/>
        </w:rPr>
      </w:pPr>
      <w:r>
        <w:rPr>
          <w:lang w:val="en-GB"/>
        </w:rPr>
        <w:t xml:space="preserve">(where </w:t>
      </w:r>
      <w:r w:rsidRPr="00D04EF8">
        <w:rPr>
          <w:i/>
          <w:iCs/>
          <w:lang w:val="en-GB"/>
        </w:rPr>
        <w:t>toll</w:t>
      </w:r>
      <w:r>
        <w:rPr>
          <w:lang w:val="en-GB"/>
        </w:rPr>
        <w:t xml:space="preserve"> can be equal to, e.g., 20 °C) </w:t>
      </w:r>
      <w:r w:rsidR="00186227" w:rsidRPr="00AA4037">
        <w:rPr>
          <w:lang w:val="en-GB"/>
        </w:rPr>
        <w:t>and ensure that the actual residence time is much shorter than the corresponding TMR.</w:t>
      </w:r>
    </w:p>
    <w:p w14:paraId="4C9501D3" w14:textId="77777777" w:rsidR="00D04EF8" w:rsidRDefault="00186227" w:rsidP="00213A39">
      <w:pPr>
        <w:pStyle w:val="CETBodytext"/>
        <w:numPr>
          <w:ilvl w:val="0"/>
          <w:numId w:val="24"/>
        </w:numPr>
        <w:rPr>
          <w:lang w:val="en-GB"/>
        </w:rPr>
      </w:pPr>
      <w:r w:rsidRPr="00AA4037">
        <w:rPr>
          <w:lang w:val="en-GB"/>
        </w:rPr>
        <w:t>Equipment selection</w:t>
      </w:r>
      <w:r w:rsidR="00490750" w:rsidRPr="00AA4037">
        <w:rPr>
          <w:lang w:val="en-GB"/>
        </w:rPr>
        <w:t xml:space="preserve">. </w:t>
      </w:r>
    </w:p>
    <w:p w14:paraId="697D7FB4" w14:textId="0DBDFCB9" w:rsidR="00186227" w:rsidRPr="00AA4037" w:rsidRDefault="00186227" w:rsidP="00D04EF8">
      <w:pPr>
        <w:pStyle w:val="CETBodytext"/>
        <w:ind w:left="720"/>
        <w:rPr>
          <w:lang w:val="en-GB"/>
        </w:rPr>
      </w:pPr>
      <w:r w:rsidRPr="00AA4037">
        <w:rPr>
          <w:lang w:val="en-GB"/>
        </w:rPr>
        <w:t xml:space="preserve">Prefer static or low-shear dryers for highly reactive </w:t>
      </w:r>
      <w:r w:rsidR="00490750" w:rsidRPr="00AA4037">
        <w:rPr>
          <w:lang w:val="en-GB"/>
        </w:rPr>
        <w:t>solids and</w:t>
      </w:r>
      <w:r w:rsidRPr="00AA4037">
        <w:rPr>
          <w:lang w:val="en-GB"/>
        </w:rPr>
        <w:t xml:space="preserve"> avoid unnecessary mechanical activation in the presence of moisture.</w:t>
      </w:r>
    </w:p>
    <w:p w14:paraId="18337045" w14:textId="4C1A239E" w:rsidR="00F643E5" w:rsidRPr="00AA4037" w:rsidRDefault="00D04EF8" w:rsidP="00186227">
      <w:pPr>
        <w:pStyle w:val="CETBodytext"/>
        <w:rPr>
          <w:lang w:val="en-GB"/>
        </w:rPr>
      </w:pPr>
      <w:r>
        <w:rPr>
          <w:lang w:val="en-GB"/>
        </w:rPr>
        <w:t>According to t</w:t>
      </w:r>
      <w:r w:rsidR="00186227" w:rsidRPr="00AA4037">
        <w:rPr>
          <w:lang w:val="en-GB"/>
        </w:rPr>
        <w:t>his protocol</w:t>
      </w:r>
      <w:r>
        <w:rPr>
          <w:lang w:val="en-GB"/>
        </w:rPr>
        <w:t>,</w:t>
      </w:r>
      <w:r w:rsidR="00186227" w:rsidRPr="00AA4037">
        <w:rPr>
          <w:lang w:val="en-GB"/>
        </w:rPr>
        <w:t xml:space="preserve"> drying </w:t>
      </w:r>
      <w:r w:rsidR="00140C1E">
        <w:rPr>
          <w:lang w:val="en-GB"/>
        </w:rPr>
        <w:t xml:space="preserve">changed </w:t>
      </w:r>
      <w:r w:rsidR="00186227" w:rsidRPr="00AA4037">
        <w:rPr>
          <w:lang w:val="en-GB"/>
        </w:rPr>
        <w:t>from an empirically defined operation into a quantitatively designed, safety-based process</w:t>
      </w:r>
      <w:r w:rsidR="00B874ED">
        <w:rPr>
          <w:lang w:val="en-GB"/>
        </w:rPr>
        <w:t>, where thermos-kinetic tests are necessary to properly characterised the system</w:t>
      </w:r>
      <w:r w:rsidR="00186227" w:rsidRPr="00AA4037">
        <w:rPr>
          <w:lang w:val="en-GB"/>
        </w:rPr>
        <w:t>.</w:t>
      </w:r>
    </w:p>
    <w:p w14:paraId="68D26B83" w14:textId="17FF1062" w:rsidR="00600535" w:rsidRPr="00AA4037" w:rsidRDefault="00600535" w:rsidP="00600535">
      <w:pPr>
        <w:pStyle w:val="CETHeading1"/>
        <w:rPr>
          <w:lang w:val="en-GB"/>
        </w:rPr>
      </w:pPr>
      <w:r w:rsidRPr="00AA4037">
        <w:rPr>
          <w:lang w:val="en-GB"/>
        </w:rPr>
        <w:t>Conclusions</w:t>
      </w:r>
    </w:p>
    <w:p w14:paraId="3F4CB6E3" w14:textId="452C8B0A" w:rsidR="00185CFA" w:rsidRPr="00AA4037" w:rsidRDefault="00185CFA" w:rsidP="00185CFA">
      <w:pPr>
        <w:pStyle w:val="CETBodytext"/>
        <w:rPr>
          <w:lang w:val="en-GB"/>
        </w:rPr>
      </w:pPr>
      <w:r w:rsidRPr="00AA4037">
        <w:rPr>
          <w:lang w:val="en-GB"/>
        </w:rPr>
        <w:t xml:space="preserve">The investigated industrial </w:t>
      </w:r>
      <w:r w:rsidR="00716F95">
        <w:rPr>
          <w:lang w:val="en-GB"/>
        </w:rPr>
        <w:t>ac</w:t>
      </w:r>
      <w:r w:rsidRPr="00AA4037">
        <w:rPr>
          <w:lang w:val="en-GB"/>
        </w:rPr>
        <w:t>cident demonstrates that epoxide-containing powders may undergo dangerous exothermic reactions during drying, even at moderate temperatures. Thermo-analytical and kinetic evidence shows that the opening of the epoxide ring produces significant heat without mass loss, which can initiate secondary decomposition reactions.</w:t>
      </w:r>
    </w:p>
    <w:p w14:paraId="11E53468" w14:textId="4DC8A3D2" w:rsidR="00185CFA" w:rsidRPr="00AA4037" w:rsidRDefault="00185CFA" w:rsidP="00185CFA">
      <w:pPr>
        <w:pStyle w:val="CETBodytext"/>
        <w:rPr>
          <w:lang w:val="en-GB"/>
        </w:rPr>
      </w:pPr>
      <w:r w:rsidRPr="00AA4037">
        <w:rPr>
          <w:lang w:val="en-GB"/>
        </w:rPr>
        <w:t xml:space="preserve">The comparison with the non-epoxidized analogue confirms that the epoxide functional group is the key determinant of the observed thermal instability. Although the compound is nominally stable for many hours at 45 °C, mechanical and thermal heterogeneities in a non-static dryer can locally accelerate the reaction and lead to </w:t>
      </w:r>
      <w:r w:rsidR="00716F95">
        <w:rPr>
          <w:lang w:val="en-GB"/>
        </w:rPr>
        <w:t xml:space="preserve">a thermal </w:t>
      </w:r>
      <w:r w:rsidRPr="00AA4037">
        <w:rPr>
          <w:lang w:val="en-GB"/>
        </w:rPr>
        <w:t>runaway.</w:t>
      </w:r>
    </w:p>
    <w:p w14:paraId="52DAFDE0" w14:textId="35EF2146" w:rsidR="001D0CFB" w:rsidRPr="00AA4037" w:rsidRDefault="00185CFA" w:rsidP="00185CFA">
      <w:pPr>
        <w:pStyle w:val="CETBodytext"/>
        <w:rPr>
          <w:lang w:val="en-GB"/>
        </w:rPr>
      </w:pPr>
      <w:r w:rsidRPr="00AA4037">
        <w:rPr>
          <w:lang w:val="en-GB"/>
        </w:rPr>
        <w:t>The combined use of DSC, TG-DSC and kinetic modelling provides a powerful framework for defining safe drying conditions and selecting appropriate dryer configurations. Drying of reactive solids must therefore be regarded as a chemically sensitive operation requiring the same level of safety analysis as any exothermic chemical reaction.</w:t>
      </w:r>
    </w:p>
    <w:p w14:paraId="4F1327F8" w14:textId="77777777" w:rsidR="00600535" w:rsidRPr="00AA4037" w:rsidRDefault="00600535" w:rsidP="00600535">
      <w:pPr>
        <w:pStyle w:val="CETReference"/>
      </w:pPr>
      <w:r w:rsidRPr="00AA4037">
        <w:t>References</w:t>
      </w:r>
    </w:p>
    <w:p w14:paraId="0AFA0C90" w14:textId="0F15C411" w:rsidR="00053424" w:rsidRPr="00AA4037" w:rsidRDefault="005E37D1" w:rsidP="008B5107">
      <w:pPr>
        <w:pStyle w:val="CETReferencetext"/>
      </w:pPr>
      <w:r w:rsidRPr="00AA4037">
        <w:t xml:space="preserve">Allian </w:t>
      </w:r>
      <w:r w:rsidR="004154A5" w:rsidRPr="00AA4037">
        <w:t>A</w:t>
      </w:r>
      <w:r w:rsidRPr="00AA4037">
        <w:t>.</w:t>
      </w:r>
      <w:r w:rsidR="004154A5" w:rsidRPr="00AA4037">
        <w:t>D.</w:t>
      </w:r>
      <w:r w:rsidRPr="00AA4037">
        <w:t xml:space="preserve">, Manjrekar O., </w:t>
      </w:r>
      <w:r w:rsidR="008B5107" w:rsidRPr="00AA4037">
        <w:t xml:space="preserve">Shah N.P., Toth M.J., Xia H., </w:t>
      </w:r>
      <w:r w:rsidR="007812B5" w:rsidRPr="00AA4037">
        <w:t>2025, Process Safety in the Pharmaceutical Industry</w:t>
      </w:r>
      <w:r w:rsidR="002E4392" w:rsidRPr="00AA4037">
        <w:t xml:space="preserve"> </w:t>
      </w:r>
      <w:r w:rsidR="007812B5" w:rsidRPr="00AA4037">
        <w:t>─</w:t>
      </w:r>
      <w:r w:rsidR="002E4392" w:rsidRPr="00AA4037">
        <w:t xml:space="preserve"> </w:t>
      </w:r>
      <w:r w:rsidR="007812B5" w:rsidRPr="00AA4037">
        <w:t xml:space="preserve">Part III: Dust Hazard Evaluation, </w:t>
      </w:r>
      <w:r w:rsidR="00D25592" w:rsidRPr="00AA4037">
        <w:t xml:space="preserve">Organic Process Research &amp; Development, 29(11), </w:t>
      </w:r>
      <w:r w:rsidR="008E5F48" w:rsidRPr="00AA4037">
        <w:t>1083-6160.</w:t>
      </w:r>
    </w:p>
    <w:p w14:paraId="5FA8F5B5" w14:textId="6278857E" w:rsidR="008E5F48" w:rsidRPr="00AA4037" w:rsidRDefault="00633E6C" w:rsidP="00F64DF4">
      <w:pPr>
        <w:pStyle w:val="CETReferencetext"/>
      </w:pPr>
      <w:proofErr w:type="spellStart"/>
      <w:r w:rsidRPr="00AA4037">
        <w:t>Pasturenzi</w:t>
      </w:r>
      <w:proofErr w:type="spellEnd"/>
      <w:r w:rsidRPr="00AA4037">
        <w:t xml:space="preserve"> C., Dellavedova M., Gigante L., Lunghi A., Canavese M., Cattaneo C.S., Copelli S.</w:t>
      </w:r>
      <w:r w:rsidR="00F64DF4" w:rsidRPr="00AA4037">
        <w:t xml:space="preserve">, 2014, Thermochemical stability: A comparison between experimental and predicted data, Journal of Loss Prevention in the Process Industries, 28, </w:t>
      </w:r>
      <w:r w:rsidR="00410DE6" w:rsidRPr="00AA4037">
        <w:t>79-91</w:t>
      </w:r>
      <w:r w:rsidR="00F64DF4" w:rsidRPr="00AA4037">
        <w:t>.</w:t>
      </w:r>
    </w:p>
    <w:p w14:paraId="3CE1F0D4" w14:textId="25325E6F" w:rsidR="00053424" w:rsidRPr="00AA4037" w:rsidRDefault="00005549" w:rsidP="00E65B91">
      <w:pPr>
        <w:pStyle w:val="CETReferencetext"/>
      </w:pPr>
      <w:r w:rsidRPr="00AA4037">
        <w:t xml:space="preserve">Henry L.F., 2013, </w:t>
      </w:r>
      <w:r w:rsidR="00301E43" w:rsidRPr="00AA4037">
        <w:t xml:space="preserve">Processes for Drying Powders – Hazards and Solutions, Chemical Engineering Transactions, 31, </w:t>
      </w:r>
      <w:r w:rsidR="00296109" w:rsidRPr="00AA4037">
        <w:t>709-714.</w:t>
      </w:r>
    </w:p>
    <w:p w14:paraId="58C198FA" w14:textId="732358A1" w:rsidR="005570AA" w:rsidRPr="00AA4037" w:rsidRDefault="00000000" w:rsidP="00E65B91">
      <w:pPr>
        <w:pStyle w:val="CETReferencetext"/>
      </w:pPr>
      <w:hyperlink r:id="rId14" w:history="1">
        <w:r w:rsidR="005570AA" w:rsidRPr="00AA4037">
          <w:rPr>
            <w:rStyle w:val="Collegamentoipertestuale"/>
          </w:rPr>
          <w:t>https://www.csb.gov/optima-belle-explosion-and-fire/</w:t>
        </w:r>
      </w:hyperlink>
      <w:r w:rsidR="005570AA" w:rsidRPr="00AA4037">
        <w:t>, 2020. Last accessed on 01/29/2026.</w:t>
      </w:r>
    </w:p>
    <w:p w14:paraId="35310787" w14:textId="0C4498B7" w:rsidR="00777C76" w:rsidRPr="00AA4037" w:rsidRDefault="00000000" w:rsidP="00E65B91">
      <w:pPr>
        <w:pStyle w:val="CETReferencetext"/>
      </w:pPr>
      <w:hyperlink r:id="rId15" w:history="1">
        <w:r w:rsidR="00777C76" w:rsidRPr="00AA4037">
          <w:rPr>
            <w:rStyle w:val="Collegamentoipertestuale"/>
          </w:rPr>
          <w:t>https://www.powderbulksolids.com/</w:t>
        </w:r>
      </w:hyperlink>
      <w:r w:rsidR="00777C76" w:rsidRPr="00AA4037">
        <w:t>, 2025. Last accessed on 01/29/2026.</w:t>
      </w:r>
    </w:p>
    <w:p w14:paraId="1E54C669" w14:textId="45766ED0" w:rsidR="00377FD7" w:rsidRPr="00AA4037" w:rsidRDefault="00377FD7" w:rsidP="00E65B91">
      <w:pPr>
        <w:pStyle w:val="CETReferencetext"/>
      </w:pPr>
      <w:r w:rsidRPr="00AA4037">
        <w:t>Markowski</w:t>
      </w:r>
      <w:r w:rsidR="00554E50" w:rsidRPr="00AA4037">
        <w:t xml:space="preserve"> </w:t>
      </w:r>
      <w:r w:rsidRPr="00AA4037">
        <w:t>A</w:t>
      </w:r>
      <w:r w:rsidR="00554E50" w:rsidRPr="00AA4037">
        <w:t xml:space="preserve">., </w:t>
      </w:r>
      <w:r w:rsidRPr="00AA4037">
        <w:t>Mujumdar A</w:t>
      </w:r>
      <w:r w:rsidR="00554E50" w:rsidRPr="00AA4037">
        <w:t>.,</w:t>
      </w:r>
      <w:r w:rsidRPr="00AA4037">
        <w:t xml:space="preserve"> 2006</w:t>
      </w:r>
      <w:r w:rsidR="00554E50" w:rsidRPr="00AA4037">
        <w:t>,</w:t>
      </w:r>
      <w:r w:rsidRPr="00AA4037">
        <w:t xml:space="preserve"> 48 Safety Aspects of Industrial Dryers. Handbook of Industrial Drying, Fourth Edition. </w:t>
      </w:r>
    </w:p>
    <w:p w14:paraId="2646406E" w14:textId="2CA0BA21" w:rsidR="009C0023" w:rsidRPr="00AA4037" w:rsidRDefault="00B50F1B" w:rsidP="00B50F1B">
      <w:pPr>
        <w:pStyle w:val="CETReferencetext"/>
      </w:pPr>
      <w:r w:rsidRPr="00AA4037">
        <w:t xml:space="preserve">Scotton M.S., Barozzi M., </w:t>
      </w:r>
      <w:proofErr w:type="spellStart"/>
      <w:r w:rsidRPr="00AA4037">
        <w:t>Derudi</w:t>
      </w:r>
      <w:proofErr w:type="spellEnd"/>
      <w:r w:rsidRPr="00AA4037">
        <w:t xml:space="preserve"> M., Rota R., Copelli S., 2020, Kinetic free mathematical model for the prediction of </w:t>
      </w:r>
      <w:proofErr w:type="spellStart"/>
      <w:r w:rsidRPr="00AA4037">
        <w:t>Kst</w:t>
      </w:r>
      <w:proofErr w:type="spellEnd"/>
      <w:r w:rsidRPr="00AA4037">
        <w:t xml:space="preserve"> values for organic dusts with arbitrary particle size distribution</w:t>
      </w:r>
      <w:r w:rsidR="00CC6E42" w:rsidRPr="00AA4037">
        <w:t xml:space="preserve">, </w:t>
      </w:r>
      <w:r w:rsidRPr="00AA4037">
        <w:t>Journal of Loss Prevention in the Process Industries, 67, 104218</w:t>
      </w:r>
      <w:r w:rsidR="00CC6E42" w:rsidRPr="00AA4037">
        <w:t>.</w:t>
      </w:r>
    </w:p>
    <w:sectPr w:rsidR="009C0023" w:rsidRPr="00AA4037"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B8D7" w14:textId="77777777" w:rsidR="00A85B26" w:rsidRDefault="00A85B26" w:rsidP="004F5E36">
      <w:r>
        <w:separator/>
      </w:r>
    </w:p>
  </w:endnote>
  <w:endnote w:type="continuationSeparator" w:id="0">
    <w:p w14:paraId="153C7E69" w14:textId="77777777" w:rsidR="00A85B26" w:rsidRDefault="00A85B2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1C4E" w14:textId="77777777" w:rsidR="00A85B26" w:rsidRDefault="00A85B26" w:rsidP="004F5E36">
      <w:r>
        <w:separator/>
      </w:r>
    </w:p>
  </w:footnote>
  <w:footnote w:type="continuationSeparator" w:id="0">
    <w:p w14:paraId="7FC71165" w14:textId="77777777" w:rsidR="00A85B26" w:rsidRDefault="00A85B2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E6713E1"/>
    <w:multiLevelType w:val="hybridMultilevel"/>
    <w:tmpl w:val="D2FA47E2"/>
    <w:lvl w:ilvl="0" w:tplc="225C82F8">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0D922D4"/>
    <w:multiLevelType w:val="hybridMultilevel"/>
    <w:tmpl w:val="BDD047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2"/>
  </w:num>
  <w:num w:numId="14" w16cid:durableId="145903400">
    <w:abstractNumId w:val="19"/>
  </w:num>
  <w:num w:numId="15" w16cid:durableId="19162326">
    <w:abstractNumId w:val="22"/>
  </w:num>
  <w:num w:numId="16" w16cid:durableId="1977102699">
    <w:abstractNumId w:val="21"/>
  </w:num>
  <w:num w:numId="17" w16cid:durableId="860774865">
    <w:abstractNumId w:val="11"/>
  </w:num>
  <w:num w:numId="18" w16cid:durableId="313221457">
    <w:abstractNumId w:val="12"/>
    <w:lvlOverride w:ilvl="0">
      <w:startOverride w:val="1"/>
    </w:lvlOverride>
  </w:num>
  <w:num w:numId="19" w16cid:durableId="534971577">
    <w:abstractNumId w:val="17"/>
  </w:num>
  <w:num w:numId="20" w16cid:durableId="1150947773">
    <w:abstractNumId w:val="16"/>
  </w:num>
  <w:num w:numId="21" w16cid:durableId="124660497">
    <w:abstractNumId w:val="14"/>
  </w:num>
  <w:num w:numId="22" w16cid:durableId="2099861471">
    <w:abstractNumId w:val="13"/>
  </w:num>
  <w:num w:numId="23" w16cid:durableId="141624543">
    <w:abstractNumId w:val="15"/>
  </w:num>
  <w:num w:numId="24" w16cid:durableId="510729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549"/>
    <w:rsid w:val="00005884"/>
    <w:rsid w:val="00005A19"/>
    <w:rsid w:val="000117CB"/>
    <w:rsid w:val="000300AC"/>
    <w:rsid w:val="0003148D"/>
    <w:rsid w:val="00031EEC"/>
    <w:rsid w:val="00037FE8"/>
    <w:rsid w:val="00047D38"/>
    <w:rsid w:val="00050052"/>
    <w:rsid w:val="0005147B"/>
    <w:rsid w:val="00051566"/>
    <w:rsid w:val="00053424"/>
    <w:rsid w:val="000562A9"/>
    <w:rsid w:val="00057E4D"/>
    <w:rsid w:val="00062A9A"/>
    <w:rsid w:val="00065058"/>
    <w:rsid w:val="00067E05"/>
    <w:rsid w:val="000752B0"/>
    <w:rsid w:val="00075847"/>
    <w:rsid w:val="00081F05"/>
    <w:rsid w:val="00082131"/>
    <w:rsid w:val="00086C39"/>
    <w:rsid w:val="000A03B2"/>
    <w:rsid w:val="000B6AC0"/>
    <w:rsid w:val="000D0268"/>
    <w:rsid w:val="000D34BE"/>
    <w:rsid w:val="000D479F"/>
    <w:rsid w:val="000E102F"/>
    <w:rsid w:val="000E36F1"/>
    <w:rsid w:val="000E3A73"/>
    <w:rsid w:val="000E414A"/>
    <w:rsid w:val="000E75FD"/>
    <w:rsid w:val="000F093C"/>
    <w:rsid w:val="000F4798"/>
    <w:rsid w:val="000F787B"/>
    <w:rsid w:val="00104AC6"/>
    <w:rsid w:val="0012091F"/>
    <w:rsid w:val="00124AAD"/>
    <w:rsid w:val="0012625C"/>
    <w:rsid w:val="00126BC2"/>
    <w:rsid w:val="001308B6"/>
    <w:rsid w:val="0013121F"/>
    <w:rsid w:val="00131FE6"/>
    <w:rsid w:val="0013263F"/>
    <w:rsid w:val="001331DF"/>
    <w:rsid w:val="00134DE4"/>
    <w:rsid w:val="0014034D"/>
    <w:rsid w:val="00140C1E"/>
    <w:rsid w:val="00140FE3"/>
    <w:rsid w:val="0014348A"/>
    <w:rsid w:val="001447B1"/>
    <w:rsid w:val="00144D16"/>
    <w:rsid w:val="00150E59"/>
    <w:rsid w:val="00152DE3"/>
    <w:rsid w:val="00164CF9"/>
    <w:rsid w:val="001667A6"/>
    <w:rsid w:val="00184AD6"/>
    <w:rsid w:val="00185CFA"/>
    <w:rsid w:val="00186227"/>
    <w:rsid w:val="001A4AF7"/>
    <w:rsid w:val="001B0349"/>
    <w:rsid w:val="001B1E93"/>
    <w:rsid w:val="001B61A7"/>
    <w:rsid w:val="001B65C1"/>
    <w:rsid w:val="001C2416"/>
    <w:rsid w:val="001C260F"/>
    <w:rsid w:val="001C33F1"/>
    <w:rsid w:val="001C408F"/>
    <w:rsid w:val="001C684B"/>
    <w:rsid w:val="001D0CFB"/>
    <w:rsid w:val="001D21AF"/>
    <w:rsid w:val="001D53FC"/>
    <w:rsid w:val="001D62B4"/>
    <w:rsid w:val="001D7068"/>
    <w:rsid w:val="001F42A5"/>
    <w:rsid w:val="001F7B9D"/>
    <w:rsid w:val="00201C93"/>
    <w:rsid w:val="00201EAC"/>
    <w:rsid w:val="00207881"/>
    <w:rsid w:val="00215E7C"/>
    <w:rsid w:val="002224B4"/>
    <w:rsid w:val="002236DD"/>
    <w:rsid w:val="00231197"/>
    <w:rsid w:val="0023361E"/>
    <w:rsid w:val="002364A4"/>
    <w:rsid w:val="002447EF"/>
    <w:rsid w:val="00251550"/>
    <w:rsid w:val="00263B05"/>
    <w:rsid w:val="002642CD"/>
    <w:rsid w:val="0027221A"/>
    <w:rsid w:val="00275B61"/>
    <w:rsid w:val="00280FAF"/>
    <w:rsid w:val="00282656"/>
    <w:rsid w:val="00291740"/>
    <w:rsid w:val="00296109"/>
    <w:rsid w:val="00296B83"/>
    <w:rsid w:val="002A3946"/>
    <w:rsid w:val="002B4015"/>
    <w:rsid w:val="002B6A6A"/>
    <w:rsid w:val="002B78CE"/>
    <w:rsid w:val="002C2C1A"/>
    <w:rsid w:val="002C2FB6"/>
    <w:rsid w:val="002D3913"/>
    <w:rsid w:val="002D71D3"/>
    <w:rsid w:val="002E4392"/>
    <w:rsid w:val="002E5FA7"/>
    <w:rsid w:val="002F3309"/>
    <w:rsid w:val="003008CE"/>
    <w:rsid w:val="003009B7"/>
    <w:rsid w:val="00300E56"/>
    <w:rsid w:val="0030152C"/>
    <w:rsid w:val="00301E43"/>
    <w:rsid w:val="0030469C"/>
    <w:rsid w:val="00316F3C"/>
    <w:rsid w:val="00321CA6"/>
    <w:rsid w:val="00323763"/>
    <w:rsid w:val="00323C5F"/>
    <w:rsid w:val="00334C09"/>
    <w:rsid w:val="00337256"/>
    <w:rsid w:val="00347086"/>
    <w:rsid w:val="003723D4"/>
    <w:rsid w:val="00377FD7"/>
    <w:rsid w:val="00381905"/>
    <w:rsid w:val="00384CC8"/>
    <w:rsid w:val="00385CD2"/>
    <w:rsid w:val="003871FD"/>
    <w:rsid w:val="003A1E30"/>
    <w:rsid w:val="003A2829"/>
    <w:rsid w:val="003A34B7"/>
    <w:rsid w:val="003A7D1C"/>
    <w:rsid w:val="003B05D2"/>
    <w:rsid w:val="003B1372"/>
    <w:rsid w:val="003B304B"/>
    <w:rsid w:val="003B3146"/>
    <w:rsid w:val="003B3E89"/>
    <w:rsid w:val="003C0FB2"/>
    <w:rsid w:val="003D170A"/>
    <w:rsid w:val="003D1E02"/>
    <w:rsid w:val="003E0026"/>
    <w:rsid w:val="003E5C42"/>
    <w:rsid w:val="003E747F"/>
    <w:rsid w:val="003F015E"/>
    <w:rsid w:val="00400414"/>
    <w:rsid w:val="00403C00"/>
    <w:rsid w:val="00410DE6"/>
    <w:rsid w:val="004110CF"/>
    <w:rsid w:val="0041446B"/>
    <w:rsid w:val="004145BD"/>
    <w:rsid w:val="004154A5"/>
    <w:rsid w:val="00421461"/>
    <w:rsid w:val="00423938"/>
    <w:rsid w:val="0044071E"/>
    <w:rsid w:val="0044136F"/>
    <w:rsid w:val="0044329C"/>
    <w:rsid w:val="00453E24"/>
    <w:rsid w:val="00455564"/>
    <w:rsid w:val="00457456"/>
    <w:rsid w:val="004577FE"/>
    <w:rsid w:val="00457B9C"/>
    <w:rsid w:val="0046164A"/>
    <w:rsid w:val="004628D2"/>
    <w:rsid w:val="00462DCD"/>
    <w:rsid w:val="004648AD"/>
    <w:rsid w:val="004703A9"/>
    <w:rsid w:val="00472918"/>
    <w:rsid w:val="00473128"/>
    <w:rsid w:val="004760DE"/>
    <w:rsid w:val="004763D7"/>
    <w:rsid w:val="00483768"/>
    <w:rsid w:val="00490750"/>
    <w:rsid w:val="00493F44"/>
    <w:rsid w:val="00495FBC"/>
    <w:rsid w:val="004A004E"/>
    <w:rsid w:val="004A24CF"/>
    <w:rsid w:val="004A5E57"/>
    <w:rsid w:val="004B707B"/>
    <w:rsid w:val="004C194F"/>
    <w:rsid w:val="004C3D1D"/>
    <w:rsid w:val="004C3D84"/>
    <w:rsid w:val="004C7913"/>
    <w:rsid w:val="004D17F6"/>
    <w:rsid w:val="004E1087"/>
    <w:rsid w:val="004E4DD6"/>
    <w:rsid w:val="004E7032"/>
    <w:rsid w:val="004F2A16"/>
    <w:rsid w:val="004F5E36"/>
    <w:rsid w:val="004F6D27"/>
    <w:rsid w:val="00507B47"/>
    <w:rsid w:val="00507BEF"/>
    <w:rsid w:val="00507CC9"/>
    <w:rsid w:val="005119A5"/>
    <w:rsid w:val="005123D8"/>
    <w:rsid w:val="005278B7"/>
    <w:rsid w:val="00532016"/>
    <w:rsid w:val="005346C8"/>
    <w:rsid w:val="005433B8"/>
    <w:rsid w:val="00543E7D"/>
    <w:rsid w:val="005450AF"/>
    <w:rsid w:val="005472F2"/>
    <w:rsid w:val="00547A68"/>
    <w:rsid w:val="005531C9"/>
    <w:rsid w:val="00554E50"/>
    <w:rsid w:val="005570AA"/>
    <w:rsid w:val="00563354"/>
    <w:rsid w:val="00563413"/>
    <w:rsid w:val="00566CC6"/>
    <w:rsid w:val="00570C43"/>
    <w:rsid w:val="00592274"/>
    <w:rsid w:val="005A107B"/>
    <w:rsid w:val="005A2B98"/>
    <w:rsid w:val="005B2110"/>
    <w:rsid w:val="005B61E6"/>
    <w:rsid w:val="005C77E1"/>
    <w:rsid w:val="005D5578"/>
    <w:rsid w:val="005D668A"/>
    <w:rsid w:val="005D6A2F"/>
    <w:rsid w:val="005E0592"/>
    <w:rsid w:val="005E1A82"/>
    <w:rsid w:val="005E2791"/>
    <w:rsid w:val="005E37D1"/>
    <w:rsid w:val="005E794C"/>
    <w:rsid w:val="005F0A28"/>
    <w:rsid w:val="005F0E5E"/>
    <w:rsid w:val="00600535"/>
    <w:rsid w:val="00606538"/>
    <w:rsid w:val="00606BBD"/>
    <w:rsid w:val="00610CD6"/>
    <w:rsid w:val="006110DD"/>
    <w:rsid w:val="00620DEE"/>
    <w:rsid w:val="00621F92"/>
    <w:rsid w:val="0062280A"/>
    <w:rsid w:val="006231E1"/>
    <w:rsid w:val="00625639"/>
    <w:rsid w:val="00631B33"/>
    <w:rsid w:val="00633E6C"/>
    <w:rsid w:val="0064184D"/>
    <w:rsid w:val="006422CC"/>
    <w:rsid w:val="00651D18"/>
    <w:rsid w:val="0065472B"/>
    <w:rsid w:val="00654FE3"/>
    <w:rsid w:val="00660E3E"/>
    <w:rsid w:val="00662E74"/>
    <w:rsid w:val="00677DC1"/>
    <w:rsid w:val="00680C23"/>
    <w:rsid w:val="006827FB"/>
    <w:rsid w:val="00683E23"/>
    <w:rsid w:val="00693766"/>
    <w:rsid w:val="006A2543"/>
    <w:rsid w:val="006A3281"/>
    <w:rsid w:val="006A7617"/>
    <w:rsid w:val="006B4888"/>
    <w:rsid w:val="006B493B"/>
    <w:rsid w:val="006C005B"/>
    <w:rsid w:val="006C2E45"/>
    <w:rsid w:val="006C359C"/>
    <w:rsid w:val="006C5579"/>
    <w:rsid w:val="006D6E8B"/>
    <w:rsid w:val="006D70E2"/>
    <w:rsid w:val="006D7209"/>
    <w:rsid w:val="006E737D"/>
    <w:rsid w:val="006F6404"/>
    <w:rsid w:val="00707DD1"/>
    <w:rsid w:val="0071071C"/>
    <w:rsid w:val="00713973"/>
    <w:rsid w:val="00715B7B"/>
    <w:rsid w:val="00716F95"/>
    <w:rsid w:val="00720A24"/>
    <w:rsid w:val="00724A26"/>
    <w:rsid w:val="00732386"/>
    <w:rsid w:val="0073514D"/>
    <w:rsid w:val="007447F3"/>
    <w:rsid w:val="0075499F"/>
    <w:rsid w:val="007617CC"/>
    <w:rsid w:val="007661C8"/>
    <w:rsid w:val="007662D4"/>
    <w:rsid w:val="0077098D"/>
    <w:rsid w:val="00777C76"/>
    <w:rsid w:val="007812B5"/>
    <w:rsid w:val="00785BF9"/>
    <w:rsid w:val="007931FA"/>
    <w:rsid w:val="0079522A"/>
    <w:rsid w:val="007952DB"/>
    <w:rsid w:val="007A4861"/>
    <w:rsid w:val="007A6DF8"/>
    <w:rsid w:val="007A7BBA"/>
    <w:rsid w:val="007B0C50"/>
    <w:rsid w:val="007B1835"/>
    <w:rsid w:val="007B2115"/>
    <w:rsid w:val="007B3C6F"/>
    <w:rsid w:val="007B48F9"/>
    <w:rsid w:val="007C1A43"/>
    <w:rsid w:val="007D0951"/>
    <w:rsid w:val="007D0974"/>
    <w:rsid w:val="007D5943"/>
    <w:rsid w:val="007D5FCF"/>
    <w:rsid w:val="007F27C8"/>
    <w:rsid w:val="007F7021"/>
    <w:rsid w:val="0080013E"/>
    <w:rsid w:val="00800D68"/>
    <w:rsid w:val="008015C2"/>
    <w:rsid w:val="008018E1"/>
    <w:rsid w:val="00803C5E"/>
    <w:rsid w:val="00807EFB"/>
    <w:rsid w:val="00813288"/>
    <w:rsid w:val="008168FC"/>
    <w:rsid w:val="008204AF"/>
    <w:rsid w:val="008247B9"/>
    <w:rsid w:val="0083073A"/>
    <w:rsid w:val="00830996"/>
    <w:rsid w:val="008314D7"/>
    <w:rsid w:val="008345F1"/>
    <w:rsid w:val="0084343E"/>
    <w:rsid w:val="00860577"/>
    <w:rsid w:val="00865B07"/>
    <w:rsid w:val="008660E7"/>
    <w:rsid w:val="008667EA"/>
    <w:rsid w:val="00871851"/>
    <w:rsid w:val="00872885"/>
    <w:rsid w:val="0087637F"/>
    <w:rsid w:val="0087750E"/>
    <w:rsid w:val="00886D6D"/>
    <w:rsid w:val="00892AD5"/>
    <w:rsid w:val="008A1512"/>
    <w:rsid w:val="008B06FE"/>
    <w:rsid w:val="008B5107"/>
    <w:rsid w:val="008B7CB7"/>
    <w:rsid w:val="008C4472"/>
    <w:rsid w:val="008D32B9"/>
    <w:rsid w:val="008D433B"/>
    <w:rsid w:val="008D4A16"/>
    <w:rsid w:val="008E209A"/>
    <w:rsid w:val="008E45BC"/>
    <w:rsid w:val="008E566E"/>
    <w:rsid w:val="008E5F48"/>
    <w:rsid w:val="008F08D8"/>
    <w:rsid w:val="0090161A"/>
    <w:rsid w:val="00901EB6"/>
    <w:rsid w:val="009041F8"/>
    <w:rsid w:val="00904C62"/>
    <w:rsid w:val="00906E1C"/>
    <w:rsid w:val="00916200"/>
    <w:rsid w:val="00922969"/>
    <w:rsid w:val="00922BA8"/>
    <w:rsid w:val="00924DAC"/>
    <w:rsid w:val="00925AC7"/>
    <w:rsid w:val="00927058"/>
    <w:rsid w:val="00931A18"/>
    <w:rsid w:val="009378C4"/>
    <w:rsid w:val="00937F1B"/>
    <w:rsid w:val="00942750"/>
    <w:rsid w:val="009450CE"/>
    <w:rsid w:val="009459BB"/>
    <w:rsid w:val="00947179"/>
    <w:rsid w:val="0095164B"/>
    <w:rsid w:val="00954090"/>
    <w:rsid w:val="00954F6D"/>
    <w:rsid w:val="009573E7"/>
    <w:rsid w:val="00963E05"/>
    <w:rsid w:val="00964A45"/>
    <w:rsid w:val="00966333"/>
    <w:rsid w:val="00967238"/>
    <w:rsid w:val="00967843"/>
    <w:rsid w:val="00967D54"/>
    <w:rsid w:val="00971028"/>
    <w:rsid w:val="0098255D"/>
    <w:rsid w:val="00982D12"/>
    <w:rsid w:val="00991382"/>
    <w:rsid w:val="00993B84"/>
    <w:rsid w:val="00996483"/>
    <w:rsid w:val="00996709"/>
    <w:rsid w:val="00996F5A"/>
    <w:rsid w:val="009A1A74"/>
    <w:rsid w:val="009A2A39"/>
    <w:rsid w:val="009B041A"/>
    <w:rsid w:val="009B07C4"/>
    <w:rsid w:val="009C0023"/>
    <w:rsid w:val="009C26A6"/>
    <w:rsid w:val="009C2D7E"/>
    <w:rsid w:val="009C37C3"/>
    <w:rsid w:val="009C7C86"/>
    <w:rsid w:val="009D04AD"/>
    <w:rsid w:val="009D2D4B"/>
    <w:rsid w:val="009D2FF7"/>
    <w:rsid w:val="009D33F8"/>
    <w:rsid w:val="009E7884"/>
    <w:rsid w:val="009E788A"/>
    <w:rsid w:val="009F0E08"/>
    <w:rsid w:val="009F1CC6"/>
    <w:rsid w:val="009F6366"/>
    <w:rsid w:val="00A079AE"/>
    <w:rsid w:val="00A07CEB"/>
    <w:rsid w:val="00A17379"/>
    <w:rsid w:val="00A1763D"/>
    <w:rsid w:val="00A17CEC"/>
    <w:rsid w:val="00A2277F"/>
    <w:rsid w:val="00A23716"/>
    <w:rsid w:val="00A23BAA"/>
    <w:rsid w:val="00A23BD0"/>
    <w:rsid w:val="00A26CBB"/>
    <w:rsid w:val="00A27EF0"/>
    <w:rsid w:val="00A32F42"/>
    <w:rsid w:val="00A34A36"/>
    <w:rsid w:val="00A42361"/>
    <w:rsid w:val="00A472CE"/>
    <w:rsid w:val="00A472E2"/>
    <w:rsid w:val="00A50B20"/>
    <w:rsid w:val="00A51390"/>
    <w:rsid w:val="00A55B54"/>
    <w:rsid w:val="00A569D8"/>
    <w:rsid w:val="00A60D13"/>
    <w:rsid w:val="00A64E76"/>
    <w:rsid w:val="00A7223D"/>
    <w:rsid w:val="00A72745"/>
    <w:rsid w:val="00A760B5"/>
    <w:rsid w:val="00A76EFC"/>
    <w:rsid w:val="00A85566"/>
    <w:rsid w:val="00A85B26"/>
    <w:rsid w:val="00A87D50"/>
    <w:rsid w:val="00A909CC"/>
    <w:rsid w:val="00A91010"/>
    <w:rsid w:val="00A97F29"/>
    <w:rsid w:val="00AA4037"/>
    <w:rsid w:val="00AA702E"/>
    <w:rsid w:val="00AA7D26"/>
    <w:rsid w:val="00AB0964"/>
    <w:rsid w:val="00AB5011"/>
    <w:rsid w:val="00AC7368"/>
    <w:rsid w:val="00AD0278"/>
    <w:rsid w:val="00AD16B9"/>
    <w:rsid w:val="00AD5B40"/>
    <w:rsid w:val="00AE377D"/>
    <w:rsid w:val="00AF0EBA"/>
    <w:rsid w:val="00B02C8A"/>
    <w:rsid w:val="00B17FBD"/>
    <w:rsid w:val="00B221FD"/>
    <w:rsid w:val="00B2305D"/>
    <w:rsid w:val="00B315A6"/>
    <w:rsid w:val="00B31813"/>
    <w:rsid w:val="00B33365"/>
    <w:rsid w:val="00B3448C"/>
    <w:rsid w:val="00B44C6A"/>
    <w:rsid w:val="00B50F1B"/>
    <w:rsid w:val="00B54F5D"/>
    <w:rsid w:val="00B57B36"/>
    <w:rsid w:val="00B57C98"/>
    <w:rsid w:val="00B57E6F"/>
    <w:rsid w:val="00B61486"/>
    <w:rsid w:val="00B6208A"/>
    <w:rsid w:val="00B70558"/>
    <w:rsid w:val="00B7589C"/>
    <w:rsid w:val="00B77BE1"/>
    <w:rsid w:val="00B8686D"/>
    <w:rsid w:val="00B874ED"/>
    <w:rsid w:val="00B93F69"/>
    <w:rsid w:val="00BB1DDC"/>
    <w:rsid w:val="00BC30C9"/>
    <w:rsid w:val="00BC46B4"/>
    <w:rsid w:val="00BD077D"/>
    <w:rsid w:val="00BD4077"/>
    <w:rsid w:val="00BD7140"/>
    <w:rsid w:val="00BE1EE1"/>
    <w:rsid w:val="00BE3E58"/>
    <w:rsid w:val="00BE40A9"/>
    <w:rsid w:val="00BF0BAB"/>
    <w:rsid w:val="00BF4F8E"/>
    <w:rsid w:val="00C0135A"/>
    <w:rsid w:val="00C01616"/>
    <w:rsid w:val="00C0162B"/>
    <w:rsid w:val="00C01A6F"/>
    <w:rsid w:val="00C06761"/>
    <w:rsid w:val="00C068ED"/>
    <w:rsid w:val="00C208E9"/>
    <w:rsid w:val="00C22E0C"/>
    <w:rsid w:val="00C25D5F"/>
    <w:rsid w:val="00C303EE"/>
    <w:rsid w:val="00C31A21"/>
    <w:rsid w:val="00C345B1"/>
    <w:rsid w:val="00C40142"/>
    <w:rsid w:val="00C40542"/>
    <w:rsid w:val="00C52C3C"/>
    <w:rsid w:val="00C5315C"/>
    <w:rsid w:val="00C57182"/>
    <w:rsid w:val="00C57863"/>
    <w:rsid w:val="00C62259"/>
    <w:rsid w:val="00C640AF"/>
    <w:rsid w:val="00C655FD"/>
    <w:rsid w:val="00C73E26"/>
    <w:rsid w:val="00C75407"/>
    <w:rsid w:val="00C77826"/>
    <w:rsid w:val="00C77CFB"/>
    <w:rsid w:val="00C841C6"/>
    <w:rsid w:val="00C870A8"/>
    <w:rsid w:val="00C94434"/>
    <w:rsid w:val="00CA0D75"/>
    <w:rsid w:val="00CA1132"/>
    <w:rsid w:val="00CA1C95"/>
    <w:rsid w:val="00CA4C44"/>
    <w:rsid w:val="00CA5A9C"/>
    <w:rsid w:val="00CA60A4"/>
    <w:rsid w:val="00CB0975"/>
    <w:rsid w:val="00CB4312"/>
    <w:rsid w:val="00CB7D30"/>
    <w:rsid w:val="00CC4C20"/>
    <w:rsid w:val="00CC6E42"/>
    <w:rsid w:val="00CD3517"/>
    <w:rsid w:val="00CD4690"/>
    <w:rsid w:val="00CD5FE2"/>
    <w:rsid w:val="00CE0C35"/>
    <w:rsid w:val="00CE1BC4"/>
    <w:rsid w:val="00CE7C68"/>
    <w:rsid w:val="00CF185B"/>
    <w:rsid w:val="00CF5212"/>
    <w:rsid w:val="00CF5708"/>
    <w:rsid w:val="00CF6398"/>
    <w:rsid w:val="00D003BF"/>
    <w:rsid w:val="00D02B4C"/>
    <w:rsid w:val="00D040C4"/>
    <w:rsid w:val="00D04EF8"/>
    <w:rsid w:val="00D20AD1"/>
    <w:rsid w:val="00D20DFA"/>
    <w:rsid w:val="00D25592"/>
    <w:rsid w:val="00D2582C"/>
    <w:rsid w:val="00D330B4"/>
    <w:rsid w:val="00D4176D"/>
    <w:rsid w:val="00D453FE"/>
    <w:rsid w:val="00D46329"/>
    <w:rsid w:val="00D46B7E"/>
    <w:rsid w:val="00D507BA"/>
    <w:rsid w:val="00D53ED1"/>
    <w:rsid w:val="00D5762F"/>
    <w:rsid w:val="00D57C84"/>
    <w:rsid w:val="00D6057D"/>
    <w:rsid w:val="00D61B59"/>
    <w:rsid w:val="00D711E2"/>
    <w:rsid w:val="00D71640"/>
    <w:rsid w:val="00D82D86"/>
    <w:rsid w:val="00D836C5"/>
    <w:rsid w:val="00D84576"/>
    <w:rsid w:val="00D90651"/>
    <w:rsid w:val="00DA1364"/>
    <w:rsid w:val="00DA1399"/>
    <w:rsid w:val="00DA24C6"/>
    <w:rsid w:val="00DA4ADB"/>
    <w:rsid w:val="00DA4D7B"/>
    <w:rsid w:val="00DA6236"/>
    <w:rsid w:val="00DB05E0"/>
    <w:rsid w:val="00DB5EDB"/>
    <w:rsid w:val="00DC3D8B"/>
    <w:rsid w:val="00DD271C"/>
    <w:rsid w:val="00DD5818"/>
    <w:rsid w:val="00DE264A"/>
    <w:rsid w:val="00DF5072"/>
    <w:rsid w:val="00E02D18"/>
    <w:rsid w:val="00E041E7"/>
    <w:rsid w:val="00E15D86"/>
    <w:rsid w:val="00E16136"/>
    <w:rsid w:val="00E23CA1"/>
    <w:rsid w:val="00E36BE2"/>
    <w:rsid w:val="00E409A8"/>
    <w:rsid w:val="00E41A66"/>
    <w:rsid w:val="00E45DAC"/>
    <w:rsid w:val="00E4741F"/>
    <w:rsid w:val="00E47D61"/>
    <w:rsid w:val="00E50C12"/>
    <w:rsid w:val="00E538BC"/>
    <w:rsid w:val="00E53B9A"/>
    <w:rsid w:val="00E63771"/>
    <w:rsid w:val="00E65B91"/>
    <w:rsid w:val="00E67220"/>
    <w:rsid w:val="00E710F6"/>
    <w:rsid w:val="00E7209D"/>
    <w:rsid w:val="00E72EAD"/>
    <w:rsid w:val="00E74D09"/>
    <w:rsid w:val="00E77223"/>
    <w:rsid w:val="00E84A19"/>
    <w:rsid w:val="00E8528B"/>
    <w:rsid w:val="00E85B94"/>
    <w:rsid w:val="00E92534"/>
    <w:rsid w:val="00E9263E"/>
    <w:rsid w:val="00E978D0"/>
    <w:rsid w:val="00EA24A2"/>
    <w:rsid w:val="00EA4613"/>
    <w:rsid w:val="00EA71D0"/>
    <w:rsid w:val="00EA7F91"/>
    <w:rsid w:val="00EB1523"/>
    <w:rsid w:val="00EB2E62"/>
    <w:rsid w:val="00EC0E49"/>
    <w:rsid w:val="00EC101F"/>
    <w:rsid w:val="00EC1D9F"/>
    <w:rsid w:val="00ED345B"/>
    <w:rsid w:val="00EE0131"/>
    <w:rsid w:val="00EE17B0"/>
    <w:rsid w:val="00EE4F48"/>
    <w:rsid w:val="00EE636B"/>
    <w:rsid w:val="00EF06D9"/>
    <w:rsid w:val="00EF0982"/>
    <w:rsid w:val="00EF7163"/>
    <w:rsid w:val="00F05F9C"/>
    <w:rsid w:val="00F13296"/>
    <w:rsid w:val="00F3049E"/>
    <w:rsid w:val="00F30C64"/>
    <w:rsid w:val="00F32BA2"/>
    <w:rsid w:val="00F32CDB"/>
    <w:rsid w:val="00F3348F"/>
    <w:rsid w:val="00F37280"/>
    <w:rsid w:val="00F41EE4"/>
    <w:rsid w:val="00F565FE"/>
    <w:rsid w:val="00F63A70"/>
    <w:rsid w:val="00F63D8C"/>
    <w:rsid w:val="00F643E5"/>
    <w:rsid w:val="00F64DF4"/>
    <w:rsid w:val="00F66B9A"/>
    <w:rsid w:val="00F678CA"/>
    <w:rsid w:val="00F7534E"/>
    <w:rsid w:val="00F77035"/>
    <w:rsid w:val="00F860B8"/>
    <w:rsid w:val="00F93134"/>
    <w:rsid w:val="00F93EDF"/>
    <w:rsid w:val="00FA1802"/>
    <w:rsid w:val="00FA21D0"/>
    <w:rsid w:val="00FA5F5F"/>
    <w:rsid w:val="00FA624B"/>
    <w:rsid w:val="00FB2EB4"/>
    <w:rsid w:val="00FB4598"/>
    <w:rsid w:val="00FB601C"/>
    <w:rsid w:val="00FB730C"/>
    <w:rsid w:val="00FC2695"/>
    <w:rsid w:val="00FC3E03"/>
    <w:rsid w:val="00FC3FC1"/>
    <w:rsid w:val="00FD1ABE"/>
    <w:rsid w:val="00FE163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ind w:left="2880" w:hanging="360"/>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E45DAC"/>
    <w:rPr>
      <w:color w:val="808080"/>
    </w:rPr>
  </w:style>
  <w:style w:type="character" w:styleId="Menzionenonrisolta">
    <w:name w:val="Unresolved Mention"/>
    <w:basedOn w:val="Carpredefinitoparagrafo"/>
    <w:uiPriority w:val="99"/>
    <w:semiHidden/>
    <w:unhideWhenUsed/>
    <w:rsid w:val="00126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powderbulksolids.com/" TargetMode="External"/><Relationship Id="rId10" Type="http://schemas.openxmlformats.org/officeDocument/2006/relationships/hyperlink" Target="http://www.csb.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sb.gov/optima-belle-explosion-and-fi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6</Pages>
  <Words>3284</Words>
  <Characters>18725</Characters>
  <Application>Microsoft Office Word</Application>
  <DocSecurity>0</DocSecurity>
  <Lines>156</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Sabrina Copelli</cp:lastModifiedBy>
  <cp:revision>301</cp:revision>
  <cp:lastPrinted>2015-05-12T18:31:00Z</cp:lastPrinted>
  <dcterms:created xsi:type="dcterms:W3CDTF">2024-02-20T10:29:00Z</dcterms:created>
  <dcterms:modified xsi:type="dcterms:W3CDTF">2026-04-18T05:52:00Z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