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A07FE8" w14:paraId="2A131A54" w14:textId="77777777" w:rsidTr="000F4798">
        <w:trPr>
          <w:trHeight w:val="852"/>
          <w:jc w:val="center"/>
        </w:trPr>
        <w:tc>
          <w:tcPr>
            <w:tcW w:w="6940" w:type="dxa"/>
            <w:vMerge w:val="restart"/>
            <w:tcBorders>
              <w:right w:val="single" w:sz="4" w:space="0" w:color="auto"/>
            </w:tcBorders>
          </w:tcPr>
          <w:p w14:paraId="38C3D2BA" w14:textId="77777777" w:rsidR="000A03B2" w:rsidRPr="00A07FE8" w:rsidRDefault="000A03B2" w:rsidP="00DE264A">
            <w:pPr>
              <w:tabs>
                <w:tab w:val="left" w:pos="-108"/>
              </w:tabs>
              <w:ind w:left="-108"/>
              <w:jc w:val="left"/>
              <w:rPr>
                <w:rFonts w:cs="Arial"/>
                <w:b/>
                <w:bCs/>
                <w:i/>
                <w:iCs/>
                <w:color w:val="000066"/>
                <w:sz w:val="12"/>
                <w:szCs w:val="12"/>
                <w:lang w:eastAsia="it-IT"/>
              </w:rPr>
            </w:pPr>
            <w:bookmarkStart w:id="0" w:name="_Hlk145068772"/>
            <w:r w:rsidRPr="00A07FE8">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1"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A07FE8">
              <w:rPr>
                <w:rFonts w:ascii="AdvP6960" w:hAnsi="AdvP6960" w:cs="AdvP6960"/>
                <w:color w:val="241F20"/>
                <w:szCs w:val="18"/>
                <w:lang w:eastAsia="it-IT"/>
              </w:rPr>
              <w:t xml:space="preserve"> </w:t>
            </w:r>
            <w:r w:rsidRPr="00A07FE8">
              <w:rPr>
                <w:rFonts w:cs="Arial"/>
                <w:b/>
                <w:bCs/>
                <w:i/>
                <w:iCs/>
                <w:color w:val="000066"/>
                <w:sz w:val="24"/>
                <w:szCs w:val="24"/>
                <w:lang w:eastAsia="it-IT"/>
              </w:rPr>
              <w:t>CHEMICAL ENGINEERING</w:t>
            </w:r>
            <w:r w:rsidRPr="00A07FE8">
              <w:rPr>
                <w:rFonts w:cs="Arial"/>
                <w:b/>
                <w:bCs/>
                <w:i/>
                <w:iCs/>
                <w:color w:val="0033FF"/>
                <w:sz w:val="24"/>
                <w:szCs w:val="24"/>
                <w:lang w:eastAsia="it-IT"/>
              </w:rPr>
              <w:t xml:space="preserve"> </w:t>
            </w:r>
            <w:r w:rsidRPr="00A07FE8">
              <w:rPr>
                <w:rFonts w:cs="Arial"/>
                <w:b/>
                <w:bCs/>
                <w:i/>
                <w:iCs/>
                <w:color w:val="666666"/>
                <w:sz w:val="24"/>
                <w:szCs w:val="24"/>
                <w:lang w:eastAsia="it-IT"/>
              </w:rPr>
              <w:t>TRANSACTIONS</w:t>
            </w:r>
            <w:r w:rsidRPr="00A07FE8">
              <w:rPr>
                <w:color w:val="333333"/>
                <w:sz w:val="24"/>
                <w:szCs w:val="24"/>
                <w:lang w:eastAsia="it-IT"/>
              </w:rPr>
              <w:t xml:space="preserve"> </w:t>
            </w:r>
            <w:r w:rsidRPr="00A07FE8">
              <w:rPr>
                <w:rFonts w:cs="Arial"/>
                <w:b/>
                <w:bCs/>
                <w:i/>
                <w:iCs/>
                <w:color w:val="000066"/>
                <w:sz w:val="27"/>
                <w:szCs w:val="27"/>
                <w:lang w:eastAsia="it-IT"/>
              </w:rPr>
              <w:br/>
            </w:r>
          </w:p>
          <w:p w14:paraId="4B780582" w14:textId="753620B8" w:rsidR="000A03B2" w:rsidRPr="00A07FE8" w:rsidRDefault="00A76EFC" w:rsidP="001D21AF">
            <w:pPr>
              <w:tabs>
                <w:tab w:val="left" w:pos="-108"/>
              </w:tabs>
              <w:ind w:left="-108"/>
              <w:rPr>
                <w:rFonts w:cs="Arial"/>
                <w:b/>
                <w:bCs/>
                <w:i/>
                <w:iCs/>
                <w:color w:val="000066"/>
                <w:sz w:val="22"/>
                <w:szCs w:val="22"/>
                <w:lang w:eastAsia="it-IT"/>
              </w:rPr>
            </w:pPr>
            <w:r w:rsidRPr="00A07FE8">
              <w:rPr>
                <w:rFonts w:cs="Arial"/>
                <w:b/>
                <w:bCs/>
                <w:i/>
                <w:iCs/>
                <w:color w:val="000066"/>
                <w:sz w:val="22"/>
                <w:szCs w:val="22"/>
                <w:lang w:eastAsia="it-IT"/>
              </w:rPr>
              <w:t>VOL.</w:t>
            </w:r>
            <w:r w:rsidR="00785BF9" w:rsidRPr="00A07FE8">
              <w:rPr>
                <w:rFonts w:cs="Arial"/>
                <w:b/>
                <w:bCs/>
                <w:i/>
                <w:iCs/>
                <w:color w:val="000066"/>
                <w:sz w:val="22"/>
                <w:szCs w:val="22"/>
                <w:lang w:eastAsia="it-IT"/>
              </w:rPr>
              <w:t xml:space="preserve"> </w:t>
            </w:r>
            <w:r w:rsidR="00AD0278" w:rsidRPr="00A07FE8">
              <w:rPr>
                <w:rFonts w:cs="Arial"/>
                <w:b/>
                <w:bCs/>
                <w:i/>
                <w:iCs/>
                <w:color w:val="000066"/>
                <w:sz w:val="22"/>
                <w:szCs w:val="22"/>
                <w:lang w:eastAsia="it-IT"/>
              </w:rPr>
              <w:t>xxx</w:t>
            </w:r>
            <w:r w:rsidR="007B48F9" w:rsidRPr="00A07FE8">
              <w:rPr>
                <w:rFonts w:cs="Arial"/>
                <w:b/>
                <w:bCs/>
                <w:i/>
                <w:iCs/>
                <w:color w:val="000066"/>
                <w:sz w:val="22"/>
                <w:szCs w:val="22"/>
                <w:lang w:eastAsia="it-IT"/>
              </w:rPr>
              <w:t>,</w:t>
            </w:r>
            <w:r w:rsidR="00FA5F5F" w:rsidRPr="00A07FE8">
              <w:rPr>
                <w:rFonts w:cs="Arial"/>
                <w:b/>
                <w:bCs/>
                <w:i/>
                <w:iCs/>
                <w:color w:val="000066"/>
                <w:sz w:val="22"/>
                <w:szCs w:val="22"/>
                <w:lang w:eastAsia="it-IT"/>
              </w:rPr>
              <w:t xml:space="preserve"> </w:t>
            </w:r>
            <w:r w:rsidR="0030152C" w:rsidRPr="00A07FE8">
              <w:rPr>
                <w:rFonts w:cs="Arial"/>
                <w:b/>
                <w:bCs/>
                <w:i/>
                <w:iCs/>
                <w:color w:val="000066"/>
                <w:sz w:val="22"/>
                <w:szCs w:val="22"/>
                <w:lang w:eastAsia="it-IT"/>
              </w:rPr>
              <w:t>202</w:t>
            </w:r>
            <w:r w:rsidR="00AD0278" w:rsidRPr="00A07FE8">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A07FE8" w:rsidRDefault="000A03B2" w:rsidP="00CD5FE2">
            <w:pPr>
              <w:spacing w:line="140" w:lineRule="atLeast"/>
              <w:jc w:val="right"/>
              <w:rPr>
                <w:rFonts w:cs="Arial"/>
                <w:sz w:val="14"/>
                <w:szCs w:val="14"/>
              </w:rPr>
            </w:pPr>
            <w:r w:rsidRPr="00A07FE8">
              <w:rPr>
                <w:rFonts w:cs="Arial"/>
                <w:sz w:val="14"/>
                <w:szCs w:val="14"/>
              </w:rPr>
              <w:t>A publication of</w:t>
            </w:r>
          </w:p>
          <w:p w14:paraId="599E5441" w14:textId="77777777" w:rsidR="000A03B2" w:rsidRPr="00A07FE8" w:rsidRDefault="000A03B2" w:rsidP="00CD5FE2">
            <w:pPr>
              <w:jc w:val="right"/>
            </w:pPr>
            <w:r w:rsidRPr="00A07FE8">
              <w:rPr>
                <w:noProof/>
                <w:lang w:eastAsia="it-IT"/>
              </w:rPr>
              <w:drawing>
                <wp:inline distT="0" distB="0" distL="0" distR="0" wp14:anchorId="59C75AF4" wp14:editId="4FF92432">
                  <wp:extent cx="670560" cy="358140"/>
                  <wp:effectExtent l="0" t="0" r="0" b="3810"/>
                  <wp:docPr id="6" name="Immagine 2"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A07FE8" w14:paraId="380FA3CD" w14:textId="77777777" w:rsidTr="000F4798">
        <w:trPr>
          <w:trHeight w:val="567"/>
          <w:jc w:val="center"/>
        </w:trPr>
        <w:tc>
          <w:tcPr>
            <w:tcW w:w="6940" w:type="dxa"/>
            <w:vMerge/>
            <w:tcBorders>
              <w:right w:val="single" w:sz="4" w:space="0" w:color="auto"/>
            </w:tcBorders>
          </w:tcPr>
          <w:p w14:paraId="39E5E4C1" w14:textId="77777777" w:rsidR="000A03B2" w:rsidRPr="00A07FE8"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A07FE8" w:rsidRDefault="000A03B2" w:rsidP="00CD5FE2">
            <w:pPr>
              <w:spacing w:line="140" w:lineRule="atLeast"/>
              <w:jc w:val="right"/>
              <w:rPr>
                <w:rFonts w:cs="Arial"/>
                <w:sz w:val="14"/>
                <w:szCs w:val="14"/>
              </w:rPr>
            </w:pPr>
            <w:r w:rsidRPr="00A07FE8">
              <w:rPr>
                <w:rFonts w:cs="Arial"/>
                <w:sz w:val="14"/>
                <w:szCs w:val="14"/>
              </w:rPr>
              <w:t>The Italian Association</w:t>
            </w:r>
          </w:p>
          <w:p w14:paraId="7522B1D2" w14:textId="77777777" w:rsidR="000A03B2" w:rsidRPr="00A07FE8" w:rsidRDefault="000A03B2" w:rsidP="00CD5FE2">
            <w:pPr>
              <w:spacing w:line="140" w:lineRule="atLeast"/>
              <w:jc w:val="right"/>
              <w:rPr>
                <w:rFonts w:cs="Arial"/>
                <w:sz w:val="14"/>
                <w:szCs w:val="14"/>
              </w:rPr>
            </w:pPr>
            <w:r w:rsidRPr="00A07FE8">
              <w:rPr>
                <w:rFonts w:cs="Arial"/>
                <w:sz w:val="14"/>
                <w:szCs w:val="14"/>
              </w:rPr>
              <w:t>of Chemical Engineering</w:t>
            </w:r>
          </w:p>
          <w:p w14:paraId="4F0CC5DE" w14:textId="47FDB2FC" w:rsidR="000A03B2" w:rsidRPr="00A07FE8" w:rsidRDefault="000D0268" w:rsidP="00CD5FE2">
            <w:pPr>
              <w:spacing w:line="140" w:lineRule="atLeast"/>
              <w:jc w:val="right"/>
              <w:rPr>
                <w:rFonts w:cs="Arial"/>
                <w:sz w:val="13"/>
                <w:szCs w:val="13"/>
              </w:rPr>
            </w:pPr>
            <w:r w:rsidRPr="00A07FE8">
              <w:rPr>
                <w:rFonts w:cs="Arial"/>
                <w:sz w:val="13"/>
                <w:szCs w:val="13"/>
              </w:rPr>
              <w:t>Online at www.cetjournal.it</w:t>
            </w:r>
          </w:p>
        </w:tc>
      </w:tr>
      <w:tr w:rsidR="000A03B2" w:rsidRPr="00A07FE8" w14:paraId="2D1B7169" w14:textId="77777777" w:rsidTr="000F4798">
        <w:trPr>
          <w:trHeight w:val="68"/>
          <w:jc w:val="center"/>
        </w:trPr>
        <w:tc>
          <w:tcPr>
            <w:tcW w:w="8782" w:type="dxa"/>
            <w:gridSpan w:val="2"/>
          </w:tcPr>
          <w:p w14:paraId="1D8DD3C9" w14:textId="775EC904" w:rsidR="00AA7D26" w:rsidRPr="00753BDF" w:rsidRDefault="004A5E57" w:rsidP="007A6DF8">
            <w:pPr>
              <w:ind w:left="-107"/>
              <w:outlineLvl w:val="2"/>
              <w:rPr>
                <w:rFonts w:ascii="Tahoma" w:hAnsi="Tahoma" w:cs="Tahoma"/>
                <w:color w:val="000000"/>
                <w:sz w:val="14"/>
                <w:szCs w:val="14"/>
                <w:shd w:val="clear" w:color="auto" w:fill="FFFFFF"/>
                <w:lang w:val="it-IT"/>
              </w:rPr>
            </w:pPr>
            <w:r w:rsidRPr="00753BDF">
              <w:rPr>
                <w:rFonts w:ascii="Tahoma" w:hAnsi="Tahoma" w:cs="Tahoma"/>
                <w:iCs/>
                <w:color w:val="333333"/>
                <w:sz w:val="14"/>
                <w:szCs w:val="14"/>
                <w:lang w:val="it-IT" w:eastAsia="it-IT"/>
              </w:rPr>
              <w:t>Guest Editors:</w:t>
            </w:r>
            <w:r w:rsidRPr="00753BDF">
              <w:rPr>
                <w:rFonts w:ascii="Tahoma" w:hAnsi="Tahoma" w:cs="Tahoma"/>
                <w:color w:val="000000"/>
                <w:sz w:val="14"/>
                <w:szCs w:val="14"/>
                <w:shd w:val="clear" w:color="auto" w:fill="FFFFFF"/>
                <w:lang w:val="it-IT"/>
              </w:rPr>
              <w:t xml:space="preserve"> </w:t>
            </w:r>
            <w:r w:rsidR="007A6DF8" w:rsidRPr="00753BDF">
              <w:rPr>
                <w:rFonts w:ascii="Tahoma" w:hAnsi="Tahoma" w:cs="Tahoma"/>
                <w:color w:val="000000"/>
                <w:sz w:val="14"/>
                <w:szCs w:val="14"/>
                <w:shd w:val="clear" w:color="auto" w:fill="FFFFFF"/>
                <w:lang w:val="it-IT"/>
              </w:rPr>
              <w:t>Valerio Cozzani, Bruno Fabiano, Genserik Reniers</w:t>
            </w:r>
          </w:p>
          <w:p w14:paraId="1B0F1814" w14:textId="710B7B96" w:rsidR="000A03B2" w:rsidRPr="00A07FE8" w:rsidRDefault="00AA7D26" w:rsidP="00AA7D26">
            <w:pPr>
              <w:tabs>
                <w:tab w:val="left" w:pos="-108"/>
              </w:tabs>
              <w:spacing w:line="140" w:lineRule="atLeast"/>
              <w:ind w:left="-107"/>
              <w:jc w:val="left"/>
            </w:pPr>
            <w:r w:rsidRPr="00A07FE8">
              <w:rPr>
                <w:rFonts w:ascii="Tahoma" w:hAnsi="Tahoma" w:cs="Tahoma"/>
                <w:iCs/>
                <w:color w:val="333333"/>
                <w:sz w:val="14"/>
                <w:szCs w:val="14"/>
                <w:lang w:eastAsia="it-IT"/>
              </w:rPr>
              <w:t>Copyright © 202</w:t>
            </w:r>
            <w:r w:rsidR="00005884" w:rsidRPr="00A07FE8">
              <w:rPr>
                <w:rFonts w:ascii="Tahoma" w:hAnsi="Tahoma" w:cs="Tahoma"/>
                <w:iCs/>
                <w:color w:val="333333"/>
                <w:sz w:val="14"/>
                <w:szCs w:val="14"/>
                <w:lang w:eastAsia="it-IT"/>
              </w:rPr>
              <w:t>6</w:t>
            </w:r>
            <w:r w:rsidRPr="00A07FE8">
              <w:rPr>
                <w:rFonts w:ascii="Tahoma" w:hAnsi="Tahoma" w:cs="Tahoma"/>
                <w:iCs/>
                <w:color w:val="333333"/>
                <w:sz w:val="14"/>
                <w:szCs w:val="14"/>
                <w:lang w:eastAsia="it-IT"/>
              </w:rPr>
              <w:t>, AIDIC Servizi S.r.l.</w:t>
            </w:r>
            <w:r w:rsidRPr="00A07FE8">
              <w:rPr>
                <w:rFonts w:ascii="Tahoma" w:hAnsi="Tahoma" w:cs="Tahoma"/>
                <w:iCs/>
                <w:color w:val="333333"/>
                <w:sz w:val="14"/>
                <w:szCs w:val="14"/>
                <w:lang w:eastAsia="it-IT"/>
              </w:rPr>
              <w:br/>
            </w:r>
            <w:r w:rsidRPr="00A07FE8">
              <w:rPr>
                <w:rFonts w:ascii="Tahoma" w:hAnsi="Tahoma" w:cs="Tahoma"/>
                <w:b/>
                <w:iCs/>
                <w:color w:val="000000"/>
                <w:sz w:val="14"/>
                <w:szCs w:val="14"/>
                <w:lang w:eastAsia="it-IT"/>
              </w:rPr>
              <w:t>ISBN</w:t>
            </w:r>
            <w:r w:rsidRPr="00A07FE8">
              <w:rPr>
                <w:rFonts w:ascii="Tahoma" w:hAnsi="Tahoma" w:cs="Tahoma"/>
                <w:iCs/>
                <w:color w:val="000000"/>
                <w:sz w:val="14"/>
                <w:szCs w:val="14"/>
                <w:lang w:eastAsia="it-IT"/>
              </w:rPr>
              <w:t xml:space="preserve"> </w:t>
            </w:r>
            <w:r w:rsidR="00D2582C" w:rsidRPr="00A07FE8">
              <w:rPr>
                <w:rFonts w:ascii="Tahoma" w:hAnsi="Tahoma" w:cs="Tahoma"/>
                <w:sz w:val="14"/>
                <w:szCs w:val="14"/>
              </w:rPr>
              <w:t>979-12-81206-</w:t>
            </w:r>
            <w:r w:rsidR="00005884" w:rsidRPr="00A07FE8">
              <w:rPr>
                <w:rFonts w:ascii="Tahoma" w:hAnsi="Tahoma" w:cs="Tahoma"/>
                <w:sz w:val="14"/>
                <w:szCs w:val="14"/>
              </w:rPr>
              <w:t>xx</w:t>
            </w:r>
            <w:r w:rsidR="009041F8" w:rsidRPr="00A07FE8">
              <w:rPr>
                <w:rFonts w:ascii="Tahoma" w:hAnsi="Tahoma" w:cs="Tahoma"/>
                <w:sz w:val="14"/>
                <w:szCs w:val="14"/>
              </w:rPr>
              <w:t>-</w:t>
            </w:r>
            <w:r w:rsidR="00005884" w:rsidRPr="00A07FE8">
              <w:rPr>
                <w:rFonts w:ascii="Tahoma" w:hAnsi="Tahoma" w:cs="Tahoma"/>
                <w:sz w:val="14"/>
                <w:szCs w:val="14"/>
              </w:rPr>
              <w:t>x</w:t>
            </w:r>
            <w:r w:rsidRPr="00A07FE8">
              <w:rPr>
                <w:rFonts w:ascii="Tahoma" w:hAnsi="Tahoma" w:cs="Tahoma"/>
                <w:iCs/>
                <w:color w:val="333333"/>
                <w:sz w:val="14"/>
                <w:szCs w:val="14"/>
                <w:lang w:eastAsia="it-IT"/>
              </w:rPr>
              <w:t xml:space="preserve">; </w:t>
            </w:r>
            <w:r w:rsidRPr="00A07FE8">
              <w:rPr>
                <w:rFonts w:ascii="Tahoma" w:hAnsi="Tahoma" w:cs="Tahoma"/>
                <w:b/>
                <w:iCs/>
                <w:color w:val="333333"/>
                <w:sz w:val="14"/>
                <w:szCs w:val="14"/>
                <w:lang w:eastAsia="it-IT"/>
              </w:rPr>
              <w:t>ISSN</w:t>
            </w:r>
            <w:r w:rsidRPr="00A07FE8">
              <w:rPr>
                <w:rFonts w:ascii="Tahoma" w:hAnsi="Tahoma" w:cs="Tahoma"/>
                <w:iCs/>
                <w:color w:val="333333"/>
                <w:sz w:val="14"/>
                <w:szCs w:val="14"/>
                <w:lang w:eastAsia="it-IT"/>
              </w:rPr>
              <w:t xml:space="preserve"> 2283-9216</w:t>
            </w:r>
          </w:p>
        </w:tc>
      </w:tr>
    </w:tbl>
    <w:bookmarkEnd w:id="0"/>
    <w:p w14:paraId="2E667253" w14:textId="445B412B" w:rsidR="00E978D0" w:rsidRPr="00A07FE8" w:rsidRDefault="008D713D" w:rsidP="00E978D0">
      <w:pPr>
        <w:pStyle w:val="CETTitle"/>
        <w:rPr>
          <w:lang w:val="en-US"/>
        </w:rPr>
      </w:pPr>
      <w:r w:rsidRPr="00A07FE8">
        <w:rPr>
          <w:lang w:val="en-US"/>
        </w:rPr>
        <w:t>Revisiting DIERS Vent Sizing for Endothermic Gassy Decompositions</w:t>
      </w:r>
    </w:p>
    <w:p w14:paraId="0488FED2" w14:textId="10BCDC6C" w:rsidR="00B57E6F" w:rsidRPr="00753BDF" w:rsidRDefault="006C3241" w:rsidP="00B57E6F">
      <w:pPr>
        <w:pStyle w:val="CETAuthors"/>
        <w:rPr>
          <w:lang w:val="it-IT"/>
        </w:rPr>
      </w:pPr>
      <w:r w:rsidRPr="00753BDF">
        <w:rPr>
          <w:lang w:val="it-IT"/>
        </w:rPr>
        <w:t>Copelli Sabrina</w:t>
      </w:r>
      <w:r w:rsidRPr="00753BDF">
        <w:rPr>
          <w:vertAlign w:val="superscript"/>
          <w:lang w:val="it-IT"/>
        </w:rPr>
        <w:t>a,*</w:t>
      </w:r>
      <w:r w:rsidRPr="00753BDF">
        <w:rPr>
          <w:lang w:val="it-IT"/>
        </w:rPr>
        <w:t>, Ballinari Davide</w:t>
      </w:r>
      <w:r w:rsidRPr="00753BDF">
        <w:rPr>
          <w:vertAlign w:val="superscript"/>
          <w:lang w:val="it-IT"/>
        </w:rPr>
        <w:t>a</w:t>
      </w:r>
      <w:r w:rsidRPr="00753BDF">
        <w:rPr>
          <w:lang w:val="it-IT"/>
        </w:rPr>
        <w:t>, Arosio Luca</w:t>
      </w:r>
      <w:r w:rsidRPr="00753BDF">
        <w:rPr>
          <w:vertAlign w:val="superscript"/>
          <w:lang w:val="it-IT"/>
        </w:rPr>
        <w:t>b</w:t>
      </w:r>
      <w:r w:rsidRPr="00753BDF">
        <w:rPr>
          <w:lang w:val="it-IT"/>
        </w:rPr>
        <w:t>, Mazzei Antonella</w:t>
      </w:r>
      <w:r w:rsidRPr="00753BDF">
        <w:rPr>
          <w:vertAlign w:val="superscript"/>
          <w:lang w:val="it-IT"/>
        </w:rPr>
        <w:t>b</w:t>
      </w:r>
      <w:r w:rsidRPr="00753BDF">
        <w:rPr>
          <w:lang w:val="it-IT"/>
        </w:rPr>
        <w:t>, Barozzi Marco</w:t>
      </w:r>
      <w:r w:rsidRPr="00753BDF">
        <w:rPr>
          <w:vertAlign w:val="superscript"/>
          <w:lang w:val="it-IT"/>
        </w:rPr>
        <w:t>a</w:t>
      </w:r>
    </w:p>
    <w:p w14:paraId="6B2D21B3" w14:textId="11A2275D" w:rsidR="00B57E6F" w:rsidRPr="00753BDF" w:rsidRDefault="00B57E6F" w:rsidP="00B57E6F">
      <w:pPr>
        <w:pStyle w:val="CETAddress"/>
        <w:rPr>
          <w:lang w:val="it-IT"/>
        </w:rPr>
      </w:pPr>
      <w:r w:rsidRPr="00753BDF">
        <w:rPr>
          <w:vertAlign w:val="superscript"/>
          <w:lang w:val="it-IT"/>
        </w:rPr>
        <w:t>a</w:t>
      </w:r>
      <w:r w:rsidR="00AD5B40" w:rsidRPr="00753BDF">
        <w:rPr>
          <w:lang w:val="it-IT"/>
        </w:rPr>
        <w:t>Università degli Studi dell’Insubria - Dipartimento di Scienza e Alta Tecnologia - via Valleggio 11 – 22100 Como – Italy</w:t>
      </w:r>
    </w:p>
    <w:p w14:paraId="3D72B0B0" w14:textId="1D49CCC8" w:rsidR="00B57E6F" w:rsidRPr="00753BDF" w:rsidRDefault="00B57E6F" w:rsidP="00B57E6F">
      <w:pPr>
        <w:pStyle w:val="CETAddress"/>
        <w:rPr>
          <w:lang w:val="it-IT"/>
        </w:rPr>
      </w:pPr>
      <w:r w:rsidRPr="00753BDF">
        <w:rPr>
          <w:vertAlign w:val="superscript"/>
          <w:lang w:val="it-IT"/>
        </w:rPr>
        <w:t>b</w:t>
      </w:r>
      <w:r w:rsidR="0011788B" w:rsidRPr="00753BDF">
        <w:rPr>
          <w:lang w:val="it-IT"/>
        </w:rPr>
        <w:t>Innovhub – Stazioni Sperimentali per l’Industria - Via Galilei 1 - 20097 - San Donato Milanese (MI) – Italy</w:t>
      </w:r>
    </w:p>
    <w:p w14:paraId="73F1267A" w14:textId="7D8401D7" w:rsidR="00B57E6F" w:rsidRPr="00A07FE8" w:rsidRDefault="009A2A39" w:rsidP="00B57E6F">
      <w:pPr>
        <w:pStyle w:val="CETemail"/>
        <w:rPr>
          <w:lang w:val="en-US"/>
        </w:rPr>
      </w:pPr>
      <w:r w:rsidRPr="00A07FE8">
        <w:rPr>
          <w:lang w:val="en-US"/>
        </w:rPr>
        <w:t>*</w:t>
      </w:r>
      <w:r w:rsidR="00037FE8" w:rsidRPr="00A07FE8">
        <w:rPr>
          <w:lang w:val="en-US"/>
        </w:rPr>
        <w:t>sabrina.copelli</w:t>
      </w:r>
      <w:r w:rsidR="00B57E6F" w:rsidRPr="00A07FE8">
        <w:rPr>
          <w:lang w:val="en-US"/>
        </w:rPr>
        <w:t>@</w:t>
      </w:r>
      <w:r w:rsidRPr="00A07FE8">
        <w:rPr>
          <w:lang w:val="en-US"/>
        </w:rPr>
        <w:t>uninsubria.it</w:t>
      </w:r>
    </w:p>
    <w:p w14:paraId="48433AE5" w14:textId="6F5379DD" w:rsidR="00872885" w:rsidRPr="00A07FE8" w:rsidRDefault="00C94C7E" w:rsidP="00C94C7E">
      <w:pPr>
        <w:pStyle w:val="CETBodytext"/>
      </w:pPr>
      <w:r w:rsidRPr="00A07FE8">
        <w:t xml:space="preserve">DIERS (Design Institute for Emergency Relief Systems) methodology is the standard framework for sizing pressure relief systems under runaway reaction conditions. Its validated application, however, is largely limited to exothermic systems, where reaction rates are sustained by internally generated heat. This work addresses a key limitation by proposing a </w:t>
      </w:r>
      <w:r w:rsidR="00753BDF" w:rsidRPr="00A07FE8">
        <w:t xml:space="preserve">vent sizing </w:t>
      </w:r>
      <w:r w:rsidRPr="00A07FE8">
        <w:t xml:space="preserve">methodology for endothermic decompositions that produce significant amounts of non-condensable gases </w:t>
      </w:r>
      <w:r w:rsidR="00D424A2" w:rsidRPr="00A07FE8">
        <w:t>but</w:t>
      </w:r>
      <w:r w:rsidRPr="00A07FE8">
        <w:t xml:space="preserve"> require external heat input. The approach is </w:t>
      </w:r>
      <w:r w:rsidR="004D531A" w:rsidRPr="00A07FE8">
        <w:t>illu</w:t>
      </w:r>
      <w:r w:rsidRPr="00A07FE8">
        <w:t>strated through a case study of aqueous formic acid exposed to fire conditions in a storage tank. Experimental characterization was conducted using low thermal inertia calorimetry (PHI-TEC II, Heat-Wait-Search mode)</w:t>
      </w:r>
      <w:r w:rsidR="0095190C">
        <w:t xml:space="preserve"> and Differential Scanning Calorimetry</w:t>
      </w:r>
      <w:r w:rsidR="00EF39D4">
        <w:t xml:space="preserve"> (DSC)</w:t>
      </w:r>
      <w:r w:rsidRPr="00A07FE8">
        <w:t xml:space="preserve">. Results confirm that formic acid decomposition is endothermic, yet generates substantial incondensable gases, as indicated by sustained pressure rise and residual pressure after cooling. The system is therefore classified as </w:t>
      </w:r>
      <w:r w:rsidR="003D13A9">
        <w:t xml:space="preserve">either </w:t>
      </w:r>
      <w:r w:rsidRPr="00A07FE8">
        <w:t xml:space="preserve">gassy </w:t>
      </w:r>
      <w:r w:rsidR="003D13A9">
        <w:t xml:space="preserve">or hybrid </w:t>
      </w:r>
      <w:r w:rsidRPr="00A07FE8">
        <w:t xml:space="preserve">under DIERS </w:t>
      </w:r>
      <w:r w:rsidR="00EF39D4" w:rsidRPr="00A07FE8">
        <w:t>definition</w:t>
      </w:r>
      <w:r w:rsidR="00EF39D4">
        <w:t>s</w:t>
      </w:r>
      <w:r w:rsidR="00EF39D4" w:rsidRPr="00A07FE8">
        <w:t>,</w:t>
      </w:r>
      <w:r w:rsidRPr="00A07FE8">
        <w:t xml:space="preserve"> but </w:t>
      </w:r>
      <w:r w:rsidR="00EF39D4">
        <w:t xml:space="preserve">it </w:t>
      </w:r>
      <w:r w:rsidRPr="00A07FE8">
        <w:t xml:space="preserve">lies outside the scope of existing DIERS methodologies. </w:t>
      </w:r>
      <w:r w:rsidR="00EF39D4">
        <w:t>Conversely, c</w:t>
      </w:r>
      <w:r w:rsidRPr="00A07FE8">
        <w:t xml:space="preserve">onventional data treatment based on </w:t>
      </w:r>
      <w:r w:rsidR="00C30856" w:rsidRPr="00A07FE8">
        <w:t>standard</w:t>
      </w:r>
      <w:r w:rsidR="0007335D" w:rsidRPr="00A07FE8">
        <w:t>s for nonreactive systems</w:t>
      </w:r>
      <w:r w:rsidRPr="00A07FE8">
        <w:t xml:space="preserve"> may lead to </w:t>
      </w:r>
      <w:r w:rsidR="00EF39D4">
        <w:t xml:space="preserve">either </w:t>
      </w:r>
      <w:r w:rsidRPr="00A07FE8">
        <w:t xml:space="preserve">non-physical </w:t>
      </w:r>
      <w:r w:rsidR="00EF39D4">
        <w:t>or</w:t>
      </w:r>
      <w:r w:rsidRPr="00A07FE8">
        <w:t xml:space="preserve"> </w:t>
      </w:r>
      <w:r w:rsidR="00785DFC">
        <w:t>poo</w:t>
      </w:r>
      <w:r w:rsidRPr="00A07FE8">
        <w:t xml:space="preserve">rly conservative vent sizing. To address this, a revised methodology is proposed based on signal processing of calorimetric data, identification of stagnation </w:t>
      </w:r>
      <w:r w:rsidR="00EF39D4">
        <w:t>point</w:t>
      </w:r>
      <w:r w:rsidRPr="00A07FE8">
        <w:t xml:space="preserve">, and evaluation of pressure and temperature derivatives under those conditions. This enables a physically consistent estimation of </w:t>
      </w:r>
      <w:r w:rsidR="00785DFC">
        <w:t xml:space="preserve">both </w:t>
      </w:r>
      <w:r w:rsidRPr="00A07FE8">
        <w:t xml:space="preserve">gas </w:t>
      </w:r>
      <w:r w:rsidR="00785DFC">
        <w:t xml:space="preserve">and vapor </w:t>
      </w:r>
      <w:r w:rsidRPr="00A07FE8">
        <w:t xml:space="preserve">generation rates despite </w:t>
      </w:r>
      <w:r w:rsidR="00785DFC">
        <w:t xml:space="preserve">the </w:t>
      </w:r>
      <w:r w:rsidR="00FA21A6">
        <w:t>absence of exothermicity; moreover, the a</w:t>
      </w:r>
      <w:r w:rsidRPr="00A07FE8">
        <w:t>pplication to the formic acid system yield</w:t>
      </w:r>
      <w:r w:rsidR="0007335D" w:rsidRPr="00A07FE8">
        <w:t>ed</w:t>
      </w:r>
      <w:r w:rsidRPr="00A07FE8">
        <w:t xml:space="preserve"> venting requirements significantly </w:t>
      </w:r>
      <w:r w:rsidR="005C71DD">
        <w:t>high</w:t>
      </w:r>
      <w:r w:rsidRPr="00A07FE8">
        <w:t>er than those derived from conventional fire boiling assumptions. The results demonstrate</w:t>
      </w:r>
      <w:r w:rsidR="0007335D" w:rsidRPr="00A07FE8">
        <w:t>d</w:t>
      </w:r>
      <w:r w:rsidRPr="00A07FE8">
        <w:t xml:space="preserve"> that endothermic gassy</w:t>
      </w:r>
      <w:r w:rsidR="00011650">
        <w:t>/hybrid</w:t>
      </w:r>
      <w:r w:rsidRPr="00A07FE8">
        <w:t xml:space="preserve"> systems can be treated within a DIERS-consistent framework when external heat input </w:t>
      </w:r>
      <w:r w:rsidR="00723CDD">
        <w:t>is</w:t>
      </w:r>
      <w:r w:rsidRPr="00A07FE8">
        <w:t xml:space="preserve"> properly considered. This work </w:t>
      </w:r>
      <w:r w:rsidR="0007335D" w:rsidRPr="00A07FE8">
        <w:t xml:space="preserve">can be considered as a first tentative to </w:t>
      </w:r>
      <w:r w:rsidRPr="00A07FE8">
        <w:t>extend the applicability of DIERS to a broader class of reactive systems and provides a rigorous basis for relief system design beyond current standards.</w:t>
      </w:r>
    </w:p>
    <w:p w14:paraId="476B2F2E" w14:textId="77777777" w:rsidR="00600535" w:rsidRPr="00A07FE8" w:rsidRDefault="00600535" w:rsidP="00600535">
      <w:pPr>
        <w:pStyle w:val="CETHeading1"/>
      </w:pPr>
      <w:r w:rsidRPr="00A07FE8">
        <w:t>Introduction</w:t>
      </w:r>
    </w:p>
    <w:p w14:paraId="4AD0FCD3" w14:textId="6E3BE4FE" w:rsidR="00A438E6" w:rsidRPr="00A07FE8" w:rsidRDefault="00A438E6" w:rsidP="00A438E6">
      <w:pPr>
        <w:pStyle w:val="CETBodytext"/>
      </w:pPr>
      <w:r w:rsidRPr="00A07FE8">
        <w:t>Thermal runaway represents a major concern in process safety due to its potential to cause explosions in reactors or vessels, particularly in industries such as fine chemicals, pharmaceuticals, plastics production and processing (Copelli et al., 2014), and oil refining. Thermal runaway occurs when</w:t>
      </w:r>
      <w:r w:rsidR="00E016E3">
        <w:t>ever</w:t>
      </w:r>
      <w:r w:rsidRPr="00A07FE8">
        <w:t xml:space="preserve"> the rate of heat generation from a chemical reaction exceeds the cooling capacity of the system. This condition arises because the reaction rate</w:t>
      </w:r>
      <w:r w:rsidR="005C3065" w:rsidRPr="00A07FE8">
        <w:t xml:space="preserve">, </w:t>
      </w:r>
      <w:r w:rsidRPr="00A07FE8">
        <w:t>and thus the heat generation rate</w:t>
      </w:r>
      <w:r w:rsidR="005C3065" w:rsidRPr="00A07FE8">
        <w:t xml:space="preserve">, </w:t>
      </w:r>
      <w:r w:rsidRPr="00A07FE8">
        <w:t xml:space="preserve">increases exponentially with temperature, whereas the heat removal capacity typically follows a linear trend. Consequently, the system may rapidly reach conditions </w:t>
      </w:r>
      <w:r w:rsidR="00AD1125" w:rsidRPr="00A07FE8">
        <w:t>in correspondence of which</w:t>
      </w:r>
      <w:r w:rsidRPr="00A07FE8">
        <w:t xml:space="preserve"> the generated heat </w:t>
      </w:r>
      <w:r w:rsidR="00AD1125" w:rsidRPr="00A07FE8">
        <w:t xml:space="preserve">flux </w:t>
      </w:r>
      <w:r w:rsidRPr="00A07FE8">
        <w:t xml:space="preserve">exceeds the removable </w:t>
      </w:r>
      <w:r w:rsidR="00AD1125" w:rsidRPr="00A07FE8">
        <w:t>one</w:t>
      </w:r>
      <w:r w:rsidRPr="00A07FE8">
        <w:t>. For this reason, strict process control is essential to prevent conditions that may trigger a runaway reaction (Kummer et al., 2021).</w:t>
      </w:r>
    </w:p>
    <w:p w14:paraId="1DD7C2DD" w14:textId="2193C1C1" w:rsidR="00A438E6" w:rsidRPr="00A07FE8" w:rsidRDefault="00A438E6" w:rsidP="00A438E6">
      <w:pPr>
        <w:pStyle w:val="CETBodytext"/>
      </w:pPr>
      <w:r w:rsidRPr="00A07FE8">
        <w:t xml:space="preserve">The consequences of </w:t>
      </w:r>
      <w:r w:rsidR="00697CE7">
        <w:t xml:space="preserve">a </w:t>
      </w:r>
      <w:r w:rsidRPr="00A07FE8">
        <w:t xml:space="preserve">thermal runaway </w:t>
      </w:r>
      <w:r w:rsidR="00697CE7">
        <w:t xml:space="preserve">triggering </w:t>
      </w:r>
      <w:r w:rsidRPr="00A07FE8">
        <w:t>can vary in severity</w:t>
      </w:r>
      <w:r w:rsidR="00CD2A16">
        <w:t xml:space="preserve"> but</w:t>
      </w:r>
      <w:r w:rsidR="00697CE7">
        <w:t>,</w:t>
      </w:r>
      <w:r w:rsidRPr="00A07FE8">
        <w:t xml:space="preserve"> when</w:t>
      </w:r>
      <w:r w:rsidR="00073C62" w:rsidRPr="00A07FE8">
        <w:t>ever</w:t>
      </w:r>
      <w:r w:rsidRPr="00A07FE8">
        <w:t xml:space="preserve"> </w:t>
      </w:r>
      <w:r w:rsidR="00186440">
        <w:t>a</w:t>
      </w:r>
      <w:r w:rsidR="006425D0">
        <w:t xml:space="preserve">n uncontrolled temperature rise occurs, </w:t>
      </w:r>
      <w:r w:rsidR="00186440">
        <w:t>even pressure increase uncontrollably in a closed environment</w:t>
      </w:r>
      <w:r w:rsidRPr="00A07FE8">
        <w:t xml:space="preserve">, potentially resulting in </w:t>
      </w:r>
      <w:r w:rsidR="00B036EE">
        <w:t xml:space="preserve">either </w:t>
      </w:r>
      <w:r w:rsidRPr="00A07FE8">
        <w:t xml:space="preserve">vessel or reactor explosion (European Commission, JRC, 2016). This phenomenon is governed by the relationship </w:t>
      </w:r>
      <w:r w:rsidR="00B036EE">
        <w:t xml:space="preserve">existing </w:t>
      </w:r>
      <w:r w:rsidRPr="00A07FE8">
        <w:t xml:space="preserve">between temperature and pressure: in the presence of </w:t>
      </w:r>
      <w:r w:rsidR="00B036EE">
        <w:t xml:space="preserve">both </w:t>
      </w:r>
      <w:r w:rsidRPr="00A07FE8">
        <w:t xml:space="preserve">vapor pressure and non-condensable gases at elevated temperatures, an increase in temperature leads to a corresponding increase in </w:t>
      </w:r>
      <w:r w:rsidRPr="00A07FE8">
        <w:lastRenderedPageBreak/>
        <w:t>pressure. If the rate of pressure rise exceeds the discharge capacity of the venting system, the internal pressure may surpass the mechanical strength of the containment, ultimately causing an explosion (Liu et al., 2018).</w:t>
      </w:r>
    </w:p>
    <w:p w14:paraId="42D75713" w14:textId="62909271" w:rsidR="00A438E6" w:rsidRPr="00A07FE8" w:rsidRDefault="00A438E6" w:rsidP="00A438E6">
      <w:pPr>
        <w:pStyle w:val="CETBodytext"/>
      </w:pPr>
      <w:r w:rsidRPr="00A07FE8">
        <w:t xml:space="preserve">To mitigate such events, both preventive and protective measures can be implemented as layers of </w:t>
      </w:r>
      <w:r w:rsidR="00F66E86" w:rsidRPr="00A07FE8">
        <w:t>defense</w:t>
      </w:r>
      <w:r w:rsidRPr="00A07FE8">
        <w:t xml:space="preserve"> against hazardous scenarios. One of the primary protective measures is the installation of a pressure relief system, which ensures the safe discharge of overpressure and prevents equipment rupture (Crowl et al., 2001). As highlighted in the Workbook for Chemical Reactor Relief System Sizing, when a runaway reaction is foreseeable, the design of a relief system is required (DIERS, 1998). This process involves identifying an appropriate system location and sizing it bas</w:t>
      </w:r>
      <w:r w:rsidR="007943FF">
        <w:t>ed</w:t>
      </w:r>
      <w:r w:rsidRPr="00A07FE8">
        <w:t xml:space="preserve"> on the worst credible scenario (epa.gov). These aspects are critical, as improper sizing may result in insufficient discharge capacity (Hare et al., 2011), potentially leading to equipment failure and severe consequences, including loss of life and assets. Proper relief system design requires a thorough understanding of the reaction system, and one of the most widely adopted methodologies is that developed by the Design Institute for Emergency Relief Systems (DIERS).</w:t>
      </w:r>
    </w:p>
    <w:p w14:paraId="6DFBEC9D" w14:textId="77777777" w:rsidR="00010ABA" w:rsidRPr="00A07FE8" w:rsidRDefault="00A438E6" w:rsidP="00010ABA">
      <w:pPr>
        <w:pStyle w:val="CETBodytext"/>
      </w:pPr>
      <w:r w:rsidRPr="00A07FE8">
        <w:t>The widespread adoption of the DIERS methodology is largely due to its relative simplicity and its tendency to provide conservative results</w:t>
      </w:r>
      <w:r w:rsidR="00735ADC" w:rsidRPr="00A07FE8">
        <w:t xml:space="preserve">, </w:t>
      </w:r>
      <w:r w:rsidRPr="00A07FE8">
        <w:t>particularly for gassy systems</w:t>
      </w:r>
      <w:r w:rsidR="00735ADC" w:rsidRPr="00A07FE8">
        <w:t xml:space="preserve">, </w:t>
      </w:r>
      <w:r w:rsidRPr="00A07FE8">
        <w:t xml:space="preserve">thus ensuring adequate safety margins (Singh et al., 2016). However, as stated in the foreword of the DIERS methodology, the proposed sizing procedures are applicable exclusively to exothermic runaway reactions (DIERS, 1998). </w:t>
      </w:r>
    </w:p>
    <w:p w14:paraId="43FE7701" w14:textId="5034D412" w:rsidR="00010ABA" w:rsidRPr="00A07FE8" w:rsidRDefault="00010ABA" w:rsidP="00010ABA">
      <w:pPr>
        <w:pStyle w:val="CETBodytext"/>
      </w:pPr>
      <w:r w:rsidRPr="00A07FE8">
        <w:t>Consequently, systems involving endothermic reactions with pressure generation</w:t>
      </w:r>
      <w:r w:rsidR="00764C7A" w:rsidRPr="00A07FE8">
        <w:t xml:space="preserve">, </w:t>
      </w:r>
      <w:r w:rsidR="009857A3" w:rsidRPr="00A07FE8">
        <w:t>despite the involvement of a decomposition reaction</w:t>
      </w:r>
      <w:r w:rsidR="00206DBC">
        <w:t>,</w:t>
      </w:r>
      <w:r w:rsidR="00BF205D" w:rsidRPr="00A07FE8">
        <w:t xml:space="preserve"> </w:t>
      </w:r>
      <w:r w:rsidR="009857A3" w:rsidRPr="00A07FE8">
        <w:t xml:space="preserve">can be </w:t>
      </w:r>
      <w:r w:rsidR="00A86712">
        <w:t>n</w:t>
      </w:r>
      <w:r w:rsidR="00A33C80">
        <w:t xml:space="preserve">either </w:t>
      </w:r>
      <w:r w:rsidR="009857A3" w:rsidRPr="00A07FE8">
        <w:t>classified as runaway</w:t>
      </w:r>
      <w:r w:rsidR="00BF205D" w:rsidRPr="00A07FE8">
        <w:t xml:space="preserve"> (because reactions are endothermic)</w:t>
      </w:r>
      <w:r w:rsidR="00A33C80">
        <w:t xml:space="preserve"> </w:t>
      </w:r>
      <w:r w:rsidR="00A86712">
        <w:t>n</w:t>
      </w:r>
      <w:r w:rsidR="00A33C80">
        <w:t>or</w:t>
      </w:r>
      <w:r w:rsidRPr="00A07FE8">
        <w:t xml:space="preserve"> covered by a standardized, regulatory-recognized methodology. This lack of guidance contrasts with non-reactive systems exposed to external fire, for which well-established sizing approaches are available in current standards. Despite this, endothermic reacting systems may pose significant hazards to process safety, as they can generate substantial amounts of non-condensable gases and lead to high levels of vessel pressurization. The application of DIERS procedures developed for exothermic systems to such cases m</w:t>
      </w:r>
      <w:r w:rsidR="00A86712">
        <w:t>ight</w:t>
      </w:r>
      <w:r w:rsidRPr="00A07FE8">
        <w:t xml:space="preserve"> therefore result in improperly sized relief devices and </w:t>
      </w:r>
      <w:r w:rsidR="00800248">
        <w:t xml:space="preserve">it </w:t>
      </w:r>
      <w:r w:rsidRPr="00A07FE8">
        <w:t>m</w:t>
      </w:r>
      <w:r w:rsidR="00800248">
        <w:t>ight</w:t>
      </w:r>
      <w:r w:rsidRPr="00A07FE8">
        <w:t xml:space="preserve"> also lack regulatory validity, potentially leading to non-compliance, penalties, or operational restrictions. </w:t>
      </w:r>
      <w:r w:rsidR="002B7FE5" w:rsidRPr="00A07FE8">
        <w:t>The aim of this work is to address this gap by proposing a methodology for relief system sizing in endothermic reaction scenarios, developed through a</w:t>
      </w:r>
      <w:r w:rsidR="00E54549" w:rsidRPr="00A07FE8">
        <w:t>n</w:t>
      </w:r>
      <w:r w:rsidR="002B7FE5" w:rsidRPr="00A07FE8">
        <w:t xml:space="preserve"> adaptation of the DIERS approach while maintaining a </w:t>
      </w:r>
      <w:r w:rsidR="00E54549" w:rsidRPr="00A07FE8">
        <w:t>reasonable</w:t>
      </w:r>
      <w:r w:rsidR="002B7FE5" w:rsidRPr="00A07FE8">
        <w:t xml:space="preserve"> scientific basis.</w:t>
      </w:r>
    </w:p>
    <w:p w14:paraId="5741900F" w14:textId="0DA3CE61" w:rsidR="00453E24" w:rsidRPr="00A07FE8" w:rsidRDefault="00FD1ABE" w:rsidP="00010ABA">
      <w:pPr>
        <w:pStyle w:val="CETHeading1"/>
      </w:pPr>
      <w:r w:rsidRPr="00A07FE8">
        <w:t>Case Study</w:t>
      </w:r>
    </w:p>
    <w:p w14:paraId="379B460B" w14:textId="21BEBB4F" w:rsidR="004B6661" w:rsidRPr="00A07FE8" w:rsidRDefault="007605B5" w:rsidP="007605B5">
      <w:pPr>
        <w:pStyle w:val="CETBodytext"/>
      </w:pPr>
      <w:r w:rsidRPr="00A07FE8">
        <w:t>The investigated case concerns the thermal decomposition of an aqueous solution of formic acid (8</w:t>
      </w:r>
      <w:r w:rsidR="00C8512D" w:rsidRPr="00A07FE8">
        <w:t>5</w:t>
      </w:r>
      <w:r w:rsidRPr="00A07FE8">
        <w:t>% w/w) subjected to an external fire in a storage tank</w:t>
      </w:r>
      <w:r w:rsidR="00EB6FB6" w:rsidRPr="00A07FE8">
        <w:t xml:space="preserve"> (selected </w:t>
      </w:r>
      <w:r w:rsidR="00E218DB" w:rsidRPr="00A07FE8">
        <w:t>worst-case</w:t>
      </w:r>
      <w:r w:rsidR="00EB6FB6" w:rsidRPr="00A07FE8">
        <w:t xml:space="preserve"> scenario, according to HazOp </w:t>
      </w:r>
      <w:r w:rsidR="004B6661" w:rsidRPr="00A07FE8">
        <w:t>analysis</w:t>
      </w:r>
      <w:r w:rsidR="00EB6FB6" w:rsidRPr="00A07FE8">
        <w:t>)</w:t>
      </w:r>
      <w:r w:rsidRPr="00A07FE8">
        <w:t xml:space="preserve">. </w:t>
      </w:r>
    </w:p>
    <w:p w14:paraId="2DAE0A02" w14:textId="0D79D082" w:rsidR="007605B5" w:rsidRPr="00A07FE8" w:rsidRDefault="007605B5" w:rsidP="007605B5">
      <w:pPr>
        <w:pStyle w:val="CETBodytext"/>
      </w:pPr>
      <w:r w:rsidRPr="00A07FE8">
        <w:t xml:space="preserve">The vessel </w:t>
      </w:r>
      <w:r w:rsidR="0088682E" w:rsidRPr="00A07FE8">
        <w:t xml:space="preserve">considered in this case study </w:t>
      </w:r>
      <w:r w:rsidR="004B6661" w:rsidRPr="00A07FE8">
        <w:t>was</w:t>
      </w:r>
      <w:r w:rsidRPr="00A07FE8">
        <w:t xml:space="preserve"> a glass-lined steel tank with a total capacity of </w:t>
      </w:r>
      <w:r w:rsidR="00274035" w:rsidRPr="00A07FE8">
        <w:t>20</w:t>
      </w:r>
      <w:r w:rsidRPr="00A07FE8">
        <w:t xml:space="preserve"> m³, designed for pressures between −1 barg and </w:t>
      </w:r>
      <w:r w:rsidR="00274035" w:rsidRPr="00A07FE8">
        <w:t>5</w:t>
      </w:r>
      <w:r w:rsidRPr="00A07FE8">
        <w:t xml:space="preserve"> barg and a maximum temperature of </w:t>
      </w:r>
      <w:r w:rsidR="00274035" w:rsidRPr="00A07FE8">
        <w:t>15</w:t>
      </w:r>
      <w:r w:rsidRPr="00A07FE8">
        <w:t>0</w:t>
      </w:r>
      <w:r w:rsidR="00274035" w:rsidRPr="00A07FE8">
        <w:t xml:space="preserve"> </w:t>
      </w:r>
      <w:r w:rsidRPr="00A07FE8">
        <w:t xml:space="preserve">°C. The maximum filling level </w:t>
      </w:r>
      <w:r w:rsidR="00085462" w:rsidRPr="00A07FE8">
        <w:t>of the vessel was</w:t>
      </w:r>
      <w:r w:rsidRPr="00A07FE8">
        <w:t xml:space="preserve"> limited to </w:t>
      </w:r>
      <w:r w:rsidR="00274035" w:rsidRPr="00A07FE8">
        <w:t>8</w:t>
      </w:r>
      <w:r w:rsidRPr="00A07FE8">
        <w:t xml:space="preserve">0% of </w:t>
      </w:r>
      <w:r w:rsidR="000411DB" w:rsidRPr="00A07FE8">
        <w:t xml:space="preserve">the </w:t>
      </w:r>
      <w:r w:rsidR="0088682E" w:rsidRPr="00A07FE8">
        <w:t>nominal volume</w:t>
      </w:r>
      <w:r w:rsidR="00085462" w:rsidRPr="00A07FE8">
        <w:t xml:space="preserve"> by a </w:t>
      </w:r>
      <w:r w:rsidR="00AE05F4" w:rsidRPr="00A07FE8">
        <w:t>high-level</w:t>
      </w:r>
      <w:r w:rsidR="000411DB" w:rsidRPr="00A07FE8">
        <w:t xml:space="preserve"> alarm and an interlock </w:t>
      </w:r>
      <w:r w:rsidR="00AE05F4" w:rsidRPr="00A07FE8">
        <w:t xml:space="preserve">linked to the pump dedicated to </w:t>
      </w:r>
      <w:r w:rsidR="00E218DB" w:rsidRPr="00A07FE8">
        <w:t>loading</w:t>
      </w:r>
      <w:r w:rsidR="00AE05F4" w:rsidRPr="00A07FE8">
        <w:t xml:space="preserve"> the vessel itself with the formic acid solution</w:t>
      </w:r>
      <w:r w:rsidRPr="00A07FE8">
        <w:t>.</w:t>
      </w:r>
      <w:r w:rsidR="00BC2F93">
        <w:t xml:space="preserve"> </w:t>
      </w:r>
      <w:r w:rsidR="00630C04">
        <w:t xml:space="preserve">Anyway, the </w:t>
      </w:r>
      <w:r w:rsidR="00EF195B">
        <w:t>normal filling level was decided to be maintained below 5</w:t>
      </w:r>
      <w:r w:rsidR="00D84338">
        <w:t>5</w:t>
      </w:r>
      <w:r w:rsidR="00EF195B">
        <w:t>% for safety reasons.</w:t>
      </w:r>
    </w:p>
    <w:p w14:paraId="38C60BD3" w14:textId="6E9EDF8B" w:rsidR="00CE5B3D" w:rsidRPr="00A07FE8" w:rsidRDefault="007605B5" w:rsidP="007605B5">
      <w:pPr>
        <w:pStyle w:val="CETBodytext"/>
      </w:pPr>
      <w:r w:rsidRPr="00A07FE8">
        <w:t xml:space="preserve">Overpressure protection </w:t>
      </w:r>
      <w:r w:rsidR="00AE05F4" w:rsidRPr="00A07FE8">
        <w:t xml:space="preserve">was </w:t>
      </w:r>
      <w:r w:rsidRPr="00A07FE8">
        <w:t xml:space="preserve">ensured by a rupture disk with a set pressure of </w:t>
      </w:r>
      <w:r w:rsidR="00274035" w:rsidRPr="00A07FE8">
        <w:t>1</w:t>
      </w:r>
      <w:r w:rsidRPr="00A07FE8">
        <w:t>.</w:t>
      </w:r>
      <w:r w:rsidR="00274035" w:rsidRPr="00A07FE8">
        <w:t>0</w:t>
      </w:r>
      <w:r w:rsidRPr="00A07FE8">
        <w:t xml:space="preserve"> barg</w:t>
      </w:r>
      <w:r w:rsidR="0002349D" w:rsidRPr="00A07FE8">
        <w:t xml:space="preserve"> (which can be also referred to as relieving pressure</w:t>
      </w:r>
      <w:r w:rsidR="00B27D06">
        <w:t>,</w:t>
      </w:r>
      <w:r w:rsidR="00DC08BA" w:rsidRPr="00A07FE8">
        <w:t xml:space="preserve"> for the sake of simplicity</w:t>
      </w:r>
      <w:r w:rsidR="0002349D" w:rsidRPr="00A07FE8">
        <w:t>)</w:t>
      </w:r>
      <w:r w:rsidRPr="00A07FE8">
        <w:t xml:space="preserve">, </w:t>
      </w:r>
      <w:r w:rsidR="00927C0F" w:rsidRPr="00A07FE8">
        <w:t xml:space="preserve">to be </w:t>
      </w:r>
      <w:r w:rsidRPr="00A07FE8">
        <w:t>sized assuming vapor generation due to fire-induced boiling</w:t>
      </w:r>
      <w:r w:rsidR="00B27D06">
        <w:t xml:space="preserve"> of the stored solution</w:t>
      </w:r>
      <w:r w:rsidRPr="00A07FE8">
        <w:t xml:space="preserve">. </w:t>
      </w:r>
      <w:r w:rsidR="00CE5B3D" w:rsidRPr="00A07FE8">
        <w:t>This choice</w:t>
      </w:r>
      <w:r w:rsidR="00EC7D2E" w:rsidRPr="00A07FE8">
        <w:t xml:space="preserve"> was </w:t>
      </w:r>
      <w:r w:rsidR="00E218DB" w:rsidRPr="00A07FE8">
        <w:t>made</w:t>
      </w:r>
      <w:r w:rsidR="00EC7D2E" w:rsidRPr="00A07FE8">
        <w:t xml:space="preserve"> because, according to both Differential Scanning Calorimetry (DSC) and </w:t>
      </w:r>
      <w:r w:rsidR="00730CAB" w:rsidRPr="00A07FE8">
        <w:t>Thermogravimetry</w:t>
      </w:r>
      <w:r w:rsidR="00020E91" w:rsidRPr="00A07FE8">
        <w:t xml:space="preserve"> (TG) </w:t>
      </w:r>
      <w:r w:rsidR="00EC7D2E" w:rsidRPr="00A07FE8">
        <w:t>investigations</w:t>
      </w:r>
      <w:r w:rsidR="002B4458" w:rsidRPr="00A07FE8">
        <w:t>, the reactive system appeared to be endothermic but pre</w:t>
      </w:r>
      <w:r w:rsidR="00907A14" w:rsidRPr="00A07FE8">
        <w:t xml:space="preserve">ssure generating. In the absence of a dedicated standard according to which carrying out a sizing </w:t>
      </w:r>
      <w:r w:rsidR="000245D3" w:rsidRPr="00A07FE8">
        <w:t>of the relief system, ISO 4126 for non-reactive but vapor generating systems seemed to be the best alternative.</w:t>
      </w:r>
    </w:p>
    <w:p w14:paraId="729B277E" w14:textId="104FED02" w:rsidR="00207881" w:rsidRPr="00A07FE8" w:rsidRDefault="00353BAA" w:rsidP="007605B5">
      <w:pPr>
        <w:pStyle w:val="CETBodytext"/>
      </w:pPr>
      <w:r>
        <w:t>Referring</w:t>
      </w:r>
      <w:r w:rsidR="00A100D4">
        <w:t xml:space="preserve"> to such a standard, </w:t>
      </w:r>
      <w:r w:rsidR="003F5FF1">
        <w:t>t</w:t>
      </w:r>
      <w:r w:rsidR="007605B5" w:rsidRPr="00A07FE8">
        <w:t xml:space="preserve">he </w:t>
      </w:r>
      <w:r w:rsidR="003F5FF1">
        <w:t>minim</w:t>
      </w:r>
      <w:r w:rsidR="008C3597">
        <w:t>um required discharge area can be calculated according to Eq. (1) and Eq. (2)</w:t>
      </w:r>
      <w:r w:rsidR="001D1B08" w:rsidRPr="00A07FE8">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547"/>
      </w:tblGrid>
      <w:tr w:rsidR="001D1B08" w:rsidRPr="00A07FE8" w14:paraId="2AC3576E" w14:textId="77777777" w:rsidTr="001D1B08">
        <w:tc>
          <w:tcPr>
            <w:tcW w:w="7230" w:type="dxa"/>
          </w:tcPr>
          <w:p w14:paraId="0A6884B3" w14:textId="6E3DD8A0" w:rsidR="001D1B08" w:rsidRPr="00A07FE8" w:rsidRDefault="003F5FF1" w:rsidP="007605B5">
            <w:pPr>
              <w:pStyle w:val="CETBodytext"/>
            </w:pPr>
            <m:oMathPara>
              <m:oMath>
                <m:r>
                  <w:rPr>
                    <w:rFonts w:ascii="Cambria Math" w:hAnsi="Cambria Math"/>
                  </w:rPr>
                  <m:t>A=</m:t>
                </m:r>
                <m:f>
                  <m:fPr>
                    <m:ctrlPr>
                      <w:rPr>
                        <w:rFonts w:ascii="Cambria Math" w:hAnsi="Cambria Math"/>
                        <w:i/>
                      </w:rPr>
                    </m:ctrlPr>
                  </m:fPr>
                  <m:num>
                    <m:acc>
                      <m:accPr>
                        <m:chr m:val="̇"/>
                        <m:ctrlPr>
                          <w:rPr>
                            <w:rFonts w:ascii="Cambria Math" w:hAnsi="Cambria Math"/>
                            <w:i/>
                          </w:rPr>
                        </m:ctrlPr>
                      </m:accPr>
                      <m:e>
                        <m:r>
                          <w:rPr>
                            <w:rFonts w:ascii="Cambria Math" w:hAnsi="Cambria Math"/>
                          </w:rPr>
                          <m:t>m</m:t>
                        </m:r>
                      </m:e>
                    </m:acc>
                  </m:num>
                  <m:den>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0</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M</m:t>
                            </m:r>
                          </m:num>
                          <m:den>
                            <m:r>
                              <w:rPr>
                                <w:rFonts w:ascii="Cambria Math" w:hAnsi="Cambria Math"/>
                              </w:rPr>
                              <m:t>Z</m:t>
                            </m:r>
                            <m:sSub>
                              <m:sSubPr>
                                <m:ctrlPr>
                                  <w:rPr>
                                    <w:rFonts w:ascii="Cambria Math" w:hAnsi="Cambria Math"/>
                                    <w:i/>
                                  </w:rPr>
                                </m:ctrlPr>
                              </m:sSubPr>
                              <m:e>
                                <m:r>
                                  <w:rPr>
                                    <w:rFonts w:ascii="Cambria Math" w:hAnsi="Cambria Math"/>
                                  </w:rPr>
                                  <m:t>T</m:t>
                                </m:r>
                              </m:e>
                              <m:sub>
                                <m:r>
                                  <w:rPr>
                                    <w:rFonts w:ascii="Cambria Math" w:hAnsi="Cambria Math"/>
                                  </w:rPr>
                                  <m:t>0</m:t>
                                </m:r>
                              </m:sub>
                            </m:sSub>
                          </m:den>
                        </m:f>
                      </m:e>
                    </m:rad>
                  </m:den>
                </m:f>
              </m:oMath>
            </m:oMathPara>
          </w:p>
        </w:tc>
        <w:tc>
          <w:tcPr>
            <w:tcW w:w="1547" w:type="dxa"/>
          </w:tcPr>
          <w:p w14:paraId="66B78DAF" w14:textId="1631A462" w:rsidR="00761040" w:rsidRPr="00A07FE8" w:rsidRDefault="00DC1B9E" w:rsidP="007605B5">
            <w:pPr>
              <w:pStyle w:val="CETBodytext"/>
            </w:pPr>
            <w:r w:rsidRPr="00A07FE8">
              <w:t>(1)</w:t>
            </w:r>
          </w:p>
        </w:tc>
      </w:tr>
      <w:tr w:rsidR="00761040" w:rsidRPr="00A07FE8" w14:paraId="6F91804E" w14:textId="77777777" w:rsidTr="001D1B08">
        <w:tc>
          <w:tcPr>
            <w:tcW w:w="7230" w:type="dxa"/>
          </w:tcPr>
          <w:p w14:paraId="5E7ED3C1" w14:textId="25CC7EB2" w:rsidR="00761040" w:rsidRPr="00A07FE8" w:rsidRDefault="00E14538" w:rsidP="007605B5">
            <w:pPr>
              <w:pStyle w:val="CETBodytext"/>
            </w:pPr>
            <m:oMathPara>
              <m:oMath>
                <m:r>
                  <w:rPr>
                    <w:rFonts w:ascii="Cambria Math" w:hAnsi="Cambria Math"/>
                  </w:rPr>
                  <m:t>C=3.948</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k</m:t>
                        </m:r>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k+1</m:t>
                                </m:r>
                              </m:den>
                            </m:f>
                          </m:e>
                        </m:d>
                      </m:e>
                      <m:sup>
                        <m:f>
                          <m:fPr>
                            <m:ctrlPr>
                              <w:rPr>
                                <w:rFonts w:ascii="Cambria Math" w:hAnsi="Cambria Math"/>
                                <w:i/>
                              </w:rPr>
                            </m:ctrlPr>
                          </m:fPr>
                          <m:num>
                            <m:r>
                              <w:rPr>
                                <w:rFonts w:ascii="Cambria Math" w:hAnsi="Cambria Math"/>
                              </w:rPr>
                              <m:t>k+1</m:t>
                            </m:r>
                          </m:num>
                          <m:den>
                            <m:d>
                              <m:dPr>
                                <m:ctrlPr>
                                  <w:rPr>
                                    <w:rFonts w:ascii="Cambria Math" w:hAnsi="Cambria Math"/>
                                    <w:i/>
                                  </w:rPr>
                                </m:ctrlPr>
                              </m:dPr>
                              <m:e>
                                <m:r>
                                  <w:rPr>
                                    <w:rFonts w:ascii="Cambria Math" w:hAnsi="Cambria Math"/>
                                  </w:rPr>
                                  <m:t>k-1</m:t>
                                </m:r>
                              </m:e>
                            </m:d>
                          </m:den>
                        </m:f>
                      </m:sup>
                    </m:sSup>
                  </m:e>
                </m:rad>
              </m:oMath>
            </m:oMathPara>
          </w:p>
        </w:tc>
        <w:tc>
          <w:tcPr>
            <w:tcW w:w="1547" w:type="dxa"/>
          </w:tcPr>
          <w:p w14:paraId="428E7E56" w14:textId="7BD57702" w:rsidR="00761040" w:rsidRPr="00A07FE8" w:rsidRDefault="00E14538" w:rsidP="007605B5">
            <w:pPr>
              <w:pStyle w:val="CETBodytext"/>
            </w:pPr>
            <w:r w:rsidRPr="00A07FE8">
              <w:t>(2)</w:t>
            </w:r>
          </w:p>
        </w:tc>
      </w:tr>
    </w:tbl>
    <w:p w14:paraId="6809AE17" w14:textId="7468231B" w:rsidR="001D1B08" w:rsidRPr="00A07FE8" w:rsidRDefault="004C70B9" w:rsidP="007605B5">
      <w:pPr>
        <w:pStyle w:val="CETBodytext"/>
      </w:pPr>
      <w:r w:rsidRPr="00A07FE8">
        <w:t>w</w:t>
      </w:r>
      <w:r w:rsidR="00DC1B9E" w:rsidRPr="00A07FE8">
        <w:t>here:</w:t>
      </w:r>
      <w:r w:rsidR="00A100D4">
        <w:t xml:space="preserve"> </w:t>
      </w:r>
      <m:oMath>
        <m:r>
          <w:rPr>
            <w:rFonts w:ascii="Cambria Math" w:hAnsi="Cambria Math"/>
          </w:rPr>
          <m:t>A</m:t>
        </m:r>
      </m:oMath>
      <w:r w:rsidR="00A100D4">
        <w:t xml:space="preserve"> is the minimum discharge area </w:t>
      </w:r>
      <w:r w:rsidR="003F5FF1">
        <w:t>to be installed on the vessel</w:t>
      </w:r>
      <w:r w:rsidR="00F51846">
        <w:t xml:space="preserve"> [</w:t>
      </w:r>
      <w:r w:rsidR="00E218DB">
        <w:t>m</w:t>
      </w:r>
      <w:r w:rsidR="00F51846">
        <w:t>m²]</w:t>
      </w:r>
      <w:r w:rsidR="003F5FF1">
        <w:t>,</w:t>
      </w:r>
      <w:r w:rsidRPr="00A07FE8">
        <w:t xml:space="preserve"> </w:t>
      </w:r>
      <m:oMath>
        <m:acc>
          <m:accPr>
            <m:chr m:val="̇"/>
            <m:ctrlPr>
              <w:rPr>
                <w:rFonts w:ascii="Cambria Math" w:hAnsi="Cambria Math"/>
                <w:i/>
              </w:rPr>
            </m:ctrlPr>
          </m:accPr>
          <m:e>
            <m:r>
              <w:rPr>
                <w:rFonts w:ascii="Cambria Math" w:hAnsi="Cambria Math"/>
              </w:rPr>
              <m:t>m</m:t>
            </m:r>
          </m:e>
        </m:acc>
      </m:oMath>
      <w:r w:rsidRPr="00A07FE8">
        <w:t xml:space="preserve"> is the </w:t>
      </w:r>
      <w:r w:rsidR="007943FF">
        <w:t>mass</w:t>
      </w:r>
      <w:r w:rsidR="00143C34">
        <w:t xml:space="preserve"> flowrate of vapors to be </w:t>
      </w:r>
      <w:r w:rsidR="00BE32A5">
        <w:t>discharged</w:t>
      </w:r>
      <w:r w:rsidRPr="00A07FE8">
        <w:t xml:space="preserve"> </w:t>
      </w:r>
      <w:r w:rsidR="00F51846">
        <w:t>[</w:t>
      </w:r>
      <w:r w:rsidRPr="00A07FE8">
        <w:t>kg/h</w:t>
      </w:r>
      <w:r w:rsidR="00F51846">
        <w:t>]</w:t>
      </w:r>
      <w:r w:rsidRPr="00A07FE8">
        <w:t xml:space="preserve">, </w:t>
      </w:r>
      <m:oMath>
        <m:sSub>
          <m:sSubPr>
            <m:ctrlPr>
              <w:rPr>
                <w:rFonts w:ascii="Cambria Math" w:hAnsi="Cambria Math"/>
                <w:i/>
              </w:rPr>
            </m:ctrlPr>
          </m:sSubPr>
          <m:e>
            <m:r>
              <w:rPr>
                <w:rFonts w:ascii="Cambria Math" w:hAnsi="Cambria Math"/>
              </w:rPr>
              <m:t>K</m:t>
            </m:r>
          </m:e>
          <m:sub>
            <m:r>
              <w:rPr>
                <w:rFonts w:ascii="Cambria Math" w:hAnsi="Cambria Math"/>
              </w:rPr>
              <m:t>d</m:t>
            </m:r>
          </m:sub>
        </m:sSub>
      </m:oMath>
      <w:r w:rsidR="005C7C4E" w:rsidRPr="00A07FE8">
        <w:t xml:space="preserve"> is the discharge coefficient </w:t>
      </w:r>
      <w:r w:rsidR="00F51846">
        <w:t>[</w:t>
      </w:r>
      <w:r w:rsidR="005C7C4E" w:rsidRPr="00A07FE8">
        <w:t>-</w:t>
      </w:r>
      <w:r w:rsidR="00F51846">
        <w:t>]</w:t>
      </w:r>
      <w:r w:rsidR="005C7C4E" w:rsidRPr="00A07FE8">
        <w:t>,</w:t>
      </w:r>
      <w:r w:rsidR="00837F56" w:rsidRPr="00A07FE8">
        <w:t xml:space="preserve"> </w:t>
      </w:r>
      <m:oMath>
        <m:r>
          <w:rPr>
            <w:rFonts w:ascii="Cambria Math" w:hAnsi="Cambria Math"/>
          </w:rPr>
          <m:t>M</m:t>
        </m:r>
      </m:oMath>
      <w:r w:rsidR="00837F56" w:rsidRPr="00A07FE8">
        <w:t xml:space="preserve"> is the molecular weight of the rel</w:t>
      </w:r>
      <w:r w:rsidR="00A15F2C" w:rsidRPr="00A07FE8">
        <w:t xml:space="preserve">ieving vapors </w:t>
      </w:r>
      <w:r w:rsidR="00F51846">
        <w:t>[</w:t>
      </w:r>
      <w:r w:rsidR="00A15F2C" w:rsidRPr="00A07FE8">
        <w:t>g/mol</w:t>
      </w:r>
      <w:r w:rsidR="00F51846">
        <w:t>]</w:t>
      </w:r>
      <w:r w:rsidR="00A15F2C" w:rsidRPr="00A07FE8">
        <w:t xml:space="preserve">, </w:t>
      </w:r>
      <m:oMath>
        <m:r>
          <w:rPr>
            <w:rFonts w:ascii="Cambria Math" w:hAnsi="Cambria Math"/>
          </w:rPr>
          <m:t>Z</m:t>
        </m:r>
      </m:oMath>
      <w:r w:rsidR="00A15F2C" w:rsidRPr="00A07FE8">
        <w:t xml:space="preserve"> is the </w:t>
      </w:r>
      <w:r w:rsidR="006B3749" w:rsidRPr="00A07FE8">
        <w:t xml:space="preserve">compressibility factor </w:t>
      </w:r>
      <w:r w:rsidR="00F51846">
        <w:t>[</w:t>
      </w:r>
      <w:r w:rsidR="006B3749" w:rsidRPr="00A07FE8">
        <w:t>-</w:t>
      </w:r>
      <w:r w:rsidR="00F51846">
        <w:t>]</w:t>
      </w:r>
      <w:r w:rsidR="006B3749" w:rsidRPr="00A07FE8">
        <w:t>,</w:t>
      </w:r>
      <w:r w:rsidR="005C7C4E" w:rsidRPr="00A07FE8">
        <w:t xml:space="preserv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5C7C4E" w:rsidRPr="00A07FE8">
        <w:t xml:space="preserve"> is </w:t>
      </w:r>
      <w:r w:rsidR="00493ECB" w:rsidRPr="00A07FE8">
        <w:t xml:space="preserve">the absolute relieving pressure </w:t>
      </w:r>
      <w:r w:rsidR="00022346">
        <w:t>[</w:t>
      </w:r>
      <w:r w:rsidR="00493ECB" w:rsidRPr="00A07FE8">
        <w:t>bara</w:t>
      </w:r>
      <w:r w:rsidR="00022346">
        <w:t>]</w:t>
      </w:r>
      <w:r w:rsidR="00493ECB" w:rsidRPr="00A07FE8">
        <w:t xml:space="preserve">, </w:t>
      </w:r>
      <m:oMath>
        <m:r>
          <w:rPr>
            <w:rFonts w:ascii="Cambria Math" w:hAnsi="Cambria Math"/>
          </w:rPr>
          <m:t>k</m:t>
        </m:r>
      </m:oMath>
      <w:r w:rsidR="00493ECB" w:rsidRPr="00A07FE8">
        <w:t xml:space="preserve"> is the is</w:t>
      </w:r>
      <w:r w:rsidR="00F51846">
        <w:t>o</w:t>
      </w:r>
      <w:r w:rsidR="0009328B" w:rsidRPr="00A07FE8">
        <w:t xml:space="preserve">entropic exponent </w:t>
      </w:r>
      <w:r w:rsidR="00F51846">
        <w:t>[</w:t>
      </w:r>
      <w:r w:rsidR="0009328B" w:rsidRPr="00A07FE8">
        <w:t>-</w:t>
      </w:r>
      <w:r w:rsidR="00F51846">
        <w:t>]</w:t>
      </w:r>
      <w:r w:rsidR="0009328B" w:rsidRPr="00A07FE8">
        <w:t>,</w:t>
      </w:r>
      <w:r w:rsidR="006B3749" w:rsidRPr="00A07FE8">
        <w:t xml:space="preserve"> and</w:t>
      </w:r>
      <w:r w:rsidR="0009328B" w:rsidRPr="00A07FE8">
        <w:t xml:space="preserve">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09328B" w:rsidRPr="00A07FE8">
        <w:t xml:space="preserve"> is the </w:t>
      </w:r>
      <w:r w:rsidR="00E30902" w:rsidRPr="00A07FE8">
        <w:t xml:space="preserve">relieving temperature </w:t>
      </w:r>
      <w:r w:rsidR="00F51846">
        <w:t>[</w:t>
      </w:r>
      <w:r w:rsidR="00E30902" w:rsidRPr="00A07FE8">
        <w:t>K</w:t>
      </w:r>
      <w:r w:rsidR="00F51846">
        <w:t>]</w:t>
      </w:r>
      <w:r w:rsidR="001A116F" w:rsidRPr="00A07FE8">
        <w:t>.</w:t>
      </w:r>
    </w:p>
    <w:p w14:paraId="3A88149E" w14:textId="3CC87A75" w:rsidR="00C8512D" w:rsidRDefault="00551A5F" w:rsidP="007605B5">
      <w:pPr>
        <w:pStyle w:val="CETBodytext"/>
      </w:pPr>
      <w:r w:rsidRPr="00A07FE8">
        <w:t>For an 85% w/w formic acid solution, a reasonable estimate for the relieving vapor temperature at 2</w:t>
      </w:r>
      <w:r w:rsidR="00DC08BA" w:rsidRPr="00A07FE8">
        <w:t>.0</w:t>
      </w:r>
      <w:r w:rsidRPr="00A07FE8">
        <w:t xml:space="preserve"> bara is about 120–125 °C; and the vapor molecular weight can plausibly lie between 18 g/mol (water-rich vapor) and 46 g/mol (formic-acid-rich vapor).</w:t>
      </w:r>
      <w:r w:rsidR="00DC08BA" w:rsidRPr="00A07FE8">
        <w:t xml:space="preserve"> </w:t>
      </w:r>
      <w:r w:rsidR="00E00CC0">
        <w:t xml:space="preserve">In the present case, </w:t>
      </w:r>
      <w:r w:rsidR="00DC08BA" w:rsidRPr="00A07FE8">
        <w:t>an average molecular weight of 30 g/mol</w:t>
      </w:r>
      <w:r w:rsidR="00E00CC0">
        <w:t xml:space="preserve"> was considered</w:t>
      </w:r>
      <w:r w:rsidR="00C226B3" w:rsidRPr="00A07FE8">
        <w:t xml:space="preserve">. </w:t>
      </w:r>
    </w:p>
    <w:p w14:paraId="5BCC29F9" w14:textId="2D85E387" w:rsidR="000100C9" w:rsidRDefault="000100C9" w:rsidP="007605B5">
      <w:pPr>
        <w:pStyle w:val="CETBodytext"/>
      </w:pPr>
      <w:r w:rsidRPr="00A07FE8">
        <w:lastRenderedPageBreak/>
        <w:t xml:space="preserve">It is also important to underline that the value of </w:t>
      </w:r>
      <m:oMath>
        <m:r>
          <w:rPr>
            <w:rFonts w:ascii="Cambria Math" w:hAnsi="Cambria Math"/>
          </w:rPr>
          <m:t>k</m:t>
        </m:r>
      </m:oMath>
      <w:r w:rsidRPr="00A07FE8">
        <w:t xml:space="preserve"> is not unique because it depends on </w:t>
      </w:r>
      <w:r w:rsidR="00B54234" w:rsidRPr="00A07FE8">
        <w:t xml:space="preserve">both </w:t>
      </w:r>
      <w:r w:rsidRPr="00A07FE8">
        <w:t xml:space="preserve">the </w:t>
      </w:r>
      <w:r w:rsidR="00B54234" w:rsidRPr="00A07FE8">
        <w:t xml:space="preserve">vapor composition above the formic acid solution and the relieving temperature. In the calculation, an average value of 1.3 </w:t>
      </w:r>
      <w:r w:rsidR="005268DA" w:rsidRPr="00A07FE8">
        <w:t>was assumed.</w:t>
      </w:r>
      <w:r w:rsidR="006B3749" w:rsidRPr="00A07FE8">
        <w:t xml:space="preserve"> </w:t>
      </w:r>
    </w:p>
    <w:p w14:paraId="3D9D37F5" w14:textId="0E7AB744" w:rsidR="001871CB" w:rsidRDefault="001871CB" w:rsidP="007605B5">
      <w:pPr>
        <w:pStyle w:val="CETBodytext"/>
      </w:pPr>
      <w:r>
        <w:t xml:space="preserve">In order to </w:t>
      </w:r>
      <w:r w:rsidR="00BE32A5">
        <w:t>calculate</w:t>
      </w:r>
      <w:r>
        <w:t xml:space="preserve"> the </w:t>
      </w:r>
      <w:r w:rsidR="007943FF">
        <w:t>mass</w:t>
      </w:r>
      <w:r w:rsidR="00DB4AB7">
        <w:t xml:space="preserve"> </w:t>
      </w:r>
      <w:r w:rsidR="00B3024C">
        <w:t xml:space="preserve">vapor flowrate to be discharged, it </w:t>
      </w:r>
      <w:r w:rsidR="004B0892">
        <w:t xml:space="preserve">is necessary to refer to the </w:t>
      </w:r>
      <w:r w:rsidR="00E218DB">
        <w:t>worst-case</w:t>
      </w:r>
      <w:r w:rsidR="004B0892">
        <w:t xml:space="preserve"> scenario hypothesized for the storage vessel selected. </w:t>
      </w:r>
      <w:r w:rsidR="00336F0A">
        <w:t xml:space="preserve">API </w:t>
      </w:r>
      <w:r w:rsidR="00022346">
        <w:t>5</w:t>
      </w:r>
      <w:r w:rsidR="00336F0A">
        <w:t>21</w:t>
      </w:r>
      <w:r w:rsidR="00AD56DD">
        <w:t xml:space="preserve"> </w:t>
      </w:r>
      <w:r w:rsidR="008936E3">
        <w:t xml:space="preserve">(or “Raccolta E”) </w:t>
      </w:r>
      <w:r w:rsidR="00AD56DD">
        <w:t xml:space="preserve">standard was selected </w:t>
      </w:r>
      <w:r w:rsidR="00FF0B5D">
        <w:t>for such a calculation. Particularly, a</w:t>
      </w:r>
      <w:r w:rsidR="00E34B46">
        <w:t xml:space="preserve">n exposed vessel surface to a standard fire of </w:t>
      </w:r>
      <w:r w:rsidR="00E25CCC">
        <w:t>8</w:t>
      </w:r>
      <w:r w:rsidR="00F8769F">
        <w:t xml:space="preserve"> m</w:t>
      </w:r>
      <w:r w:rsidR="00F8769F" w:rsidRPr="00E25CCC">
        <w:rPr>
          <w:vertAlign w:val="superscript"/>
        </w:rPr>
        <w:t>2</w:t>
      </w:r>
      <w:r w:rsidR="00F8769F">
        <w:t xml:space="preserve"> was selected (it correspond</w:t>
      </w:r>
      <w:r w:rsidR="00CE009F">
        <w:t>s</w:t>
      </w:r>
      <w:r w:rsidR="00F8769F">
        <w:t xml:space="preserve"> to half of the total lateral surface of </w:t>
      </w:r>
      <w:r w:rsidR="0024352B">
        <w:t xml:space="preserve">an ideal </w:t>
      </w:r>
      <w:r w:rsidR="00E25CCC">
        <w:t>cylinder</w:t>
      </w:r>
      <w:r w:rsidR="00CE009F">
        <w:t xml:space="preserve"> of 20 m</w:t>
      </w:r>
      <w:r w:rsidR="00CE009F" w:rsidRPr="00CE009F">
        <w:rPr>
          <w:vertAlign w:val="superscript"/>
        </w:rPr>
        <w:t>3</w:t>
      </w:r>
      <w:r w:rsidR="00CE009F">
        <w:t xml:space="preserve"> of volume and 2.5 m of diameter).</w:t>
      </w:r>
      <w:r w:rsidR="00C776AF">
        <w:t xml:space="preserve"> Under such conditions, and considering a latent heat of 1050 kJ/kg for the 85% w/w formic acid solution, </w:t>
      </w:r>
      <w:r w:rsidR="00375FBD">
        <w:t>it was possible to calculate a</w:t>
      </w:r>
      <w:r w:rsidR="0043795C">
        <w:t xml:space="preserve"> </w:t>
      </w:r>
      <w:r w:rsidR="004C24D5">
        <w:t xml:space="preserve">vapor </w:t>
      </w:r>
      <w:r w:rsidR="007943FF">
        <w:t>mass</w:t>
      </w:r>
      <w:r w:rsidR="0043795C">
        <w:t xml:space="preserve"> flowrate of </w:t>
      </w:r>
      <w:r w:rsidR="008936E3">
        <w:t xml:space="preserve">approximately </w:t>
      </w:r>
      <w:r w:rsidR="0043795C">
        <w:t>812 kg/h. By applying Eq. (1)</w:t>
      </w:r>
      <w:r w:rsidR="00853838">
        <w:t xml:space="preserve">, a rupture disk </w:t>
      </w:r>
      <w:r w:rsidR="00834B21">
        <w:t xml:space="preserve">of a diameter equal to </w:t>
      </w:r>
      <w:r w:rsidR="00853838">
        <w:t>6 cm</w:t>
      </w:r>
      <w:r w:rsidR="00834B21">
        <w:t xml:space="preserve"> </w:t>
      </w:r>
      <w:r w:rsidR="00E82A10">
        <w:t xml:space="preserve">is achieved. In this case, no safety correction factors were applied because the standard </w:t>
      </w:r>
      <w:r w:rsidR="00912037">
        <w:t>already considers them.</w:t>
      </w:r>
    </w:p>
    <w:p w14:paraId="44A81B79" w14:textId="26319EAE" w:rsidR="00FC6833" w:rsidRPr="00A07FE8" w:rsidRDefault="005C17C3" w:rsidP="00FC6833">
      <w:pPr>
        <w:pStyle w:val="CETBodytext"/>
      </w:pPr>
      <w:r w:rsidRPr="00A07FE8">
        <w:t xml:space="preserve">Concerning the thermal stability of </w:t>
      </w:r>
      <w:r w:rsidR="000E0110" w:rsidRPr="00A07FE8">
        <w:t>the</w:t>
      </w:r>
      <w:r w:rsidRPr="00A07FE8">
        <w:t xml:space="preserve"> aqueous formic acid solution, it is well known that </w:t>
      </w:r>
      <w:r w:rsidR="005931DD" w:rsidRPr="00A07FE8">
        <w:t>f</w:t>
      </w:r>
      <w:r w:rsidR="00FC6833" w:rsidRPr="00A07FE8">
        <w:t xml:space="preserve">ormic acid (HCOOH) can decompose through two primary competing routes: </w:t>
      </w:r>
      <w:r w:rsidR="008E21E1" w:rsidRPr="00A07FE8">
        <w:t xml:space="preserve">the first one regards a dehydration pathway producing carbon monoxide (CO) </w:t>
      </w:r>
      <w:r w:rsidR="00030E33" w:rsidRPr="00A07FE8">
        <w:t>and water (H</w:t>
      </w:r>
      <w:r w:rsidR="00030E33" w:rsidRPr="00A07FE8">
        <w:rPr>
          <w:vertAlign w:val="subscript"/>
        </w:rPr>
        <w:t>2</w:t>
      </w:r>
      <w:r w:rsidR="00030E33" w:rsidRPr="00A07FE8">
        <w:t xml:space="preserve">O); the second one is a dehydrogenation pathway </w:t>
      </w:r>
      <w:r w:rsidR="00183D38" w:rsidRPr="00A07FE8">
        <w:t>producing both</w:t>
      </w:r>
      <w:r w:rsidR="00030E33" w:rsidRPr="00A07FE8">
        <w:t xml:space="preserve"> </w:t>
      </w:r>
      <w:r w:rsidR="00183D38" w:rsidRPr="00A07FE8">
        <w:t>carbon dioxide (</w:t>
      </w:r>
      <w:r w:rsidR="00030E33" w:rsidRPr="00A07FE8">
        <w:t>CO</w:t>
      </w:r>
      <w:r w:rsidR="00030E33" w:rsidRPr="00A07FE8">
        <w:rPr>
          <w:rFonts w:ascii="Cambria Math" w:hAnsi="Cambria Math" w:cs="Cambria Math"/>
        </w:rPr>
        <w:t>₂</w:t>
      </w:r>
      <w:r w:rsidR="00183D38" w:rsidRPr="00A07FE8">
        <w:t>) and hydrogen (</w:t>
      </w:r>
      <w:r w:rsidR="00030E33" w:rsidRPr="00A07FE8">
        <w:t>H</w:t>
      </w:r>
      <w:r w:rsidR="00030E33" w:rsidRPr="00A07FE8">
        <w:rPr>
          <w:rFonts w:ascii="Cambria Math" w:hAnsi="Cambria Math" w:cs="Cambria Math"/>
        </w:rPr>
        <w:t>₂</w:t>
      </w:r>
      <w:r w:rsidR="00183D38" w:rsidRPr="00A07FE8">
        <w:t xml:space="preserve">). </w:t>
      </w:r>
      <w:r w:rsidR="00CB5E29" w:rsidRPr="00A07FE8">
        <w:t xml:space="preserve">The first pathway is </w:t>
      </w:r>
      <w:r w:rsidR="00A57569" w:rsidRPr="00A07FE8">
        <w:t xml:space="preserve">typically endothermic </w:t>
      </w:r>
      <w:r w:rsidR="00D775B3" w:rsidRPr="00A07FE8">
        <w:t>(</w:t>
      </w:r>
      <w:r w:rsidR="00A57569" w:rsidRPr="00A07FE8">
        <w:t>or weakly thermoneutral</w:t>
      </w:r>
      <w:r w:rsidR="00D775B3" w:rsidRPr="00A07FE8">
        <w:t>)</w:t>
      </w:r>
      <w:r w:rsidR="00A57569" w:rsidRPr="00A07FE8">
        <w:t>, favored at higher temperatures and in the presence of acidic or metallic surfaces</w:t>
      </w:r>
      <w:r w:rsidR="00DA02C6">
        <w:t>; it is</w:t>
      </w:r>
      <w:r w:rsidR="00C5716B" w:rsidRPr="00A07FE8">
        <w:t xml:space="preserve"> o</w:t>
      </w:r>
      <w:r w:rsidR="00A57569" w:rsidRPr="00A07FE8">
        <w:t>ften dominant in gas-phase or low-water conditions</w:t>
      </w:r>
      <w:r w:rsidR="00C5716B" w:rsidRPr="00A07FE8">
        <w:t xml:space="preserve">. On the other hand, the second pathway </w:t>
      </w:r>
      <w:r w:rsidR="00985640" w:rsidRPr="00A07FE8">
        <w:t xml:space="preserve">is usually slightly endothermic (or mildly exothermic depending on conditions), favored in aqueous systems (as in this case study) and in the presence of catalytic surfaces (e.g., metals). </w:t>
      </w:r>
      <w:r w:rsidR="00256F5E" w:rsidRPr="00A07FE8">
        <w:t xml:space="preserve">In the presence of an external fire, the second pathway can be triggered </w:t>
      </w:r>
      <w:r w:rsidR="003E04CB" w:rsidRPr="00A07FE8">
        <w:t xml:space="preserve">inside a storage tank </w:t>
      </w:r>
      <w:r w:rsidR="00256F5E" w:rsidRPr="00A07FE8">
        <w:t>and</w:t>
      </w:r>
      <w:r w:rsidR="003E04CB" w:rsidRPr="00A07FE8">
        <w:t>,</w:t>
      </w:r>
      <w:r w:rsidR="00256F5E" w:rsidRPr="00A07FE8">
        <w:t xml:space="preserve"> therefore</w:t>
      </w:r>
      <w:r w:rsidR="003E04CB" w:rsidRPr="00A07FE8">
        <w:t>,</w:t>
      </w:r>
      <w:r w:rsidR="00256F5E" w:rsidRPr="00A07FE8">
        <w:t xml:space="preserve"> it is possible to observe </w:t>
      </w:r>
      <w:r w:rsidR="003E04CB" w:rsidRPr="00A07FE8">
        <w:t>a huge pressure increase during the accidental event</w:t>
      </w:r>
      <w:r w:rsidR="005931DD" w:rsidRPr="00A07FE8">
        <w:t>.</w:t>
      </w:r>
      <w:r w:rsidR="006B1EB7">
        <w:t xml:space="preserve"> In such a case, the available </w:t>
      </w:r>
      <w:r w:rsidR="004138A2">
        <w:t xml:space="preserve">discharge </w:t>
      </w:r>
      <w:r w:rsidR="006B1EB7">
        <w:t xml:space="preserve">diameter </w:t>
      </w:r>
      <w:r w:rsidR="00D26714">
        <w:t xml:space="preserve">of the rupture disk, </w:t>
      </w:r>
      <w:r w:rsidR="006B1EB7">
        <w:t xml:space="preserve">calculated using </w:t>
      </w:r>
      <w:r w:rsidR="004138A2">
        <w:t>ISO 4126</w:t>
      </w:r>
      <w:r w:rsidR="00D26714">
        <w:t>,</w:t>
      </w:r>
      <w:r w:rsidR="004138A2">
        <w:t xml:space="preserve"> could not be enough </w:t>
      </w:r>
      <w:r w:rsidR="00D26714">
        <w:t xml:space="preserve">for preventing the storage vessel breakdown. </w:t>
      </w:r>
    </w:p>
    <w:p w14:paraId="677EBFF0" w14:textId="139D1BDE" w:rsidR="00600535" w:rsidRPr="00A07FE8" w:rsidRDefault="00F727B3" w:rsidP="00600535">
      <w:pPr>
        <w:pStyle w:val="CETHeading1"/>
        <w:tabs>
          <w:tab w:val="clear" w:pos="360"/>
          <w:tab w:val="right" w:pos="7100"/>
        </w:tabs>
        <w:jc w:val="both"/>
      </w:pPr>
      <w:r w:rsidRPr="00A07FE8">
        <w:t>Experimental</w:t>
      </w:r>
      <w:r w:rsidR="00D20DFA" w:rsidRPr="00A07FE8">
        <w:t xml:space="preserve"> investigation</w:t>
      </w:r>
    </w:p>
    <w:p w14:paraId="746E61F0" w14:textId="07F46B29" w:rsidR="002C2130" w:rsidRPr="00A07FE8" w:rsidRDefault="001C3E2D" w:rsidP="001C3E2D">
      <w:pPr>
        <w:pStyle w:val="CETBodytext"/>
      </w:pPr>
      <w:r w:rsidRPr="00A07FE8">
        <w:t>The thermal behavior of the system was investigated using low thermal inertia calorimetry (PHI-TEC II) under Heat–Wait–Search (HWS) conditions</w:t>
      </w:r>
      <w:r w:rsidR="002131C8" w:rsidRPr="00A07FE8">
        <w:t>,</w:t>
      </w:r>
      <w:r w:rsidRPr="00A07FE8">
        <w:t xml:space="preserve"> with temperature steps of </w:t>
      </w:r>
      <w:r w:rsidR="002131C8" w:rsidRPr="00A07FE8">
        <w:t>10</w:t>
      </w:r>
      <w:r w:rsidR="00D93ADB" w:rsidRPr="00A07FE8">
        <w:t xml:space="preserve"> </w:t>
      </w:r>
      <w:r w:rsidRPr="00A07FE8">
        <w:t>°C</w:t>
      </w:r>
      <w:r w:rsidR="002131C8" w:rsidRPr="00A07FE8">
        <w:t>,</w:t>
      </w:r>
      <w:r w:rsidRPr="00A07FE8">
        <w:t xml:space="preserve"> over </w:t>
      </w:r>
      <w:r w:rsidR="00D93ADB" w:rsidRPr="00A07FE8">
        <w:t>a temperature</w:t>
      </w:r>
      <w:r w:rsidRPr="00A07FE8">
        <w:t xml:space="preserve"> range </w:t>
      </w:r>
      <w:r w:rsidR="00D93ADB" w:rsidRPr="00A07FE8">
        <w:t xml:space="preserve">spanning from </w:t>
      </w:r>
      <w:r w:rsidRPr="00A07FE8">
        <w:t>30</w:t>
      </w:r>
      <w:r w:rsidR="00D93ADB" w:rsidRPr="00A07FE8">
        <w:t xml:space="preserve"> to </w:t>
      </w:r>
      <w:r w:rsidRPr="00A07FE8">
        <w:t>180 °C</w:t>
      </w:r>
      <w:r w:rsidR="002131C8" w:rsidRPr="00A07FE8">
        <w:t xml:space="preserve"> (then</w:t>
      </w:r>
      <w:r w:rsidR="00D84338">
        <w:t>,</w:t>
      </w:r>
      <w:r w:rsidR="002131C8" w:rsidRPr="00A07FE8">
        <w:t xml:space="preserve"> cooling was started)</w:t>
      </w:r>
      <w:r w:rsidRPr="00A07FE8">
        <w:t xml:space="preserve">. </w:t>
      </w:r>
      <w:r w:rsidR="002C2130" w:rsidRPr="00A07FE8">
        <w:t>The chosen filling level was</w:t>
      </w:r>
      <w:r w:rsidR="003D0A48" w:rsidRPr="00A07FE8">
        <w:t xml:space="preserve"> 53%</w:t>
      </w:r>
      <w:r w:rsidR="00433B0B" w:rsidRPr="00A07FE8">
        <w:t>.</w:t>
      </w:r>
    </w:p>
    <w:p w14:paraId="75A1DA40" w14:textId="46D003A8" w:rsidR="00D2323D" w:rsidRPr="00A07FE8" w:rsidRDefault="00D84338" w:rsidP="001C3E2D">
      <w:pPr>
        <w:pStyle w:val="CETBodytext"/>
      </w:pPr>
      <w:r>
        <w:t>E</w:t>
      </w:r>
      <w:r w:rsidR="001C3E2D" w:rsidRPr="00A07FE8">
        <w:t>xperimental results show</w:t>
      </w:r>
      <w:r w:rsidR="009128E2" w:rsidRPr="00A07FE8">
        <w:t>ed</w:t>
      </w:r>
      <w:r w:rsidR="001C3E2D" w:rsidRPr="00A07FE8">
        <w:t xml:space="preserve"> that the system d</w:t>
      </w:r>
      <w:r w:rsidR="009128E2" w:rsidRPr="00A07FE8">
        <w:t>id</w:t>
      </w:r>
      <w:r w:rsidR="001C3E2D" w:rsidRPr="00A07FE8">
        <w:t xml:space="preserve"> not </w:t>
      </w:r>
      <w:r w:rsidR="00CD005C" w:rsidRPr="00A07FE8">
        <w:t xml:space="preserve">exhibit a </w:t>
      </w:r>
      <w:r w:rsidR="001C3E2D" w:rsidRPr="00A07FE8">
        <w:t xml:space="preserve">transition to adiabatic conditions within </w:t>
      </w:r>
      <w:r w:rsidR="009128E2" w:rsidRPr="00A07FE8">
        <w:t xml:space="preserve">all </w:t>
      </w:r>
      <w:r w:rsidR="001C3E2D" w:rsidRPr="00A07FE8">
        <w:t xml:space="preserve">the investigated </w:t>
      </w:r>
      <w:r w:rsidR="00CD005C" w:rsidRPr="00A07FE8">
        <w:t xml:space="preserve">temperature </w:t>
      </w:r>
      <w:r w:rsidR="001C3E2D" w:rsidRPr="00A07FE8">
        <w:t>range</w:t>
      </w:r>
      <w:r w:rsidR="00433B0B" w:rsidRPr="00A07FE8">
        <w:t xml:space="preserve"> (the HWS steps are clearly visible in Figure 1)</w:t>
      </w:r>
      <w:r w:rsidR="001C3E2D" w:rsidRPr="00A07FE8">
        <w:t>, indicating the absence of self-sustained exothermic decomposition</w:t>
      </w:r>
      <w:r w:rsidR="00D2323D" w:rsidRPr="00A07FE8">
        <w:t xml:space="preserve"> (heat must be continuously provided)</w:t>
      </w:r>
      <w:r w:rsidR="001C3E2D" w:rsidRPr="00A07FE8">
        <w:t xml:space="preserve">. </w:t>
      </w:r>
    </w:p>
    <w:p w14:paraId="0437FAC8" w14:textId="63EC4D05" w:rsidR="00920330" w:rsidRPr="00A07FE8" w:rsidRDefault="00920330" w:rsidP="00920330">
      <w:pPr>
        <w:pStyle w:val="CETBodytext"/>
        <w:jc w:val="center"/>
      </w:pPr>
      <w:r w:rsidRPr="00A07FE8">
        <w:rPr>
          <w:noProof/>
        </w:rPr>
        <w:drawing>
          <wp:inline distT="0" distB="0" distL="0" distR="0" wp14:anchorId="7B539D11" wp14:editId="679314FC">
            <wp:extent cx="3718701" cy="2788920"/>
            <wp:effectExtent l="0" t="0" r="0" b="0"/>
            <wp:docPr id="1365551020" name="Immagine 3"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51020" name="Immagine 2" descr="Immagine che contiene testo, linea, Diagramma, diagramma&#10;&#10;Descrizione generata automaticamente"/>
                    <pic:cNvPicPr/>
                  </pic:nvPicPr>
                  <pic:blipFill>
                    <a:blip r:embed="rId10"/>
                    <a:stretch>
                      <a:fillRect/>
                    </a:stretch>
                  </pic:blipFill>
                  <pic:spPr>
                    <a:xfrm>
                      <a:off x="0" y="0"/>
                      <a:ext cx="3739585" cy="2804582"/>
                    </a:xfrm>
                    <a:prstGeom prst="rect">
                      <a:avLst/>
                    </a:prstGeom>
                  </pic:spPr>
                </pic:pic>
              </a:graphicData>
            </a:graphic>
          </wp:inline>
        </w:drawing>
      </w:r>
    </w:p>
    <w:p w14:paraId="729C79C9" w14:textId="7C84FA23" w:rsidR="00920330" w:rsidRPr="00A07FE8" w:rsidRDefault="00920330" w:rsidP="00920330">
      <w:pPr>
        <w:pStyle w:val="CETCaption"/>
        <w:rPr>
          <w:lang w:val="en-US"/>
        </w:rPr>
      </w:pPr>
      <w:r w:rsidRPr="00A07FE8">
        <w:rPr>
          <w:lang w:val="en-US"/>
        </w:rPr>
        <w:t>Figure 1: Temperature and Pressure vs. time trend during a Heat-Wait-Search test in a PHI-TEC II calorimeter.</w:t>
      </w:r>
    </w:p>
    <w:p w14:paraId="3CF5C91E" w14:textId="77777777" w:rsidR="00E90F95" w:rsidRPr="00A07FE8" w:rsidRDefault="00E90F95" w:rsidP="00E90F95">
      <w:pPr>
        <w:pStyle w:val="CETBodytext"/>
      </w:pPr>
      <w:r w:rsidRPr="00A07FE8">
        <w:t xml:space="preserve">However, a significant increase in pressure was observed during the series of heating steps, along with a residual pressure after cooling (more than 35 bara), indicating the formation of non-condensable gases (see Figure 1). </w:t>
      </w:r>
    </w:p>
    <w:p w14:paraId="50EDABEE" w14:textId="681501D4" w:rsidR="002D6E3D" w:rsidRPr="00A07FE8" w:rsidRDefault="007C3833" w:rsidP="009F0423">
      <w:pPr>
        <w:pStyle w:val="CETBodytext"/>
      </w:pPr>
      <w:r w:rsidRPr="00A07FE8">
        <w:lastRenderedPageBreak/>
        <w:t>Referring to an</w:t>
      </w:r>
      <w:r w:rsidR="001C3E2D" w:rsidRPr="00A07FE8">
        <w:t xml:space="preserve"> Antoine</w:t>
      </w:r>
      <w:r w:rsidRPr="00A07FE8">
        <w:t xml:space="preserve"> plot</w:t>
      </w:r>
      <w:r w:rsidR="00397C45" w:rsidRPr="00A07FE8">
        <w:t>,</w:t>
      </w:r>
      <w:r w:rsidR="001C3E2D" w:rsidRPr="00A07FE8">
        <w:t xml:space="preserve"> the presence of </w:t>
      </w:r>
      <w:r w:rsidR="00397C45" w:rsidRPr="00A07FE8">
        <w:t xml:space="preserve">a non-linear </w:t>
      </w:r>
      <w:r w:rsidR="009F0423" w:rsidRPr="00A07FE8">
        <w:t xml:space="preserve">vapor type </w:t>
      </w:r>
      <w:r w:rsidR="00397C45" w:rsidRPr="00A07FE8">
        <w:t xml:space="preserve">correlation among </w:t>
      </w:r>
      <w:r w:rsidR="009F0423" w:rsidRPr="00A07FE8">
        <w:t xml:space="preserve">pressure and temperature can be observed (see Figure 2), </w:t>
      </w:r>
      <w:r w:rsidR="001C3E2D" w:rsidRPr="00A07FE8">
        <w:t>further confirming the generation of incondensable gases</w:t>
      </w:r>
      <w:r w:rsidR="009F0423" w:rsidRPr="00A07FE8">
        <w:t xml:space="preserve"> together with the presence of </w:t>
      </w:r>
      <w:r w:rsidR="00130DAD" w:rsidRPr="00A07FE8">
        <w:t>vapors (prevalently, water</w:t>
      </w:r>
      <w:r w:rsidR="007F1BFB">
        <w:t xml:space="preserve"> and formic acid</w:t>
      </w:r>
      <w:r w:rsidR="00130DAD" w:rsidRPr="00A07FE8">
        <w:t>)</w:t>
      </w:r>
      <w:r w:rsidR="002D06F3" w:rsidRPr="00A07FE8">
        <w:t xml:space="preserve"> during the HWS test</w:t>
      </w:r>
      <w:r w:rsidR="001C3E2D" w:rsidRPr="00A07FE8">
        <w:t>.</w:t>
      </w:r>
      <w:r w:rsidR="00E90F95" w:rsidRPr="00A07FE8">
        <w:t xml:space="preserve"> </w:t>
      </w:r>
    </w:p>
    <w:p w14:paraId="3F07807E" w14:textId="787A952A" w:rsidR="001C3E2D" w:rsidRPr="00A07FE8" w:rsidRDefault="00E90F95" w:rsidP="009F0423">
      <w:pPr>
        <w:pStyle w:val="CETBodytext"/>
      </w:pPr>
      <w:r w:rsidRPr="00A07FE8">
        <w:t xml:space="preserve">Particularly, </w:t>
      </w:r>
      <w:r w:rsidR="00510B67" w:rsidRPr="00A07FE8">
        <w:t xml:space="preserve">calculating the linear </w:t>
      </w:r>
      <w:r w:rsidR="004547C1" w:rsidRPr="00A07FE8">
        <w:t xml:space="preserve">correlation coefficient of the Antoine plot a value of 0.8857 was found. Such a value is </w:t>
      </w:r>
      <w:r w:rsidR="009B154C" w:rsidRPr="00A07FE8">
        <w:t xml:space="preserve">quite high and suggested a strong contribution of the </w:t>
      </w:r>
      <w:r w:rsidR="009715F8" w:rsidRPr="00A07FE8">
        <w:t xml:space="preserve">vapors to the overall pressure increase inside the system. </w:t>
      </w:r>
      <w:r w:rsidR="007A07F5" w:rsidRPr="00A07FE8">
        <w:t>Anyway, as a closed cell test</w:t>
      </w:r>
      <w:r w:rsidR="003F0247">
        <w:t xml:space="preserve"> was </w:t>
      </w:r>
      <w:r w:rsidR="003F0247" w:rsidRPr="00A07FE8">
        <w:t>carried out</w:t>
      </w:r>
      <w:r w:rsidR="007A07F5" w:rsidRPr="00A07FE8">
        <w:t xml:space="preserve">, it </w:t>
      </w:r>
      <w:r w:rsidR="006A71E3" w:rsidRPr="00A07FE8">
        <w:t>wa</w:t>
      </w:r>
      <w:r w:rsidR="007A07F5" w:rsidRPr="00A07FE8">
        <w:t xml:space="preserve">s not possible to determine </w:t>
      </w:r>
      <w:r w:rsidR="008D19A0" w:rsidRPr="00A07FE8">
        <w:t xml:space="preserve">any effect of tempering due to the </w:t>
      </w:r>
      <w:r w:rsidR="007D5129" w:rsidRPr="00A07FE8">
        <w:t>vapor contribution (in fact</w:t>
      </w:r>
      <w:r w:rsidR="00F15600">
        <w:t>, only</w:t>
      </w:r>
      <w:r w:rsidR="007D5129" w:rsidRPr="00A07FE8">
        <w:t xml:space="preserve"> an open cell test </w:t>
      </w:r>
      <w:r w:rsidR="00F15600">
        <w:t>would</w:t>
      </w:r>
      <w:r w:rsidR="007D5129" w:rsidRPr="00A07FE8">
        <w:t xml:space="preserve"> </w:t>
      </w:r>
      <w:r w:rsidR="00881B88" w:rsidRPr="00A07FE8">
        <w:t xml:space="preserve">have </w:t>
      </w:r>
      <w:r w:rsidR="007D5129" w:rsidRPr="00A07FE8">
        <w:t>be</w:t>
      </w:r>
      <w:r w:rsidR="00881B88" w:rsidRPr="00A07FE8">
        <w:t>en</w:t>
      </w:r>
      <w:r w:rsidR="007D5129" w:rsidRPr="00A07FE8">
        <w:t xml:space="preserve"> </w:t>
      </w:r>
      <w:r w:rsidR="00F15600">
        <w:t>revealed such a behavior</w:t>
      </w:r>
      <w:r w:rsidR="00E02BAD" w:rsidRPr="00A07FE8">
        <w:t xml:space="preserve">). </w:t>
      </w:r>
    </w:p>
    <w:p w14:paraId="00760276" w14:textId="4DED7AD3" w:rsidR="00F24EB6" w:rsidRPr="00A07FE8" w:rsidRDefault="00F24EB6" w:rsidP="009F0423">
      <w:pPr>
        <w:pStyle w:val="CETBodytext"/>
      </w:pPr>
      <w:r w:rsidRPr="00A07FE8">
        <w:t xml:space="preserve">All these findings indicate that the system should be classified as </w:t>
      </w:r>
      <w:r w:rsidR="00E87066">
        <w:t>unt</w:t>
      </w:r>
      <w:r w:rsidR="00485692">
        <w:t>e</w:t>
      </w:r>
      <w:r w:rsidR="00E87066">
        <w:t xml:space="preserve">mpered </w:t>
      </w:r>
      <w:r w:rsidRPr="00A07FE8">
        <w:t>hybrid according to DIERS definitions, despite the absence of any exothermic event.</w:t>
      </w:r>
    </w:p>
    <w:p w14:paraId="38C27EA9" w14:textId="3D15BDD7" w:rsidR="002D6E3D" w:rsidRPr="00A07FE8" w:rsidRDefault="002D6E3D" w:rsidP="002D6E3D">
      <w:pPr>
        <w:pStyle w:val="CETBodytext"/>
        <w:jc w:val="center"/>
      </w:pPr>
      <w:r w:rsidRPr="00A07FE8">
        <w:rPr>
          <w:noProof/>
        </w:rPr>
        <w:drawing>
          <wp:inline distT="0" distB="0" distL="0" distR="0" wp14:anchorId="0620AD63" wp14:editId="6359881E">
            <wp:extent cx="3556975" cy="2667631"/>
            <wp:effectExtent l="0" t="0" r="5715" b="0"/>
            <wp:docPr id="24202419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24193" name="Immagine 242024193"/>
                    <pic:cNvPicPr/>
                  </pic:nvPicPr>
                  <pic:blipFill>
                    <a:blip r:embed="rId11"/>
                    <a:stretch>
                      <a:fillRect/>
                    </a:stretch>
                  </pic:blipFill>
                  <pic:spPr>
                    <a:xfrm>
                      <a:off x="0" y="0"/>
                      <a:ext cx="3574493" cy="2680769"/>
                    </a:xfrm>
                    <a:prstGeom prst="rect">
                      <a:avLst/>
                    </a:prstGeom>
                  </pic:spPr>
                </pic:pic>
              </a:graphicData>
            </a:graphic>
          </wp:inline>
        </w:drawing>
      </w:r>
    </w:p>
    <w:p w14:paraId="1881F855" w14:textId="5AE6E509" w:rsidR="002D6E3D" w:rsidRPr="00A07FE8" w:rsidRDefault="002D6E3D" w:rsidP="002D6E3D">
      <w:pPr>
        <w:pStyle w:val="CETCaption"/>
        <w:rPr>
          <w:lang w:val="en-US"/>
        </w:rPr>
      </w:pPr>
      <w:r w:rsidRPr="00A07FE8">
        <w:rPr>
          <w:lang w:val="en-US"/>
        </w:rPr>
        <w:t>Figure 2: Antoine plot for the investigated system.</w:t>
      </w:r>
    </w:p>
    <w:p w14:paraId="0143F2DE" w14:textId="45D84292" w:rsidR="00120279" w:rsidRPr="00A07FE8" w:rsidRDefault="00146277" w:rsidP="003B2B6D">
      <w:pPr>
        <w:pStyle w:val="CETHeading1"/>
      </w:pPr>
      <w:r w:rsidRPr="00A07FE8">
        <w:t>Results and discussion</w:t>
      </w:r>
    </w:p>
    <w:p w14:paraId="22849E52" w14:textId="019D26DD" w:rsidR="00146277" w:rsidRPr="00A07FE8" w:rsidRDefault="00146277" w:rsidP="00146277">
      <w:pPr>
        <w:pStyle w:val="CETBodytext"/>
      </w:pPr>
      <w:r w:rsidRPr="00A07FE8">
        <w:t xml:space="preserve">The analyzed system represents a non-conventional case within the framework of relief system design methodologies. While the system clearly exhibits </w:t>
      </w:r>
      <w:r w:rsidR="00E30418" w:rsidRPr="00A07FE8">
        <w:t>hybrid</w:t>
      </w:r>
      <w:r w:rsidRPr="00A07FE8">
        <w:t xml:space="preserve"> behavior due to the generation of </w:t>
      </w:r>
      <w:r w:rsidR="009F59BF">
        <w:t xml:space="preserve">both </w:t>
      </w:r>
      <w:r w:rsidRPr="00A07FE8">
        <w:t>non-condensable gases</w:t>
      </w:r>
      <w:r w:rsidR="005C122C" w:rsidRPr="00A07FE8">
        <w:t xml:space="preserve"> and vapors</w:t>
      </w:r>
      <w:r w:rsidRPr="00A07FE8">
        <w:t>, the decomposition process is endothermic and driven by external heat input.</w:t>
      </w:r>
    </w:p>
    <w:p w14:paraId="47C7C328" w14:textId="747FCC61" w:rsidR="00146277" w:rsidRPr="00A07FE8" w:rsidRDefault="00146277" w:rsidP="00146277">
      <w:pPr>
        <w:pStyle w:val="CETBodytext"/>
      </w:pPr>
      <w:r w:rsidRPr="00A07FE8">
        <w:t>This combination of features distinguishes the system from both</w:t>
      </w:r>
      <w:r w:rsidR="00197E47" w:rsidRPr="00A07FE8">
        <w:t xml:space="preserve"> </w:t>
      </w:r>
      <w:r w:rsidRPr="00A07FE8">
        <w:t>classical runaway reactions (exothermic and self-sustained), and</w:t>
      </w:r>
      <w:r w:rsidR="00197E47" w:rsidRPr="00A07FE8">
        <w:t xml:space="preserve"> </w:t>
      </w:r>
      <w:r w:rsidRPr="00A07FE8">
        <w:t>non-reactive boiling systems (phase-change-driven pressurization).</w:t>
      </w:r>
    </w:p>
    <w:p w14:paraId="5B7AF295" w14:textId="52885E08" w:rsidR="00146277" w:rsidRPr="00A07FE8" w:rsidRDefault="00146277" w:rsidP="00146277">
      <w:pPr>
        <w:pStyle w:val="CETBodytext"/>
      </w:pPr>
      <w:r w:rsidRPr="00A07FE8">
        <w:t>The observed pressure increase is therefore the result of a coupled mechanism involving</w:t>
      </w:r>
      <w:r w:rsidR="00197E47" w:rsidRPr="00A07FE8">
        <w:t xml:space="preserve"> </w:t>
      </w:r>
      <w:r w:rsidRPr="00A07FE8">
        <w:t>externally driven thermal decomposition, and</w:t>
      </w:r>
      <w:r w:rsidR="00197E47" w:rsidRPr="00A07FE8">
        <w:t xml:space="preserve"> </w:t>
      </w:r>
      <w:r w:rsidRPr="00A07FE8">
        <w:t>vaporization of volatile components.</w:t>
      </w:r>
      <w:r w:rsidR="00451AF9" w:rsidRPr="00A07FE8">
        <w:t xml:space="preserve"> </w:t>
      </w:r>
    </w:p>
    <w:p w14:paraId="15EFDE5B" w14:textId="50714A9A" w:rsidR="00C51094" w:rsidRPr="00A07FE8" w:rsidRDefault="00CB007D" w:rsidP="00146277">
      <w:pPr>
        <w:pStyle w:val="CETBodytext"/>
      </w:pPr>
      <w:r w:rsidRPr="00A07FE8">
        <w:t xml:space="preserve">Within this </w:t>
      </w:r>
      <w:r w:rsidR="002E6A1C" w:rsidRPr="00A07FE8">
        <w:t xml:space="preserve">framework, </w:t>
      </w:r>
      <w:r w:rsidR="002C2C5A" w:rsidRPr="00A07FE8">
        <w:t xml:space="preserve">it is possible to </w:t>
      </w:r>
      <w:r w:rsidR="003C3A72" w:rsidRPr="00A07FE8">
        <w:t xml:space="preserve">re-derive the fundamental equation for the </w:t>
      </w:r>
      <w:r w:rsidR="00840640" w:rsidRPr="00A07FE8">
        <w:t xml:space="preserve">mass flow rate to be discharged by either a bursting disk or a safety valve </w:t>
      </w:r>
      <w:r w:rsidR="000067EC" w:rsidRPr="00A07FE8">
        <w:t xml:space="preserve">which </w:t>
      </w:r>
      <w:r w:rsidR="00664264">
        <w:t xml:space="preserve">makes </w:t>
      </w:r>
      <w:r w:rsidR="000067EC" w:rsidRPr="00A07FE8">
        <w:t>use</w:t>
      </w:r>
      <w:r w:rsidR="00664264">
        <w:t xml:space="preserve"> of</w:t>
      </w:r>
      <w:r w:rsidR="000067EC" w:rsidRPr="00A07FE8">
        <w:t xml:space="preserve"> closed cell test </w:t>
      </w:r>
      <w:r w:rsidR="00CA2BDF">
        <w:t xml:space="preserve">data collected </w:t>
      </w:r>
      <w:r w:rsidR="0044388E">
        <w:t>with</w:t>
      </w:r>
      <w:r w:rsidR="000067EC" w:rsidRPr="00A07FE8">
        <w:t xml:space="preserve"> a low thermal inertia adiabatic calorimeter (as PHI-TEC II)</w:t>
      </w:r>
      <w:r w:rsidR="0002295D" w:rsidRPr="00A07FE8">
        <w:t>. The test to be carried out is always a s</w:t>
      </w:r>
      <w:r w:rsidR="0044388E">
        <w:t>tandard</w:t>
      </w:r>
      <w:r w:rsidR="0002295D" w:rsidRPr="00A07FE8">
        <w:t xml:space="preserve"> HWS </w:t>
      </w:r>
      <w:r w:rsidR="0044388E">
        <w:t>test</w:t>
      </w:r>
      <w:r w:rsidR="0002295D" w:rsidRPr="00A07FE8">
        <w:t xml:space="preserve">, with </w:t>
      </w:r>
      <w:r w:rsidR="00ED76A6" w:rsidRPr="00A07FE8">
        <w:t xml:space="preserve">heating steps varying from 5 to 10 °C. </w:t>
      </w:r>
      <w:r w:rsidR="00C37165" w:rsidRPr="00A07FE8">
        <w:t>By differentiating with respect to time</w:t>
      </w:r>
      <w:r w:rsidR="00ED76A6" w:rsidRPr="00A07FE8">
        <w:t xml:space="preserve"> the </w:t>
      </w:r>
      <w:r w:rsidR="003276D3" w:rsidRPr="00A07FE8">
        <w:t>ideal gas law</w:t>
      </w:r>
      <w:r w:rsidR="00D11085" w:rsidRPr="00A07FE8">
        <w:t xml:space="preserve"> </w:t>
      </w:r>
      <w:r w:rsidR="008D1842">
        <w:t>(such an</w:t>
      </w:r>
      <w:r w:rsidR="008D1842" w:rsidRPr="008D1842">
        <w:t xml:space="preserve"> assumption represents a simplification; however, the </w:t>
      </w:r>
      <w:r w:rsidR="008D1842">
        <w:t xml:space="preserve">further </w:t>
      </w:r>
      <w:r w:rsidR="008D1842" w:rsidRPr="008D1842">
        <w:t>use of experimental calorimetric data compensates for non-ideal effects</w:t>
      </w:r>
      <w:r w:rsidR="008D1842">
        <w:t xml:space="preserve">) </w:t>
      </w:r>
      <w:r w:rsidR="00D11085" w:rsidRPr="00A07FE8">
        <w:t>reported in Eq. (</w:t>
      </w:r>
      <w:r w:rsidR="0044388E">
        <w:t>3</w:t>
      </w:r>
      <w:r w:rsidR="00D11085" w:rsidRPr="00A07FE8">
        <w:t>)</w:t>
      </w:r>
      <w:r w:rsidR="00CA5AE0" w:rsidRPr="00A07FE8">
        <w:t>:</w:t>
      </w:r>
    </w:p>
    <w:tbl>
      <w:tblPr>
        <w:tblW w:w="5000" w:type="pct"/>
        <w:tblLook w:val="04A0" w:firstRow="1" w:lastRow="0" w:firstColumn="1" w:lastColumn="0" w:noHBand="0" w:noVBand="1"/>
      </w:tblPr>
      <w:tblGrid>
        <w:gridCol w:w="7982"/>
        <w:gridCol w:w="805"/>
      </w:tblGrid>
      <w:tr w:rsidR="00554BD2" w:rsidRPr="00A07FE8" w14:paraId="6B41F7C4" w14:textId="77777777" w:rsidTr="00AD6258">
        <w:tc>
          <w:tcPr>
            <w:tcW w:w="8188" w:type="dxa"/>
            <w:vAlign w:val="center"/>
          </w:tcPr>
          <w:p w14:paraId="78667DF9" w14:textId="66EBBFC7" w:rsidR="00554BD2" w:rsidRPr="00A07FE8" w:rsidRDefault="00473972" w:rsidP="00AD6258">
            <w:pPr>
              <w:pStyle w:val="CETEquation"/>
              <w:rPr>
                <w:lang w:val="en-US"/>
              </w:rPr>
            </w:pPr>
            <m:oMathPara>
              <m:oMath>
                <m:r>
                  <w:rPr>
                    <w:rFonts w:ascii="Cambria Math" w:hAnsi="Cambria Math"/>
                    <w:lang w:val="en-US"/>
                  </w:rPr>
                  <m:t>n=</m:t>
                </m:r>
                <m:f>
                  <m:fPr>
                    <m:ctrlPr>
                      <w:rPr>
                        <w:rFonts w:ascii="Cambria Math" w:hAnsi="Cambria Math"/>
                        <w:i/>
                        <w:lang w:val="en-US"/>
                      </w:rPr>
                    </m:ctrlPr>
                  </m:fPr>
                  <m:num>
                    <m:r>
                      <w:rPr>
                        <w:rFonts w:ascii="Cambria Math" w:hAnsi="Cambria Math"/>
                        <w:lang w:val="en-US"/>
                      </w:rPr>
                      <m:t>PV</m:t>
                    </m:r>
                  </m:num>
                  <m:den>
                    <m:r>
                      <w:rPr>
                        <w:rFonts w:ascii="Cambria Math" w:hAnsi="Cambria Math"/>
                        <w:lang w:val="en-US"/>
                      </w:rPr>
                      <m:t>RT</m:t>
                    </m:r>
                  </m:den>
                </m:f>
              </m:oMath>
            </m:oMathPara>
          </w:p>
        </w:tc>
        <w:tc>
          <w:tcPr>
            <w:tcW w:w="815" w:type="dxa"/>
            <w:vAlign w:val="center"/>
          </w:tcPr>
          <w:p w14:paraId="0EFBC1AE" w14:textId="5C433A70" w:rsidR="00554BD2" w:rsidRPr="00A07FE8" w:rsidRDefault="00554BD2" w:rsidP="00AD6258">
            <w:pPr>
              <w:pStyle w:val="CETEquation"/>
              <w:jc w:val="right"/>
              <w:rPr>
                <w:lang w:val="en-US"/>
              </w:rPr>
            </w:pPr>
            <w:r w:rsidRPr="00A07FE8">
              <w:rPr>
                <w:lang w:val="en-US"/>
              </w:rPr>
              <w:t>(</w:t>
            </w:r>
            <w:r w:rsidR="0044388E">
              <w:rPr>
                <w:lang w:val="en-US"/>
              </w:rPr>
              <w:t>3</w:t>
            </w:r>
            <w:r w:rsidRPr="00A07FE8">
              <w:rPr>
                <w:lang w:val="en-US"/>
              </w:rPr>
              <w:t>)</w:t>
            </w:r>
          </w:p>
        </w:tc>
      </w:tr>
    </w:tbl>
    <w:p w14:paraId="36738BC4" w14:textId="557725D6" w:rsidR="00554BD2" w:rsidRPr="00A07FE8" w:rsidRDefault="00AF5810" w:rsidP="00146277">
      <w:pPr>
        <w:pStyle w:val="CETBodytext"/>
      </w:pPr>
      <w:r w:rsidRPr="00A07FE8">
        <w:t>where</w:t>
      </w:r>
      <w:r w:rsidR="00CE3179" w:rsidRPr="00A07FE8">
        <w:t>, for a liquid system (vessel or reactor)</w:t>
      </w:r>
      <w:r w:rsidRPr="00A07FE8">
        <w:t xml:space="preserve">: </w:t>
      </w:r>
      <m:oMath>
        <m:r>
          <w:rPr>
            <w:rFonts w:ascii="Cambria Math" w:hAnsi="Cambria Math"/>
          </w:rPr>
          <m:t>P</m:t>
        </m:r>
      </m:oMath>
      <w:r w:rsidRPr="00A07FE8">
        <w:t xml:space="preserve"> is the pressure, </w:t>
      </w:r>
      <m:oMath>
        <m:r>
          <w:rPr>
            <w:rFonts w:ascii="Cambria Math" w:hAnsi="Cambria Math"/>
          </w:rPr>
          <m:t>V</m:t>
        </m:r>
      </m:oMath>
      <w:r w:rsidRPr="00A07FE8">
        <w:t xml:space="preserve"> is the volume </w:t>
      </w:r>
      <w:r w:rsidR="00E3636E" w:rsidRPr="00A07FE8">
        <w:t xml:space="preserve">occupied by the </w:t>
      </w:r>
      <w:r w:rsidR="00C85C4C" w:rsidRPr="00A07FE8">
        <w:t>gaseous phase</w:t>
      </w:r>
      <w:r w:rsidR="00CE3179" w:rsidRPr="00A07FE8">
        <w:t xml:space="preserve">, </w:t>
      </w:r>
      <m:oMath>
        <m:r>
          <w:rPr>
            <w:rFonts w:ascii="Cambria Math" w:hAnsi="Cambria Math"/>
          </w:rPr>
          <m:t>n</m:t>
        </m:r>
      </m:oMath>
      <w:r w:rsidR="00CE3179" w:rsidRPr="00A07FE8">
        <w:t xml:space="preserve"> is the number of moles within the </w:t>
      </w:r>
      <w:r w:rsidR="00E153CF" w:rsidRPr="00A07FE8">
        <w:t>gaseous phase</w:t>
      </w:r>
      <w:r w:rsidR="00E3636E" w:rsidRPr="00A07FE8">
        <w:t xml:space="preserve"> (both vapors and </w:t>
      </w:r>
      <w:r w:rsidR="00D1559C" w:rsidRPr="00A07FE8">
        <w:t>non-condensable gases)</w:t>
      </w:r>
      <w:r w:rsidR="00E153CF" w:rsidRPr="00A07FE8">
        <w:t xml:space="preserve">, </w:t>
      </w:r>
      <m:oMath>
        <m:r>
          <w:rPr>
            <w:rFonts w:ascii="Cambria Math" w:hAnsi="Cambria Math"/>
          </w:rPr>
          <m:t>R</m:t>
        </m:r>
      </m:oMath>
      <w:r w:rsidR="00D1559C" w:rsidRPr="00A07FE8">
        <w:t xml:space="preserve"> is the ideal gas constant, and </w:t>
      </w:r>
      <m:oMath>
        <m:r>
          <w:rPr>
            <w:rFonts w:ascii="Cambria Math" w:hAnsi="Cambria Math"/>
          </w:rPr>
          <m:t>T</m:t>
        </m:r>
      </m:oMath>
      <w:r w:rsidR="00D1559C" w:rsidRPr="00A07FE8">
        <w:t xml:space="preserve"> is the temperature</w:t>
      </w:r>
      <w:r w:rsidR="00C37165" w:rsidRPr="00A07FE8">
        <w:t xml:space="preserve">; </w:t>
      </w:r>
      <w:r w:rsidR="00526AF4" w:rsidRPr="00A07FE8">
        <w:t>it is possible to derive Eq. (</w:t>
      </w:r>
      <w:r w:rsidR="000F7ED6">
        <w:t>4</w:t>
      </w:r>
      <w:r w:rsidR="00526AF4" w:rsidRPr="00A07FE8">
        <w:t>):</w:t>
      </w:r>
    </w:p>
    <w:tbl>
      <w:tblPr>
        <w:tblW w:w="5000" w:type="pct"/>
        <w:tblLook w:val="04A0" w:firstRow="1" w:lastRow="0" w:firstColumn="1" w:lastColumn="0" w:noHBand="0" w:noVBand="1"/>
      </w:tblPr>
      <w:tblGrid>
        <w:gridCol w:w="7983"/>
        <w:gridCol w:w="804"/>
      </w:tblGrid>
      <w:tr w:rsidR="00526AF4" w:rsidRPr="00A07FE8" w14:paraId="54615604" w14:textId="77777777" w:rsidTr="00AD6258">
        <w:tc>
          <w:tcPr>
            <w:tcW w:w="8188" w:type="dxa"/>
            <w:vAlign w:val="center"/>
          </w:tcPr>
          <w:p w14:paraId="294A83C1" w14:textId="4DA5A1DB" w:rsidR="00526AF4" w:rsidRPr="00A07FE8" w:rsidRDefault="00000000" w:rsidP="00AD6258">
            <w:pPr>
              <w:pStyle w:val="CETEquation"/>
              <w:rPr>
                <w:lang w:val="en-US"/>
              </w:rPr>
            </w:pPr>
            <m:oMathPara>
              <m:oMath>
                <m:f>
                  <m:fPr>
                    <m:ctrlPr>
                      <w:rPr>
                        <w:rFonts w:ascii="Cambria Math" w:hAnsi="Cambria Math"/>
                        <w:i/>
                        <w:lang w:val="en-US"/>
                      </w:rPr>
                    </m:ctrlPr>
                  </m:fPr>
                  <m:num>
                    <m:r>
                      <w:rPr>
                        <w:rFonts w:ascii="Cambria Math" w:hAnsi="Cambria Math"/>
                        <w:lang w:val="en-US"/>
                      </w:rPr>
                      <m:t>dP</m:t>
                    </m:r>
                  </m:num>
                  <m:den>
                    <m:r>
                      <w:rPr>
                        <w:rFonts w:ascii="Cambria Math" w:hAnsi="Cambria Math"/>
                        <w:lang w:val="en-US"/>
                      </w:rPr>
                      <m:t>dt</m:t>
                    </m:r>
                  </m:den>
                </m:f>
                <m:r>
                  <w:rPr>
                    <w:rFonts w:ascii="Cambria Math" w:hAnsi="Cambria Math"/>
                    <w:lang w:val="en-US"/>
                  </w:rPr>
                  <m:t>V+P</m:t>
                </m:r>
                <m:f>
                  <m:fPr>
                    <m:ctrlPr>
                      <w:rPr>
                        <w:rFonts w:ascii="Cambria Math" w:hAnsi="Cambria Math"/>
                        <w:i/>
                        <w:lang w:val="en-US"/>
                      </w:rPr>
                    </m:ctrlPr>
                  </m:fPr>
                  <m:num>
                    <m:r>
                      <w:rPr>
                        <w:rFonts w:ascii="Cambria Math" w:hAnsi="Cambria Math"/>
                        <w:lang w:val="en-US"/>
                      </w:rPr>
                      <m:t>dV</m:t>
                    </m:r>
                  </m:num>
                  <m:den>
                    <m:r>
                      <w:rPr>
                        <w:rFonts w:ascii="Cambria Math" w:hAnsi="Cambria Math"/>
                        <w:lang w:val="en-US"/>
                      </w:rPr>
                      <m:t>dt</m:t>
                    </m:r>
                  </m:den>
                </m:f>
                <m:r>
                  <w:rPr>
                    <w:rFonts w:ascii="Cambria Math" w:hAnsi="Cambria Math"/>
                    <w:lang w:val="en-US"/>
                  </w:rPr>
                  <m:t>=R</m:t>
                </m:r>
                <m:d>
                  <m:dPr>
                    <m:ctrlPr>
                      <w:rPr>
                        <w:rFonts w:ascii="Cambria Math" w:hAnsi="Cambria Math"/>
                        <w:i/>
                        <w:lang w:val="en-US"/>
                      </w:rPr>
                    </m:ctrlPr>
                  </m:dPr>
                  <m:e>
                    <m:r>
                      <w:rPr>
                        <w:rFonts w:ascii="Cambria Math" w:hAnsi="Cambria Math"/>
                        <w:lang w:val="en-US"/>
                      </w:rPr>
                      <m:t>T</m:t>
                    </m:r>
                    <m:f>
                      <m:fPr>
                        <m:ctrlPr>
                          <w:rPr>
                            <w:rFonts w:ascii="Cambria Math" w:hAnsi="Cambria Math"/>
                            <w:i/>
                            <w:lang w:val="en-US"/>
                          </w:rPr>
                        </m:ctrlPr>
                      </m:fPr>
                      <m:num>
                        <m:r>
                          <w:rPr>
                            <w:rFonts w:ascii="Cambria Math" w:hAnsi="Cambria Math"/>
                            <w:lang w:val="en-US"/>
                          </w:rPr>
                          <m:t>dn</m:t>
                        </m:r>
                      </m:num>
                      <m:den>
                        <m:r>
                          <w:rPr>
                            <w:rFonts w:ascii="Cambria Math" w:hAnsi="Cambria Math"/>
                            <w:lang w:val="en-US"/>
                          </w:rPr>
                          <m:t>dt</m:t>
                        </m:r>
                      </m:den>
                    </m:f>
                    <m:r>
                      <w:rPr>
                        <w:rFonts w:ascii="Cambria Math" w:hAnsi="Cambria Math"/>
                        <w:lang w:val="en-US"/>
                      </w:rPr>
                      <m:t>+n</m:t>
                    </m:r>
                    <m:f>
                      <m:fPr>
                        <m:ctrlPr>
                          <w:rPr>
                            <w:rFonts w:ascii="Cambria Math" w:hAnsi="Cambria Math"/>
                            <w:i/>
                            <w:lang w:val="en-US"/>
                          </w:rPr>
                        </m:ctrlPr>
                      </m:fPr>
                      <m:num>
                        <m:r>
                          <w:rPr>
                            <w:rFonts w:ascii="Cambria Math" w:hAnsi="Cambria Math"/>
                            <w:lang w:val="en-US"/>
                          </w:rPr>
                          <m:t>dT</m:t>
                        </m:r>
                      </m:num>
                      <m:den>
                        <m:r>
                          <w:rPr>
                            <w:rFonts w:ascii="Cambria Math" w:hAnsi="Cambria Math"/>
                            <w:lang w:val="en-US"/>
                          </w:rPr>
                          <m:t>dt</m:t>
                        </m:r>
                      </m:den>
                    </m:f>
                  </m:e>
                </m:d>
              </m:oMath>
            </m:oMathPara>
          </w:p>
        </w:tc>
        <w:tc>
          <w:tcPr>
            <w:tcW w:w="815" w:type="dxa"/>
            <w:vAlign w:val="center"/>
          </w:tcPr>
          <w:p w14:paraId="2AAD45F3" w14:textId="552A4426" w:rsidR="00526AF4" w:rsidRPr="00A07FE8" w:rsidRDefault="00526AF4" w:rsidP="00AD6258">
            <w:pPr>
              <w:pStyle w:val="CETEquation"/>
              <w:jc w:val="right"/>
              <w:rPr>
                <w:lang w:val="en-US"/>
              </w:rPr>
            </w:pPr>
            <w:r w:rsidRPr="00A07FE8">
              <w:rPr>
                <w:lang w:val="en-US"/>
              </w:rPr>
              <w:t>(</w:t>
            </w:r>
            <w:r w:rsidR="000F7ED6">
              <w:rPr>
                <w:lang w:val="en-US"/>
              </w:rPr>
              <w:t>4</w:t>
            </w:r>
            <w:r w:rsidRPr="00A07FE8">
              <w:rPr>
                <w:lang w:val="en-US"/>
              </w:rPr>
              <w:t>)</w:t>
            </w:r>
          </w:p>
        </w:tc>
      </w:tr>
    </w:tbl>
    <w:p w14:paraId="61B91E8C" w14:textId="6A40B769" w:rsidR="00526AF4" w:rsidRPr="00A07FE8" w:rsidRDefault="001A09D6" w:rsidP="00146277">
      <w:pPr>
        <w:pStyle w:val="CETBodytext"/>
      </w:pPr>
      <w:r w:rsidRPr="00A07FE8">
        <w:t xml:space="preserve">Considering that, just before the opening of the safety </w:t>
      </w:r>
      <w:r w:rsidR="00DC611C" w:rsidRPr="00A07FE8">
        <w:t>protection device</w:t>
      </w:r>
      <w:r w:rsidR="00ED77D9" w:rsidRPr="00A07FE8">
        <w:t xml:space="preserve"> (occurring at a pressure equal to the stagnation pressure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0F7ED6">
        <w:t xml:space="preserve"> (which is generally equal to 10% more than the set pressure of the bu</w:t>
      </w:r>
      <w:r w:rsidR="00452A83">
        <w:t>rsting disk or safety valve)</w:t>
      </w:r>
      <w:r w:rsidR="005649BB" w:rsidRPr="00A07FE8">
        <w:t xml:space="preserve">, </w:t>
      </w:r>
      <w:r w:rsidR="00625E45" w:rsidRPr="00A07FE8">
        <w:t xml:space="preserve">and at a temperature equal to </w:t>
      </w:r>
      <m:oMath>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e>
        </m:d>
      </m:oMath>
      <w:r w:rsidR="00ED77D9" w:rsidRPr="00A07FE8">
        <w:t>)</w:t>
      </w:r>
      <w:r w:rsidR="00DC611C" w:rsidRPr="00A07FE8">
        <w:t>, whatever vessel or reactor can be considered as a closed system</w:t>
      </w:r>
      <w:r w:rsidR="00F14AC0" w:rsidRPr="00A07FE8">
        <w:t xml:space="preserve"> </w:t>
      </w:r>
      <w:r w:rsidR="00F14AC0" w:rsidRPr="00A07FE8">
        <w:lastRenderedPageBreak/>
        <w:t>where</w:t>
      </w:r>
      <w:r w:rsidR="00242A66" w:rsidRPr="00A07FE8">
        <w:t xml:space="preserve"> the following hypotheses hold true: i) </w:t>
      </w:r>
      <w:r w:rsidR="00077068" w:rsidRPr="00A07FE8">
        <w:t>boiling is suppressed because of the pressure increase due to either temperature or release of non-cond</w:t>
      </w:r>
      <w:r w:rsidR="00C72AAD" w:rsidRPr="00A07FE8">
        <w:t>ensable gases; ii)</w:t>
      </w:r>
      <w:r w:rsidR="00077068" w:rsidRPr="00A07FE8">
        <w:t xml:space="preserve"> </w:t>
      </w:r>
      <w:r w:rsidR="00C72AAD" w:rsidRPr="00A07FE8">
        <w:t xml:space="preserve">the volume available for </w:t>
      </w:r>
      <w:r w:rsidR="00245084" w:rsidRPr="00A07FE8">
        <w:t>gases and vapors is approximately constant</w:t>
      </w:r>
      <w:r w:rsidR="004923AB" w:rsidRPr="00A07FE8">
        <w:t xml:space="preserve"> </w:t>
      </w:r>
      <w:r w:rsidR="005649BB" w:rsidRPr="00A07FE8">
        <w:t xml:space="preserve">and equal to </w:t>
      </w:r>
      <m:oMath>
        <m:r>
          <w:rPr>
            <w:rFonts w:ascii="Cambria Math" w:hAnsi="Cambria Math"/>
          </w:rPr>
          <m:t>V</m:t>
        </m:r>
      </m:oMath>
      <w:r w:rsidR="005649BB" w:rsidRPr="00A07FE8">
        <w:t xml:space="preserve"> </w:t>
      </w:r>
      <w:r w:rsidR="004923AB" w:rsidRPr="00A07FE8">
        <w:t xml:space="preserve">(this means that whatever decomposition event is </w:t>
      </w:r>
      <w:r w:rsidR="00CA30BF" w:rsidRPr="00A07FE8">
        <w:t>considered to be “</w:t>
      </w:r>
      <w:r w:rsidR="004923AB" w:rsidRPr="00A07FE8">
        <w:t>just triggered</w:t>
      </w:r>
      <w:r w:rsidR="00CA30BF" w:rsidRPr="00A07FE8">
        <w:t>”</w:t>
      </w:r>
      <w:r w:rsidR="004923AB" w:rsidRPr="00A07FE8">
        <w:t xml:space="preserve"> at the relieving pressure</w:t>
      </w:r>
      <w:r w:rsidR="00FE3882" w:rsidRPr="00A07FE8">
        <w:t xml:space="preserve"> and </w:t>
      </w:r>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=0</m:t>
        </m:r>
      </m:oMath>
      <w:r w:rsidR="004923AB" w:rsidRPr="00A07FE8">
        <w:t>)</w:t>
      </w:r>
      <w:r w:rsidR="00CA30BF" w:rsidRPr="00A07FE8">
        <w:t xml:space="preserve">; iii) both liquid and </w:t>
      </w:r>
      <w:r w:rsidR="007C0215" w:rsidRPr="00A07FE8">
        <w:t>vapor/gas phases are considered as ideal</w:t>
      </w:r>
      <w:r w:rsidR="004A1106" w:rsidRPr="00A07FE8">
        <w:t>; it is possible to re-arrange Eq. (</w:t>
      </w:r>
      <w:r w:rsidR="00452A83">
        <w:t>4</w:t>
      </w:r>
      <w:r w:rsidR="004A1106" w:rsidRPr="00A07FE8">
        <w:t>)</w:t>
      </w:r>
      <w:r w:rsidR="00DD19B3" w:rsidRPr="00A07FE8">
        <w:t xml:space="preserve"> for sim</w:t>
      </w:r>
      <w:r w:rsidR="00AC188F" w:rsidRPr="00A07FE8">
        <w:t>ulating the pressurization phenomenon into a low thermal inertia calorimeter</w:t>
      </w:r>
      <w:r w:rsidR="004A1106" w:rsidRPr="00A07FE8">
        <w:t xml:space="preserve"> as in the following:</w:t>
      </w:r>
    </w:p>
    <w:tbl>
      <w:tblPr>
        <w:tblW w:w="5000" w:type="pct"/>
        <w:tblLook w:val="04A0" w:firstRow="1" w:lastRow="0" w:firstColumn="1" w:lastColumn="0" w:noHBand="0" w:noVBand="1"/>
      </w:tblPr>
      <w:tblGrid>
        <w:gridCol w:w="7983"/>
        <w:gridCol w:w="804"/>
      </w:tblGrid>
      <w:tr w:rsidR="004A1106" w:rsidRPr="00A07FE8" w14:paraId="40C6A048" w14:textId="77777777" w:rsidTr="00AD6258">
        <w:tc>
          <w:tcPr>
            <w:tcW w:w="8188" w:type="dxa"/>
            <w:vAlign w:val="center"/>
          </w:tcPr>
          <w:p w14:paraId="2CB3E898" w14:textId="7D078A0A" w:rsidR="004A1106" w:rsidRPr="00A07FE8" w:rsidRDefault="00000000" w:rsidP="00AD6258">
            <w:pPr>
              <w:pStyle w:val="CETEquation"/>
              <w:rPr>
                <w:lang w:val="en-US"/>
              </w:rPr>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g,e</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RT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e>
                    </m:d>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dn</m:t>
                    </m:r>
                  </m:num>
                  <m:den>
                    <m:r>
                      <w:rPr>
                        <w:rFonts w:ascii="Cambria Math" w:hAnsi="Cambria Math"/>
                        <w:lang w:val="en-US"/>
                      </w:rPr>
                      <m:t>dt</m:t>
                    </m:r>
                  </m:den>
                </m:f>
                <m:r>
                  <w:rPr>
                    <w:rFonts w:ascii="Cambria Math" w:hAnsi="Cambria Math"/>
                    <w:lang w:val="en-US"/>
                  </w:rPr>
                  <m:t>=</m:t>
                </m:r>
                <m:sSub>
                  <m:sSubPr>
                    <m:ctrlPr>
                      <w:rPr>
                        <w:rFonts w:ascii="Cambria Math" w:hAnsi="Cambria Math"/>
                        <w:i/>
                        <w:lang w:val="en-US"/>
                      </w:rPr>
                    </m:ctrlPr>
                  </m:sSub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V</m:t>
                            </m:r>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den>
                        </m:f>
                        <m: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dP</m:t>
                                    </m:r>
                                  </m:num>
                                  <m:den>
                                    <m:r>
                                      <w:rPr>
                                        <w:rFonts w:ascii="Cambria Math" w:hAnsi="Cambria Math"/>
                                        <w:lang w:val="en-US"/>
                                      </w:rPr>
                                      <m:t>dt</m:t>
                                    </m:r>
                                  </m:den>
                                </m:f>
                              </m:e>
                            </m:d>
                          </m:e>
                          <m:sub>
                            <m:r>
                              <w:rPr>
                                <w:rFonts w:ascii="Cambria Math" w:hAnsi="Cambria Math"/>
                                <w:lang w:val="en-US"/>
                              </w:rPr>
                              <m:t>0</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V</m:t>
                            </m:r>
                          </m:num>
                          <m:den>
                            <m:r>
                              <w:rPr>
                                <w:rFonts w:ascii="Cambria Math" w:hAnsi="Cambria Math"/>
                                <w:lang w:val="en-US"/>
                              </w:rPr>
                              <m:t>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e>
                            </m:d>
                          </m:den>
                        </m:f>
                        <m: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dT</m:t>
                                    </m:r>
                                  </m:num>
                                  <m:den>
                                    <m:r>
                                      <w:rPr>
                                        <w:rFonts w:ascii="Cambria Math" w:hAnsi="Cambria Math"/>
                                        <w:lang w:val="en-US"/>
                                      </w:rPr>
                                      <m:t>dt</m:t>
                                    </m:r>
                                  </m:den>
                                </m:f>
                              </m:e>
                            </m:d>
                          </m:e>
                          <m:sub>
                            <m:r>
                              <w:rPr>
                                <w:rFonts w:ascii="Cambria Math" w:hAnsi="Cambria Math"/>
                                <w:lang w:val="en-US"/>
                              </w:rPr>
                              <m:t>0</m:t>
                            </m:r>
                          </m:sub>
                        </m:sSub>
                      </m:e>
                    </m:d>
                  </m:e>
                  <m:sub>
                    <m:r>
                      <w:rPr>
                        <w:rFonts w:ascii="Cambria Math" w:hAnsi="Cambria Math"/>
                        <w:lang w:val="en-US"/>
                      </w:rPr>
                      <m:t>e</m:t>
                    </m:r>
                  </m:sub>
                </m:sSub>
                <m:r>
                  <w:rPr>
                    <w:rFonts w:ascii="Cambria Math" w:hAnsi="Cambria Math"/>
                    <w:lang w:val="en-US"/>
                  </w:rPr>
                  <m:t xml:space="preserve"> </m:t>
                </m:r>
              </m:oMath>
            </m:oMathPara>
          </w:p>
        </w:tc>
        <w:tc>
          <w:tcPr>
            <w:tcW w:w="815" w:type="dxa"/>
            <w:vAlign w:val="center"/>
          </w:tcPr>
          <w:p w14:paraId="0CEED0A2" w14:textId="776267B0" w:rsidR="004A1106" w:rsidRPr="00A07FE8" w:rsidRDefault="004A1106" w:rsidP="00AD6258">
            <w:pPr>
              <w:pStyle w:val="CETEquation"/>
              <w:jc w:val="right"/>
              <w:rPr>
                <w:lang w:val="en-US"/>
              </w:rPr>
            </w:pPr>
            <w:r w:rsidRPr="00A07FE8">
              <w:rPr>
                <w:lang w:val="en-US"/>
              </w:rPr>
              <w:t>(</w:t>
            </w:r>
            <w:r w:rsidR="000D35D5">
              <w:rPr>
                <w:lang w:val="en-US"/>
              </w:rPr>
              <w:t>5</w:t>
            </w:r>
            <w:r w:rsidRPr="00A07FE8">
              <w:rPr>
                <w:lang w:val="en-US"/>
              </w:rPr>
              <w:t>)</w:t>
            </w:r>
          </w:p>
        </w:tc>
      </w:tr>
    </w:tbl>
    <w:p w14:paraId="6845E992" w14:textId="5F3CCA43" w:rsidR="004A1106" w:rsidRPr="00A07FE8" w:rsidRDefault="002A4D38" w:rsidP="00146277">
      <w:pPr>
        <w:pStyle w:val="CETBodytext"/>
      </w:pPr>
      <w:r w:rsidRPr="00A07FE8">
        <w:t xml:space="preserve">where: </w:t>
      </w:r>
      <m:oMath>
        <m:sSub>
          <m:sSubPr>
            <m:ctrlPr>
              <w:rPr>
                <w:rFonts w:ascii="Cambria Math" w:hAnsi="Cambria Math"/>
                <w:i/>
              </w:rPr>
            </m:ctrlPr>
          </m:sSubPr>
          <m:e>
            <m:r>
              <w:rPr>
                <w:rFonts w:ascii="Cambria Math" w:hAnsi="Cambria Math"/>
              </w:rPr>
              <m:t>Q</m:t>
            </m:r>
          </m:e>
          <m:sub>
            <m:r>
              <w:rPr>
                <w:rFonts w:ascii="Cambria Math" w:hAnsi="Cambria Math"/>
              </w:rPr>
              <m:t>g,e</m:t>
            </m:r>
          </m:sub>
        </m:sSub>
      </m:oMath>
      <w:r w:rsidR="00F82618" w:rsidRPr="00A07FE8">
        <w:t xml:space="preserve"> is the volumetric flow rate</w:t>
      </w:r>
      <w:r w:rsidR="007D79E4" w:rsidRPr="00A07FE8">
        <w:t xml:space="preserve"> of both gases and, eventually, vapors generated by the phenomenon </w:t>
      </w:r>
      <w:r w:rsidR="0087159C" w:rsidRPr="00A07FE8">
        <w:t>occurring during the heating process</w:t>
      </w:r>
      <w:r w:rsidR="000D35D5">
        <w:t xml:space="preserve"> </w:t>
      </w:r>
      <w:r w:rsidR="00F51846">
        <w:t>[</w:t>
      </w:r>
      <w:r w:rsidR="000D35D5">
        <w:t>m</w:t>
      </w:r>
      <w:r w:rsidR="000D35D5" w:rsidRPr="000D35D5">
        <w:rPr>
          <w:vertAlign w:val="superscript"/>
        </w:rPr>
        <w:t>3</w:t>
      </w:r>
      <w:r w:rsidR="000D35D5">
        <w:t>/s</w:t>
      </w:r>
      <w:r w:rsidR="00F51846">
        <w:t>]</w:t>
      </w:r>
      <w:r w:rsidR="00ED77D9" w:rsidRPr="00A07FE8">
        <w:t xml:space="preserve">; </w:t>
      </w:r>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dP</m:t>
                    </m:r>
                  </m:num>
                  <m:den>
                    <m:r>
                      <w:rPr>
                        <w:rFonts w:ascii="Cambria Math" w:hAnsi="Cambria Math"/>
                      </w:rPr>
                      <m:t>dt</m:t>
                    </m:r>
                  </m:den>
                </m:f>
              </m:e>
            </m:d>
          </m:e>
          <m:sub>
            <m:r>
              <w:rPr>
                <w:rFonts w:ascii="Cambria Math" w:hAnsi="Cambria Math"/>
              </w:rPr>
              <m:t>0</m:t>
            </m:r>
          </m:sub>
        </m:sSub>
      </m:oMath>
      <w:r w:rsidR="00654076" w:rsidRPr="00A07FE8">
        <w:t xml:space="preserve"> is the </w:t>
      </w:r>
      <w:r w:rsidR="00E158EC" w:rsidRPr="00A07FE8">
        <w:t xml:space="preserve">rate of </w:t>
      </w:r>
      <w:r w:rsidR="00654076" w:rsidRPr="00A07FE8">
        <w:t>pressure r</w:t>
      </w:r>
      <w:r w:rsidR="00E158EC" w:rsidRPr="00A07FE8">
        <w:t>ise</w:t>
      </w:r>
      <w:r w:rsidR="00654076" w:rsidRPr="00A07FE8">
        <w:t xml:space="preserve"> at the stagnation pressure</w:t>
      </w:r>
      <w:r w:rsidR="000F0E41" w:rsidRPr="00A07FE8">
        <w:t xml:space="preserve">; and </w:t>
      </w:r>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dT</m:t>
                    </m:r>
                  </m:num>
                  <m:den>
                    <m:r>
                      <w:rPr>
                        <w:rFonts w:ascii="Cambria Math" w:hAnsi="Cambria Math"/>
                      </w:rPr>
                      <m:t>dt</m:t>
                    </m:r>
                  </m:den>
                </m:f>
              </m:e>
            </m:d>
          </m:e>
          <m:sub>
            <m:r>
              <w:rPr>
                <w:rFonts w:ascii="Cambria Math" w:hAnsi="Cambria Math"/>
              </w:rPr>
              <m:t>0</m:t>
            </m:r>
          </m:sub>
        </m:sSub>
      </m:oMath>
      <w:r w:rsidR="000F0E41" w:rsidRPr="00A07FE8">
        <w:t xml:space="preserve"> is the </w:t>
      </w:r>
      <w:r w:rsidR="00E158EC" w:rsidRPr="00A07FE8">
        <w:t xml:space="preserve">rate of </w:t>
      </w:r>
      <w:r w:rsidR="000F0E41" w:rsidRPr="00A07FE8">
        <w:t xml:space="preserve">temperature </w:t>
      </w:r>
      <w:r w:rsidR="00E158EC" w:rsidRPr="00A07FE8">
        <w:t xml:space="preserve">rise </w:t>
      </w:r>
      <w:r w:rsidR="002A65C8" w:rsidRPr="00A07FE8">
        <w:t xml:space="preserve">at the same </w:t>
      </w:r>
      <w:r w:rsidR="00712666" w:rsidRPr="00A07FE8">
        <w:t>condition</w:t>
      </w:r>
      <w:r w:rsidR="00C44100">
        <w:t xml:space="preserve"> (corrected by the thermal inertia factor)</w:t>
      </w:r>
      <w:r w:rsidR="002A65C8" w:rsidRPr="00A07FE8">
        <w:t xml:space="preserve">. </w:t>
      </w:r>
      <w:r w:rsidR="001E64CC" w:rsidRPr="00A07FE8">
        <w:t xml:space="preserve">Such a volumetric flow rate is theoretically independent of </w:t>
      </w:r>
      <w:r w:rsidR="00266462" w:rsidRPr="00A07FE8">
        <w:t xml:space="preserve">either the exothermicity or the endothermicity of the phenomenon under study </w:t>
      </w:r>
      <w:r w:rsidR="00586301" w:rsidRPr="00A07FE8">
        <w:t xml:space="preserve">and it can be scaled up to simulate </w:t>
      </w:r>
      <w:r w:rsidR="00C62572" w:rsidRPr="00A07FE8">
        <w:t xml:space="preserve">what happens in case of a </w:t>
      </w:r>
      <w:r w:rsidR="00FB5E05" w:rsidRPr="00A07FE8">
        <w:t>full plant vessel or reactor</w:t>
      </w:r>
      <w:r w:rsidR="00F53623" w:rsidRPr="00A07FE8">
        <w:t xml:space="preserve"> according to E</w:t>
      </w:r>
      <w:r w:rsidR="00FF78D4" w:rsidRPr="00A07FE8">
        <w:t>q. (</w:t>
      </w:r>
      <w:r w:rsidR="000D35D5">
        <w:t>6</w:t>
      </w:r>
      <w:r w:rsidR="00FF78D4" w:rsidRPr="00A07FE8">
        <w:t>)</w:t>
      </w:r>
      <w:r w:rsidR="00FB5E05" w:rsidRPr="00A07FE8">
        <w:t xml:space="preserve">. </w:t>
      </w:r>
    </w:p>
    <w:tbl>
      <w:tblPr>
        <w:tblW w:w="5000" w:type="pct"/>
        <w:tblLook w:val="04A0" w:firstRow="1" w:lastRow="0" w:firstColumn="1" w:lastColumn="0" w:noHBand="0" w:noVBand="1"/>
      </w:tblPr>
      <w:tblGrid>
        <w:gridCol w:w="7983"/>
        <w:gridCol w:w="804"/>
      </w:tblGrid>
      <w:tr w:rsidR="00A07FE8" w:rsidRPr="00A07FE8" w14:paraId="2E7641D7" w14:textId="77777777" w:rsidTr="00AD6258">
        <w:tc>
          <w:tcPr>
            <w:tcW w:w="8188" w:type="dxa"/>
            <w:vAlign w:val="center"/>
          </w:tcPr>
          <w:p w14:paraId="6090B454" w14:textId="2FEC112A" w:rsidR="00FF78D4" w:rsidRPr="00A07FE8" w:rsidRDefault="00000000" w:rsidP="00AD6258">
            <w:pPr>
              <w:pStyle w:val="CETEquation"/>
              <w:rPr>
                <w:lang w:val="en-US"/>
              </w:rPr>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g,R</m:t>
                    </m:r>
                  </m:sub>
                </m:sSub>
                <m:r>
                  <w:rPr>
                    <w:rFonts w:ascii="Cambria Math" w:hAnsi="Cambria Math"/>
                    <w:lang w:val="en-US"/>
                  </w:rPr>
                  <m:t>=</m:t>
                </m:r>
                <m:sSub>
                  <m:sSubPr>
                    <m:ctrlPr>
                      <w:rPr>
                        <w:rFonts w:ascii="Cambria Math" w:hAnsi="Cambria Math"/>
                        <w:i/>
                        <w:lang w:val="en-US"/>
                      </w:rPr>
                    </m:ctrlPr>
                  </m:sSub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V</m:t>
                            </m:r>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den>
                        </m:f>
                        <m: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dP</m:t>
                                    </m:r>
                                  </m:num>
                                  <m:den>
                                    <m:r>
                                      <w:rPr>
                                        <w:rFonts w:ascii="Cambria Math" w:hAnsi="Cambria Math"/>
                                        <w:lang w:val="en-US"/>
                                      </w:rPr>
                                      <m:t>dt</m:t>
                                    </m:r>
                                  </m:den>
                                </m:f>
                              </m:e>
                            </m:d>
                          </m:e>
                          <m:sub>
                            <m:r>
                              <w:rPr>
                                <w:rFonts w:ascii="Cambria Math" w:hAnsi="Cambria Math"/>
                                <w:lang w:val="en-US"/>
                              </w:rPr>
                              <m:t>0</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V</m:t>
                            </m:r>
                          </m:num>
                          <m:den>
                            <m:r>
                              <w:rPr>
                                <w:rFonts w:ascii="Cambria Math" w:hAnsi="Cambria Math"/>
                                <w:lang w:val="en-US"/>
                              </w:rPr>
                              <m:t>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e>
                            </m:d>
                          </m:den>
                        </m:f>
                        <m: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dT</m:t>
                                    </m:r>
                                  </m:num>
                                  <m:den>
                                    <m:r>
                                      <w:rPr>
                                        <w:rFonts w:ascii="Cambria Math" w:hAnsi="Cambria Math"/>
                                        <w:lang w:val="en-US"/>
                                      </w:rPr>
                                      <m:t>dt</m:t>
                                    </m:r>
                                  </m:den>
                                </m:f>
                              </m:e>
                            </m:d>
                          </m:e>
                          <m:sub>
                            <m:r>
                              <w:rPr>
                                <w:rFonts w:ascii="Cambria Math" w:hAnsi="Cambria Math"/>
                                <w:lang w:val="en-US"/>
                              </w:rPr>
                              <m:t>0</m:t>
                            </m:r>
                          </m:sub>
                        </m:sSub>
                      </m:e>
                    </m:d>
                  </m:e>
                  <m:sub>
                    <m:r>
                      <w:rPr>
                        <w:rFonts w:ascii="Cambria Math" w:hAnsi="Cambria Math"/>
                        <w:lang w:val="en-US"/>
                      </w:rPr>
                      <m:t>e</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R</m:t>
                        </m:r>
                      </m:sub>
                    </m:sSub>
                  </m:num>
                  <m:den>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e</m:t>
                        </m:r>
                      </m:sub>
                    </m:sSub>
                  </m:den>
                </m:f>
                <m:r>
                  <w:rPr>
                    <w:rFonts w:ascii="Cambria Math" w:hAnsi="Cambria Math"/>
                    <w:lang w:val="en-US"/>
                  </w:rPr>
                  <m:t xml:space="preserve"> </m:t>
                </m:r>
              </m:oMath>
            </m:oMathPara>
          </w:p>
        </w:tc>
        <w:tc>
          <w:tcPr>
            <w:tcW w:w="815" w:type="dxa"/>
            <w:vAlign w:val="center"/>
          </w:tcPr>
          <w:p w14:paraId="2A62E19E" w14:textId="1A3180EA" w:rsidR="00FF78D4" w:rsidRPr="00A07FE8" w:rsidRDefault="00FF78D4" w:rsidP="00AD6258">
            <w:pPr>
              <w:pStyle w:val="CETEquation"/>
              <w:jc w:val="right"/>
              <w:rPr>
                <w:lang w:val="en-US"/>
              </w:rPr>
            </w:pPr>
            <w:r w:rsidRPr="00A07FE8">
              <w:rPr>
                <w:lang w:val="en-US"/>
              </w:rPr>
              <w:t>(</w:t>
            </w:r>
            <w:r w:rsidR="000D35D5">
              <w:rPr>
                <w:lang w:val="en-US"/>
              </w:rPr>
              <w:t>6</w:t>
            </w:r>
            <w:r w:rsidRPr="00A07FE8">
              <w:rPr>
                <w:lang w:val="en-US"/>
              </w:rPr>
              <w:t>)</w:t>
            </w:r>
          </w:p>
        </w:tc>
      </w:tr>
    </w:tbl>
    <w:p w14:paraId="15CA7454" w14:textId="7A71027C" w:rsidR="00197E47" w:rsidRPr="00A07FE8" w:rsidRDefault="00F32F95" w:rsidP="00146277">
      <w:pPr>
        <w:pStyle w:val="CETBodytext"/>
      </w:pPr>
      <w:r w:rsidRPr="00A07FE8">
        <w:t>w</w:t>
      </w:r>
      <w:r w:rsidR="00FF78D4" w:rsidRPr="00A07FE8">
        <w:t>here:</w:t>
      </w:r>
      <w:r w:rsidR="00737B40" w:rsidRPr="00A07FE8">
        <w:t xml:space="preserve"> </w:t>
      </w:r>
      <m:oMath>
        <m:sSub>
          <m:sSubPr>
            <m:ctrlPr>
              <w:rPr>
                <w:rFonts w:ascii="Cambria Math" w:hAnsi="Cambria Math"/>
                <w:i/>
              </w:rPr>
            </m:ctrlPr>
          </m:sSubPr>
          <m:e>
            <m:r>
              <w:rPr>
                <w:rFonts w:ascii="Cambria Math" w:hAnsi="Cambria Math"/>
              </w:rPr>
              <m:t>Q</m:t>
            </m:r>
          </m:e>
          <m:sub>
            <m:r>
              <w:rPr>
                <w:rFonts w:ascii="Cambria Math" w:hAnsi="Cambria Math"/>
              </w:rPr>
              <m:t>g,R</m:t>
            </m:r>
          </m:sub>
        </m:sSub>
      </m:oMath>
      <w:r w:rsidR="00737B40" w:rsidRPr="00A07FE8">
        <w:t xml:space="preserve"> is the volumetric flow rate</w:t>
      </w:r>
      <w:r w:rsidR="006E54DB" w:rsidRPr="00A07FE8">
        <w:t xml:space="preserve"> of both gases and vapors at the full plant scale;</w:t>
      </w:r>
      <w:r w:rsidR="00FF78D4" w:rsidRPr="00A07FE8">
        <w:t xml:space="preserve"> </w:t>
      </w:r>
      <m:oMath>
        <m:sSub>
          <m:sSubPr>
            <m:ctrlPr>
              <w:rPr>
                <w:rFonts w:ascii="Cambria Math" w:hAnsi="Cambria Math"/>
                <w:i/>
              </w:rPr>
            </m:ctrlPr>
          </m:sSubPr>
          <m:e>
            <m:r>
              <w:rPr>
                <w:rFonts w:ascii="Cambria Math" w:hAnsi="Cambria Math"/>
              </w:rPr>
              <m:t>m</m:t>
            </m:r>
          </m:e>
          <m:sub>
            <m:r>
              <w:rPr>
                <w:rFonts w:ascii="Cambria Math" w:hAnsi="Cambria Math"/>
              </w:rPr>
              <m:t>R</m:t>
            </m:r>
          </m:sub>
        </m:sSub>
      </m:oMath>
      <w:r w:rsidR="00FF78D4" w:rsidRPr="00A07FE8">
        <w:t xml:space="preserve"> is the </w:t>
      </w:r>
      <w:r w:rsidR="007F34E7" w:rsidRPr="00A07FE8">
        <w:t>mass of liquid substance loaded into the vessel (or reactor) before the opening of the relief device</w:t>
      </w:r>
      <w:r w:rsidR="00283DD8" w:rsidRPr="00A07FE8">
        <w:t xml:space="preserve">; and </w:t>
      </w:r>
      <m:oMath>
        <m:sSub>
          <m:sSubPr>
            <m:ctrlPr>
              <w:rPr>
                <w:rFonts w:ascii="Cambria Math" w:hAnsi="Cambria Math"/>
                <w:i/>
              </w:rPr>
            </m:ctrlPr>
          </m:sSubPr>
          <m:e>
            <m:r>
              <w:rPr>
                <w:rFonts w:ascii="Cambria Math" w:hAnsi="Cambria Math"/>
              </w:rPr>
              <m:t>m</m:t>
            </m:r>
          </m:e>
          <m:sub>
            <m:r>
              <w:rPr>
                <w:rFonts w:ascii="Cambria Math" w:hAnsi="Cambria Math"/>
              </w:rPr>
              <m:t>e</m:t>
            </m:r>
          </m:sub>
        </m:sSub>
      </m:oMath>
      <w:r w:rsidR="00283DD8" w:rsidRPr="00A07FE8">
        <w:t xml:space="preserve"> is the mass of liquid substance loaded into the test cell of the calorimeter</w:t>
      </w:r>
      <w:r w:rsidRPr="00A07FE8">
        <w:t xml:space="preserve">. It is important to underline that the </w:t>
      </w:r>
      <w:r w:rsidR="00181235">
        <w:t xml:space="preserve">percentage of </w:t>
      </w:r>
      <w:r w:rsidR="00A6732F" w:rsidRPr="00A07FE8">
        <w:t>free volume available for the gas/vapor phase must be the same in between the test cell and the real vessel at full plant scale</w:t>
      </w:r>
      <w:r w:rsidR="00737B40" w:rsidRPr="00A07FE8">
        <w:t>; otherwise, Eq. (</w:t>
      </w:r>
      <w:r w:rsidR="00181235">
        <w:t>6</w:t>
      </w:r>
      <w:r w:rsidR="00737B40" w:rsidRPr="00A07FE8">
        <w:t xml:space="preserve">) </w:t>
      </w:r>
      <w:r w:rsidR="006E54DB" w:rsidRPr="00A07FE8">
        <w:t>cannot be</w:t>
      </w:r>
      <w:r w:rsidR="00737B40" w:rsidRPr="00A07FE8">
        <w:t xml:space="preserve"> correct</w:t>
      </w:r>
      <w:r w:rsidR="006E54DB" w:rsidRPr="00A07FE8">
        <w:t>ly applied</w:t>
      </w:r>
      <w:r w:rsidR="00A6732F" w:rsidRPr="00A07FE8">
        <w:t>.</w:t>
      </w:r>
      <w:r w:rsidR="00737B40" w:rsidRPr="00A07FE8">
        <w:t xml:space="preserve"> </w:t>
      </w:r>
      <w:r w:rsidR="00E644E1" w:rsidRPr="00A07FE8">
        <w:t xml:space="preserve">Finally, it is possible to determine the </w:t>
      </w:r>
      <w:r w:rsidR="005007C7" w:rsidRPr="00A07FE8">
        <w:t xml:space="preserve">effective </w:t>
      </w:r>
      <w:r w:rsidR="00214492" w:rsidRPr="00A07FE8">
        <w:t xml:space="preserve">mass flow </w:t>
      </w:r>
      <w:r w:rsidR="00E05F20" w:rsidRPr="00A07FE8">
        <w:t>rate at full scale</w:t>
      </w:r>
      <w:r w:rsidR="005D1768" w:rsidRPr="00A07FE8">
        <w:t xml:space="preserve">, </w:t>
      </w:r>
      <m:oMath>
        <m:r>
          <w:rPr>
            <w:rFonts w:ascii="Cambria Math" w:hAnsi="Cambria Math"/>
          </w:rPr>
          <m:t>W</m:t>
        </m:r>
      </m:oMath>
      <w:r w:rsidR="00181235">
        <w:t xml:space="preserve"> [kg/s]</w:t>
      </w:r>
      <w:r w:rsidR="005D1768" w:rsidRPr="00A07FE8">
        <w:t>,</w:t>
      </w:r>
      <w:r w:rsidR="00E05F20" w:rsidRPr="00A07FE8">
        <w:t xml:space="preserve"> </w:t>
      </w:r>
      <w:r w:rsidR="005007C7" w:rsidRPr="00A07FE8">
        <w:t xml:space="preserve">by considering two limiting cases: </w:t>
      </w:r>
      <w:r w:rsidR="00E1238A" w:rsidRPr="00A07FE8">
        <w:t>two-phase</w:t>
      </w:r>
      <w:r w:rsidR="008E5918" w:rsidRPr="00A07FE8">
        <w:t xml:space="preserve"> </w:t>
      </w:r>
      <w:r w:rsidR="00E1238A" w:rsidRPr="00A07FE8">
        <w:t xml:space="preserve">(liquid and gas/vapor) </w:t>
      </w:r>
      <w:r w:rsidR="008E5918" w:rsidRPr="00A07FE8">
        <w:t xml:space="preserve">and </w:t>
      </w:r>
      <w:r w:rsidR="00E1238A" w:rsidRPr="00A07FE8">
        <w:t>single-phase</w:t>
      </w:r>
      <w:r w:rsidR="008E5918" w:rsidRPr="00A07FE8">
        <w:t xml:space="preserve"> </w:t>
      </w:r>
      <w:r w:rsidR="00E1238A" w:rsidRPr="00A07FE8">
        <w:t xml:space="preserve">(vapor or gas) </w:t>
      </w:r>
      <w:r w:rsidR="008E5918" w:rsidRPr="00A07FE8">
        <w:t xml:space="preserve">efflux. </w:t>
      </w:r>
      <w:r w:rsidR="002A6478" w:rsidRPr="00A07FE8">
        <w:t xml:space="preserve">In case of discharge of a </w:t>
      </w:r>
      <w:r w:rsidR="000C635B" w:rsidRPr="00A07FE8">
        <w:t>two-phase</w:t>
      </w:r>
      <w:r w:rsidR="002A6478" w:rsidRPr="00A07FE8">
        <w:t xml:space="preserve"> mixture</w:t>
      </w:r>
      <w:r w:rsidR="00A047A1" w:rsidRPr="00A07FE8">
        <w:t xml:space="preserve">, the average density of the stream to be unloaded can be calculated assuming a homogenous </w:t>
      </w:r>
      <w:r w:rsidR="00335656" w:rsidRPr="00A07FE8">
        <w:t>efflux, as reported in Eq. (</w:t>
      </w:r>
      <w:r w:rsidR="00B81B39">
        <w:t>7</w:t>
      </w:r>
      <w:r w:rsidR="00335656" w:rsidRPr="00A07FE8">
        <w:t>):</w:t>
      </w:r>
    </w:p>
    <w:tbl>
      <w:tblPr>
        <w:tblW w:w="5000" w:type="pct"/>
        <w:tblLook w:val="04A0" w:firstRow="1" w:lastRow="0" w:firstColumn="1" w:lastColumn="0" w:noHBand="0" w:noVBand="1"/>
      </w:tblPr>
      <w:tblGrid>
        <w:gridCol w:w="7983"/>
        <w:gridCol w:w="804"/>
      </w:tblGrid>
      <w:tr w:rsidR="000C635B" w:rsidRPr="00A07FE8" w14:paraId="71270E63" w14:textId="77777777" w:rsidTr="00AD6258">
        <w:tc>
          <w:tcPr>
            <w:tcW w:w="8188" w:type="dxa"/>
            <w:vAlign w:val="center"/>
          </w:tcPr>
          <w:p w14:paraId="2EB12D9F" w14:textId="4AE61E51" w:rsidR="00335656" w:rsidRPr="00A07FE8" w:rsidRDefault="00000000" w:rsidP="00AD6258">
            <w:pPr>
              <w:pStyle w:val="CETEquation"/>
              <w:rPr>
                <w:lang w:val="en-US"/>
              </w:rPr>
            </w:pPr>
            <m:oMathPara>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double</m:t>
                    </m:r>
                  </m:sub>
                </m:sSub>
                <m:r>
                  <w:rPr>
                    <w:rFonts w:ascii="Cambria Math" w:hAnsi="Cambria Math"/>
                    <w:lang w:val="en-US"/>
                  </w:rPr>
                  <m:t>=</m:t>
                </m:r>
                <m:sSub>
                  <m:sSubPr>
                    <m:ctrlPr>
                      <w:rPr>
                        <w:rFonts w:ascii="Cambria Math" w:hAnsi="Cambria Math"/>
                        <w:i/>
                        <w:lang w:val="en-US"/>
                      </w:rPr>
                    </m:ctrlPr>
                  </m:sSub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V</m:t>
                            </m:r>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den>
                        </m:f>
                        <m: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dP</m:t>
                                    </m:r>
                                  </m:num>
                                  <m:den>
                                    <m:r>
                                      <w:rPr>
                                        <w:rFonts w:ascii="Cambria Math" w:hAnsi="Cambria Math"/>
                                        <w:lang w:val="en-US"/>
                                      </w:rPr>
                                      <m:t>dt</m:t>
                                    </m:r>
                                  </m:den>
                                </m:f>
                              </m:e>
                            </m:d>
                          </m:e>
                          <m:sub>
                            <m:r>
                              <w:rPr>
                                <w:rFonts w:ascii="Cambria Math" w:hAnsi="Cambria Math"/>
                                <w:lang w:val="en-US"/>
                              </w:rPr>
                              <m:t>0</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V</m:t>
                            </m:r>
                          </m:num>
                          <m:den>
                            <m:r>
                              <w:rPr>
                                <w:rFonts w:ascii="Cambria Math" w:hAnsi="Cambria Math"/>
                                <w:lang w:val="en-US"/>
                              </w:rPr>
                              <m:t>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e>
                            </m:d>
                          </m:den>
                        </m:f>
                        <m: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dT</m:t>
                                    </m:r>
                                  </m:num>
                                  <m:den>
                                    <m:r>
                                      <w:rPr>
                                        <w:rFonts w:ascii="Cambria Math" w:hAnsi="Cambria Math"/>
                                        <w:lang w:val="en-US"/>
                                      </w:rPr>
                                      <m:t>dt</m:t>
                                    </m:r>
                                  </m:den>
                                </m:f>
                              </m:e>
                            </m:d>
                          </m:e>
                          <m:sub>
                            <m:r>
                              <w:rPr>
                                <w:rFonts w:ascii="Cambria Math" w:hAnsi="Cambria Math"/>
                                <w:lang w:val="en-US"/>
                              </w:rPr>
                              <m:t>0</m:t>
                            </m:r>
                          </m:sub>
                        </m:sSub>
                      </m:e>
                    </m:d>
                  </m:e>
                  <m:sub>
                    <m:r>
                      <w:rPr>
                        <w:rFonts w:ascii="Cambria Math" w:hAnsi="Cambria Math"/>
                        <w:lang w:val="en-US"/>
                      </w:rPr>
                      <m:t>e</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R</m:t>
                        </m:r>
                      </m:sub>
                    </m:sSub>
                  </m:num>
                  <m:den>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e</m:t>
                        </m:r>
                      </m:sub>
                    </m:sSub>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R</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nom</m:t>
                        </m:r>
                      </m:sub>
                    </m:sSub>
                  </m:den>
                </m:f>
                <m:r>
                  <w:rPr>
                    <w:rFonts w:ascii="Cambria Math" w:hAnsi="Cambria Math"/>
                    <w:lang w:val="en-US"/>
                  </w:rPr>
                  <m:t xml:space="preserve"> </m:t>
                </m:r>
              </m:oMath>
            </m:oMathPara>
          </w:p>
        </w:tc>
        <w:tc>
          <w:tcPr>
            <w:tcW w:w="815" w:type="dxa"/>
            <w:vAlign w:val="center"/>
          </w:tcPr>
          <w:p w14:paraId="5E2FF717" w14:textId="700F67E5" w:rsidR="00335656" w:rsidRPr="00A07FE8" w:rsidRDefault="00335656" w:rsidP="00AD6258">
            <w:pPr>
              <w:pStyle w:val="CETEquation"/>
              <w:jc w:val="right"/>
              <w:rPr>
                <w:lang w:val="en-US"/>
              </w:rPr>
            </w:pPr>
            <w:r w:rsidRPr="00A07FE8">
              <w:rPr>
                <w:lang w:val="en-US"/>
              </w:rPr>
              <w:t>(</w:t>
            </w:r>
            <w:r w:rsidR="00B81B39">
              <w:rPr>
                <w:lang w:val="en-US"/>
              </w:rPr>
              <w:t>7</w:t>
            </w:r>
            <w:r w:rsidRPr="00A07FE8">
              <w:rPr>
                <w:lang w:val="en-US"/>
              </w:rPr>
              <w:t>)</w:t>
            </w:r>
          </w:p>
        </w:tc>
      </w:tr>
    </w:tbl>
    <w:p w14:paraId="5A85CEC4" w14:textId="0375A4D6" w:rsidR="0082025F" w:rsidRPr="00A07FE8" w:rsidRDefault="0082025F" w:rsidP="00146277">
      <w:pPr>
        <w:pStyle w:val="CETBodytext"/>
      </w:pPr>
      <w:r w:rsidRPr="00A07FE8">
        <w:t xml:space="preserve">where: </w:t>
      </w:r>
      <m:oMath>
        <m:sSub>
          <m:sSubPr>
            <m:ctrlPr>
              <w:rPr>
                <w:rFonts w:ascii="Cambria Math" w:hAnsi="Cambria Math"/>
                <w:i/>
              </w:rPr>
            </m:ctrlPr>
          </m:sSubPr>
          <m:e>
            <m:r>
              <w:rPr>
                <w:rFonts w:ascii="Cambria Math" w:hAnsi="Cambria Math"/>
              </w:rPr>
              <m:t>V</m:t>
            </m:r>
          </m:e>
          <m:sub>
            <m:r>
              <w:rPr>
                <w:rFonts w:ascii="Cambria Math" w:hAnsi="Cambria Math"/>
              </w:rPr>
              <m:t>nom</m:t>
            </m:r>
          </m:sub>
        </m:sSub>
      </m:oMath>
      <w:r w:rsidRPr="00A07FE8">
        <w:t xml:space="preserve"> is </w:t>
      </w:r>
      <w:r w:rsidR="00710F76">
        <w:t xml:space="preserve">the </w:t>
      </w:r>
      <w:r w:rsidRPr="00A07FE8">
        <w:t>nominal volume of the vessel (or reactor) at the full scale.</w:t>
      </w:r>
    </w:p>
    <w:p w14:paraId="0B3DAC50" w14:textId="3192AD30" w:rsidR="00335656" w:rsidRPr="00A07FE8" w:rsidRDefault="000C635B" w:rsidP="00146277">
      <w:pPr>
        <w:pStyle w:val="CETBodytext"/>
      </w:pPr>
      <w:r w:rsidRPr="00A07FE8">
        <w:t xml:space="preserve">Otherwise, in case of </w:t>
      </w:r>
      <w:r w:rsidR="005D1768" w:rsidRPr="00A07FE8">
        <w:t xml:space="preserve">a single-phase mixture to be discharged, </w:t>
      </w:r>
      <m:oMath>
        <m:r>
          <w:rPr>
            <w:rFonts w:ascii="Cambria Math" w:hAnsi="Cambria Math"/>
          </w:rPr>
          <m:t>W</m:t>
        </m:r>
      </m:oMath>
      <w:r w:rsidR="005D1768" w:rsidRPr="00A07FE8">
        <w:t xml:space="preserve"> can be calculated according to Eq. (</w:t>
      </w:r>
      <w:r w:rsidR="00B81B39">
        <w:t>8</w:t>
      </w:r>
      <w:r w:rsidR="005D1768" w:rsidRPr="00A07FE8">
        <w:t>):</w:t>
      </w:r>
    </w:p>
    <w:tbl>
      <w:tblPr>
        <w:tblW w:w="5000" w:type="pct"/>
        <w:tblLook w:val="04A0" w:firstRow="1" w:lastRow="0" w:firstColumn="1" w:lastColumn="0" w:noHBand="0" w:noVBand="1"/>
      </w:tblPr>
      <w:tblGrid>
        <w:gridCol w:w="7983"/>
        <w:gridCol w:w="804"/>
      </w:tblGrid>
      <w:tr w:rsidR="005D1768" w:rsidRPr="00A07FE8" w14:paraId="559BD899" w14:textId="77777777" w:rsidTr="00AD6258">
        <w:tc>
          <w:tcPr>
            <w:tcW w:w="8188" w:type="dxa"/>
            <w:vAlign w:val="center"/>
          </w:tcPr>
          <w:p w14:paraId="73AF47EB" w14:textId="292F45B0" w:rsidR="005D1768" w:rsidRPr="00A07FE8" w:rsidRDefault="00000000" w:rsidP="00AD6258">
            <w:pPr>
              <w:pStyle w:val="CETEquation"/>
              <w:rPr>
                <w:lang w:val="en-US"/>
              </w:rPr>
            </w:pPr>
            <m:oMathPara>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single, vap</m:t>
                    </m:r>
                  </m:sub>
                </m:sSub>
                <m:r>
                  <w:rPr>
                    <w:rFonts w:ascii="Cambria Math" w:hAnsi="Cambria Math"/>
                    <w:lang w:val="en-US"/>
                  </w:rPr>
                  <m:t>=</m:t>
                </m:r>
                <m:sSub>
                  <m:sSubPr>
                    <m:ctrlPr>
                      <w:rPr>
                        <w:rFonts w:ascii="Cambria Math" w:hAnsi="Cambria Math"/>
                        <w:i/>
                        <w:lang w:val="en-US"/>
                      </w:rPr>
                    </m:ctrlPr>
                  </m:sSub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V</m:t>
                            </m:r>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den>
                        </m:f>
                        <m: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dP</m:t>
                                    </m:r>
                                  </m:num>
                                  <m:den>
                                    <m:r>
                                      <w:rPr>
                                        <w:rFonts w:ascii="Cambria Math" w:hAnsi="Cambria Math"/>
                                        <w:lang w:val="en-US"/>
                                      </w:rPr>
                                      <m:t>dt</m:t>
                                    </m:r>
                                  </m:den>
                                </m:f>
                              </m:e>
                            </m:d>
                          </m:e>
                          <m:sub>
                            <m:r>
                              <w:rPr>
                                <w:rFonts w:ascii="Cambria Math" w:hAnsi="Cambria Math"/>
                                <w:lang w:val="en-US"/>
                              </w:rPr>
                              <m:t>0</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V</m:t>
                            </m:r>
                          </m:num>
                          <m:den>
                            <m:r>
                              <w:rPr>
                                <w:rFonts w:ascii="Cambria Math" w:hAnsi="Cambria Math"/>
                                <w:lang w:val="en-US"/>
                              </w:rPr>
                              <m:t>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e>
                            </m:d>
                          </m:den>
                        </m:f>
                        <m: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dT</m:t>
                                    </m:r>
                                  </m:num>
                                  <m:den>
                                    <m:r>
                                      <w:rPr>
                                        <w:rFonts w:ascii="Cambria Math" w:hAnsi="Cambria Math"/>
                                        <w:lang w:val="en-US"/>
                                      </w:rPr>
                                      <m:t>dt</m:t>
                                    </m:r>
                                  </m:den>
                                </m:f>
                              </m:e>
                            </m:d>
                          </m:e>
                          <m:sub>
                            <m:r>
                              <w:rPr>
                                <w:rFonts w:ascii="Cambria Math" w:hAnsi="Cambria Math"/>
                                <w:lang w:val="en-US"/>
                              </w:rPr>
                              <m:t>0</m:t>
                            </m:r>
                          </m:sub>
                        </m:sSub>
                      </m:e>
                    </m:d>
                  </m:e>
                  <m:sub>
                    <m:r>
                      <w:rPr>
                        <w:rFonts w:ascii="Cambria Math" w:hAnsi="Cambria Math"/>
                        <w:lang w:val="en-US"/>
                      </w:rPr>
                      <m:t>e</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R</m:t>
                        </m:r>
                      </m:sub>
                    </m:sSub>
                  </m:num>
                  <m:den>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e</m:t>
                        </m:r>
                      </m:sub>
                    </m:sSub>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r>
                      <w:rPr>
                        <w:rFonts w:ascii="Cambria Math" w:hAnsi="Cambria Math"/>
                        <w:lang w:val="en-US"/>
                      </w:rPr>
                      <m:t>∙MW</m:t>
                    </m:r>
                  </m:num>
                  <m:den>
                    <m:r>
                      <w:rPr>
                        <w:rFonts w:ascii="Cambria Math" w:hAnsi="Cambria Math"/>
                        <w:lang w:val="en-US"/>
                      </w:rPr>
                      <m:t>RT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e>
                    </m:d>
                  </m:den>
                </m:f>
                <m:r>
                  <w:rPr>
                    <w:rFonts w:ascii="Cambria Math" w:hAnsi="Cambria Math"/>
                    <w:lang w:val="en-US"/>
                  </w:rPr>
                  <m:t xml:space="preserve"> </m:t>
                </m:r>
              </m:oMath>
            </m:oMathPara>
          </w:p>
        </w:tc>
        <w:tc>
          <w:tcPr>
            <w:tcW w:w="815" w:type="dxa"/>
            <w:vAlign w:val="center"/>
          </w:tcPr>
          <w:p w14:paraId="2666ECEC" w14:textId="3015D54F" w:rsidR="005D1768" w:rsidRPr="00A07FE8" w:rsidRDefault="005D1768" w:rsidP="00AD6258">
            <w:pPr>
              <w:pStyle w:val="CETEquation"/>
              <w:jc w:val="right"/>
              <w:rPr>
                <w:lang w:val="en-US"/>
              </w:rPr>
            </w:pPr>
            <w:r w:rsidRPr="00A07FE8">
              <w:rPr>
                <w:lang w:val="en-US"/>
              </w:rPr>
              <w:t>(</w:t>
            </w:r>
            <w:r w:rsidR="00B81B39">
              <w:rPr>
                <w:lang w:val="en-US"/>
              </w:rPr>
              <w:t>8</w:t>
            </w:r>
            <w:r w:rsidRPr="00A07FE8">
              <w:rPr>
                <w:lang w:val="en-US"/>
              </w:rPr>
              <w:t>)</w:t>
            </w:r>
          </w:p>
        </w:tc>
      </w:tr>
    </w:tbl>
    <w:p w14:paraId="1F6DEFBB" w14:textId="579FBF32" w:rsidR="003A5BC9" w:rsidRPr="00A07FE8" w:rsidRDefault="0082025F" w:rsidP="00146277">
      <w:pPr>
        <w:pStyle w:val="CETBodytext"/>
      </w:pPr>
      <w:r w:rsidRPr="00A07FE8">
        <w:t xml:space="preserve">where: </w:t>
      </w:r>
      <m:oMath>
        <m:r>
          <w:rPr>
            <w:rFonts w:ascii="Cambria Math" w:hAnsi="Cambria Math"/>
          </w:rPr>
          <m:t>MW</m:t>
        </m:r>
      </m:oMath>
      <w:r w:rsidRPr="00A07FE8">
        <w:t xml:space="preserve"> is the average molecular weight of the gases/vapors discharged during the </w:t>
      </w:r>
      <w:r w:rsidR="003A5BC9" w:rsidRPr="00A07FE8">
        <w:t xml:space="preserve">phenomenon under study. </w:t>
      </w:r>
      <w:r w:rsidR="0030668F">
        <w:t xml:space="preserve">In this case, using omega </w:t>
      </w:r>
      <w:r w:rsidR="00A06A77">
        <w:t>(</w:t>
      </w:r>
      <m:oMath>
        <m:r>
          <w:rPr>
            <w:rFonts w:ascii="Cambria Math" w:hAnsi="Cambria Math"/>
          </w:rPr>
          <m:t>ω</m:t>
        </m:r>
      </m:oMath>
      <w:r w:rsidR="00A06A77">
        <w:t xml:space="preserve">) </w:t>
      </w:r>
      <w:r w:rsidR="0030668F">
        <w:t xml:space="preserve">method, it was possible to </w:t>
      </w:r>
      <w:r w:rsidR="00E27138">
        <w:t>establish that a two-phase efflux was the most likely</w:t>
      </w:r>
      <w:r w:rsidR="00E047A0">
        <w:t xml:space="preserve"> (</w:t>
      </w:r>
      <m:oMath>
        <m:r>
          <w:rPr>
            <w:rFonts w:ascii="Cambria Math" w:hAnsi="Cambria Math"/>
          </w:rPr>
          <m:t>ω</m:t>
        </m:r>
      </m:oMath>
      <w:r w:rsidR="00E047A0">
        <w:t xml:space="preserve"> = 0.502).</w:t>
      </w:r>
      <w:r w:rsidR="00674B1C">
        <w:t xml:space="preserve"> </w:t>
      </w:r>
      <w:r w:rsidR="003B4B6E">
        <w:t xml:space="preserve">The required </w:t>
      </w:r>
      <w:r w:rsidR="00747E67">
        <w:t xml:space="preserve">minimum discharge area of the rupture disk must be calculated by suitable taking into the real discharge capacity of the venting line. </w:t>
      </w:r>
      <w:r w:rsidR="00C47306">
        <w:t xml:space="preserve">Table 1 reports </w:t>
      </w:r>
      <w:r w:rsidR="00974D3C">
        <w:t xml:space="preserve">the characteristics of the venting line together with the other required </w:t>
      </w:r>
      <w:r w:rsidR="00E41A08">
        <w:t xml:space="preserve">data suitable for the sizing according to </w:t>
      </w:r>
      <w:r w:rsidR="00B17BC0">
        <w:t xml:space="preserve">what found processing PHI-TEC II experimental data (see Figure 2). </w:t>
      </w:r>
    </w:p>
    <w:p w14:paraId="7BF197A1" w14:textId="32D94778" w:rsidR="00BF0BAB" w:rsidRPr="00A07FE8" w:rsidRDefault="00BF0BAB" w:rsidP="00BF0BAB">
      <w:pPr>
        <w:pStyle w:val="CETTabletitle"/>
        <w:rPr>
          <w:lang w:val="en-US"/>
        </w:rPr>
      </w:pPr>
      <w:r w:rsidRPr="00A07FE8">
        <w:rPr>
          <w:lang w:val="en-US"/>
        </w:rPr>
        <w:t xml:space="preserve">Table 1: </w:t>
      </w:r>
      <w:r w:rsidR="00B17BC0">
        <w:rPr>
          <w:lang w:val="en-US"/>
        </w:rPr>
        <w:t xml:space="preserve">Characteristics of the venting line and PHI-TEC II </w:t>
      </w:r>
      <w:r w:rsidR="00AF4351">
        <w:rPr>
          <w:lang w:val="en-US"/>
        </w:rPr>
        <w:t>data for sizing</w:t>
      </w:r>
      <w:r w:rsidR="009D2D4B" w:rsidRPr="00A07FE8">
        <w:rPr>
          <w:lang w:val="en-US"/>
        </w:rPr>
        <w:t>.</w:t>
      </w:r>
    </w:p>
    <w:tbl>
      <w:tblPr>
        <w:tblW w:w="906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93"/>
        <w:gridCol w:w="2663"/>
        <w:gridCol w:w="1799"/>
        <w:gridCol w:w="3605"/>
      </w:tblGrid>
      <w:tr w:rsidR="00C26D7C" w:rsidRPr="00A07FE8" w14:paraId="6333D9F5" w14:textId="77777777" w:rsidTr="009C7974">
        <w:trPr>
          <w:trHeight w:val="186"/>
        </w:trPr>
        <w:tc>
          <w:tcPr>
            <w:tcW w:w="3656" w:type="dxa"/>
            <w:gridSpan w:val="2"/>
            <w:tcBorders>
              <w:top w:val="single" w:sz="12" w:space="0" w:color="008000"/>
              <w:bottom w:val="single" w:sz="6" w:space="0" w:color="008000"/>
            </w:tcBorders>
            <w:shd w:val="clear" w:color="auto" w:fill="FFFFFF"/>
          </w:tcPr>
          <w:p w14:paraId="37123833" w14:textId="051D6009" w:rsidR="00C26D7C" w:rsidRDefault="00C26D7C" w:rsidP="006A6188">
            <w:pPr>
              <w:pStyle w:val="CETBodytext"/>
              <w:jc w:val="center"/>
              <w:rPr>
                <w:b/>
                <w:bCs/>
                <w:szCs w:val="18"/>
              </w:rPr>
            </w:pPr>
            <w:r>
              <w:rPr>
                <w:b/>
                <w:bCs/>
                <w:szCs w:val="18"/>
              </w:rPr>
              <w:t>PHI-TEC II test</w:t>
            </w:r>
          </w:p>
        </w:tc>
        <w:tc>
          <w:tcPr>
            <w:tcW w:w="5404" w:type="dxa"/>
            <w:gridSpan w:val="2"/>
            <w:tcBorders>
              <w:top w:val="single" w:sz="12" w:space="0" w:color="008000"/>
              <w:bottom w:val="single" w:sz="6" w:space="0" w:color="008000"/>
            </w:tcBorders>
            <w:shd w:val="clear" w:color="auto" w:fill="FFFFFF"/>
          </w:tcPr>
          <w:p w14:paraId="749069B2" w14:textId="72F962CA" w:rsidR="00C26D7C" w:rsidRPr="00A07FE8" w:rsidRDefault="00C26D7C" w:rsidP="00C26D7C">
            <w:pPr>
              <w:pStyle w:val="CETBodytext"/>
              <w:jc w:val="center"/>
              <w:rPr>
                <w:b/>
                <w:bCs/>
                <w:szCs w:val="18"/>
              </w:rPr>
            </w:pPr>
            <w:r>
              <w:rPr>
                <w:b/>
                <w:bCs/>
                <w:szCs w:val="18"/>
              </w:rPr>
              <w:t>Full Scale Venting Line</w:t>
            </w:r>
          </w:p>
        </w:tc>
      </w:tr>
      <w:tr w:rsidR="00FC789F" w:rsidRPr="00A07FE8" w14:paraId="4E08A40B" w14:textId="77777777" w:rsidTr="002D71D3">
        <w:trPr>
          <w:trHeight w:val="186"/>
        </w:trPr>
        <w:tc>
          <w:tcPr>
            <w:tcW w:w="993" w:type="dxa"/>
            <w:tcBorders>
              <w:top w:val="single" w:sz="12" w:space="0" w:color="008000"/>
              <w:bottom w:val="single" w:sz="6" w:space="0" w:color="008000"/>
            </w:tcBorders>
            <w:shd w:val="clear" w:color="auto" w:fill="FFFFFF"/>
          </w:tcPr>
          <w:p w14:paraId="334FE933" w14:textId="0E3CC8B5" w:rsidR="00FC789F" w:rsidRPr="006A6188" w:rsidRDefault="00FC789F" w:rsidP="00FC789F">
            <w:pPr>
              <w:pStyle w:val="CETBodytext"/>
              <w:jc w:val="center"/>
              <w:rPr>
                <w:b/>
                <w:bCs/>
                <w:szCs w:val="18"/>
              </w:rPr>
            </w:pPr>
            <w:r w:rsidRPr="006A6188">
              <w:rPr>
                <w:b/>
                <w:bCs/>
                <w:szCs w:val="18"/>
              </w:rPr>
              <w:t>Parameter</w:t>
            </w:r>
          </w:p>
        </w:tc>
        <w:tc>
          <w:tcPr>
            <w:tcW w:w="2663" w:type="dxa"/>
            <w:tcBorders>
              <w:top w:val="single" w:sz="12" w:space="0" w:color="008000"/>
              <w:bottom w:val="single" w:sz="6" w:space="0" w:color="008000"/>
            </w:tcBorders>
            <w:shd w:val="clear" w:color="auto" w:fill="FFFFFF"/>
          </w:tcPr>
          <w:p w14:paraId="1BB2107D" w14:textId="03195A87" w:rsidR="00FC789F" w:rsidRPr="00A07FE8" w:rsidRDefault="00FC789F" w:rsidP="00FC789F">
            <w:pPr>
              <w:pStyle w:val="CETBodytext"/>
              <w:jc w:val="center"/>
              <w:rPr>
                <w:b/>
                <w:bCs/>
                <w:szCs w:val="18"/>
              </w:rPr>
            </w:pPr>
            <w:r>
              <w:rPr>
                <w:b/>
                <w:bCs/>
                <w:szCs w:val="18"/>
              </w:rPr>
              <w:t>Value [Unit]</w:t>
            </w:r>
          </w:p>
        </w:tc>
        <w:tc>
          <w:tcPr>
            <w:tcW w:w="1799" w:type="dxa"/>
            <w:tcBorders>
              <w:top w:val="single" w:sz="12" w:space="0" w:color="008000"/>
              <w:bottom w:val="single" w:sz="6" w:space="0" w:color="008000"/>
            </w:tcBorders>
            <w:shd w:val="clear" w:color="auto" w:fill="FFFFFF"/>
          </w:tcPr>
          <w:p w14:paraId="192F3F6A" w14:textId="69231294" w:rsidR="00FC789F" w:rsidRPr="00A07FE8" w:rsidRDefault="00FC789F" w:rsidP="00FC789F">
            <w:pPr>
              <w:pStyle w:val="CETBodytext"/>
              <w:jc w:val="center"/>
              <w:rPr>
                <w:b/>
                <w:bCs/>
                <w:szCs w:val="18"/>
              </w:rPr>
            </w:pPr>
            <w:r w:rsidRPr="006A6188">
              <w:rPr>
                <w:b/>
                <w:bCs/>
                <w:szCs w:val="18"/>
              </w:rPr>
              <w:t>Parameter</w:t>
            </w:r>
          </w:p>
        </w:tc>
        <w:tc>
          <w:tcPr>
            <w:tcW w:w="3605" w:type="dxa"/>
            <w:tcBorders>
              <w:top w:val="single" w:sz="12" w:space="0" w:color="008000"/>
              <w:bottom w:val="single" w:sz="6" w:space="0" w:color="008000"/>
            </w:tcBorders>
            <w:shd w:val="clear" w:color="auto" w:fill="FFFFFF"/>
          </w:tcPr>
          <w:p w14:paraId="5BA46956" w14:textId="0D4124DE" w:rsidR="00FC789F" w:rsidRPr="00A07FE8" w:rsidRDefault="00FC789F" w:rsidP="00FC789F">
            <w:pPr>
              <w:pStyle w:val="CETBodytext"/>
              <w:jc w:val="center"/>
              <w:rPr>
                <w:szCs w:val="18"/>
              </w:rPr>
            </w:pPr>
            <w:r>
              <w:rPr>
                <w:b/>
                <w:bCs/>
                <w:szCs w:val="18"/>
              </w:rPr>
              <w:t>Value [Unit]</w:t>
            </w:r>
          </w:p>
        </w:tc>
      </w:tr>
      <w:tr w:rsidR="00C303EE" w:rsidRPr="00A07FE8" w14:paraId="4F96E2C1" w14:textId="77777777" w:rsidTr="002D71D3">
        <w:trPr>
          <w:trHeight w:val="282"/>
        </w:trPr>
        <w:tc>
          <w:tcPr>
            <w:tcW w:w="993" w:type="dxa"/>
            <w:shd w:val="clear" w:color="auto" w:fill="FFFFFF"/>
          </w:tcPr>
          <w:p w14:paraId="5928FD5C" w14:textId="5B9F758B" w:rsidR="00C303EE" w:rsidRPr="00A07FE8" w:rsidRDefault="00000000" w:rsidP="00F13296">
            <w:pPr>
              <w:pStyle w:val="CETBodytext"/>
              <w:rPr>
                <w:szCs w:val="18"/>
              </w:rPr>
            </w:pPr>
            <m:oMathPara>
              <m:oMath>
                <m:sSub>
                  <m:sSubPr>
                    <m:ctrlPr>
                      <w:rPr>
                        <w:rFonts w:ascii="Cambria Math" w:hAnsi="Cambria Math"/>
                        <w:i/>
                        <w:szCs w:val="18"/>
                      </w:rPr>
                    </m:ctrlPr>
                  </m:sSubPr>
                  <m:e>
                    <m:r>
                      <w:rPr>
                        <w:rFonts w:ascii="Cambria Math" w:hAnsi="Cambria Math"/>
                        <w:szCs w:val="18"/>
                      </w:rPr>
                      <m:t>P</m:t>
                    </m:r>
                  </m:e>
                  <m:sub>
                    <m:r>
                      <w:rPr>
                        <w:rFonts w:ascii="Cambria Math" w:hAnsi="Cambria Math"/>
                        <w:szCs w:val="18"/>
                      </w:rPr>
                      <m:t>set</m:t>
                    </m:r>
                  </m:sub>
                </m:sSub>
              </m:oMath>
            </m:oMathPara>
          </w:p>
        </w:tc>
        <w:tc>
          <w:tcPr>
            <w:tcW w:w="2663" w:type="dxa"/>
            <w:shd w:val="clear" w:color="auto" w:fill="FFFFFF"/>
          </w:tcPr>
          <w:p w14:paraId="148C8BAA" w14:textId="05759166" w:rsidR="00C303EE" w:rsidRPr="00A07FE8" w:rsidRDefault="00C520BD" w:rsidP="006A6188">
            <w:pPr>
              <w:pStyle w:val="CETBodytext"/>
              <w:jc w:val="center"/>
              <w:rPr>
                <w:szCs w:val="18"/>
              </w:rPr>
            </w:pPr>
            <w:r w:rsidRPr="00C520BD">
              <w:rPr>
                <w:szCs w:val="18"/>
              </w:rPr>
              <w:t>2.013</w:t>
            </w:r>
            <w:r>
              <w:rPr>
                <w:szCs w:val="18"/>
              </w:rPr>
              <w:t xml:space="preserve"> [bara]</w:t>
            </w:r>
          </w:p>
        </w:tc>
        <w:tc>
          <w:tcPr>
            <w:tcW w:w="1799" w:type="dxa"/>
            <w:shd w:val="clear" w:color="auto" w:fill="FFFFFF"/>
          </w:tcPr>
          <w:p w14:paraId="6ED6B90B" w14:textId="6F7846D8" w:rsidR="00C303EE" w:rsidRPr="00A07FE8" w:rsidRDefault="0098661B" w:rsidP="00C303EE">
            <w:pPr>
              <w:pStyle w:val="CETBodytext"/>
              <w:jc w:val="center"/>
              <w:rPr>
                <w:szCs w:val="18"/>
              </w:rPr>
            </w:pPr>
            <w:r>
              <w:rPr>
                <w:szCs w:val="18"/>
              </w:rPr>
              <w:t>Total Horizontal Length</w:t>
            </w:r>
          </w:p>
        </w:tc>
        <w:tc>
          <w:tcPr>
            <w:tcW w:w="3605" w:type="dxa"/>
            <w:shd w:val="clear" w:color="auto" w:fill="FFFFFF"/>
          </w:tcPr>
          <w:p w14:paraId="2F56CF5D" w14:textId="1196B383" w:rsidR="00C303EE" w:rsidRPr="00A07FE8" w:rsidRDefault="00B91CD0" w:rsidP="00FC789F">
            <w:pPr>
              <w:pStyle w:val="CETBodytext"/>
              <w:jc w:val="center"/>
              <w:rPr>
                <w:szCs w:val="18"/>
              </w:rPr>
            </w:pPr>
            <w:r>
              <w:rPr>
                <w:szCs w:val="18"/>
              </w:rPr>
              <w:t>7.80</w:t>
            </w:r>
            <w:r w:rsidR="00B85A62">
              <w:rPr>
                <w:szCs w:val="18"/>
              </w:rPr>
              <w:t xml:space="preserve"> [m]</w:t>
            </w:r>
          </w:p>
        </w:tc>
      </w:tr>
      <w:tr w:rsidR="00C303EE" w:rsidRPr="00A07FE8" w14:paraId="0C6C2885" w14:textId="77777777" w:rsidTr="002D71D3">
        <w:trPr>
          <w:trHeight w:val="374"/>
        </w:trPr>
        <w:tc>
          <w:tcPr>
            <w:tcW w:w="993" w:type="dxa"/>
            <w:shd w:val="clear" w:color="auto" w:fill="FFFFFF"/>
          </w:tcPr>
          <w:p w14:paraId="56919715" w14:textId="603AB623" w:rsidR="00C303EE" w:rsidRPr="00A07FE8" w:rsidRDefault="00000000" w:rsidP="00F13296">
            <w:pPr>
              <w:pStyle w:val="CETBodytext"/>
              <w:ind w:right="-1"/>
              <w:rPr>
                <w:rFonts w:cs="Arial"/>
                <w:szCs w:val="18"/>
              </w:rPr>
            </w:pPr>
            <m:oMathPara>
              <m:oMath>
                <m:sSub>
                  <m:sSubPr>
                    <m:ctrlPr>
                      <w:rPr>
                        <w:rFonts w:ascii="Cambria Math" w:hAnsi="Cambria Math"/>
                        <w:i/>
                      </w:rPr>
                    </m:ctrlPr>
                  </m:sSubPr>
                  <m:e>
                    <m:r>
                      <w:rPr>
                        <w:rFonts w:ascii="Cambria Math" w:hAnsi="Cambria Math"/>
                      </w:rPr>
                      <m:t>P</m:t>
                    </m:r>
                  </m:e>
                  <m:sub>
                    <m:r>
                      <w:rPr>
                        <w:rFonts w:ascii="Cambria Math" w:hAnsi="Cambria Math"/>
                      </w:rPr>
                      <m:t>0</m:t>
                    </m:r>
                  </m:sub>
                </m:sSub>
              </m:oMath>
            </m:oMathPara>
          </w:p>
        </w:tc>
        <w:tc>
          <w:tcPr>
            <w:tcW w:w="2663" w:type="dxa"/>
            <w:shd w:val="clear" w:color="auto" w:fill="FFFFFF"/>
          </w:tcPr>
          <w:p w14:paraId="2A5DF5BE" w14:textId="63F58218" w:rsidR="00C303EE" w:rsidRPr="00A07FE8" w:rsidRDefault="00A63901" w:rsidP="006A6188">
            <w:pPr>
              <w:pStyle w:val="CETBodytext"/>
              <w:ind w:right="-1"/>
              <w:jc w:val="center"/>
              <w:rPr>
                <w:rFonts w:cs="Arial"/>
                <w:szCs w:val="18"/>
              </w:rPr>
            </w:pPr>
            <w:r w:rsidRPr="00A63901">
              <w:rPr>
                <w:rFonts w:cs="Arial"/>
                <w:szCs w:val="18"/>
              </w:rPr>
              <w:t>2.113</w:t>
            </w:r>
            <w:r>
              <w:rPr>
                <w:rFonts w:cs="Arial"/>
                <w:szCs w:val="18"/>
              </w:rPr>
              <w:t xml:space="preserve"> [bara]</w:t>
            </w:r>
          </w:p>
        </w:tc>
        <w:tc>
          <w:tcPr>
            <w:tcW w:w="1799" w:type="dxa"/>
            <w:shd w:val="clear" w:color="auto" w:fill="FFFFFF"/>
          </w:tcPr>
          <w:p w14:paraId="71A95030" w14:textId="65AB6E05" w:rsidR="00C303EE" w:rsidRPr="00A07FE8" w:rsidRDefault="0014660F" w:rsidP="00C303EE">
            <w:pPr>
              <w:pStyle w:val="CETBodytext"/>
              <w:ind w:right="-1"/>
              <w:jc w:val="center"/>
              <w:rPr>
                <w:rFonts w:cs="Arial"/>
                <w:szCs w:val="18"/>
              </w:rPr>
            </w:pPr>
            <w:r>
              <w:rPr>
                <w:szCs w:val="18"/>
              </w:rPr>
              <w:t>Total Vertical Length</w:t>
            </w:r>
          </w:p>
        </w:tc>
        <w:tc>
          <w:tcPr>
            <w:tcW w:w="3605" w:type="dxa"/>
            <w:shd w:val="clear" w:color="auto" w:fill="FFFFFF"/>
          </w:tcPr>
          <w:p w14:paraId="5E1A49D3" w14:textId="0964A91E" w:rsidR="00C303EE" w:rsidRPr="00A07FE8" w:rsidRDefault="00B91CD0" w:rsidP="00FC789F">
            <w:pPr>
              <w:pStyle w:val="CETBodytext"/>
              <w:ind w:right="-1"/>
              <w:jc w:val="center"/>
              <w:rPr>
                <w:rFonts w:cs="Arial"/>
                <w:szCs w:val="18"/>
              </w:rPr>
            </w:pPr>
            <w:r>
              <w:rPr>
                <w:rFonts w:cs="Arial"/>
                <w:szCs w:val="18"/>
              </w:rPr>
              <w:t>9.85</w:t>
            </w:r>
            <w:r w:rsidR="00B85A62">
              <w:rPr>
                <w:rFonts w:cs="Arial"/>
                <w:szCs w:val="18"/>
              </w:rPr>
              <w:t xml:space="preserve"> [m]</w:t>
            </w:r>
          </w:p>
        </w:tc>
      </w:tr>
      <w:tr w:rsidR="00C303EE" w:rsidRPr="00A07FE8" w14:paraId="1F18047E" w14:textId="77777777" w:rsidTr="002D71D3">
        <w:trPr>
          <w:trHeight w:val="282"/>
        </w:trPr>
        <w:tc>
          <w:tcPr>
            <w:tcW w:w="993" w:type="dxa"/>
            <w:shd w:val="clear" w:color="auto" w:fill="FFFFFF"/>
          </w:tcPr>
          <w:p w14:paraId="399A07A1" w14:textId="1C37B673" w:rsidR="00C303EE" w:rsidRPr="00A07FE8" w:rsidRDefault="00A63901" w:rsidP="00F13296">
            <w:pPr>
              <w:pStyle w:val="CETBodytext"/>
              <w:ind w:right="-1"/>
              <w:rPr>
                <w:szCs w:val="18"/>
              </w:rPr>
            </w:pPr>
            <m:oMathPara>
              <m:oMath>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e>
                </m:d>
              </m:oMath>
            </m:oMathPara>
          </w:p>
        </w:tc>
        <w:tc>
          <w:tcPr>
            <w:tcW w:w="2663" w:type="dxa"/>
            <w:shd w:val="clear" w:color="auto" w:fill="FFFFFF"/>
          </w:tcPr>
          <w:p w14:paraId="652370F2" w14:textId="6601FA78" w:rsidR="00C303EE" w:rsidRPr="00A07FE8" w:rsidRDefault="00D274D5" w:rsidP="006A6188">
            <w:pPr>
              <w:pStyle w:val="CETBodytext"/>
              <w:ind w:right="-1"/>
              <w:jc w:val="center"/>
              <w:rPr>
                <w:szCs w:val="18"/>
              </w:rPr>
            </w:pPr>
            <w:r w:rsidRPr="00D274D5">
              <w:rPr>
                <w:szCs w:val="18"/>
              </w:rPr>
              <w:t>113.200 [°C]</w:t>
            </w:r>
          </w:p>
        </w:tc>
        <w:tc>
          <w:tcPr>
            <w:tcW w:w="1799" w:type="dxa"/>
            <w:shd w:val="clear" w:color="auto" w:fill="FFFFFF"/>
          </w:tcPr>
          <w:p w14:paraId="1BB0DC5E" w14:textId="22B3148A" w:rsidR="00C303EE" w:rsidRPr="00A07FE8" w:rsidRDefault="00A6482D" w:rsidP="00C303EE">
            <w:pPr>
              <w:pStyle w:val="CETBodytext"/>
              <w:ind w:right="-1"/>
              <w:jc w:val="center"/>
              <w:rPr>
                <w:szCs w:val="18"/>
              </w:rPr>
            </w:pPr>
            <w:r>
              <w:rPr>
                <w:szCs w:val="18"/>
              </w:rPr>
              <w:t>N° of 90° curves</w:t>
            </w:r>
            <w:r w:rsidR="007E4829">
              <w:rPr>
                <w:szCs w:val="18"/>
              </w:rPr>
              <w:t xml:space="preserve"> (K=0.29)</w:t>
            </w:r>
          </w:p>
        </w:tc>
        <w:tc>
          <w:tcPr>
            <w:tcW w:w="3605" w:type="dxa"/>
            <w:shd w:val="clear" w:color="auto" w:fill="FFFFFF"/>
          </w:tcPr>
          <w:p w14:paraId="632F3F16" w14:textId="706A761D" w:rsidR="00C303EE" w:rsidRPr="00A07FE8" w:rsidRDefault="00A6482D" w:rsidP="00FC789F">
            <w:pPr>
              <w:pStyle w:val="CETBodytext"/>
              <w:ind w:right="-1"/>
              <w:jc w:val="center"/>
              <w:rPr>
                <w:szCs w:val="18"/>
              </w:rPr>
            </w:pPr>
            <w:r>
              <w:rPr>
                <w:szCs w:val="18"/>
              </w:rPr>
              <w:t>5</w:t>
            </w:r>
            <w:r w:rsidR="00B85A62">
              <w:rPr>
                <w:szCs w:val="18"/>
              </w:rPr>
              <w:t xml:space="preserve"> [-]</w:t>
            </w:r>
          </w:p>
        </w:tc>
      </w:tr>
      <w:tr w:rsidR="00C303EE" w:rsidRPr="00A07FE8" w14:paraId="4564B0C5" w14:textId="77777777" w:rsidTr="002D71D3">
        <w:trPr>
          <w:trHeight w:val="282"/>
        </w:trPr>
        <w:tc>
          <w:tcPr>
            <w:tcW w:w="993" w:type="dxa"/>
            <w:shd w:val="clear" w:color="auto" w:fill="FFFFFF"/>
          </w:tcPr>
          <w:p w14:paraId="0F61B19E" w14:textId="055EBA44" w:rsidR="00C303EE" w:rsidRPr="00A07FE8" w:rsidRDefault="00000000" w:rsidP="00F13296">
            <w:pPr>
              <w:pStyle w:val="CETBodytext"/>
              <w:ind w:right="-1"/>
              <w:rPr>
                <w:szCs w:val="18"/>
              </w:rPr>
            </w:pPr>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dT</m:t>
                            </m:r>
                          </m:num>
                          <m:den>
                            <m:r>
                              <w:rPr>
                                <w:rFonts w:ascii="Cambria Math" w:hAnsi="Cambria Math"/>
                              </w:rPr>
                              <m:t>dt</m:t>
                            </m:r>
                          </m:den>
                        </m:f>
                      </m:e>
                    </m:d>
                  </m:e>
                  <m:sub>
                    <m:r>
                      <w:rPr>
                        <w:rFonts w:ascii="Cambria Math" w:hAnsi="Cambria Math"/>
                      </w:rPr>
                      <m:t>0</m:t>
                    </m:r>
                  </m:sub>
                </m:sSub>
              </m:oMath>
            </m:oMathPara>
          </w:p>
        </w:tc>
        <w:tc>
          <w:tcPr>
            <w:tcW w:w="2663" w:type="dxa"/>
            <w:shd w:val="clear" w:color="auto" w:fill="FFFFFF"/>
          </w:tcPr>
          <w:p w14:paraId="31E7B8F7" w14:textId="0794410E" w:rsidR="00C303EE" w:rsidRPr="00A07FE8" w:rsidRDefault="00564BDA" w:rsidP="006A6188">
            <w:pPr>
              <w:pStyle w:val="CETBodytext"/>
              <w:ind w:right="-1"/>
              <w:jc w:val="center"/>
              <w:rPr>
                <w:szCs w:val="18"/>
              </w:rPr>
            </w:pPr>
            <w:r w:rsidRPr="00564BDA">
              <w:rPr>
                <w:szCs w:val="18"/>
              </w:rPr>
              <w:t>7.229</w:t>
            </w:r>
            <w:r w:rsidR="00E218DB">
              <w:rPr>
                <w:rFonts w:cs="Arial"/>
                <w:szCs w:val="18"/>
              </w:rPr>
              <w:t>∙</w:t>
            </w:r>
            <w:r w:rsidR="00E218DB">
              <w:rPr>
                <w:szCs w:val="18"/>
              </w:rPr>
              <w:t>10</w:t>
            </w:r>
            <w:r w:rsidR="00E218DB" w:rsidRPr="00E218DB">
              <w:rPr>
                <w:szCs w:val="18"/>
                <w:vertAlign w:val="superscript"/>
              </w:rPr>
              <w:t>-3</w:t>
            </w:r>
            <w:r w:rsidRPr="00564BDA">
              <w:rPr>
                <w:szCs w:val="18"/>
              </w:rPr>
              <w:t xml:space="preserve"> [K/s]</w:t>
            </w:r>
          </w:p>
        </w:tc>
        <w:tc>
          <w:tcPr>
            <w:tcW w:w="1799" w:type="dxa"/>
            <w:shd w:val="clear" w:color="auto" w:fill="FFFFFF"/>
          </w:tcPr>
          <w:p w14:paraId="21AFA8E9" w14:textId="7CC920BE" w:rsidR="00C303EE" w:rsidRPr="00A07FE8" w:rsidRDefault="00A6482D" w:rsidP="00C303EE">
            <w:pPr>
              <w:pStyle w:val="CETBodytext"/>
              <w:ind w:right="-1"/>
              <w:jc w:val="center"/>
              <w:rPr>
                <w:szCs w:val="18"/>
              </w:rPr>
            </w:pPr>
            <w:r>
              <w:rPr>
                <w:szCs w:val="18"/>
              </w:rPr>
              <w:t>N° of expansions</w:t>
            </w:r>
            <w:r w:rsidR="007E4829">
              <w:rPr>
                <w:szCs w:val="18"/>
              </w:rPr>
              <w:t xml:space="preserve"> (K=0.2)</w:t>
            </w:r>
          </w:p>
        </w:tc>
        <w:tc>
          <w:tcPr>
            <w:tcW w:w="3605" w:type="dxa"/>
            <w:shd w:val="clear" w:color="auto" w:fill="FFFFFF"/>
          </w:tcPr>
          <w:p w14:paraId="0748FEFD" w14:textId="591BD22B" w:rsidR="00C303EE" w:rsidRPr="00A07FE8" w:rsidRDefault="00A6482D" w:rsidP="00FC789F">
            <w:pPr>
              <w:pStyle w:val="CETBodytext"/>
              <w:ind w:right="-1"/>
              <w:jc w:val="center"/>
              <w:rPr>
                <w:szCs w:val="18"/>
              </w:rPr>
            </w:pPr>
            <w:r>
              <w:rPr>
                <w:szCs w:val="18"/>
              </w:rPr>
              <w:t>1</w:t>
            </w:r>
            <w:r w:rsidR="00B85A62">
              <w:rPr>
                <w:szCs w:val="18"/>
              </w:rPr>
              <w:t xml:space="preserve"> [-]</w:t>
            </w:r>
          </w:p>
        </w:tc>
      </w:tr>
      <w:tr w:rsidR="00C303EE" w:rsidRPr="00A07FE8" w14:paraId="5EDAA58E" w14:textId="77777777" w:rsidTr="002D71D3">
        <w:trPr>
          <w:trHeight w:val="186"/>
        </w:trPr>
        <w:tc>
          <w:tcPr>
            <w:tcW w:w="993" w:type="dxa"/>
            <w:shd w:val="clear" w:color="auto" w:fill="FFFFFF"/>
          </w:tcPr>
          <w:p w14:paraId="5714AEB5" w14:textId="42A7D3EF" w:rsidR="00C303EE" w:rsidRPr="00A07FE8" w:rsidRDefault="00000000" w:rsidP="00F13296">
            <w:pPr>
              <w:pStyle w:val="CETBodytext"/>
              <w:ind w:right="-1"/>
              <w:rPr>
                <w:szCs w:val="18"/>
              </w:rPr>
            </w:pPr>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dP</m:t>
                            </m:r>
                          </m:num>
                          <m:den>
                            <m:r>
                              <w:rPr>
                                <w:rFonts w:ascii="Cambria Math" w:hAnsi="Cambria Math"/>
                              </w:rPr>
                              <m:t>dt</m:t>
                            </m:r>
                          </m:den>
                        </m:f>
                      </m:e>
                    </m:d>
                  </m:e>
                  <m:sub>
                    <m:r>
                      <w:rPr>
                        <w:rFonts w:ascii="Cambria Math" w:hAnsi="Cambria Math"/>
                      </w:rPr>
                      <m:t>0</m:t>
                    </m:r>
                  </m:sub>
                </m:sSub>
              </m:oMath>
            </m:oMathPara>
          </w:p>
        </w:tc>
        <w:tc>
          <w:tcPr>
            <w:tcW w:w="2663" w:type="dxa"/>
            <w:shd w:val="clear" w:color="auto" w:fill="FFFFFF"/>
          </w:tcPr>
          <w:p w14:paraId="4F7F4C97" w14:textId="67CB9483" w:rsidR="00C303EE" w:rsidRPr="00A07FE8" w:rsidRDefault="00F03E2A" w:rsidP="006A6188">
            <w:pPr>
              <w:pStyle w:val="CETBodytext"/>
              <w:ind w:right="-1"/>
              <w:jc w:val="center"/>
              <w:rPr>
                <w:szCs w:val="18"/>
              </w:rPr>
            </w:pPr>
            <w:r>
              <w:rPr>
                <w:szCs w:val="18"/>
              </w:rPr>
              <w:t>9.017 [Pa</w:t>
            </w:r>
            <w:r w:rsidR="00022346">
              <w:rPr>
                <w:szCs w:val="18"/>
              </w:rPr>
              <w:t>/</w:t>
            </w:r>
            <w:r>
              <w:rPr>
                <w:szCs w:val="18"/>
              </w:rPr>
              <w:t>s]</w:t>
            </w:r>
          </w:p>
        </w:tc>
        <w:tc>
          <w:tcPr>
            <w:tcW w:w="1799" w:type="dxa"/>
            <w:shd w:val="clear" w:color="auto" w:fill="FFFFFF"/>
          </w:tcPr>
          <w:p w14:paraId="61AA19D7" w14:textId="73244503" w:rsidR="00C303EE" w:rsidRPr="00A07FE8" w:rsidRDefault="00B85A62" w:rsidP="00C303EE">
            <w:pPr>
              <w:pStyle w:val="CETBodytext"/>
              <w:ind w:right="-1"/>
              <w:jc w:val="center"/>
              <w:rPr>
                <w:szCs w:val="18"/>
              </w:rPr>
            </w:pPr>
            <w:r>
              <w:rPr>
                <w:szCs w:val="18"/>
              </w:rPr>
              <w:t>Diameter after expansion</w:t>
            </w:r>
          </w:p>
        </w:tc>
        <w:tc>
          <w:tcPr>
            <w:tcW w:w="3605" w:type="dxa"/>
            <w:shd w:val="clear" w:color="auto" w:fill="FFFFFF"/>
          </w:tcPr>
          <w:p w14:paraId="177D280B" w14:textId="5894B38D" w:rsidR="00C303EE" w:rsidRPr="00A07FE8" w:rsidRDefault="001C0811" w:rsidP="00FC789F">
            <w:pPr>
              <w:pStyle w:val="CETBodytext"/>
              <w:ind w:right="-1"/>
              <w:jc w:val="center"/>
              <w:rPr>
                <w:szCs w:val="18"/>
              </w:rPr>
            </w:pPr>
            <w:r>
              <w:rPr>
                <w:szCs w:val="18"/>
              </w:rPr>
              <w:t>20</w:t>
            </w:r>
            <w:r w:rsidR="00B85A62">
              <w:rPr>
                <w:szCs w:val="18"/>
              </w:rPr>
              <w:t>0 [mm]</w:t>
            </w:r>
          </w:p>
        </w:tc>
      </w:tr>
    </w:tbl>
    <w:p w14:paraId="255B8586" w14:textId="3F1C5524" w:rsidR="00C40542" w:rsidRDefault="00B2432A" w:rsidP="00674B1C">
      <w:pPr>
        <w:pStyle w:val="CETBodytext"/>
        <w:spacing w:before="240"/>
      </w:pPr>
      <w:r>
        <w:lastRenderedPageBreak/>
        <w:t xml:space="preserve">According to what reported in Table 1 </w:t>
      </w:r>
      <w:r w:rsidR="00023253">
        <w:t xml:space="preserve">and considering </w:t>
      </w:r>
      <w:r w:rsidR="0009058C">
        <w:t>a venting line</w:t>
      </w:r>
      <w:r w:rsidR="00B85A62">
        <w:t xml:space="preserve"> </w:t>
      </w:r>
      <w:r w:rsidR="0012401A">
        <w:t xml:space="preserve">of </w:t>
      </w:r>
      <w:r w:rsidR="000A3147">
        <w:t>a maximum diameter of 20</w:t>
      </w:r>
      <w:r w:rsidR="0012401A">
        <w:t xml:space="preserve">0 mm (after </w:t>
      </w:r>
      <w:r w:rsidR="00445AF5">
        <w:t>expansion)</w:t>
      </w:r>
      <w:r w:rsidR="00B61F0F">
        <w:t xml:space="preserve">, </w:t>
      </w:r>
      <w:r w:rsidR="00D26DA9">
        <w:t xml:space="preserve">a </w:t>
      </w:r>
      <w:r w:rsidR="007943FF">
        <w:t>mass</w:t>
      </w:r>
      <w:r w:rsidR="00D26DA9">
        <w:t xml:space="preserve"> gas/vapor flowrate </w:t>
      </w:r>
      <m:oMath>
        <m:r>
          <w:rPr>
            <w:rFonts w:ascii="Cambria Math" w:hAnsi="Cambria Math"/>
          </w:rPr>
          <m:t>W</m:t>
        </m:r>
      </m:oMath>
      <w:r w:rsidR="00D26DA9">
        <w:t xml:space="preserve"> of </w:t>
      </w:r>
      <w:r w:rsidR="001346C1">
        <w:t>2.469</w:t>
      </w:r>
      <w:r w:rsidR="00F51846">
        <w:rPr>
          <w:rFonts w:cs="Arial"/>
        </w:rPr>
        <w:t>∙</w:t>
      </w:r>
      <w:r w:rsidR="00F51846">
        <w:t>10</w:t>
      </w:r>
      <w:r w:rsidR="00F51846" w:rsidRPr="00F51846">
        <w:rPr>
          <w:vertAlign w:val="superscript"/>
        </w:rPr>
        <w:t>5</w:t>
      </w:r>
      <w:r w:rsidR="001346C1">
        <w:t xml:space="preserve"> [kg/h]</w:t>
      </w:r>
      <w:r w:rsidR="00D26DA9">
        <w:t xml:space="preserve"> </w:t>
      </w:r>
      <w:r w:rsidR="002E4713">
        <w:t>(t</w:t>
      </w:r>
      <w:r w:rsidR="002E4713" w:rsidRPr="002E4713">
        <w:t xml:space="preserve">he calculated flowrate represents a peak value derived from calorimetric data and </w:t>
      </w:r>
      <w:r w:rsidR="002E4713">
        <w:t xml:space="preserve">it </w:t>
      </w:r>
      <w:r w:rsidR="002E4713" w:rsidRPr="002E4713">
        <w:t>should be interpreted as a conservative upper bound, not sustained over long time scales</w:t>
      </w:r>
      <w:r w:rsidR="002E4713">
        <w:t xml:space="preserve">) </w:t>
      </w:r>
      <w:r w:rsidR="00C73B56">
        <w:t xml:space="preserve">and </w:t>
      </w:r>
      <w:r w:rsidR="00B61F0F">
        <w:t xml:space="preserve">an overall discharge capacity </w:t>
      </w:r>
      <m:oMath>
        <m:r>
          <w:rPr>
            <w:rFonts w:ascii="Cambria Math" w:hAnsi="Cambria Math"/>
          </w:rPr>
          <m:t>G</m:t>
        </m:r>
      </m:oMath>
      <w:r w:rsidR="00B61F0F">
        <w:t xml:space="preserve"> of </w:t>
      </w:r>
      <w:r w:rsidR="00B61F0F" w:rsidRPr="00B61F0F">
        <w:t>4.292</w:t>
      </w:r>
      <w:r w:rsidR="00F51846">
        <w:rPr>
          <w:rFonts w:cs="Arial"/>
        </w:rPr>
        <w:t>∙</w:t>
      </w:r>
      <w:r w:rsidR="00F51846">
        <w:t>10</w:t>
      </w:r>
      <w:r w:rsidR="00F51846">
        <w:rPr>
          <w:vertAlign w:val="superscript"/>
        </w:rPr>
        <w:t>3</w:t>
      </w:r>
      <w:r w:rsidR="00B61F0F" w:rsidRPr="00B61F0F">
        <w:t xml:space="preserve"> [kg/(m</w:t>
      </w:r>
      <w:r w:rsidR="00B61F0F" w:rsidRPr="00B61F0F">
        <w:rPr>
          <w:vertAlign w:val="superscript"/>
        </w:rPr>
        <w:t>2</w:t>
      </w:r>
      <w:r w:rsidR="00B61F0F" w:rsidRPr="00B61F0F">
        <w:t xml:space="preserve"> s)]</w:t>
      </w:r>
      <w:r w:rsidR="00F9635B">
        <w:t xml:space="preserve"> w</w:t>
      </w:r>
      <w:r w:rsidR="00C73B56">
        <w:t>ere</w:t>
      </w:r>
      <w:r w:rsidR="00F9635B">
        <w:t xml:space="preserve"> calculated (when a 6 cm diameter rupture disk </w:t>
      </w:r>
      <w:r w:rsidR="00740910">
        <w:t xml:space="preserve">is installed). </w:t>
      </w:r>
      <w:r w:rsidR="00C73B56">
        <w:t xml:space="preserve">Therefore, a minimum venting area equal to </w:t>
      </w:r>
      <w:r w:rsidR="001D7CB1" w:rsidRPr="001D7CB1">
        <w:t>1.598</w:t>
      </w:r>
      <w:r w:rsidR="00F51846">
        <w:rPr>
          <w:rFonts w:cs="Arial"/>
        </w:rPr>
        <w:t>∙</w:t>
      </w:r>
      <w:r w:rsidR="00F51846">
        <w:t>10</w:t>
      </w:r>
      <w:r w:rsidR="00F51846">
        <w:rPr>
          <w:vertAlign w:val="superscript"/>
        </w:rPr>
        <w:t>-2</w:t>
      </w:r>
      <w:r w:rsidR="001D7CB1" w:rsidRPr="001D7CB1">
        <w:t xml:space="preserve"> [m</w:t>
      </w:r>
      <w:r w:rsidR="001D7CB1" w:rsidRPr="001D7CB1">
        <w:rPr>
          <w:vertAlign w:val="superscript"/>
        </w:rPr>
        <w:t>2</w:t>
      </w:r>
      <w:r w:rsidR="001D7CB1" w:rsidRPr="001D7CB1">
        <w:t>]</w:t>
      </w:r>
      <w:r w:rsidR="00305301">
        <w:t>, corresponding to an average diameter of about 14 cm</w:t>
      </w:r>
      <w:r w:rsidR="00DC6198">
        <w:t xml:space="preserve"> (not corrected by a safety factor)</w:t>
      </w:r>
      <w:r w:rsidR="00305301">
        <w:t>, is required. This me</w:t>
      </w:r>
      <w:r w:rsidR="000B73AF">
        <w:t>an</w:t>
      </w:r>
      <w:r w:rsidR="00064319">
        <w:t>s</w:t>
      </w:r>
      <w:r w:rsidR="000B73AF">
        <w:t xml:space="preserve"> that the bursting disk actually installed onto the storage vessel </w:t>
      </w:r>
      <w:r w:rsidR="006F2306">
        <w:t>seems to be</w:t>
      </w:r>
      <w:r w:rsidR="000B73AF">
        <w:t xml:space="preserve"> not suitable for discharging the </w:t>
      </w:r>
      <w:r w:rsidR="00606EA9">
        <w:t xml:space="preserve">two-phase reacting mixture </w:t>
      </w:r>
      <w:r w:rsidR="00877769">
        <w:t>generated by an external fire</w:t>
      </w:r>
      <w:r w:rsidR="00DC6198">
        <w:t xml:space="preserve">. </w:t>
      </w:r>
    </w:p>
    <w:p w14:paraId="0B9C63BA" w14:textId="78AA6ADE" w:rsidR="00190F3D" w:rsidRPr="00A07FE8" w:rsidRDefault="00190F3D" w:rsidP="005D5578">
      <w:pPr>
        <w:pStyle w:val="CETBodytext"/>
      </w:pPr>
      <w:r>
        <w:t xml:space="preserve">It is important to underline that the correlation used for calculating the </w:t>
      </w:r>
      <w:r w:rsidR="007943FF">
        <w:t>mass</w:t>
      </w:r>
      <w:r>
        <w:t xml:space="preserve"> flowrate</w:t>
      </w:r>
      <w:r w:rsidR="00C00B82">
        <w:t xml:space="preserve"> is strictly dependent on the type test done (that is, closed or open test) </w:t>
      </w:r>
      <w:r w:rsidR="00031DD4">
        <w:t xml:space="preserve">but the nature of the reaction in terms of either exothermicity or endothermicity </w:t>
      </w:r>
      <w:r w:rsidR="002E4CA2">
        <w:t xml:space="preserve">does not appear in the derivation of the final equation (see Eq. (7) or Eq. (8)). Moreover, an eventual non-ideal behavior of the system can be taken into account using the low inertia </w:t>
      </w:r>
      <w:r w:rsidR="00E159B5">
        <w:t xml:space="preserve">calorimetry data. This </w:t>
      </w:r>
      <w:r w:rsidR="00B306F7">
        <w:t xml:space="preserve">consideration supports the possibility to extend the proposed methodology to </w:t>
      </w:r>
      <w:r w:rsidR="00472EFA">
        <w:t xml:space="preserve">endothermic systems where a decomposition reaction occurs. </w:t>
      </w:r>
      <w:r w:rsidR="002350B6">
        <w:t>An</w:t>
      </w:r>
      <w:r w:rsidR="00B322A9">
        <w:t xml:space="preserve">yway, </w:t>
      </w:r>
      <w:r w:rsidR="00BF2CE0">
        <w:t>some</w:t>
      </w:r>
      <w:r w:rsidR="002350B6">
        <w:t xml:space="preserve"> open </w:t>
      </w:r>
      <w:r w:rsidR="00B322A9">
        <w:t>concern</w:t>
      </w:r>
      <w:r w:rsidR="00BF2CE0">
        <w:t>s</w:t>
      </w:r>
      <w:r w:rsidR="00B322A9">
        <w:t xml:space="preserve"> still remain</w:t>
      </w:r>
      <w:r w:rsidR="00BF2CE0">
        <w:t>.</w:t>
      </w:r>
      <w:r w:rsidR="00B322A9">
        <w:t xml:space="preserve"> </w:t>
      </w:r>
      <w:r w:rsidR="00BF2CE0">
        <w:t>I</w:t>
      </w:r>
      <w:r w:rsidR="00AD1E72">
        <w:t xml:space="preserve">s </w:t>
      </w:r>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dT</m:t>
                    </m:r>
                  </m:num>
                  <m:den>
                    <m:r>
                      <w:rPr>
                        <w:rFonts w:ascii="Cambria Math" w:hAnsi="Cambria Math"/>
                      </w:rPr>
                      <m:t>dt</m:t>
                    </m:r>
                  </m:den>
                </m:f>
              </m:e>
            </m:d>
          </m:e>
          <m:sub>
            <m:r>
              <w:rPr>
                <w:rFonts w:ascii="Cambria Math" w:hAnsi="Cambria Math"/>
              </w:rPr>
              <m:t>0</m:t>
            </m:r>
          </m:sub>
        </m:sSub>
      </m:oMath>
      <w:r w:rsidR="0080474C">
        <w:t xml:space="preserve"> derived from the experimental test really suitable for describing the temperature evolution inside the system considering the hypothesis of an external fire?</w:t>
      </w:r>
      <w:r w:rsidR="00BF2CE0">
        <w:t xml:space="preserve"> </w:t>
      </w:r>
      <w:r w:rsidR="001D2923">
        <w:t xml:space="preserve">Is it necessary to change the amplitude of the heating steps in the standard HWS test carried to mime </w:t>
      </w:r>
      <w:r w:rsidR="00BF2CE0">
        <w:t xml:space="preserve">the real external heating? </w:t>
      </w:r>
      <w:r w:rsidR="00192D21">
        <w:t>Answers to these questions should be addressed by carrying out a dedicated experimental campaign (which is beyond the scope of this work).</w:t>
      </w:r>
    </w:p>
    <w:p w14:paraId="68D26B83" w14:textId="17FF1062" w:rsidR="00600535" w:rsidRPr="00A07FE8" w:rsidRDefault="00600535" w:rsidP="00600535">
      <w:pPr>
        <w:pStyle w:val="CETHeading1"/>
      </w:pPr>
      <w:r w:rsidRPr="00A07FE8">
        <w:t>Conclusions</w:t>
      </w:r>
    </w:p>
    <w:p w14:paraId="52DAFDE0" w14:textId="26E29DDE" w:rsidR="001D0CFB" w:rsidRPr="00A07FE8" w:rsidRDefault="00F41AAC" w:rsidP="00185CFA">
      <w:pPr>
        <w:pStyle w:val="CETBodytext"/>
      </w:pPr>
      <w:r w:rsidRPr="00F41AAC">
        <w:t xml:space="preserve">This work addressed a relevant limitation of current relief system sizing methodologies by focusing on endothermic reacting systems capable of generating significant amounts of non-condensable gases. Through the case study of aqueous formic acid exposed to external fire, it was demonstrated that conventional approaches based on non-reactive boiling assumptions may lead to non-conservative or physically inconsistent results. Experimental evidence confirmed that the system behaves as a hybrid one, characterized by simultaneous vaporization and gas generation, despite the absence of exothermicity. A revised methodology based on calorimetric data processing and evaluation of pressure and temperature derivatives at stagnation conditions was therefore proposed. The application of this approach highlighted that the required venting capacity can be significantly higher than that predicted by standard fire-sizing methods, leading to potential </w:t>
      </w:r>
      <w:r w:rsidR="00430FDF" w:rsidRPr="00F41AAC">
        <w:t>under sizing</w:t>
      </w:r>
      <w:r w:rsidRPr="00F41AAC">
        <w:t xml:space="preserve"> of protection systems. The results support the possibility of extending DIERS-based concepts to non-adiabatic and endothermic systems, provided that external heat input and gas generation mechanisms are properly accounted for. Nevertheless, further experimental investigations are required to validate the methodology under different heating conditions and to assess its general applicability. Overall, this work contributes to bridging a critical gap in current standards and provides a first step toward a more comprehensive framework for relief system design.</w:t>
      </w:r>
    </w:p>
    <w:p w14:paraId="4F1327F8" w14:textId="77777777" w:rsidR="00600535" w:rsidRPr="00A07FE8" w:rsidRDefault="00600535" w:rsidP="00600535">
      <w:pPr>
        <w:pStyle w:val="CETReference"/>
        <w:rPr>
          <w:lang w:val="en-US"/>
        </w:rPr>
      </w:pPr>
      <w:r w:rsidRPr="00A07FE8">
        <w:rPr>
          <w:lang w:val="en-US"/>
        </w:rPr>
        <w:t>References</w:t>
      </w:r>
    </w:p>
    <w:p w14:paraId="7B1609A4" w14:textId="64E2D02F" w:rsidR="00022346" w:rsidRDefault="00022346" w:rsidP="002D6F3E">
      <w:pPr>
        <w:pStyle w:val="CETReferencetext"/>
        <w:rPr>
          <w:lang w:val="en-US"/>
        </w:rPr>
      </w:pPr>
      <w:r>
        <w:rPr>
          <w:lang w:val="en-US"/>
        </w:rPr>
        <w:t>Americal Petroleum Institute, 2014,</w:t>
      </w:r>
      <w:r w:rsidRPr="00022346">
        <w:t xml:space="preserve"> </w:t>
      </w:r>
      <w:r w:rsidRPr="00022346">
        <w:rPr>
          <w:lang w:val="en-US"/>
        </w:rPr>
        <w:t>API Standard 521 Pressure-relieving and Depressuring Systems</w:t>
      </w:r>
      <w:r>
        <w:rPr>
          <w:lang w:val="en-US"/>
        </w:rPr>
        <w:t xml:space="preserve"> 6</w:t>
      </w:r>
      <w:r w:rsidRPr="00022346">
        <w:rPr>
          <w:vertAlign w:val="superscript"/>
          <w:lang w:val="en-US"/>
        </w:rPr>
        <w:t>th</w:t>
      </w:r>
      <w:r>
        <w:rPr>
          <w:lang w:val="en-US"/>
        </w:rPr>
        <w:t xml:space="preserve"> edition. </w:t>
      </w:r>
    </w:p>
    <w:p w14:paraId="403645A2" w14:textId="15911D19" w:rsidR="002D6F3E" w:rsidRPr="002D6F3E" w:rsidRDefault="002D6F3E" w:rsidP="002D6F3E">
      <w:pPr>
        <w:pStyle w:val="CETReferencetext"/>
        <w:rPr>
          <w:lang w:val="en-US"/>
        </w:rPr>
      </w:pPr>
      <w:r w:rsidRPr="002D6F3E">
        <w:rPr>
          <w:lang w:val="en-US"/>
        </w:rPr>
        <w:t>Copelli S., Torretta V., Massa D., Sala Cattaneo C., Derudi M., Rota R., 2014, Runaway Reactions and Vapor Cloud Explosions: The Synthron Case Study, Chemical Engineering Transactions, 36, 115–120.</w:t>
      </w:r>
    </w:p>
    <w:p w14:paraId="721EF764" w14:textId="77777777" w:rsidR="002D6F3E" w:rsidRPr="002D6F3E" w:rsidRDefault="002D6F3E" w:rsidP="002D6F3E">
      <w:pPr>
        <w:pStyle w:val="CETReferencetext"/>
        <w:rPr>
          <w:lang w:val="en-US"/>
        </w:rPr>
      </w:pPr>
      <w:r w:rsidRPr="002D6F3E">
        <w:rPr>
          <w:lang w:val="en-US"/>
        </w:rPr>
        <w:t>Crowl D.A., Louvar J.F., 2001, Chemical Process Safety: Fundamentals with Applications, Second Edition, Prentice Hall, Upper Saddle River, NJ, USA.</w:t>
      </w:r>
    </w:p>
    <w:p w14:paraId="59B5414B" w14:textId="77777777" w:rsidR="002D6F3E" w:rsidRDefault="002D6F3E" w:rsidP="002D6F3E">
      <w:pPr>
        <w:pStyle w:val="CETReferencetext"/>
        <w:rPr>
          <w:lang w:val="en-US"/>
        </w:rPr>
      </w:pPr>
      <w:r w:rsidRPr="002D6F3E">
        <w:rPr>
          <w:lang w:val="en-US"/>
        </w:rPr>
        <w:t>DIERS, 1998, Workbook for Chemical Reactor Relief System Sizing, AIChE, New York, USA.</w:t>
      </w:r>
    </w:p>
    <w:p w14:paraId="5C9E3C0A" w14:textId="65EB77BC" w:rsidR="00022346" w:rsidRPr="00022346" w:rsidRDefault="00022346" w:rsidP="002D6F3E">
      <w:pPr>
        <w:pStyle w:val="CETReferencetext"/>
        <w:rPr>
          <w:lang w:val="it-IT"/>
        </w:rPr>
      </w:pPr>
      <w:r w:rsidRPr="00022346">
        <w:rPr>
          <w:lang w:val="it-IT"/>
        </w:rPr>
        <w:t>ISPESL, 1979, Raccolta E, Roma, Italy.</w:t>
      </w:r>
    </w:p>
    <w:p w14:paraId="45EC1D23" w14:textId="77777777" w:rsidR="002D6F3E" w:rsidRPr="002D6F3E" w:rsidRDefault="002D6F3E" w:rsidP="002D6F3E">
      <w:pPr>
        <w:pStyle w:val="CETReferencetext"/>
        <w:rPr>
          <w:lang w:val="en-US"/>
        </w:rPr>
      </w:pPr>
      <w:r w:rsidRPr="002D6F3E">
        <w:rPr>
          <w:lang w:val="en-US"/>
        </w:rPr>
        <w:t>European Commission Joint Research Centre, 2016, Chemical Accident Prevention &amp; Preparedness: Lessons Learned Bulletin No. 9 – Major Accidents Caused by Runaway Reactions, Publications Office of the European Union, Luxembourg.</w:t>
      </w:r>
    </w:p>
    <w:p w14:paraId="7C60E720" w14:textId="77777777" w:rsidR="002D6F3E" w:rsidRPr="002D6F3E" w:rsidRDefault="002D6F3E" w:rsidP="002D6F3E">
      <w:pPr>
        <w:pStyle w:val="CETReferencetext"/>
        <w:rPr>
          <w:lang w:val="en-US"/>
        </w:rPr>
      </w:pPr>
      <w:r w:rsidRPr="002D6F3E">
        <w:rPr>
          <w:lang w:val="en-US"/>
        </w:rPr>
        <w:t>Hare J., Johnson M., 2011, Pressure Relief Venting System – Examples of Good and Bad Practice, Symposium Series No. 156, Hazards XXII, Health and Safety Executive (HSE), UK.</w:t>
      </w:r>
    </w:p>
    <w:p w14:paraId="1D0FFB40" w14:textId="77777777" w:rsidR="002D6F3E" w:rsidRPr="002D6F3E" w:rsidRDefault="002D6F3E" w:rsidP="002D6F3E">
      <w:pPr>
        <w:pStyle w:val="CETReferencetext"/>
        <w:rPr>
          <w:lang w:val="en-US"/>
        </w:rPr>
      </w:pPr>
      <w:r w:rsidRPr="002D6F3E">
        <w:rPr>
          <w:lang w:val="en-US"/>
        </w:rPr>
        <w:t>Kummer A., Varga T., 2021, What Do We Know Already About Reactor Runaway? – A Review, Process Safety and Environmental Protection, 147, 460–476.</w:t>
      </w:r>
    </w:p>
    <w:p w14:paraId="2591354D" w14:textId="77777777" w:rsidR="002D6F3E" w:rsidRPr="002D6F3E" w:rsidRDefault="002D6F3E" w:rsidP="002D6F3E">
      <w:pPr>
        <w:pStyle w:val="CETReferencetext"/>
        <w:rPr>
          <w:lang w:val="en-US"/>
        </w:rPr>
      </w:pPr>
      <w:r w:rsidRPr="002D6F3E">
        <w:rPr>
          <w:lang w:val="en-US"/>
        </w:rPr>
        <w:t>Liu L., Ni L., Jiang J., Zhang W., 2018, The BLEVE Research of Reaction Runaway Based on Aspen Plus-Fluent, Procedia Engineering, 211, 479–487.</w:t>
      </w:r>
    </w:p>
    <w:p w14:paraId="4F61F6CB" w14:textId="77777777" w:rsidR="002D6F3E" w:rsidRPr="002D6F3E" w:rsidRDefault="002D6F3E" w:rsidP="002D6F3E">
      <w:pPr>
        <w:pStyle w:val="CETReferencetext"/>
        <w:rPr>
          <w:lang w:val="en-US"/>
        </w:rPr>
      </w:pPr>
      <w:r w:rsidRPr="002D6F3E">
        <w:rPr>
          <w:lang w:val="en-US"/>
        </w:rPr>
        <w:t>Singh S.K., Huh R., 2016, Pressure Relief Sizing of Reactive System Using DIERS Simplified Methods and Dynamic Simulation Method, Journal of Loss Prevention in the Process Industries, 44, 718–725.</w:t>
      </w:r>
    </w:p>
    <w:p w14:paraId="2646406E" w14:textId="147CFBA4" w:rsidR="009C0023" w:rsidRPr="00A07FE8" w:rsidRDefault="002D6F3E" w:rsidP="002D6F3E">
      <w:pPr>
        <w:pStyle w:val="CETReferencetext"/>
        <w:rPr>
          <w:lang w:val="en-US"/>
        </w:rPr>
      </w:pPr>
      <w:r w:rsidRPr="002D6F3E">
        <w:rPr>
          <w:lang w:val="en-US"/>
        </w:rPr>
        <w:t>US EPA, 2023, What Does Relief System Design Basis Mean, United States Environmental Protection Agency</w:t>
      </w:r>
      <w:r w:rsidR="00F51846">
        <w:rPr>
          <w:lang w:val="en-US"/>
        </w:rPr>
        <w:t>,</w:t>
      </w:r>
      <w:r w:rsidRPr="002D6F3E">
        <w:rPr>
          <w:lang w:val="en-US"/>
        </w:rPr>
        <w:t xml:space="preserve"> </w:t>
      </w:r>
      <w:r w:rsidRPr="00F51846">
        <w:rPr>
          <w:lang w:val="en-US"/>
        </w:rPr>
        <w:t>www.epa.gov/rmp/what-does-relief-system-design-basis-mean</w:t>
      </w:r>
      <w:r>
        <w:rPr>
          <w:lang w:val="en-US"/>
        </w:rPr>
        <w:t xml:space="preserve">, </w:t>
      </w:r>
      <w:r w:rsidRPr="002D6F3E">
        <w:rPr>
          <w:lang w:val="en-US"/>
        </w:rPr>
        <w:t xml:space="preserve">accessed </w:t>
      </w:r>
      <w:r>
        <w:rPr>
          <w:lang w:val="en-US"/>
        </w:rPr>
        <w:t>03</w:t>
      </w:r>
      <w:r w:rsidRPr="002D6F3E">
        <w:rPr>
          <w:lang w:val="en-US"/>
        </w:rPr>
        <w:t>.</w:t>
      </w:r>
      <w:r>
        <w:rPr>
          <w:lang w:val="en-US"/>
        </w:rPr>
        <w:t>28</w:t>
      </w:r>
      <w:r w:rsidRPr="002D6F3E">
        <w:rPr>
          <w:lang w:val="en-US"/>
        </w:rPr>
        <w:t>.2026.</w:t>
      </w:r>
    </w:p>
    <w:sectPr w:rsidR="009C0023" w:rsidRPr="00A07FE8"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3317C" w14:textId="77777777" w:rsidR="00644E7A" w:rsidRDefault="00644E7A" w:rsidP="004F5E36">
      <w:r>
        <w:separator/>
      </w:r>
    </w:p>
  </w:endnote>
  <w:endnote w:type="continuationSeparator" w:id="0">
    <w:p w14:paraId="65773C03" w14:textId="77777777" w:rsidR="00644E7A" w:rsidRDefault="00644E7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9FF1B" w14:textId="77777777" w:rsidR="00644E7A" w:rsidRDefault="00644E7A" w:rsidP="004F5E36">
      <w:r>
        <w:separator/>
      </w:r>
    </w:p>
  </w:footnote>
  <w:footnote w:type="continuationSeparator" w:id="0">
    <w:p w14:paraId="07FC9164" w14:textId="77777777" w:rsidR="00644E7A" w:rsidRDefault="00644E7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E6713E1"/>
    <w:multiLevelType w:val="hybridMultilevel"/>
    <w:tmpl w:val="D2FA47E2"/>
    <w:lvl w:ilvl="0" w:tplc="225C82F8">
      <w:start w:val="2"/>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0D922D4"/>
    <w:multiLevelType w:val="hybridMultilevel"/>
    <w:tmpl w:val="BDD047C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2"/>
  </w:num>
  <w:num w:numId="14" w16cid:durableId="145903400">
    <w:abstractNumId w:val="19"/>
  </w:num>
  <w:num w:numId="15" w16cid:durableId="19162326">
    <w:abstractNumId w:val="22"/>
  </w:num>
  <w:num w:numId="16" w16cid:durableId="1977102699">
    <w:abstractNumId w:val="21"/>
  </w:num>
  <w:num w:numId="17" w16cid:durableId="860774865">
    <w:abstractNumId w:val="11"/>
  </w:num>
  <w:num w:numId="18" w16cid:durableId="313221457">
    <w:abstractNumId w:val="12"/>
    <w:lvlOverride w:ilvl="0">
      <w:startOverride w:val="1"/>
    </w:lvlOverride>
  </w:num>
  <w:num w:numId="19" w16cid:durableId="534971577">
    <w:abstractNumId w:val="17"/>
  </w:num>
  <w:num w:numId="20" w16cid:durableId="1150947773">
    <w:abstractNumId w:val="16"/>
  </w:num>
  <w:num w:numId="21" w16cid:durableId="124660497">
    <w:abstractNumId w:val="14"/>
  </w:num>
  <w:num w:numId="22" w16cid:durableId="2099861471">
    <w:abstractNumId w:val="13"/>
  </w:num>
  <w:num w:numId="23" w16cid:durableId="141624543">
    <w:abstractNumId w:val="15"/>
  </w:num>
  <w:num w:numId="24" w16cid:durableId="5107298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549"/>
    <w:rsid w:val="00005884"/>
    <w:rsid w:val="00005A19"/>
    <w:rsid w:val="000067EC"/>
    <w:rsid w:val="000100C9"/>
    <w:rsid w:val="00010ABA"/>
    <w:rsid w:val="00011650"/>
    <w:rsid w:val="000117CB"/>
    <w:rsid w:val="00016BC0"/>
    <w:rsid w:val="00020E91"/>
    <w:rsid w:val="00022346"/>
    <w:rsid w:val="0002295D"/>
    <w:rsid w:val="00023253"/>
    <w:rsid w:val="0002349D"/>
    <w:rsid w:val="000245D3"/>
    <w:rsid w:val="000300AC"/>
    <w:rsid w:val="00030E33"/>
    <w:rsid w:val="0003148D"/>
    <w:rsid w:val="00031DD4"/>
    <w:rsid w:val="00031EEC"/>
    <w:rsid w:val="00037BAC"/>
    <w:rsid w:val="00037FE8"/>
    <w:rsid w:val="000411DB"/>
    <w:rsid w:val="00047D38"/>
    <w:rsid w:val="00050052"/>
    <w:rsid w:val="0005147B"/>
    <w:rsid w:val="00051566"/>
    <w:rsid w:val="00053424"/>
    <w:rsid w:val="000562A9"/>
    <w:rsid w:val="00057E4D"/>
    <w:rsid w:val="00062A9A"/>
    <w:rsid w:val="00064319"/>
    <w:rsid w:val="00065058"/>
    <w:rsid w:val="00067E05"/>
    <w:rsid w:val="0007335D"/>
    <w:rsid w:val="0007349D"/>
    <w:rsid w:val="00073C62"/>
    <w:rsid w:val="000752B0"/>
    <w:rsid w:val="00075847"/>
    <w:rsid w:val="00075BE3"/>
    <w:rsid w:val="00077068"/>
    <w:rsid w:val="000771BE"/>
    <w:rsid w:val="00081F05"/>
    <w:rsid w:val="00082131"/>
    <w:rsid w:val="00085462"/>
    <w:rsid w:val="00086C39"/>
    <w:rsid w:val="0009058C"/>
    <w:rsid w:val="0009328B"/>
    <w:rsid w:val="00096FAE"/>
    <w:rsid w:val="000A03B2"/>
    <w:rsid w:val="000A3147"/>
    <w:rsid w:val="000B6AC0"/>
    <w:rsid w:val="000B73AF"/>
    <w:rsid w:val="000C635B"/>
    <w:rsid w:val="000C75EE"/>
    <w:rsid w:val="000D0268"/>
    <w:rsid w:val="000D34BE"/>
    <w:rsid w:val="000D35D5"/>
    <w:rsid w:val="000D479F"/>
    <w:rsid w:val="000D5CD6"/>
    <w:rsid w:val="000E0110"/>
    <w:rsid w:val="000E102F"/>
    <w:rsid w:val="000E36F1"/>
    <w:rsid w:val="000E3A73"/>
    <w:rsid w:val="000E414A"/>
    <w:rsid w:val="000E54DA"/>
    <w:rsid w:val="000E75FD"/>
    <w:rsid w:val="000F093C"/>
    <w:rsid w:val="000F0E41"/>
    <w:rsid w:val="000F4798"/>
    <w:rsid w:val="000F787B"/>
    <w:rsid w:val="000F7ED6"/>
    <w:rsid w:val="00104AC6"/>
    <w:rsid w:val="001069ED"/>
    <w:rsid w:val="0011788B"/>
    <w:rsid w:val="00120279"/>
    <w:rsid w:val="0012091F"/>
    <w:rsid w:val="001235D1"/>
    <w:rsid w:val="0012401A"/>
    <w:rsid w:val="00124AAD"/>
    <w:rsid w:val="0012625C"/>
    <w:rsid w:val="00126BC2"/>
    <w:rsid w:val="001279E3"/>
    <w:rsid w:val="001308B6"/>
    <w:rsid w:val="00130DAD"/>
    <w:rsid w:val="0013121F"/>
    <w:rsid w:val="00131FE6"/>
    <w:rsid w:val="0013263F"/>
    <w:rsid w:val="001331DF"/>
    <w:rsid w:val="001346C1"/>
    <w:rsid w:val="00134DE4"/>
    <w:rsid w:val="0014034D"/>
    <w:rsid w:val="00140C1E"/>
    <w:rsid w:val="00140FE3"/>
    <w:rsid w:val="00142CA5"/>
    <w:rsid w:val="0014348A"/>
    <w:rsid w:val="00143C34"/>
    <w:rsid w:val="001447B1"/>
    <w:rsid w:val="00144D16"/>
    <w:rsid w:val="00146277"/>
    <w:rsid w:val="0014660F"/>
    <w:rsid w:val="00150E59"/>
    <w:rsid w:val="00152DE3"/>
    <w:rsid w:val="00164CF9"/>
    <w:rsid w:val="001654C4"/>
    <w:rsid w:val="001667A6"/>
    <w:rsid w:val="0016748F"/>
    <w:rsid w:val="00181235"/>
    <w:rsid w:val="001829A6"/>
    <w:rsid w:val="00183D38"/>
    <w:rsid w:val="00184AD6"/>
    <w:rsid w:val="00185CFA"/>
    <w:rsid w:val="00186227"/>
    <w:rsid w:val="00186440"/>
    <w:rsid w:val="0018672E"/>
    <w:rsid w:val="001871CB"/>
    <w:rsid w:val="00190F3D"/>
    <w:rsid w:val="00192D21"/>
    <w:rsid w:val="00197E47"/>
    <w:rsid w:val="001A09D6"/>
    <w:rsid w:val="001A116F"/>
    <w:rsid w:val="001A24AC"/>
    <w:rsid w:val="001A4AF7"/>
    <w:rsid w:val="001B0349"/>
    <w:rsid w:val="001B1E93"/>
    <w:rsid w:val="001B3A37"/>
    <w:rsid w:val="001B61A7"/>
    <w:rsid w:val="001B65C1"/>
    <w:rsid w:val="001C0811"/>
    <w:rsid w:val="001C2416"/>
    <w:rsid w:val="001C260F"/>
    <w:rsid w:val="001C33F1"/>
    <w:rsid w:val="001C3E2D"/>
    <w:rsid w:val="001C408F"/>
    <w:rsid w:val="001C684B"/>
    <w:rsid w:val="001D0CFB"/>
    <w:rsid w:val="001D1B08"/>
    <w:rsid w:val="001D21AF"/>
    <w:rsid w:val="001D2923"/>
    <w:rsid w:val="001D4E80"/>
    <w:rsid w:val="001D53FC"/>
    <w:rsid w:val="001D7068"/>
    <w:rsid w:val="001D7CB1"/>
    <w:rsid w:val="001E64CC"/>
    <w:rsid w:val="001F42A5"/>
    <w:rsid w:val="001F7B9D"/>
    <w:rsid w:val="00201C93"/>
    <w:rsid w:val="00201EAC"/>
    <w:rsid w:val="00206DBC"/>
    <w:rsid w:val="00207881"/>
    <w:rsid w:val="00212320"/>
    <w:rsid w:val="002131C8"/>
    <w:rsid w:val="00214492"/>
    <w:rsid w:val="00215E7C"/>
    <w:rsid w:val="002224B4"/>
    <w:rsid w:val="002236DD"/>
    <w:rsid w:val="00231197"/>
    <w:rsid w:val="0023361E"/>
    <w:rsid w:val="002350B6"/>
    <w:rsid w:val="002364A4"/>
    <w:rsid w:val="00242A66"/>
    <w:rsid w:val="0024352B"/>
    <w:rsid w:val="002447EF"/>
    <w:rsid w:val="00245084"/>
    <w:rsid w:val="00251550"/>
    <w:rsid w:val="00256F5E"/>
    <w:rsid w:val="00263B05"/>
    <w:rsid w:val="002642CD"/>
    <w:rsid w:val="00266462"/>
    <w:rsid w:val="0027221A"/>
    <w:rsid w:val="00274035"/>
    <w:rsid w:val="00275B61"/>
    <w:rsid w:val="00280FAF"/>
    <w:rsid w:val="00282656"/>
    <w:rsid w:val="00283DD8"/>
    <w:rsid w:val="00291740"/>
    <w:rsid w:val="00296109"/>
    <w:rsid w:val="00296B83"/>
    <w:rsid w:val="002A4D38"/>
    <w:rsid w:val="002A6478"/>
    <w:rsid w:val="002A65C8"/>
    <w:rsid w:val="002B4015"/>
    <w:rsid w:val="002B4458"/>
    <w:rsid w:val="002B6A6A"/>
    <w:rsid w:val="002B78CE"/>
    <w:rsid w:val="002B7FE5"/>
    <w:rsid w:val="002C2130"/>
    <w:rsid w:val="002C2C1A"/>
    <w:rsid w:val="002C2C5A"/>
    <w:rsid w:val="002C2FB6"/>
    <w:rsid w:val="002D06F3"/>
    <w:rsid w:val="002D3913"/>
    <w:rsid w:val="002D6E3D"/>
    <w:rsid w:val="002D6F3E"/>
    <w:rsid w:val="002D71D3"/>
    <w:rsid w:val="002E0B00"/>
    <w:rsid w:val="002E4392"/>
    <w:rsid w:val="002E4713"/>
    <w:rsid w:val="002E4CA2"/>
    <w:rsid w:val="002E5FA7"/>
    <w:rsid w:val="002E6A1C"/>
    <w:rsid w:val="002F3309"/>
    <w:rsid w:val="003008CE"/>
    <w:rsid w:val="003009B7"/>
    <w:rsid w:val="00300E56"/>
    <w:rsid w:val="0030152C"/>
    <w:rsid w:val="00301E43"/>
    <w:rsid w:val="0030469C"/>
    <w:rsid w:val="00305301"/>
    <w:rsid w:val="0030668F"/>
    <w:rsid w:val="00316F3C"/>
    <w:rsid w:val="00321CA6"/>
    <w:rsid w:val="00323763"/>
    <w:rsid w:val="00323C5F"/>
    <w:rsid w:val="003276D3"/>
    <w:rsid w:val="00334C09"/>
    <w:rsid w:val="00335656"/>
    <w:rsid w:val="00336F0A"/>
    <w:rsid w:val="00337256"/>
    <w:rsid w:val="00347086"/>
    <w:rsid w:val="00353BAA"/>
    <w:rsid w:val="003723D4"/>
    <w:rsid w:val="00375FBD"/>
    <w:rsid w:val="00377FD7"/>
    <w:rsid w:val="00381905"/>
    <w:rsid w:val="00382F93"/>
    <w:rsid w:val="00384CC8"/>
    <w:rsid w:val="00385CD2"/>
    <w:rsid w:val="003871FD"/>
    <w:rsid w:val="00397C45"/>
    <w:rsid w:val="003A1E30"/>
    <w:rsid w:val="003A2829"/>
    <w:rsid w:val="003A34B7"/>
    <w:rsid w:val="003A5BC9"/>
    <w:rsid w:val="003A7D1C"/>
    <w:rsid w:val="003B05D2"/>
    <w:rsid w:val="003B1372"/>
    <w:rsid w:val="003B2B6D"/>
    <w:rsid w:val="003B304B"/>
    <w:rsid w:val="003B3146"/>
    <w:rsid w:val="003B3A07"/>
    <w:rsid w:val="003B3E89"/>
    <w:rsid w:val="003B4B6E"/>
    <w:rsid w:val="003C0FB2"/>
    <w:rsid w:val="003C3A72"/>
    <w:rsid w:val="003D0A48"/>
    <w:rsid w:val="003D13A9"/>
    <w:rsid w:val="003D170A"/>
    <w:rsid w:val="003D1E02"/>
    <w:rsid w:val="003E0026"/>
    <w:rsid w:val="003E04CB"/>
    <w:rsid w:val="003E747F"/>
    <w:rsid w:val="003F015E"/>
    <w:rsid w:val="003F0247"/>
    <w:rsid w:val="003F5FF1"/>
    <w:rsid w:val="00400414"/>
    <w:rsid w:val="00403C00"/>
    <w:rsid w:val="00410DE6"/>
    <w:rsid w:val="004110CF"/>
    <w:rsid w:val="004138A2"/>
    <w:rsid w:val="0041446B"/>
    <w:rsid w:val="004145BD"/>
    <w:rsid w:val="004154A5"/>
    <w:rsid w:val="00421461"/>
    <w:rsid w:val="00423938"/>
    <w:rsid w:val="00430FDF"/>
    <w:rsid w:val="00433B0B"/>
    <w:rsid w:val="0043795C"/>
    <w:rsid w:val="0044071E"/>
    <w:rsid w:val="0044136F"/>
    <w:rsid w:val="0044329C"/>
    <w:rsid w:val="0044388E"/>
    <w:rsid w:val="00445AF5"/>
    <w:rsid w:val="00451AF9"/>
    <w:rsid w:val="00452A83"/>
    <w:rsid w:val="00453E24"/>
    <w:rsid w:val="004547C1"/>
    <w:rsid w:val="00455564"/>
    <w:rsid w:val="00457456"/>
    <w:rsid w:val="004577FE"/>
    <w:rsid w:val="00457B9C"/>
    <w:rsid w:val="0046164A"/>
    <w:rsid w:val="004628D2"/>
    <w:rsid w:val="00462DCD"/>
    <w:rsid w:val="004648AD"/>
    <w:rsid w:val="004703A9"/>
    <w:rsid w:val="00472918"/>
    <w:rsid w:val="00472EFA"/>
    <w:rsid w:val="00473128"/>
    <w:rsid w:val="00473972"/>
    <w:rsid w:val="004760DE"/>
    <w:rsid w:val="004763D7"/>
    <w:rsid w:val="00483768"/>
    <w:rsid w:val="00485692"/>
    <w:rsid w:val="00490750"/>
    <w:rsid w:val="004923AB"/>
    <w:rsid w:val="00493ECB"/>
    <w:rsid w:val="00493F44"/>
    <w:rsid w:val="00495FBC"/>
    <w:rsid w:val="00497A77"/>
    <w:rsid w:val="004A004E"/>
    <w:rsid w:val="004A1106"/>
    <w:rsid w:val="004A24CF"/>
    <w:rsid w:val="004A5E57"/>
    <w:rsid w:val="004B0892"/>
    <w:rsid w:val="004B6661"/>
    <w:rsid w:val="004C194F"/>
    <w:rsid w:val="004C24D5"/>
    <w:rsid w:val="004C3D1D"/>
    <w:rsid w:val="004C3D84"/>
    <w:rsid w:val="004C70B9"/>
    <w:rsid w:val="004C7913"/>
    <w:rsid w:val="004D17F6"/>
    <w:rsid w:val="004D2BDD"/>
    <w:rsid w:val="004D531A"/>
    <w:rsid w:val="004E1087"/>
    <w:rsid w:val="004E4DD6"/>
    <w:rsid w:val="004E7032"/>
    <w:rsid w:val="004F231E"/>
    <w:rsid w:val="004F2A16"/>
    <w:rsid w:val="004F5E36"/>
    <w:rsid w:val="004F6D27"/>
    <w:rsid w:val="005007C7"/>
    <w:rsid w:val="00507B47"/>
    <w:rsid w:val="00507BEF"/>
    <w:rsid w:val="00507CC9"/>
    <w:rsid w:val="00510B67"/>
    <w:rsid w:val="005119A5"/>
    <w:rsid w:val="005123D8"/>
    <w:rsid w:val="00525870"/>
    <w:rsid w:val="005268DA"/>
    <w:rsid w:val="00526AF4"/>
    <w:rsid w:val="005278B7"/>
    <w:rsid w:val="00532016"/>
    <w:rsid w:val="005346C8"/>
    <w:rsid w:val="005433B8"/>
    <w:rsid w:val="00543E7D"/>
    <w:rsid w:val="005472F2"/>
    <w:rsid w:val="00547A68"/>
    <w:rsid w:val="00551A5F"/>
    <w:rsid w:val="005531C9"/>
    <w:rsid w:val="00554BD2"/>
    <w:rsid w:val="00554E50"/>
    <w:rsid w:val="005570AA"/>
    <w:rsid w:val="00563354"/>
    <w:rsid w:val="00563413"/>
    <w:rsid w:val="005649BB"/>
    <w:rsid w:val="00564BDA"/>
    <w:rsid w:val="00566CC6"/>
    <w:rsid w:val="00570C43"/>
    <w:rsid w:val="00586301"/>
    <w:rsid w:val="00592274"/>
    <w:rsid w:val="005931DD"/>
    <w:rsid w:val="005A107B"/>
    <w:rsid w:val="005A203D"/>
    <w:rsid w:val="005A2B98"/>
    <w:rsid w:val="005A31F9"/>
    <w:rsid w:val="005B2110"/>
    <w:rsid w:val="005B61E6"/>
    <w:rsid w:val="005C122C"/>
    <w:rsid w:val="005C17C3"/>
    <w:rsid w:val="005C3065"/>
    <w:rsid w:val="005C7054"/>
    <w:rsid w:val="005C71DD"/>
    <w:rsid w:val="005C77E1"/>
    <w:rsid w:val="005C7C4E"/>
    <w:rsid w:val="005D1768"/>
    <w:rsid w:val="005D5578"/>
    <w:rsid w:val="005D668A"/>
    <w:rsid w:val="005D6A2F"/>
    <w:rsid w:val="005E0592"/>
    <w:rsid w:val="005E1A82"/>
    <w:rsid w:val="005E2791"/>
    <w:rsid w:val="005E37D1"/>
    <w:rsid w:val="005E794C"/>
    <w:rsid w:val="005F0A28"/>
    <w:rsid w:val="005F0E5E"/>
    <w:rsid w:val="00600535"/>
    <w:rsid w:val="00606538"/>
    <w:rsid w:val="00606BBD"/>
    <w:rsid w:val="00606EA9"/>
    <w:rsid w:val="00610CD6"/>
    <w:rsid w:val="006110DD"/>
    <w:rsid w:val="00620797"/>
    <w:rsid w:val="00620DEE"/>
    <w:rsid w:val="00621F92"/>
    <w:rsid w:val="0062280A"/>
    <w:rsid w:val="006231E1"/>
    <w:rsid w:val="00625639"/>
    <w:rsid w:val="00625E45"/>
    <w:rsid w:val="00630C04"/>
    <w:rsid w:val="00631B33"/>
    <w:rsid w:val="00633E6C"/>
    <w:rsid w:val="0064184D"/>
    <w:rsid w:val="006422CC"/>
    <w:rsid w:val="006425D0"/>
    <w:rsid w:val="00644E7A"/>
    <w:rsid w:val="00651D18"/>
    <w:rsid w:val="00654076"/>
    <w:rsid w:val="0065472B"/>
    <w:rsid w:val="00654FE3"/>
    <w:rsid w:val="00660E3E"/>
    <w:rsid w:val="00662E74"/>
    <w:rsid w:val="00664264"/>
    <w:rsid w:val="00674B1C"/>
    <w:rsid w:val="00677DC1"/>
    <w:rsid w:val="00680C23"/>
    <w:rsid w:val="006827FB"/>
    <w:rsid w:val="00683E23"/>
    <w:rsid w:val="00693766"/>
    <w:rsid w:val="00697CE7"/>
    <w:rsid w:val="006A2543"/>
    <w:rsid w:val="006A3281"/>
    <w:rsid w:val="006A5335"/>
    <w:rsid w:val="006A54AF"/>
    <w:rsid w:val="006A6188"/>
    <w:rsid w:val="006A71E3"/>
    <w:rsid w:val="006A7617"/>
    <w:rsid w:val="006B1EB7"/>
    <w:rsid w:val="006B3749"/>
    <w:rsid w:val="006B4888"/>
    <w:rsid w:val="006B493B"/>
    <w:rsid w:val="006B5268"/>
    <w:rsid w:val="006C005B"/>
    <w:rsid w:val="006C2E45"/>
    <w:rsid w:val="006C3241"/>
    <w:rsid w:val="006C359C"/>
    <w:rsid w:val="006C5579"/>
    <w:rsid w:val="006D1FA7"/>
    <w:rsid w:val="006D6E8B"/>
    <w:rsid w:val="006D7209"/>
    <w:rsid w:val="006E54DB"/>
    <w:rsid w:val="006E737D"/>
    <w:rsid w:val="006F2306"/>
    <w:rsid w:val="006F6404"/>
    <w:rsid w:val="00707DD1"/>
    <w:rsid w:val="00710F76"/>
    <w:rsid w:val="00712666"/>
    <w:rsid w:val="00713973"/>
    <w:rsid w:val="00715B7B"/>
    <w:rsid w:val="00716F95"/>
    <w:rsid w:val="00720A24"/>
    <w:rsid w:val="00723CDD"/>
    <w:rsid w:val="00724272"/>
    <w:rsid w:val="00724A26"/>
    <w:rsid w:val="00730CAB"/>
    <w:rsid w:val="00732386"/>
    <w:rsid w:val="0073514D"/>
    <w:rsid w:val="00735ADC"/>
    <w:rsid w:val="00735DEC"/>
    <w:rsid w:val="00737B40"/>
    <w:rsid w:val="00740910"/>
    <w:rsid w:val="0074187D"/>
    <w:rsid w:val="007447F3"/>
    <w:rsid w:val="00747E67"/>
    <w:rsid w:val="00750551"/>
    <w:rsid w:val="00751C0A"/>
    <w:rsid w:val="007531B3"/>
    <w:rsid w:val="00753BDF"/>
    <w:rsid w:val="0075499F"/>
    <w:rsid w:val="007605B5"/>
    <w:rsid w:val="00760A7B"/>
    <w:rsid w:val="00761040"/>
    <w:rsid w:val="007617CC"/>
    <w:rsid w:val="00764C7A"/>
    <w:rsid w:val="007661C8"/>
    <w:rsid w:val="007662D4"/>
    <w:rsid w:val="00767648"/>
    <w:rsid w:val="0077098D"/>
    <w:rsid w:val="00777C76"/>
    <w:rsid w:val="007812B5"/>
    <w:rsid w:val="00785BF9"/>
    <w:rsid w:val="00785DFC"/>
    <w:rsid w:val="007931FA"/>
    <w:rsid w:val="007943FF"/>
    <w:rsid w:val="0079522A"/>
    <w:rsid w:val="007952DB"/>
    <w:rsid w:val="007A07F5"/>
    <w:rsid w:val="007A4861"/>
    <w:rsid w:val="007A6DF8"/>
    <w:rsid w:val="007A7BBA"/>
    <w:rsid w:val="007B0C50"/>
    <w:rsid w:val="007B1835"/>
    <w:rsid w:val="007B2115"/>
    <w:rsid w:val="007B3C6F"/>
    <w:rsid w:val="007B48F9"/>
    <w:rsid w:val="007C0215"/>
    <w:rsid w:val="007C1A43"/>
    <w:rsid w:val="007C3833"/>
    <w:rsid w:val="007D0951"/>
    <w:rsid w:val="007D0974"/>
    <w:rsid w:val="007D5129"/>
    <w:rsid w:val="007D5943"/>
    <w:rsid w:val="007D5FCF"/>
    <w:rsid w:val="007D79E4"/>
    <w:rsid w:val="007E4551"/>
    <w:rsid w:val="007E4829"/>
    <w:rsid w:val="007F1BFB"/>
    <w:rsid w:val="007F27C8"/>
    <w:rsid w:val="007F34E7"/>
    <w:rsid w:val="007F48EA"/>
    <w:rsid w:val="007F7021"/>
    <w:rsid w:val="0080013E"/>
    <w:rsid w:val="00800248"/>
    <w:rsid w:val="00800D68"/>
    <w:rsid w:val="008015C2"/>
    <w:rsid w:val="008018E1"/>
    <w:rsid w:val="00803C5E"/>
    <w:rsid w:val="0080474C"/>
    <w:rsid w:val="00807EFB"/>
    <w:rsid w:val="00812876"/>
    <w:rsid w:val="00813288"/>
    <w:rsid w:val="008168FC"/>
    <w:rsid w:val="0082025F"/>
    <w:rsid w:val="008204AF"/>
    <w:rsid w:val="00830996"/>
    <w:rsid w:val="008314D7"/>
    <w:rsid w:val="008345F1"/>
    <w:rsid w:val="00834B21"/>
    <w:rsid w:val="00837F56"/>
    <w:rsid w:val="00840640"/>
    <w:rsid w:val="0084343E"/>
    <w:rsid w:val="00853838"/>
    <w:rsid w:val="00860577"/>
    <w:rsid w:val="00865B07"/>
    <w:rsid w:val="008660E7"/>
    <w:rsid w:val="008667EA"/>
    <w:rsid w:val="0087159C"/>
    <w:rsid w:val="00871851"/>
    <w:rsid w:val="00872885"/>
    <w:rsid w:val="0087637F"/>
    <w:rsid w:val="0087750E"/>
    <w:rsid w:val="00877769"/>
    <w:rsid w:val="00881B88"/>
    <w:rsid w:val="00882596"/>
    <w:rsid w:val="0088682E"/>
    <w:rsid w:val="00886D6D"/>
    <w:rsid w:val="00892AD5"/>
    <w:rsid w:val="008936E3"/>
    <w:rsid w:val="008A1512"/>
    <w:rsid w:val="008B06FE"/>
    <w:rsid w:val="008B5107"/>
    <w:rsid w:val="008B7CB7"/>
    <w:rsid w:val="008C3597"/>
    <w:rsid w:val="008C4472"/>
    <w:rsid w:val="008C5709"/>
    <w:rsid w:val="008D1842"/>
    <w:rsid w:val="008D19A0"/>
    <w:rsid w:val="008D32B9"/>
    <w:rsid w:val="008D433B"/>
    <w:rsid w:val="008D4A16"/>
    <w:rsid w:val="008D713D"/>
    <w:rsid w:val="008E209A"/>
    <w:rsid w:val="008E21E1"/>
    <w:rsid w:val="008E45BC"/>
    <w:rsid w:val="008E566E"/>
    <w:rsid w:val="008E5918"/>
    <w:rsid w:val="008E5F48"/>
    <w:rsid w:val="008F08D8"/>
    <w:rsid w:val="0090161A"/>
    <w:rsid w:val="00901DCE"/>
    <w:rsid w:val="00901EB6"/>
    <w:rsid w:val="009041F8"/>
    <w:rsid w:val="00904C62"/>
    <w:rsid w:val="00906E1C"/>
    <w:rsid w:val="00907A14"/>
    <w:rsid w:val="00912037"/>
    <w:rsid w:val="009128E2"/>
    <w:rsid w:val="00912F3A"/>
    <w:rsid w:val="00916200"/>
    <w:rsid w:val="00920330"/>
    <w:rsid w:val="00922969"/>
    <w:rsid w:val="00922BA8"/>
    <w:rsid w:val="00924DAC"/>
    <w:rsid w:val="00925AC7"/>
    <w:rsid w:val="00927058"/>
    <w:rsid w:val="00927C0F"/>
    <w:rsid w:val="00931A18"/>
    <w:rsid w:val="009378C4"/>
    <w:rsid w:val="00937F1B"/>
    <w:rsid w:val="00942750"/>
    <w:rsid w:val="009450CE"/>
    <w:rsid w:val="009459BB"/>
    <w:rsid w:val="00947179"/>
    <w:rsid w:val="0095164B"/>
    <w:rsid w:val="0095190C"/>
    <w:rsid w:val="00954090"/>
    <w:rsid w:val="00954F6D"/>
    <w:rsid w:val="009573E7"/>
    <w:rsid w:val="00957CDC"/>
    <w:rsid w:val="00963996"/>
    <w:rsid w:val="00963E05"/>
    <w:rsid w:val="00964A45"/>
    <w:rsid w:val="00966333"/>
    <w:rsid w:val="00967238"/>
    <w:rsid w:val="00967843"/>
    <w:rsid w:val="00967D54"/>
    <w:rsid w:val="00971028"/>
    <w:rsid w:val="009715F8"/>
    <w:rsid w:val="00974D3C"/>
    <w:rsid w:val="0098255D"/>
    <w:rsid w:val="00982D12"/>
    <w:rsid w:val="00985640"/>
    <w:rsid w:val="009857A3"/>
    <w:rsid w:val="0098661B"/>
    <w:rsid w:val="00991382"/>
    <w:rsid w:val="00993B84"/>
    <w:rsid w:val="00996483"/>
    <w:rsid w:val="00996709"/>
    <w:rsid w:val="00996F5A"/>
    <w:rsid w:val="009A1A74"/>
    <w:rsid w:val="009A2A39"/>
    <w:rsid w:val="009B041A"/>
    <w:rsid w:val="009B07C4"/>
    <w:rsid w:val="009B154C"/>
    <w:rsid w:val="009C0023"/>
    <w:rsid w:val="009C26A6"/>
    <w:rsid w:val="009C2D7E"/>
    <w:rsid w:val="009C37C3"/>
    <w:rsid w:val="009C7C86"/>
    <w:rsid w:val="009D04AD"/>
    <w:rsid w:val="009D2D4B"/>
    <w:rsid w:val="009D2FF7"/>
    <w:rsid w:val="009D3B83"/>
    <w:rsid w:val="009E7884"/>
    <w:rsid w:val="009E788A"/>
    <w:rsid w:val="009F0423"/>
    <w:rsid w:val="009F0E08"/>
    <w:rsid w:val="009F1CC6"/>
    <w:rsid w:val="009F59BF"/>
    <w:rsid w:val="009F6366"/>
    <w:rsid w:val="00A047A1"/>
    <w:rsid w:val="00A06A77"/>
    <w:rsid w:val="00A079AE"/>
    <w:rsid w:val="00A07CEB"/>
    <w:rsid w:val="00A07FE8"/>
    <w:rsid w:val="00A100D4"/>
    <w:rsid w:val="00A15F2C"/>
    <w:rsid w:val="00A17379"/>
    <w:rsid w:val="00A1763D"/>
    <w:rsid w:val="00A17CEC"/>
    <w:rsid w:val="00A2277F"/>
    <w:rsid w:val="00A23716"/>
    <w:rsid w:val="00A239B4"/>
    <w:rsid w:val="00A23BAA"/>
    <w:rsid w:val="00A23BD0"/>
    <w:rsid w:val="00A26CBB"/>
    <w:rsid w:val="00A27EF0"/>
    <w:rsid w:val="00A33C80"/>
    <w:rsid w:val="00A34414"/>
    <w:rsid w:val="00A34A36"/>
    <w:rsid w:val="00A42361"/>
    <w:rsid w:val="00A438E6"/>
    <w:rsid w:val="00A472CE"/>
    <w:rsid w:val="00A472E2"/>
    <w:rsid w:val="00A50B20"/>
    <w:rsid w:val="00A51390"/>
    <w:rsid w:val="00A55B54"/>
    <w:rsid w:val="00A569D8"/>
    <w:rsid w:val="00A57569"/>
    <w:rsid w:val="00A60D13"/>
    <w:rsid w:val="00A63901"/>
    <w:rsid w:val="00A6482D"/>
    <w:rsid w:val="00A64E76"/>
    <w:rsid w:val="00A6732F"/>
    <w:rsid w:val="00A7223D"/>
    <w:rsid w:val="00A72745"/>
    <w:rsid w:val="00A74C4A"/>
    <w:rsid w:val="00A760B5"/>
    <w:rsid w:val="00A76EFC"/>
    <w:rsid w:val="00A85566"/>
    <w:rsid w:val="00A86712"/>
    <w:rsid w:val="00A87D50"/>
    <w:rsid w:val="00A909CC"/>
    <w:rsid w:val="00A91010"/>
    <w:rsid w:val="00A97F29"/>
    <w:rsid w:val="00AA4037"/>
    <w:rsid w:val="00AA702E"/>
    <w:rsid w:val="00AA7D26"/>
    <w:rsid w:val="00AB0964"/>
    <w:rsid w:val="00AB5011"/>
    <w:rsid w:val="00AC188F"/>
    <w:rsid w:val="00AC7368"/>
    <w:rsid w:val="00AD0278"/>
    <w:rsid w:val="00AD1125"/>
    <w:rsid w:val="00AD16B9"/>
    <w:rsid w:val="00AD1E72"/>
    <w:rsid w:val="00AD56DD"/>
    <w:rsid w:val="00AD5B40"/>
    <w:rsid w:val="00AE05F4"/>
    <w:rsid w:val="00AE377D"/>
    <w:rsid w:val="00AF0EBA"/>
    <w:rsid w:val="00AF266C"/>
    <w:rsid w:val="00AF4351"/>
    <w:rsid w:val="00AF5810"/>
    <w:rsid w:val="00B02C8A"/>
    <w:rsid w:val="00B036EE"/>
    <w:rsid w:val="00B130B8"/>
    <w:rsid w:val="00B17BC0"/>
    <w:rsid w:val="00B17FBD"/>
    <w:rsid w:val="00B221FD"/>
    <w:rsid w:val="00B2305D"/>
    <w:rsid w:val="00B2432A"/>
    <w:rsid w:val="00B27D06"/>
    <w:rsid w:val="00B3024C"/>
    <w:rsid w:val="00B306F7"/>
    <w:rsid w:val="00B315A6"/>
    <w:rsid w:val="00B31813"/>
    <w:rsid w:val="00B322A9"/>
    <w:rsid w:val="00B33365"/>
    <w:rsid w:val="00B3448C"/>
    <w:rsid w:val="00B44C6A"/>
    <w:rsid w:val="00B50F1B"/>
    <w:rsid w:val="00B54234"/>
    <w:rsid w:val="00B54F5D"/>
    <w:rsid w:val="00B57B36"/>
    <w:rsid w:val="00B57C98"/>
    <w:rsid w:val="00B57E6F"/>
    <w:rsid w:val="00B61486"/>
    <w:rsid w:val="00B61F0F"/>
    <w:rsid w:val="00B6208A"/>
    <w:rsid w:val="00B70558"/>
    <w:rsid w:val="00B81B39"/>
    <w:rsid w:val="00B84A90"/>
    <w:rsid w:val="00B85A62"/>
    <w:rsid w:val="00B8686D"/>
    <w:rsid w:val="00B874ED"/>
    <w:rsid w:val="00B91CD0"/>
    <w:rsid w:val="00B93F69"/>
    <w:rsid w:val="00BA5E35"/>
    <w:rsid w:val="00BB1DDC"/>
    <w:rsid w:val="00BC2F93"/>
    <w:rsid w:val="00BC30C9"/>
    <w:rsid w:val="00BC46B4"/>
    <w:rsid w:val="00BD077D"/>
    <w:rsid w:val="00BD4077"/>
    <w:rsid w:val="00BD7140"/>
    <w:rsid w:val="00BE14E4"/>
    <w:rsid w:val="00BE1EE1"/>
    <w:rsid w:val="00BE32A5"/>
    <w:rsid w:val="00BE3E58"/>
    <w:rsid w:val="00BE40A9"/>
    <w:rsid w:val="00BF0BAB"/>
    <w:rsid w:val="00BF205D"/>
    <w:rsid w:val="00BF2CE0"/>
    <w:rsid w:val="00BF3DF6"/>
    <w:rsid w:val="00BF4F8E"/>
    <w:rsid w:val="00C00B82"/>
    <w:rsid w:val="00C0135A"/>
    <w:rsid w:val="00C01616"/>
    <w:rsid w:val="00C0162B"/>
    <w:rsid w:val="00C01A6F"/>
    <w:rsid w:val="00C06761"/>
    <w:rsid w:val="00C068ED"/>
    <w:rsid w:val="00C208E9"/>
    <w:rsid w:val="00C226B3"/>
    <w:rsid w:val="00C22E0C"/>
    <w:rsid w:val="00C25D5F"/>
    <w:rsid w:val="00C26D7C"/>
    <w:rsid w:val="00C303EE"/>
    <w:rsid w:val="00C30856"/>
    <w:rsid w:val="00C31A21"/>
    <w:rsid w:val="00C345B1"/>
    <w:rsid w:val="00C3527C"/>
    <w:rsid w:val="00C37165"/>
    <w:rsid w:val="00C40142"/>
    <w:rsid w:val="00C40542"/>
    <w:rsid w:val="00C412EB"/>
    <w:rsid w:val="00C44100"/>
    <w:rsid w:val="00C47306"/>
    <w:rsid w:val="00C51094"/>
    <w:rsid w:val="00C520BD"/>
    <w:rsid w:val="00C52C3C"/>
    <w:rsid w:val="00C5315C"/>
    <w:rsid w:val="00C5716B"/>
    <w:rsid w:val="00C57182"/>
    <w:rsid w:val="00C57863"/>
    <w:rsid w:val="00C578D8"/>
    <w:rsid w:val="00C62259"/>
    <w:rsid w:val="00C62572"/>
    <w:rsid w:val="00C640AF"/>
    <w:rsid w:val="00C655FD"/>
    <w:rsid w:val="00C72AAD"/>
    <w:rsid w:val="00C73B56"/>
    <w:rsid w:val="00C73E26"/>
    <w:rsid w:val="00C75407"/>
    <w:rsid w:val="00C776AF"/>
    <w:rsid w:val="00C77826"/>
    <w:rsid w:val="00C77CFB"/>
    <w:rsid w:val="00C841C6"/>
    <w:rsid w:val="00C8512D"/>
    <w:rsid w:val="00C85C4C"/>
    <w:rsid w:val="00C870A8"/>
    <w:rsid w:val="00C94434"/>
    <w:rsid w:val="00C94C7E"/>
    <w:rsid w:val="00CA0D75"/>
    <w:rsid w:val="00CA1132"/>
    <w:rsid w:val="00CA1C95"/>
    <w:rsid w:val="00CA2BDF"/>
    <w:rsid w:val="00CA30BF"/>
    <w:rsid w:val="00CA4C44"/>
    <w:rsid w:val="00CA5A9C"/>
    <w:rsid w:val="00CA5AE0"/>
    <w:rsid w:val="00CA60A4"/>
    <w:rsid w:val="00CB007D"/>
    <w:rsid w:val="00CB0975"/>
    <w:rsid w:val="00CB4312"/>
    <w:rsid w:val="00CB5E29"/>
    <w:rsid w:val="00CB7D30"/>
    <w:rsid w:val="00CC4C20"/>
    <w:rsid w:val="00CC6E42"/>
    <w:rsid w:val="00CD005C"/>
    <w:rsid w:val="00CD2A16"/>
    <w:rsid w:val="00CD3517"/>
    <w:rsid w:val="00CD4690"/>
    <w:rsid w:val="00CD5FE2"/>
    <w:rsid w:val="00CE009F"/>
    <w:rsid w:val="00CE0C35"/>
    <w:rsid w:val="00CE1BC4"/>
    <w:rsid w:val="00CE3179"/>
    <w:rsid w:val="00CE5B3D"/>
    <w:rsid w:val="00CE7C68"/>
    <w:rsid w:val="00CF185B"/>
    <w:rsid w:val="00CF5212"/>
    <w:rsid w:val="00CF5708"/>
    <w:rsid w:val="00CF6398"/>
    <w:rsid w:val="00D003BF"/>
    <w:rsid w:val="00D02B4C"/>
    <w:rsid w:val="00D040C4"/>
    <w:rsid w:val="00D04EF8"/>
    <w:rsid w:val="00D11085"/>
    <w:rsid w:val="00D1559C"/>
    <w:rsid w:val="00D20AD1"/>
    <w:rsid w:val="00D20DFA"/>
    <w:rsid w:val="00D2323D"/>
    <w:rsid w:val="00D25592"/>
    <w:rsid w:val="00D2582C"/>
    <w:rsid w:val="00D26714"/>
    <w:rsid w:val="00D26DA9"/>
    <w:rsid w:val="00D274D5"/>
    <w:rsid w:val="00D330B4"/>
    <w:rsid w:val="00D424A2"/>
    <w:rsid w:val="00D43232"/>
    <w:rsid w:val="00D453FE"/>
    <w:rsid w:val="00D46329"/>
    <w:rsid w:val="00D46B7E"/>
    <w:rsid w:val="00D507BA"/>
    <w:rsid w:val="00D53ED1"/>
    <w:rsid w:val="00D5762F"/>
    <w:rsid w:val="00D57C84"/>
    <w:rsid w:val="00D6057D"/>
    <w:rsid w:val="00D61B59"/>
    <w:rsid w:val="00D711E2"/>
    <w:rsid w:val="00D71640"/>
    <w:rsid w:val="00D775B3"/>
    <w:rsid w:val="00D82D86"/>
    <w:rsid w:val="00D836C5"/>
    <w:rsid w:val="00D84338"/>
    <w:rsid w:val="00D84576"/>
    <w:rsid w:val="00D90651"/>
    <w:rsid w:val="00D93ADB"/>
    <w:rsid w:val="00DA02C6"/>
    <w:rsid w:val="00DA1364"/>
    <w:rsid w:val="00DA1399"/>
    <w:rsid w:val="00DA24C6"/>
    <w:rsid w:val="00DA4ADB"/>
    <w:rsid w:val="00DA4D7B"/>
    <w:rsid w:val="00DA6236"/>
    <w:rsid w:val="00DA7B97"/>
    <w:rsid w:val="00DB05E0"/>
    <w:rsid w:val="00DB4AB7"/>
    <w:rsid w:val="00DB5EDB"/>
    <w:rsid w:val="00DC08BA"/>
    <w:rsid w:val="00DC1B9E"/>
    <w:rsid w:val="00DC3D8B"/>
    <w:rsid w:val="00DC611C"/>
    <w:rsid w:val="00DC6198"/>
    <w:rsid w:val="00DD19B3"/>
    <w:rsid w:val="00DD271C"/>
    <w:rsid w:val="00DD5818"/>
    <w:rsid w:val="00DE264A"/>
    <w:rsid w:val="00DF5072"/>
    <w:rsid w:val="00E00CC0"/>
    <w:rsid w:val="00E016E3"/>
    <w:rsid w:val="00E02BAD"/>
    <w:rsid w:val="00E02D18"/>
    <w:rsid w:val="00E041E7"/>
    <w:rsid w:val="00E047A0"/>
    <w:rsid w:val="00E05F20"/>
    <w:rsid w:val="00E1238A"/>
    <w:rsid w:val="00E14538"/>
    <w:rsid w:val="00E153CF"/>
    <w:rsid w:val="00E158EC"/>
    <w:rsid w:val="00E159B5"/>
    <w:rsid w:val="00E15D86"/>
    <w:rsid w:val="00E16136"/>
    <w:rsid w:val="00E218DB"/>
    <w:rsid w:val="00E23CA1"/>
    <w:rsid w:val="00E25CCC"/>
    <w:rsid w:val="00E27138"/>
    <w:rsid w:val="00E30418"/>
    <w:rsid w:val="00E30902"/>
    <w:rsid w:val="00E32317"/>
    <w:rsid w:val="00E34B46"/>
    <w:rsid w:val="00E3636E"/>
    <w:rsid w:val="00E36BE2"/>
    <w:rsid w:val="00E409A8"/>
    <w:rsid w:val="00E41A08"/>
    <w:rsid w:val="00E41A66"/>
    <w:rsid w:val="00E45DAC"/>
    <w:rsid w:val="00E4741F"/>
    <w:rsid w:val="00E47D61"/>
    <w:rsid w:val="00E50C12"/>
    <w:rsid w:val="00E538BC"/>
    <w:rsid w:val="00E53B9A"/>
    <w:rsid w:val="00E54549"/>
    <w:rsid w:val="00E63771"/>
    <w:rsid w:val="00E644E1"/>
    <w:rsid w:val="00E65B91"/>
    <w:rsid w:val="00E67220"/>
    <w:rsid w:val="00E710F6"/>
    <w:rsid w:val="00E7209D"/>
    <w:rsid w:val="00E72EAD"/>
    <w:rsid w:val="00E74D09"/>
    <w:rsid w:val="00E77223"/>
    <w:rsid w:val="00E82A10"/>
    <w:rsid w:val="00E84A19"/>
    <w:rsid w:val="00E8528B"/>
    <w:rsid w:val="00E85B94"/>
    <w:rsid w:val="00E87066"/>
    <w:rsid w:val="00E90F95"/>
    <w:rsid w:val="00E92534"/>
    <w:rsid w:val="00E9263E"/>
    <w:rsid w:val="00E94589"/>
    <w:rsid w:val="00E94807"/>
    <w:rsid w:val="00E978D0"/>
    <w:rsid w:val="00EA24A2"/>
    <w:rsid w:val="00EA4613"/>
    <w:rsid w:val="00EA71D0"/>
    <w:rsid w:val="00EA7F91"/>
    <w:rsid w:val="00EB1523"/>
    <w:rsid w:val="00EB2E62"/>
    <w:rsid w:val="00EB6FB6"/>
    <w:rsid w:val="00EC0E49"/>
    <w:rsid w:val="00EC101F"/>
    <w:rsid w:val="00EC1D9F"/>
    <w:rsid w:val="00EC7D2E"/>
    <w:rsid w:val="00ED345B"/>
    <w:rsid w:val="00ED76A6"/>
    <w:rsid w:val="00ED77D9"/>
    <w:rsid w:val="00EE0131"/>
    <w:rsid w:val="00EE17B0"/>
    <w:rsid w:val="00EE4F48"/>
    <w:rsid w:val="00EE636B"/>
    <w:rsid w:val="00EF06D9"/>
    <w:rsid w:val="00EF0982"/>
    <w:rsid w:val="00EF195B"/>
    <w:rsid w:val="00EF39D4"/>
    <w:rsid w:val="00EF7163"/>
    <w:rsid w:val="00F03E2A"/>
    <w:rsid w:val="00F05F9C"/>
    <w:rsid w:val="00F06A09"/>
    <w:rsid w:val="00F06B25"/>
    <w:rsid w:val="00F13296"/>
    <w:rsid w:val="00F14AC0"/>
    <w:rsid w:val="00F1523F"/>
    <w:rsid w:val="00F15600"/>
    <w:rsid w:val="00F21BFE"/>
    <w:rsid w:val="00F24EB6"/>
    <w:rsid w:val="00F3049E"/>
    <w:rsid w:val="00F30C64"/>
    <w:rsid w:val="00F32BA2"/>
    <w:rsid w:val="00F32CDB"/>
    <w:rsid w:val="00F32F95"/>
    <w:rsid w:val="00F332EF"/>
    <w:rsid w:val="00F3348F"/>
    <w:rsid w:val="00F37280"/>
    <w:rsid w:val="00F41AAC"/>
    <w:rsid w:val="00F41EE4"/>
    <w:rsid w:val="00F51846"/>
    <w:rsid w:val="00F53623"/>
    <w:rsid w:val="00F565FE"/>
    <w:rsid w:val="00F63A70"/>
    <w:rsid w:val="00F63D8C"/>
    <w:rsid w:val="00F643E5"/>
    <w:rsid w:val="00F64DF4"/>
    <w:rsid w:val="00F66B9A"/>
    <w:rsid w:val="00F66E86"/>
    <w:rsid w:val="00F678CA"/>
    <w:rsid w:val="00F727B3"/>
    <w:rsid w:val="00F7534E"/>
    <w:rsid w:val="00F77035"/>
    <w:rsid w:val="00F82618"/>
    <w:rsid w:val="00F860B8"/>
    <w:rsid w:val="00F8769F"/>
    <w:rsid w:val="00F93134"/>
    <w:rsid w:val="00F93EDF"/>
    <w:rsid w:val="00F9635B"/>
    <w:rsid w:val="00FA1802"/>
    <w:rsid w:val="00FA21A6"/>
    <w:rsid w:val="00FA21D0"/>
    <w:rsid w:val="00FA5F5F"/>
    <w:rsid w:val="00FA624B"/>
    <w:rsid w:val="00FA7A2C"/>
    <w:rsid w:val="00FB2EB4"/>
    <w:rsid w:val="00FB4598"/>
    <w:rsid w:val="00FB5E05"/>
    <w:rsid w:val="00FB601C"/>
    <w:rsid w:val="00FB730C"/>
    <w:rsid w:val="00FC2695"/>
    <w:rsid w:val="00FC3E03"/>
    <w:rsid w:val="00FC3FC1"/>
    <w:rsid w:val="00FC6833"/>
    <w:rsid w:val="00FC789F"/>
    <w:rsid w:val="00FD1ABE"/>
    <w:rsid w:val="00FE163B"/>
    <w:rsid w:val="00FE3882"/>
    <w:rsid w:val="00FE62B4"/>
    <w:rsid w:val="00FF0563"/>
    <w:rsid w:val="00FF0B5D"/>
    <w:rsid w:val="00FF78D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ind w:left="2880" w:hanging="360"/>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E45DAC"/>
    <w:rPr>
      <w:color w:val="808080"/>
    </w:rPr>
  </w:style>
  <w:style w:type="character" w:styleId="Menzionenonrisolta">
    <w:name w:val="Unresolved Mention"/>
    <w:basedOn w:val="Carpredefinitoparagrafo"/>
    <w:uiPriority w:val="99"/>
    <w:semiHidden/>
    <w:unhideWhenUsed/>
    <w:rsid w:val="0012625C"/>
    <w:rPr>
      <w:color w:val="605E5C"/>
      <w:shd w:val="clear" w:color="auto" w:fill="E1DFDD"/>
    </w:rPr>
  </w:style>
  <w:style w:type="character" w:customStyle="1" w:styleId="mord">
    <w:name w:val="mord"/>
    <w:basedOn w:val="Carpredefinitoparagrafo"/>
    <w:rsid w:val="007531B3"/>
  </w:style>
  <w:style w:type="character" w:customStyle="1" w:styleId="mrel">
    <w:name w:val="mrel"/>
    <w:basedOn w:val="Carpredefinitoparagrafo"/>
    <w:rsid w:val="007531B3"/>
  </w:style>
  <w:style w:type="character" w:customStyle="1" w:styleId="vlist-s">
    <w:name w:val="vlist-s"/>
    <w:basedOn w:val="Carpredefinitoparagrafo"/>
    <w:rsid w:val="007531B3"/>
  </w:style>
  <w:style w:type="character" w:customStyle="1" w:styleId="mopen">
    <w:name w:val="mopen"/>
    <w:basedOn w:val="Carpredefinitoparagrafo"/>
    <w:rsid w:val="007531B3"/>
  </w:style>
  <w:style w:type="character" w:customStyle="1" w:styleId="mclose">
    <w:name w:val="mclose"/>
    <w:basedOn w:val="Carpredefinitoparagrafo"/>
    <w:rsid w:val="007531B3"/>
  </w:style>
  <w:style w:type="character" w:customStyle="1" w:styleId="delimsizing">
    <w:name w:val="delimsizing"/>
    <w:basedOn w:val="Carpredefinitoparagrafo"/>
    <w:rsid w:val="007531B3"/>
  </w:style>
  <w:style w:type="character" w:customStyle="1" w:styleId="mbin">
    <w:name w:val="mbin"/>
    <w:basedOn w:val="Carpredefinitoparagrafo"/>
    <w:rsid w:val="00753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6356</TotalTime>
  <Pages>6</Pages>
  <Words>3648</Words>
  <Characters>20799</Characters>
  <Application>Microsoft Office Word</Application>
  <DocSecurity>0</DocSecurity>
  <Lines>173</Lines>
  <Paragraphs>48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Marco Barozzi</cp:lastModifiedBy>
  <cp:revision>691</cp:revision>
  <cp:lastPrinted>2015-05-12T18:31:00Z</cp:lastPrinted>
  <dcterms:created xsi:type="dcterms:W3CDTF">2024-02-20T10:29:00Z</dcterms:created>
  <dcterms:modified xsi:type="dcterms:W3CDTF">2026-04-15T12:31:00Z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