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Valerio Cozzani, Bruno Fabiano, Genserik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2037A916" w:rsidR="00E978D0" w:rsidRPr="00B57B36" w:rsidRDefault="00920748" w:rsidP="00920748">
      <w:pPr>
        <w:pStyle w:val="CETTitle"/>
      </w:pPr>
      <w:r>
        <w:t>Developing a risk</w:t>
      </w:r>
      <w:r w:rsidR="00DF1885">
        <w:t xml:space="preserve"> </w:t>
      </w:r>
      <w:r>
        <w:t xml:space="preserve">index </w:t>
      </w:r>
      <w:r w:rsidR="00D25E40">
        <w:br/>
      </w:r>
      <w:r>
        <w:t>for pilot and research-scale process operations</w:t>
      </w:r>
    </w:p>
    <w:p w14:paraId="0488FED2" w14:textId="57CC49A7" w:rsidR="00B57E6F" w:rsidRPr="00B57B36" w:rsidRDefault="00920748" w:rsidP="00B57E6F">
      <w:pPr>
        <w:pStyle w:val="CETAuthors"/>
      </w:pPr>
      <w:r>
        <w:t>Paolo Mocellin</w:t>
      </w:r>
      <w:r w:rsidR="00B57E6F" w:rsidRPr="00B57B36">
        <w:rPr>
          <w:vertAlign w:val="superscript"/>
        </w:rPr>
        <w:t>a</w:t>
      </w:r>
      <w:r>
        <w:rPr>
          <w:vertAlign w:val="superscript"/>
        </w:rPr>
        <w:t>,b,*</w:t>
      </w:r>
      <w:r w:rsidR="00B57E6F" w:rsidRPr="00B57B36">
        <w:t xml:space="preserve">, </w:t>
      </w:r>
      <w:r>
        <w:t>Nicola Bernareggi</w:t>
      </w:r>
      <w:r>
        <w:rPr>
          <w:vertAlign w:val="superscript"/>
        </w:rPr>
        <w:t>c</w:t>
      </w:r>
      <w:r w:rsidR="00B57E6F" w:rsidRPr="00B57B36">
        <w:t>,</w:t>
      </w:r>
      <w:r>
        <w:t xml:space="preserve"> Carlo Pirola</w:t>
      </w:r>
      <w:r>
        <w:rPr>
          <w:vertAlign w:val="superscript"/>
        </w:rPr>
        <w:t>c</w:t>
      </w:r>
    </w:p>
    <w:p w14:paraId="6B2D21B3" w14:textId="0103DAF4" w:rsidR="00B57E6F" w:rsidRPr="00B57B36" w:rsidRDefault="00B57E6F" w:rsidP="00B57E6F">
      <w:pPr>
        <w:pStyle w:val="CETAddress"/>
      </w:pPr>
      <w:r w:rsidRPr="00B57B36">
        <w:rPr>
          <w:vertAlign w:val="superscript"/>
        </w:rPr>
        <w:t>a</w:t>
      </w:r>
      <w:r w:rsidR="00920748">
        <w:rPr>
          <w:vertAlign w:val="superscript"/>
        </w:rPr>
        <w:t xml:space="preserve"> </w:t>
      </w:r>
      <w:r w:rsidR="00920748">
        <w:t xml:space="preserve">Dipartimento di Ingegneria Industriale, Università degli Studi di Padova. Via Marzolo 9, Padova, Italia. </w:t>
      </w:r>
    </w:p>
    <w:p w14:paraId="27816338" w14:textId="0BF372AC" w:rsidR="00920748" w:rsidRDefault="00B57E6F" w:rsidP="00920748">
      <w:pPr>
        <w:pStyle w:val="CETAddress"/>
      </w:pPr>
      <w:r w:rsidRPr="00B57B36">
        <w:rPr>
          <w:vertAlign w:val="superscript"/>
        </w:rPr>
        <w:t>b</w:t>
      </w:r>
      <w:r w:rsidR="00920748">
        <w:rPr>
          <w:vertAlign w:val="superscript"/>
        </w:rPr>
        <w:t xml:space="preserve"> </w:t>
      </w:r>
      <w:r w:rsidR="00920748" w:rsidRPr="00920748">
        <w:t xml:space="preserve">Dipartimento di Ingegneria </w:t>
      </w:r>
      <w:r w:rsidR="00920748">
        <w:t>Civile, Edile e Ambientale</w:t>
      </w:r>
      <w:r w:rsidR="00920748" w:rsidRPr="00920748">
        <w:t>, Università degli Studi di Padova. Via Marzolo 9, Padova, Italia.</w:t>
      </w:r>
    </w:p>
    <w:p w14:paraId="29C81F28" w14:textId="06D5340A" w:rsidR="00920748" w:rsidRPr="00B57B36" w:rsidRDefault="00920748" w:rsidP="00920748">
      <w:pPr>
        <w:pStyle w:val="CETAddress"/>
      </w:pPr>
      <w:r>
        <w:rPr>
          <w:vertAlign w:val="superscript"/>
        </w:rPr>
        <w:t xml:space="preserve">c </w:t>
      </w:r>
      <w:r>
        <w:t xml:space="preserve">Dipartimento di Chimica, Università degli Studi di Milano. Via Golgi 19, Milano, Italia. </w:t>
      </w:r>
    </w:p>
    <w:p w14:paraId="73F1267A" w14:textId="11C9E951" w:rsidR="00B57E6F" w:rsidRPr="00B57B36" w:rsidRDefault="00920748" w:rsidP="00920748">
      <w:pPr>
        <w:pStyle w:val="CETAddress"/>
      </w:pPr>
      <w:hyperlink r:id="rId10" w:history="1">
        <w:r w:rsidRPr="00634613">
          <w:rPr>
            <w:rStyle w:val="Hyperlink"/>
          </w:rPr>
          <w:t>paolo.mocellin@unipd.it</w:t>
        </w:r>
      </w:hyperlink>
      <w:r>
        <w:t xml:space="preserve"> </w:t>
      </w:r>
    </w:p>
    <w:p w14:paraId="190FDF07" w14:textId="77777777" w:rsidR="00740FF5" w:rsidRDefault="00740FF5" w:rsidP="00A55171">
      <w:pPr>
        <w:pStyle w:val="CETBodytext"/>
        <w:rPr>
          <w:lang w:val="en-GB"/>
        </w:rPr>
      </w:pPr>
      <w:bookmarkStart w:id="1" w:name="_Hlk495475023"/>
    </w:p>
    <w:p w14:paraId="6A89612C" w14:textId="21FB84AF" w:rsidR="00D0542F" w:rsidRPr="00A55171" w:rsidRDefault="00740FF5" w:rsidP="00A55171">
      <w:pPr>
        <w:pStyle w:val="CETBodytext"/>
      </w:pPr>
      <w:r w:rsidRPr="00740FF5">
        <w:rPr>
          <w:lang w:val="en-GB"/>
        </w:rPr>
        <w:t xml:space="preserve">Pilot and research-scale process facilities pose safety challenges distinct from industrial plants, due to dynamic configurations, </w:t>
      </w:r>
      <w:r w:rsidR="00646D84">
        <w:rPr>
          <w:lang w:val="en-GB"/>
        </w:rPr>
        <w:t>novelty and data uncertainty</w:t>
      </w:r>
      <w:r w:rsidRPr="00740FF5">
        <w:rPr>
          <w:lang w:val="en-GB"/>
        </w:rPr>
        <w:t xml:space="preserve">, and a strong reliance on non-routine operations and human intervention; consequently, traditional process safety methods, while essential, are not always ideal for rapid screening and comparison in academic R&amp;D settings. This work proposes a structured safety index for pilot and </w:t>
      </w:r>
      <w:r w:rsidR="00551608">
        <w:rPr>
          <w:lang w:val="en-GB"/>
        </w:rPr>
        <w:t>research</w:t>
      </w:r>
      <w:r w:rsidRPr="00740FF5">
        <w:rPr>
          <w:lang w:val="en-GB"/>
        </w:rPr>
        <w:t xml:space="preserve">-scale operations, integrating four complementary dimensions: process and substance hazards, design and mechanical integrity, operations and human factors, and technical barriers and emergency readiness. The index adopts a discrete scoring system and is intended for comparative prioritization rather than predictive risk quantification. </w:t>
      </w:r>
      <w:r w:rsidR="00D755FC" w:rsidRPr="00D755FC">
        <w:rPr>
          <w:lang w:val="en-GB"/>
        </w:rPr>
        <w:t>The methodology is demonstrated on a pilot-scale Fischer–Tropsch unit, showing that configuration-dependent and operational factors dominate the risk profile, while intrinsic hazards are partially offset by limited inventories and data maturity. The approach supports transparent safety management and helps target follow-up analyses. Future work will focus on broader validation across different pilot facilities and experimental campaigns, as well as on integrating the index with quantitative risk assessment to evaluate release consequences and potential escalation scenarios</w:t>
      </w:r>
      <w:r w:rsidR="00A55171">
        <w:t>.</w:t>
      </w:r>
    </w:p>
    <w:bookmarkEnd w:id="1"/>
    <w:p w14:paraId="476B2F2E" w14:textId="77777777" w:rsidR="00600535" w:rsidRPr="00A55171" w:rsidRDefault="00600535" w:rsidP="00600535">
      <w:pPr>
        <w:pStyle w:val="CETHeading1"/>
        <w:rPr>
          <w:lang w:val="en-GB"/>
        </w:rPr>
      </w:pPr>
      <w:r w:rsidRPr="00A55171">
        <w:rPr>
          <w:lang w:val="en-GB"/>
        </w:rPr>
        <w:t>Introduction</w:t>
      </w:r>
    </w:p>
    <w:p w14:paraId="23F86FEF" w14:textId="724982ED" w:rsidR="00600535" w:rsidRDefault="00E67AA9" w:rsidP="00600535">
      <w:pPr>
        <w:pStyle w:val="CETBodytext"/>
      </w:pPr>
      <w:r w:rsidRPr="00E67AA9">
        <w:t xml:space="preserve">Pilot plants and </w:t>
      </w:r>
      <w:r w:rsidR="00551608">
        <w:t>research</w:t>
      </w:r>
      <w:r w:rsidRPr="00E67AA9">
        <w:t>-scale operations are essential enablers of process development, innovation, and scale-up in chemical engineering. However, these environments present unique safety challenges due to the coexistence of hazardous materials, evolving experimental procedures, and dynamic configurations, which are not always adequately addressed by traditional process safety frameworks developed for large-scale industrial facilities</w:t>
      </w:r>
      <w:r w:rsidR="000B7D2E">
        <w:t xml:space="preserve"> </w:t>
      </w:r>
      <w:r w:rsidR="000B7D2E" w:rsidRPr="000B7D2E">
        <w:t>(Abdul Aziz et al., 2012; CCPS, 2023)</w:t>
      </w:r>
      <w:r w:rsidRPr="00E67AA9">
        <w:t>. As recent studies highlight, effective risk assessment and mitigation strategies in academic research environments are increasingly critical to safeguard personnel, facilities, and the surrounding environment while maintaining experimental</w:t>
      </w:r>
      <w:r w:rsidR="002C2CC7">
        <w:t xml:space="preserve"> scientific</w:t>
      </w:r>
      <w:r w:rsidRPr="00E67AA9">
        <w:t xml:space="preserve"> productivity and flexibility</w:t>
      </w:r>
      <w:r>
        <w:t xml:space="preserve"> </w:t>
      </w:r>
      <w:r w:rsidR="000B7D2E">
        <w:t>(Gasparotto et al., 2024; Wu et al., 2025).</w:t>
      </w:r>
    </w:p>
    <w:p w14:paraId="08774F0C" w14:textId="5DF64FBD" w:rsidR="00A55171" w:rsidRDefault="00A55171" w:rsidP="00600535">
      <w:pPr>
        <w:pStyle w:val="CETBodytext"/>
      </w:pPr>
      <w:r w:rsidRPr="00A55171">
        <w:t>Traditional risk assessment methods such as Hazard and Operability Studies (HAZOP), Layers of Protection Analysis (LOPA), and other systematic techniques have been widely applied in the chemical process industry for decades to identify hazards and quantify risk levels for large, steady-state processes</w:t>
      </w:r>
      <w:r>
        <w:t xml:space="preserve"> </w:t>
      </w:r>
      <w:r w:rsidR="000B7D2E">
        <w:t>(</w:t>
      </w:r>
      <w:r w:rsidR="000B7D2E" w:rsidRPr="000B7D2E">
        <w:t>Ab Rahim et al., 2024</w:t>
      </w:r>
      <w:r w:rsidR="000B7D2E">
        <w:t xml:space="preserve">). </w:t>
      </w:r>
    </w:p>
    <w:p w14:paraId="5CDF1535" w14:textId="2834D105" w:rsidR="00A55171" w:rsidRDefault="00A55171" w:rsidP="00600535">
      <w:pPr>
        <w:pStyle w:val="CETBodytext"/>
      </w:pPr>
      <w:r w:rsidRPr="00A55171">
        <w:t xml:space="preserve">However, in the context of pilot and research-scale operations, frequent reconfiguration of </w:t>
      </w:r>
      <w:r w:rsidR="002C2CC7">
        <w:t xml:space="preserve">laboratories or </w:t>
      </w:r>
      <w:r w:rsidRPr="00A55171">
        <w:t xml:space="preserve">equipment, transient operating conditions, and mixed experience levels among </w:t>
      </w:r>
      <w:r w:rsidR="002C2CC7">
        <w:t>users</w:t>
      </w:r>
      <w:r w:rsidRPr="00A55171">
        <w:t xml:space="preserve"> introduce</w:t>
      </w:r>
      <w:r w:rsidR="000B7D2E">
        <w:t xml:space="preserve"> </w:t>
      </w:r>
      <w:r w:rsidRPr="00A55171">
        <w:t xml:space="preserve">complexities that are often poorly captured by </w:t>
      </w:r>
      <w:r w:rsidR="00E44B7A">
        <w:t xml:space="preserve">traditional approaches tailored to the industrial scale </w:t>
      </w:r>
      <w:r w:rsidR="000B7D2E">
        <w:t>(Abdul Aziz et al., 2012; Gasparotto et al., 2024)</w:t>
      </w:r>
      <w:r>
        <w:t>.</w:t>
      </w:r>
      <w:r w:rsidR="00A04E78">
        <w:t xml:space="preserve"> </w:t>
      </w:r>
      <w:r w:rsidRPr="00A55171">
        <w:t>Furthermore, laboratory and pilot environments often fall outside the explicit scope of regulatory process safety standards, which were originally formulated for production facilities, underscoring the need for tailored approaches that can account for the specific characteristics of experimental settings</w:t>
      </w:r>
      <w:r>
        <w:t xml:space="preserve"> </w:t>
      </w:r>
      <w:r w:rsidR="000B7D2E">
        <w:t>(Gasparotto et al., 2024)</w:t>
      </w:r>
      <w:r>
        <w:t>.</w:t>
      </w:r>
    </w:p>
    <w:p w14:paraId="3EBA6857" w14:textId="352E4B4D" w:rsidR="00A55171" w:rsidRDefault="00A55171" w:rsidP="00600535">
      <w:pPr>
        <w:pStyle w:val="CETBodytext"/>
      </w:pPr>
      <w:r w:rsidRPr="00A55171">
        <w:t>Recent literature emphasizes that risk assessment in labs and pilot plants must consider not only the presence of hazardous substances and processes, but also how changes in experimental setup and configuration impact risk profiles over time</w:t>
      </w:r>
      <w:r>
        <w:t xml:space="preserve"> </w:t>
      </w:r>
      <w:r w:rsidR="00813A5F">
        <w:t>(Gasparotto et al., 2024; Wu et al., 2025)</w:t>
      </w:r>
      <w:r>
        <w:t xml:space="preserve">. </w:t>
      </w:r>
      <w:r w:rsidRPr="00A55171">
        <w:t xml:space="preserve">Moreover, the use of structured tools such as checklists and qualitative screening indices is acknowledged as a valuable first layer in comprehensive safety </w:t>
      </w:r>
      <w:r w:rsidRPr="00A55171">
        <w:lastRenderedPageBreak/>
        <w:t>evaluation, particularly for contexts where quantitative data may be sparse or evolving</w:t>
      </w:r>
      <w:r>
        <w:t xml:space="preserve"> </w:t>
      </w:r>
      <w:r w:rsidR="000B7D2E" w:rsidRPr="000B7D2E">
        <w:t>(Khan and Amyotte, 200</w:t>
      </w:r>
      <w:r w:rsidR="00661FD7">
        <w:t>8</w:t>
      </w:r>
      <w:r w:rsidR="000B7D2E" w:rsidRPr="000B7D2E">
        <w:t>; CCPS, 2023</w:t>
      </w:r>
      <w:r w:rsidR="000B7D2E">
        <w:t>)</w:t>
      </w:r>
      <w:r>
        <w:t>.</w:t>
      </w:r>
    </w:p>
    <w:p w14:paraId="36ACE01C" w14:textId="7BEBE221" w:rsidR="00444EC7" w:rsidRPr="00444EC7" w:rsidRDefault="00E46006" w:rsidP="00600535">
      <w:pPr>
        <w:pStyle w:val="CETBodytext"/>
        <w:rPr>
          <w:color w:val="EE0000"/>
        </w:rPr>
      </w:pPr>
      <w:r w:rsidRPr="00E46006">
        <w:t>Building on these insights, this work proposes a composite safety index for pilot and research-scale operations integrating intrinsic hazards, configuration and mechanical integrity, human and organizational factors, and technical barriers and emergency readiness. The methodology aims to bridge traditional industry-oriented safety assessment approaches with the needs of academic research facilities, providing a transparent and repeatable framework for comparative safety characterization. From a practical perspective, the index acts as a managerial decision-support tool, enabling laboratory managers to rapidly identify critical configurations, prioritize mitigation actions, and support planning of experimental campaigns under evolving condition</w:t>
      </w:r>
      <w:r>
        <w:t>s.</w:t>
      </w:r>
    </w:p>
    <w:p w14:paraId="5741900F" w14:textId="29EBCC26" w:rsidR="00453E24" w:rsidRDefault="00920748" w:rsidP="00453E24">
      <w:pPr>
        <w:pStyle w:val="CETHeading1"/>
      </w:pPr>
      <w:r>
        <w:t>Methodology</w:t>
      </w:r>
    </w:p>
    <w:p w14:paraId="0636B784" w14:textId="04235D3A" w:rsidR="00453E24" w:rsidRDefault="00920748" w:rsidP="00453E24">
      <w:pPr>
        <w:pStyle w:val="CETheadingx"/>
      </w:pPr>
      <w:r>
        <w:t>Rationale of an index-based approach for pilot and research-scale plants</w:t>
      </w:r>
    </w:p>
    <w:p w14:paraId="5CBF722F" w14:textId="3B177C66" w:rsidR="00DB0245" w:rsidRDefault="00DB0245" w:rsidP="00DB0245">
      <w:pPr>
        <w:pStyle w:val="CETBodytext"/>
      </w:pPr>
      <w:r>
        <w:t xml:space="preserve">Pilot plants and </w:t>
      </w:r>
      <w:r w:rsidR="00551608">
        <w:t>research</w:t>
      </w:r>
      <w:r>
        <w:t>-scale</w:t>
      </w:r>
      <w:r w:rsidR="006D584A">
        <w:t xml:space="preserve"> </w:t>
      </w:r>
      <w:r>
        <w:t>facilities are essential in academic R&amp;D because they enable process development under flexible conditions. Their risk structure differs from industrial plants: experiments require frequent changes to equipment and setpoints, operations are often non-routine and manually intensive, and hazard knowledge may be incomplete or evolve during campaigns. As a result, deviations can arise not only from intrinsic process hazards, but also from configuration dynamics, interface management, and typical university constraints (mixed-experience teams, turnover, shared spaces).</w:t>
      </w:r>
    </w:p>
    <w:p w14:paraId="21178681" w14:textId="77777777" w:rsidR="00DB0245" w:rsidRDefault="00DB0245" w:rsidP="00DB0245">
      <w:pPr>
        <w:pStyle w:val="CETBodytext"/>
      </w:pPr>
      <w:r>
        <w:t>Classical tools such as HAZOP, LOPA, and quantitative risk analysis remain fundamental, but applying them systematically to every experimental run is rarely feasible in academic laboratories. This may lead to uneven assessment depth and limited comparability between campaigns or configurations.</w:t>
      </w:r>
    </w:p>
    <w:p w14:paraId="41367DB4" w14:textId="0C1924D9" w:rsidR="00920748" w:rsidRDefault="00DB0245" w:rsidP="00DB0245">
      <w:pPr>
        <w:pStyle w:val="CETBodytext"/>
      </w:pPr>
      <w:r>
        <w:t>To address this need, this work proposes an index-based methodology for rapid, repeatable screening of safety conditions in pilot and laboratory-scale R&amp;D operations. The index complements detailed studies by supporting prioritization and comparison, and by indicating when deeper analyses (e.g., consequence modelling or QRA) are warranted</w:t>
      </w:r>
      <w:r w:rsidR="00012667">
        <w:t>.</w:t>
      </w:r>
    </w:p>
    <w:p w14:paraId="18BAFA6F" w14:textId="53F9A36A" w:rsidR="00453E24" w:rsidRPr="00B57B36" w:rsidRDefault="00920748" w:rsidP="00453E24">
      <w:pPr>
        <w:pStyle w:val="CETheadingx"/>
      </w:pPr>
      <w:r>
        <w:t>Overall structure of the safety index</w:t>
      </w:r>
    </w:p>
    <w:p w14:paraId="117FB25F" w14:textId="69B8C839" w:rsidR="00920748" w:rsidRDefault="00A1210D" w:rsidP="00453E24">
      <w:pPr>
        <w:pStyle w:val="CETBodytext"/>
        <w:rPr>
          <w:lang w:val="en-GB"/>
        </w:rPr>
      </w:pPr>
      <w:r w:rsidRPr="00A1210D">
        <w:rPr>
          <w:lang w:val="en-GB"/>
        </w:rPr>
        <w:t>The proposed safety index is</w:t>
      </w:r>
      <w:r w:rsidR="00247E82">
        <w:rPr>
          <w:lang w:val="en-GB"/>
        </w:rPr>
        <w:t xml:space="preserve"> </w:t>
      </w:r>
      <w:r w:rsidRPr="00A1210D">
        <w:rPr>
          <w:lang w:val="en-GB"/>
        </w:rPr>
        <w:t>structured into four main categories, each representing a distinct and complementary dimension of risk</w:t>
      </w:r>
      <w:r>
        <w:rPr>
          <w:lang w:val="en-GB"/>
        </w:rPr>
        <w:t xml:space="preserve"> (Figure </w:t>
      </w:r>
      <w:r w:rsidR="00DB0245">
        <w:rPr>
          <w:lang w:val="en-GB"/>
        </w:rPr>
        <w:t>1</w:t>
      </w:r>
      <w:r>
        <w:rPr>
          <w:lang w:val="en-GB"/>
        </w:rPr>
        <w:t xml:space="preserve">). </w:t>
      </w:r>
    </w:p>
    <w:p w14:paraId="78A0DA19" w14:textId="2D2CBF16" w:rsidR="00431AF6" w:rsidRPr="00431AF6" w:rsidRDefault="0083024A" w:rsidP="00431AF6">
      <w:pPr>
        <w:tabs>
          <w:tab w:val="clear" w:pos="7100"/>
        </w:tabs>
        <w:spacing w:before="100" w:beforeAutospacing="1" w:after="100" w:afterAutospacing="1" w:line="240" w:lineRule="auto"/>
        <w:jc w:val="center"/>
        <w:rPr>
          <w:rFonts w:ascii="Times New Roman" w:hAnsi="Times New Roman"/>
          <w:sz w:val="24"/>
          <w:szCs w:val="24"/>
          <w:lang w:val="it-IT" w:eastAsia="it-IT"/>
        </w:rPr>
      </w:pPr>
      <w:r w:rsidRPr="0083024A">
        <w:rPr>
          <w:rFonts w:ascii="Times New Roman" w:hAnsi="Times New Roman"/>
          <w:noProof/>
          <w:sz w:val="24"/>
          <w:szCs w:val="24"/>
          <w:lang w:val="it-IT" w:eastAsia="it-IT"/>
        </w:rPr>
        <w:drawing>
          <wp:inline distT="0" distB="0" distL="0" distR="0" wp14:anchorId="28AB8C04" wp14:editId="424A4BF5">
            <wp:extent cx="4076700" cy="2245612"/>
            <wp:effectExtent l="0" t="0" r="0" b="2540"/>
            <wp:docPr id="1526151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51687" name=""/>
                    <pic:cNvPicPr/>
                  </pic:nvPicPr>
                  <pic:blipFill rotWithShape="1">
                    <a:blip r:embed="rId11"/>
                    <a:srcRect t="7167" b="10208"/>
                    <a:stretch>
                      <a:fillRect/>
                    </a:stretch>
                  </pic:blipFill>
                  <pic:spPr bwMode="auto">
                    <a:xfrm>
                      <a:off x="0" y="0"/>
                      <a:ext cx="4076700" cy="2245612"/>
                    </a:xfrm>
                    <a:prstGeom prst="rect">
                      <a:avLst/>
                    </a:prstGeom>
                    <a:ln>
                      <a:noFill/>
                    </a:ln>
                    <a:extLst>
                      <a:ext uri="{53640926-AAD7-44D8-BBD7-CCE9431645EC}">
                        <a14:shadowObscured xmlns:a14="http://schemas.microsoft.com/office/drawing/2010/main"/>
                      </a:ext>
                    </a:extLst>
                  </pic:spPr>
                </pic:pic>
              </a:graphicData>
            </a:graphic>
          </wp:inline>
        </w:drawing>
      </w:r>
    </w:p>
    <w:p w14:paraId="677FF8B1" w14:textId="68D42B3E" w:rsidR="00431AF6" w:rsidRPr="00BD077D" w:rsidRDefault="00431AF6" w:rsidP="00431AF6">
      <w:pPr>
        <w:pStyle w:val="CETCaption"/>
      </w:pPr>
      <w:r w:rsidRPr="00EE7708">
        <w:rPr>
          <w:rStyle w:val="CETCaptionCarattere"/>
          <w:i/>
        </w:rPr>
        <w:t xml:space="preserve">Figure </w:t>
      </w:r>
      <w:r w:rsidR="00EE7708" w:rsidRPr="00EE7708">
        <w:rPr>
          <w:rStyle w:val="CETCaptionCarattere"/>
          <w:i/>
        </w:rPr>
        <w:t>1</w:t>
      </w:r>
      <w:r w:rsidRPr="00EE7708">
        <w:rPr>
          <w:rStyle w:val="CETCaptionCarattere"/>
          <w:i/>
        </w:rPr>
        <w:t xml:space="preserve">: </w:t>
      </w:r>
      <w:r w:rsidR="00EE7708" w:rsidRPr="00EE7708">
        <w:rPr>
          <w:rStyle w:val="CETCaptionCarattere"/>
          <w:i/>
        </w:rPr>
        <w:t>Structure of the safety index for pilot and research-scale operations, highlighting the four complementary risk dimensions (C1–C4) and underlying sub-indices used for scoring and aggregation.</w:t>
      </w:r>
      <w:r w:rsidRPr="00BD077D">
        <w:t xml:space="preserve"> </w:t>
      </w:r>
    </w:p>
    <w:p w14:paraId="43E05F11" w14:textId="36DF3024" w:rsidR="00920748" w:rsidRDefault="00D63B44" w:rsidP="00453E24">
      <w:pPr>
        <w:pStyle w:val="CETBodytext"/>
        <w:rPr>
          <w:lang w:val="en-GB"/>
        </w:rPr>
      </w:pPr>
      <w:r w:rsidRPr="00D63B44">
        <w:rPr>
          <w:lang w:val="en-GB"/>
        </w:rPr>
        <w:t xml:space="preserve">C1 – </w:t>
      </w:r>
      <w:r w:rsidRPr="00D63B44">
        <w:rPr>
          <w:i/>
          <w:iCs/>
          <w:lang w:val="en-GB"/>
        </w:rPr>
        <w:t>Process and substance hazards</w:t>
      </w:r>
      <w:r w:rsidRPr="00D63B44">
        <w:rPr>
          <w:lang w:val="en-GB"/>
        </w:rPr>
        <w:t xml:space="preserve"> covers the intrinsic hazard potential of materials and reactions (flammability/toxicity/corrosivity/instability), reaction energetics and incompatibilities, operating severity, and inventories/hold-up, including R&amp;D-specific uncertainty (incomplete kinetics/thermophysical data, evolving chemistry, unvalidated operating windows). Unlike industrial plants—typically bounded by well-defined safe operating limits—pilot and research operations often face data gaps and changing conditions that can rapidly alter credible scenarios even at small scale</w:t>
      </w:r>
      <w:r>
        <w:rPr>
          <w:lang w:val="en-GB"/>
        </w:rPr>
        <w:t>.</w:t>
      </w:r>
    </w:p>
    <w:p w14:paraId="7D05D9D3" w14:textId="0BD14887" w:rsidR="00D63B44" w:rsidRDefault="00D63B44" w:rsidP="00453E24">
      <w:pPr>
        <w:pStyle w:val="CETBodytext"/>
        <w:rPr>
          <w:lang w:val="en-GB"/>
        </w:rPr>
      </w:pPr>
      <w:r w:rsidRPr="00D63B44">
        <w:rPr>
          <w:lang w:val="en-GB"/>
        </w:rPr>
        <w:t xml:space="preserve">C2 – </w:t>
      </w:r>
      <w:r w:rsidRPr="00D63B44">
        <w:rPr>
          <w:i/>
          <w:iCs/>
          <w:lang w:val="en-GB"/>
        </w:rPr>
        <w:t>Design, modifications, and mechanical integrity</w:t>
      </w:r>
      <w:r w:rsidRPr="00D63B44">
        <w:rPr>
          <w:lang w:val="en-GB"/>
        </w:rPr>
        <w:t xml:space="preserve"> addresses configuration and integrity of the experimental system, emphasizing pilot/lab drivers such as modular/temporary assemblies, frequent reconfiguration, </w:t>
      </w:r>
      <w:r w:rsidRPr="00D63B44">
        <w:rPr>
          <w:lang w:val="en-GB"/>
        </w:rPr>
        <w:lastRenderedPageBreak/>
        <w:t xml:space="preserve">interface diversity (adapters, hoses, non-standard connections), evolving </w:t>
      </w:r>
      <w:r w:rsidR="00B006B5">
        <w:rPr>
          <w:lang w:val="en-GB"/>
        </w:rPr>
        <w:t>configurations</w:t>
      </w:r>
      <w:r w:rsidRPr="00D63B44">
        <w:rPr>
          <w:lang w:val="en-GB"/>
        </w:rPr>
        <w:t>/setpoints, and relief/venting provisions. Compared to industrial facilities with fixed piping and institutionalized mechanical-integrity/MoC practices, pilot plants rely more on temporary lines and repeated connect/disconnect cycles, increasing mis-connection and loss-of-containment susceptibility</w:t>
      </w:r>
      <w:r>
        <w:rPr>
          <w:lang w:val="en-GB"/>
        </w:rPr>
        <w:t>.</w:t>
      </w:r>
    </w:p>
    <w:p w14:paraId="2AD1F62D" w14:textId="7721CE67" w:rsidR="00D63B44" w:rsidRDefault="00D63B44" w:rsidP="00453E24">
      <w:pPr>
        <w:pStyle w:val="CETBodytext"/>
        <w:rPr>
          <w:lang w:val="en-GB"/>
        </w:rPr>
      </w:pPr>
      <w:r w:rsidRPr="00D63B44">
        <w:rPr>
          <w:lang w:val="en-GB"/>
        </w:rPr>
        <w:t xml:space="preserve">C3 – </w:t>
      </w:r>
      <w:r w:rsidRPr="00D63B44">
        <w:rPr>
          <w:i/>
          <w:iCs/>
          <w:lang w:val="en-GB"/>
        </w:rPr>
        <w:t>Operations and human factors</w:t>
      </w:r>
      <w:r w:rsidRPr="00D63B44">
        <w:rPr>
          <w:lang w:val="en-GB"/>
        </w:rPr>
        <w:t xml:space="preserve"> captures non-routine operational discipline, competence/authorization (who is allowed to do what), supervision during critical steps, traceability of manual actions, and typical academic organizational features (turnover, mixed experience, shared labs, parallel campaigns). Relative to industrial operations—more stable and repeatable—R&amp;D environments have higher variability and manual interventions, making supervision and procedural clarity primary risk determinants</w:t>
      </w:r>
      <w:r>
        <w:rPr>
          <w:lang w:val="en-GB"/>
        </w:rPr>
        <w:t>.</w:t>
      </w:r>
    </w:p>
    <w:p w14:paraId="77A7D64F" w14:textId="3A71F581" w:rsidR="00D63B44" w:rsidRDefault="00D63B44" w:rsidP="00453E24">
      <w:pPr>
        <w:pStyle w:val="CETBodytext"/>
        <w:rPr>
          <w:lang w:val="en-GB"/>
        </w:rPr>
      </w:pPr>
      <w:r w:rsidRPr="00D63B44">
        <w:rPr>
          <w:lang w:val="en-GB"/>
        </w:rPr>
        <w:t xml:space="preserve">C4 – </w:t>
      </w:r>
      <w:r w:rsidRPr="00D63B44">
        <w:rPr>
          <w:i/>
          <w:iCs/>
          <w:lang w:val="en-GB"/>
        </w:rPr>
        <w:t>Technical barriers and emergency readiness</w:t>
      </w:r>
      <w:r w:rsidRPr="00D63B44">
        <w:rPr>
          <w:lang w:val="en-GB"/>
        </w:rPr>
        <w:t xml:space="preserve"> covers the availability and effectiveness of protection layers (detection/alarm strategy, ventilation and local exhaust, interlocks/trips/E-stops operability during campaigns, ignition control where relevant, and emergency response infrastructure). In contrast to industrial safeguards—engineered, validated, and managed under formal proof-testing—pilot/lab barriers may be simpler or evolving, temporarily disabled during commissioning/testing, and strongly influenced by indoor confinement (ventilation performance and sensor placement)</w:t>
      </w:r>
      <w:r>
        <w:rPr>
          <w:lang w:val="en-GB"/>
        </w:rPr>
        <w:t>.</w:t>
      </w:r>
    </w:p>
    <w:p w14:paraId="0B398E94" w14:textId="5A19A691" w:rsidR="00920748" w:rsidRDefault="004E44F9" w:rsidP="00453E24">
      <w:pPr>
        <w:pStyle w:val="CETBodytext"/>
        <w:rPr>
          <w:lang w:val="en-GB"/>
        </w:rPr>
      </w:pPr>
      <w:r w:rsidRPr="004E44F9">
        <w:rPr>
          <w:lang w:val="en-GB"/>
        </w:rPr>
        <w:t>This separation reflects the risk structure of R&amp;D and pilot operations: uncertainty affecting intrinsic hazards (C1), configuration dynamics and interfaces (C2), non-routine work and supervision (C3), and barrier effectiveness under experimental and indoor conditions (C4). The framework supports systematic safety characterization and complements—rather than replaces—HAZOP, LOPA, and consequence modelling</w:t>
      </w:r>
      <w:r w:rsidR="00D63B44" w:rsidRPr="00D63B44">
        <w:rPr>
          <w:lang w:val="en-GB"/>
        </w:rPr>
        <w:t>.</w:t>
      </w:r>
    </w:p>
    <w:p w14:paraId="189C6BE1" w14:textId="3CB849D3" w:rsidR="00D63B44" w:rsidRPr="00B57B36" w:rsidRDefault="00D63B44" w:rsidP="00D63B44">
      <w:pPr>
        <w:pStyle w:val="CETheadingx"/>
      </w:pPr>
      <w:r>
        <w:t>Development of checklist items</w:t>
      </w:r>
    </w:p>
    <w:p w14:paraId="43E342CC" w14:textId="7136ED53" w:rsidR="00D63B44" w:rsidRDefault="00BC3066" w:rsidP="00D63B44">
      <w:pPr>
        <w:pStyle w:val="CETBodytext"/>
        <w:rPr>
          <w:lang w:val="en-GB"/>
        </w:rPr>
      </w:pPr>
      <w:r w:rsidRPr="00BC3066">
        <w:rPr>
          <w:lang w:val="en-GB"/>
        </w:rPr>
        <w:t>Checklist items were developed from process safety literature, established industrial practices, and experience with academic pilot plants and research laboratories. Particular attention was given to failure modes typical of R&amp;D environments, including temporary configurations, limited process knowledge, and personnel turnover. Each item is formulated as a qualitative question capturing aggravating or mitigating factors, while avoiding excessive operational detail and ambiguity. Intrinsic hazards were kept separate from safeguards and barriers to maintain conceptual consistency. Due to space limitations, the full checklist is not reported in this paper</w:t>
      </w:r>
      <w:r w:rsidR="00D63B44" w:rsidRPr="00D63B44">
        <w:rPr>
          <w:lang w:val="en-GB"/>
        </w:rPr>
        <w:t>.</w:t>
      </w:r>
      <w:r w:rsidR="00D63B44">
        <w:rPr>
          <w:lang w:val="en-GB"/>
        </w:rPr>
        <w:t xml:space="preserve"> </w:t>
      </w:r>
    </w:p>
    <w:p w14:paraId="36092D0A" w14:textId="3BCCDD11" w:rsidR="00D63B44" w:rsidRPr="00B57B36" w:rsidRDefault="00D63B44" w:rsidP="00D63B44">
      <w:pPr>
        <w:pStyle w:val="CETheadingx"/>
      </w:pPr>
      <w:r>
        <w:t>Scoring system and sub-indices</w:t>
      </w:r>
    </w:p>
    <w:p w14:paraId="1ECB3DA5" w14:textId="77777777" w:rsidR="00D63B44" w:rsidRDefault="00D63B44" w:rsidP="00D63B44">
      <w:pPr>
        <w:pStyle w:val="CETBodytext"/>
        <w:rPr>
          <w:lang w:val="en-GB"/>
        </w:rPr>
      </w:pPr>
      <w:r w:rsidRPr="00D63B44">
        <w:rPr>
          <w:lang w:val="en-GB"/>
        </w:rPr>
        <w:t>Each checklist item is evaluated using a discrete, symmetric scoring scale ranging from negative values (mitigating or favourable conditions) to positive values (aggravating conditions). The assigned score reflects the relative condition of the system with respect to that specific aspect and does not represent an absolute probability or consequence.</w:t>
      </w:r>
    </w:p>
    <w:p w14:paraId="0C58131C" w14:textId="138DA0FD" w:rsidR="00E95835" w:rsidRPr="00B57B36" w:rsidRDefault="00E95835" w:rsidP="00E95835">
      <w:pPr>
        <w:pStyle w:val="CETTabletitle"/>
      </w:pPr>
      <w:r w:rsidRPr="00B57B36">
        <w:t xml:space="preserve">Table </w:t>
      </w:r>
      <w:r w:rsidR="00D0542F">
        <w:t>1</w:t>
      </w:r>
      <w:r w:rsidRPr="00B57B36">
        <w:t xml:space="preserve">: </w:t>
      </w:r>
      <w:r w:rsidRPr="00E95835">
        <w:t>Example of sub-index computation for C2 – Design, modifications &amp; mechanical integrity</w:t>
      </w:r>
      <w:r>
        <w:t xml:space="preserve">. </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969"/>
        <w:gridCol w:w="4253"/>
        <w:gridCol w:w="567"/>
      </w:tblGrid>
      <w:tr w:rsidR="00E95835" w:rsidRPr="00D90CD8" w14:paraId="3F346C51" w14:textId="77777777" w:rsidTr="00E95835">
        <w:tc>
          <w:tcPr>
            <w:tcW w:w="3969" w:type="dxa"/>
            <w:tcBorders>
              <w:top w:val="single" w:sz="12" w:space="0" w:color="008000"/>
              <w:bottom w:val="single" w:sz="6" w:space="0" w:color="008000"/>
            </w:tcBorders>
            <w:shd w:val="clear" w:color="auto" w:fill="FFFFFF"/>
          </w:tcPr>
          <w:p w14:paraId="29E1DC29" w14:textId="64C9AB81" w:rsidR="00E95835" w:rsidRPr="00D90CD8" w:rsidRDefault="00E95835" w:rsidP="003465FE">
            <w:pPr>
              <w:pStyle w:val="CETBodytext"/>
              <w:rPr>
                <w:i/>
                <w:iCs/>
                <w:lang w:val="en-GB"/>
              </w:rPr>
            </w:pPr>
            <w:r w:rsidRPr="00D90CD8">
              <w:rPr>
                <w:i/>
                <w:iCs/>
                <w:lang w:val="en-GB"/>
              </w:rPr>
              <w:t>Example of sub-index</w:t>
            </w:r>
          </w:p>
        </w:tc>
        <w:tc>
          <w:tcPr>
            <w:tcW w:w="4253" w:type="dxa"/>
            <w:tcBorders>
              <w:top w:val="single" w:sz="12" w:space="0" w:color="008000"/>
              <w:bottom w:val="single" w:sz="6" w:space="0" w:color="008000"/>
            </w:tcBorders>
            <w:shd w:val="clear" w:color="auto" w:fill="FFFFFF"/>
          </w:tcPr>
          <w:p w14:paraId="58C7D334" w14:textId="2E926B80" w:rsidR="00E95835" w:rsidRPr="00D90CD8" w:rsidRDefault="00E95835" w:rsidP="003465FE">
            <w:pPr>
              <w:pStyle w:val="CETBodytext"/>
              <w:rPr>
                <w:i/>
                <w:iCs/>
                <w:lang w:val="en-GB"/>
              </w:rPr>
            </w:pPr>
            <w:r w:rsidRPr="00D90CD8">
              <w:rPr>
                <w:i/>
                <w:iCs/>
                <w:lang w:val="en-GB"/>
              </w:rPr>
              <w:t>Item (illustrative)</w:t>
            </w:r>
          </w:p>
        </w:tc>
        <w:tc>
          <w:tcPr>
            <w:tcW w:w="567" w:type="dxa"/>
            <w:tcBorders>
              <w:top w:val="single" w:sz="12" w:space="0" w:color="008000"/>
              <w:bottom w:val="single" w:sz="6" w:space="0" w:color="008000"/>
            </w:tcBorders>
            <w:shd w:val="clear" w:color="auto" w:fill="FFFFFF"/>
          </w:tcPr>
          <w:p w14:paraId="7ED1519A" w14:textId="185F978D" w:rsidR="00E95835" w:rsidRPr="00D90CD8" w:rsidRDefault="00E95835" w:rsidP="00E95835">
            <w:pPr>
              <w:pStyle w:val="CETBodytext"/>
              <w:ind w:right="-1"/>
              <w:jc w:val="center"/>
              <w:rPr>
                <w:rFonts w:cs="Arial"/>
                <w:i/>
                <w:iCs/>
                <w:szCs w:val="18"/>
                <w:lang w:val="en-GB"/>
              </w:rPr>
            </w:pPr>
            <w:r w:rsidRPr="00D90CD8">
              <w:rPr>
                <w:rFonts w:cs="Arial"/>
                <w:i/>
                <w:iCs/>
                <w:szCs w:val="18"/>
                <w:lang w:val="en-GB"/>
              </w:rPr>
              <w:t>Score</w:t>
            </w:r>
          </w:p>
        </w:tc>
      </w:tr>
      <w:tr w:rsidR="00E95835" w:rsidRPr="00D90CD8" w14:paraId="017E1D01" w14:textId="77777777" w:rsidTr="00E95835">
        <w:tc>
          <w:tcPr>
            <w:tcW w:w="3969" w:type="dxa"/>
            <w:shd w:val="clear" w:color="auto" w:fill="FFFFFF"/>
          </w:tcPr>
          <w:p w14:paraId="592C4481" w14:textId="6106E1FB" w:rsidR="00E95835" w:rsidRPr="00DB0245" w:rsidRDefault="00E95835" w:rsidP="003465FE">
            <w:pPr>
              <w:pStyle w:val="CETBodytext"/>
              <w:rPr>
                <w:sz w:val="16"/>
                <w:szCs w:val="18"/>
                <w:lang w:val="en-GB"/>
              </w:rPr>
            </w:pPr>
            <w:r w:rsidRPr="00DB0245">
              <w:rPr>
                <w:sz w:val="16"/>
                <w:szCs w:val="18"/>
                <w:lang w:val="en-GB"/>
              </w:rPr>
              <w:t>C2-Design, modifications &amp; mechanical integrity</w:t>
            </w:r>
          </w:p>
        </w:tc>
        <w:tc>
          <w:tcPr>
            <w:tcW w:w="4253" w:type="dxa"/>
            <w:shd w:val="clear" w:color="auto" w:fill="FFFFFF"/>
          </w:tcPr>
          <w:p w14:paraId="124CE3FB" w14:textId="6ADBAC14" w:rsidR="00E95835" w:rsidRPr="00DB0245" w:rsidRDefault="00D90CD8" w:rsidP="00E95835">
            <w:pPr>
              <w:pStyle w:val="CETBodytext"/>
              <w:jc w:val="left"/>
              <w:rPr>
                <w:sz w:val="16"/>
                <w:szCs w:val="18"/>
                <w:lang w:val="en-GB"/>
              </w:rPr>
            </w:pPr>
            <w:r w:rsidRPr="00DB0245">
              <w:rPr>
                <w:sz w:val="16"/>
                <w:szCs w:val="18"/>
                <w:lang w:val="en-GB"/>
              </w:rPr>
              <w:t>Relief and venting adequacy</w:t>
            </w:r>
          </w:p>
        </w:tc>
        <w:tc>
          <w:tcPr>
            <w:tcW w:w="567" w:type="dxa"/>
            <w:shd w:val="clear" w:color="auto" w:fill="FFFFFF"/>
          </w:tcPr>
          <w:p w14:paraId="45379C90" w14:textId="3830EFBB" w:rsidR="00E95835" w:rsidRPr="00DB0245" w:rsidRDefault="00E95835" w:rsidP="00E95835">
            <w:pPr>
              <w:pStyle w:val="CETBodytext"/>
              <w:ind w:right="-1"/>
              <w:jc w:val="center"/>
              <w:rPr>
                <w:rFonts w:cs="Arial"/>
                <w:sz w:val="16"/>
                <w:szCs w:val="18"/>
                <w:lang w:val="en-GB"/>
              </w:rPr>
            </w:pPr>
            <w:r w:rsidRPr="00DB0245">
              <w:rPr>
                <w:rFonts w:cs="Arial"/>
                <w:sz w:val="16"/>
                <w:szCs w:val="18"/>
                <w:lang w:val="en-GB"/>
              </w:rPr>
              <w:t>+2</w:t>
            </w:r>
            <w:r w:rsidR="00DB0245" w:rsidRPr="00DB0245">
              <w:rPr>
                <w:rFonts w:cs="Arial"/>
                <w:sz w:val="16"/>
                <w:szCs w:val="18"/>
                <w:lang w:val="en-GB"/>
              </w:rPr>
              <w:t>.00</w:t>
            </w:r>
          </w:p>
        </w:tc>
      </w:tr>
      <w:tr w:rsidR="00E95835" w:rsidRPr="00D90CD8" w14:paraId="2E56BAF3" w14:textId="77777777" w:rsidTr="00E95835">
        <w:tc>
          <w:tcPr>
            <w:tcW w:w="3969" w:type="dxa"/>
            <w:shd w:val="clear" w:color="auto" w:fill="FFFFFF"/>
          </w:tcPr>
          <w:p w14:paraId="5E2B56ED" w14:textId="77777777" w:rsidR="00E95835" w:rsidRPr="00DB0245" w:rsidRDefault="00E95835" w:rsidP="003465FE">
            <w:pPr>
              <w:pStyle w:val="CETBodytext"/>
              <w:ind w:right="-1"/>
              <w:rPr>
                <w:rFonts w:cs="Arial"/>
                <w:sz w:val="16"/>
                <w:szCs w:val="18"/>
                <w:lang w:val="en-GB"/>
              </w:rPr>
            </w:pPr>
          </w:p>
        </w:tc>
        <w:tc>
          <w:tcPr>
            <w:tcW w:w="4253" w:type="dxa"/>
            <w:shd w:val="clear" w:color="auto" w:fill="FFFFFF"/>
          </w:tcPr>
          <w:p w14:paraId="3FB29857" w14:textId="3C8F8E15" w:rsidR="00E95835" w:rsidRPr="00DB0245" w:rsidRDefault="00D90CD8" w:rsidP="00E95835">
            <w:pPr>
              <w:pStyle w:val="CETBodytext"/>
              <w:ind w:right="-1"/>
              <w:jc w:val="left"/>
              <w:rPr>
                <w:rFonts w:cs="Arial"/>
                <w:sz w:val="16"/>
                <w:szCs w:val="18"/>
                <w:lang w:val="en-GB"/>
              </w:rPr>
            </w:pPr>
            <w:r w:rsidRPr="00DB0245">
              <w:rPr>
                <w:rFonts w:cs="Arial"/>
                <w:sz w:val="16"/>
                <w:szCs w:val="18"/>
                <w:lang w:val="en-GB"/>
              </w:rPr>
              <w:t>Temporary connections and interfaces</w:t>
            </w:r>
          </w:p>
        </w:tc>
        <w:tc>
          <w:tcPr>
            <w:tcW w:w="567" w:type="dxa"/>
            <w:shd w:val="clear" w:color="auto" w:fill="FFFFFF"/>
          </w:tcPr>
          <w:p w14:paraId="2F1406D4" w14:textId="77DF6E7B" w:rsidR="00E95835" w:rsidRPr="00DB0245" w:rsidRDefault="00E95835" w:rsidP="00E95835">
            <w:pPr>
              <w:pStyle w:val="CETBodytext"/>
              <w:ind w:right="-1"/>
              <w:jc w:val="center"/>
              <w:rPr>
                <w:rFonts w:cs="Arial"/>
                <w:sz w:val="16"/>
                <w:szCs w:val="18"/>
                <w:lang w:val="en-GB"/>
              </w:rPr>
            </w:pPr>
            <w:r w:rsidRPr="00DB0245">
              <w:rPr>
                <w:rFonts w:cs="Arial"/>
                <w:sz w:val="16"/>
                <w:szCs w:val="18"/>
                <w:lang w:val="en-GB"/>
              </w:rPr>
              <w:t>+1</w:t>
            </w:r>
            <w:r w:rsidR="00DB0245" w:rsidRPr="00DB0245">
              <w:rPr>
                <w:rFonts w:cs="Arial"/>
                <w:sz w:val="16"/>
                <w:szCs w:val="18"/>
                <w:lang w:val="en-GB"/>
              </w:rPr>
              <w:t>.00</w:t>
            </w:r>
          </w:p>
        </w:tc>
      </w:tr>
      <w:tr w:rsidR="00E95835" w:rsidRPr="00D90CD8" w14:paraId="6CA0FC81" w14:textId="77777777" w:rsidTr="00E95835">
        <w:tc>
          <w:tcPr>
            <w:tcW w:w="3969" w:type="dxa"/>
            <w:shd w:val="clear" w:color="auto" w:fill="FFFFFF"/>
          </w:tcPr>
          <w:p w14:paraId="5192153C" w14:textId="77777777" w:rsidR="00E95835" w:rsidRPr="00DB0245" w:rsidRDefault="00E95835" w:rsidP="003465FE">
            <w:pPr>
              <w:pStyle w:val="CETBodytext"/>
              <w:ind w:right="-1"/>
              <w:rPr>
                <w:rFonts w:cs="Arial"/>
                <w:sz w:val="16"/>
                <w:szCs w:val="18"/>
                <w:lang w:val="en-GB"/>
              </w:rPr>
            </w:pPr>
          </w:p>
        </w:tc>
        <w:tc>
          <w:tcPr>
            <w:tcW w:w="4253" w:type="dxa"/>
            <w:shd w:val="clear" w:color="auto" w:fill="FFFFFF"/>
          </w:tcPr>
          <w:p w14:paraId="6C45799C" w14:textId="0DDC6B9B" w:rsidR="00E95835" w:rsidRPr="00DB0245" w:rsidRDefault="00D90CD8" w:rsidP="00E95835">
            <w:pPr>
              <w:pStyle w:val="CETBodytext"/>
              <w:ind w:right="-1"/>
              <w:jc w:val="left"/>
              <w:rPr>
                <w:rFonts w:cs="Arial"/>
                <w:sz w:val="16"/>
                <w:szCs w:val="18"/>
                <w:lang w:val="en-GB"/>
              </w:rPr>
            </w:pPr>
            <w:r w:rsidRPr="00DB0245">
              <w:rPr>
                <w:rFonts w:cs="Arial"/>
                <w:sz w:val="16"/>
                <w:szCs w:val="18"/>
                <w:lang w:val="en-GB"/>
              </w:rPr>
              <w:t>Mechanical integrity and ratings</w:t>
            </w:r>
          </w:p>
        </w:tc>
        <w:tc>
          <w:tcPr>
            <w:tcW w:w="567" w:type="dxa"/>
            <w:shd w:val="clear" w:color="auto" w:fill="FFFFFF"/>
          </w:tcPr>
          <w:p w14:paraId="40573535" w14:textId="5CCA3B94" w:rsidR="00E95835" w:rsidRPr="00DB0245" w:rsidRDefault="00DB0245" w:rsidP="00E95835">
            <w:pPr>
              <w:pStyle w:val="CETBodytext"/>
              <w:ind w:right="-1"/>
              <w:jc w:val="center"/>
              <w:rPr>
                <w:rFonts w:cs="Arial"/>
                <w:sz w:val="16"/>
                <w:szCs w:val="18"/>
                <w:lang w:val="en-GB"/>
              </w:rPr>
            </w:pPr>
            <w:r w:rsidRPr="00DB0245">
              <w:rPr>
                <w:rFonts w:cs="Arial"/>
                <w:sz w:val="16"/>
                <w:szCs w:val="18"/>
                <w:lang w:val="en-GB"/>
              </w:rPr>
              <w:t>-1.00</w:t>
            </w:r>
          </w:p>
        </w:tc>
      </w:tr>
      <w:tr w:rsidR="00E95835" w:rsidRPr="00D90CD8" w14:paraId="00EBFA85" w14:textId="77777777" w:rsidTr="00E95835">
        <w:tc>
          <w:tcPr>
            <w:tcW w:w="3969" w:type="dxa"/>
            <w:shd w:val="clear" w:color="auto" w:fill="FFFFFF"/>
          </w:tcPr>
          <w:p w14:paraId="6D8650EC" w14:textId="77777777" w:rsidR="00E95835" w:rsidRPr="00DB0245" w:rsidRDefault="00E95835" w:rsidP="003465FE">
            <w:pPr>
              <w:pStyle w:val="CETBodytext"/>
              <w:ind w:right="-1"/>
              <w:rPr>
                <w:rFonts w:cs="Arial"/>
                <w:sz w:val="16"/>
                <w:szCs w:val="18"/>
                <w:lang w:val="en-GB"/>
              </w:rPr>
            </w:pPr>
          </w:p>
        </w:tc>
        <w:tc>
          <w:tcPr>
            <w:tcW w:w="4253" w:type="dxa"/>
            <w:shd w:val="clear" w:color="auto" w:fill="FFFFFF"/>
          </w:tcPr>
          <w:p w14:paraId="54DB71E8" w14:textId="546254AD" w:rsidR="00E95835" w:rsidRPr="00DB0245" w:rsidRDefault="00D90CD8" w:rsidP="003465FE">
            <w:pPr>
              <w:pStyle w:val="CETBodytext"/>
              <w:ind w:right="-1"/>
              <w:rPr>
                <w:rFonts w:cs="Arial"/>
                <w:sz w:val="16"/>
                <w:szCs w:val="18"/>
                <w:lang w:val="en-GB"/>
              </w:rPr>
            </w:pPr>
            <w:r w:rsidRPr="00DB0245">
              <w:rPr>
                <w:rFonts w:cs="Arial"/>
                <w:sz w:val="16"/>
                <w:szCs w:val="18"/>
                <w:lang w:val="en-GB"/>
              </w:rPr>
              <w:t>Change management and documentation</w:t>
            </w:r>
          </w:p>
        </w:tc>
        <w:tc>
          <w:tcPr>
            <w:tcW w:w="567" w:type="dxa"/>
            <w:shd w:val="clear" w:color="auto" w:fill="FFFFFF"/>
          </w:tcPr>
          <w:p w14:paraId="01ADBB02" w14:textId="0935EF40" w:rsidR="00E95835" w:rsidRPr="00DB0245" w:rsidRDefault="00E95835" w:rsidP="00E95835">
            <w:pPr>
              <w:pStyle w:val="CETBodytext"/>
              <w:ind w:right="-1"/>
              <w:jc w:val="center"/>
              <w:rPr>
                <w:rFonts w:cs="Arial"/>
                <w:sz w:val="16"/>
                <w:szCs w:val="18"/>
                <w:lang w:val="en-GB"/>
              </w:rPr>
            </w:pPr>
            <w:r w:rsidRPr="00DB0245">
              <w:rPr>
                <w:rFonts w:cs="Arial"/>
                <w:sz w:val="16"/>
                <w:szCs w:val="18"/>
                <w:lang w:val="en-GB"/>
              </w:rPr>
              <w:t>+1</w:t>
            </w:r>
            <w:r w:rsidR="00DB0245" w:rsidRPr="00DB0245">
              <w:rPr>
                <w:rFonts w:cs="Arial"/>
                <w:sz w:val="16"/>
                <w:szCs w:val="18"/>
                <w:lang w:val="en-GB"/>
              </w:rPr>
              <w:t>.00</w:t>
            </w:r>
          </w:p>
        </w:tc>
      </w:tr>
      <w:tr w:rsidR="00E95835" w:rsidRPr="00B57B36" w14:paraId="375BDDB1" w14:textId="77777777" w:rsidTr="00E95835">
        <w:tc>
          <w:tcPr>
            <w:tcW w:w="3969" w:type="dxa"/>
            <w:shd w:val="clear" w:color="auto" w:fill="FFFFFF"/>
          </w:tcPr>
          <w:p w14:paraId="3B0DF2A2" w14:textId="77777777" w:rsidR="00E95835" w:rsidRPr="00D90CD8" w:rsidRDefault="00E95835" w:rsidP="003465FE">
            <w:pPr>
              <w:pStyle w:val="CETBodytext"/>
              <w:ind w:right="-1"/>
              <w:rPr>
                <w:rFonts w:cs="Arial"/>
                <w:szCs w:val="18"/>
                <w:lang w:val="en-GB"/>
              </w:rPr>
            </w:pPr>
          </w:p>
        </w:tc>
        <w:tc>
          <w:tcPr>
            <w:tcW w:w="4253" w:type="dxa"/>
            <w:shd w:val="clear" w:color="auto" w:fill="FFFFFF"/>
          </w:tcPr>
          <w:p w14:paraId="212208BF" w14:textId="1AFA338B" w:rsidR="00E95835" w:rsidRPr="00D90CD8" w:rsidRDefault="00E95835" w:rsidP="003465FE">
            <w:pPr>
              <w:pStyle w:val="CETBodytext"/>
              <w:ind w:right="-1"/>
              <w:rPr>
                <w:rFonts w:cs="Arial"/>
                <w:b/>
                <w:bCs/>
                <w:szCs w:val="18"/>
                <w:lang w:val="en-GB"/>
              </w:rPr>
            </w:pPr>
            <w:r w:rsidRPr="00D90CD8">
              <w:rPr>
                <w:rFonts w:cs="Arial"/>
                <w:b/>
                <w:bCs/>
                <w:szCs w:val="18"/>
                <w:lang w:val="en-GB"/>
              </w:rPr>
              <w:t>Sub-index value (mean of item scores)</w:t>
            </w:r>
          </w:p>
        </w:tc>
        <w:tc>
          <w:tcPr>
            <w:tcW w:w="567" w:type="dxa"/>
            <w:shd w:val="clear" w:color="auto" w:fill="FFFFFF"/>
          </w:tcPr>
          <w:p w14:paraId="31B63D56" w14:textId="77647403" w:rsidR="00E95835" w:rsidRPr="00D90CD8" w:rsidRDefault="00E95835" w:rsidP="00E95835">
            <w:pPr>
              <w:pStyle w:val="CETBodytext"/>
              <w:ind w:right="-1"/>
              <w:jc w:val="center"/>
              <w:rPr>
                <w:rFonts w:cs="Arial"/>
                <w:b/>
                <w:bCs/>
                <w:szCs w:val="18"/>
                <w:lang w:val="en-GB"/>
              </w:rPr>
            </w:pPr>
            <w:r w:rsidRPr="00D90CD8">
              <w:rPr>
                <w:rFonts w:cs="Arial"/>
                <w:b/>
                <w:bCs/>
                <w:szCs w:val="18"/>
                <w:lang w:val="en-GB"/>
              </w:rPr>
              <w:t>+</w:t>
            </w:r>
            <w:r w:rsidR="00DB0245">
              <w:rPr>
                <w:rFonts w:cs="Arial"/>
                <w:b/>
                <w:bCs/>
                <w:szCs w:val="18"/>
                <w:lang w:val="en-GB"/>
              </w:rPr>
              <w:t>0.75</w:t>
            </w:r>
          </w:p>
        </w:tc>
      </w:tr>
    </w:tbl>
    <w:p w14:paraId="3977DFB9" w14:textId="77777777" w:rsidR="00E95835" w:rsidRDefault="00E95835" w:rsidP="00D63B44">
      <w:pPr>
        <w:pStyle w:val="CETBodytext"/>
        <w:rPr>
          <w:lang w:val="en-GB"/>
        </w:rPr>
      </w:pPr>
    </w:p>
    <w:p w14:paraId="57DE9348" w14:textId="7DF6C5EE" w:rsidR="00D63B44" w:rsidRPr="00D63B44" w:rsidRDefault="00A34310" w:rsidP="00D63B44">
      <w:pPr>
        <w:pStyle w:val="CETBodytext"/>
        <w:rPr>
          <w:lang w:val="en-GB"/>
        </w:rPr>
      </w:pPr>
      <w:r w:rsidRPr="00A34310">
        <w:rPr>
          <w:lang w:val="en-GB"/>
        </w:rPr>
        <w:t>Within each category, item scores are aggregated to obtain a sub-index representing the corresponding risk dimension. Table 1 illustrates the Design, Modifications and Mechanical Integrity category, showing how configuration-dependent factors—such as temporary connections and frequent reconfiguration—may dominate risk in pilot and research-scale systems. The four sub-indices are then combined into an overall safety index using a deliberately simple aggregation method, consistent with the comparative and screening-oriented purpose of the methodology. This structure helps identify dominant risk drivers and track changes across experimental configurations</w:t>
      </w:r>
      <w:r w:rsidR="00D63B44" w:rsidRPr="00D63B44">
        <w:rPr>
          <w:lang w:val="en-GB"/>
        </w:rPr>
        <w:t>.</w:t>
      </w:r>
    </w:p>
    <w:p w14:paraId="641DC03B" w14:textId="49280C79" w:rsidR="00D63B44" w:rsidRPr="00B57B36" w:rsidRDefault="00D63B44" w:rsidP="00D63B44">
      <w:pPr>
        <w:pStyle w:val="CETheadingx"/>
      </w:pPr>
      <w:r>
        <w:t>Interpretation and use of the index</w:t>
      </w:r>
    </w:p>
    <w:p w14:paraId="5C2D93EF" w14:textId="77777777" w:rsidR="00D63B44" w:rsidRPr="00D63B44" w:rsidRDefault="00D63B44" w:rsidP="00D63B44">
      <w:pPr>
        <w:pStyle w:val="CETBodytext"/>
        <w:rPr>
          <w:lang w:val="en-GB"/>
        </w:rPr>
      </w:pPr>
      <w:r w:rsidRPr="00D63B44">
        <w:rPr>
          <w:lang w:val="en-GB"/>
        </w:rPr>
        <w:t>The safety index is intended as a decision-support tool. Elevated scores in specific categories indicate areas where additional attention, deeper analysis, or corrective actions may be required. For example, high values in C1 may prompt further investigation through detailed hazard identification or consequence modelling, while high values in C3 may indicate organizational or training-related weaknesses.</w:t>
      </w:r>
    </w:p>
    <w:p w14:paraId="7E76C3C9" w14:textId="6A53766A" w:rsidR="00D63B44" w:rsidRPr="00D63B44" w:rsidRDefault="00D63B44" w:rsidP="00D63B44">
      <w:pPr>
        <w:pStyle w:val="CETBodytext"/>
        <w:rPr>
          <w:lang w:val="en-GB"/>
        </w:rPr>
      </w:pPr>
      <w:r w:rsidRPr="00D63B44">
        <w:rPr>
          <w:lang w:val="en-GB"/>
        </w:rPr>
        <w:t>The methodology supports comparison between different experimental setups, monitoring of safety performance over time, and prioritization of resources in environments where detailed analyses cannot be continuously applied.</w:t>
      </w:r>
    </w:p>
    <w:p w14:paraId="76F78B33" w14:textId="09F0DDCD" w:rsidR="00012667" w:rsidRDefault="00012667" w:rsidP="00012667">
      <w:pPr>
        <w:pStyle w:val="CETHeading1"/>
      </w:pPr>
      <w:r>
        <w:lastRenderedPageBreak/>
        <w:t>Case study and discussion</w:t>
      </w:r>
    </w:p>
    <w:p w14:paraId="11A41EDD" w14:textId="04C00E9C" w:rsidR="00012667" w:rsidRDefault="00012667" w:rsidP="00012667">
      <w:pPr>
        <w:pStyle w:val="CETheadingx"/>
      </w:pPr>
      <w:r>
        <w:t>Case study description</w:t>
      </w:r>
    </w:p>
    <w:p w14:paraId="63077CBF" w14:textId="6D676831" w:rsidR="00E756E7" w:rsidRPr="00DB0245" w:rsidRDefault="00DB0245" w:rsidP="00740FF5">
      <w:pPr>
        <w:pStyle w:val="CETBodytext"/>
      </w:pPr>
      <w:r>
        <w:t>The proposed safety index was applied to the pilot-scale process unit previously analysed by Gasparotto et al., 2024. Process details are not repeated here; the unit is used as a reference case to demonstrate index applicability in a typical academic research setting. The application is framed by the main safety-relevant features of the installation: it is an indoor laboratory unit, relying on room ventilation and local exhaust, and it involves the use of hazardous substances and mixtures (mainly flammable or toxic) with the potential for reactive or unstable conditions during experimentation. The unit operates at elevated severity (pressure/temperature) and may approach defined operating envelopes during specific experimental steps. Although inventories are generally small, the system exhibits high variability due to frequent changes in recipes, setpoints, and operating windows driven by research objectives.</w:t>
      </w:r>
      <w:r w:rsidR="00A04E78">
        <w:t xml:space="preserve"> </w:t>
      </w:r>
      <w:r>
        <w:t xml:space="preserve">From a configuration standpoint, the unit is modular and partially temporary, employing flexible hoses, adapters, and repeated connect/disconnect cycles to enable different experimental campaigns. This results in multiple credible leak points, particularly at temporary interfaces and instrumentation take-offs (sampling, purging, venting). Relief/venting and discharge paths must therefore remain consistent with indoor operation while the physical configuration evolves. In addition, instrumentation </w:t>
      </w:r>
      <w:r w:rsidR="009D0FF9">
        <w:t>is</w:t>
      </w:r>
      <w:r>
        <w:t xml:space="preserve"> used in experimental modes, with potential temporary overrides during commissioning, troubleshooting, or test campaigns. Operations are predominantly non-routine and manual (charging, start-up/shutdown, sampling), such that manual interventions can directly affect process conditions. Finally, the academic context typically involves mixed-experience teams and turnover, which increases the importance of clear role assignment and supervision during critical steps. Overall, these characteristics are representative of many pilot and research-scale installations, where risk is shaped not only by intrinsic hazards but also by configuration dynamics, operational practices, and barrier effectiveness under experimental conditions</w:t>
      </w:r>
    </w:p>
    <w:p w14:paraId="5F63073A" w14:textId="6655C9EB" w:rsidR="00012667" w:rsidRDefault="00012667" w:rsidP="00012667">
      <w:pPr>
        <w:pStyle w:val="CETheadingx"/>
      </w:pPr>
      <w:r>
        <w:t>Application of the index and scoring assumptions</w:t>
      </w:r>
    </w:p>
    <w:p w14:paraId="08395CBD" w14:textId="138F1728" w:rsidR="00920748" w:rsidRPr="00012667" w:rsidRDefault="004D3668" w:rsidP="00E756E7">
      <w:pPr>
        <w:pStyle w:val="CETBodytext"/>
        <w:rPr>
          <w:highlight w:val="yellow"/>
          <w:lang w:val="en-GB"/>
        </w:rPr>
      </w:pPr>
      <w:r w:rsidRPr="004D3668">
        <w:t>Each checklist item was scored using available information (schemes, procedures, layout, and safety system descriptions) according to the discrete symmetric scale defined in Section 2.4. Scores represent the relative system condition without attempting probability or consequence quantification. Where uncertainty existed, conservative assumptions were adopted and documented. Scores were then aggregated to obtain the corresponding sub-indices</w:t>
      </w:r>
      <w:r w:rsidR="00E756E7">
        <w:t>.</w:t>
      </w:r>
    </w:p>
    <w:p w14:paraId="79A48521" w14:textId="5DF3F482" w:rsidR="00012667" w:rsidRDefault="00012667" w:rsidP="00012667">
      <w:pPr>
        <w:pStyle w:val="CETheadingx"/>
      </w:pPr>
      <w:r>
        <w:t>Sub-index results and risk profile</w:t>
      </w:r>
    </w:p>
    <w:p w14:paraId="37944E0E" w14:textId="258E6CC4" w:rsidR="00012667" w:rsidRDefault="00E756E7" w:rsidP="00012667">
      <w:pPr>
        <w:pStyle w:val="CETBodytext"/>
      </w:pPr>
      <w:r w:rsidRPr="00E756E7">
        <w:t xml:space="preserve">The numerical results obtained from the application of the safety index to the reference pilot-scale unit are summarized in Table </w:t>
      </w:r>
      <w:r w:rsidR="00D0542F">
        <w:t>2</w:t>
      </w:r>
      <w:r w:rsidRPr="00E756E7">
        <w:t xml:space="preserve">, while a breakdown of representative sub-index components is reported in Table </w:t>
      </w:r>
      <w:r w:rsidR="00D0542F">
        <w:t>3</w:t>
      </w:r>
      <w:r>
        <w:t>.</w:t>
      </w:r>
    </w:p>
    <w:p w14:paraId="403CCBF0" w14:textId="77777777" w:rsidR="00740FF5" w:rsidRDefault="00740FF5" w:rsidP="00740FF5">
      <w:pPr>
        <w:pStyle w:val="CETBodytext"/>
        <w:rPr>
          <w:lang w:val="en-GB"/>
        </w:rPr>
      </w:pPr>
      <w:r w:rsidRPr="00117D97">
        <w:rPr>
          <w:lang w:val="en-GB"/>
        </w:rPr>
        <w:t xml:space="preserve">The overall safety index indicates an elevated risk profile, driven by uneven contributions across the four categories. As shown in Table </w:t>
      </w:r>
      <w:r>
        <w:rPr>
          <w:lang w:val="en-GB"/>
        </w:rPr>
        <w:t>2</w:t>
      </w:r>
      <w:r w:rsidRPr="00117D97">
        <w:rPr>
          <w:lang w:val="en-GB"/>
        </w:rPr>
        <w:t>, Design, Modifications and Mechanical Integrity (C2) and Operations and Human Factors (C3) represent the dominant contributors, whereas Process and Substance Hazards (C1) and Technical Barriers and Emergency Readiness (C4) show comparatively lower values</w:t>
      </w:r>
      <w:r>
        <w:rPr>
          <w:lang w:val="en-GB"/>
        </w:rPr>
        <w:t>.</w:t>
      </w:r>
    </w:p>
    <w:p w14:paraId="776884B6" w14:textId="30C94500" w:rsidR="00740FF5" w:rsidRPr="00117D97" w:rsidRDefault="00740FF5" w:rsidP="00740FF5">
      <w:pPr>
        <w:pStyle w:val="CETBodytext"/>
        <w:rPr>
          <w:lang w:val="en-GB"/>
        </w:rPr>
      </w:pPr>
      <w:r w:rsidRPr="009210B3">
        <w:rPr>
          <w:lang w:val="en-GB"/>
        </w:rPr>
        <w:t xml:space="preserve">The neutral value of C1 reflects a balance between intrinsic hazard potential </w:t>
      </w:r>
      <w:r w:rsidR="004D638A" w:rsidRPr="009210B3">
        <w:rPr>
          <w:lang w:val="en-GB"/>
        </w:rPr>
        <w:t xml:space="preserve">(toxicity of CO and flammability of </w:t>
      </w:r>
      <w:r w:rsidR="004B5CBF">
        <w:rPr>
          <w:lang w:val="en-GB"/>
        </w:rPr>
        <w:t>H</w:t>
      </w:r>
      <w:r w:rsidR="004B5CBF" w:rsidRPr="004B5CBF">
        <w:rPr>
          <w:vertAlign w:val="subscript"/>
          <w:lang w:val="en-GB"/>
        </w:rPr>
        <w:t>2</w:t>
      </w:r>
      <w:r w:rsidR="003565BA">
        <w:rPr>
          <w:lang w:val="en-GB"/>
        </w:rPr>
        <w:t>, mainly</w:t>
      </w:r>
      <w:r w:rsidR="004D638A" w:rsidRPr="009210B3">
        <w:rPr>
          <w:lang w:val="en-GB"/>
        </w:rPr>
        <w:t xml:space="preserve">) </w:t>
      </w:r>
      <w:r w:rsidRPr="009210B3">
        <w:rPr>
          <w:lang w:val="en-GB"/>
        </w:rPr>
        <w:t>and favourable R&amp;D conditions</w:t>
      </w:r>
      <w:r w:rsidR="009210B3" w:rsidRPr="009210B3">
        <w:rPr>
          <w:lang w:val="en-GB"/>
        </w:rPr>
        <w:t>, including knowledge on involved reactions</w:t>
      </w:r>
      <w:r w:rsidRPr="009210B3">
        <w:rPr>
          <w:lang w:val="en-GB"/>
        </w:rPr>
        <w:t>. Hazardous substances and reactive conditions justify positive scores for intrinsic hazards and reactivity; however, these are counterbalanced by credits associated with limited inventories/hold-up (C1.3) and a reasonably characterized chemistry and operating window (C1.4) (Table 3). In this case, intrinsic process hazards are relevant but do not dominate the overall profile.</w:t>
      </w:r>
    </w:p>
    <w:p w14:paraId="7FB821BD" w14:textId="0AB709A7" w:rsidR="00740FF5" w:rsidRDefault="00740FF5" w:rsidP="00740FF5">
      <w:pPr>
        <w:pStyle w:val="CETBodytext"/>
        <w:rPr>
          <w:lang w:val="en-GB"/>
        </w:rPr>
      </w:pPr>
      <w:r w:rsidRPr="00117D97">
        <w:rPr>
          <w:lang w:val="en-GB"/>
        </w:rPr>
        <w:t xml:space="preserve">In contrast, C2 exhibits the highest sub-index value, primarily due to configuration-dependent factors typical of laboratory-scale systems: temporary assemblies, interface diversity, and frequent reconfiguration. As detailed in Table </w:t>
      </w:r>
      <w:r>
        <w:rPr>
          <w:lang w:val="en-GB"/>
        </w:rPr>
        <w:t>3</w:t>
      </w:r>
      <w:r w:rsidRPr="00117D97">
        <w:rPr>
          <w:lang w:val="en-GB"/>
        </w:rPr>
        <w:t>, temporary connections/interfaces and change dynamics drive this category, highlighting that loss-of-containment susceptibility in pilots is often governed by system configuration rather than nominal design alone.</w:t>
      </w:r>
    </w:p>
    <w:p w14:paraId="244DB6DB" w14:textId="546CA954" w:rsidR="0059378F" w:rsidRPr="00117D97" w:rsidRDefault="0059378F" w:rsidP="00740FF5">
      <w:pPr>
        <w:pStyle w:val="CETBodytext"/>
        <w:rPr>
          <w:lang w:val="en-GB"/>
        </w:rPr>
      </w:pPr>
      <w:r w:rsidRPr="00117D97">
        <w:rPr>
          <w:lang w:val="en-GB"/>
        </w:rPr>
        <w:t xml:space="preserve">The C3 sub-index is also elevated, with Table </w:t>
      </w:r>
      <w:r>
        <w:rPr>
          <w:lang w:val="en-GB"/>
        </w:rPr>
        <w:t>3</w:t>
      </w:r>
      <w:r w:rsidRPr="00117D97">
        <w:rPr>
          <w:lang w:val="en-GB"/>
        </w:rPr>
        <w:t xml:space="preserve"> indicating significant contributions from competence/supervision and the prevalence of non-routine work. This outcome is consistent with academic settings, where manual interventions during critical steps and mixed-experience teams increase reliance on procedural discipline and real-time oversight.</w:t>
      </w:r>
      <w:r>
        <w:rPr>
          <w:lang w:val="en-GB"/>
        </w:rPr>
        <w:t xml:space="preserve"> </w:t>
      </w:r>
    </w:p>
    <w:p w14:paraId="557E23A9" w14:textId="5D14EFEA" w:rsidR="00E756E7" w:rsidRPr="00B57B36" w:rsidRDefault="00E756E7" w:rsidP="00E756E7">
      <w:pPr>
        <w:pStyle w:val="CETTabletitle"/>
      </w:pPr>
      <w:r w:rsidRPr="00B57B36">
        <w:t xml:space="preserve">Table </w:t>
      </w:r>
      <w:r w:rsidR="00D0542F">
        <w:t>2</w:t>
      </w:r>
      <w:r w:rsidRPr="00B57B36">
        <w:t xml:space="preserve">: </w:t>
      </w:r>
      <w:r w:rsidRPr="00E756E7">
        <w:t>Sub-index results for the reference pilot-scale unit</w:t>
      </w:r>
      <w: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686"/>
        <w:gridCol w:w="709"/>
        <w:gridCol w:w="4392"/>
      </w:tblGrid>
      <w:tr w:rsidR="00740FF5" w:rsidRPr="00B57B36" w14:paraId="6870DDBF" w14:textId="77777777" w:rsidTr="00DB0245">
        <w:tc>
          <w:tcPr>
            <w:tcW w:w="3686" w:type="dxa"/>
            <w:tcBorders>
              <w:top w:val="single" w:sz="12" w:space="0" w:color="008000"/>
              <w:bottom w:val="single" w:sz="6" w:space="0" w:color="008000"/>
            </w:tcBorders>
            <w:shd w:val="clear" w:color="auto" w:fill="FFFFFF"/>
          </w:tcPr>
          <w:p w14:paraId="7F409D71" w14:textId="149E0621" w:rsidR="00740FF5" w:rsidRPr="00B57B36" w:rsidRDefault="00740FF5" w:rsidP="00EC7CA4">
            <w:pPr>
              <w:pStyle w:val="CETBodytext"/>
              <w:rPr>
                <w:lang w:val="en-GB"/>
              </w:rPr>
            </w:pPr>
            <w:r>
              <w:rPr>
                <w:lang w:val="en-GB"/>
              </w:rPr>
              <w:t>Sub-index description</w:t>
            </w:r>
          </w:p>
        </w:tc>
        <w:tc>
          <w:tcPr>
            <w:tcW w:w="709" w:type="dxa"/>
            <w:tcBorders>
              <w:top w:val="single" w:sz="12" w:space="0" w:color="008000"/>
              <w:bottom w:val="single" w:sz="6" w:space="0" w:color="008000"/>
            </w:tcBorders>
            <w:shd w:val="clear" w:color="auto" w:fill="FFFFFF"/>
            <w:vAlign w:val="center"/>
          </w:tcPr>
          <w:p w14:paraId="6CE500CB" w14:textId="1ED936CD" w:rsidR="00740FF5" w:rsidRPr="00B57B36" w:rsidRDefault="00740FF5" w:rsidP="00740FF5">
            <w:pPr>
              <w:pStyle w:val="CETBodytext"/>
              <w:jc w:val="center"/>
              <w:rPr>
                <w:lang w:val="en-GB"/>
              </w:rPr>
            </w:pPr>
            <w:r>
              <w:rPr>
                <w:lang w:val="en-GB"/>
              </w:rPr>
              <w:t>Value</w:t>
            </w:r>
          </w:p>
        </w:tc>
        <w:tc>
          <w:tcPr>
            <w:tcW w:w="4392" w:type="dxa"/>
            <w:tcBorders>
              <w:top w:val="single" w:sz="12" w:space="0" w:color="008000"/>
              <w:bottom w:val="single" w:sz="6" w:space="0" w:color="008000"/>
            </w:tcBorders>
            <w:shd w:val="clear" w:color="auto" w:fill="FFFFFF"/>
            <w:vAlign w:val="center"/>
          </w:tcPr>
          <w:p w14:paraId="285C589E" w14:textId="1838EE28" w:rsidR="00740FF5" w:rsidRPr="00B57B36" w:rsidRDefault="00740FF5" w:rsidP="00740FF5">
            <w:pPr>
              <w:pStyle w:val="CETBodytext"/>
              <w:ind w:right="-1"/>
              <w:jc w:val="left"/>
              <w:rPr>
                <w:rFonts w:cs="Arial"/>
                <w:szCs w:val="18"/>
                <w:lang w:val="en-GB"/>
              </w:rPr>
            </w:pPr>
            <w:r>
              <w:rPr>
                <w:rFonts w:cs="Arial"/>
                <w:szCs w:val="18"/>
                <w:lang w:val="en-GB"/>
              </w:rPr>
              <w:t>Qualitative interpretation</w:t>
            </w:r>
          </w:p>
        </w:tc>
      </w:tr>
      <w:tr w:rsidR="00740FF5" w:rsidRPr="00B57B36" w14:paraId="7D2AC554" w14:textId="77777777" w:rsidTr="00DB0245">
        <w:tc>
          <w:tcPr>
            <w:tcW w:w="3686" w:type="dxa"/>
            <w:tcBorders>
              <w:top w:val="single" w:sz="6" w:space="0" w:color="008000"/>
              <w:bottom w:val="single" w:sz="4" w:space="0" w:color="auto"/>
            </w:tcBorders>
            <w:shd w:val="clear" w:color="auto" w:fill="FFFFFF"/>
            <w:vAlign w:val="center"/>
          </w:tcPr>
          <w:p w14:paraId="584A7816" w14:textId="6D0D93D6" w:rsidR="00740FF5" w:rsidRPr="00740FF5" w:rsidRDefault="00740FF5" w:rsidP="00E756E7">
            <w:pPr>
              <w:pStyle w:val="CETBodytext"/>
              <w:jc w:val="left"/>
              <w:rPr>
                <w:lang w:val="en-GB"/>
              </w:rPr>
            </w:pPr>
            <w:r>
              <w:rPr>
                <w:lang w:val="en-GB"/>
              </w:rPr>
              <w:t xml:space="preserve">C1 </w:t>
            </w:r>
            <w:r w:rsidRPr="00A55171">
              <w:rPr>
                <w:sz w:val="16"/>
                <w:szCs w:val="18"/>
                <w:lang w:val="en-GB"/>
              </w:rPr>
              <w:t>Process and substance hazards</w:t>
            </w:r>
          </w:p>
        </w:tc>
        <w:tc>
          <w:tcPr>
            <w:tcW w:w="709" w:type="dxa"/>
            <w:tcBorders>
              <w:top w:val="single" w:sz="6" w:space="0" w:color="008000"/>
              <w:bottom w:val="single" w:sz="4" w:space="0" w:color="auto"/>
            </w:tcBorders>
            <w:shd w:val="clear" w:color="auto" w:fill="FFFFFF"/>
            <w:vAlign w:val="center"/>
          </w:tcPr>
          <w:p w14:paraId="3BEDC27A" w14:textId="5A7956A3" w:rsidR="00740FF5" w:rsidRPr="00A55171" w:rsidRDefault="00740FF5" w:rsidP="00740FF5">
            <w:pPr>
              <w:pStyle w:val="CETBodytext"/>
              <w:jc w:val="center"/>
              <w:rPr>
                <w:sz w:val="16"/>
                <w:szCs w:val="18"/>
                <w:lang w:val="en-GB"/>
              </w:rPr>
            </w:pPr>
            <w:r w:rsidRPr="00A55171">
              <w:rPr>
                <w:sz w:val="16"/>
                <w:szCs w:val="18"/>
                <w:lang w:val="en-GB"/>
              </w:rPr>
              <w:t>+0.00</w:t>
            </w:r>
          </w:p>
        </w:tc>
        <w:tc>
          <w:tcPr>
            <w:tcW w:w="4392" w:type="dxa"/>
            <w:tcBorders>
              <w:top w:val="single" w:sz="6" w:space="0" w:color="008000"/>
              <w:bottom w:val="single" w:sz="4" w:space="0" w:color="auto"/>
            </w:tcBorders>
            <w:shd w:val="clear" w:color="auto" w:fill="FFFFFF"/>
            <w:vAlign w:val="center"/>
          </w:tcPr>
          <w:p w14:paraId="2B4A9E09" w14:textId="03213108" w:rsidR="00740FF5" w:rsidRPr="00A55171" w:rsidRDefault="00740FF5" w:rsidP="00740FF5">
            <w:pPr>
              <w:pStyle w:val="CETBodytext"/>
              <w:ind w:right="-1"/>
              <w:jc w:val="left"/>
              <w:rPr>
                <w:rFonts w:cs="Arial"/>
                <w:sz w:val="16"/>
                <w:szCs w:val="18"/>
                <w:lang w:val="en-GB"/>
              </w:rPr>
            </w:pPr>
            <w:r w:rsidRPr="00A55171">
              <w:rPr>
                <w:rFonts w:cs="Arial"/>
                <w:sz w:val="16"/>
                <w:szCs w:val="18"/>
                <w:lang w:val="en-GB"/>
              </w:rPr>
              <w:t>Balanced: hazardous materials/reactivity present but offset by favourable inventory and data/novelty conditions</w:t>
            </w:r>
            <w:r w:rsidR="0049184D">
              <w:rPr>
                <w:rFonts w:cs="Arial"/>
                <w:sz w:val="16"/>
                <w:szCs w:val="18"/>
                <w:lang w:val="en-GB"/>
              </w:rPr>
              <w:t>.</w:t>
            </w:r>
          </w:p>
        </w:tc>
      </w:tr>
      <w:tr w:rsidR="00740FF5" w:rsidRPr="00B57B36" w14:paraId="47FA2ABA" w14:textId="77777777" w:rsidTr="00DB0245">
        <w:tc>
          <w:tcPr>
            <w:tcW w:w="3686" w:type="dxa"/>
            <w:tcBorders>
              <w:top w:val="single" w:sz="4" w:space="0" w:color="auto"/>
              <w:bottom w:val="single" w:sz="4" w:space="0" w:color="auto"/>
            </w:tcBorders>
            <w:shd w:val="clear" w:color="auto" w:fill="FFFFFF"/>
            <w:vAlign w:val="center"/>
          </w:tcPr>
          <w:p w14:paraId="14675379" w14:textId="4FBF9966" w:rsidR="00740FF5" w:rsidRPr="00740FF5" w:rsidRDefault="00740FF5" w:rsidP="00E756E7">
            <w:pPr>
              <w:pStyle w:val="CETBodytext"/>
              <w:ind w:right="-1"/>
              <w:jc w:val="left"/>
              <w:rPr>
                <w:rFonts w:cs="Arial"/>
                <w:szCs w:val="18"/>
                <w:lang w:val="en-GB"/>
              </w:rPr>
            </w:pPr>
            <w:r>
              <w:rPr>
                <w:rFonts w:cs="Arial"/>
                <w:szCs w:val="18"/>
                <w:lang w:val="en-GB"/>
              </w:rPr>
              <w:lastRenderedPageBreak/>
              <w:t xml:space="preserve">C2 </w:t>
            </w:r>
            <w:r w:rsidRPr="00A55171">
              <w:rPr>
                <w:rFonts w:cs="Arial"/>
                <w:sz w:val="16"/>
                <w:szCs w:val="18"/>
                <w:lang w:val="en-GB"/>
              </w:rPr>
              <w:t>Design, modifications and mechanical integrity</w:t>
            </w:r>
          </w:p>
        </w:tc>
        <w:tc>
          <w:tcPr>
            <w:tcW w:w="709" w:type="dxa"/>
            <w:tcBorders>
              <w:top w:val="single" w:sz="4" w:space="0" w:color="auto"/>
              <w:bottom w:val="single" w:sz="4" w:space="0" w:color="auto"/>
            </w:tcBorders>
            <w:shd w:val="clear" w:color="auto" w:fill="FFFFFF"/>
            <w:vAlign w:val="center"/>
          </w:tcPr>
          <w:p w14:paraId="5AFA0B91" w14:textId="54D5C4D5" w:rsidR="00740FF5" w:rsidRPr="00A55171" w:rsidRDefault="00740FF5" w:rsidP="00740FF5">
            <w:pPr>
              <w:pStyle w:val="CETBodytext"/>
              <w:ind w:right="-1"/>
              <w:jc w:val="center"/>
              <w:rPr>
                <w:rFonts w:cs="Arial"/>
                <w:sz w:val="16"/>
                <w:szCs w:val="18"/>
                <w:lang w:val="en-GB"/>
              </w:rPr>
            </w:pPr>
            <w:r w:rsidRPr="00A55171">
              <w:rPr>
                <w:rFonts w:cs="Arial"/>
                <w:sz w:val="16"/>
                <w:szCs w:val="18"/>
                <w:lang w:val="en-GB"/>
              </w:rPr>
              <w:t>+1.25</w:t>
            </w:r>
          </w:p>
        </w:tc>
        <w:tc>
          <w:tcPr>
            <w:tcW w:w="4392" w:type="dxa"/>
            <w:tcBorders>
              <w:top w:val="single" w:sz="4" w:space="0" w:color="auto"/>
              <w:bottom w:val="single" w:sz="4" w:space="0" w:color="auto"/>
            </w:tcBorders>
            <w:shd w:val="clear" w:color="auto" w:fill="FFFFFF"/>
            <w:vAlign w:val="center"/>
          </w:tcPr>
          <w:p w14:paraId="459AA5DF" w14:textId="2B62B2B6" w:rsidR="00740FF5" w:rsidRPr="00A55171" w:rsidRDefault="00740FF5" w:rsidP="00740FF5">
            <w:pPr>
              <w:pStyle w:val="CETBodytext"/>
              <w:ind w:right="-1"/>
              <w:jc w:val="left"/>
              <w:rPr>
                <w:rFonts w:cs="Arial"/>
                <w:sz w:val="16"/>
                <w:szCs w:val="18"/>
                <w:lang w:val="en-GB"/>
              </w:rPr>
            </w:pPr>
            <w:r w:rsidRPr="00A55171">
              <w:rPr>
                <w:rFonts w:cs="Arial"/>
                <w:sz w:val="16"/>
                <w:szCs w:val="18"/>
                <w:lang w:val="en-GB"/>
              </w:rPr>
              <w:t>High configuration-driven risk; temporary interfaces and change dynamics dominate</w:t>
            </w:r>
            <w:r w:rsidR="0049184D">
              <w:rPr>
                <w:rFonts w:cs="Arial"/>
                <w:sz w:val="16"/>
                <w:szCs w:val="18"/>
                <w:lang w:val="en-GB"/>
              </w:rPr>
              <w:t>.</w:t>
            </w:r>
          </w:p>
        </w:tc>
      </w:tr>
      <w:tr w:rsidR="00740FF5" w:rsidRPr="00B57B36" w14:paraId="0FFDB95A" w14:textId="77777777" w:rsidTr="00DB0245">
        <w:tc>
          <w:tcPr>
            <w:tcW w:w="3686" w:type="dxa"/>
            <w:tcBorders>
              <w:top w:val="single" w:sz="4" w:space="0" w:color="auto"/>
              <w:bottom w:val="single" w:sz="4" w:space="0" w:color="auto"/>
            </w:tcBorders>
            <w:shd w:val="clear" w:color="auto" w:fill="FFFFFF"/>
            <w:vAlign w:val="center"/>
          </w:tcPr>
          <w:p w14:paraId="794DE69C" w14:textId="2397B533" w:rsidR="00740FF5" w:rsidRPr="00740FF5" w:rsidRDefault="00740FF5" w:rsidP="00E756E7">
            <w:pPr>
              <w:pStyle w:val="CETBodytext"/>
              <w:ind w:right="-1"/>
              <w:jc w:val="left"/>
              <w:rPr>
                <w:rFonts w:cs="Arial"/>
                <w:szCs w:val="18"/>
                <w:lang w:val="en-GB"/>
              </w:rPr>
            </w:pPr>
            <w:r>
              <w:rPr>
                <w:rFonts w:cs="Arial"/>
                <w:szCs w:val="18"/>
                <w:lang w:val="en-GB"/>
              </w:rPr>
              <w:t xml:space="preserve">C3 </w:t>
            </w:r>
            <w:r w:rsidRPr="00A55171">
              <w:rPr>
                <w:rFonts w:cs="Arial"/>
                <w:sz w:val="16"/>
                <w:szCs w:val="18"/>
                <w:lang w:val="en-GB"/>
              </w:rPr>
              <w:t>Operations and human factors</w:t>
            </w:r>
          </w:p>
        </w:tc>
        <w:tc>
          <w:tcPr>
            <w:tcW w:w="709" w:type="dxa"/>
            <w:tcBorders>
              <w:top w:val="single" w:sz="4" w:space="0" w:color="auto"/>
              <w:bottom w:val="single" w:sz="4" w:space="0" w:color="auto"/>
            </w:tcBorders>
            <w:shd w:val="clear" w:color="auto" w:fill="FFFFFF"/>
            <w:vAlign w:val="center"/>
          </w:tcPr>
          <w:p w14:paraId="3C94E8CE" w14:textId="1DFCFE14" w:rsidR="00740FF5" w:rsidRPr="00A55171" w:rsidRDefault="00740FF5" w:rsidP="00740FF5">
            <w:pPr>
              <w:pStyle w:val="CETBodytext"/>
              <w:ind w:right="-1"/>
              <w:jc w:val="center"/>
              <w:rPr>
                <w:rFonts w:cs="Arial"/>
                <w:sz w:val="16"/>
                <w:szCs w:val="18"/>
                <w:lang w:val="en-GB"/>
              </w:rPr>
            </w:pPr>
            <w:r w:rsidRPr="00A55171">
              <w:rPr>
                <w:rFonts w:cs="Arial"/>
                <w:sz w:val="16"/>
                <w:szCs w:val="18"/>
                <w:lang w:val="en-GB"/>
              </w:rPr>
              <w:t>+1.50</w:t>
            </w:r>
          </w:p>
        </w:tc>
        <w:tc>
          <w:tcPr>
            <w:tcW w:w="4392" w:type="dxa"/>
            <w:tcBorders>
              <w:top w:val="single" w:sz="4" w:space="0" w:color="auto"/>
              <w:bottom w:val="single" w:sz="4" w:space="0" w:color="auto"/>
            </w:tcBorders>
            <w:shd w:val="clear" w:color="auto" w:fill="FFFFFF"/>
            <w:vAlign w:val="center"/>
          </w:tcPr>
          <w:p w14:paraId="37B403AC" w14:textId="046EA972" w:rsidR="00740FF5" w:rsidRPr="00A55171" w:rsidRDefault="00740FF5" w:rsidP="00740FF5">
            <w:pPr>
              <w:pStyle w:val="CETBodytext"/>
              <w:ind w:right="-1"/>
              <w:jc w:val="left"/>
              <w:rPr>
                <w:rFonts w:cs="Arial"/>
                <w:sz w:val="16"/>
                <w:szCs w:val="18"/>
                <w:lang w:val="en-GB"/>
              </w:rPr>
            </w:pPr>
            <w:r w:rsidRPr="00A55171">
              <w:rPr>
                <w:rFonts w:cs="Arial"/>
                <w:sz w:val="16"/>
                <w:szCs w:val="18"/>
                <w:lang w:val="en-GB"/>
              </w:rPr>
              <w:t>High operational risk; supervision/competence and non-routine work are critical drivers</w:t>
            </w:r>
            <w:r w:rsidR="0049184D">
              <w:rPr>
                <w:rFonts w:cs="Arial"/>
                <w:sz w:val="16"/>
                <w:szCs w:val="18"/>
                <w:lang w:val="en-GB"/>
              </w:rPr>
              <w:t>.</w:t>
            </w:r>
          </w:p>
        </w:tc>
      </w:tr>
      <w:tr w:rsidR="00740FF5" w:rsidRPr="00B57B36" w14:paraId="711365ED" w14:textId="77777777" w:rsidTr="00DB0245">
        <w:tc>
          <w:tcPr>
            <w:tcW w:w="3686" w:type="dxa"/>
            <w:tcBorders>
              <w:top w:val="single" w:sz="4" w:space="0" w:color="auto"/>
              <w:bottom w:val="single" w:sz="4" w:space="0" w:color="auto"/>
            </w:tcBorders>
            <w:shd w:val="clear" w:color="auto" w:fill="FFFFFF"/>
            <w:vAlign w:val="center"/>
          </w:tcPr>
          <w:p w14:paraId="102C88FA" w14:textId="39AED46B" w:rsidR="00740FF5" w:rsidRPr="00740FF5" w:rsidRDefault="00740FF5" w:rsidP="00E756E7">
            <w:pPr>
              <w:pStyle w:val="CETBodytext"/>
              <w:ind w:right="-1"/>
              <w:jc w:val="left"/>
              <w:rPr>
                <w:rFonts w:cs="Arial"/>
                <w:szCs w:val="18"/>
                <w:lang w:val="en-GB"/>
              </w:rPr>
            </w:pPr>
            <w:r>
              <w:rPr>
                <w:rFonts w:cs="Arial"/>
                <w:szCs w:val="18"/>
                <w:lang w:val="en-GB"/>
              </w:rPr>
              <w:t xml:space="preserve">C4 </w:t>
            </w:r>
            <w:r w:rsidRPr="00A55171">
              <w:rPr>
                <w:rFonts w:cs="Arial"/>
                <w:sz w:val="16"/>
                <w:szCs w:val="18"/>
                <w:lang w:val="en-GB"/>
              </w:rPr>
              <w:t>Technical barriers and emergency readiness</w:t>
            </w:r>
          </w:p>
        </w:tc>
        <w:tc>
          <w:tcPr>
            <w:tcW w:w="709" w:type="dxa"/>
            <w:tcBorders>
              <w:top w:val="single" w:sz="4" w:space="0" w:color="auto"/>
              <w:bottom w:val="single" w:sz="4" w:space="0" w:color="auto"/>
            </w:tcBorders>
            <w:shd w:val="clear" w:color="auto" w:fill="FFFFFF"/>
            <w:vAlign w:val="center"/>
          </w:tcPr>
          <w:p w14:paraId="178F9DB0" w14:textId="7251B10D" w:rsidR="00740FF5" w:rsidRPr="00A55171" w:rsidRDefault="00740FF5" w:rsidP="00740FF5">
            <w:pPr>
              <w:pStyle w:val="CETBodytext"/>
              <w:ind w:right="-1"/>
              <w:jc w:val="center"/>
              <w:rPr>
                <w:rFonts w:cs="Arial"/>
                <w:sz w:val="16"/>
                <w:szCs w:val="18"/>
                <w:lang w:val="en-GB"/>
              </w:rPr>
            </w:pPr>
            <w:r w:rsidRPr="00A55171">
              <w:rPr>
                <w:rFonts w:cs="Arial"/>
                <w:sz w:val="16"/>
                <w:szCs w:val="18"/>
                <w:lang w:val="en-GB"/>
              </w:rPr>
              <w:t>+0.25</w:t>
            </w:r>
          </w:p>
        </w:tc>
        <w:tc>
          <w:tcPr>
            <w:tcW w:w="4392" w:type="dxa"/>
            <w:tcBorders>
              <w:top w:val="single" w:sz="4" w:space="0" w:color="auto"/>
              <w:bottom w:val="single" w:sz="4" w:space="0" w:color="auto"/>
            </w:tcBorders>
            <w:shd w:val="clear" w:color="auto" w:fill="FFFFFF"/>
            <w:vAlign w:val="center"/>
          </w:tcPr>
          <w:p w14:paraId="7BA12B9F" w14:textId="24671CCF" w:rsidR="00740FF5" w:rsidRPr="00A55171" w:rsidRDefault="00740FF5" w:rsidP="00740FF5">
            <w:pPr>
              <w:pStyle w:val="CETBodytext"/>
              <w:ind w:right="-1"/>
              <w:jc w:val="left"/>
              <w:rPr>
                <w:rFonts w:cs="Arial"/>
                <w:sz w:val="16"/>
                <w:szCs w:val="18"/>
                <w:lang w:val="en-GB"/>
              </w:rPr>
            </w:pPr>
            <w:r w:rsidRPr="00A55171">
              <w:rPr>
                <w:rFonts w:cs="Arial"/>
                <w:sz w:val="16"/>
                <w:szCs w:val="18"/>
                <w:lang w:val="en-GB"/>
              </w:rPr>
              <w:t>Moderate; ventilation and preparedness provide credits, but barrier management remains critical</w:t>
            </w:r>
            <w:r w:rsidR="0049184D">
              <w:rPr>
                <w:rFonts w:cs="Arial"/>
                <w:sz w:val="16"/>
                <w:szCs w:val="18"/>
                <w:lang w:val="en-GB"/>
              </w:rPr>
              <w:t>.</w:t>
            </w:r>
          </w:p>
        </w:tc>
      </w:tr>
      <w:tr w:rsidR="00E756E7" w:rsidRPr="00B57B36" w14:paraId="23458BE3" w14:textId="77777777" w:rsidTr="00DB0245">
        <w:tc>
          <w:tcPr>
            <w:tcW w:w="3686" w:type="dxa"/>
            <w:tcBorders>
              <w:top w:val="single" w:sz="4" w:space="0" w:color="auto"/>
            </w:tcBorders>
            <w:shd w:val="clear" w:color="auto" w:fill="FFFFFF"/>
            <w:vAlign w:val="center"/>
          </w:tcPr>
          <w:p w14:paraId="5699822A" w14:textId="2559DA24" w:rsidR="00E756E7" w:rsidRPr="00E756E7" w:rsidRDefault="00E756E7" w:rsidP="00740FF5">
            <w:pPr>
              <w:pStyle w:val="CETBodytext"/>
              <w:ind w:right="-1"/>
              <w:jc w:val="left"/>
              <w:rPr>
                <w:rFonts w:cs="Arial"/>
                <w:b/>
                <w:bCs/>
                <w:szCs w:val="18"/>
                <w:lang w:val="en-GB"/>
              </w:rPr>
            </w:pPr>
            <w:r w:rsidRPr="00E756E7">
              <w:rPr>
                <w:rFonts w:cs="Arial"/>
                <w:b/>
                <w:bCs/>
                <w:szCs w:val="18"/>
                <w:lang w:val="en-GB"/>
              </w:rPr>
              <w:t>Overall safety index</w:t>
            </w:r>
          </w:p>
        </w:tc>
        <w:tc>
          <w:tcPr>
            <w:tcW w:w="709" w:type="dxa"/>
            <w:tcBorders>
              <w:top w:val="single" w:sz="4" w:space="0" w:color="auto"/>
            </w:tcBorders>
            <w:shd w:val="clear" w:color="auto" w:fill="FFFFFF"/>
            <w:vAlign w:val="center"/>
          </w:tcPr>
          <w:p w14:paraId="5A236A7C" w14:textId="6D142A36" w:rsidR="00E756E7" w:rsidRPr="00E756E7" w:rsidRDefault="00E756E7" w:rsidP="00740FF5">
            <w:pPr>
              <w:pStyle w:val="CETBodytext"/>
              <w:ind w:right="-1"/>
              <w:jc w:val="center"/>
              <w:rPr>
                <w:rFonts w:cs="Arial"/>
                <w:b/>
                <w:bCs/>
                <w:szCs w:val="18"/>
                <w:lang w:val="en-GB"/>
              </w:rPr>
            </w:pPr>
            <w:r w:rsidRPr="00E756E7">
              <w:rPr>
                <w:rFonts w:cs="Arial"/>
                <w:b/>
                <w:bCs/>
                <w:szCs w:val="18"/>
                <w:lang w:val="en-GB"/>
              </w:rPr>
              <w:t>+0.</w:t>
            </w:r>
            <w:r>
              <w:rPr>
                <w:rFonts w:cs="Arial"/>
                <w:b/>
                <w:bCs/>
                <w:szCs w:val="18"/>
                <w:lang w:val="en-GB"/>
              </w:rPr>
              <w:t>75</w:t>
            </w:r>
          </w:p>
        </w:tc>
        <w:tc>
          <w:tcPr>
            <w:tcW w:w="4392" w:type="dxa"/>
            <w:tcBorders>
              <w:top w:val="single" w:sz="4" w:space="0" w:color="auto"/>
            </w:tcBorders>
            <w:shd w:val="clear" w:color="auto" w:fill="FFFFFF"/>
            <w:vAlign w:val="center"/>
          </w:tcPr>
          <w:p w14:paraId="1BB90019" w14:textId="48292983" w:rsidR="00E756E7" w:rsidRPr="00E756E7" w:rsidRDefault="00E756E7" w:rsidP="00740FF5">
            <w:pPr>
              <w:pStyle w:val="CETBodytext"/>
              <w:ind w:right="-1"/>
              <w:jc w:val="left"/>
              <w:rPr>
                <w:rFonts w:cs="Arial"/>
                <w:b/>
                <w:bCs/>
                <w:szCs w:val="18"/>
                <w:lang w:val="en-GB"/>
              </w:rPr>
            </w:pPr>
            <w:r w:rsidRPr="00E756E7">
              <w:rPr>
                <w:rFonts w:cs="Arial"/>
                <w:b/>
                <w:bCs/>
                <w:szCs w:val="18"/>
                <w:lang w:val="en-GB"/>
              </w:rPr>
              <w:t>Elevated – prioritization recommended</w:t>
            </w:r>
          </w:p>
        </w:tc>
      </w:tr>
    </w:tbl>
    <w:p w14:paraId="16E546EA" w14:textId="73BD806D" w:rsidR="00E756E7" w:rsidRPr="00B57B36" w:rsidRDefault="00E756E7" w:rsidP="00E756E7">
      <w:pPr>
        <w:pStyle w:val="CETTabletitle"/>
      </w:pPr>
      <w:r w:rsidRPr="00B57B36">
        <w:t xml:space="preserve">Table </w:t>
      </w:r>
      <w:r w:rsidR="00D0542F">
        <w:t>3</w:t>
      </w:r>
      <w:r w:rsidRPr="00B57B36">
        <w:t xml:space="preserve">: </w:t>
      </w:r>
      <w:r w:rsidRPr="00E756E7">
        <w:t>Breakdown of sub-indices by category for the reference pilot-scale unit</w:t>
      </w:r>
      <w:r>
        <w:t>.</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
        <w:gridCol w:w="3382"/>
        <w:gridCol w:w="851"/>
        <w:gridCol w:w="4536"/>
      </w:tblGrid>
      <w:tr w:rsidR="00740FF5" w:rsidRPr="00B57B36" w14:paraId="51ED6F1C" w14:textId="77777777" w:rsidTr="00740FF5">
        <w:tc>
          <w:tcPr>
            <w:tcW w:w="3402" w:type="dxa"/>
            <w:gridSpan w:val="2"/>
            <w:tcBorders>
              <w:top w:val="single" w:sz="12" w:space="0" w:color="008000"/>
              <w:bottom w:val="single" w:sz="6" w:space="0" w:color="008000"/>
            </w:tcBorders>
            <w:shd w:val="clear" w:color="auto" w:fill="FFFFFF"/>
          </w:tcPr>
          <w:p w14:paraId="0DC493E2" w14:textId="731AD98B" w:rsidR="00740FF5" w:rsidRPr="00B57B36" w:rsidRDefault="00740FF5" w:rsidP="00EC7CA4">
            <w:pPr>
              <w:pStyle w:val="CETBodytext"/>
              <w:rPr>
                <w:lang w:val="en-GB"/>
              </w:rPr>
            </w:pPr>
            <w:r>
              <w:rPr>
                <w:lang w:val="en-GB"/>
              </w:rPr>
              <w:t>Sub-index description</w:t>
            </w:r>
          </w:p>
        </w:tc>
        <w:tc>
          <w:tcPr>
            <w:tcW w:w="851" w:type="dxa"/>
            <w:tcBorders>
              <w:top w:val="single" w:sz="12" w:space="0" w:color="008000"/>
              <w:bottom w:val="single" w:sz="6" w:space="0" w:color="008000"/>
            </w:tcBorders>
            <w:shd w:val="clear" w:color="auto" w:fill="FFFFFF"/>
            <w:vAlign w:val="center"/>
          </w:tcPr>
          <w:p w14:paraId="4969F9ED" w14:textId="40E9559D" w:rsidR="00740FF5" w:rsidRPr="00B57B36" w:rsidRDefault="00740FF5" w:rsidP="00EC7CA4">
            <w:pPr>
              <w:pStyle w:val="CETBodytext"/>
              <w:jc w:val="center"/>
              <w:rPr>
                <w:lang w:val="en-GB"/>
              </w:rPr>
            </w:pPr>
            <w:r>
              <w:rPr>
                <w:lang w:val="en-GB"/>
              </w:rPr>
              <w:t>Value</w:t>
            </w:r>
          </w:p>
        </w:tc>
        <w:tc>
          <w:tcPr>
            <w:tcW w:w="4536" w:type="dxa"/>
            <w:tcBorders>
              <w:top w:val="single" w:sz="12" w:space="0" w:color="008000"/>
              <w:bottom w:val="single" w:sz="6" w:space="0" w:color="008000"/>
            </w:tcBorders>
            <w:shd w:val="clear" w:color="auto" w:fill="FFFFFF"/>
            <w:vAlign w:val="center"/>
          </w:tcPr>
          <w:p w14:paraId="01A5D51D" w14:textId="77777777" w:rsidR="00740FF5" w:rsidRPr="00B57B36" w:rsidRDefault="00740FF5" w:rsidP="00D90CD8">
            <w:pPr>
              <w:pStyle w:val="CETBodytext"/>
              <w:ind w:right="-1"/>
              <w:jc w:val="left"/>
              <w:rPr>
                <w:rFonts w:cs="Arial"/>
                <w:szCs w:val="18"/>
                <w:lang w:val="en-GB"/>
              </w:rPr>
            </w:pPr>
            <w:r>
              <w:rPr>
                <w:rFonts w:cs="Arial"/>
                <w:szCs w:val="18"/>
                <w:lang w:val="en-GB"/>
              </w:rPr>
              <w:t>Qualitative interpretation</w:t>
            </w:r>
          </w:p>
        </w:tc>
      </w:tr>
      <w:tr w:rsidR="00740FF5" w:rsidRPr="00B57B36" w14:paraId="510D552F" w14:textId="77777777" w:rsidTr="00740FF5">
        <w:tc>
          <w:tcPr>
            <w:tcW w:w="3402" w:type="dxa"/>
            <w:gridSpan w:val="2"/>
            <w:tcBorders>
              <w:top w:val="single" w:sz="6" w:space="0" w:color="008000"/>
              <w:bottom w:val="single" w:sz="4" w:space="0" w:color="auto"/>
            </w:tcBorders>
            <w:shd w:val="clear" w:color="auto" w:fill="FFFFFF"/>
            <w:vAlign w:val="center"/>
          </w:tcPr>
          <w:p w14:paraId="66AAFBA1" w14:textId="0B288FBC" w:rsidR="00740FF5" w:rsidRPr="00740FF5" w:rsidRDefault="00740FF5" w:rsidP="00EC7CA4">
            <w:pPr>
              <w:pStyle w:val="CETBodytext"/>
              <w:jc w:val="left"/>
              <w:rPr>
                <w:sz w:val="16"/>
                <w:szCs w:val="16"/>
                <w:lang w:val="en-GB"/>
              </w:rPr>
            </w:pPr>
            <w:r w:rsidRPr="00D90CD8">
              <w:rPr>
                <w:sz w:val="16"/>
                <w:szCs w:val="16"/>
                <w:lang w:val="en-GB"/>
              </w:rPr>
              <w:t>C1</w:t>
            </w:r>
            <w:r>
              <w:rPr>
                <w:sz w:val="16"/>
                <w:szCs w:val="16"/>
                <w:lang w:val="en-GB"/>
              </w:rPr>
              <w:t xml:space="preserve"> </w:t>
            </w:r>
            <w:r>
              <w:rPr>
                <w:b/>
                <w:bCs/>
                <w:sz w:val="16"/>
                <w:szCs w:val="16"/>
                <w:lang w:val="en-GB"/>
              </w:rPr>
              <w:t xml:space="preserve">Intrinsic </w:t>
            </w:r>
            <w:r w:rsidRPr="00D90CD8">
              <w:rPr>
                <w:b/>
                <w:bCs/>
                <w:sz w:val="16"/>
                <w:szCs w:val="16"/>
                <w:lang w:val="en-GB"/>
              </w:rPr>
              <w:t>Process &amp; substance hazards</w:t>
            </w:r>
          </w:p>
        </w:tc>
        <w:tc>
          <w:tcPr>
            <w:tcW w:w="851" w:type="dxa"/>
            <w:tcBorders>
              <w:top w:val="single" w:sz="6" w:space="0" w:color="008000"/>
              <w:bottom w:val="single" w:sz="4" w:space="0" w:color="auto"/>
            </w:tcBorders>
            <w:shd w:val="clear" w:color="auto" w:fill="FFFFFF"/>
            <w:vAlign w:val="center"/>
          </w:tcPr>
          <w:p w14:paraId="4884468D" w14:textId="1F815994" w:rsidR="00740FF5" w:rsidRPr="00D90CD8" w:rsidRDefault="00740FF5" w:rsidP="00D90CD8">
            <w:pPr>
              <w:pStyle w:val="CETBodytext"/>
              <w:jc w:val="center"/>
              <w:rPr>
                <w:b/>
                <w:bCs/>
                <w:sz w:val="16"/>
                <w:szCs w:val="16"/>
                <w:lang w:val="en-GB"/>
              </w:rPr>
            </w:pPr>
            <w:r w:rsidRPr="00D90CD8">
              <w:rPr>
                <w:b/>
                <w:bCs/>
                <w:sz w:val="16"/>
                <w:szCs w:val="16"/>
                <w:lang w:val="en-GB"/>
              </w:rPr>
              <w:t>+0.00</w:t>
            </w:r>
          </w:p>
        </w:tc>
        <w:tc>
          <w:tcPr>
            <w:tcW w:w="4536" w:type="dxa"/>
            <w:tcBorders>
              <w:top w:val="single" w:sz="6" w:space="0" w:color="008000"/>
              <w:bottom w:val="single" w:sz="4" w:space="0" w:color="auto"/>
            </w:tcBorders>
            <w:shd w:val="clear" w:color="auto" w:fill="FFFFFF"/>
            <w:vAlign w:val="center"/>
          </w:tcPr>
          <w:p w14:paraId="15935AC1" w14:textId="5ABD800B" w:rsidR="00740FF5" w:rsidRPr="00D90CD8" w:rsidRDefault="00740FF5" w:rsidP="00D90CD8">
            <w:pPr>
              <w:pStyle w:val="CETBodytext"/>
              <w:ind w:right="-1"/>
              <w:jc w:val="left"/>
              <w:rPr>
                <w:rFonts w:cs="Arial"/>
                <w:sz w:val="16"/>
                <w:szCs w:val="16"/>
                <w:lang w:val="en-GB"/>
              </w:rPr>
            </w:pPr>
          </w:p>
        </w:tc>
      </w:tr>
      <w:tr w:rsidR="00E756E7" w:rsidRPr="00B57B36" w14:paraId="0D1AEF4B" w14:textId="77777777" w:rsidTr="00740FF5">
        <w:tc>
          <w:tcPr>
            <w:tcW w:w="20" w:type="dxa"/>
            <w:tcBorders>
              <w:top w:val="single" w:sz="4" w:space="0" w:color="auto"/>
            </w:tcBorders>
            <w:shd w:val="clear" w:color="auto" w:fill="FFFFFF"/>
            <w:vAlign w:val="center"/>
          </w:tcPr>
          <w:p w14:paraId="07EBB437" w14:textId="77777777" w:rsidR="00E756E7" w:rsidRPr="00D90CD8" w:rsidRDefault="00E756E7" w:rsidP="00EC7CA4">
            <w:pPr>
              <w:pStyle w:val="CETBodytext"/>
              <w:jc w:val="left"/>
              <w:rPr>
                <w:sz w:val="16"/>
                <w:szCs w:val="16"/>
                <w:lang w:val="en-GB"/>
              </w:rPr>
            </w:pPr>
          </w:p>
        </w:tc>
        <w:tc>
          <w:tcPr>
            <w:tcW w:w="3382" w:type="dxa"/>
            <w:tcBorders>
              <w:top w:val="single" w:sz="4" w:space="0" w:color="auto"/>
            </w:tcBorders>
            <w:shd w:val="clear" w:color="auto" w:fill="FFFFFF"/>
            <w:vAlign w:val="center"/>
          </w:tcPr>
          <w:p w14:paraId="786D559A" w14:textId="5BE1F0FB" w:rsidR="00E756E7" w:rsidRPr="00D90CD8" w:rsidRDefault="00E756E7" w:rsidP="00EC7CA4">
            <w:pPr>
              <w:pStyle w:val="CETBodytext"/>
              <w:jc w:val="left"/>
              <w:rPr>
                <w:sz w:val="16"/>
                <w:szCs w:val="16"/>
                <w:lang w:val="en-GB"/>
              </w:rPr>
            </w:pPr>
            <w:r w:rsidRPr="00D90CD8">
              <w:rPr>
                <w:sz w:val="16"/>
                <w:szCs w:val="16"/>
                <w:lang w:val="en-GB"/>
              </w:rPr>
              <w:t>Intrinsic hazardous properties</w:t>
            </w:r>
          </w:p>
        </w:tc>
        <w:tc>
          <w:tcPr>
            <w:tcW w:w="851" w:type="dxa"/>
            <w:tcBorders>
              <w:top w:val="single" w:sz="4" w:space="0" w:color="auto"/>
            </w:tcBorders>
            <w:shd w:val="clear" w:color="auto" w:fill="FFFFFF"/>
            <w:vAlign w:val="center"/>
          </w:tcPr>
          <w:p w14:paraId="1579FAEC" w14:textId="7FD93864" w:rsidR="00E756E7" w:rsidRPr="00D90CD8" w:rsidRDefault="00E756E7" w:rsidP="00D90CD8">
            <w:pPr>
              <w:pStyle w:val="CETBodytext"/>
              <w:jc w:val="center"/>
              <w:rPr>
                <w:sz w:val="16"/>
                <w:szCs w:val="16"/>
                <w:lang w:val="en-GB"/>
              </w:rPr>
            </w:pPr>
            <w:r w:rsidRPr="00D90CD8">
              <w:rPr>
                <w:sz w:val="16"/>
                <w:szCs w:val="16"/>
                <w:lang w:val="en-GB"/>
              </w:rPr>
              <w:t>+1.00</w:t>
            </w:r>
          </w:p>
        </w:tc>
        <w:tc>
          <w:tcPr>
            <w:tcW w:w="4536" w:type="dxa"/>
            <w:tcBorders>
              <w:top w:val="single" w:sz="4" w:space="0" w:color="auto"/>
            </w:tcBorders>
            <w:shd w:val="clear" w:color="auto" w:fill="FFFFFF"/>
            <w:vAlign w:val="center"/>
          </w:tcPr>
          <w:p w14:paraId="039BDA86" w14:textId="22C8F2FD"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Hazardous substances present, but at limited scale</w:t>
            </w:r>
            <w:r w:rsidR="0049184D">
              <w:rPr>
                <w:rFonts w:cs="Arial"/>
                <w:sz w:val="16"/>
                <w:szCs w:val="16"/>
                <w:lang w:val="en-GB"/>
              </w:rPr>
              <w:t>.</w:t>
            </w:r>
          </w:p>
        </w:tc>
      </w:tr>
      <w:tr w:rsidR="00E756E7" w:rsidRPr="00B57B36" w14:paraId="4475BFC9" w14:textId="77777777" w:rsidTr="00740FF5">
        <w:tc>
          <w:tcPr>
            <w:tcW w:w="20" w:type="dxa"/>
            <w:shd w:val="clear" w:color="auto" w:fill="FFFFFF"/>
            <w:vAlign w:val="center"/>
          </w:tcPr>
          <w:p w14:paraId="22BB90AE" w14:textId="77777777" w:rsidR="00E756E7" w:rsidRPr="00D90CD8" w:rsidRDefault="00E756E7" w:rsidP="00EC7CA4">
            <w:pPr>
              <w:pStyle w:val="CETBodytext"/>
              <w:jc w:val="left"/>
              <w:rPr>
                <w:sz w:val="16"/>
                <w:szCs w:val="16"/>
                <w:lang w:val="en-GB"/>
              </w:rPr>
            </w:pPr>
          </w:p>
        </w:tc>
        <w:tc>
          <w:tcPr>
            <w:tcW w:w="3382" w:type="dxa"/>
            <w:shd w:val="clear" w:color="auto" w:fill="FFFFFF"/>
            <w:vAlign w:val="center"/>
          </w:tcPr>
          <w:p w14:paraId="10AA3B2E" w14:textId="0C3C14A1" w:rsidR="00E756E7" w:rsidRPr="00D90CD8" w:rsidRDefault="00E756E7" w:rsidP="00EC7CA4">
            <w:pPr>
              <w:pStyle w:val="CETBodytext"/>
              <w:jc w:val="left"/>
              <w:rPr>
                <w:sz w:val="16"/>
                <w:szCs w:val="16"/>
                <w:lang w:val="en-GB"/>
              </w:rPr>
            </w:pPr>
            <w:r w:rsidRPr="00D90CD8">
              <w:rPr>
                <w:sz w:val="16"/>
                <w:szCs w:val="16"/>
                <w:lang w:val="en-GB"/>
              </w:rPr>
              <w:t>Reactivity and incompatibilities</w:t>
            </w:r>
          </w:p>
        </w:tc>
        <w:tc>
          <w:tcPr>
            <w:tcW w:w="851" w:type="dxa"/>
            <w:shd w:val="clear" w:color="auto" w:fill="FFFFFF"/>
            <w:vAlign w:val="center"/>
          </w:tcPr>
          <w:p w14:paraId="6DAD10A0" w14:textId="7F5E9393" w:rsidR="00E756E7" w:rsidRPr="00D90CD8" w:rsidRDefault="00E756E7" w:rsidP="00D90CD8">
            <w:pPr>
              <w:pStyle w:val="CETBodytext"/>
              <w:jc w:val="center"/>
              <w:rPr>
                <w:sz w:val="16"/>
                <w:szCs w:val="16"/>
                <w:lang w:val="en-GB"/>
              </w:rPr>
            </w:pPr>
            <w:r w:rsidRPr="00D90CD8">
              <w:rPr>
                <w:sz w:val="16"/>
                <w:szCs w:val="16"/>
                <w:lang w:val="en-GB"/>
              </w:rPr>
              <w:t>+1.00</w:t>
            </w:r>
          </w:p>
        </w:tc>
        <w:tc>
          <w:tcPr>
            <w:tcW w:w="4536" w:type="dxa"/>
            <w:shd w:val="clear" w:color="auto" w:fill="FFFFFF"/>
            <w:vAlign w:val="center"/>
          </w:tcPr>
          <w:p w14:paraId="2363BDD1" w14:textId="121E99D2" w:rsidR="00E756E7" w:rsidRPr="00D90CD8" w:rsidRDefault="00E756E7" w:rsidP="00D90CD8">
            <w:pPr>
              <w:pStyle w:val="CETBodytext"/>
              <w:ind w:right="-1"/>
              <w:jc w:val="left"/>
              <w:rPr>
                <w:rFonts w:cs="Arial"/>
                <w:sz w:val="16"/>
                <w:szCs w:val="16"/>
                <w:lang w:val="en-GB"/>
              </w:rPr>
            </w:pPr>
            <w:r w:rsidRPr="00D90CD8">
              <w:rPr>
                <w:sz w:val="16"/>
                <w:szCs w:val="16"/>
              </w:rPr>
              <w:t>Reactive chemistry with credible incompatibility scenarios (no runaway)</w:t>
            </w:r>
            <w:r w:rsidR="0049184D">
              <w:rPr>
                <w:sz w:val="16"/>
                <w:szCs w:val="16"/>
              </w:rPr>
              <w:t>.</w:t>
            </w:r>
          </w:p>
        </w:tc>
      </w:tr>
      <w:tr w:rsidR="00E756E7" w:rsidRPr="00B57B36" w14:paraId="400E4BBC" w14:textId="77777777" w:rsidTr="00740FF5">
        <w:tc>
          <w:tcPr>
            <w:tcW w:w="20" w:type="dxa"/>
            <w:shd w:val="clear" w:color="auto" w:fill="FFFFFF"/>
            <w:vAlign w:val="center"/>
          </w:tcPr>
          <w:p w14:paraId="690A2C9A" w14:textId="77777777" w:rsidR="00E756E7" w:rsidRPr="00D90CD8" w:rsidRDefault="00E756E7" w:rsidP="00EC7CA4">
            <w:pPr>
              <w:pStyle w:val="CETBodytext"/>
              <w:jc w:val="left"/>
              <w:rPr>
                <w:sz w:val="16"/>
                <w:szCs w:val="16"/>
                <w:lang w:val="en-GB"/>
              </w:rPr>
            </w:pPr>
          </w:p>
        </w:tc>
        <w:tc>
          <w:tcPr>
            <w:tcW w:w="3382" w:type="dxa"/>
            <w:shd w:val="clear" w:color="auto" w:fill="FFFFFF"/>
            <w:vAlign w:val="center"/>
          </w:tcPr>
          <w:p w14:paraId="465E0FEC" w14:textId="3F52C425" w:rsidR="00E756E7" w:rsidRPr="00D90CD8" w:rsidRDefault="00E756E7" w:rsidP="00EC7CA4">
            <w:pPr>
              <w:pStyle w:val="CETBodytext"/>
              <w:jc w:val="left"/>
              <w:rPr>
                <w:sz w:val="16"/>
                <w:szCs w:val="16"/>
                <w:lang w:val="en-GB"/>
              </w:rPr>
            </w:pPr>
            <w:r w:rsidRPr="00D90CD8">
              <w:rPr>
                <w:sz w:val="16"/>
                <w:szCs w:val="16"/>
                <w:lang w:val="en-GB"/>
              </w:rPr>
              <w:t>Inventory and operating severity</w:t>
            </w:r>
          </w:p>
        </w:tc>
        <w:tc>
          <w:tcPr>
            <w:tcW w:w="851" w:type="dxa"/>
            <w:shd w:val="clear" w:color="auto" w:fill="FFFFFF"/>
            <w:vAlign w:val="center"/>
          </w:tcPr>
          <w:p w14:paraId="2195B3DE" w14:textId="5F31D0F4" w:rsidR="00E756E7" w:rsidRPr="00D90CD8" w:rsidRDefault="00E756E7" w:rsidP="00D90CD8">
            <w:pPr>
              <w:pStyle w:val="CETBodytext"/>
              <w:jc w:val="center"/>
              <w:rPr>
                <w:sz w:val="16"/>
                <w:szCs w:val="16"/>
                <w:lang w:val="en-GB"/>
              </w:rPr>
            </w:pPr>
            <w:r w:rsidRPr="00D90CD8">
              <w:rPr>
                <w:sz w:val="16"/>
                <w:szCs w:val="16"/>
                <w:lang w:val="en-GB"/>
              </w:rPr>
              <w:t>-1.00</w:t>
            </w:r>
          </w:p>
        </w:tc>
        <w:tc>
          <w:tcPr>
            <w:tcW w:w="4536" w:type="dxa"/>
            <w:shd w:val="clear" w:color="auto" w:fill="FFFFFF"/>
            <w:vAlign w:val="center"/>
          </w:tcPr>
          <w:p w14:paraId="07220B0B" w14:textId="3AFFD2D3" w:rsidR="00E756E7" w:rsidRPr="00D90CD8" w:rsidRDefault="00E756E7" w:rsidP="00D90CD8">
            <w:pPr>
              <w:pStyle w:val="CETBodytext"/>
              <w:ind w:right="-1"/>
              <w:jc w:val="left"/>
              <w:rPr>
                <w:rFonts w:cs="Arial"/>
                <w:sz w:val="16"/>
                <w:szCs w:val="16"/>
                <w:lang w:val="en-GB"/>
              </w:rPr>
            </w:pPr>
            <w:r w:rsidRPr="00D90CD8">
              <w:rPr>
                <w:sz w:val="16"/>
                <w:szCs w:val="16"/>
              </w:rPr>
              <w:t>Small inventories and limited hold-up</w:t>
            </w:r>
            <w:r w:rsidR="0049184D">
              <w:rPr>
                <w:sz w:val="16"/>
                <w:szCs w:val="16"/>
              </w:rPr>
              <w:t>.</w:t>
            </w:r>
          </w:p>
        </w:tc>
      </w:tr>
      <w:tr w:rsidR="00E756E7" w:rsidRPr="00B57B36" w14:paraId="56F7C576" w14:textId="77777777" w:rsidTr="00740FF5">
        <w:tc>
          <w:tcPr>
            <w:tcW w:w="20" w:type="dxa"/>
            <w:tcBorders>
              <w:bottom w:val="single" w:sz="4" w:space="0" w:color="auto"/>
            </w:tcBorders>
            <w:shd w:val="clear" w:color="auto" w:fill="FFFFFF"/>
            <w:vAlign w:val="center"/>
          </w:tcPr>
          <w:p w14:paraId="1A40E831" w14:textId="77777777" w:rsidR="00E756E7" w:rsidRPr="00D90CD8" w:rsidRDefault="00E756E7" w:rsidP="00EC7CA4">
            <w:pPr>
              <w:pStyle w:val="CETBodytext"/>
              <w:jc w:val="left"/>
              <w:rPr>
                <w:sz w:val="16"/>
                <w:szCs w:val="16"/>
                <w:lang w:val="en-GB"/>
              </w:rPr>
            </w:pPr>
          </w:p>
        </w:tc>
        <w:tc>
          <w:tcPr>
            <w:tcW w:w="3382" w:type="dxa"/>
            <w:tcBorders>
              <w:bottom w:val="single" w:sz="4" w:space="0" w:color="auto"/>
            </w:tcBorders>
            <w:shd w:val="clear" w:color="auto" w:fill="FFFFFF"/>
            <w:vAlign w:val="center"/>
          </w:tcPr>
          <w:p w14:paraId="4718658F" w14:textId="057D0580" w:rsidR="00E756E7" w:rsidRPr="00D90CD8" w:rsidRDefault="00E756E7" w:rsidP="00EC7CA4">
            <w:pPr>
              <w:pStyle w:val="CETBodytext"/>
              <w:jc w:val="left"/>
              <w:rPr>
                <w:sz w:val="16"/>
                <w:szCs w:val="16"/>
                <w:lang w:val="en-GB"/>
              </w:rPr>
            </w:pPr>
            <w:r w:rsidRPr="00D90CD8">
              <w:rPr>
                <w:sz w:val="16"/>
                <w:szCs w:val="16"/>
                <w:lang w:val="en-GB"/>
              </w:rPr>
              <w:t>Novelty and data uncertainty</w:t>
            </w:r>
          </w:p>
        </w:tc>
        <w:tc>
          <w:tcPr>
            <w:tcW w:w="851" w:type="dxa"/>
            <w:tcBorders>
              <w:bottom w:val="single" w:sz="4" w:space="0" w:color="auto"/>
            </w:tcBorders>
            <w:shd w:val="clear" w:color="auto" w:fill="FFFFFF"/>
            <w:vAlign w:val="center"/>
          </w:tcPr>
          <w:p w14:paraId="0DFCFCEA" w14:textId="5C214223" w:rsidR="00E756E7" w:rsidRPr="00D90CD8" w:rsidRDefault="00E756E7" w:rsidP="00D90CD8">
            <w:pPr>
              <w:pStyle w:val="CETBodytext"/>
              <w:jc w:val="center"/>
              <w:rPr>
                <w:sz w:val="16"/>
                <w:szCs w:val="16"/>
                <w:lang w:val="en-GB"/>
              </w:rPr>
            </w:pPr>
            <w:r w:rsidRPr="00D90CD8">
              <w:rPr>
                <w:sz w:val="16"/>
                <w:szCs w:val="16"/>
                <w:lang w:val="en-GB"/>
              </w:rPr>
              <w:t>-1.00</w:t>
            </w:r>
          </w:p>
        </w:tc>
        <w:tc>
          <w:tcPr>
            <w:tcW w:w="4536" w:type="dxa"/>
            <w:tcBorders>
              <w:bottom w:val="single" w:sz="4" w:space="0" w:color="auto"/>
            </w:tcBorders>
            <w:shd w:val="clear" w:color="auto" w:fill="FFFFFF"/>
            <w:vAlign w:val="center"/>
          </w:tcPr>
          <w:p w14:paraId="3D7F47F1" w14:textId="0347B1B6" w:rsidR="00E756E7" w:rsidRPr="00D90CD8" w:rsidRDefault="00E756E7" w:rsidP="00D90CD8">
            <w:pPr>
              <w:pStyle w:val="CETBodytext"/>
              <w:ind w:right="-1"/>
              <w:jc w:val="left"/>
              <w:rPr>
                <w:rFonts w:cs="Arial"/>
                <w:sz w:val="16"/>
                <w:szCs w:val="16"/>
                <w:lang w:val="en-GB"/>
              </w:rPr>
            </w:pPr>
            <w:r w:rsidRPr="00D90CD8">
              <w:rPr>
                <w:sz w:val="16"/>
                <w:szCs w:val="16"/>
              </w:rPr>
              <w:t>Chemistry and operating window reasonably characterized</w:t>
            </w:r>
            <w:r w:rsidR="0049184D">
              <w:rPr>
                <w:sz w:val="16"/>
                <w:szCs w:val="16"/>
              </w:rPr>
              <w:t>.</w:t>
            </w:r>
          </w:p>
        </w:tc>
      </w:tr>
      <w:tr w:rsidR="00740FF5" w:rsidRPr="00B57B36" w14:paraId="0D69ED4F" w14:textId="77777777" w:rsidTr="00740FF5">
        <w:tc>
          <w:tcPr>
            <w:tcW w:w="3402" w:type="dxa"/>
            <w:gridSpan w:val="2"/>
            <w:tcBorders>
              <w:top w:val="single" w:sz="4" w:space="0" w:color="auto"/>
              <w:bottom w:val="single" w:sz="4" w:space="0" w:color="auto"/>
            </w:tcBorders>
            <w:shd w:val="clear" w:color="auto" w:fill="FFFFFF"/>
            <w:vAlign w:val="center"/>
          </w:tcPr>
          <w:p w14:paraId="4E62F22F" w14:textId="381E1F92" w:rsidR="00740FF5" w:rsidRPr="00D90CD8" w:rsidRDefault="00740FF5" w:rsidP="00740FF5">
            <w:pPr>
              <w:pStyle w:val="CETBodytext"/>
              <w:ind w:right="-1"/>
              <w:jc w:val="left"/>
              <w:rPr>
                <w:rFonts w:cs="Arial"/>
                <w:b/>
                <w:bCs/>
                <w:sz w:val="16"/>
                <w:szCs w:val="16"/>
                <w:lang w:val="en-GB"/>
              </w:rPr>
            </w:pPr>
            <w:r w:rsidRPr="00D90CD8">
              <w:rPr>
                <w:rFonts w:cs="Arial"/>
                <w:sz w:val="16"/>
                <w:szCs w:val="16"/>
                <w:lang w:val="en-GB"/>
              </w:rPr>
              <w:t>C2</w:t>
            </w:r>
            <w:r>
              <w:rPr>
                <w:rFonts w:cs="Arial"/>
                <w:sz w:val="16"/>
                <w:szCs w:val="16"/>
                <w:lang w:val="en-GB"/>
              </w:rPr>
              <w:t xml:space="preserve"> </w:t>
            </w:r>
            <w:r w:rsidRPr="00D90CD8">
              <w:rPr>
                <w:rFonts w:cs="Arial"/>
                <w:b/>
                <w:bCs/>
                <w:sz w:val="16"/>
                <w:szCs w:val="16"/>
                <w:lang w:val="en-GB"/>
              </w:rPr>
              <w:t>Design, modifications and mechanical integrity</w:t>
            </w:r>
          </w:p>
        </w:tc>
        <w:tc>
          <w:tcPr>
            <w:tcW w:w="851" w:type="dxa"/>
            <w:tcBorders>
              <w:top w:val="single" w:sz="4" w:space="0" w:color="auto"/>
              <w:bottom w:val="single" w:sz="4" w:space="0" w:color="auto"/>
            </w:tcBorders>
            <w:shd w:val="clear" w:color="auto" w:fill="FFFFFF"/>
            <w:vAlign w:val="center"/>
          </w:tcPr>
          <w:p w14:paraId="44F1D548" w14:textId="2FF80452" w:rsidR="00740FF5" w:rsidRPr="00D90CD8" w:rsidRDefault="00740FF5" w:rsidP="00EC7CA4">
            <w:pPr>
              <w:pStyle w:val="CETBodytext"/>
              <w:ind w:right="-1"/>
              <w:jc w:val="center"/>
              <w:rPr>
                <w:rFonts w:cs="Arial"/>
                <w:b/>
                <w:bCs/>
                <w:sz w:val="16"/>
                <w:szCs w:val="16"/>
                <w:lang w:val="en-GB"/>
              </w:rPr>
            </w:pPr>
            <w:r w:rsidRPr="00D90CD8">
              <w:rPr>
                <w:rFonts w:cs="Arial"/>
                <w:b/>
                <w:bCs/>
                <w:sz w:val="16"/>
                <w:szCs w:val="16"/>
                <w:lang w:val="en-GB"/>
              </w:rPr>
              <w:t>+1.25</w:t>
            </w:r>
          </w:p>
        </w:tc>
        <w:tc>
          <w:tcPr>
            <w:tcW w:w="4536" w:type="dxa"/>
            <w:tcBorders>
              <w:top w:val="single" w:sz="4" w:space="0" w:color="auto"/>
              <w:bottom w:val="single" w:sz="4" w:space="0" w:color="auto"/>
            </w:tcBorders>
            <w:shd w:val="clear" w:color="auto" w:fill="FFFFFF"/>
            <w:vAlign w:val="center"/>
          </w:tcPr>
          <w:p w14:paraId="0C900DB1" w14:textId="6CB1ABA6" w:rsidR="00740FF5" w:rsidRPr="00D90CD8" w:rsidRDefault="00740FF5" w:rsidP="00D90CD8">
            <w:pPr>
              <w:pStyle w:val="CETBodytext"/>
              <w:ind w:right="-1"/>
              <w:jc w:val="left"/>
              <w:rPr>
                <w:rFonts w:cs="Arial"/>
                <w:sz w:val="16"/>
                <w:szCs w:val="16"/>
                <w:lang w:val="en-GB"/>
              </w:rPr>
            </w:pPr>
          </w:p>
        </w:tc>
      </w:tr>
      <w:tr w:rsidR="00E756E7" w:rsidRPr="00B57B36" w14:paraId="3A7DB223" w14:textId="77777777" w:rsidTr="00740FF5">
        <w:tc>
          <w:tcPr>
            <w:tcW w:w="20" w:type="dxa"/>
            <w:tcBorders>
              <w:top w:val="single" w:sz="4" w:space="0" w:color="auto"/>
            </w:tcBorders>
            <w:shd w:val="clear" w:color="auto" w:fill="FFFFFF"/>
            <w:vAlign w:val="center"/>
          </w:tcPr>
          <w:p w14:paraId="2728D8ED" w14:textId="77777777" w:rsidR="00E756E7" w:rsidRPr="00D90CD8" w:rsidRDefault="00E756E7" w:rsidP="00EC7CA4">
            <w:pPr>
              <w:pStyle w:val="CETBodytext"/>
              <w:ind w:right="-1"/>
              <w:jc w:val="left"/>
              <w:rPr>
                <w:rFonts w:cs="Arial"/>
                <w:sz w:val="16"/>
                <w:szCs w:val="16"/>
                <w:lang w:val="en-GB"/>
              </w:rPr>
            </w:pPr>
          </w:p>
        </w:tc>
        <w:tc>
          <w:tcPr>
            <w:tcW w:w="3382" w:type="dxa"/>
            <w:tcBorders>
              <w:top w:val="single" w:sz="4" w:space="0" w:color="auto"/>
            </w:tcBorders>
            <w:shd w:val="clear" w:color="auto" w:fill="FFFFFF"/>
            <w:vAlign w:val="center"/>
          </w:tcPr>
          <w:p w14:paraId="6516C18E" w14:textId="680A0D43"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Relief and venting adequacy</w:t>
            </w:r>
          </w:p>
        </w:tc>
        <w:tc>
          <w:tcPr>
            <w:tcW w:w="851" w:type="dxa"/>
            <w:tcBorders>
              <w:top w:val="single" w:sz="4" w:space="0" w:color="auto"/>
            </w:tcBorders>
            <w:shd w:val="clear" w:color="auto" w:fill="FFFFFF"/>
            <w:vAlign w:val="center"/>
          </w:tcPr>
          <w:p w14:paraId="350C4D09" w14:textId="14929C92"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+1.00</w:t>
            </w:r>
          </w:p>
        </w:tc>
        <w:tc>
          <w:tcPr>
            <w:tcW w:w="4536" w:type="dxa"/>
            <w:tcBorders>
              <w:top w:val="single" w:sz="4" w:space="0" w:color="auto"/>
            </w:tcBorders>
            <w:shd w:val="clear" w:color="auto" w:fill="FFFFFF"/>
            <w:vAlign w:val="center"/>
          </w:tcPr>
          <w:p w14:paraId="33F4340D" w14:textId="70794A69"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Relief present but sized for evolving experimental scenarios</w:t>
            </w:r>
            <w:r w:rsidR="0049184D">
              <w:rPr>
                <w:rFonts w:cs="Arial"/>
                <w:sz w:val="16"/>
                <w:szCs w:val="16"/>
                <w:lang w:val="en-GB"/>
              </w:rPr>
              <w:t>.</w:t>
            </w:r>
          </w:p>
        </w:tc>
      </w:tr>
      <w:tr w:rsidR="00E756E7" w:rsidRPr="00B57B36" w14:paraId="342D0D40" w14:textId="77777777" w:rsidTr="00740FF5">
        <w:tc>
          <w:tcPr>
            <w:tcW w:w="20" w:type="dxa"/>
            <w:shd w:val="clear" w:color="auto" w:fill="FFFFFF"/>
            <w:vAlign w:val="center"/>
          </w:tcPr>
          <w:p w14:paraId="57181FA6" w14:textId="77777777" w:rsidR="00E756E7" w:rsidRPr="00D90CD8" w:rsidRDefault="00E756E7" w:rsidP="00EC7CA4">
            <w:pPr>
              <w:pStyle w:val="CETBodytext"/>
              <w:ind w:right="-1"/>
              <w:jc w:val="left"/>
              <w:rPr>
                <w:rFonts w:cs="Arial"/>
                <w:sz w:val="16"/>
                <w:szCs w:val="16"/>
                <w:lang w:val="en-GB"/>
              </w:rPr>
            </w:pPr>
          </w:p>
        </w:tc>
        <w:tc>
          <w:tcPr>
            <w:tcW w:w="3382" w:type="dxa"/>
            <w:shd w:val="clear" w:color="auto" w:fill="FFFFFF"/>
            <w:vAlign w:val="center"/>
          </w:tcPr>
          <w:p w14:paraId="538305FC" w14:textId="550D1E5C"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Temporary connections and interfaces</w:t>
            </w:r>
          </w:p>
        </w:tc>
        <w:tc>
          <w:tcPr>
            <w:tcW w:w="851" w:type="dxa"/>
            <w:shd w:val="clear" w:color="auto" w:fill="FFFFFF"/>
            <w:vAlign w:val="center"/>
          </w:tcPr>
          <w:p w14:paraId="648976DA" w14:textId="6A938C1E"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+2.00</w:t>
            </w:r>
          </w:p>
        </w:tc>
        <w:tc>
          <w:tcPr>
            <w:tcW w:w="4536" w:type="dxa"/>
            <w:shd w:val="clear" w:color="auto" w:fill="FFFFFF"/>
            <w:vAlign w:val="center"/>
          </w:tcPr>
          <w:p w14:paraId="08A16F07" w14:textId="7828A04B"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Extensive use of temporary hoses and adapters</w:t>
            </w:r>
            <w:r w:rsidR="0049184D">
              <w:rPr>
                <w:rFonts w:cs="Arial"/>
                <w:sz w:val="16"/>
                <w:szCs w:val="16"/>
                <w:lang w:val="en-GB"/>
              </w:rPr>
              <w:t>.</w:t>
            </w:r>
          </w:p>
        </w:tc>
      </w:tr>
      <w:tr w:rsidR="00E756E7" w:rsidRPr="00B57B36" w14:paraId="6187C43F" w14:textId="77777777" w:rsidTr="00740FF5">
        <w:tc>
          <w:tcPr>
            <w:tcW w:w="20" w:type="dxa"/>
            <w:shd w:val="clear" w:color="auto" w:fill="FFFFFF"/>
            <w:vAlign w:val="center"/>
          </w:tcPr>
          <w:p w14:paraId="30B21CFD" w14:textId="77777777" w:rsidR="00E756E7" w:rsidRPr="00D90CD8" w:rsidRDefault="00E756E7" w:rsidP="00EC7CA4">
            <w:pPr>
              <w:pStyle w:val="CETBodytext"/>
              <w:ind w:right="-1"/>
              <w:jc w:val="left"/>
              <w:rPr>
                <w:rFonts w:cs="Arial"/>
                <w:sz w:val="16"/>
                <w:szCs w:val="16"/>
                <w:lang w:val="en-GB"/>
              </w:rPr>
            </w:pPr>
          </w:p>
        </w:tc>
        <w:tc>
          <w:tcPr>
            <w:tcW w:w="3382" w:type="dxa"/>
            <w:shd w:val="clear" w:color="auto" w:fill="FFFFFF"/>
            <w:vAlign w:val="center"/>
          </w:tcPr>
          <w:p w14:paraId="3C0EE795" w14:textId="66A3AFCE"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Mechanical integrity and ratings</w:t>
            </w:r>
          </w:p>
        </w:tc>
        <w:tc>
          <w:tcPr>
            <w:tcW w:w="851" w:type="dxa"/>
            <w:shd w:val="clear" w:color="auto" w:fill="FFFFFF"/>
            <w:vAlign w:val="center"/>
          </w:tcPr>
          <w:p w14:paraId="22D71885" w14:textId="43B6AAC9"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+1.00</w:t>
            </w:r>
          </w:p>
        </w:tc>
        <w:tc>
          <w:tcPr>
            <w:tcW w:w="4536" w:type="dxa"/>
            <w:shd w:val="clear" w:color="auto" w:fill="FFFFFF"/>
            <w:vAlign w:val="center"/>
          </w:tcPr>
          <w:p w14:paraId="30D4748B" w14:textId="499A61A5"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Equipment subject to frequent reconfiguration</w:t>
            </w:r>
            <w:r w:rsidR="0049184D">
              <w:rPr>
                <w:rFonts w:cs="Arial"/>
                <w:sz w:val="16"/>
                <w:szCs w:val="16"/>
                <w:lang w:val="en-GB"/>
              </w:rPr>
              <w:t>.</w:t>
            </w:r>
          </w:p>
        </w:tc>
      </w:tr>
      <w:tr w:rsidR="00E756E7" w:rsidRPr="00B57B36" w14:paraId="163584DE" w14:textId="77777777" w:rsidTr="00740FF5">
        <w:tc>
          <w:tcPr>
            <w:tcW w:w="20" w:type="dxa"/>
            <w:tcBorders>
              <w:bottom w:val="single" w:sz="4" w:space="0" w:color="auto"/>
            </w:tcBorders>
            <w:shd w:val="clear" w:color="auto" w:fill="FFFFFF"/>
            <w:vAlign w:val="center"/>
          </w:tcPr>
          <w:p w14:paraId="0CD276B4" w14:textId="77777777" w:rsidR="00E756E7" w:rsidRPr="00D90CD8" w:rsidRDefault="00E756E7" w:rsidP="00EC7CA4">
            <w:pPr>
              <w:pStyle w:val="CETBodytext"/>
              <w:ind w:right="-1"/>
              <w:jc w:val="left"/>
              <w:rPr>
                <w:rFonts w:cs="Arial"/>
                <w:sz w:val="16"/>
                <w:szCs w:val="16"/>
                <w:lang w:val="en-GB"/>
              </w:rPr>
            </w:pPr>
          </w:p>
        </w:tc>
        <w:tc>
          <w:tcPr>
            <w:tcW w:w="3382" w:type="dxa"/>
            <w:tcBorders>
              <w:bottom w:val="single" w:sz="4" w:space="0" w:color="auto"/>
            </w:tcBorders>
            <w:shd w:val="clear" w:color="auto" w:fill="FFFFFF"/>
            <w:vAlign w:val="center"/>
          </w:tcPr>
          <w:p w14:paraId="012081CE" w14:textId="0AE3BC79"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Change management and documentation</w:t>
            </w:r>
          </w:p>
        </w:tc>
        <w:tc>
          <w:tcPr>
            <w:tcW w:w="851" w:type="dxa"/>
            <w:tcBorders>
              <w:bottom w:val="single" w:sz="4" w:space="0" w:color="auto"/>
            </w:tcBorders>
            <w:shd w:val="clear" w:color="auto" w:fill="FFFFFF"/>
            <w:vAlign w:val="center"/>
          </w:tcPr>
          <w:p w14:paraId="572067F8" w14:textId="59A353D8"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+1.00</w:t>
            </w:r>
          </w:p>
        </w:tc>
        <w:tc>
          <w:tcPr>
            <w:tcW w:w="4536" w:type="dxa"/>
            <w:tcBorders>
              <w:bottom w:val="single" w:sz="4" w:space="0" w:color="auto"/>
            </w:tcBorders>
            <w:shd w:val="clear" w:color="auto" w:fill="FFFFFF"/>
            <w:vAlign w:val="center"/>
          </w:tcPr>
          <w:p w14:paraId="11416E6A" w14:textId="42A0CF48"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Change tracking present but informal</w:t>
            </w:r>
            <w:r w:rsidR="0049184D">
              <w:rPr>
                <w:rFonts w:cs="Arial"/>
                <w:sz w:val="16"/>
                <w:szCs w:val="16"/>
                <w:lang w:val="en-GB"/>
              </w:rPr>
              <w:t>.</w:t>
            </w:r>
          </w:p>
        </w:tc>
      </w:tr>
      <w:tr w:rsidR="00740FF5" w:rsidRPr="00B57B36" w14:paraId="7BD4C710" w14:textId="77777777" w:rsidTr="00740FF5">
        <w:tc>
          <w:tcPr>
            <w:tcW w:w="3402" w:type="dxa"/>
            <w:gridSpan w:val="2"/>
            <w:tcBorders>
              <w:top w:val="single" w:sz="4" w:space="0" w:color="auto"/>
              <w:bottom w:val="single" w:sz="4" w:space="0" w:color="auto"/>
            </w:tcBorders>
            <w:shd w:val="clear" w:color="auto" w:fill="FFFFFF"/>
            <w:vAlign w:val="center"/>
          </w:tcPr>
          <w:p w14:paraId="29A5E41A" w14:textId="57FC9031" w:rsidR="00740FF5" w:rsidRPr="00740FF5" w:rsidRDefault="00740FF5" w:rsidP="00EC7CA4">
            <w:pPr>
              <w:pStyle w:val="CETBodytext"/>
              <w:ind w:right="-1"/>
              <w:jc w:val="left"/>
              <w:rPr>
                <w:rFonts w:cs="Arial"/>
                <w:sz w:val="16"/>
                <w:szCs w:val="16"/>
                <w:lang w:val="en-GB"/>
              </w:rPr>
            </w:pPr>
            <w:r w:rsidRPr="00D90CD8">
              <w:rPr>
                <w:rFonts w:cs="Arial"/>
                <w:sz w:val="16"/>
                <w:szCs w:val="16"/>
                <w:lang w:val="en-GB"/>
              </w:rPr>
              <w:t>C3</w:t>
            </w:r>
            <w:r>
              <w:rPr>
                <w:rFonts w:cs="Arial"/>
                <w:sz w:val="16"/>
                <w:szCs w:val="16"/>
                <w:lang w:val="en-GB"/>
              </w:rPr>
              <w:t xml:space="preserve"> </w:t>
            </w:r>
            <w:r w:rsidRPr="00D90CD8">
              <w:rPr>
                <w:rFonts w:cs="Arial"/>
                <w:b/>
                <w:bCs/>
                <w:sz w:val="16"/>
                <w:szCs w:val="16"/>
                <w:lang w:val="en-GB"/>
              </w:rPr>
              <w:t>Operations and human factors</w:t>
            </w:r>
          </w:p>
        </w:tc>
        <w:tc>
          <w:tcPr>
            <w:tcW w:w="851" w:type="dxa"/>
            <w:tcBorders>
              <w:top w:val="single" w:sz="4" w:space="0" w:color="auto"/>
              <w:bottom w:val="single" w:sz="4" w:space="0" w:color="auto"/>
            </w:tcBorders>
            <w:shd w:val="clear" w:color="auto" w:fill="FFFFFF"/>
            <w:vAlign w:val="center"/>
          </w:tcPr>
          <w:p w14:paraId="5C2C92AF" w14:textId="40878B18" w:rsidR="00740FF5" w:rsidRPr="00D90CD8" w:rsidRDefault="00740FF5" w:rsidP="00EC7CA4">
            <w:pPr>
              <w:pStyle w:val="CETBodytext"/>
              <w:ind w:right="-1"/>
              <w:jc w:val="center"/>
              <w:rPr>
                <w:rFonts w:cs="Arial"/>
                <w:b/>
                <w:bCs/>
                <w:sz w:val="16"/>
                <w:szCs w:val="16"/>
                <w:lang w:val="en-GB"/>
              </w:rPr>
            </w:pPr>
            <w:r w:rsidRPr="00D90CD8">
              <w:rPr>
                <w:rFonts w:cs="Arial"/>
                <w:b/>
                <w:bCs/>
                <w:sz w:val="16"/>
                <w:szCs w:val="16"/>
                <w:lang w:val="en-GB"/>
              </w:rPr>
              <w:t>+1.50</w:t>
            </w:r>
          </w:p>
        </w:tc>
        <w:tc>
          <w:tcPr>
            <w:tcW w:w="4536" w:type="dxa"/>
            <w:tcBorders>
              <w:top w:val="single" w:sz="4" w:space="0" w:color="auto"/>
              <w:bottom w:val="single" w:sz="4" w:space="0" w:color="auto"/>
            </w:tcBorders>
            <w:shd w:val="clear" w:color="auto" w:fill="FFFFFF"/>
            <w:vAlign w:val="center"/>
          </w:tcPr>
          <w:p w14:paraId="35042A3A" w14:textId="7A27EC67" w:rsidR="00740FF5" w:rsidRPr="00D90CD8" w:rsidRDefault="00740FF5" w:rsidP="00D90CD8">
            <w:pPr>
              <w:pStyle w:val="CETBodytext"/>
              <w:ind w:right="-1"/>
              <w:jc w:val="left"/>
              <w:rPr>
                <w:rFonts w:cs="Arial"/>
                <w:sz w:val="16"/>
                <w:szCs w:val="16"/>
                <w:lang w:val="en-GB"/>
              </w:rPr>
            </w:pPr>
          </w:p>
        </w:tc>
      </w:tr>
      <w:tr w:rsidR="00E756E7" w:rsidRPr="00B57B36" w14:paraId="4A30A6B2" w14:textId="77777777" w:rsidTr="00740FF5">
        <w:tc>
          <w:tcPr>
            <w:tcW w:w="20" w:type="dxa"/>
            <w:tcBorders>
              <w:top w:val="single" w:sz="4" w:space="0" w:color="auto"/>
            </w:tcBorders>
            <w:shd w:val="clear" w:color="auto" w:fill="FFFFFF"/>
            <w:vAlign w:val="center"/>
          </w:tcPr>
          <w:p w14:paraId="1D891FB0" w14:textId="77777777" w:rsidR="00E756E7" w:rsidRPr="00D90CD8" w:rsidRDefault="00E756E7" w:rsidP="00EC7CA4">
            <w:pPr>
              <w:pStyle w:val="CETBodytext"/>
              <w:ind w:right="-1"/>
              <w:jc w:val="left"/>
              <w:rPr>
                <w:rFonts w:cs="Arial"/>
                <w:sz w:val="16"/>
                <w:szCs w:val="16"/>
                <w:lang w:val="en-GB"/>
              </w:rPr>
            </w:pPr>
          </w:p>
        </w:tc>
        <w:tc>
          <w:tcPr>
            <w:tcW w:w="3382" w:type="dxa"/>
            <w:tcBorders>
              <w:top w:val="single" w:sz="4" w:space="0" w:color="auto"/>
            </w:tcBorders>
            <w:shd w:val="clear" w:color="auto" w:fill="FFFFFF"/>
            <w:vAlign w:val="center"/>
          </w:tcPr>
          <w:p w14:paraId="30917223" w14:textId="32420527"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Procedures &amp; work practices</w:t>
            </w:r>
          </w:p>
        </w:tc>
        <w:tc>
          <w:tcPr>
            <w:tcW w:w="851" w:type="dxa"/>
            <w:tcBorders>
              <w:top w:val="single" w:sz="4" w:space="0" w:color="auto"/>
            </w:tcBorders>
            <w:shd w:val="clear" w:color="auto" w:fill="FFFFFF"/>
            <w:vAlign w:val="center"/>
          </w:tcPr>
          <w:p w14:paraId="56D48254" w14:textId="52F4EF62"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+1.00</w:t>
            </w:r>
          </w:p>
        </w:tc>
        <w:tc>
          <w:tcPr>
            <w:tcW w:w="4536" w:type="dxa"/>
            <w:tcBorders>
              <w:top w:val="single" w:sz="4" w:space="0" w:color="auto"/>
            </w:tcBorders>
            <w:shd w:val="clear" w:color="auto" w:fill="FFFFFF"/>
            <w:vAlign w:val="center"/>
          </w:tcPr>
          <w:p w14:paraId="3198B3A6" w14:textId="2E3CDCEB"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Procedures available but non-routine work dominates</w:t>
            </w:r>
            <w:r w:rsidR="0049184D">
              <w:rPr>
                <w:rFonts w:cs="Arial"/>
                <w:sz w:val="16"/>
                <w:szCs w:val="16"/>
                <w:lang w:val="en-GB"/>
              </w:rPr>
              <w:t>.</w:t>
            </w:r>
          </w:p>
        </w:tc>
      </w:tr>
      <w:tr w:rsidR="00E756E7" w:rsidRPr="00B57B36" w14:paraId="617C4FBD" w14:textId="77777777" w:rsidTr="00740FF5">
        <w:tc>
          <w:tcPr>
            <w:tcW w:w="20" w:type="dxa"/>
            <w:shd w:val="clear" w:color="auto" w:fill="FFFFFF"/>
            <w:vAlign w:val="center"/>
          </w:tcPr>
          <w:p w14:paraId="371879E6" w14:textId="77777777" w:rsidR="00E756E7" w:rsidRPr="00D90CD8" w:rsidRDefault="00E756E7" w:rsidP="00EC7CA4">
            <w:pPr>
              <w:pStyle w:val="CETBodytext"/>
              <w:ind w:right="-1"/>
              <w:jc w:val="left"/>
              <w:rPr>
                <w:rFonts w:cs="Arial"/>
                <w:sz w:val="16"/>
                <w:szCs w:val="16"/>
                <w:lang w:val="en-GB"/>
              </w:rPr>
            </w:pPr>
          </w:p>
        </w:tc>
        <w:tc>
          <w:tcPr>
            <w:tcW w:w="3382" w:type="dxa"/>
            <w:shd w:val="clear" w:color="auto" w:fill="FFFFFF"/>
            <w:vAlign w:val="center"/>
          </w:tcPr>
          <w:p w14:paraId="41094AE4" w14:textId="0DB35B10"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Competence, roles &amp; supervision</w:t>
            </w:r>
          </w:p>
        </w:tc>
        <w:tc>
          <w:tcPr>
            <w:tcW w:w="851" w:type="dxa"/>
            <w:shd w:val="clear" w:color="auto" w:fill="FFFFFF"/>
            <w:vAlign w:val="center"/>
          </w:tcPr>
          <w:p w14:paraId="1C8ADA9B" w14:textId="4DE0F64C"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+2.00</w:t>
            </w:r>
          </w:p>
        </w:tc>
        <w:tc>
          <w:tcPr>
            <w:tcW w:w="4536" w:type="dxa"/>
            <w:shd w:val="clear" w:color="auto" w:fill="FFFFFF"/>
            <w:vAlign w:val="center"/>
          </w:tcPr>
          <w:p w14:paraId="15F1349E" w14:textId="6FF3DC17"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Mixed experience levels and limited supervision during critical steps</w:t>
            </w:r>
            <w:r w:rsidR="0049184D">
              <w:rPr>
                <w:rFonts w:cs="Arial"/>
                <w:sz w:val="16"/>
                <w:szCs w:val="16"/>
                <w:lang w:val="en-GB"/>
              </w:rPr>
              <w:t>.</w:t>
            </w:r>
          </w:p>
        </w:tc>
      </w:tr>
      <w:tr w:rsidR="00E756E7" w:rsidRPr="00B57B36" w14:paraId="4DDCA812" w14:textId="77777777" w:rsidTr="00740FF5">
        <w:tc>
          <w:tcPr>
            <w:tcW w:w="20" w:type="dxa"/>
            <w:shd w:val="clear" w:color="auto" w:fill="FFFFFF"/>
            <w:vAlign w:val="center"/>
          </w:tcPr>
          <w:p w14:paraId="3179AE49" w14:textId="77777777" w:rsidR="00E756E7" w:rsidRPr="00D90CD8" w:rsidRDefault="00E756E7" w:rsidP="00EC7CA4">
            <w:pPr>
              <w:pStyle w:val="CETBodytext"/>
              <w:ind w:right="-1"/>
              <w:jc w:val="left"/>
              <w:rPr>
                <w:rFonts w:cs="Arial"/>
                <w:sz w:val="16"/>
                <w:szCs w:val="16"/>
                <w:lang w:val="en-GB"/>
              </w:rPr>
            </w:pPr>
          </w:p>
        </w:tc>
        <w:tc>
          <w:tcPr>
            <w:tcW w:w="3382" w:type="dxa"/>
            <w:shd w:val="clear" w:color="auto" w:fill="FFFFFF"/>
            <w:vAlign w:val="center"/>
          </w:tcPr>
          <w:p w14:paraId="241FFE56" w14:textId="0AC23BC4"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Recording &amp; traceability</w:t>
            </w:r>
          </w:p>
        </w:tc>
        <w:tc>
          <w:tcPr>
            <w:tcW w:w="851" w:type="dxa"/>
            <w:shd w:val="clear" w:color="auto" w:fill="FFFFFF"/>
            <w:vAlign w:val="center"/>
          </w:tcPr>
          <w:p w14:paraId="7A6CFE95" w14:textId="27C41B2F"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+1.00</w:t>
            </w:r>
          </w:p>
        </w:tc>
        <w:tc>
          <w:tcPr>
            <w:tcW w:w="4536" w:type="dxa"/>
            <w:shd w:val="clear" w:color="auto" w:fill="FFFFFF"/>
            <w:vAlign w:val="center"/>
          </w:tcPr>
          <w:p w14:paraId="426F960F" w14:textId="794F4B73"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Manual operations with partial traceability</w:t>
            </w:r>
            <w:r w:rsidR="0049184D">
              <w:rPr>
                <w:rFonts w:cs="Arial"/>
                <w:sz w:val="16"/>
                <w:szCs w:val="16"/>
                <w:lang w:val="en-GB"/>
              </w:rPr>
              <w:t>.</w:t>
            </w:r>
          </w:p>
        </w:tc>
      </w:tr>
      <w:tr w:rsidR="00E756E7" w:rsidRPr="00B57B36" w14:paraId="7EA90E5F" w14:textId="77777777" w:rsidTr="00740FF5">
        <w:tc>
          <w:tcPr>
            <w:tcW w:w="20" w:type="dxa"/>
            <w:tcBorders>
              <w:bottom w:val="single" w:sz="4" w:space="0" w:color="auto"/>
            </w:tcBorders>
            <w:shd w:val="clear" w:color="auto" w:fill="FFFFFF"/>
            <w:vAlign w:val="center"/>
          </w:tcPr>
          <w:p w14:paraId="6974E78E" w14:textId="77777777" w:rsidR="00E756E7" w:rsidRPr="00D90CD8" w:rsidRDefault="00E756E7" w:rsidP="00EC7CA4">
            <w:pPr>
              <w:pStyle w:val="CETBodytext"/>
              <w:ind w:right="-1"/>
              <w:jc w:val="left"/>
              <w:rPr>
                <w:rFonts w:cs="Arial"/>
                <w:sz w:val="16"/>
                <w:szCs w:val="16"/>
                <w:lang w:val="en-GB"/>
              </w:rPr>
            </w:pPr>
          </w:p>
        </w:tc>
        <w:tc>
          <w:tcPr>
            <w:tcW w:w="3382" w:type="dxa"/>
            <w:tcBorders>
              <w:bottom w:val="single" w:sz="4" w:space="0" w:color="auto"/>
            </w:tcBorders>
            <w:shd w:val="clear" w:color="auto" w:fill="FFFFFF"/>
            <w:vAlign w:val="center"/>
          </w:tcPr>
          <w:p w14:paraId="44E41112" w14:textId="2F2FC906"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Staffing model &amp; non-routine work</w:t>
            </w:r>
          </w:p>
        </w:tc>
        <w:tc>
          <w:tcPr>
            <w:tcW w:w="851" w:type="dxa"/>
            <w:tcBorders>
              <w:bottom w:val="single" w:sz="4" w:space="0" w:color="auto"/>
            </w:tcBorders>
            <w:shd w:val="clear" w:color="auto" w:fill="FFFFFF"/>
            <w:vAlign w:val="center"/>
          </w:tcPr>
          <w:p w14:paraId="7C6FBB3F" w14:textId="51E86275"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+2.00</w:t>
            </w:r>
          </w:p>
        </w:tc>
        <w:tc>
          <w:tcPr>
            <w:tcW w:w="4536" w:type="dxa"/>
            <w:tcBorders>
              <w:bottom w:val="single" w:sz="4" w:space="0" w:color="auto"/>
            </w:tcBorders>
            <w:shd w:val="clear" w:color="auto" w:fill="FFFFFF"/>
            <w:vAlign w:val="center"/>
          </w:tcPr>
          <w:p w14:paraId="656F6CAD" w14:textId="720E6699"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Non-routine experiments and variable staffing</w:t>
            </w:r>
            <w:r w:rsidR="0049184D">
              <w:rPr>
                <w:rFonts w:cs="Arial"/>
                <w:sz w:val="16"/>
                <w:szCs w:val="16"/>
                <w:lang w:val="en-GB"/>
              </w:rPr>
              <w:t>.</w:t>
            </w:r>
          </w:p>
        </w:tc>
      </w:tr>
      <w:tr w:rsidR="00740FF5" w:rsidRPr="00B57B36" w14:paraId="280E6D7A" w14:textId="77777777" w:rsidTr="00740FF5">
        <w:tc>
          <w:tcPr>
            <w:tcW w:w="3402" w:type="dxa"/>
            <w:gridSpan w:val="2"/>
            <w:tcBorders>
              <w:top w:val="single" w:sz="4" w:space="0" w:color="auto"/>
              <w:bottom w:val="single" w:sz="4" w:space="0" w:color="auto"/>
            </w:tcBorders>
            <w:shd w:val="clear" w:color="auto" w:fill="FFFFFF"/>
            <w:vAlign w:val="center"/>
          </w:tcPr>
          <w:p w14:paraId="00943159" w14:textId="3489573C" w:rsidR="00740FF5" w:rsidRPr="00D90CD8" w:rsidRDefault="00740FF5" w:rsidP="00740FF5">
            <w:pPr>
              <w:pStyle w:val="CETBodytext"/>
              <w:ind w:right="-1"/>
              <w:jc w:val="left"/>
              <w:rPr>
                <w:rFonts w:cs="Arial"/>
                <w:b/>
                <w:bCs/>
                <w:sz w:val="16"/>
                <w:szCs w:val="16"/>
                <w:lang w:val="en-GB"/>
              </w:rPr>
            </w:pPr>
            <w:r w:rsidRPr="00D90CD8">
              <w:rPr>
                <w:rFonts w:cs="Arial"/>
                <w:sz w:val="16"/>
                <w:szCs w:val="16"/>
                <w:lang w:val="en-GB"/>
              </w:rPr>
              <w:t>C4</w:t>
            </w:r>
            <w:r>
              <w:rPr>
                <w:rFonts w:cs="Arial"/>
                <w:sz w:val="16"/>
                <w:szCs w:val="16"/>
                <w:lang w:val="en-GB"/>
              </w:rPr>
              <w:t xml:space="preserve"> </w:t>
            </w:r>
            <w:r w:rsidRPr="00D90CD8">
              <w:rPr>
                <w:rFonts w:cs="Arial"/>
                <w:b/>
                <w:bCs/>
                <w:sz w:val="16"/>
                <w:szCs w:val="16"/>
                <w:lang w:val="en-GB"/>
              </w:rPr>
              <w:t>Technical barriers and emergency readiness</w:t>
            </w:r>
          </w:p>
        </w:tc>
        <w:tc>
          <w:tcPr>
            <w:tcW w:w="851" w:type="dxa"/>
            <w:tcBorders>
              <w:top w:val="single" w:sz="4" w:space="0" w:color="auto"/>
              <w:bottom w:val="single" w:sz="4" w:space="0" w:color="auto"/>
            </w:tcBorders>
            <w:shd w:val="clear" w:color="auto" w:fill="FFFFFF"/>
            <w:vAlign w:val="center"/>
          </w:tcPr>
          <w:p w14:paraId="5035D456" w14:textId="362747A7" w:rsidR="00740FF5" w:rsidRPr="00D90CD8" w:rsidRDefault="00740FF5" w:rsidP="00EC7CA4">
            <w:pPr>
              <w:pStyle w:val="CETBodytext"/>
              <w:ind w:right="-1"/>
              <w:jc w:val="center"/>
              <w:rPr>
                <w:rFonts w:cs="Arial"/>
                <w:b/>
                <w:bCs/>
                <w:sz w:val="16"/>
                <w:szCs w:val="16"/>
                <w:lang w:val="en-GB"/>
              </w:rPr>
            </w:pPr>
            <w:r w:rsidRPr="00D90CD8">
              <w:rPr>
                <w:rFonts w:cs="Arial"/>
                <w:b/>
                <w:bCs/>
                <w:sz w:val="16"/>
                <w:szCs w:val="16"/>
                <w:lang w:val="en-GB"/>
              </w:rPr>
              <w:t>+0.25</w:t>
            </w:r>
          </w:p>
        </w:tc>
        <w:tc>
          <w:tcPr>
            <w:tcW w:w="4536" w:type="dxa"/>
            <w:tcBorders>
              <w:top w:val="single" w:sz="4" w:space="0" w:color="auto"/>
              <w:bottom w:val="single" w:sz="4" w:space="0" w:color="auto"/>
            </w:tcBorders>
            <w:shd w:val="clear" w:color="auto" w:fill="FFFFFF"/>
            <w:vAlign w:val="center"/>
          </w:tcPr>
          <w:p w14:paraId="3C1FB924" w14:textId="21230022" w:rsidR="00740FF5" w:rsidRPr="00D90CD8" w:rsidRDefault="00740FF5" w:rsidP="00D90CD8">
            <w:pPr>
              <w:pStyle w:val="CETBodytext"/>
              <w:ind w:right="-1"/>
              <w:jc w:val="left"/>
              <w:rPr>
                <w:rFonts w:cs="Arial"/>
                <w:sz w:val="16"/>
                <w:szCs w:val="16"/>
                <w:lang w:val="en-GB"/>
              </w:rPr>
            </w:pPr>
          </w:p>
        </w:tc>
      </w:tr>
      <w:tr w:rsidR="00E756E7" w:rsidRPr="00B57B36" w14:paraId="21DD18A0" w14:textId="77777777" w:rsidTr="00740FF5">
        <w:tc>
          <w:tcPr>
            <w:tcW w:w="20" w:type="dxa"/>
            <w:tcBorders>
              <w:top w:val="single" w:sz="4" w:space="0" w:color="auto"/>
            </w:tcBorders>
            <w:shd w:val="clear" w:color="auto" w:fill="FFFFFF"/>
            <w:vAlign w:val="center"/>
          </w:tcPr>
          <w:p w14:paraId="665617C0" w14:textId="77777777" w:rsidR="00E756E7" w:rsidRPr="00D90CD8" w:rsidRDefault="00E756E7" w:rsidP="00EC7CA4">
            <w:pPr>
              <w:pStyle w:val="CETBodytext"/>
              <w:ind w:right="-1"/>
              <w:jc w:val="left"/>
              <w:rPr>
                <w:rFonts w:cs="Arial"/>
                <w:sz w:val="16"/>
                <w:szCs w:val="16"/>
                <w:lang w:val="en-GB"/>
              </w:rPr>
            </w:pPr>
          </w:p>
        </w:tc>
        <w:tc>
          <w:tcPr>
            <w:tcW w:w="3382" w:type="dxa"/>
            <w:tcBorders>
              <w:top w:val="single" w:sz="4" w:space="0" w:color="auto"/>
            </w:tcBorders>
            <w:shd w:val="clear" w:color="auto" w:fill="FFFFFF"/>
            <w:vAlign w:val="center"/>
          </w:tcPr>
          <w:p w14:paraId="0FDA1245" w14:textId="008671EF"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Detection &amp; monitoring</w:t>
            </w:r>
          </w:p>
        </w:tc>
        <w:tc>
          <w:tcPr>
            <w:tcW w:w="851" w:type="dxa"/>
            <w:tcBorders>
              <w:top w:val="single" w:sz="4" w:space="0" w:color="auto"/>
            </w:tcBorders>
            <w:shd w:val="clear" w:color="auto" w:fill="FFFFFF"/>
            <w:vAlign w:val="center"/>
          </w:tcPr>
          <w:p w14:paraId="3BFB9BA9" w14:textId="0B34FC81"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+1.00</w:t>
            </w:r>
          </w:p>
        </w:tc>
        <w:tc>
          <w:tcPr>
            <w:tcW w:w="4536" w:type="dxa"/>
            <w:tcBorders>
              <w:top w:val="single" w:sz="4" w:space="0" w:color="auto"/>
            </w:tcBorders>
            <w:shd w:val="clear" w:color="auto" w:fill="FFFFFF"/>
            <w:vAlign w:val="center"/>
          </w:tcPr>
          <w:p w14:paraId="3E8F7DE2" w14:textId="2D82E41C"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Detection available but not comprehensive</w:t>
            </w:r>
            <w:r w:rsidR="0049184D">
              <w:rPr>
                <w:rFonts w:cs="Arial"/>
                <w:sz w:val="16"/>
                <w:szCs w:val="16"/>
                <w:lang w:val="en-GB"/>
              </w:rPr>
              <w:t>.</w:t>
            </w:r>
          </w:p>
        </w:tc>
      </w:tr>
      <w:tr w:rsidR="00E756E7" w:rsidRPr="00B57B36" w14:paraId="3E76B974" w14:textId="77777777" w:rsidTr="00740FF5">
        <w:tc>
          <w:tcPr>
            <w:tcW w:w="20" w:type="dxa"/>
            <w:shd w:val="clear" w:color="auto" w:fill="FFFFFF"/>
            <w:vAlign w:val="center"/>
          </w:tcPr>
          <w:p w14:paraId="4BBB6D81" w14:textId="77777777" w:rsidR="00E756E7" w:rsidRPr="00D90CD8" w:rsidRDefault="00E756E7" w:rsidP="00EC7CA4">
            <w:pPr>
              <w:pStyle w:val="CETBodytext"/>
              <w:ind w:right="-1"/>
              <w:jc w:val="left"/>
              <w:rPr>
                <w:rFonts w:cs="Arial"/>
                <w:sz w:val="16"/>
                <w:szCs w:val="16"/>
                <w:lang w:val="en-GB"/>
              </w:rPr>
            </w:pPr>
          </w:p>
        </w:tc>
        <w:tc>
          <w:tcPr>
            <w:tcW w:w="3382" w:type="dxa"/>
            <w:shd w:val="clear" w:color="auto" w:fill="FFFFFF"/>
            <w:vAlign w:val="center"/>
          </w:tcPr>
          <w:p w14:paraId="7064BEA2" w14:textId="009D4909"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Ventilation &amp; indoor confinement</w:t>
            </w:r>
          </w:p>
        </w:tc>
        <w:tc>
          <w:tcPr>
            <w:tcW w:w="851" w:type="dxa"/>
            <w:shd w:val="clear" w:color="auto" w:fill="FFFFFF"/>
            <w:vAlign w:val="center"/>
          </w:tcPr>
          <w:p w14:paraId="63F245B6" w14:textId="58FC9BE7"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-1.00</w:t>
            </w:r>
          </w:p>
        </w:tc>
        <w:tc>
          <w:tcPr>
            <w:tcW w:w="4536" w:type="dxa"/>
            <w:shd w:val="clear" w:color="auto" w:fill="FFFFFF"/>
            <w:vAlign w:val="center"/>
          </w:tcPr>
          <w:p w14:paraId="60693081" w14:textId="1175C8A3"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Operations performed under hood with effective room ventilation</w:t>
            </w:r>
            <w:r w:rsidR="0049184D">
              <w:rPr>
                <w:rFonts w:cs="Arial"/>
                <w:sz w:val="16"/>
                <w:szCs w:val="16"/>
                <w:lang w:val="en-GB"/>
              </w:rPr>
              <w:t>.</w:t>
            </w:r>
          </w:p>
        </w:tc>
      </w:tr>
      <w:tr w:rsidR="00E756E7" w:rsidRPr="00B57B36" w14:paraId="00AE58C0" w14:textId="77777777" w:rsidTr="00740FF5">
        <w:tc>
          <w:tcPr>
            <w:tcW w:w="20" w:type="dxa"/>
            <w:shd w:val="clear" w:color="auto" w:fill="FFFFFF"/>
            <w:vAlign w:val="center"/>
          </w:tcPr>
          <w:p w14:paraId="33393307" w14:textId="77777777" w:rsidR="00E756E7" w:rsidRPr="00D90CD8" w:rsidRDefault="00E756E7" w:rsidP="00EC7CA4">
            <w:pPr>
              <w:pStyle w:val="CETBodytext"/>
              <w:ind w:right="-1"/>
              <w:jc w:val="left"/>
              <w:rPr>
                <w:rFonts w:cs="Arial"/>
                <w:sz w:val="16"/>
                <w:szCs w:val="16"/>
                <w:lang w:val="en-GB"/>
              </w:rPr>
            </w:pPr>
          </w:p>
        </w:tc>
        <w:tc>
          <w:tcPr>
            <w:tcW w:w="3382" w:type="dxa"/>
            <w:shd w:val="clear" w:color="auto" w:fill="FFFFFF"/>
            <w:vAlign w:val="center"/>
          </w:tcPr>
          <w:p w14:paraId="34675F5F" w14:textId="6E754B62"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Safeguards &amp; barrier management</w:t>
            </w:r>
          </w:p>
        </w:tc>
        <w:tc>
          <w:tcPr>
            <w:tcW w:w="851" w:type="dxa"/>
            <w:shd w:val="clear" w:color="auto" w:fill="FFFFFF"/>
            <w:vAlign w:val="center"/>
          </w:tcPr>
          <w:p w14:paraId="7CC29274" w14:textId="4CE8D693"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+2.00</w:t>
            </w:r>
          </w:p>
        </w:tc>
        <w:tc>
          <w:tcPr>
            <w:tcW w:w="4536" w:type="dxa"/>
            <w:shd w:val="clear" w:color="auto" w:fill="FFFFFF"/>
            <w:vAlign w:val="center"/>
          </w:tcPr>
          <w:p w14:paraId="4F796F44" w14:textId="6E9ECD1C"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Safeguards subject to temporary disable during experiments</w:t>
            </w:r>
            <w:r w:rsidR="0049184D">
              <w:rPr>
                <w:rFonts w:cs="Arial"/>
                <w:sz w:val="16"/>
                <w:szCs w:val="16"/>
                <w:lang w:val="en-GB"/>
              </w:rPr>
              <w:t>.</w:t>
            </w:r>
          </w:p>
        </w:tc>
      </w:tr>
      <w:tr w:rsidR="00E756E7" w:rsidRPr="00B57B36" w14:paraId="437C22B3" w14:textId="77777777" w:rsidTr="00740FF5">
        <w:tc>
          <w:tcPr>
            <w:tcW w:w="20" w:type="dxa"/>
            <w:shd w:val="clear" w:color="auto" w:fill="FFFFFF"/>
            <w:vAlign w:val="center"/>
          </w:tcPr>
          <w:p w14:paraId="397931F3" w14:textId="77777777" w:rsidR="00E756E7" w:rsidRPr="00D90CD8" w:rsidRDefault="00E756E7" w:rsidP="00EC7CA4">
            <w:pPr>
              <w:pStyle w:val="CETBodytext"/>
              <w:ind w:right="-1"/>
              <w:jc w:val="left"/>
              <w:rPr>
                <w:rFonts w:cs="Arial"/>
                <w:sz w:val="16"/>
                <w:szCs w:val="16"/>
                <w:lang w:val="en-GB"/>
              </w:rPr>
            </w:pPr>
          </w:p>
        </w:tc>
        <w:tc>
          <w:tcPr>
            <w:tcW w:w="3382" w:type="dxa"/>
            <w:shd w:val="clear" w:color="auto" w:fill="FFFFFF"/>
            <w:vAlign w:val="center"/>
          </w:tcPr>
          <w:p w14:paraId="797DFFF4" w14:textId="6BA6BD68" w:rsidR="00E756E7" w:rsidRPr="00D90CD8" w:rsidRDefault="00E756E7" w:rsidP="00EC7CA4">
            <w:pPr>
              <w:pStyle w:val="CETBodytext"/>
              <w:ind w:right="-1"/>
              <w:jc w:val="left"/>
              <w:rPr>
                <w:rFonts w:cs="Arial"/>
                <w:sz w:val="16"/>
                <w:szCs w:val="16"/>
                <w:lang w:val="en-GB"/>
              </w:rPr>
            </w:pPr>
            <w:r w:rsidRPr="00D90CD8">
              <w:rPr>
                <w:rFonts w:cs="Arial"/>
                <w:sz w:val="16"/>
                <w:szCs w:val="16"/>
                <w:lang w:val="en-GB"/>
              </w:rPr>
              <w:t>Emergency response preparedness</w:t>
            </w:r>
          </w:p>
        </w:tc>
        <w:tc>
          <w:tcPr>
            <w:tcW w:w="851" w:type="dxa"/>
            <w:shd w:val="clear" w:color="auto" w:fill="FFFFFF"/>
            <w:vAlign w:val="center"/>
          </w:tcPr>
          <w:p w14:paraId="71D13B2F" w14:textId="6A4F4211" w:rsidR="00E756E7" w:rsidRPr="00D90CD8" w:rsidRDefault="00E756E7" w:rsidP="00EC7CA4">
            <w:pPr>
              <w:pStyle w:val="CETBodytext"/>
              <w:ind w:right="-1"/>
              <w:jc w:val="center"/>
              <w:rPr>
                <w:rFonts w:cs="Arial"/>
                <w:sz w:val="16"/>
                <w:szCs w:val="16"/>
                <w:lang w:val="en-GB"/>
              </w:rPr>
            </w:pPr>
            <w:r w:rsidRPr="00D90CD8">
              <w:rPr>
                <w:rFonts w:cs="Arial"/>
                <w:sz w:val="16"/>
                <w:szCs w:val="16"/>
                <w:lang w:val="en-GB"/>
              </w:rPr>
              <w:t>-1.00</w:t>
            </w:r>
          </w:p>
        </w:tc>
        <w:tc>
          <w:tcPr>
            <w:tcW w:w="4536" w:type="dxa"/>
            <w:shd w:val="clear" w:color="auto" w:fill="FFFFFF"/>
            <w:vAlign w:val="center"/>
          </w:tcPr>
          <w:p w14:paraId="02D86A8C" w14:textId="5D2F9857" w:rsidR="00E756E7" w:rsidRPr="00D90CD8" w:rsidRDefault="00E756E7" w:rsidP="00D90CD8">
            <w:pPr>
              <w:pStyle w:val="CETBodytext"/>
              <w:ind w:right="-1"/>
              <w:jc w:val="left"/>
              <w:rPr>
                <w:rFonts w:cs="Arial"/>
                <w:sz w:val="16"/>
                <w:szCs w:val="16"/>
                <w:lang w:val="en-GB"/>
              </w:rPr>
            </w:pPr>
            <w:r w:rsidRPr="00D90CD8">
              <w:rPr>
                <w:rFonts w:cs="Arial"/>
                <w:sz w:val="16"/>
                <w:szCs w:val="16"/>
                <w:lang w:val="en-GB"/>
              </w:rPr>
              <w:t>Emergency equipment and basic response organization available</w:t>
            </w:r>
            <w:r w:rsidR="0049184D">
              <w:rPr>
                <w:rFonts w:cs="Arial"/>
                <w:sz w:val="16"/>
                <w:szCs w:val="16"/>
                <w:lang w:val="en-GB"/>
              </w:rPr>
              <w:t>.</w:t>
            </w:r>
          </w:p>
        </w:tc>
      </w:tr>
    </w:tbl>
    <w:p w14:paraId="1725FF45" w14:textId="77777777" w:rsidR="00E756E7" w:rsidRDefault="00E756E7" w:rsidP="00012667">
      <w:pPr>
        <w:pStyle w:val="CETBodytext"/>
      </w:pPr>
    </w:p>
    <w:p w14:paraId="1EF0DCCF" w14:textId="0FE8D317" w:rsidR="00117D97" w:rsidRPr="00117D97" w:rsidRDefault="00117D97" w:rsidP="00117D97">
      <w:pPr>
        <w:pStyle w:val="CETBodytext"/>
        <w:rPr>
          <w:lang w:val="en-GB"/>
        </w:rPr>
      </w:pPr>
      <w:r w:rsidRPr="00117D97">
        <w:rPr>
          <w:lang w:val="en-GB"/>
        </w:rPr>
        <w:t>Finally, C4 provides a comparatively smaller contribution to the overall index. Ventilation</w:t>
      </w:r>
      <w:r w:rsidR="004B5CBF">
        <w:rPr>
          <w:lang w:val="en-GB"/>
        </w:rPr>
        <w:t xml:space="preserve"> (fume hood and room ventilation)</w:t>
      </w:r>
      <w:r w:rsidRPr="00117D97">
        <w:rPr>
          <w:lang w:val="en-GB"/>
        </w:rPr>
        <w:t xml:space="preserve"> and emergency preparedness </w:t>
      </w:r>
      <w:r w:rsidR="004B5CBF">
        <w:rPr>
          <w:lang w:val="en-GB"/>
        </w:rPr>
        <w:t>provide</w:t>
      </w:r>
      <w:r w:rsidRPr="00117D97">
        <w:rPr>
          <w:lang w:val="en-GB"/>
        </w:rPr>
        <w:t xml:space="preserve"> partial credits; nevertheless, the results emphasize that barrier effectiveness must be maintained under indoor operation and during experimental campaigns where safeguards may be temporarily challenged or reconfigured.</w:t>
      </w:r>
      <w:r w:rsidR="004B5CBF">
        <w:rPr>
          <w:lang w:val="en-GB"/>
        </w:rPr>
        <w:t xml:space="preserve"> Moreover, sensing devices are only proximal and may not detect potential hazardous room accumulation in case of ventilation failure. </w:t>
      </w:r>
    </w:p>
    <w:p w14:paraId="1634C1F6" w14:textId="5FF9CEC6" w:rsidR="00117D97" w:rsidRDefault="00117D97" w:rsidP="00117D97">
      <w:pPr>
        <w:pStyle w:val="CETBodytext"/>
        <w:rPr>
          <w:lang w:val="en-GB"/>
        </w:rPr>
      </w:pPr>
      <w:r w:rsidRPr="00117D97">
        <w:rPr>
          <w:lang w:val="en-GB"/>
        </w:rPr>
        <w:t>Overall, the sub-index profile confirms that, for the analysed pilot-scale unit, dominant risk drivers extend beyond intrinsic process hazards and are strongly influenced by configuration dynamics (C2) and operational practices (C3)—dimensions that are particularly critical in pilot and research-scale environments</w:t>
      </w:r>
      <w:r w:rsidR="00740FF5">
        <w:rPr>
          <w:lang w:val="en-GB"/>
        </w:rPr>
        <w:t>.</w:t>
      </w:r>
    </w:p>
    <w:p w14:paraId="59A73622" w14:textId="6BC11E27" w:rsidR="00012667" w:rsidRDefault="00012667" w:rsidP="00012667">
      <w:pPr>
        <w:pStyle w:val="CETheadingx"/>
      </w:pPr>
      <w:r>
        <w:t>Interpretation and identification of critical drivers</w:t>
      </w:r>
    </w:p>
    <w:p w14:paraId="1704E4C7" w14:textId="5FD2BC9A" w:rsidR="00740FF5" w:rsidRDefault="00740FF5" w:rsidP="00740FF5">
      <w:pPr>
        <w:pStyle w:val="CETBodytext"/>
      </w:pPr>
      <w:r>
        <w:t>The sub-index profile for the Fischer–Tropsch pilot-scale unit highlights critical drivers closely linked to the experimental configuration and operating context</w:t>
      </w:r>
      <w:r w:rsidR="00A31D2F">
        <w:t xml:space="preserve">, which are </w:t>
      </w:r>
      <w:r>
        <w:t>mainly governed by configuration-dependent vulnerabilities and operational practices rather than by intrinsic chemical hazards alone.</w:t>
      </w:r>
    </w:p>
    <w:p w14:paraId="137D3824" w14:textId="1F4F38DB" w:rsidR="00740FF5" w:rsidRDefault="00740FF5" w:rsidP="00740FF5">
      <w:pPr>
        <w:pStyle w:val="CETBodytext"/>
      </w:pPr>
      <w:r>
        <w:t>From a process and substance perspective (C1), the unit handles flammable synthesis gas mixtures (H</w:t>
      </w:r>
      <w:r>
        <w:rPr>
          <w:rFonts w:ascii="Cambria Math" w:hAnsi="Cambria Math" w:cs="Cambria Math"/>
        </w:rPr>
        <w:t>₂</w:t>
      </w:r>
      <w:r>
        <w:t>/CO), highly exothermic reactions</w:t>
      </w:r>
      <w:r w:rsidR="004B5CBF">
        <w:t xml:space="preserve"> (HCs formation)</w:t>
      </w:r>
      <w:r>
        <w:t xml:space="preserve">, and </w:t>
      </w:r>
      <w:r w:rsidR="004B5CBF">
        <w:t xml:space="preserve">moderate </w:t>
      </w:r>
      <w:r>
        <w:t>pressure/temperature conditions typical of Fischer</w:t>
      </w:r>
      <w:r>
        <w:rPr>
          <w:rFonts w:cs="Arial"/>
        </w:rPr>
        <w:t>–</w:t>
      </w:r>
      <w:r>
        <w:t>Tropsch synthesis, supporting positive scores for intrinsic hazards and reactivity. However, the overall C1 contribution is moderated by limited inventories and hold-up, and by a chemistry and operating window reasonably characterized through previous campaigns and hazard analyses; intrinsic hazards are therefore relevant but not dominant.</w:t>
      </w:r>
    </w:p>
    <w:p w14:paraId="273011CC" w14:textId="77777777" w:rsidR="00740FF5" w:rsidRDefault="00740FF5" w:rsidP="00740FF5">
      <w:pPr>
        <w:pStyle w:val="CETBodytext"/>
      </w:pPr>
      <w:r>
        <w:t xml:space="preserve">The largest contribution arises from C2, driven by temporary configurations and interface management. The unit comprises modular sections (gas mixing, reaction, separation, analysis) that are frequently reconfigured, with extensive use of temporary lines, flexible hoses, adapters, and manual valves. Repeated connect/disconnect cycles under high-pressure gas service increase susceptibility to mis-connections and loss-of-containment, amplified by indoor operation and the need to maintain consistency between evolving configurations and </w:t>
      </w:r>
      <w:r>
        <w:lastRenderedPageBreak/>
        <w:t>relief/venting arrangements. Change dynamics are closely coupled: setpoints, procedures, and boundary conditions evolve across campaigns and troubleshooting, and previous HAZOP findings show that deviations often emerge under non-nominal conditions when design assumptions are no longer valid without systematic change management.</w:t>
      </w:r>
    </w:p>
    <w:p w14:paraId="56D6B0FD" w14:textId="5FDF8A4D" w:rsidR="00740FF5" w:rsidRDefault="00740FF5" w:rsidP="00740FF5">
      <w:pPr>
        <w:pStyle w:val="CETBodytext"/>
      </w:pPr>
      <w:r>
        <w:t>Operational drivers (C3) form the second major cluster. The unit relies on manual actions (gas feeding</w:t>
      </w:r>
      <w:r w:rsidR="004B5CBF">
        <w:t xml:space="preserve"> and dosing</w:t>
      </w:r>
      <w:r>
        <w:t>, valve manipulation, start-up/shutdown, sampling) often performed by mixed-experience teams, including students and early-stage researchers. In this context, competence alignment, authorization, and real-time supervision during critical steps are decisive, particularly near thermal or pressure limits.</w:t>
      </w:r>
    </w:p>
    <w:p w14:paraId="080BF063" w14:textId="77777777" w:rsidR="00740FF5" w:rsidRDefault="00740FF5" w:rsidP="00740FF5">
      <w:pPr>
        <w:pStyle w:val="CETBodytext"/>
      </w:pPr>
      <w:r>
        <w:t>The lower contribution of C4 (Technical Barriers and Emergency Readiness) reflects laboratory-scale mitigations (fume hood operation, mechanical ventilation, basic detection/isolation). Nonetheless, barrier effectiveness remains configuration- and campaign-dependent, and temporary weakening or bypassing during testing can rapidly reduce protection.</w:t>
      </w:r>
    </w:p>
    <w:p w14:paraId="043F5E75" w14:textId="3A8E4689" w:rsidR="00920748" w:rsidRPr="00E46006" w:rsidRDefault="00740FF5" w:rsidP="00740FF5">
      <w:pPr>
        <w:pStyle w:val="CETBodytext"/>
      </w:pPr>
      <w:r>
        <w:t xml:space="preserve">Overall, the critical drivers can be summarized as: (i) temporary and evolving configurations under high-pressure </w:t>
      </w:r>
      <w:r w:rsidRPr="00E46006">
        <w:t>flammable gas service, and (ii) non-routine, manually intensive operations strongly dependent on supervision and human performance. These features explain why, in this case, the dominant risk profile arises from the interaction of configuration dynamics, operational practices, and barrier management, rather than from intrinsic process hazards alone</w:t>
      </w:r>
      <w:r w:rsidR="0058763B" w:rsidRPr="00E46006">
        <w:t>.</w:t>
      </w:r>
    </w:p>
    <w:p w14:paraId="36DBEC0A" w14:textId="74749A39" w:rsidR="008E255D" w:rsidRPr="00E46006" w:rsidRDefault="008E255D" w:rsidP="00740FF5">
      <w:pPr>
        <w:pStyle w:val="CETBodytext"/>
        <w:rPr>
          <w:lang w:val="en-GB"/>
        </w:rPr>
      </w:pPr>
      <w:r w:rsidRPr="00E46006">
        <w:rPr>
          <w:lang w:val="en-GB"/>
        </w:rPr>
        <w:t>Compared with conventional detailed methods such as HAZOP or quantitative risk analysis, the proposed index enables a much faster preliminary assessment, requiring only a structured checklist evaluation rather than a full hazard study. In practice, the methodology allows rapid comparison of alternative experimental configurations and identification of dominant risk drivers with limited data requirements. This screening capability can significantly support prioritization of safety improvements and guide the need for subsequent detailed analyses.</w:t>
      </w:r>
    </w:p>
    <w:p w14:paraId="1C1CC62F" w14:textId="1C123042" w:rsidR="00D0542F" w:rsidRPr="00E46006" w:rsidRDefault="00D0542F" w:rsidP="00D0542F">
      <w:pPr>
        <w:pStyle w:val="CETHeading1"/>
      </w:pPr>
      <w:r w:rsidRPr="00E46006">
        <w:t>Conclusions</w:t>
      </w:r>
    </w:p>
    <w:p w14:paraId="2BDD6E40" w14:textId="5292F98F" w:rsidR="0058763B" w:rsidRPr="00E46006" w:rsidRDefault="0058763B" w:rsidP="0058763B">
      <w:pPr>
        <w:pStyle w:val="CETBodytext"/>
      </w:pPr>
      <w:r w:rsidRPr="00E46006">
        <w:t>This work presents a structured safety index specifically developed for pilot and research-scale process facilities, aimed at capturing risk drivers that are often insufficiently addressed by traditional approaches when applied in academic</w:t>
      </w:r>
      <w:r w:rsidR="00D90CD8" w:rsidRPr="00E46006">
        <w:t xml:space="preserve"> or R&amp;D</w:t>
      </w:r>
      <w:r w:rsidRPr="00E46006">
        <w:t xml:space="preserve"> environments. The application to a Fischer–Tropsch </w:t>
      </w:r>
      <w:r w:rsidR="004B5CBF" w:rsidRPr="00E46006">
        <w:t xml:space="preserve">laboratory </w:t>
      </w:r>
      <w:r w:rsidRPr="00E46006">
        <w:t>unit shows that dominant contributions to the risk profile arise from configuration-dependent aspects and operational practices, rather than from intrinsic process hazards alone. In particular, temporary interfaces, frequent reconfiguration, and non-routine activities combined with mixed-experience teams emerge as critical drivers. The results demonstrate that the proposed index provides a transparent and repeatable framework to synthesize heterogeneous safety-relevant information and to support prioritization across different risk dimensions. By highlighting where risk is concentrated, the index can guide targeted actions and the selection of appropriate follow-up analyses.</w:t>
      </w:r>
    </w:p>
    <w:p w14:paraId="137950BA" w14:textId="1384C06A" w:rsidR="00D0542F" w:rsidRPr="00E46006" w:rsidRDefault="008D5A7A" w:rsidP="0058763B">
      <w:pPr>
        <w:pStyle w:val="CETBodytext"/>
        <w:rPr>
          <w:lang w:val="en-GB"/>
        </w:rPr>
      </w:pPr>
      <w:r w:rsidRPr="008D5A7A">
        <w:t>The proposed index is not intended to replace established process safety methods such as HAZOP, LOPA, or quantitative risk assessment. Rather, it provides a structured screening approach specifically suited to R&amp;D environments, where experimental configurations change frequently and rapid preliminary evaluations are often required before more detailed analyses are conducted. In this sense, the index should be interpreted as a screening framework rather than a predictive risk model. Its initial validation is based on application to a representative pilot-scale process unit and on the consistency between the resulting risk profile and the known safety characteristics of the analysed system. Further validation across different pilot facilities and experimental campaigns represents an important direction for future research</w:t>
      </w:r>
      <w:r w:rsidR="0094247A" w:rsidRPr="00E46006">
        <w:t>.</w:t>
      </w:r>
    </w:p>
    <w:p w14:paraId="4F1327F8" w14:textId="41916B28" w:rsidR="00600535" w:rsidRPr="00E46006" w:rsidRDefault="00600535" w:rsidP="00600535">
      <w:pPr>
        <w:pStyle w:val="CETReference"/>
      </w:pPr>
      <w:r w:rsidRPr="00E46006">
        <w:t>References</w:t>
      </w:r>
    </w:p>
    <w:p w14:paraId="1AF218D1" w14:textId="1F33ED8C" w:rsidR="00193566" w:rsidRPr="00E46006" w:rsidRDefault="00426C1F" w:rsidP="00193566">
      <w:pPr>
        <w:pStyle w:val="CETReferencetext"/>
      </w:pPr>
      <w:r w:rsidRPr="00E46006">
        <w:t>Ab Rahim M.S., Reniers G., Yang M., Bajpai S., 2024, Risk assessment methods for process safety, process security and resilience in the chemical process industry: A thorough literature review, Journal of Loss Prevention in the Process Industries, 88, 105274</w:t>
      </w:r>
      <w:r w:rsidR="00193566" w:rsidRPr="00E46006">
        <w:t>.</w:t>
      </w:r>
    </w:p>
    <w:p w14:paraId="22D332C8" w14:textId="00160A95" w:rsidR="00426C1F" w:rsidRPr="00E46006" w:rsidRDefault="00426C1F" w:rsidP="00193566">
      <w:pPr>
        <w:pStyle w:val="CETReferencetext"/>
      </w:pPr>
      <w:r w:rsidRPr="00E46006">
        <w:t>Abdul Aziz H., Mohd Shariff A., Roslan M.R., 2012, Managing Process Hazards in Lab-Scale Pilot Plant for Safe Operation, American Journal of Engineering and Applied Sciences, 5(1), 84–88.</w:t>
      </w:r>
    </w:p>
    <w:p w14:paraId="73E86FE3" w14:textId="2B2535BF" w:rsidR="00426C1F" w:rsidRPr="00E46006" w:rsidRDefault="00426C1F" w:rsidP="00193566">
      <w:pPr>
        <w:pStyle w:val="CETReferencetext"/>
      </w:pPr>
      <w:r w:rsidRPr="00E46006">
        <w:t>Center for Chemical Process Safety (CCPS), 2023, Handbook for Process Safety in Laboratories and Pilot Plants: A Risk-based Approach, John Wiley &amp; Sons, Hoboken, NJ, USA.</w:t>
      </w:r>
    </w:p>
    <w:p w14:paraId="04D8B038" w14:textId="36763280" w:rsidR="00426C1F" w:rsidRPr="00E46006" w:rsidRDefault="00426C1F" w:rsidP="00193566">
      <w:pPr>
        <w:pStyle w:val="CETReferencetext"/>
      </w:pPr>
      <w:r w:rsidRPr="00E46006">
        <w:t>Gasparotto F., Grainca A., Mocellin P., Pirola C., 2024, Addressing Safety and Risk Mitigation in Academic Laboratories: a Case Study, Chemical Engineering Transactions, 111, 319–324.</w:t>
      </w:r>
    </w:p>
    <w:p w14:paraId="15BF3723" w14:textId="383767EB" w:rsidR="000B7D2E" w:rsidRPr="00E46006" w:rsidRDefault="000B7D2E" w:rsidP="00193566">
      <w:pPr>
        <w:pStyle w:val="CETReferencetext"/>
      </w:pPr>
      <w:r w:rsidRPr="00E46006">
        <w:t>Khan F., Amyotte P., 200</w:t>
      </w:r>
      <w:r w:rsidR="00661FD7" w:rsidRPr="00E46006">
        <w:t>8</w:t>
      </w:r>
      <w:r w:rsidRPr="00E46006">
        <w:t>, How to make inherent safety practice a reality, Canadian Journal of Chemical Engineering, 8</w:t>
      </w:r>
      <w:r w:rsidR="00661FD7" w:rsidRPr="00E46006">
        <w:t>1</w:t>
      </w:r>
      <w:r w:rsidRPr="00E46006">
        <w:t xml:space="preserve">(1), 2–16. </w:t>
      </w:r>
    </w:p>
    <w:p w14:paraId="19C4FC68" w14:textId="3CFDC65E" w:rsidR="004628D2" w:rsidRPr="00E46006" w:rsidRDefault="00426C1F" w:rsidP="00DB0245">
      <w:pPr>
        <w:pStyle w:val="CETReferencetext"/>
      </w:pPr>
      <w:r w:rsidRPr="00E46006">
        <w:t>Wu J., Wang X., Bao Y., 2025, Quantitative risk assessment approach of chemical laboratories in universities, Journal of Loss Prevention in the Process Industries, 97, 105686.</w:t>
      </w:r>
    </w:p>
    <w:sectPr w:rsidR="004628D2" w:rsidRPr="00E46006"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1C534" w14:textId="77777777" w:rsidR="004E77B4" w:rsidRDefault="004E77B4" w:rsidP="004F5E36">
      <w:r>
        <w:separator/>
      </w:r>
    </w:p>
  </w:endnote>
  <w:endnote w:type="continuationSeparator" w:id="0">
    <w:p w14:paraId="2FCCA481" w14:textId="77777777" w:rsidR="004E77B4" w:rsidRDefault="004E77B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499F1" w14:textId="77777777" w:rsidR="004E77B4" w:rsidRDefault="004E77B4" w:rsidP="004F5E36">
      <w:r>
        <w:separator/>
      </w:r>
    </w:p>
  </w:footnote>
  <w:footnote w:type="continuationSeparator" w:id="0">
    <w:p w14:paraId="4854DFCD" w14:textId="77777777" w:rsidR="004E77B4" w:rsidRDefault="004E77B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421B50"/>
    <w:multiLevelType w:val="hybridMultilevel"/>
    <w:tmpl w:val="05862D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866997"/>
    <w:multiLevelType w:val="hybridMultilevel"/>
    <w:tmpl w:val="3CC4B92C"/>
    <w:lvl w:ilvl="0" w:tplc="B4605988">
      <w:start w:val="1"/>
      <w:numFmt w:val="bullet"/>
      <w:lvlText w:val="-"/>
      <w:lvlJc w:val="left"/>
      <w:pPr>
        <w:ind w:left="771" w:hanging="360"/>
      </w:pPr>
      <w:rPr>
        <w:rFonts w:ascii="Arial" w:hAnsi="Arial" w:hint="default"/>
      </w:rPr>
    </w:lvl>
    <w:lvl w:ilvl="1" w:tplc="04100003" w:tentative="1">
      <w:start w:val="1"/>
      <w:numFmt w:val="bullet"/>
      <w:lvlText w:val="o"/>
      <w:lvlJc w:val="left"/>
      <w:pPr>
        <w:ind w:left="1491" w:hanging="360"/>
      </w:pPr>
      <w:rPr>
        <w:rFonts w:ascii="Courier New" w:hAnsi="Courier New" w:cs="Courier New" w:hint="default"/>
      </w:rPr>
    </w:lvl>
    <w:lvl w:ilvl="2" w:tplc="04100005" w:tentative="1">
      <w:start w:val="1"/>
      <w:numFmt w:val="bullet"/>
      <w:lvlText w:val=""/>
      <w:lvlJc w:val="left"/>
      <w:pPr>
        <w:ind w:left="2211" w:hanging="360"/>
      </w:pPr>
      <w:rPr>
        <w:rFonts w:ascii="Wingdings" w:hAnsi="Wingdings" w:hint="default"/>
      </w:rPr>
    </w:lvl>
    <w:lvl w:ilvl="3" w:tplc="04100001" w:tentative="1">
      <w:start w:val="1"/>
      <w:numFmt w:val="bullet"/>
      <w:lvlText w:val=""/>
      <w:lvlJc w:val="left"/>
      <w:pPr>
        <w:ind w:left="2931" w:hanging="360"/>
      </w:pPr>
      <w:rPr>
        <w:rFonts w:ascii="Symbol" w:hAnsi="Symbol" w:hint="default"/>
      </w:rPr>
    </w:lvl>
    <w:lvl w:ilvl="4" w:tplc="04100003" w:tentative="1">
      <w:start w:val="1"/>
      <w:numFmt w:val="bullet"/>
      <w:lvlText w:val="o"/>
      <w:lvlJc w:val="left"/>
      <w:pPr>
        <w:ind w:left="3651" w:hanging="360"/>
      </w:pPr>
      <w:rPr>
        <w:rFonts w:ascii="Courier New" w:hAnsi="Courier New" w:cs="Courier New" w:hint="default"/>
      </w:rPr>
    </w:lvl>
    <w:lvl w:ilvl="5" w:tplc="04100005" w:tentative="1">
      <w:start w:val="1"/>
      <w:numFmt w:val="bullet"/>
      <w:lvlText w:val=""/>
      <w:lvlJc w:val="left"/>
      <w:pPr>
        <w:ind w:left="4371" w:hanging="360"/>
      </w:pPr>
      <w:rPr>
        <w:rFonts w:ascii="Wingdings" w:hAnsi="Wingdings" w:hint="default"/>
      </w:rPr>
    </w:lvl>
    <w:lvl w:ilvl="6" w:tplc="04100001" w:tentative="1">
      <w:start w:val="1"/>
      <w:numFmt w:val="bullet"/>
      <w:lvlText w:val=""/>
      <w:lvlJc w:val="left"/>
      <w:pPr>
        <w:ind w:left="5091" w:hanging="360"/>
      </w:pPr>
      <w:rPr>
        <w:rFonts w:ascii="Symbol" w:hAnsi="Symbol" w:hint="default"/>
      </w:rPr>
    </w:lvl>
    <w:lvl w:ilvl="7" w:tplc="04100003" w:tentative="1">
      <w:start w:val="1"/>
      <w:numFmt w:val="bullet"/>
      <w:lvlText w:val="o"/>
      <w:lvlJc w:val="left"/>
      <w:pPr>
        <w:ind w:left="5811" w:hanging="360"/>
      </w:pPr>
      <w:rPr>
        <w:rFonts w:ascii="Courier New" w:hAnsi="Courier New" w:cs="Courier New" w:hint="default"/>
      </w:rPr>
    </w:lvl>
    <w:lvl w:ilvl="8" w:tplc="04100005" w:tentative="1">
      <w:start w:val="1"/>
      <w:numFmt w:val="bullet"/>
      <w:lvlText w:val=""/>
      <w:lvlJc w:val="left"/>
      <w:pPr>
        <w:ind w:left="6531" w:hanging="360"/>
      </w:pPr>
      <w:rPr>
        <w:rFonts w:ascii="Wingdings" w:hAnsi="Wingdings" w:hint="default"/>
      </w:rPr>
    </w:lvl>
  </w:abstractNum>
  <w:abstractNum w:abstractNumId="12" w15:restartNumberingAfterBreak="0">
    <w:nsid w:val="1D0467EF"/>
    <w:multiLevelType w:val="hybridMultilevel"/>
    <w:tmpl w:val="A2D8C3E4"/>
    <w:lvl w:ilvl="0" w:tplc="FBA8FD00">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533FA8"/>
    <w:multiLevelType w:val="hybridMultilevel"/>
    <w:tmpl w:val="AE268A32"/>
    <w:lvl w:ilvl="0" w:tplc="FBA8FD0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64529F"/>
    <w:multiLevelType w:val="hybridMultilevel"/>
    <w:tmpl w:val="E18C77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7943FE"/>
    <w:multiLevelType w:val="hybridMultilevel"/>
    <w:tmpl w:val="492C6B66"/>
    <w:lvl w:ilvl="0" w:tplc="FBA8FD0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DF82BA4"/>
    <w:multiLevelType w:val="hybridMultilevel"/>
    <w:tmpl w:val="B610F95E"/>
    <w:lvl w:ilvl="0" w:tplc="FBA8FD0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5ED5166"/>
    <w:multiLevelType w:val="hybridMultilevel"/>
    <w:tmpl w:val="686C7140"/>
    <w:lvl w:ilvl="0" w:tplc="B460598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16882765">
    <w:abstractNumId w:val="14"/>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3"/>
  </w:num>
  <w:num w:numId="13" w16cid:durableId="695733619">
    <w:abstractNumId w:val="16"/>
  </w:num>
  <w:num w:numId="14" w16cid:durableId="145903400">
    <w:abstractNumId w:val="24"/>
  </w:num>
  <w:num w:numId="15" w16cid:durableId="19162326">
    <w:abstractNumId w:val="27"/>
  </w:num>
  <w:num w:numId="16" w16cid:durableId="1977102699">
    <w:abstractNumId w:val="26"/>
  </w:num>
  <w:num w:numId="17" w16cid:durableId="860774865">
    <w:abstractNumId w:val="15"/>
  </w:num>
  <w:num w:numId="18" w16cid:durableId="313221457">
    <w:abstractNumId w:val="16"/>
    <w:lvlOverride w:ilvl="0">
      <w:startOverride w:val="1"/>
    </w:lvlOverride>
  </w:num>
  <w:num w:numId="19" w16cid:durableId="534971577">
    <w:abstractNumId w:val="22"/>
  </w:num>
  <w:num w:numId="20" w16cid:durableId="1150947773">
    <w:abstractNumId w:val="21"/>
  </w:num>
  <w:num w:numId="21" w16cid:durableId="124660497">
    <w:abstractNumId w:val="20"/>
  </w:num>
  <w:num w:numId="22" w16cid:durableId="2099861471">
    <w:abstractNumId w:val="18"/>
  </w:num>
  <w:num w:numId="23" w16cid:durableId="851796415">
    <w:abstractNumId w:val="11"/>
  </w:num>
  <w:num w:numId="24" w16cid:durableId="1651012515">
    <w:abstractNumId w:val="10"/>
  </w:num>
  <w:num w:numId="25" w16cid:durableId="54470514">
    <w:abstractNumId w:val="25"/>
  </w:num>
  <w:num w:numId="26" w16cid:durableId="225335924">
    <w:abstractNumId w:val="12"/>
  </w:num>
  <w:num w:numId="27" w16cid:durableId="409620038">
    <w:abstractNumId w:val="13"/>
  </w:num>
  <w:num w:numId="28" w16cid:durableId="171839956">
    <w:abstractNumId w:val="19"/>
  </w:num>
  <w:num w:numId="29" w16cid:durableId="972753094">
    <w:abstractNumId w:val="17"/>
  </w:num>
  <w:num w:numId="30" w16cid:durableId="999279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0FAC+bkuEtAAAA"/>
  </w:docVars>
  <w:rsids>
    <w:rsidRoot w:val="000E414A"/>
    <w:rsid w:val="000027C0"/>
    <w:rsid w:val="000052FB"/>
    <w:rsid w:val="00005884"/>
    <w:rsid w:val="00005A19"/>
    <w:rsid w:val="000117CB"/>
    <w:rsid w:val="00012667"/>
    <w:rsid w:val="0003148D"/>
    <w:rsid w:val="00031EEC"/>
    <w:rsid w:val="00051566"/>
    <w:rsid w:val="00055059"/>
    <w:rsid w:val="000562A9"/>
    <w:rsid w:val="00062A9A"/>
    <w:rsid w:val="00065058"/>
    <w:rsid w:val="000855E7"/>
    <w:rsid w:val="00086C39"/>
    <w:rsid w:val="000A03B2"/>
    <w:rsid w:val="000B7D2E"/>
    <w:rsid w:val="000D0268"/>
    <w:rsid w:val="000D34BE"/>
    <w:rsid w:val="000E102F"/>
    <w:rsid w:val="000E36F1"/>
    <w:rsid w:val="000E3A73"/>
    <w:rsid w:val="000E414A"/>
    <w:rsid w:val="000E75FD"/>
    <w:rsid w:val="000F093C"/>
    <w:rsid w:val="000F787B"/>
    <w:rsid w:val="00117D97"/>
    <w:rsid w:val="0012091F"/>
    <w:rsid w:val="00124AAD"/>
    <w:rsid w:val="00126BC2"/>
    <w:rsid w:val="001308B6"/>
    <w:rsid w:val="0013121F"/>
    <w:rsid w:val="00131FE6"/>
    <w:rsid w:val="0013263F"/>
    <w:rsid w:val="001331DF"/>
    <w:rsid w:val="00134DE4"/>
    <w:rsid w:val="0014034D"/>
    <w:rsid w:val="00140FE3"/>
    <w:rsid w:val="00144D16"/>
    <w:rsid w:val="00150E59"/>
    <w:rsid w:val="00152DE3"/>
    <w:rsid w:val="00156EA3"/>
    <w:rsid w:val="00164CF9"/>
    <w:rsid w:val="001667A6"/>
    <w:rsid w:val="0017063D"/>
    <w:rsid w:val="00184AD6"/>
    <w:rsid w:val="001873F8"/>
    <w:rsid w:val="00193566"/>
    <w:rsid w:val="001A4AF7"/>
    <w:rsid w:val="001B0349"/>
    <w:rsid w:val="001B1E93"/>
    <w:rsid w:val="001B61A7"/>
    <w:rsid w:val="001B65C1"/>
    <w:rsid w:val="001C260F"/>
    <w:rsid w:val="001C33F1"/>
    <w:rsid w:val="001C40B7"/>
    <w:rsid w:val="001C684B"/>
    <w:rsid w:val="001D0CFB"/>
    <w:rsid w:val="001D21AF"/>
    <w:rsid w:val="001D53FC"/>
    <w:rsid w:val="001F39BC"/>
    <w:rsid w:val="001F42A5"/>
    <w:rsid w:val="001F7B9D"/>
    <w:rsid w:val="00201C93"/>
    <w:rsid w:val="002224B4"/>
    <w:rsid w:val="002447EF"/>
    <w:rsid w:val="00247E82"/>
    <w:rsid w:val="00251550"/>
    <w:rsid w:val="002531EE"/>
    <w:rsid w:val="00263B05"/>
    <w:rsid w:val="0027221A"/>
    <w:rsid w:val="00275B61"/>
    <w:rsid w:val="00280FAF"/>
    <w:rsid w:val="00282656"/>
    <w:rsid w:val="00296B83"/>
    <w:rsid w:val="002B4015"/>
    <w:rsid w:val="002B6C98"/>
    <w:rsid w:val="002B78CE"/>
    <w:rsid w:val="002C2CC7"/>
    <w:rsid w:val="002C2FB6"/>
    <w:rsid w:val="002E5FA7"/>
    <w:rsid w:val="002F3309"/>
    <w:rsid w:val="003008CE"/>
    <w:rsid w:val="003009B7"/>
    <w:rsid w:val="00300E56"/>
    <w:rsid w:val="0030152C"/>
    <w:rsid w:val="00302DED"/>
    <w:rsid w:val="0030469C"/>
    <w:rsid w:val="00321CA6"/>
    <w:rsid w:val="00323763"/>
    <w:rsid w:val="00323C5F"/>
    <w:rsid w:val="00334C09"/>
    <w:rsid w:val="003542BE"/>
    <w:rsid w:val="003565BA"/>
    <w:rsid w:val="003723D4"/>
    <w:rsid w:val="00381905"/>
    <w:rsid w:val="00384CC8"/>
    <w:rsid w:val="003871FD"/>
    <w:rsid w:val="003A1E30"/>
    <w:rsid w:val="003A2829"/>
    <w:rsid w:val="003A5952"/>
    <w:rsid w:val="003A7D1C"/>
    <w:rsid w:val="003B304B"/>
    <w:rsid w:val="003B3146"/>
    <w:rsid w:val="003D1E02"/>
    <w:rsid w:val="003E2AC6"/>
    <w:rsid w:val="003F015E"/>
    <w:rsid w:val="00400414"/>
    <w:rsid w:val="0041446B"/>
    <w:rsid w:val="00426C1F"/>
    <w:rsid w:val="00430BA8"/>
    <w:rsid w:val="00431AF6"/>
    <w:rsid w:val="0044071E"/>
    <w:rsid w:val="0044329C"/>
    <w:rsid w:val="00444EC7"/>
    <w:rsid w:val="00453E24"/>
    <w:rsid w:val="00457456"/>
    <w:rsid w:val="004577FE"/>
    <w:rsid w:val="00457B9C"/>
    <w:rsid w:val="0046164A"/>
    <w:rsid w:val="004628D2"/>
    <w:rsid w:val="00462DCD"/>
    <w:rsid w:val="004648AD"/>
    <w:rsid w:val="004703A9"/>
    <w:rsid w:val="004760DE"/>
    <w:rsid w:val="004763D7"/>
    <w:rsid w:val="0049184D"/>
    <w:rsid w:val="004A004E"/>
    <w:rsid w:val="004A24CF"/>
    <w:rsid w:val="004A5E57"/>
    <w:rsid w:val="004B5CBF"/>
    <w:rsid w:val="004C194F"/>
    <w:rsid w:val="004C3D1D"/>
    <w:rsid w:val="004C3D84"/>
    <w:rsid w:val="004C7913"/>
    <w:rsid w:val="004D3668"/>
    <w:rsid w:val="004D638A"/>
    <w:rsid w:val="004E44F9"/>
    <w:rsid w:val="004E4DD6"/>
    <w:rsid w:val="004E77B4"/>
    <w:rsid w:val="004F5E36"/>
    <w:rsid w:val="0050329D"/>
    <w:rsid w:val="00507B47"/>
    <w:rsid w:val="00507BEF"/>
    <w:rsid w:val="00507CC9"/>
    <w:rsid w:val="005119A5"/>
    <w:rsid w:val="005278B7"/>
    <w:rsid w:val="00532016"/>
    <w:rsid w:val="005346C8"/>
    <w:rsid w:val="00543E7D"/>
    <w:rsid w:val="00547A68"/>
    <w:rsid w:val="00551608"/>
    <w:rsid w:val="005531C9"/>
    <w:rsid w:val="00570C43"/>
    <w:rsid w:val="00574ABA"/>
    <w:rsid w:val="0058763B"/>
    <w:rsid w:val="00592274"/>
    <w:rsid w:val="0059378F"/>
    <w:rsid w:val="005A1700"/>
    <w:rsid w:val="005B2110"/>
    <w:rsid w:val="005B61E6"/>
    <w:rsid w:val="005C77E1"/>
    <w:rsid w:val="005D668A"/>
    <w:rsid w:val="005D6A2F"/>
    <w:rsid w:val="005E0592"/>
    <w:rsid w:val="005E1A82"/>
    <w:rsid w:val="005E794C"/>
    <w:rsid w:val="005F0A28"/>
    <w:rsid w:val="005F0E5E"/>
    <w:rsid w:val="005F45CE"/>
    <w:rsid w:val="00600535"/>
    <w:rsid w:val="00607D68"/>
    <w:rsid w:val="00610CD6"/>
    <w:rsid w:val="00620DEE"/>
    <w:rsid w:val="006212DF"/>
    <w:rsid w:val="00621F92"/>
    <w:rsid w:val="0062280A"/>
    <w:rsid w:val="006231E1"/>
    <w:rsid w:val="00625639"/>
    <w:rsid w:val="00631B33"/>
    <w:rsid w:val="0064184D"/>
    <w:rsid w:val="006422CC"/>
    <w:rsid w:val="00646D84"/>
    <w:rsid w:val="00651D18"/>
    <w:rsid w:val="00660E3E"/>
    <w:rsid w:val="00661FD7"/>
    <w:rsid w:val="00662E74"/>
    <w:rsid w:val="0066512E"/>
    <w:rsid w:val="00680C23"/>
    <w:rsid w:val="00683E23"/>
    <w:rsid w:val="0069218E"/>
    <w:rsid w:val="00693766"/>
    <w:rsid w:val="006A3281"/>
    <w:rsid w:val="006A7617"/>
    <w:rsid w:val="006B4888"/>
    <w:rsid w:val="006C2E45"/>
    <w:rsid w:val="006C359C"/>
    <w:rsid w:val="006C5579"/>
    <w:rsid w:val="006D584A"/>
    <w:rsid w:val="006D6E8B"/>
    <w:rsid w:val="006D7209"/>
    <w:rsid w:val="006E737D"/>
    <w:rsid w:val="006F2484"/>
    <w:rsid w:val="00707DD1"/>
    <w:rsid w:val="00713973"/>
    <w:rsid w:val="00720A24"/>
    <w:rsid w:val="007322C6"/>
    <w:rsid w:val="00732386"/>
    <w:rsid w:val="0073514D"/>
    <w:rsid w:val="00736685"/>
    <w:rsid w:val="00740FF5"/>
    <w:rsid w:val="007447F3"/>
    <w:rsid w:val="0075499F"/>
    <w:rsid w:val="007617CC"/>
    <w:rsid w:val="007661C8"/>
    <w:rsid w:val="0077098D"/>
    <w:rsid w:val="00785BF9"/>
    <w:rsid w:val="007931FA"/>
    <w:rsid w:val="007A4861"/>
    <w:rsid w:val="007A6DF8"/>
    <w:rsid w:val="007A7BBA"/>
    <w:rsid w:val="007B0C50"/>
    <w:rsid w:val="007B48F9"/>
    <w:rsid w:val="007C1A43"/>
    <w:rsid w:val="007C4DA1"/>
    <w:rsid w:val="007D0951"/>
    <w:rsid w:val="007F27C8"/>
    <w:rsid w:val="0080013E"/>
    <w:rsid w:val="00813288"/>
    <w:rsid w:val="00813A5F"/>
    <w:rsid w:val="008168FC"/>
    <w:rsid w:val="0083024A"/>
    <w:rsid w:val="00830996"/>
    <w:rsid w:val="008314D7"/>
    <w:rsid w:val="008345F1"/>
    <w:rsid w:val="00865B07"/>
    <w:rsid w:val="008667EA"/>
    <w:rsid w:val="008704AC"/>
    <w:rsid w:val="0087637F"/>
    <w:rsid w:val="00892AD5"/>
    <w:rsid w:val="008A1512"/>
    <w:rsid w:val="008A4BC1"/>
    <w:rsid w:val="008D32B9"/>
    <w:rsid w:val="008D433B"/>
    <w:rsid w:val="008D4A16"/>
    <w:rsid w:val="008D5A7A"/>
    <w:rsid w:val="008E209A"/>
    <w:rsid w:val="008E255D"/>
    <w:rsid w:val="008E45BC"/>
    <w:rsid w:val="008E566E"/>
    <w:rsid w:val="008E5EA9"/>
    <w:rsid w:val="0090161A"/>
    <w:rsid w:val="00901EB6"/>
    <w:rsid w:val="009041F8"/>
    <w:rsid w:val="00904C62"/>
    <w:rsid w:val="00920748"/>
    <w:rsid w:val="009210B3"/>
    <w:rsid w:val="00922BA8"/>
    <w:rsid w:val="00924DAC"/>
    <w:rsid w:val="00927058"/>
    <w:rsid w:val="0094247A"/>
    <w:rsid w:val="00942750"/>
    <w:rsid w:val="009450CE"/>
    <w:rsid w:val="009459BB"/>
    <w:rsid w:val="00947179"/>
    <w:rsid w:val="0095164B"/>
    <w:rsid w:val="00954090"/>
    <w:rsid w:val="00956158"/>
    <w:rsid w:val="009573E7"/>
    <w:rsid w:val="00963E05"/>
    <w:rsid w:val="00964A45"/>
    <w:rsid w:val="00967843"/>
    <w:rsid w:val="00967D54"/>
    <w:rsid w:val="00971028"/>
    <w:rsid w:val="00993B84"/>
    <w:rsid w:val="00996483"/>
    <w:rsid w:val="00996F5A"/>
    <w:rsid w:val="009B041A"/>
    <w:rsid w:val="009B3FE2"/>
    <w:rsid w:val="009C37C3"/>
    <w:rsid w:val="009C7C86"/>
    <w:rsid w:val="009D0FF9"/>
    <w:rsid w:val="009D2FF7"/>
    <w:rsid w:val="009E7884"/>
    <w:rsid w:val="009E788A"/>
    <w:rsid w:val="009F0E08"/>
    <w:rsid w:val="00A04E78"/>
    <w:rsid w:val="00A079AE"/>
    <w:rsid w:val="00A120D8"/>
    <w:rsid w:val="00A1210D"/>
    <w:rsid w:val="00A1763D"/>
    <w:rsid w:val="00A17CEC"/>
    <w:rsid w:val="00A26CBB"/>
    <w:rsid w:val="00A27EF0"/>
    <w:rsid w:val="00A31D2F"/>
    <w:rsid w:val="00A34310"/>
    <w:rsid w:val="00A42361"/>
    <w:rsid w:val="00A50B20"/>
    <w:rsid w:val="00A51390"/>
    <w:rsid w:val="00A55171"/>
    <w:rsid w:val="00A60D13"/>
    <w:rsid w:val="00A7223D"/>
    <w:rsid w:val="00A72745"/>
    <w:rsid w:val="00A76EFC"/>
    <w:rsid w:val="00A87D50"/>
    <w:rsid w:val="00A91010"/>
    <w:rsid w:val="00A97F29"/>
    <w:rsid w:val="00AA702E"/>
    <w:rsid w:val="00AA7D26"/>
    <w:rsid w:val="00AB0964"/>
    <w:rsid w:val="00AB5011"/>
    <w:rsid w:val="00AC7368"/>
    <w:rsid w:val="00AD0278"/>
    <w:rsid w:val="00AD16B9"/>
    <w:rsid w:val="00AE377D"/>
    <w:rsid w:val="00AF0EBA"/>
    <w:rsid w:val="00B006B5"/>
    <w:rsid w:val="00B02C8A"/>
    <w:rsid w:val="00B17FBD"/>
    <w:rsid w:val="00B315A6"/>
    <w:rsid w:val="00B31813"/>
    <w:rsid w:val="00B33365"/>
    <w:rsid w:val="00B57B36"/>
    <w:rsid w:val="00B57E6F"/>
    <w:rsid w:val="00B8686D"/>
    <w:rsid w:val="00B904DF"/>
    <w:rsid w:val="00B93F69"/>
    <w:rsid w:val="00B97AB6"/>
    <w:rsid w:val="00BB1DDC"/>
    <w:rsid w:val="00BB56F9"/>
    <w:rsid w:val="00BC0715"/>
    <w:rsid w:val="00BC3066"/>
    <w:rsid w:val="00BC30C9"/>
    <w:rsid w:val="00BC5B77"/>
    <w:rsid w:val="00BD077D"/>
    <w:rsid w:val="00BE3E58"/>
    <w:rsid w:val="00C01616"/>
    <w:rsid w:val="00C0162B"/>
    <w:rsid w:val="00C068ED"/>
    <w:rsid w:val="00C208E9"/>
    <w:rsid w:val="00C22E0C"/>
    <w:rsid w:val="00C345B1"/>
    <w:rsid w:val="00C40142"/>
    <w:rsid w:val="00C52C3C"/>
    <w:rsid w:val="00C57182"/>
    <w:rsid w:val="00C57863"/>
    <w:rsid w:val="00C640AF"/>
    <w:rsid w:val="00C655FD"/>
    <w:rsid w:val="00C75407"/>
    <w:rsid w:val="00C841C6"/>
    <w:rsid w:val="00C870A8"/>
    <w:rsid w:val="00C94434"/>
    <w:rsid w:val="00CA0D75"/>
    <w:rsid w:val="00CA1C95"/>
    <w:rsid w:val="00CA213B"/>
    <w:rsid w:val="00CA5A9C"/>
    <w:rsid w:val="00CB1DFC"/>
    <w:rsid w:val="00CC4C20"/>
    <w:rsid w:val="00CD0A28"/>
    <w:rsid w:val="00CD3517"/>
    <w:rsid w:val="00CD5FE2"/>
    <w:rsid w:val="00CE7C68"/>
    <w:rsid w:val="00D02B4C"/>
    <w:rsid w:val="00D040C4"/>
    <w:rsid w:val="00D0542F"/>
    <w:rsid w:val="00D20AD1"/>
    <w:rsid w:val="00D214FE"/>
    <w:rsid w:val="00D2582C"/>
    <w:rsid w:val="00D25E40"/>
    <w:rsid w:val="00D46B7E"/>
    <w:rsid w:val="00D57C84"/>
    <w:rsid w:val="00D6057D"/>
    <w:rsid w:val="00D63B44"/>
    <w:rsid w:val="00D71640"/>
    <w:rsid w:val="00D755FC"/>
    <w:rsid w:val="00D836C5"/>
    <w:rsid w:val="00D84576"/>
    <w:rsid w:val="00D90CD8"/>
    <w:rsid w:val="00DA0317"/>
    <w:rsid w:val="00DA1399"/>
    <w:rsid w:val="00DA24C6"/>
    <w:rsid w:val="00DA4D7B"/>
    <w:rsid w:val="00DB0245"/>
    <w:rsid w:val="00DC1EDA"/>
    <w:rsid w:val="00DD271C"/>
    <w:rsid w:val="00DE264A"/>
    <w:rsid w:val="00DF1885"/>
    <w:rsid w:val="00DF5072"/>
    <w:rsid w:val="00E02D18"/>
    <w:rsid w:val="00E041E7"/>
    <w:rsid w:val="00E227F0"/>
    <w:rsid w:val="00E23CA1"/>
    <w:rsid w:val="00E34951"/>
    <w:rsid w:val="00E409A8"/>
    <w:rsid w:val="00E44B7A"/>
    <w:rsid w:val="00E46006"/>
    <w:rsid w:val="00E47D61"/>
    <w:rsid w:val="00E50C12"/>
    <w:rsid w:val="00E65B91"/>
    <w:rsid w:val="00E67AA9"/>
    <w:rsid w:val="00E7209D"/>
    <w:rsid w:val="00E72EAD"/>
    <w:rsid w:val="00E756E7"/>
    <w:rsid w:val="00E77223"/>
    <w:rsid w:val="00E8528B"/>
    <w:rsid w:val="00E853F8"/>
    <w:rsid w:val="00E85B94"/>
    <w:rsid w:val="00E916C2"/>
    <w:rsid w:val="00E95835"/>
    <w:rsid w:val="00E978D0"/>
    <w:rsid w:val="00EA405E"/>
    <w:rsid w:val="00EA4613"/>
    <w:rsid w:val="00EA7556"/>
    <w:rsid w:val="00EA7F91"/>
    <w:rsid w:val="00EB14BE"/>
    <w:rsid w:val="00EB1523"/>
    <w:rsid w:val="00EB289E"/>
    <w:rsid w:val="00EC0E49"/>
    <w:rsid w:val="00EC101F"/>
    <w:rsid w:val="00EC1D9F"/>
    <w:rsid w:val="00EE0131"/>
    <w:rsid w:val="00EE17B0"/>
    <w:rsid w:val="00EE7708"/>
    <w:rsid w:val="00EF06D9"/>
    <w:rsid w:val="00EF0982"/>
    <w:rsid w:val="00EF2C74"/>
    <w:rsid w:val="00F05BCB"/>
    <w:rsid w:val="00F20758"/>
    <w:rsid w:val="00F3049E"/>
    <w:rsid w:val="00F30C64"/>
    <w:rsid w:val="00F32BA2"/>
    <w:rsid w:val="00F32CDB"/>
    <w:rsid w:val="00F3348F"/>
    <w:rsid w:val="00F37280"/>
    <w:rsid w:val="00F41EE4"/>
    <w:rsid w:val="00F565FE"/>
    <w:rsid w:val="00F63A70"/>
    <w:rsid w:val="00F63D8C"/>
    <w:rsid w:val="00F7534E"/>
    <w:rsid w:val="00F93EDF"/>
    <w:rsid w:val="00F96246"/>
    <w:rsid w:val="00FA1802"/>
    <w:rsid w:val="00FA21D0"/>
    <w:rsid w:val="00FA28AF"/>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920748"/>
    <w:rPr>
      <w:color w:val="605E5C"/>
      <w:shd w:val="clear" w:color="auto" w:fill="E1DFDD"/>
    </w:rPr>
  </w:style>
  <w:style w:type="character" w:styleId="Strong">
    <w:name w:val="Strong"/>
    <w:basedOn w:val="DefaultParagraphFont"/>
    <w:uiPriority w:val="22"/>
    <w:qFormat/>
    <w:rsid w:val="00E67A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paolo.mocellin@unipd.it"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4064</Words>
  <Characters>23167</Characters>
  <Application>Microsoft Office Word</Application>
  <DocSecurity>0</DocSecurity>
  <Lines>193</Lines>
  <Paragraphs>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Paolo M</cp:lastModifiedBy>
  <cp:revision>74</cp:revision>
  <cp:lastPrinted>2015-05-12T18:31:00Z</cp:lastPrinted>
  <dcterms:created xsi:type="dcterms:W3CDTF">2026-03-11T08:06:00Z</dcterms:created>
  <dcterms:modified xsi:type="dcterms:W3CDTF">2026-03-11T13:37:00Z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