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483C0F">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bookmarkStart w:id="0" w:name="_Hlk145068772"/>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753620B8"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VOL.</w:t>
            </w:r>
            <w:r w:rsidR="00785BF9">
              <w:rPr>
                <w:rFonts w:cs="Arial"/>
                <w:b/>
                <w:bCs/>
                <w:i/>
                <w:iCs/>
                <w:color w:val="000066"/>
                <w:sz w:val="22"/>
                <w:szCs w:val="22"/>
                <w:lang w:eastAsia="it-IT"/>
              </w:rPr>
              <w:t xml:space="preserve"> </w:t>
            </w:r>
            <w:r w:rsidR="00AD0278">
              <w:rPr>
                <w:rFonts w:cs="Arial"/>
                <w:b/>
                <w:bCs/>
                <w:i/>
                <w:iCs/>
                <w:color w:val="000066"/>
                <w:sz w:val="22"/>
                <w:szCs w:val="22"/>
                <w:lang w:eastAsia="it-IT"/>
              </w:rPr>
              <w:t>xxx</w:t>
            </w:r>
            <w:r w:rsidR="007B48F9">
              <w:rPr>
                <w:rFonts w:cs="Arial"/>
                <w:b/>
                <w:bCs/>
                <w:i/>
                <w:iCs/>
                <w:color w:val="000066"/>
                <w:sz w:val="22"/>
                <w:szCs w:val="22"/>
                <w:lang w:eastAsia="it-IT"/>
              </w:rPr>
              <w:t>,</w:t>
            </w:r>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AD0278">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483C0F">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483C0F">
        <w:trPr>
          <w:trHeight w:val="68"/>
          <w:jc w:val="center"/>
        </w:trPr>
        <w:tc>
          <w:tcPr>
            <w:tcW w:w="8782" w:type="dxa"/>
            <w:gridSpan w:val="2"/>
          </w:tcPr>
          <w:p w14:paraId="1D8DD3C9" w14:textId="775EC904" w:rsidR="00AA7D26" w:rsidRPr="007A6DF8" w:rsidRDefault="004A5E57" w:rsidP="007A6DF8">
            <w:pPr>
              <w:ind w:left="-107"/>
              <w:outlineLvl w:val="2"/>
              <w:rPr>
                <w:rFonts w:ascii="Tahoma" w:hAnsi="Tahoma" w:cs="Tahoma"/>
                <w:color w:val="000000"/>
                <w:sz w:val="14"/>
                <w:szCs w:val="14"/>
                <w:shd w:val="clear" w:color="auto" w:fill="FFFFFF"/>
                <w:lang w:val="it-IT"/>
              </w:rPr>
            </w:pPr>
            <w:r w:rsidRPr="004A5E57">
              <w:rPr>
                <w:rFonts w:ascii="Tahoma" w:hAnsi="Tahoma" w:cs="Tahoma"/>
                <w:iCs/>
                <w:color w:val="333333"/>
                <w:sz w:val="14"/>
                <w:szCs w:val="14"/>
                <w:lang w:val="it-IT" w:eastAsia="it-IT"/>
              </w:rPr>
              <w:t>Guest Editors:</w:t>
            </w:r>
            <w:r w:rsidRPr="004A5E57">
              <w:rPr>
                <w:rFonts w:ascii="Tahoma" w:hAnsi="Tahoma" w:cs="Tahoma"/>
                <w:color w:val="000000"/>
                <w:sz w:val="14"/>
                <w:szCs w:val="14"/>
                <w:shd w:val="clear" w:color="auto" w:fill="FFFFFF"/>
                <w:lang w:val="it-IT"/>
              </w:rPr>
              <w:t xml:space="preserve"> </w:t>
            </w:r>
            <w:r w:rsidR="007A6DF8" w:rsidRPr="007A6DF8">
              <w:rPr>
                <w:rFonts w:ascii="Tahoma" w:hAnsi="Tahoma" w:cs="Tahoma"/>
                <w:color w:val="000000"/>
                <w:sz w:val="14"/>
                <w:szCs w:val="14"/>
                <w:shd w:val="clear" w:color="auto" w:fill="FFFFFF"/>
                <w:lang w:val="it-IT"/>
              </w:rPr>
              <w:t>Valerio Cozzani, Bruno Fabiano, Genserik Reniers</w:t>
            </w:r>
          </w:p>
          <w:p w14:paraId="1B0F1814" w14:textId="710B7B96"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005884">
              <w:rPr>
                <w:rFonts w:ascii="Tahoma" w:hAnsi="Tahoma" w:cs="Tahoma"/>
                <w:iCs/>
                <w:color w:val="333333"/>
                <w:sz w:val="14"/>
                <w:szCs w:val="14"/>
                <w:lang w:eastAsia="it-IT"/>
              </w:rPr>
              <w:t>6</w:t>
            </w:r>
            <w:r w:rsidRPr="00B57B36">
              <w:rPr>
                <w:rFonts w:ascii="Tahoma" w:hAnsi="Tahoma" w:cs="Tahoma"/>
                <w:iCs/>
                <w:color w:val="333333"/>
                <w:sz w:val="14"/>
                <w:szCs w:val="14"/>
                <w:lang w:eastAsia="it-IT"/>
              </w:rPr>
              <w:t>, AIDIC Servizi S.r.l.</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005884">
              <w:rPr>
                <w:rFonts w:ascii="Tahoma" w:hAnsi="Tahoma" w:cs="Tahoma"/>
                <w:sz w:val="14"/>
                <w:szCs w:val="14"/>
              </w:rPr>
              <w:t>xx</w:t>
            </w:r>
            <w:r w:rsidR="009041F8">
              <w:rPr>
                <w:rFonts w:ascii="Tahoma" w:hAnsi="Tahoma" w:cs="Tahoma"/>
                <w:sz w:val="14"/>
                <w:szCs w:val="14"/>
              </w:rPr>
              <w:t>-</w:t>
            </w:r>
            <w:r w:rsidR="00005884">
              <w:rPr>
                <w:rFonts w:ascii="Tahoma" w:hAnsi="Tahoma" w:cs="Tahoma"/>
                <w:sz w:val="14"/>
                <w:szCs w:val="14"/>
              </w:rPr>
              <w:t>x</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bookmarkEnd w:id="0"/>
    <w:p w14:paraId="2E667253" w14:textId="2D21F5AC" w:rsidR="00E978D0" w:rsidRPr="00B57B36" w:rsidRDefault="00483C0F" w:rsidP="004A33A0">
      <w:pPr>
        <w:pStyle w:val="CETTitle"/>
      </w:pPr>
      <w:r w:rsidRPr="00483C0F">
        <w:t xml:space="preserve">Dynamic Barrier Failure Pathways in Ammonia Bunkering: </w:t>
      </w:r>
      <w:r w:rsidR="00E43DCD">
        <w:t xml:space="preserve">   </w:t>
      </w:r>
      <w:r w:rsidRPr="00483C0F">
        <w:t>A Systems-Based Safety Analysis</w:t>
      </w:r>
      <w:r w:rsidR="005C7511">
        <w:t xml:space="preserve"> Framework</w:t>
      </w:r>
    </w:p>
    <w:p w14:paraId="0488FED2" w14:textId="67B320DC" w:rsidR="00B57E6F" w:rsidRPr="000A12B0" w:rsidRDefault="00856E31" w:rsidP="00856E31">
      <w:pPr>
        <w:pStyle w:val="CETAuthors"/>
      </w:pPr>
      <w:r w:rsidRPr="000A12B0">
        <w:t>Tomaso Vairo</w:t>
      </w:r>
      <w:r w:rsidRPr="000A12B0">
        <w:rPr>
          <w:vertAlign w:val="superscript"/>
        </w:rPr>
        <w:t>a</w:t>
      </w:r>
      <w:r w:rsidRPr="000A12B0">
        <w:t>, Hans J. Pasman</w:t>
      </w:r>
      <w:r w:rsidRPr="000A12B0">
        <w:rPr>
          <w:vertAlign w:val="superscript"/>
        </w:rPr>
        <w:t>b</w:t>
      </w:r>
      <w:r w:rsidRPr="000A12B0">
        <w:t xml:space="preserve">, Andrea </w:t>
      </w:r>
      <w:r w:rsidR="000A12B0" w:rsidRPr="000A12B0">
        <w:t xml:space="preserve">P. </w:t>
      </w:r>
      <w:r w:rsidRPr="000A12B0">
        <w:t>Reverberi</w:t>
      </w:r>
      <w:r w:rsidRPr="000A12B0">
        <w:rPr>
          <w:vertAlign w:val="superscript"/>
        </w:rPr>
        <w:t>c</w:t>
      </w:r>
      <w:r w:rsidRPr="000A12B0">
        <w:t>, Bruno Fabiano</w:t>
      </w:r>
      <w:r w:rsidRPr="000A12B0">
        <w:rPr>
          <w:vertAlign w:val="superscript"/>
        </w:rPr>
        <w:t>a</w:t>
      </w:r>
      <w:r w:rsidRPr="000A12B0">
        <w:t>*</w:t>
      </w:r>
    </w:p>
    <w:p w14:paraId="68A0A0D7" w14:textId="4A020C4D" w:rsidR="00856E31" w:rsidRDefault="00B57E6F" w:rsidP="00856E31">
      <w:pPr>
        <w:pStyle w:val="CETAddress"/>
      </w:pPr>
      <w:r w:rsidRPr="00856E31">
        <w:rPr>
          <w:vertAlign w:val="superscript"/>
        </w:rPr>
        <w:t>a</w:t>
      </w:r>
      <w:r w:rsidR="00856E31" w:rsidRPr="00856E31">
        <w:t>DICCA Civil Chemical and Environmental Engineering</w:t>
      </w:r>
      <w:r w:rsidR="00C6339B">
        <w:t xml:space="preserve"> D</w:t>
      </w:r>
      <w:r w:rsidR="000A12B0">
        <w:t xml:space="preserve">ept., </w:t>
      </w:r>
      <w:r w:rsidR="00856E31" w:rsidRPr="00856E31">
        <w:t>Genoa</w:t>
      </w:r>
      <w:r w:rsidR="000A12B0">
        <w:t xml:space="preserve"> University</w:t>
      </w:r>
      <w:r w:rsidR="00856E31" w:rsidRPr="00856E31">
        <w:t xml:space="preserve">, via Opera Pia 15,16145 Genova, Italy </w:t>
      </w:r>
      <w:r w:rsidR="00856E31" w:rsidRPr="00856E31">
        <w:cr/>
      </w:r>
      <w:r w:rsidRPr="00856E31">
        <w:t xml:space="preserve"> </w:t>
      </w:r>
      <w:r w:rsidRPr="00856E31">
        <w:rPr>
          <w:vertAlign w:val="superscript"/>
        </w:rPr>
        <w:t>b</w:t>
      </w:r>
      <w:r w:rsidR="00856E31" w:rsidRPr="00856E31">
        <w:t>TEES</w:t>
      </w:r>
      <w:r w:rsidR="00856E31">
        <w:t xml:space="preserve"> Mary Kay O’Connor Process Safety Center, Texas A&amp;M University System, College Station, TX 77843, USA</w:t>
      </w:r>
    </w:p>
    <w:p w14:paraId="73F1267A" w14:textId="663AE22A" w:rsidR="00B57E6F" w:rsidRPr="00B57B36" w:rsidRDefault="00856E31" w:rsidP="00856E31">
      <w:pPr>
        <w:pStyle w:val="CETAddress"/>
      </w:pPr>
      <w:r>
        <w:rPr>
          <w:vertAlign w:val="superscript"/>
        </w:rPr>
        <w:t xml:space="preserve">c </w:t>
      </w:r>
      <w:r>
        <w:t>DCCI - Chemistry and Industrial Chemistry</w:t>
      </w:r>
      <w:r w:rsidR="00C6339B">
        <w:t xml:space="preserve"> Dept.</w:t>
      </w:r>
      <w:r>
        <w:t>, Genoa University, via Dodecaneso 31, 16146, Genova, Italy</w:t>
      </w:r>
      <w:r>
        <w:cr/>
      </w:r>
      <w:r w:rsidR="00B57E6F" w:rsidRPr="00856E31">
        <w:t xml:space="preserve"> </w:t>
      </w:r>
      <w:r w:rsidRPr="00856E31">
        <w:t xml:space="preserve">brown@unige.it </w:t>
      </w:r>
      <w:r w:rsidRPr="00856E31">
        <w:cr/>
      </w:r>
    </w:p>
    <w:p w14:paraId="4958147E" w14:textId="32962639" w:rsidR="00856E31" w:rsidRPr="00856E31" w:rsidRDefault="00856E31" w:rsidP="00E40ED5">
      <w:pPr>
        <w:pStyle w:val="Paragrafoelenco"/>
        <w:ind w:left="0"/>
        <w:rPr>
          <w:rFonts w:asciiTheme="minorHAnsi" w:hAnsiTheme="minorHAnsi"/>
          <w:sz w:val="22"/>
        </w:rPr>
      </w:pPr>
      <w:r>
        <w:t>Ammonia is emerging as a promising carbon-free marine fuel</w:t>
      </w:r>
      <w:r w:rsidR="00E40ED5">
        <w:t xml:space="preserve"> and a</w:t>
      </w:r>
      <w:r>
        <w:t xml:space="preserve"> </w:t>
      </w:r>
      <w:r w:rsidR="00E40ED5" w:rsidRPr="00E40ED5">
        <w:t xml:space="preserve">prominent candidate </w:t>
      </w:r>
      <w:r w:rsidR="00E40ED5">
        <w:t xml:space="preserve">as effective </w:t>
      </w:r>
      <w:r w:rsidR="00F6020D">
        <w:t xml:space="preserve">and </w:t>
      </w:r>
      <w:r w:rsidR="008833E2">
        <w:t>low-cost</w:t>
      </w:r>
      <w:r w:rsidR="00F6020D">
        <w:t xml:space="preserve"> </w:t>
      </w:r>
      <w:r w:rsidR="00E40ED5">
        <w:t xml:space="preserve">hydrogen carrier </w:t>
      </w:r>
      <w:r w:rsidR="00E40ED5" w:rsidRPr="00E40ED5">
        <w:t xml:space="preserve">due to its high hydrogen </w:t>
      </w:r>
      <w:r w:rsidR="00F6020D">
        <w:t xml:space="preserve">content (17.65 %). </w:t>
      </w:r>
      <w:r w:rsidR="00807D0B">
        <w:t>NH</w:t>
      </w:r>
      <w:r w:rsidR="00807D0B" w:rsidRPr="00807D0B">
        <w:rPr>
          <w:vertAlign w:val="subscript"/>
        </w:rPr>
        <w:t>3</w:t>
      </w:r>
      <w:r>
        <w:t xml:space="preserve"> adoption introduces new safety challenges due to its high toxicity, corrosiveness, and complex behaviour under dynamic operational conditions. This paper presents a dynamic barrier failure analysis for an ammonia bunker vessel and associated bunkering operations, integrating temporal risk evolution with the performance of technical and organizational safety barriers. A hybrid-modelling framework</w:t>
      </w:r>
      <w:r w:rsidR="004C1A12">
        <w:t xml:space="preserve">, </w:t>
      </w:r>
      <w:r>
        <w:t>combining process-dynamic simulations, event-sequence modelling, and Bayesian inference</w:t>
      </w:r>
      <w:r w:rsidR="004C1A12">
        <w:t xml:space="preserve">, </w:t>
      </w:r>
      <w:r>
        <w:t xml:space="preserve">is developed to characterize how deviations, equipment malfunctions, human actions, organizational failure, and environmental perturbations propagate through the system over time. </w:t>
      </w:r>
      <w:r w:rsidR="00C20521">
        <w:t>Preliminary r</w:t>
      </w:r>
      <w:r>
        <w:t xml:space="preserve">esults highlight a set of high-leverage precursor conditions, which significantly increase the likelihood of cascading barrier impairment.  </w:t>
      </w:r>
    </w:p>
    <w:p w14:paraId="476B2F2E" w14:textId="77777777" w:rsidR="00600535" w:rsidRPr="00B57B36" w:rsidRDefault="00600535" w:rsidP="00600535">
      <w:pPr>
        <w:pStyle w:val="CETHeading1"/>
        <w:rPr>
          <w:lang w:val="en-GB"/>
        </w:rPr>
      </w:pPr>
      <w:r w:rsidRPr="00B57B36">
        <w:rPr>
          <w:lang w:val="en-GB"/>
        </w:rPr>
        <w:t>Introduction</w:t>
      </w:r>
    </w:p>
    <w:p w14:paraId="285F1C9E" w14:textId="52C0AAEC" w:rsidR="004A31D9" w:rsidRDefault="00483C0F" w:rsidP="00483C0F">
      <w:pPr>
        <w:pStyle w:val="CETnumberingbullets"/>
        <w:numPr>
          <w:ilvl w:val="0"/>
          <w:numId w:val="0"/>
        </w:numPr>
        <w:jc w:val="both"/>
      </w:pPr>
      <w:r>
        <w:t xml:space="preserve">The maritime sector is undergoing a </w:t>
      </w:r>
      <w:r w:rsidR="00856E31">
        <w:t>deep</w:t>
      </w:r>
      <w:r>
        <w:t xml:space="preserve"> transition toward low- and zero-carbon fuels </w:t>
      </w:r>
      <w:r w:rsidR="00914A02">
        <w:t>driven by stringent climate targets and related international regulations</w:t>
      </w:r>
      <w:r w:rsidR="00856E31">
        <w:t>, implying the introduction of emerging hazards in port environments</w:t>
      </w:r>
      <w:r w:rsidR="000167BE">
        <w:t xml:space="preserve">, </w:t>
      </w:r>
      <w:r w:rsidR="00856E31">
        <w:t>mainly connected to storage and handling</w:t>
      </w:r>
      <w:r>
        <w:t>. Among the candidate fuels, ammonia has gained substantial attention due to its carbon-free combustion potential, established industrial supply chains</w:t>
      </w:r>
      <w:r w:rsidR="000167BE">
        <w:t>,</w:t>
      </w:r>
      <w:r>
        <w:t xml:space="preserve"> and compatibility with long-term energy transition strategies (Kojima, 2024). </w:t>
      </w:r>
      <w:r w:rsidR="008F2DF1">
        <w:t xml:space="preserve">Additionally, </w:t>
      </w:r>
      <w:r w:rsidR="004A31D9">
        <w:t>ammonia</w:t>
      </w:r>
      <w:r w:rsidR="004A31D9" w:rsidRPr="004A31D9">
        <w:t xml:space="preserve"> is potentially advantageous to LH</w:t>
      </w:r>
      <w:r w:rsidR="004A31D9" w:rsidRPr="005D7C8D">
        <w:rPr>
          <w:vertAlign w:val="subscript"/>
        </w:rPr>
        <w:t>2</w:t>
      </w:r>
      <w:r w:rsidR="004A31D9" w:rsidRPr="004A31D9">
        <w:t xml:space="preserve"> </w:t>
      </w:r>
      <w:r w:rsidR="004A31D9">
        <w:t>for</w:t>
      </w:r>
      <w:r w:rsidR="004A31D9" w:rsidRPr="004A31D9">
        <w:t xml:space="preserve"> </w:t>
      </w:r>
      <w:r w:rsidR="004A31D9">
        <w:t>long-distance hydrogen transport, being</w:t>
      </w:r>
      <w:r w:rsidR="004A31D9" w:rsidRPr="004A31D9">
        <w:t xml:space="preserve"> a liquid at −33 °C (at atmospheric pressure)</w:t>
      </w:r>
      <w:r w:rsidR="005D7C8D">
        <w:t>,</w:t>
      </w:r>
      <w:r w:rsidR="004A31D9">
        <w:t xml:space="preserve"> </w:t>
      </w:r>
    </w:p>
    <w:p w14:paraId="2F608AF1" w14:textId="5039357C" w:rsidR="00937B47" w:rsidRPr="001257EA" w:rsidRDefault="001020FE" w:rsidP="005D7C8D">
      <w:pPr>
        <w:pStyle w:val="CETnumberingbullets"/>
        <w:numPr>
          <w:ilvl w:val="0"/>
          <w:numId w:val="0"/>
        </w:numPr>
        <w:jc w:val="both"/>
        <w:rPr>
          <w:lang w:val="en-US"/>
        </w:rPr>
      </w:pPr>
      <w:r>
        <w:rPr>
          <w:lang w:val="en-US"/>
        </w:rPr>
        <w:t>(Ibrahim et al., 2023)</w:t>
      </w:r>
      <w:r>
        <w:t xml:space="preserve">. </w:t>
      </w:r>
      <w:r w:rsidR="005D7C8D" w:rsidRPr="005D7C8D">
        <w:rPr>
          <w:lang w:val="en-US"/>
        </w:rPr>
        <w:t>even though the conversion of H</w:t>
      </w:r>
      <w:r w:rsidR="005D7C8D" w:rsidRPr="005D7C8D">
        <w:rPr>
          <w:vertAlign w:val="subscript"/>
          <w:lang w:val="en-US"/>
        </w:rPr>
        <w:t>2</w:t>
      </w:r>
      <w:r w:rsidR="005D7C8D" w:rsidRPr="005D7C8D">
        <w:rPr>
          <w:lang w:val="en-US"/>
        </w:rPr>
        <w:t xml:space="preserve"> into NH</w:t>
      </w:r>
      <w:r w:rsidR="005D7C8D" w:rsidRPr="005D7C8D">
        <w:rPr>
          <w:vertAlign w:val="subscript"/>
          <w:lang w:val="en-US"/>
        </w:rPr>
        <w:t>3</w:t>
      </w:r>
      <w:r w:rsidR="005D7C8D" w:rsidRPr="005D7C8D">
        <w:rPr>
          <w:lang w:val="en-US"/>
        </w:rPr>
        <w:t xml:space="preserve"> and the reconversion back to H</w:t>
      </w:r>
      <w:r w:rsidR="005D7C8D" w:rsidRPr="005D7C8D">
        <w:rPr>
          <w:vertAlign w:val="subscript"/>
          <w:lang w:val="en-US"/>
        </w:rPr>
        <w:t>2</w:t>
      </w:r>
      <w:r w:rsidR="005D7C8D" w:rsidRPr="005D7C8D">
        <w:rPr>
          <w:lang w:val="en-US"/>
        </w:rPr>
        <w:t xml:space="preserve"> at the export destination involves  energy</w:t>
      </w:r>
      <w:r w:rsidR="005D7C8D">
        <w:rPr>
          <w:lang w:val="en-US"/>
        </w:rPr>
        <w:t xml:space="preserve"> </w:t>
      </w:r>
      <w:r>
        <w:rPr>
          <w:lang w:val="en-US"/>
        </w:rPr>
        <w:t xml:space="preserve">losses (Pasman et al., 2024). </w:t>
      </w:r>
      <w:r w:rsidR="00483C0F">
        <w:t xml:space="preserve">Despite these advantages, ammonia poses severe safety concerns arising from its </w:t>
      </w:r>
      <w:r w:rsidR="004A4E20">
        <w:t>inherent hazards,</w:t>
      </w:r>
      <w:r w:rsidR="00483C0F">
        <w:t xml:space="preserve"> rapid dispersion in </w:t>
      </w:r>
      <w:r w:rsidR="004A4E20">
        <w:t>loss</w:t>
      </w:r>
      <w:r w:rsidR="00483C0F">
        <w:t xml:space="preserve"> of containment </w:t>
      </w:r>
      <w:r w:rsidR="004A4E20">
        <w:t>events and requires effective post-release mitigation measures</w:t>
      </w:r>
      <w:r w:rsidR="000167BE">
        <w:t xml:space="preserve"> (Fabiano et al., 2025)</w:t>
      </w:r>
      <w:r w:rsidR="00483C0F">
        <w:t xml:space="preserve">. </w:t>
      </w:r>
      <w:r w:rsidR="00D46A7F">
        <w:t xml:space="preserve">A recent example is provided by </w:t>
      </w:r>
      <w:r w:rsidR="000167BE">
        <w:t xml:space="preserve">the </w:t>
      </w:r>
      <w:r w:rsidR="00D46A7F">
        <w:t>explosion occurred on November 6</w:t>
      </w:r>
      <w:r w:rsidR="00D46A7F" w:rsidRPr="00D46A7F">
        <w:rPr>
          <w:vertAlign w:val="superscript"/>
        </w:rPr>
        <w:t>th</w:t>
      </w:r>
      <w:r w:rsidR="004A4E20">
        <w:t>, 2025,</w:t>
      </w:r>
      <w:r w:rsidR="00D46A7F">
        <w:t xml:space="preserve"> at a hydrogen and nitrogen product manufacturer at the CF plant in Yazoo City</w:t>
      </w:r>
      <w:r w:rsidR="000167BE">
        <w:t xml:space="preserve">, </w:t>
      </w:r>
      <w:r w:rsidR="00D46A7F">
        <w:t>Mississippi, causing an ammonia leak forcing emerging evacuation of residents</w:t>
      </w:r>
      <w:r w:rsidR="00D74B05">
        <w:t xml:space="preserve"> (The Associated Press, 2025)</w:t>
      </w:r>
      <w:r w:rsidR="00D46A7F">
        <w:t xml:space="preserve">. In this </w:t>
      </w:r>
      <w:r w:rsidR="00D74B05">
        <w:t>context</w:t>
      </w:r>
      <w:r w:rsidR="00D46A7F">
        <w:t>, b</w:t>
      </w:r>
      <w:r w:rsidR="00483C0F">
        <w:t>unkering operations represent a particularly critical phase in the ammonia fuel lifecycle</w:t>
      </w:r>
      <w:r w:rsidR="00D46A7F">
        <w:t>, as they involve</w:t>
      </w:r>
      <w:r w:rsidR="00483C0F">
        <w:t xml:space="preserve"> transient configurations, strong coupling between vessels and shore or bunker units, and intense human–machine interaction under time pressure (Yang and Lam, 2024). Accident scenarios in such contexts are rarely the result of single-point failures; rather, they emerge from systemic interactions and time-dependent degradation of safety barriers (Khan et al., 2025a). Consequently, there is a growing need for safety analysis approaches that move beyond static, component-level risk models and explicitly address dynamic, system-wide behaviour.</w:t>
      </w:r>
      <w:r w:rsidR="00937B47">
        <w:t xml:space="preserve"> </w:t>
      </w:r>
      <w:r w:rsidR="00B12736" w:rsidRPr="00937B47">
        <w:t xml:space="preserve">The proof-of-concept case study illustrates diagnostic inference; probabilities are illustrative conditionals, not real frequencies, and </w:t>
      </w:r>
      <w:r w:rsidR="00D46A7F">
        <w:t>out</w:t>
      </w:r>
      <w:r w:rsidR="00C20521">
        <w:t xml:space="preserve">lines </w:t>
      </w:r>
      <w:r w:rsidR="00C20521" w:rsidRPr="00C6339B">
        <w:t>a preliminary</w:t>
      </w:r>
      <w:r w:rsidR="00483C0F">
        <w:t xml:space="preserve"> </w:t>
      </w:r>
      <w:r w:rsidR="00C20521">
        <w:t xml:space="preserve">approach to </w:t>
      </w:r>
      <w:r w:rsidR="00483C0F">
        <w:t>dynamic, Bayesian, system-based safety analysis for ammonia bunker vessels and bunkering operations</w:t>
      </w:r>
      <w:r w:rsidR="00613C79">
        <w:t>; it aims</w:t>
      </w:r>
      <w:r w:rsidR="00483C0F">
        <w:t xml:space="preserve"> to (i) capture the temporal evolution of risk, (ii) represent uncertainty explicitly, (iii) model interdependencies among safety barriers, and (iv) support continuous learning from operational data</w:t>
      </w:r>
      <w:r w:rsidR="00C20521">
        <w:t>, allowing the attainment of increased resilience</w:t>
      </w:r>
      <w:r w:rsidR="007F67FC">
        <w:t xml:space="preserve"> (Vairo et al., 2021)</w:t>
      </w:r>
      <w:r w:rsidR="00483C0F">
        <w:t>.</w:t>
      </w:r>
      <w:r w:rsidR="001257EA">
        <w:t xml:space="preserve">  </w:t>
      </w:r>
    </w:p>
    <w:p w14:paraId="1AED3853" w14:textId="0EC05A64" w:rsidR="00600535" w:rsidRPr="00B12736" w:rsidRDefault="00B12736" w:rsidP="005D7C8D">
      <w:pPr>
        <w:pStyle w:val="CETnumberingbullets"/>
        <w:numPr>
          <w:ilvl w:val="0"/>
          <w:numId w:val="0"/>
        </w:numPr>
        <w:jc w:val="both"/>
        <w:rPr>
          <w:color w:val="FF0000"/>
        </w:rPr>
      </w:pPr>
      <w:r>
        <w:t xml:space="preserve"> </w:t>
      </w:r>
    </w:p>
    <w:p w14:paraId="5741900F" w14:textId="43D2EA9B" w:rsidR="00453E24" w:rsidRDefault="009B61FA" w:rsidP="005D7C8D">
      <w:pPr>
        <w:pStyle w:val="CETHeading1"/>
        <w:spacing w:before="0"/>
        <w:jc w:val="both"/>
      </w:pPr>
      <w:r>
        <w:lastRenderedPageBreak/>
        <w:t>Theoretical b</w:t>
      </w:r>
      <w:r w:rsidR="00483C0F" w:rsidRPr="00483C0F">
        <w:t>ackground and Research Gap</w:t>
      </w:r>
    </w:p>
    <w:p w14:paraId="0636B784" w14:textId="257D4D26" w:rsidR="00453E24" w:rsidRDefault="009B61FA" w:rsidP="00B12736">
      <w:pPr>
        <w:pStyle w:val="CETheadingx"/>
      </w:pPr>
      <w:r w:rsidRPr="009B61FA">
        <w:t>Systemic and Barrier-Based Safety</w:t>
      </w:r>
    </w:p>
    <w:p w14:paraId="7C2B0064" w14:textId="73DF1561" w:rsidR="00453E24" w:rsidRDefault="009B61FA" w:rsidP="00453E24">
      <w:pPr>
        <w:pStyle w:val="CETBodytext"/>
      </w:pPr>
      <w:r w:rsidRPr="009B61FA">
        <w:t>Modern safety theory increasingly views accidents as emergent phenomena arising from the interaction of socio-technical system elements rather than as linear chains of component failures. In this perspective, safety is an emergent property maintained through the effective functioning of multiple, interdependent safety barriers. Barriers may be technical, human, or organizational, and their performance can degrade over time due to stressors, workload, and latent conditions.</w:t>
      </w:r>
      <w:r>
        <w:t xml:space="preserve"> </w:t>
      </w:r>
      <w:r w:rsidR="00483C0F" w:rsidRPr="00483C0F">
        <w:t>Ammonia bunkering involves multiple hazardous phenomena, including toxic vapor release, cryogenic or pressurized liquid exposure, material embrittlement, and potential escalation to fire or explosion under specific conditions (Hwang et al., 2026). Key risk contributors include hose and coupling failures, overpressure events, human error during connection and disconnection, inadequate gas detection coverage, and delayed emergency shutdown activation. Environmental factors such as wind speed, temperature, and vessel motion further complicate risk management (Wang et al., 2025).</w:t>
      </w:r>
      <w:r>
        <w:t xml:space="preserve"> </w:t>
      </w:r>
      <w:r w:rsidRPr="009B61FA">
        <w:t>Ammonia bunkering is characterized by strong coupling between process dynamics, human decisions, and environmental conditions</w:t>
      </w:r>
      <w:r w:rsidR="003E3F75">
        <w:t xml:space="preserve"> d</w:t>
      </w:r>
      <w:r w:rsidR="003E3F75" w:rsidRPr="003E3F75">
        <w:t>ue to its batch type operation: connecting, flowing, disconnecting</w:t>
      </w:r>
      <w:r w:rsidRPr="009B61FA">
        <w:t>. Systemic safety approaches combined with Bayesian inference offer a natural way to represent these couplings and to move beyond static, availability-based safety arguments toward risk trajectories and leading indicators.</w:t>
      </w:r>
    </w:p>
    <w:p w14:paraId="4A20C959" w14:textId="57D973BE" w:rsidR="00483C0F" w:rsidRPr="00B57B36" w:rsidRDefault="00483C0F" w:rsidP="00B12736">
      <w:pPr>
        <w:pStyle w:val="CETheadingx"/>
      </w:pPr>
      <w:r w:rsidRPr="00483C0F">
        <w:t>Bayesian and Systemic Safety Approaches</w:t>
      </w:r>
    </w:p>
    <w:p w14:paraId="3374662D" w14:textId="2D69D3D8" w:rsidR="00483C0F" w:rsidRDefault="00483C0F" w:rsidP="00483C0F">
      <w:pPr>
        <w:pStyle w:val="CETnumberingbullets"/>
        <w:numPr>
          <w:ilvl w:val="0"/>
          <w:numId w:val="0"/>
        </w:numPr>
        <w:jc w:val="both"/>
      </w:pPr>
      <w:r>
        <w:t>Bayesian methods offer a mathematically rigorous framework for probabilistic reasoning under uncertainty and for updating beliefs as new evidence becomes available (Vairo et al.,</w:t>
      </w:r>
      <w:r w:rsidR="007F67FC">
        <w:t xml:space="preserve"> </w:t>
      </w:r>
      <w:r>
        <w:t xml:space="preserve">2023, 2026a). When combined with system-theoretic safety concepts—such as barrier management, control loops, and emergent risk—Bayesian models enable a shift from reactive risk estimation to proactive safety management (Khan et al., 2025a). Bayesian </w:t>
      </w:r>
      <w:r w:rsidR="009B61FA">
        <w:t>N</w:t>
      </w:r>
      <w:r>
        <w:t>etworks (BNs)</w:t>
      </w:r>
      <w:r w:rsidR="007F67FC">
        <w:t xml:space="preserve"> are</w:t>
      </w:r>
      <w:r>
        <w:t xml:space="preserve"> well suited to modelling time-dependent processes and causal dependencies, making them a powerful tool for analysing complex socio-technical systems such as ammonia bunkering operations (Khan et al., 2025b).</w:t>
      </w:r>
      <w:r w:rsidR="007F67FC">
        <w:t xml:space="preserve"> </w:t>
      </w:r>
      <w:r w:rsidR="004A4E20">
        <w:t>Considering that d</w:t>
      </w:r>
      <w:r>
        <w:t>espite their potential, Bayesian systemic approaches remain underutilized in maritime fuel safety, especially for emerging fuels</w:t>
      </w:r>
      <w:r w:rsidR="004A4E20">
        <w:t>, t</w:t>
      </w:r>
      <w:r>
        <w:t xml:space="preserve">his paper </w:t>
      </w:r>
      <w:r w:rsidR="004A4E20">
        <w:t>offers a preliminary perspective on</w:t>
      </w:r>
      <w:r>
        <w:t xml:space="preserve"> a domain-specific framework tailored to ammonia bunkering</w:t>
      </w:r>
      <w:r w:rsidR="003D6982">
        <w:t xml:space="preserve"> in port areas</w:t>
      </w:r>
      <w:r>
        <w:t>.</w:t>
      </w:r>
    </w:p>
    <w:p w14:paraId="677EBFF0" w14:textId="2605AA0A" w:rsidR="00600535" w:rsidRPr="00B57B36" w:rsidRDefault="009B61FA" w:rsidP="00483C0F">
      <w:pPr>
        <w:pStyle w:val="CETHeading1"/>
        <w:rPr>
          <w:lang w:val="en-GB"/>
        </w:rPr>
      </w:pPr>
      <w:r>
        <w:rPr>
          <w:lang w:val="en-GB"/>
        </w:rPr>
        <w:t>Bayesian Systemic</w:t>
      </w:r>
      <w:r w:rsidR="00483C0F" w:rsidRPr="00483C0F">
        <w:rPr>
          <w:lang w:val="en-GB"/>
        </w:rPr>
        <w:t xml:space="preserve"> Framework</w:t>
      </w:r>
    </w:p>
    <w:p w14:paraId="04963A06" w14:textId="48CE1B62" w:rsidR="00600535" w:rsidRPr="00B57B36" w:rsidRDefault="009B61FA" w:rsidP="00B12736">
      <w:pPr>
        <w:pStyle w:val="CETheadingx"/>
      </w:pPr>
      <w:r w:rsidRPr="009B61FA">
        <w:t>Model Architecture</w:t>
      </w:r>
    </w:p>
    <w:p w14:paraId="39C4CAB6" w14:textId="7C51A01D" w:rsidR="009B61FA" w:rsidRDefault="00483C0F" w:rsidP="009B61FA">
      <w:pPr>
        <w:pStyle w:val="CETBodytext"/>
        <w:rPr>
          <w:lang w:val="en-GB"/>
        </w:rPr>
      </w:pPr>
      <w:r w:rsidRPr="00483C0F">
        <w:rPr>
          <w:lang w:val="en-GB"/>
        </w:rPr>
        <w:t>The framework</w:t>
      </w:r>
      <w:r w:rsidR="00613C79">
        <w:rPr>
          <w:lang w:val="en-GB"/>
        </w:rPr>
        <w:t xml:space="preserve"> shown in </w:t>
      </w:r>
      <w:r w:rsidR="00166195">
        <w:rPr>
          <w:lang w:val="en-GB"/>
        </w:rPr>
        <w:t xml:space="preserve">Figure </w:t>
      </w:r>
      <w:r w:rsidR="00B12736">
        <w:rPr>
          <w:lang w:val="en-GB"/>
        </w:rPr>
        <w:t>1</w:t>
      </w:r>
      <w:r w:rsidRPr="00483C0F">
        <w:rPr>
          <w:lang w:val="en-GB"/>
        </w:rPr>
        <w:t xml:space="preserve"> adopts a system-based perspective in which safety is viewed as an emergent property arising from interactions among technical components, human operators, organizational structures, and the operational environment. A</w:t>
      </w:r>
      <w:r w:rsidR="007E42BE">
        <w:rPr>
          <w:lang w:val="en-GB"/>
        </w:rPr>
        <w:t xml:space="preserve">ccording to the STAMP </w:t>
      </w:r>
      <w:r w:rsidR="007E42BE" w:rsidRPr="007E42BE">
        <w:rPr>
          <w:lang w:val="en-GB"/>
        </w:rPr>
        <w:t>theoretical causality model</w:t>
      </w:r>
      <w:r w:rsidR="00AE391A">
        <w:rPr>
          <w:lang w:val="en-GB"/>
        </w:rPr>
        <w:t xml:space="preserve">, </w:t>
      </w:r>
      <w:r w:rsidR="00AE391A" w:rsidRPr="003E3F75">
        <w:rPr>
          <w:color w:val="000000" w:themeColor="text1"/>
        </w:rPr>
        <w:t>and its derived STPA unsafe control actions approach</w:t>
      </w:r>
      <w:r w:rsidR="007E42BE">
        <w:rPr>
          <w:lang w:val="en-GB"/>
        </w:rPr>
        <w:t xml:space="preserve"> </w:t>
      </w:r>
      <w:r w:rsidR="00E45005">
        <w:rPr>
          <w:lang w:val="en-GB"/>
        </w:rPr>
        <w:t>(</w:t>
      </w:r>
      <w:r w:rsidR="007E42BE">
        <w:rPr>
          <w:lang w:val="en-GB"/>
        </w:rPr>
        <w:t>Leveson,</w:t>
      </w:r>
      <w:r w:rsidR="00E45005">
        <w:rPr>
          <w:lang w:val="en-GB"/>
        </w:rPr>
        <w:t xml:space="preserve"> 2004)</w:t>
      </w:r>
      <w:r w:rsidR="00AE391A">
        <w:rPr>
          <w:lang w:val="en-GB"/>
        </w:rPr>
        <w:t>,</w:t>
      </w:r>
      <w:r w:rsidR="007E42BE">
        <w:rPr>
          <w:lang w:val="en-GB"/>
        </w:rPr>
        <w:t xml:space="preserve"> a</w:t>
      </w:r>
      <w:r w:rsidRPr="00483C0F">
        <w:rPr>
          <w:lang w:val="en-GB"/>
        </w:rPr>
        <w:t xml:space="preserve">ccidents are </w:t>
      </w:r>
      <w:r w:rsidR="007E42BE">
        <w:rPr>
          <w:lang w:val="en-GB"/>
        </w:rPr>
        <w:t xml:space="preserve">regarded </w:t>
      </w:r>
      <w:r w:rsidR="007E42BE" w:rsidRPr="00483C0F">
        <w:rPr>
          <w:lang w:val="en-GB"/>
        </w:rPr>
        <w:t>as the result of loss of control</w:t>
      </w:r>
      <w:r w:rsidR="007E42BE">
        <w:rPr>
          <w:lang w:val="en-GB"/>
        </w:rPr>
        <w:t>,</w:t>
      </w:r>
      <w:r w:rsidR="007E42BE" w:rsidRPr="00483C0F">
        <w:rPr>
          <w:lang w:val="en-GB"/>
        </w:rPr>
        <w:t xml:space="preserve"> or barrier erosion over time</w:t>
      </w:r>
      <w:r w:rsidR="007E42BE">
        <w:rPr>
          <w:lang w:val="en-GB"/>
        </w:rPr>
        <w:t xml:space="preserve">, rather than </w:t>
      </w:r>
      <w:r w:rsidRPr="00483C0F">
        <w:rPr>
          <w:lang w:val="en-GB"/>
        </w:rPr>
        <w:t xml:space="preserve">as isolated failures </w:t>
      </w:r>
      <w:r w:rsidR="007E42BE">
        <w:t xml:space="preserve">requiring increased reliability. </w:t>
      </w:r>
      <w:r w:rsidRPr="00483C0F">
        <w:rPr>
          <w:lang w:val="en-GB"/>
        </w:rPr>
        <w:t xml:space="preserve">Safety barriers </w:t>
      </w:r>
      <w:r w:rsidR="007E42BE">
        <w:rPr>
          <w:lang w:val="en-GB"/>
        </w:rPr>
        <w:t>can be</w:t>
      </w:r>
      <w:r w:rsidRPr="00483C0F">
        <w:rPr>
          <w:lang w:val="en-GB"/>
        </w:rPr>
        <w:t xml:space="preserve"> modelled as dynamic entities characterized by performance states rather than binary availability</w:t>
      </w:r>
      <w:r w:rsidR="007E42BE">
        <w:rPr>
          <w:lang w:val="en-GB"/>
        </w:rPr>
        <w:t>: they</w:t>
      </w:r>
      <w:r w:rsidRPr="00483C0F">
        <w:rPr>
          <w:lang w:val="en-GB"/>
        </w:rPr>
        <w:t xml:space="preserve"> may degrade, recover, or fail depending on stressors, maintenance actions, operational demand, and latent conditions (Vairo et al., 2026b). </w:t>
      </w:r>
    </w:p>
    <w:p w14:paraId="41732DA7" w14:textId="1CFE8058" w:rsidR="00700D86" w:rsidRDefault="00315A51" w:rsidP="00F6020D">
      <w:pPr>
        <w:pStyle w:val="CETBodytext"/>
        <w:spacing w:before="120"/>
      </w:pPr>
      <w:r w:rsidRPr="00315A51">
        <w:rPr>
          <w:noProof/>
          <w:lang w:val="it-IT" w:eastAsia="it-IT"/>
        </w:rPr>
        <w:drawing>
          <wp:inline distT="0" distB="0" distL="0" distR="0" wp14:anchorId="360D639C" wp14:editId="319DCDA1">
            <wp:extent cx="2674707" cy="1718268"/>
            <wp:effectExtent l="0" t="0" r="508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74707" cy="1718268"/>
                    </a:xfrm>
                    <a:prstGeom prst="rect">
                      <a:avLst/>
                    </a:prstGeom>
                  </pic:spPr>
                </pic:pic>
              </a:graphicData>
            </a:graphic>
          </wp:inline>
        </w:drawing>
      </w:r>
    </w:p>
    <w:p w14:paraId="77B16E3B" w14:textId="37543747" w:rsidR="00315A51" w:rsidRPr="00B57B36" w:rsidRDefault="00315A51" w:rsidP="004A33A0">
      <w:pPr>
        <w:pStyle w:val="CETTabletitle"/>
        <w:spacing w:before="120"/>
      </w:pPr>
      <w:r>
        <w:t>Figure</w:t>
      </w:r>
      <w:r w:rsidRPr="00B57B36">
        <w:t xml:space="preserve"> </w:t>
      </w:r>
      <w:r w:rsidR="00B12736">
        <w:t>1</w:t>
      </w:r>
      <w:r w:rsidRPr="00B57B36">
        <w:t xml:space="preserve">: </w:t>
      </w:r>
      <w:r>
        <w:t>Conceptual framework architecture</w:t>
      </w:r>
      <w:r w:rsidR="00423317">
        <w:t>.</w:t>
      </w:r>
    </w:p>
    <w:p w14:paraId="4FA066D8" w14:textId="0C342304" w:rsidR="0087252F" w:rsidRDefault="0087252F" w:rsidP="0087252F">
      <w:pPr>
        <w:pStyle w:val="CETBodytext"/>
      </w:pPr>
      <w:r>
        <w:t xml:space="preserve">The layered Dynamic Bayesian Network </w:t>
      </w:r>
      <w:r w:rsidR="00E45005">
        <w:t>is structured as follows.</w:t>
      </w:r>
    </w:p>
    <w:p w14:paraId="57963A8B" w14:textId="77777777" w:rsidR="0087252F" w:rsidRDefault="0087252F" w:rsidP="0087252F">
      <w:pPr>
        <w:pStyle w:val="CETnumberingbullets"/>
        <w:jc w:val="both"/>
      </w:pPr>
      <w:r w:rsidRPr="00337D0D">
        <w:rPr>
          <w:i/>
        </w:rPr>
        <w:t>Process Dynamics Layer</w:t>
      </w:r>
      <w:r>
        <w:t>: pressure, temperature, flow rate, and inventory;</w:t>
      </w:r>
    </w:p>
    <w:p w14:paraId="3950CAAD" w14:textId="77777777" w:rsidR="0087252F" w:rsidRDefault="0087252F" w:rsidP="0087252F">
      <w:pPr>
        <w:pStyle w:val="CETnumberingbullets"/>
        <w:jc w:val="both"/>
      </w:pPr>
      <w:r w:rsidRPr="00337D0D">
        <w:rPr>
          <w:i/>
        </w:rPr>
        <w:t>Human and Organizational Layer</w:t>
      </w:r>
      <w:r>
        <w:t>: workload, training, procedural compliance, decision quality;</w:t>
      </w:r>
    </w:p>
    <w:p w14:paraId="6B7C2311" w14:textId="77777777" w:rsidR="0087252F" w:rsidRDefault="0087252F" w:rsidP="0087252F">
      <w:pPr>
        <w:pStyle w:val="CETnumberingbullets"/>
        <w:jc w:val="both"/>
      </w:pPr>
      <w:r w:rsidRPr="00337D0D">
        <w:rPr>
          <w:i/>
        </w:rPr>
        <w:t>Barrier Performance Layer</w:t>
      </w:r>
      <w:r>
        <w:t>: multi-state representations of technical and organizational barriers;</w:t>
      </w:r>
    </w:p>
    <w:p w14:paraId="145A2350" w14:textId="4D42B00E" w:rsidR="0087252F" w:rsidRDefault="00A449B5" w:rsidP="00AE391A">
      <w:pPr>
        <w:pStyle w:val="CETnumberingbullets"/>
        <w:jc w:val="both"/>
      </w:pPr>
      <w:r>
        <w:rPr>
          <w:i/>
        </w:rPr>
        <w:t xml:space="preserve">Weather </w:t>
      </w:r>
      <w:r w:rsidR="0087252F" w:rsidRPr="00337D0D">
        <w:rPr>
          <w:i/>
        </w:rPr>
        <w:t>Layer</w:t>
      </w:r>
      <w:r w:rsidR="0087252F">
        <w:t>:</w:t>
      </w:r>
      <w:r w:rsidR="00AE391A">
        <w:t xml:space="preserve"> </w:t>
      </w:r>
      <w:r w:rsidR="0087252F" w:rsidRPr="00E103CF">
        <w:rPr>
          <w:color w:val="000000" w:themeColor="text1"/>
        </w:rPr>
        <w:t>wind,</w:t>
      </w:r>
      <w:r w:rsidR="00AE391A" w:rsidRPr="00E103CF">
        <w:rPr>
          <w:color w:val="000000" w:themeColor="text1"/>
        </w:rPr>
        <w:t xml:space="preserve"> rain,</w:t>
      </w:r>
      <w:r w:rsidR="0087252F" w:rsidRPr="00E103CF">
        <w:rPr>
          <w:color w:val="000000" w:themeColor="text1"/>
        </w:rPr>
        <w:t xml:space="preserve"> </w:t>
      </w:r>
      <w:r w:rsidR="0087252F">
        <w:t>visibility, sea state, ambient temperature</w:t>
      </w:r>
      <w:r>
        <w:t>, hot/cold waves etc.</w:t>
      </w:r>
      <w:r w:rsidR="0087252F">
        <w:t>;</w:t>
      </w:r>
    </w:p>
    <w:p w14:paraId="61096956" w14:textId="77777777" w:rsidR="0087252F" w:rsidRDefault="0087252F" w:rsidP="0087252F">
      <w:pPr>
        <w:pStyle w:val="CETnumberingbullets"/>
        <w:jc w:val="both"/>
      </w:pPr>
      <w:r w:rsidRPr="00337D0D">
        <w:rPr>
          <w:i/>
        </w:rPr>
        <w:t>Outcome Layer</w:t>
      </w:r>
      <w:r>
        <w:t>: release magnitude, exposure, escalation, and consequences.</w:t>
      </w:r>
    </w:p>
    <w:p w14:paraId="6B0EA3FB" w14:textId="2E7D1AEE" w:rsidR="00E33DDB" w:rsidRPr="001138E4" w:rsidRDefault="00700D86" w:rsidP="001138E4">
      <w:pPr>
        <w:pStyle w:val="CETBodytext"/>
      </w:pPr>
      <w:r>
        <w:lastRenderedPageBreak/>
        <w:t>Each node is associated with a conditional probability distribution capturing causal influence from parent nodes and temporal dependence on its previous state.</w:t>
      </w:r>
      <w:r w:rsidR="001138E4">
        <w:t xml:space="preserve"> </w:t>
      </w:r>
      <w:r w:rsidRPr="00700D86">
        <w:t>Safety barriers are modeled as multi-state entities (effective, degraded, failed), allowing progressive erosion and recovery</w:t>
      </w:r>
      <w:r w:rsidR="001138E4">
        <w:t>, while d</w:t>
      </w:r>
      <w:r w:rsidR="0091144D" w:rsidRPr="00700D86">
        <w:t>ependenc</w:t>
      </w:r>
      <w:r w:rsidR="0091144D">
        <w:t>es</w:t>
      </w:r>
      <w:r w:rsidRPr="00700D86">
        <w:t xml:space="preserve"> between </w:t>
      </w:r>
      <w:r w:rsidR="0091144D">
        <w:t xml:space="preserve">the </w:t>
      </w:r>
      <w:r w:rsidRPr="00700D86">
        <w:t xml:space="preserve">barriers and other system elements are explicitly represented, enabling </w:t>
      </w:r>
      <w:r w:rsidR="001138E4">
        <w:t xml:space="preserve">prompt identification of </w:t>
      </w:r>
      <w:r w:rsidRPr="00700D86">
        <w:t>common-cause and cascading effects.</w:t>
      </w:r>
      <w:r w:rsidR="001138E4">
        <w:t xml:space="preserve"> To this purpose</w:t>
      </w:r>
      <w:r w:rsidR="0029456F">
        <w:t>,</w:t>
      </w:r>
      <w:r w:rsidR="001138E4">
        <w:t xml:space="preserve"> </w:t>
      </w:r>
      <w:r w:rsidR="0029456F" w:rsidRPr="00E33DDB">
        <w:rPr>
          <w:lang w:val="en-GB"/>
        </w:rPr>
        <w:t>time</w:t>
      </w:r>
      <w:r w:rsidR="00E33DDB" w:rsidRPr="00E33DDB">
        <w:rPr>
          <w:lang w:val="en-GB"/>
        </w:rPr>
        <w:t xml:space="preserve"> is discretized into operational phases (preparation, connection, transfer, disconnection, post-bunkering)</w:t>
      </w:r>
      <w:r w:rsidR="001138E4">
        <w:rPr>
          <w:lang w:val="en-GB"/>
        </w:rPr>
        <w:t xml:space="preserve"> and</w:t>
      </w:r>
      <w:r w:rsidR="00E33DDB" w:rsidRPr="00E33DDB">
        <w:rPr>
          <w:lang w:val="en-GB"/>
        </w:rPr>
        <w:t xml:space="preserve"> </w:t>
      </w:r>
      <w:r w:rsidR="001138E4">
        <w:rPr>
          <w:lang w:val="en-GB"/>
        </w:rPr>
        <w:t>t</w:t>
      </w:r>
      <w:r w:rsidR="00E33DDB" w:rsidRPr="00E33DDB">
        <w:rPr>
          <w:lang w:val="en-GB"/>
        </w:rPr>
        <w:t xml:space="preserve">ransition models describe how system states evolve between phases, allowing the identification of critical windows </w:t>
      </w:r>
      <w:r w:rsidR="001138E4">
        <w:rPr>
          <w:lang w:val="en-GB"/>
        </w:rPr>
        <w:t>corresponding to risk enhancement.</w:t>
      </w:r>
    </w:p>
    <w:p w14:paraId="0519A42A" w14:textId="533648EA" w:rsidR="00CB0A9C" w:rsidRDefault="001138E4" w:rsidP="00CB0A9C">
      <w:pPr>
        <w:pStyle w:val="CETHeading1"/>
        <w:rPr>
          <w:lang w:val="en-GB"/>
        </w:rPr>
      </w:pPr>
      <w:r>
        <w:rPr>
          <w:lang w:val="en-GB"/>
        </w:rPr>
        <w:t>Applicative case-study in harbour area</w:t>
      </w:r>
    </w:p>
    <w:p w14:paraId="0887E10C" w14:textId="0DE672E2" w:rsidR="00337D0D" w:rsidRPr="00F56CE1" w:rsidRDefault="00337D0D" w:rsidP="00337D0D">
      <w:pPr>
        <w:pStyle w:val="CETBodytext"/>
        <w:rPr>
          <w:lang w:val="en-GB"/>
        </w:rPr>
      </w:pPr>
      <w:r w:rsidRPr="00F56CE1">
        <w:rPr>
          <w:lang w:val="en-GB"/>
        </w:rPr>
        <w:t xml:space="preserve">The </w:t>
      </w:r>
      <w:r w:rsidR="00F81150" w:rsidRPr="00F56CE1">
        <w:rPr>
          <w:lang w:val="en-GB"/>
        </w:rPr>
        <w:t xml:space="preserve">application refers to ammonia bunkering operation in port environment and focuses </w:t>
      </w:r>
      <w:r w:rsidR="004C1A12" w:rsidRPr="00F56CE1">
        <w:rPr>
          <w:lang w:val="en-GB"/>
        </w:rPr>
        <w:t>on analysing</w:t>
      </w:r>
      <w:r w:rsidR="00F81150" w:rsidRPr="00F56CE1">
        <w:rPr>
          <w:lang w:val="en-GB"/>
        </w:rPr>
        <w:t xml:space="preserve"> the safety implications of a set of operational deviation, </w:t>
      </w:r>
      <w:r w:rsidRPr="00F56CE1">
        <w:rPr>
          <w:lang w:val="en-GB"/>
        </w:rPr>
        <w:t xml:space="preserve">Specifically, the </w:t>
      </w:r>
      <w:r w:rsidR="0029456F" w:rsidRPr="00F56CE1">
        <w:rPr>
          <w:lang w:val="en-GB"/>
        </w:rPr>
        <w:t>worked example</w:t>
      </w:r>
      <w:r w:rsidRPr="00F56CE1">
        <w:rPr>
          <w:lang w:val="en-GB"/>
        </w:rPr>
        <w:t xml:space="preserve"> addresses the following </w:t>
      </w:r>
      <w:r w:rsidR="0029456F" w:rsidRPr="00F56CE1">
        <w:rPr>
          <w:lang w:val="en-GB"/>
        </w:rPr>
        <w:t xml:space="preserve">research </w:t>
      </w:r>
      <w:r w:rsidRPr="00F56CE1">
        <w:rPr>
          <w:lang w:val="en-GB"/>
        </w:rPr>
        <w:t xml:space="preserve">question: </w:t>
      </w:r>
      <w:r w:rsidRPr="00F56CE1">
        <w:rPr>
          <w:i/>
          <w:lang w:val="en-GB"/>
        </w:rPr>
        <w:t>Given that a deviation from nominal operating conditions has been observed, how does this deviation propagate through the socio-technical system, affect safety barrier performance over time, and alter the conditional risk of hazardous outcomes</w:t>
      </w:r>
      <w:r w:rsidRPr="00F56CE1">
        <w:rPr>
          <w:lang w:val="en-GB"/>
        </w:rPr>
        <w:t>?</w:t>
      </w:r>
      <w:r w:rsidR="007A1978">
        <w:rPr>
          <w:lang w:val="en-GB"/>
        </w:rPr>
        <w:t xml:space="preserve"> </w:t>
      </w:r>
    </w:p>
    <w:p w14:paraId="61AF1374" w14:textId="4EAC1184" w:rsidR="00D236D7" w:rsidRPr="00E103CF" w:rsidRDefault="00F56CE1" w:rsidP="00D236D7">
      <w:pPr>
        <w:pStyle w:val="CETBodytext"/>
        <w:rPr>
          <w:color w:val="000000" w:themeColor="text1"/>
          <w:lang w:val="en-GB"/>
        </w:rPr>
      </w:pPr>
      <w:r w:rsidRPr="00F56CE1">
        <w:rPr>
          <w:lang w:val="en-GB"/>
        </w:rPr>
        <w:t>As conceived, t</w:t>
      </w:r>
      <w:r w:rsidR="00337D0D" w:rsidRPr="00F56CE1">
        <w:rPr>
          <w:lang w:val="en-GB"/>
        </w:rPr>
        <w:t>he analysis is therefore diagnostic and prognostic, rather than purely predictive.</w:t>
      </w:r>
      <w:r w:rsidR="003E3F75">
        <w:rPr>
          <w:lang w:val="en-GB"/>
        </w:rPr>
        <w:t xml:space="preserve"> </w:t>
      </w:r>
      <w:r w:rsidR="00D236D7" w:rsidRPr="00E103CF">
        <w:rPr>
          <w:color w:val="000000" w:themeColor="text1"/>
          <w:lang w:val="en-GB"/>
        </w:rPr>
        <w:t>In this proof-of-concept, barriers are assumed present and initially functional. The analysis focuses on barrier</w:t>
      </w:r>
      <w:r w:rsidR="003E3F75" w:rsidRPr="00E103CF">
        <w:rPr>
          <w:color w:val="000000" w:themeColor="text1"/>
          <w:lang w:val="en-GB"/>
        </w:rPr>
        <w:t xml:space="preserve"> (Table</w:t>
      </w:r>
      <w:r w:rsidR="004C1A12">
        <w:rPr>
          <w:color w:val="000000" w:themeColor="text1"/>
          <w:lang w:val="en-GB"/>
        </w:rPr>
        <w:t xml:space="preserve"> </w:t>
      </w:r>
      <w:r w:rsidR="003E3F75" w:rsidRPr="00E103CF">
        <w:rPr>
          <w:color w:val="000000" w:themeColor="text1"/>
          <w:lang w:val="en-GB"/>
        </w:rPr>
        <w:t>1) degradation</w:t>
      </w:r>
      <w:r w:rsidR="00D236D7" w:rsidRPr="00E103CF">
        <w:rPr>
          <w:color w:val="000000" w:themeColor="text1"/>
          <w:lang w:val="en-GB"/>
        </w:rPr>
        <w:t xml:space="preserve"> under stress, and the deviation challenges barrier performance margins, not </w:t>
      </w:r>
      <w:r w:rsidR="003E3F75" w:rsidRPr="00E103CF">
        <w:rPr>
          <w:color w:val="000000" w:themeColor="text1"/>
          <w:lang w:val="en-GB"/>
        </w:rPr>
        <w:t xml:space="preserve">on </w:t>
      </w:r>
      <w:r w:rsidR="00D236D7" w:rsidRPr="00E103CF">
        <w:rPr>
          <w:color w:val="000000" w:themeColor="text1"/>
          <w:lang w:val="en-GB"/>
        </w:rPr>
        <w:t>design adequacy.</w:t>
      </w:r>
    </w:p>
    <w:p w14:paraId="42B028A8" w14:textId="6EBDDD29" w:rsidR="00D236D7" w:rsidRPr="00E103CF" w:rsidRDefault="00D236D7" w:rsidP="004A33A0">
      <w:pPr>
        <w:pStyle w:val="CETTabletitle"/>
        <w:rPr>
          <w:color w:val="000000" w:themeColor="text1"/>
        </w:rPr>
      </w:pPr>
      <w:r w:rsidRPr="00E103CF">
        <w:rPr>
          <w:color w:val="000000" w:themeColor="text1"/>
        </w:rPr>
        <w:t xml:space="preserve">Table 1: </w:t>
      </w:r>
      <w:r w:rsidR="00485DA1" w:rsidRPr="00485DA1">
        <w:rPr>
          <w:color w:val="000000" w:themeColor="text1"/>
        </w:rPr>
        <w:t>Passive, active, and procedural barriers</w:t>
      </w:r>
      <w:r w:rsidR="008833E2">
        <w:rPr>
          <w:color w:val="000000" w:themeColor="text1"/>
        </w:rPr>
        <w:t>.</w:t>
      </w:r>
      <w:r w:rsidR="00485DA1">
        <w:rPr>
          <w:color w:val="000000" w:themeColor="text1"/>
        </w:rPr>
        <w:t xml:space="preserve"> </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43"/>
        <w:gridCol w:w="3684"/>
        <w:gridCol w:w="2126"/>
        <w:gridCol w:w="1134"/>
      </w:tblGrid>
      <w:tr w:rsidR="00E103CF" w:rsidRPr="00E103CF" w14:paraId="3B5B5789" w14:textId="77777777" w:rsidTr="0085401F">
        <w:tc>
          <w:tcPr>
            <w:tcW w:w="1843" w:type="dxa"/>
            <w:tcBorders>
              <w:top w:val="single" w:sz="12" w:space="0" w:color="008000"/>
              <w:bottom w:val="single" w:sz="6" w:space="0" w:color="008000"/>
            </w:tcBorders>
            <w:shd w:val="clear" w:color="auto" w:fill="FFFFFF"/>
          </w:tcPr>
          <w:p w14:paraId="46BB0702" w14:textId="15052291" w:rsidR="00FA6187" w:rsidRPr="00E103CF" w:rsidRDefault="00FA6187" w:rsidP="00FA6187">
            <w:pPr>
              <w:pStyle w:val="CETBodytext"/>
              <w:rPr>
                <w:color w:val="000000" w:themeColor="text1"/>
                <w:lang w:val="en-GB"/>
              </w:rPr>
            </w:pPr>
            <w:r w:rsidRPr="00E103CF">
              <w:rPr>
                <w:color w:val="000000" w:themeColor="text1"/>
                <w:lang w:val="en-GB"/>
              </w:rPr>
              <w:t>Barrier category</w:t>
            </w:r>
          </w:p>
        </w:tc>
        <w:tc>
          <w:tcPr>
            <w:tcW w:w="3684" w:type="dxa"/>
            <w:tcBorders>
              <w:top w:val="single" w:sz="12" w:space="0" w:color="008000"/>
              <w:bottom w:val="single" w:sz="6" w:space="0" w:color="008000"/>
            </w:tcBorders>
            <w:shd w:val="clear" w:color="auto" w:fill="FFFFFF"/>
          </w:tcPr>
          <w:p w14:paraId="1008A8BA" w14:textId="4E0EDD6F" w:rsidR="00FA6187" w:rsidRPr="00E103CF" w:rsidRDefault="00FA6187" w:rsidP="00FA6187">
            <w:pPr>
              <w:pStyle w:val="CETBodytext"/>
              <w:rPr>
                <w:color w:val="000000" w:themeColor="text1"/>
                <w:lang w:val="en-GB"/>
              </w:rPr>
            </w:pPr>
            <w:r w:rsidRPr="00E103CF">
              <w:rPr>
                <w:color w:val="000000" w:themeColor="text1"/>
                <w:lang w:val="en-GB"/>
              </w:rPr>
              <w:t>Item</w:t>
            </w:r>
          </w:p>
        </w:tc>
        <w:tc>
          <w:tcPr>
            <w:tcW w:w="2126" w:type="dxa"/>
            <w:tcBorders>
              <w:top w:val="single" w:sz="12" w:space="0" w:color="008000"/>
              <w:bottom w:val="single" w:sz="6" w:space="0" w:color="008000"/>
            </w:tcBorders>
            <w:shd w:val="clear" w:color="auto" w:fill="FFFFFF"/>
          </w:tcPr>
          <w:p w14:paraId="373DA89C" w14:textId="465D89CE" w:rsidR="00FA6187" w:rsidRPr="00E103CF" w:rsidRDefault="00FA6187" w:rsidP="00FA6187">
            <w:pPr>
              <w:pStyle w:val="CETBodytext"/>
              <w:rPr>
                <w:color w:val="000000" w:themeColor="text1"/>
                <w:lang w:val="en-GB"/>
              </w:rPr>
            </w:pPr>
            <w:r w:rsidRPr="00E103CF">
              <w:rPr>
                <w:color w:val="000000" w:themeColor="text1"/>
                <w:lang w:val="en-GB"/>
              </w:rPr>
              <w:t>Reference layer</w:t>
            </w:r>
          </w:p>
        </w:tc>
        <w:tc>
          <w:tcPr>
            <w:tcW w:w="1134" w:type="dxa"/>
            <w:tcBorders>
              <w:top w:val="single" w:sz="12" w:space="0" w:color="008000"/>
              <w:bottom w:val="single" w:sz="6" w:space="0" w:color="008000"/>
            </w:tcBorders>
            <w:shd w:val="clear" w:color="auto" w:fill="FFFFFF"/>
          </w:tcPr>
          <w:p w14:paraId="537A359F" w14:textId="7CC8CD01" w:rsidR="00FA6187" w:rsidRPr="00E103CF" w:rsidRDefault="00FA6187" w:rsidP="00FA6187">
            <w:pPr>
              <w:pStyle w:val="CETBodytext"/>
              <w:rPr>
                <w:color w:val="000000" w:themeColor="text1"/>
                <w:lang w:val="en-GB"/>
              </w:rPr>
            </w:pPr>
            <w:r w:rsidRPr="00E103CF">
              <w:rPr>
                <w:color w:val="000000" w:themeColor="text1"/>
                <w:lang w:val="en-GB"/>
              </w:rPr>
              <w:t>Role</w:t>
            </w:r>
          </w:p>
        </w:tc>
      </w:tr>
      <w:tr w:rsidR="00E103CF" w:rsidRPr="00E103CF" w14:paraId="342DBB96" w14:textId="77777777" w:rsidTr="0085401F">
        <w:tc>
          <w:tcPr>
            <w:tcW w:w="1843" w:type="dxa"/>
            <w:shd w:val="clear" w:color="auto" w:fill="FFFFFF"/>
          </w:tcPr>
          <w:p w14:paraId="3A39FD49" w14:textId="4C7098B0" w:rsidR="00FA6187" w:rsidRPr="00E103CF" w:rsidRDefault="00FA6187" w:rsidP="00FA6187">
            <w:pPr>
              <w:pStyle w:val="CETBodytext"/>
              <w:rPr>
                <w:color w:val="000000" w:themeColor="text1"/>
                <w:lang w:val="en-GB"/>
              </w:rPr>
            </w:pPr>
            <w:r w:rsidRPr="00E103CF">
              <w:rPr>
                <w:color w:val="000000" w:themeColor="text1"/>
                <w:lang w:val="en-GB"/>
              </w:rPr>
              <w:t>Primary containment</w:t>
            </w:r>
          </w:p>
        </w:tc>
        <w:tc>
          <w:tcPr>
            <w:tcW w:w="3684" w:type="dxa"/>
            <w:shd w:val="clear" w:color="auto" w:fill="FFFFFF"/>
          </w:tcPr>
          <w:p w14:paraId="5DB69D2E" w14:textId="78C4A5E2" w:rsidR="00FA6187" w:rsidRPr="00E103CF" w:rsidRDefault="00FA6187" w:rsidP="00FA6187">
            <w:pPr>
              <w:pStyle w:val="CETBodytext"/>
              <w:rPr>
                <w:color w:val="000000" w:themeColor="text1"/>
                <w:lang w:val="en-GB"/>
              </w:rPr>
            </w:pPr>
            <w:r w:rsidRPr="00E103CF">
              <w:rPr>
                <w:color w:val="000000" w:themeColor="text1"/>
              </w:rPr>
              <w:t xml:space="preserve">Hose, seals, </w:t>
            </w:r>
            <w:r w:rsidR="0085401F" w:rsidRPr="0085401F">
              <w:rPr>
                <w:color w:val="000000" w:themeColor="text1"/>
              </w:rPr>
              <w:t>corrosion prevention system</w:t>
            </w:r>
            <w:r w:rsidRPr="00E103CF">
              <w:rPr>
                <w:color w:val="000000" w:themeColor="text1"/>
              </w:rPr>
              <w:t>…</w:t>
            </w:r>
          </w:p>
        </w:tc>
        <w:tc>
          <w:tcPr>
            <w:tcW w:w="2126" w:type="dxa"/>
            <w:shd w:val="clear" w:color="auto" w:fill="FFFFFF"/>
          </w:tcPr>
          <w:p w14:paraId="41B8C860" w14:textId="3785E9C3" w:rsidR="00FA6187" w:rsidRPr="00E103CF" w:rsidRDefault="00FA6187" w:rsidP="00FA6187">
            <w:pPr>
              <w:pStyle w:val="CETBodytext"/>
              <w:rPr>
                <w:color w:val="000000" w:themeColor="text1"/>
              </w:rPr>
            </w:pPr>
            <w:r w:rsidRPr="00E103CF">
              <w:rPr>
                <w:color w:val="000000" w:themeColor="text1"/>
              </w:rPr>
              <w:t>Barrier Performance</w:t>
            </w:r>
          </w:p>
        </w:tc>
        <w:tc>
          <w:tcPr>
            <w:tcW w:w="1134" w:type="dxa"/>
            <w:shd w:val="clear" w:color="auto" w:fill="FFFFFF"/>
          </w:tcPr>
          <w:p w14:paraId="68EBDC78" w14:textId="527ABA4E" w:rsidR="00FA6187" w:rsidRPr="00E103CF" w:rsidRDefault="00FA6187" w:rsidP="00FA6187">
            <w:pPr>
              <w:pStyle w:val="CETBodytext"/>
              <w:rPr>
                <w:color w:val="000000" w:themeColor="text1"/>
              </w:rPr>
            </w:pPr>
            <w:r w:rsidRPr="00E103CF">
              <w:rPr>
                <w:color w:val="000000" w:themeColor="text1"/>
              </w:rPr>
              <w:t>Preventive</w:t>
            </w:r>
          </w:p>
        </w:tc>
      </w:tr>
      <w:tr w:rsidR="00E103CF" w:rsidRPr="00E103CF" w14:paraId="281445C1" w14:textId="77777777" w:rsidTr="0085401F">
        <w:tc>
          <w:tcPr>
            <w:tcW w:w="1843" w:type="dxa"/>
            <w:shd w:val="clear" w:color="auto" w:fill="FFFFFF"/>
          </w:tcPr>
          <w:p w14:paraId="598234DE" w14:textId="30E5F412"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Pressure</w:t>
            </w:r>
            <w:r w:rsidR="00B766A1">
              <w:rPr>
                <w:rFonts w:cs="Arial"/>
                <w:color w:val="000000" w:themeColor="text1"/>
                <w:szCs w:val="18"/>
                <w:lang w:val="en-GB"/>
              </w:rPr>
              <w:t xml:space="preserve"> (P)</w:t>
            </w:r>
            <w:r w:rsidRPr="00E103CF">
              <w:rPr>
                <w:rFonts w:cs="Arial"/>
                <w:color w:val="000000" w:themeColor="text1"/>
                <w:szCs w:val="18"/>
                <w:lang w:val="en-GB"/>
              </w:rPr>
              <w:t xml:space="preserve"> control</w:t>
            </w:r>
          </w:p>
        </w:tc>
        <w:tc>
          <w:tcPr>
            <w:tcW w:w="3684" w:type="dxa"/>
            <w:shd w:val="clear" w:color="auto" w:fill="FFFFFF"/>
          </w:tcPr>
          <w:p w14:paraId="73331E82" w14:textId="13FF975C"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PCV, PRV, ESD</w:t>
            </w:r>
          </w:p>
        </w:tc>
        <w:tc>
          <w:tcPr>
            <w:tcW w:w="2126" w:type="dxa"/>
            <w:shd w:val="clear" w:color="auto" w:fill="FFFFFF"/>
          </w:tcPr>
          <w:p w14:paraId="0B2656B8" w14:textId="549E6011"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Process Dynamics</w:t>
            </w:r>
          </w:p>
        </w:tc>
        <w:tc>
          <w:tcPr>
            <w:tcW w:w="1134" w:type="dxa"/>
            <w:shd w:val="clear" w:color="auto" w:fill="FFFFFF"/>
          </w:tcPr>
          <w:p w14:paraId="58D97D20" w14:textId="73F45825" w:rsidR="00FA6187" w:rsidRPr="00E103CF" w:rsidRDefault="00FA6187" w:rsidP="00FA6187">
            <w:pPr>
              <w:pStyle w:val="CETBodytext"/>
              <w:ind w:right="-1"/>
              <w:rPr>
                <w:rFonts w:cs="Arial"/>
                <w:color w:val="000000" w:themeColor="text1"/>
                <w:szCs w:val="18"/>
                <w:lang w:val="en-GB"/>
              </w:rPr>
            </w:pPr>
            <w:r w:rsidRPr="00E103CF">
              <w:rPr>
                <w:color w:val="000000" w:themeColor="text1"/>
              </w:rPr>
              <w:t>Preventive</w:t>
            </w:r>
          </w:p>
        </w:tc>
      </w:tr>
      <w:tr w:rsidR="00E103CF" w:rsidRPr="00E103CF" w14:paraId="222ADF47" w14:textId="77777777" w:rsidTr="0085401F">
        <w:tc>
          <w:tcPr>
            <w:tcW w:w="1843" w:type="dxa"/>
            <w:shd w:val="clear" w:color="auto" w:fill="FFFFFF"/>
          </w:tcPr>
          <w:p w14:paraId="2CC4CDBD" w14:textId="47E6DDA8"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Procedures</w:t>
            </w:r>
          </w:p>
        </w:tc>
        <w:tc>
          <w:tcPr>
            <w:tcW w:w="3684" w:type="dxa"/>
            <w:shd w:val="clear" w:color="auto" w:fill="FFFFFF"/>
          </w:tcPr>
          <w:p w14:paraId="15159039" w14:textId="25ABE221"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Checklists, instructions</w:t>
            </w:r>
            <w:r w:rsidR="000167BE">
              <w:rPr>
                <w:rFonts w:cs="Arial"/>
                <w:color w:val="000000" w:themeColor="text1"/>
                <w:szCs w:val="18"/>
                <w:lang w:val="en-GB"/>
              </w:rPr>
              <w:t>, PTW</w:t>
            </w:r>
            <w:r w:rsidRPr="00E103CF">
              <w:rPr>
                <w:rFonts w:cs="Arial"/>
                <w:color w:val="000000" w:themeColor="text1"/>
                <w:szCs w:val="18"/>
                <w:lang w:val="en-GB"/>
              </w:rPr>
              <w:t xml:space="preserve"> </w:t>
            </w:r>
          </w:p>
        </w:tc>
        <w:tc>
          <w:tcPr>
            <w:tcW w:w="2126" w:type="dxa"/>
            <w:shd w:val="clear" w:color="auto" w:fill="FFFFFF"/>
          </w:tcPr>
          <w:p w14:paraId="774A95E6" w14:textId="2105E195"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Human/Org.</w:t>
            </w:r>
          </w:p>
        </w:tc>
        <w:tc>
          <w:tcPr>
            <w:tcW w:w="1134" w:type="dxa"/>
            <w:shd w:val="clear" w:color="auto" w:fill="FFFFFF"/>
          </w:tcPr>
          <w:p w14:paraId="0365856E" w14:textId="474FB9F7" w:rsidR="00FA6187" w:rsidRPr="00E103CF" w:rsidRDefault="00FA6187" w:rsidP="00FA6187">
            <w:pPr>
              <w:pStyle w:val="CETBodytext"/>
              <w:ind w:right="-1"/>
              <w:rPr>
                <w:rFonts w:cs="Arial"/>
                <w:color w:val="000000" w:themeColor="text1"/>
                <w:szCs w:val="18"/>
                <w:lang w:val="en-GB"/>
              </w:rPr>
            </w:pPr>
            <w:r w:rsidRPr="00E103CF">
              <w:rPr>
                <w:color w:val="000000" w:themeColor="text1"/>
              </w:rPr>
              <w:t>Preventive</w:t>
            </w:r>
          </w:p>
        </w:tc>
      </w:tr>
      <w:tr w:rsidR="00E103CF" w:rsidRPr="00E103CF" w14:paraId="632E5508" w14:textId="77777777" w:rsidTr="0085401F">
        <w:tc>
          <w:tcPr>
            <w:tcW w:w="1843" w:type="dxa"/>
            <w:shd w:val="clear" w:color="auto" w:fill="FFFFFF"/>
          </w:tcPr>
          <w:p w14:paraId="2B65A6E5" w14:textId="57D3375E"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Monitoring</w:t>
            </w:r>
          </w:p>
        </w:tc>
        <w:tc>
          <w:tcPr>
            <w:tcW w:w="3684" w:type="dxa"/>
            <w:shd w:val="clear" w:color="auto" w:fill="FFFFFF"/>
          </w:tcPr>
          <w:p w14:paraId="75C071C2" w14:textId="0198AD3D"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Alarms</w:t>
            </w:r>
            <w:r w:rsidR="00C832D7">
              <w:rPr>
                <w:rFonts w:cs="Arial"/>
                <w:color w:val="000000" w:themeColor="text1"/>
                <w:szCs w:val="18"/>
                <w:lang w:val="en-GB"/>
              </w:rPr>
              <w:t>, leak detection</w:t>
            </w:r>
          </w:p>
        </w:tc>
        <w:tc>
          <w:tcPr>
            <w:tcW w:w="2126" w:type="dxa"/>
            <w:shd w:val="clear" w:color="auto" w:fill="FFFFFF"/>
          </w:tcPr>
          <w:p w14:paraId="72D9261F" w14:textId="23C31FF0"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Process</w:t>
            </w:r>
          </w:p>
        </w:tc>
        <w:tc>
          <w:tcPr>
            <w:tcW w:w="1134" w:type="dxa"/>
            <w:shd w:val="clear" w:color="auto" w:fill="FFFFFF"/>
          </w:tcPr>
          <w:p w14:paraId="0F985CD7" w14:textId="6A3B05AE"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Detective</w:t>
            </w:r>
          </w:p>
        </w:tc>
      </w:tr>
      <w:tr w:rsidR="00E103CF" w:rsidRPr="00E103CF" w14:paraId="6AFBD24E" w14:textId="77777777" w:rsidTr="0085401F">
        <w:tc>
          <w:tcPr>
            <w:tcW w:w="1843" w:type="dxa"/>
            <w:shd w:val="clear" w:color="auto" w:fill="FFFFFF"/>
          </w:tcPr>
          <w:p w14:paraId="76459320" w14:textId="730D472A"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Gas detection</w:t>
            </w:r>
          </w:p>
        </w:tc>
        <w:tc>
          <w:tcPr>
            <w:tcW w:w="3684" w:type="dxa"/>
            <w:shd w:val="clear" w:color="auto" w:fill="FFFFFF"/>
          </w:tcPr>
          <w:p w14:paraId="662A208B" w14:textId="60B497EA"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NH</w:t>
            </w:r>
            <w:r w:rsidRPr="00E103CF">
              <w:rPr>
                <w:rFonts w:ascii="Cambria Math" w:hAnsi="Cambria Math" w:cs="Cambria Math"/>
                <w:color w:val="000000" w:themeColor="text1"/>
                <w:szCs w:val="18"/>
                <w:lang w:val="en-GB"/>
              </w:rPr>
              <w:t>₃</w:t>
            </w:r>
            <w:r w:rsidRPr="00E103CF">
              <w:rPr>
                <w:rFonts w:cs="Arial"/>
                <w:color w:val="000000" w:themeColor="text1"/>
                <w:szCs w:val="18"/>
                <w:lang w:val="en-GB"/>
              </w:rPr>
              <w:t xml:space="preserve"> sensor</w:t>
            </w:r>
            <w:r w:rsidR="00C832D7">
              <w:rPr>
                <w:rFonts w:cs="Arial"/>
                <w:color w:val="000000" w:themeColor="text1"/>
                <w:szCs w:val="18"/>
                <w:lang w:val="en-GB"/>
              </w:rPr>
              <w:t>, logic system</w:t>
            </w:r>
          </w:p>
        </w:tc>
        <w:tc>
          <w:tcPr>
            <w:tcW w:w="2126" w:type="dxa"/>
            <w:shd w:val="clear" w:color="auto" w:fill="FFFFFF"/>
          </w:tcPr>
          <w:p w14:paraId="792F6051" w14:textId="6F0CC7FF"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Outcome</w:t>
            </w:r>
          </w:p>
        </w:tc>
        <w:tc>
          <w:tcPr>
            <w:tcW w:w="1134" w:type="dxa"/>
            <w:shd w:val="clear" w:color="auto" w:fill="FFFFFF"/>
          </w:tcPr>
          <w:p w14:paraId="298EEBE1" w14:textId="56A1D072"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Mitigative</w:t>
            </w:r>
          </w:p>
        </w:tc>
      </w:tr>
      <w:tr w:rsidR="00E103CF" w:rsidRPr="00E103CF" w14:paraId="20B59B85" w14:textId="77777777" w:rsidTr="0085401F">
        <w:tc>
          <w:tcPr>
            <w:tcW w:w="1843" w:type="dxa"/>
            <w:shd w:val="clear" w:color="auto" w:fill="FFFFFF"/>
          </w:tcPr>
          <w:p w14:paraId="61C45CF7" w14:textId="6A92218E"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Emergency response</w:t>
            </w:r>
          </w:p>
        </w:tc>
        <w:tc>
          <w:tcPr>
            <w:tcW w:w="3684" w:type="dxa"/>
            <w:shd w:val="clear" w:color="auto" w:fill="FFFFFF"/>
          </w:tcPr>
          <w:p w14:paraId="452F5615" w14:textId="419D9446"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Contingency plans</w:t>
            </w:r>
            <w:r w:rsidR="000167BE">
              <w:rPr>
                <w:rFonts w:cs="Arial"/>
                <w:color w:val="000000" w:themeColor="text1"/>
                <w:szCs w:val="18"/>
                <w:lang w:val="en-GB"/>
              </w:rPr>
              <w:t>, spray curtains</w:t>
            </w:r>
          </w:p>
        </w:tc>
        <w:tc>
          <w:tcPr>
            <w:tcW w:w="2126" w:type="dxa"/>
            <w:shd w:val="clear" w:color="auto" w:fill="FFFFFF"/>
          </w:tcPr>
          <w:p w14:paraId="4406421D" w14:textId="60C46F52"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Consequence</w:t>
            </w:r>
          </w:p>
        </w:tc>
        <w:tc>
          <w:tcPr>
            <w:tcW w:w="1134" w:type="dxa"/>
            <w:shd w:val="clear" w:color="auto" w:fill="FFFFFF"/>
          </w:tcPr>
          <w:p w14:paraId="3F232E3F" w14:textId="76702F7E" w:rsidR="00FA6187" w:rsidRPr="00E103CF" w:rsidRDefault="00FA6187" w:rsidP="00FA6187">
            <w:pPr>
              <w:pStyle w:val="CETBodytext"/>
              <w:ind w:right="-1"/>
              <w:rPr>
                <w:rFonts w:cs="Arial"/>
                <w:color w:val="000000" w:themeColor="text1"/>
                <w:szCs w:val="18"/>
                <w:lang w:val="en-GB"/>
              </w:rPr>
            </w:pPr>
            <w:r w:rsidRPr="00E103CF">
              <w:rPr>
                <w:rFonts w:cs="Arial"/>
                <w:color w:val="000000" w:themeColor="text1"/>
                <w:szCs w:val="18"/>
                <w:lang w:val="en-GB"/>
              </w:rPr>
              <w:t>Mitigative</w:t>
            </w:r>
          </w:p>
        </w:tc>
      </w:tr>
    </w:tbl>
    <w:p w14:paraId="6ED6EFD1" w14:textId="77777777" w:rsidR="00D236D7" w:rsidRPr="00D236D7" w:rsidRDefault="00D236D7" w:rsidP="00D236D7">
      <w:pPr>
        <w:pStyle w:val="CETBodytext"/>
        <w:rPr>
          <w:color w:val="FF0000"/>
          <w:lang w:val="en-GB"/>
        </w:rPr>
      </w:pPr>
    </w:p>
    <w:p w14:paraId="7E3BEFE5" w14:textId="61CD5C7F" w:rsidR="00337D0D" w:rsidRPr="00F56CE1" w:rsidRDefault="00337D0D" w:rsidP="00337D0D">
      <w:pPr>
        <w:pStyle w:val="CETBodytext"/>
        <w:rPr>
          <w:lang w:val="en-GB"/>
        </w:rPr>
      </w:pPr>
      <w:r w:rsidRPr="00F56CE1">
        <w:rPr>
          <w:lang w:val="en-GB"/>
        </w:rPr>
        <w:t>During a routine ammonia bunkering operation, the following non-nominal conditions</w:t>
      </w:r>
      <w:r w:rsidR="003E3F75">
        <w:rPr>
          <w:lang w:val="en-GB"/>
        </w:rPr>
        <w:t xml:space="preserve"> (deviation)</w:t>
      </w:r>
      <w:r w:rsidRPr="00F56CE1">
        <w:rPr>
          <w:lang w:val="en-GB"/>
        </w:rPr>
        <w:t xml:space="preserve"> were recorded:</w:t>
      </w:r>
    </w:p>
    <w:p w14:paraId="6B00C5B0" w14:textId="00D13015" w:rsidR="00337D0D" w:rsidRPr="00F56CE1" w:rsidRDefault="00337D0D" w:rsidP="00FA6187">
      <w:pPr>
        <w:pStyle w:val="CETnumberingbullets"/>
        <w:jc w:val="both"/>
      </w:pPr>
      <w:r w:rsidRPr="00F56CE1">
        <w:rPr>
          <w:i/>
        </w:rPr>
        <w:t>Process deviation</w:t>
      </w:r>
      <w:r w:rsidRPr="00F56CE1">
        <w:t xml:space="preserve">: </w:t>
      </w:r>
      <w:r w:rsidR="00B766A1">
        <w:t xml:space="preserve">P </w:t>
      </w:r>
      <w:r w:rsidRPr="00F56CE1">
        <w:t xml:space="preserve">Bunkering exceeded its nominal operating range due to flow control </w:t>
      </w:r>
      <w:r w:rsidR="00AE391A" w:rsidRPr="003E3F75">
        <w:rPr>
          <w:color w:val="000000" w:themeColor="text1"/>
        </w:rPr>
        <w:t>fluctuations</w:t>
      </w:r>
      <w:r w:rsidRPr="00F56CE1">
        <w:t>.</w:t>
      </w:r>
    </w:p>
    <w:p w14:paraId="7A128571" w14:textId="4DA917BE" w:rsidR="00337D0D" w:rsidRPr="00F56CE1" w:rsidRDefault="00337D0D" w:rsidP="00FA6187">
      <w:pPr>
        <w:pStyle w:val="CETnumberingbullets"/>
        <w:jc w:val="both"/>
      </w:pPr>
      <w:r w:rsidRPr="00F56CE1">
        <w:rPr>
          <w:i/>
        </w:rPr>
        <w:t>Organizational deviation</w:t>
      </w:r>
      <w:r w:rsidRPr="00F56CE1">
        <w:t>: Concurrent high operator workload resulted in reduced procedural compliance, including delayed cross-checks and incomplete verification steps.</w:t>
      </w:r>
    </w:p>
    <w:p w14:paraId="367DFDDB" w14:textId="1D523DF0" w:rsidR="00337D0D" w:rsidRPr="00F56CE1" w:rsidRDefault="004C1A12" w:rsidP="00337D0D">
      <w:pPr>
        <w:pStyle w:val="CETBodytext"/>
        <w:rPr>
          <w:lang w:val="en-GB"/>
        </w:rPr>
      </w:pPr>
      <w:r>
        <w:rPr>
          <w:lang w:val="en-GB"/>
        </w:rPr>
        <w:t>N</w:t>
      </w:r>
      <w:r w:rsidR="00337D0D" w:rsidRPr="00F56CE1">
        <w:rPr>
          <w:lang w:val="en-GB"/>
        </w:rPr>
        <w:t>o loss of containment occurred at the time of observation, and all technical safety barriers were initially functional. The deviation thus represents a credible but controlled upset condition, consistent with near-miss scenarios reported in early ammonia fuel demonstrations.</w:t>
      </w:r>
      <w:r w:rsidR="0029456F" w:rsidRPr="00F56CE1">
        <w:rPr>
          <w:lang w:val="en-GB"/>
        </w:rPr>
        <w:t xml:space="preserve"> </w:t>
      </w:r>
      <w:r w:rsidR="00337D0D" w:rsidRPr="00F56CE1">
        <w:rPr>
          <w:lang w:val="en-GB"/>
        </w:rPr>
        <w:t xml:space="preserve">It is </w:t>
      </w:r>
      <w:r w:rsidR="0029456F" w:rsidRPr="00F56CE1">
        <w:rPr>
          <w:lang w:val="en-GB"/>
        </w:rPr>
        <w:t>noteworthy</w:t>
      </w:r>
      <w:r w:rsidR="00337D0D" w:rsidRPr="00F56CE1">
        <w:rPr>
          <w:lang w:val="en-GB"/>
        </w:rPr>
        <w:t xml:space="preserve"> clarify</w:t>
      </w:r>
      <w:r w:rsidR="0029456F" w:rsidRPr="00F56CE1">
        <w:rPr>
          <w:lang w:val="en-GB"/>
        </w:rPr>
        <w:t>ing</w:t>
      </w:r>
      <w:r w:rsidR="00337D0D" w:rsidRPr="00F56CE1">
        <w:rPr>
          <w:lang w:val="en-GB"/>
        </w:rPr>
        <w:t xml:space="preserve"> that the probabilities computed in </w:t>
      </w:r>
      <w:r w:rsidR="0029456F" w:rsidRPr="00F56CE1">
        <w:rPr>
          <w:lang w:val="en-GB"/>
        </w:rPr>
        <w:t>the</w:t>
      </w:r>
      <w:r w:rsidR="00337D0D" w:rsidRPr="00F56CE1">
        <w:rPr>
          <w:lang w:val="en-GB"/>
        </w:rPr>
        <w:t xml:space="preserve"> case study do not represent absolute </w:t>
      </w:r>
      <w:r w:rsidR="00965A03">
        <w:rPr>
          <w:lang w:val="en-GB"/>
        </w:rPr>
        <w:t xml:space="preserve">accident </w:t>
      </w:r>
      <w:r w:rsidR="00337D0D" w:rsidRPr="00F56CE1">
        <w:rPr>
          <w:lang w:val="en-GB"/>
        </w:rPr>
        <w:t xml:space="preserve">frequencies or event occurrence rates. Instead, all probabilities in the BN represent </w:t>
      </w:r>
      <w:r w:rsidR="00337D0D" w:rsidRPr="00F56CE1">
        <w:rPr>
          <w:i/>
          <w:lang w:val="en-GB"/>
        </w:rPr>
        <w:t>conditional epistemic probabilities</w:t>
      </w:r>
      <w:r w:rsidR="00337D0D" w:rsidRPr="00F56CE1">
        <w:rPr>
          <w:lang w:val="en-GB"/>
        </w:rPr>
        <w:t xml:space="preserve">, </w:t>
      </w:r>
      <w:r w:rsidR="0029456F" w:rsidRPr="00F56CE1">
        <w:rPr>
          <w:lang w:val="en-GB"/>
        </w:rPr>
        <w:t xml:space="preserve">i.e. </w:t>
      </w:r>
      <w:r w:rsidR="00337D0D" w:rsidRPr="00F56CE1">
        <w:rPr>
          <w:lang w:val="en-GB"/>
        </w:rPr>
        <w:t>the degree of belief about the system state and possible outcomes</w:t>
      </w:r>
      <w:r w:rsidR="00F56CE1" w:rsidRPr="00F56CE1">
        <w:rPr>
          <w:lang w:val="en-GB"/>
        </w:rPr>
        <w:t>,</w:t>
      </w:r>
      <w:r w:rsidR="00337D0D" w:rsidRPr="00F56CE1">
        <w:rPr>
          <w:lang w:val="en-GB"/>
        </w:rPr>
        <w:t xml:space="preserve"> given the observed deviation and model assumptions</w:t>
      </w:r>
      <w:r w:rsidR="0029456F" w:rsidRPr="00F56CE1">
        <w:rPr>
          <w:lang w:val="en-GB"/>
        </w:rPr>
        <w:t>:</w:t>
      </w:r>
    </w:p>
    <w:p w14:paraId="5C274AF3" w14:textId="6D3F6090" w:rsidR="00337D0D" w:rsidRPr="00F56CE1" w:rsidRDefault="00337D0D" w:rsidP="00FA6187">
      <w:pPr>
        <w:pStyle w:val="CETnumberingbullets"/>
        <w:jc w:val="both"/>
      </w:pPr>
      <w:r w:rsidRPr="00F56CE1">
        <w:rPr>
          <w:i/>
        </w:rPr>
        <w:t>P</w:t>
      </w:r>
      <w:r w:rsidR="005A1868">
        <w:rPr>
          <w:i/>
        </w:rPr>
        <w:t>r</w:t>
      </w:r>
      <w:r w:rsidRPr="00F56CE1">
        <w:rPr>
          <w:i/>
        </w:rPr>
        <w:t>(B</w:t>
      </w:r>
      <w:r w:rsidRPr="00F56CE1">
        <w:rPr>
          <w:i/>
          <w:vertAlign w:val="subscript"/>
        </w:rPr>
        <w:t>t</w:t>
      </w:r>
      <w:r w:rsidRPr="00F56CE1">
        <w:rPr>
          <w:rFonts w:ascii="Cambria Math" w:hAnsi="Cambria Math" w:cs="Cambria Math"/>
          <w:i/>
        </w:rPr>
        <w:t>∣</w:t>
      </w:r>
      <w:r w:rsidRPr="00F56CE1">
        <w:rPr>
          <w:i/>
        </w:rPr>
        <w:t>evidence)</w:t>
      </w:r>
      <w:r w:rsidRPr="00F56CE1">
        <w:t xml:space="preserve"> represents the posterior belief about the state of the containment barrier at time t, conditioned on observed process and human factors.</w:t>
      </w:r>
    </w:p>
    <w:p w14:paraId="0AC74A67" w14:textId="7F803EF2" w:rsidR="00337D0D" w:rsidRPr="00F56CE1" w:rsidRDefault="00337D0D" w:rsidP="005A1868">
      <w:pPr>
        <w:pStyle w:val="CETnumberingbullets"/>
      </w:pPr>
      <w:r w:rsidRPr="00F56CE1">
        <w:rPr>
          <w:i/>
        </w:rPr>
        <w:t>P</w:t>
      </w:r>
      <w:r w:rsidR="005A1868">
        <w:rPr>
          <w:i/>
        </w:rPr>
        <w:t>r</w:t>
      </w:r>
      <w:r w:rsidRPr="00F56CE1">
        <w:rPr>
          <w:i/>
        </w:rPr>
        <w:t>(Rt</w:t>
      </w:r>
      <w:r w:rsidRPr="00F56CE1">
        <w:rPr>
          <w:rFonts w:ascii="Cambria Math" w:hAnsi="Cambria Math" w:cs="Cambria Math"/>
          <w:i/>
        </w:rPr>
        <w:t>∣</w:t>
      </w:r>
      <w:r w:rsidRPr="00F56CE1">
        <w:rPr>
          <w:i/>
        </w:rPr>
        <w:t>evidence)</w:t>
      </w:r>
      <w:r w:rsidRPr="00F56CE1">
        <w:t xml:space="preserve"> represents the conditional likelihood of different release magnitudes, assuming the deviation persists and propagates through the system.</w:t>
      </w:r>
    </w:p>
    <w:p w14:paraId="3E33E135" w14:textId="64F5B351" w:rsidR="00337D0D" w:rsidRPr="00F56CE1" w:rsidRDefault="00337D0D" w:rsidP="00B12736">
      <w:pPr>
        <w:pStyle w:val="CETheadingx"/>
      </w:pPr>
      <w:r w:rsidRPr="00F56CE1">
        <w:t xml:space="preserve">Inference on barrier performance </w:t>
      </w:r>
    </w:p>
    <w:p w14:paraId="138CE6B9" w14:textId="002E4F02" w:rsidR="00337D0D" w:rsidRPr="00F56CE1" w:rsidRDefault="00337D0D" w:rsidP="00337D0D">
      <w:pPr>
        <w:pStyle w:val="CETBodytext"/>
        <w:rPr>
          <w:lang w:val="en-GB"/>
        </w:rPr>
      </w:pPr>
      <w:r w:rsidRPr="00F56CE1">
        <w:rPr>
          <w:lang w:val="en-GB"/>
        </w:rPr>
        <w:t xml:space="preserve">The </w:t>
      </w:r>
      <w:r w:rsidR="0029456F" w:rsidRPr="00F56CE1">
        <w:rPr>
          <w:lang w:val="en-GB"/>
        </w:rPr>
        <w:t xml:space="preserve">worked example is performed according to </w:t>
      </w:r>
      <w:r w:rsidRPr="00F56CE1">
        <w:rPr>
          <w:lang w:val="en-GB"/>
        </w:rPr>
        <w:t>a structured, system-based reasoning process:</w:t>
      </w:r>
    </w:p>
    <w:p w14:paraId="3818FC69" w14:textId="536F2CDE" w:rsidR="00337D0D" w:rsidRPr="009D530C" w:rsidRDefault="00337D0D" w:rsidP="002D149D">
      <w:pPr>
        <w:pStyle w:val="CETnumberingbullets"/>
        <w:ind w:left="426"/>
        <w:jc w:val="both"/>
      </w:pPr>
      <w:r w:rsidRPr="00F56CE1">
        <w:t>Step 1 – Conditioning on an Observed Deviation</w:t>
      </w:r>
      <w:r w:rsidR="009D530C">
        <w:t xml:space="preserve">. </w:t>
      </w:r>
      <w:r w:rsidRPr="009D530C">
        <w:t>The model is conditioned on:</w:t>
      </w:r>
      <w:r w:rsidR="00F56CE1" w:rsidRPr="009D530C">
        <w:t xml:space="preserve"> </w:t>
      </w:r>
      <w:r w:rsidRPr="009D530C">
        <w:t>High bunkering pressure</w:t>
      </w:r>
      <w:r w:rsidR="00F56CE1" w:rsidRPr="009D530C">
        <w:t xml:space="preserve">; </w:t>
      </w:r>
      <w:r w:rsidRPr="009D530C">
        <w:t>Low procedural compliance</w:t>
      </w:r>
      <w:r w:rsidR="00B766A1" w:rsidRPr="009D530C">
        <w:t xml:space="preserve">. </w:t>
      </w:r>
      <w:r w:rsidRPr="009D530C">
        <w:t>Th</w:t>
      </w:r>
      <w:r w:rsidR="00F56CE1" w:rsidRPr="009D530C">
        <w:t>e step</w:t>
      </w:r>
      <w:r w:rsidRPr="009D530C">
        <w:t xml:space="preserve"> represents the initial system state after the deviation has occurred, rather than a hypothetical initiating event.</w:t>
      </w:r>
    </w:p>
    <w:p w14:paraId="0550EC22" w14:textId="55E83210" w:rsidR="00337D0D" w:rsidRPr="009D530C" w:rsidRDefault="00337D0D" w:rsidP="00F75F33">
      <w:pPr>
        <w:pStyle w:val="CETnumberingbullets"/>
        <w:ind w:left="426"/>
        <w:jc w:val="both"/>
        <w:rPr>
          <w:i/>
        </w:rPr>
      </w:pPr>
      <w:r w:rsidRPr="00F56CE1">
        <w:t>Step 2 – Inference on Barrier Performance</w:t>
      </w:r>
      <w:r w:rsidR="009D530C">
        <w:t xml:space="preserve">. </w:t>
      </w:r>
      <w:r w:rsidR="003E3F75" w:rsidRPr="009D530C">
        <w:t>T</w:t>
      </w:r>
      <w:r w:rsidRPr="009D530C">
        <w:t>he observed deviation is propagated</w:t>
      </w:r>
      <w:r w:rsidR="003E3F75" w:rsidRPr="009D530C">
        <w:t xml:space="preserve"> by BN</w:t>
      </w:r>
      <w:r w:rsidRPr="009D530C">
        <w:t xml:space="preserve"> to infer the posterior distribution of containment barrier states, capturing degradation mechanisms driven by stress and human performance.</w:t>
      </w:r>
      <w:r w:rsidR="003E3F75" w:rsidRPr="009D530C">
        <w:t xml:space="preserve"> </w:t>
      </w:r>
      <w:r w:rsidRPr="009D530C">
        <w:t>At this stage, the analysis answer</w:t>
      </w:r>
      <w:r w:rsidR="003E3F75" w:rsidRPr="009D530C">
        <w:t>s</w:t>
      </w:r>
      <w:r w:rsidR="00F56CE1" w:rsidRPr="009D530C">
        <w:t xml:space="preserve"> to</w:t>
      </w:r>
      <w:r w:rsidRPr="009D530C">
        <w:t>:</w:t>
      </w:r>
      <w:r w:rsidR="00166195" w:rsidRPr="009D530C">
        <w:t xml:space="preserve"> </w:t>
      </w:r>
      <w:r w:rsidRPr="009D530C">
        <w:rPr>
          <w:i/>
        </w:rPr>
        <w:t>Given what has already gone wrong, how likely is it that safety barriers are being weakened?</w:t>
      </w:r>
    </w:p>
    <w:p w14:paraId="6121AD6C" w14:textId="500ADC8E" w:rsidR="00337D0D" w:rsidRPr="009D530C" w:rsidRDefault="00337D0D" w:rsidP="000A083E">
      <w:pPr>
        <w:pStyle w:val="CETnumberingbullets"/>
        <w:ind w:left="426"/>
        <w:jc w:val="both"/>
        <w:rPr>
          <w:i/>
        </w:rPr>
      </w:pPr>
      <w:r w:rsidRPr="00F56CE1">
        <w:t>Step 3 – Conditional Outcome Assessment</w:t>
      </w:r>
      <w:r w:rsidR="009D530C">
        <w:t xml:space="preserve">. </w:t>
      </w:r>
      <w:r w:rsidRPr="009D530C">
        <w:t>The inferred barrier state distribution is then used to compute the conditional distribution of release magnitudes.</w:t>
      </w:r>
      <w:r w:rsidR="003E3F75" w:rsidRPr="009D530C">
        <w:t xml:space="preserve"> </w:t>
      </w:r>
      <w:r w:rsidRPr="009D530C">
        <w:t xml:space="preserve">This </w:t>
      </w:r>
      <w:r w:rsidR="00F56CE1" w:rsidRPr="009D530C">
        <w:t xml:space="preserve">step </w:t>
      </w:r>
      <w:r w:rsidRPr="009D530C">
        <w:t>answers:</w:t>
      </w:r>
      <w:r w:rsidR="00166195" w:rsidRPr="009D530C">
        <w:t xml:space="preserve"> </w:t>
      </w:r>
      <w:r w:rsidRPr="009D530C">
        <w:rPr>
          <w:i/>
        </w:rPr>
        <w:t>If the system continues to operate under these conditions, how severe could the consequences become?</w:t>
      </w:r>
    </w:p>
    <w:p w14:paraId="1CF23350" w14:textId="5A298BEE" w:rsidR="00337D0D" w:rsidRPr="009D530C" w:rsidRDefault="00337D0D" w:rsidP="00B92D57">
      <w:pPr>
        <w:pStyle w:val="CETnumberingbullets"/>
        <w:ind w:left="426"/>
        <w:jc w:val="both"/>
      </w:pPr>
      <w:r w:rsidRPr="00F56CE1">
        <w:t>Step 4 – Temporal Risk Evolution</w:t>
      </w:r>
      <w:r w:rsidR="009D530C">
        <w:t xml:space="preserve">. </w:t>
      </w:r>
      <w:r w:rsidRPr="009D530C">
        <w:t>The analysis is extended over multiple time steps, allowing the evaluation of risk trajectories under</w:t>
      </w:r>
      <w:r w:rsidR="00F81150" w:rsidRPr="009D530C">
        <w:t xml:space="preserve"> three possible evolutions, i.e., </w:t>
      </w:r>
      <w:r w:rsidRPr="009D530C">
        <w:t>Persistent deviation</w:t>
      </w:r>
      <w:r w:rsidR="00F81150" w:rsidRPr="009D530C">
        <w:t xml:space="preserve">, </w:t>
      </w:r>
      <w:r w:rsidRPr="009D530C">
        <w:t>Partial recovery</w:t>
      </w:r>
      <w:r w:rsidR="00F81150" w:rsidRPr="009D530C">
        <w:t xml:space="preserve">, </w:t>
      </w:r>
      <w:r w:rsidR="00B74920">
        <w:lastRenderedPageBreak/>
        <w:t xml:space="preserve">or </w:t>
      </w:r>
      <w:r w:rsidRPr="009D530C">
        <w:t>Active mitigation.</w:t>
      </w:r>
      <w:r w:rsidR="00F56CE1" w:rsidRPr="009D530C">
        <w:t xml:space="preserve"> </w:t>
      </w:r>
      <w:r w:rsidRPr="009D530C">
        <w:t>T</w:t>
      </w:r>
      <w:r w:rsidR="00F81150" w:rsidRPr="009D530C">
        <w:t xml:space="preserve">he step is </w:t>
      </w:r>
      <w:r w:rsidR="00F56CE1" w:rsidRPr="009D530C">
        <w:t>finalized</w:t>
      </w:r>
      <w:r w:rsidR="00F81150" w:rsidRPr="009D530C">
        <w:t xml:space="preserve"> to</w:t>
      </w:r>
      <w:r w:rsidRPr="009D530C">
        <w:t xml:space="preserve"> capture risk accumulation, stabilization, or decay, depending on operational response.</w:t>
      </w:r>
    </w:p>
    <w:p w14:paraId="4038228C" w14:textId="1F15426A" w:rsidR="009D683F" w:rsidRDefault="009D683F" w:rsidP="00B12736">
      <w:pPr>
        <w:pStyle w:val="CETheadingx"/>
      </w:pPr>
      <w:r>
        <w:t>Prior probabilit</w:t>
      </w:r>
      <w:r w:rsidR="002B07A0">
        <w:t xml:space="preserve">y </w:t>
      </w:r>
    </w:p>
    <w:p w14:paraId="1263C09F" w14:textId="6421D8E5" w:rsidR="0029456F" w:rsidRDefault="0029456F" w:rsidP="0029456F">
      <w:pPr>
        <w:pStyle w:val="CETBodytext"/>
      </w:pPr>
      <w:r>
        <w:t>The model variables and the conceived states are summarized as follow</w:t>
      </w:r>
      <w:r w:rsidR="00F56CE1">
        <w:t>s</w:t>
      </w:r>
      <w:r>
        <w:t>.</w:t>
      </w:r>
      <w:r w:rsidR="009D530C">
        <w:t xml:space="preserve"> </w:t>
      </w:r>
    </w:p>
    <w:p w14:paraId="67F28B6F" w14:textId="4AB0FA97" w:rsidR="0029456F" w:rsidRPr="0029456F" w:rsidRDefault="0029456F" w:rsidP="0029456F">
      <w:pPr>
        <w:pStyle w:val="CETBodytext"/>
      </w:pPr>
      <w:r>
        <w:t>Pressure P: P</w:t>
      </w:r>
      <w:r>
        <w:rPr>
          <w:rFonts w:ascii="Cambria Math" w:hAnsi="Cambria Math" w:cs="Cambria Math"/>
        </w:rPr>
        <w:t>∈</w:t>
      </w:r>
      <w:r>
        <w:t>{Normal, High}; Procedural Compliance C: C</w:t>
      </w:r>
      <w:r>
        <w:rPr>
          <w:rFonts w:ascii="Cambria Math" w:hAnsi="Cambria Math" w:cs="Cambria Math"/>
        </w:rPr>
        <w:t>∈</w:t>
      </w:r>
      <w:r>
        <w:t>{High, Low}</w:t>
      </w:r>
      <w:r w:rsidR="004C1A12">
        <w:t>;</w:t>
      </w:r>
      <w:r>
        <w:t xml:space="preserve"> Containment Barrier State B: B</w:t>
      </w:r>
      <w:r>
        <w:rPr>
          <w:rFonts w:ascii="Cambria Math" w:hAnsi="Cambria Math" w:cs="Cambria Math"/>
        </w:rPr>
        <w:t>∈</w:t>
      </w:r>
      <w:r>
        <w:t xml:space="preserve">{Effective, Degraded, Failed}; Release </w:t>
      </w:r>
      <w:r w:rsidR="00572C47">
        <w:t>Severity</w:t>
      </w:r>
      <w:r>
        <w:t xml:space="preserve"> R: R</w:t>
      </w:r>
      <w:r>
        <w:rPr>
          <w:rFonts w:ascii="Cambria Math" w:hAnsi="Cambria Math" w:cs="Cambria Math"/>
        </w:rPr>
        <w:t>∈</w:t>
      </w:r>
      <w:r>
        <w:t>{None, Small, Large}</w:t>
      </w:r>
      <w:r w:rsidR="004C1A12">
        <w:t>.</w:t>
      </w:r>
    </w:p>
    <w:p w14:paraId="6DD2EC79" w14:textId="1B268F54" w:rsidR="00BE55C7" w:rsidRPr="00937B47" w:rsidRDefault="00B12736" w:rsidP="00BE55C7">
      <w:pPr>
        <w:pStyle w:val="CETBodytext"/>
      </w:pPr>
      <w:r w:rsidRPr="00937B47">
        <w:t xml:space="preserve">Prior probabilities (Tables 2 and 3) reflect baseline expectations from EMSA safety assessments of ammonia systems (Jiang et al., 2024). CPrDs were elicited </w:t>
      </w:r>
      <w:r w:rsidR="003F178B" w:rsidRPr="00937B47">
        <w:t xml:space="preserve">by </w:t>
      </w:r>
      <w:r w:rsidR="00322BFF">
        <w:t xml:space="preserve">a </w:t>
      </w:r>
      <w:r w:rsidR="003F178B" w:rsidRPr="00937B47">
        <w:t xml:space="preserve">structured behavioral aggregation </w:t>
      </w:r>
      <w:r w:rsidRPr="00937B47">
        <w:t>from domain experts, calibrated against literature on barrier degradation in bunkering (Khan et al., 2025a, b)</w:t>
      </w:r>
      <w:r w:rsidR="003F178B" w:rsidRPr="00937B47">
        <w:t xml:space="preserve">. The resulting </w:t>
      </w:r>
      <w:r w:rsidRPr="00937B47">
        <w:t xml:space="preserve"> </w:t>
      </w:r>
      <w:r w:rsidR="003F178B" w:rsidRPr="00937B47">
        <w:t xml:space="preserve">CPrDs, summarized in Tables 4 and 5, </w:t>
      </w:r>
      <w:r w:rsidRPr="00937B47">
        <w:t>emphasiz</w:t>
      </w:r>
      <w:r w:rsidR="003F178B" w:rsidRPr="00937B47">
        <w:t>e the</w:t>
      </w:r>
      <w:r w:rsidRPr="00937B47">
        <w:t xml:space="preserve"> conditional dependencies rather than </w:t>
      </w:r>
      <w:r w:rsidR="003F178B" w:rsidRPr="00937B47">
        <w:t xml:space="preserve">the </w:t>
      </w:r>
      <w:r w:rsidRPr="00937B47">
        <w:t>absolute rates.</w:t>
      </w:r>
      <w:r w:rsidR="00BE55C7" w:rsidRPr="00937B47">
        <w:t xml:space="preserve"> </w:t>
      </w:r>
    </w:p>
    <w:p w14:paraId="4FC6CE46" w14:textId="5D78FADF" w:rsidR="00BE55C7" w:rsidRPr="00B57B36" w:rsidRDefault="00BE55C7" w:rsidP="004A33A0">
      <w:pPr>
        <w:pStyle w:val="CETTabletitle"/>
      </w:pPr>
      <w:r w:rsidRPr="00B57B36">
        <w:t xml:space="preserve">Table </w:t>
      </w:r>
      <w:r w:rsidR="00D236D7">
        <w:t>2</w:t>
      </w:r>
      <w:r w:rsidRPr="00B57B36">
        <w:t xml:space="preserve">: </w:t>
      </w:r>
      <w:r>
        <w:t>Pressure</w:t>
      </w:r>
      <w:r w:rsidR="008833E2">
        <w:t>.</w:t>
      </w:r>
      <w:r>
        <w:tab/>
      </w:r>
      <w:r>
        <w:tab/>
      </w:r>
      <w:r>
        <w:tab/>
      </w:r>
      <w:r>
        <w:tab/>
      </w:r>
      <w:r>
        <w:tab/>
      </w:r>
      <w:r w:rsidRPr="00B57B36">
        <w:t xml:space="preserve">Table </w:t>
      </w:r>
      <w:r w:rsidR="00D236D7">
        <w:t>3</w:t>
      </w:r>
      <w:r w:rsidRPr="00B57B36">
        <w:t xml:space="preserve">: </w:t>
      </w:r>
      <w:r>
        <w:t>Procedural compliance</w:t>
      </w:r>
      <w:r w:rsidR="008833E2">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276"/>
        <w:gridCol w:w="1559"/>
      </w:tblGrid>
      <w:tr w:rsidR="00BE55C7" w:rsidRPr="00B57B36" w14:paraId="7D7E994D" w14:textId="77777777" w:rsidTr="00FA6187">
        <w:tc>
          <w:tcPr>
            <w:tcW w:w="1276" w:type="dxa"/>
            <w:tcBorders>
              <w:top w:val="single" w:sz="12" w:space="0" w:color="008000"/>
              <w:bottom w:val="single" w:sz="6" w:space="0" w:color="008000"/>
            </w:tcBorders>
            <w:shd w:val="clear" w:color="auto" w:fill="FFFFFF"/>
          </w:tcPr>
          <w:p w14:paraId="18E43810" w14:textId="77777777" w:rsidR="00BE55C7" w:rsidRPr="005C7511" w:rsidRDefault="00BE55C7" w:rsidP="00FA6187">
            <w:pPr>
              <w:pStyle w:val="CETBodytext"/>
              <w:rPr>
                <w:lang w:val="en-GB"/>
              </w:rPr>
            </w:pPr>
            <w:r>
              <w:rPr>
                <w:lang w:val="en-GB"/>
              </w:rPr>
              <w:t>State</w:t>
            </w:r>
          </w:p>
        </w:tc>
        <w:tc>
          <w:tcPr>
            <w:tcW w:w="1559" w:type="dxa"/>
            <w:tcBorders>
              <w:top w:val="single" w:sz="12" w:space="0" w:color="008000"/>
              <w:bottom w:val="single" w:sz="6" w:space="0" w:color="008000"/>
            </w:tcBorders>
            <w:shd w:val="clear" w:color="auto" w:fill="FFFFFF"/>
          </w:tcPr>
          <w:p w14:paraId="06476F1F" w14:textId="77777777" w:rsidR="00BE55C7" w:rsidRPr="005C7511" w:rsidRDefault="00BE55C7" w:rsidP="00FA6187">
            <w:pPr>
              <w:pStyle w:val="CETBodytext"/>
              <w:rPr>
                <w:lang w:val="en-GB"/>
              </w:rPr>
            </w:pPr>
            <w:r>
              <w:rPr>
                <w:lang w:val="en-GB"/>
              </w:rPr>
              <w:t>Probability</w:t>
            </w:r>
          </w:p>
        </w:tc>
      </w:tr>
      <w:tr w:rsidR="00BE55C7" w:rsidRPr="00B57B36" w14:paraId="7D442C7C" w14:textId="77777777" w:rsidTr="00FA6187">
        <w:tc>
          <w:tcPr>
            <w:tcW w:w="1276" w:type="dxa"/>
            <w:shd w:val="clear" w:color="auto" w:fill="FFFFFF"/>
          </w:tcPr>
          <w:p w14:paraId="7CCC2325" w14:textId="77777777" w:rsidR="00BE55C7" w:rsidRPr="00B57B36" w:rsidRDefault="00BE55C7" w:rsidP="00FA6187">
            <w:pPr>
              <w:pStyle w:val="CETBodytext"/>
              <w:rPr>
                <w:lang w:val="en-GB"/>
              </w:rPr>
            </w:pPr>
            <w:r>
              <w:rPr>
                <w:lang w:val="en-GB"/>
              </w:rPr>
              <w:t>Normal</w:t>
            </w:r>
          </w:p>
        </w:tc>
        <w:tc>
          <w:tcPr>
            <w:tcW w:w="1559" w:type="dxa"/>
            <w:shd w:val="clear" w:color="auto" w:fill="FFFFFF"/>
          </w:tcPr>
          <w:p w14:paraId="3E6D2C2A" w14:textId="77777777" w:rsidR="00BE55C7" w:rsidRPr="00B57B36" w:rsidRDefault="00BE55C7" w:rsidP="00FA6187">
            <w:pPr>
              <w:pStyle w:val="CETBodytext"/>
              <w:rPr>
                <w:lang w:val="en-GB"/>
              </w:rPr>
            </w:pPr>
            <w:r>
              <w:t>0.8</w:t>
            </w:r>
          </w:p>
        </w:tc>
      </w:tr>
      <w:tr w:rsidR="00BE55C7" w:rsidRPr="00B57B36" w14:paraId="6B4DC7A6" w14:textId="77777777" w:rsidTr="00FA6187">
        <w:tc>
          <w:tcPr>
            <w:tcW w:w="1276" w:type="dxa"/>
            <w:shd w:val="clear" w:color="auto" w:fill="FFFFFF"/>
          </w:tcPr>
          <w:p w14:paraId="3B6B7A19" w14:textId="77777777" w:rsidR="00BE55C7" w:rsidRDefault="00BE55C7" w:rsidP="00FA6187">
            <w:pPr>
              <w:pStyle w:val="CETBodytext"/>
              <w:ind w:right="-1"/>
              <w:rPr>
                <w:rFonts w:cs="Arial"/>
                <w:szCs w:val="18"/>
                <w:lang w:val="en-GB"/>
              </w:rPr>
            </w:pPr>
            <w:r>
              <w:rPr>
                <w:rFonts w:cs="Arial"/>
                <w:szCs w:val="18"/>
                <w:lang w:val="en-GB"/>
              </w:rPr>
              <w:t>High</w:t>
            </w:r>
          </w:p>
        </w:tc>
        <w:tc>
          <w:tcPr>
            <w:tcW w:w="1559" w:type="dxa"/>
            <w:shd w:val="clear" w:color="auto" w:fill="FFFFFF"/>
          </w:tcPr>
          <w:p w14:paraId="2537DE09" w14:textId="77777777" w:rsidR="00BE55C7" w:rsidRPr="00B57B36" w:rsidRDefault="00BE55C7" w:rsidP="00FA6187">
            <w:pPr>
              <w:pStyle w:val="CETBodytext"/>
              <w:ind w:right="-1"/>
              <w:rPr>
                <w:rFonts w:cs="Arial"/>
                <w:szCs w:val="18"/>
                <w:lang w:val="en-GB"/>
              </w:rPr>
            </w:pPr>
            <w:r>
              <w:rPr>
                <w:rFonts w:cs="Arial"/>
                <w:szCs w:val="18"/>
                <w:lang w:val="en-GB"/>
              </w:rPr>
              <w:t>0.2</w:t>
            </w:r>
          </w:p>
        </w:tc>
      </w:tr>
    </w:tbl>
    <w:tbl>
      <w:tblPr>
        <w:tblpPr w:leftFromText="141" w:rightFromText="141" w:vertAnchor="text" w:horzAnchor="page" w:tblpX="6697" w:tblpY="-751"/>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418"/>
        <w:gridCol w:w="1701"/>
      </w:tblGrid>
      <w:tr w:rsidR="00BE55C7" w:rsidRPr="00B57B36" w14:paraId="01F239C7" w14:textId="77777777" w:rsidTr="00FA6187">
        <w:tc>
          <w:tcPr>
            <w:tcW w:w="1418" w:type="dxa"/>
            <w:tcBorders>
              <w:top w:val="single" w:sz="12" w:space="0" w:color="008000"/>
              <w:bottom w:val="single" w:sz="6" w:space="0" w:color="008000"/>
            </w:tcBorders>
            <w:shd w:val="clear" w:color="auto" w:fill="FFFFFF"/>
          </w:tcPr>
          <w:p w14:paraId="21F116FB" w14:textId="77777777" w:rsidR="00BE55C7" w:rsidRPr="005C7511" w:rsidRDefault="00BE55C7" w:rsidP="00FA6187">
            <w:pPr>
              <w:pStyle w:val="CETBodytext"/>
              <w:rPr>
                <w:lang w:val="en-GB"/>
              </w:rPr>
            </w:pPr>
            <w:r>
              <w:rPr>
                <w:lang w:val="en-GB"/>
              </w:rPr>
              <w:t>State</w:t>
            </w:r>
          </w:p>
        </w:tc>
        <w:tc>
          <w:tcPr>
            <w:tcW w:w="1701" w:type="dxa"/>
            <w:tcBorders>
              <w:top w:val="single" w:sz="12" w:space="0" w:color="008000"/>
              <w:bottom w:val="single" w:sz="6" w:space="0" w:color="008000"/>
            </w:tcBorders>
            <w:shd w:val="clear" w:color="auto" w:fill="FFFFFF"/>
          </w:tcPr>
          <w:p w14:paraId="390B4F69" w14:textId="77777777" w:rsidR="00BE55C7" w:rsidRPr="005C7511" w:rsidRDefault="00BE55C7" w:rsidP="00FA6187">
            <w:pPr>
              <w:pStyle w:val="CETBodytext"/>
              <w:rPr>
                <w:lang w:val="en-GB"/>
              </w:rPr>
            </w:pPr>
            <w:r>
              <w:rPr>
                <w:lang w:val="en-GB"/>
              </w:rPr>
              <w:t>Probability</w:t>
            </w:r>
          </w:p>
        </w:tc>
      </w:tr>
      <w:tr w:rsidR="00BE55C7" w:rsidRPr="00B57B36" w14:paraId="031E065E" w14:textId="77777777" w:rsidTr="00FA6187">
        <w:tc>
          <w:tcPr>
            <w:tcW w:w="1418" w:type="dxa"/>
            <w:shd w:val="clear" w:color="auto" w:fill="FFFFFF"/>
          </w:tcPr>
          <w:p w14:paraId="449F3779" w14:textId="77777777" w:rsidR="00BE55C7" w:rsidRPr="00B57B36" w:rsidRDefault="00BE55C7" w:rsidP="00FA6187">
            <w:pPr>
              <w:pStyle w:val="CETBodytext"/>
              <w:rPr>
                <w:lang w:val="en-GB"/>
              </w:rPr>
            </w:pPr>
            <w:r>
              <w:rPr>
                <w:lang w:val="en-GB"/>
              </w:rPr>
              <w:t>High</w:t>
            </w:r>
          </w:p>
        </w:tc>
        <w:tc>
          <w:tcPr>
            <w:tcW w:w="1701" w:type="dxa"/>
            <w:shd w:val="clear" w:color="auto" w:fill="FFFFFF"/>
          </w:tcPr>
          <w:p w14:paraId="2B1FEEEF" w14:textId="77777777" w:rsidR="00BE55C7" w:rsidRPr="00B57B36" w:rsidRDefault="00BE55C7" w:rsidP="00FA6187">
            <w:pPr>
              <w:pStyle w:val="CETBodytext"/>
              <w:rPr>
                <w:lang w:val="en-GB"/>
              </w:rPr>
            </w:pPr>
            <w:r>
              <w:t>0.85</w:t>
            </w:r>
          </w:p>
        </w:tc>
      </w:tr>
      <w:tr w:rsidR="00BE55C7" w:rsidRPr="00B57B36" w14:paraId="4DC4CEC0" w14:textId="77777777" w:rsidTr="00FA6187">
        <w:tc>
          <w:tcPr>
            <w:tcW w:w="1418" w:type="dxa"/>
            <w:shd w:val="clear" w:color="auto" w:fill="FFFFFF"/>
          </w:tcPr>
          <w:p w14:paraId="31E6F8D3" w14:textId="77777777" w:rsidR="00BE55C7" w:rsidRDefault="00BE55C7" w:rsidP="00FA6187">
            <w:pPr>
              <w:pStyle w:val="CETBodytext"/>
              <w:ind w:right="-1"/>
              <w:rPr>
                <w:rFonts w:cs="Arial"/>
                <w:szCs w:val="18"/>
                <w:lang w:val="en-GB"/>
              </w:rPr>
            </w:pPr>
            <w:r>
              <w:rPr>
                <w:rFonts w:cs="Arial"/>
                <w:szCs w:val="18"/>
                <w:lang w:val="en-GB"/>
              </w:rPr>
              <w:t>Low</w:t>
            </w:r>
          </w:p>
        </w:tc>
        <w:tc>
          <w:tcPr>
            <w:tcW w:w="1701" w:type="dxa"/>
            <w:shd w:val="clear" w:color="auto" w:fill="FFFFFF"/>
          </w:tcPr>
          <w:p w14:paraId="04E484BC" w14:textId="77777777" w:rsidR="00BE55C7" w:rsidRPr="00B57B36" w:rsidRDefault="00BE55C7" w:rsidP="00FA6187">
            <w:pPr>
              <w:pStyle w:val="CETBodytext"/>
              <w:ind w:right="-1"/>
              <w:rPr>
                <w:rFonts w:cs="Arial"/>
                <w:szCs w:val="18"/>
                <w:lang w:val="en-GB"/>
              </w:rPr>
            </w:pPr>
            <w:r>
              <w:rPr>
                <w:rFonts w:cs="Arial"/>
                <w:szCs w:val="18"/>
                <w:lang w:val="en-GB"/>
              </w:rPr>
              <w:t>0.15</w:t>
            </w:r>
          </w:p>
        </w:tc>
      </w:tr>
    </w:tbl>
    <w:p w14:paraId="123C8D45" w14:textId="1E735A67" w:rsidR="00BE55C7" w:rsidRDefault="00BE55C7" w:rsidP="00B12736">
      <w:pPr>
        <w:pStyle w:val="CETheadingx"/>
      </w:pPr>
      <w:r>
        <w:t>Conditional probability distributions (CP</w:t>
      </w:r>
      <w:r w:rsidR="00B12736">
        <w:t>r</w:t>
      </w:r>
      <w:r>
        <w:t>Ds)</w:t>
      </w:r>
    </w:p>
    <w:p w14:paraId="33D4D78D" w14:textId="173F31B5" w:rsidR="00B12736" w:rsidRPr="00937B47" w:rsidRDefault="00B12736" w:rsidP="00B12736">
      <w:pPr>
        <w:pStyle w:val="CETBodytext"/>
      </w:pPr>
      <w:r w:rsidRPr="00937B47">
        <w:t>CPrDs are derived via expert elicitation informed by bunkering risk literature, as above mentioned.</w:t>
      </w:r>
      <w:r w:rsidR="004C1A12" w:rsidRPr="00937B47">
        <w:t xml:space="preserve"> No direct empirical data exists for these exact conditionals due to limited ammonia bunkering history, justifying the hybrid approach.</w:t>
      </w:r>
    </w:p>
    <w:p w14:paraId="28B03F8F" w14:textId="2560A61F" w:rsidR="00993355" w:rsidRPr="00B57B36" w:rsidRDefault="00993355" w:rsidP="004A33A0">
      <w:pPr>
        <w:pStyle w:val="CETTabletitle"/>
      </w:pPr>
      <w:r w:rsidRPr="00B57B36">
        <w:t xml:space="preserve">Table </w:t>
      </w:r>
      <w:r w:rsidR="00D236D7">
        <w:t>4</w:t>
      </w:r>
      <w:r w:rsidRPr="00B57B36">
        <w:t xml:space="preserve">: </w:t>
      </w:r>
      <w:r>
        <w:t>Containment Barrier CP</w:t>
      </w:r>
      <w:r w:rsidR="00B12736">
        <w:t>r</w:t>
      </w:r>
      <w:r>
        <w:t>D</w:t>
      </w:r>
      <w:r w:rsidR="00423317">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12"/>
        <w:gridCol w:w="2133"/>
        <w:gridCol w:w="1614"/>
        <w:gridCol w:w="1614"/>
        <w:gridCol w:w="907"/>
      </w:tblGrid>
      <w:tr w:rsidR="00993355" w:rsidRPr="00B57B36" w14:paraId="73E3DFEC" w14:textId="3196DD4B" w:rsidTr="004535BE">
        <w:tc>
          <w:tcPr>
            <w:tcW w:w="1812" w:type="dxa"/>
            <w:tcBorders>
              <w:top w:val="single" w:sz="12" w:space="0" w:color="008000"/>
              <w:bottom w:val="single" w:sz="6" w:space="0" w:color="008000"/>
            </w:tcBorders>
            <w:shd w:val="clear" w:color="auto" w:fill="FFFFFF"/>
          </w:tcPr>
          <w:p w14:paraId="0C83265F" w14:textId="6B7D3738" w:rsidR="00993355" w:rsidRPr="005C7511" w:rsidRDefault="00993355" w:rsidP="00FA6187">
            <w:pPr>
              <w:pStyle w:val="CETBodytext"/>
              <w:rPr>
                <w:lang w:val="en-GB"/>
              </w:rPr>
            </w:pPr>
            <w:r>
              <w:rPr>
                <w:lang w:val="en-GB"/>
              </w:rPr>
              <w:t>Pressure</w:t>
            </w:r>
          </w:p>
        </w:tc>
        <w:tc>
          <w:tcPr>
            <w:tcW w:w="2133" w:type="dxa"/>
            <w:tcBorders>
              <w:top w:val="single" w:sz="12" w:space="0" w:color="008000"/>
              <w:bottom w:val="single" w:sz="6" w:space="0" w:color="008000"/>
            </w:tcBorders>
            <w:shd w:val="clear" w:color="auto" w:fill="FFFFFF"/>
          </w:tcPr>
          <w:p w14:paraId="1E63C0B0" w14:textId="73780D3C" w:rsidR="00993355" w:rsidRPr="005C7511" w:rsidRDefault="00993355" w:rsidP="00FA6187">
            <w:pPr>
              <w:pStyle w:val="CETBodytext"/>
              <w:rPr>
                <w:lang w:val="en-GB"/>
              </w:rPr>
            </w:pPr>
            <w:r>
              <w:rPr>
                <w:lang w:val="en-GB"/>
              </w:rPr>
              <w:t>Compliance</w:t>
            </w:r>
          </w:p>
        </w:tc>
        <w:tc>
          <w:tcPr>
            <w:tcW w:w="1614" w:type="dxa"/>
            <w:tcBorders>
              <w:top w:val="single" w:sz="12" w:space="0" w:color="008000"/>
              <w:bottom w:val="single" w:sz="6" w:space="0" w:color="008000"/>
            </w:tcBorders>
            <w:shd w:val="clear" w:color="auto" w:fill="FFFFFF"/>
          </w:tcPr>
          <w:p w14:paraId="2D177CFC" w14:textId="2E1302A6" w:rsidR="00993355" w:rsidRDefault="00993355" w:rsidP="00FA6187">
            <w:pPr>
              <w:pStyle w:val="CETBodytext"/>
              <w:rPr>
                <w:lang w:val="en-GB"/>
              </w:rPr>
            </w:pPr>
            <w:r>
              <w:rPr>
                <w:lang w:val="en-GB"/>
              </w:rPr>
              <w:t>Effective</w:t>
            </w:r>
          </w:p>
        </w:tc>
        <w:tc>
          <w:tcPr>
            <w:tcW w:w="1614" w:type="dxa"/>
            <w:tcBorders>
              <w:top w:val="single" w:sz="12" w:space="0" w:color="008000"/>
              <w:bottom w:val="single" w:sz="6" w:space="0" w:color="008000"/>
            </w:tcBorders>
            <w:shd w:val="clear" w:color="auto" w:fill="FFFFFF"/>
          </w:tcPr>
          <w:p w14:paraId="6CEAD966" w14:textId="3A4F8C83" w:rsidR="00993355" w:rsidRDefault="00993355" w:rsidP="00FA6187">
            <w:pPr>
              <w:pStyle w:val="CETBodytext"/>
              <w:rPr>
                <w:lang w:val="en-GB"/>
              </w:rPr>
            </w:pPr>
            <w:r>
              <w:rPr>
                <w:lang w:val="en-GB"/>
              </w:rPr>
              <w:t>Degraded</w:t>
            </w:r>
          </w:p>
        </w:tc>
        <w:tc>
          <w:tcPr>
            <w:tcW w:w="907" w:type="dxa"/>
            <w:tcBorders>
              <w:top w:val="single" w:sz="12" w:space="0" w:color="008000"/>
              <w:bottom w:val="single" w:sz="6" w:space="0" w:color="008000"/>
            </w:tcBorders>
            <w:shd w:val="clear" w:color="auto" w:fill="FFFFFF"/>
          </w:tcPr>
          <w:p w14:paraId="03B4475D" w14:textId="33CBA54C" w:rsidR="00993355" w:rsidRDefault="00993355" w:rsidP="00FA6187">
            <w:pPr>
              <w:pStyle w:val="CETBodytext"/>
              <w:rPr>
                <w:lang w:val="en-GB"/>
              </w:rPr>
            </w:pPr>
            <w:r>
              <w:rPr>
                <w:lang w:val="en-GB"/>
              </w:rPr>
              <w:t>Failed</w:t>
            </w:r>
          </w:p>
        </w:tc>
      </w:tr>
      <w:tr w:rsidR="00993355" w:rsidRPr="00B57B36" w14:paraId="75F45E66" w14:textId="362273D8" w:rsidTr="004535BE">
        <w:tc>
          <w:tcPr>
            <w:tcW w:w="1812" w:type="dxa"/>
            <w:shd w:val="clear" w:color="auto" w:fill="FFFFFF"/>
          </w:tcPr>
          <w:p w14:paraId="08126596" w14:textId="77777777" w:rsidR="00993355" w:rsidRPr="00B57B36" w:rsidRDefault="00993355" w:rsidP="00FA6187">
            <w:pPr>
              <w:pStyle w:val="CETBodytext"/>
              <w:rPr>
                <w:lang w:val="en-GB"/>
              </w:rPr>
            </w:pPr>
            <w:r>
              <w:rPr>
                <w:lang w:val="en-GB"/>
              </w:rPr>
              <w:t>Normal</w:t>
            </w:r>
          </w:p>
        </w:tc>
        <w:tc>
          <w:tcPr>
            <w:tcW w:w="2133" w:type="dxa"/>
            <w:shd w:val="clear" w:color="auto" w:fill="FFFFFF"/>
          </w:tcPr>
          <w:p w14:paraId="44CFE0EB" w14:textId="22B730BE" w:rsidR="00993355" w:rsidRPr="00B57B36" w:rsidRDefault="004535BE" w:rsidP="00FA6187">
            <w:pPr>
              <w:pStyle w:val="CETBodytext"/>
              <w:rPr>
                <w:lang w:val="en-GB"/>
              </w:rPr>
            </w:pPr>
            <w:r>
              <w:t>High</w:t>
            </w:r>
          </w:p>
        </w:tc>
        <w:tc>
          <w:tcPr>
            <w:tcW w:w="1614" w:type="dxa"/>
            <w:shd w:val="clear" w:color="auto" w:fill="FFFFFF"/>
          </w:tcPr>
          <w:p w14:paraId="3DFD7859" w14:textId="75085471" w:rsidR="00993355" w:rsidRDefault="004535BE" w:rsidP="00FA6187">
            <w:pPr>
              <w:pStyle w:val="CETBodytext"/>
            </w:pPr>
            <w:r>
              <w:t>0.97</w:t>
            </w:r>
          </w:p>
        </w:tc>
        <w:tc>
          <w:tcPr>
            <w:tcW w:w="1614" w:type="dxa"/>
            <w:shd w:val="clear" w:color="auto" w:fill="FFFFFF"/>
          </w:tcPr>
          <w:p w14:paraId="740C044F" w14:textId="03FC939E" w:rsidR="00993355" w:rsidRDefault="004535BE" w:rsidP="00FA6187">
            <w:pPr>
              <w:pStyle w:val="CETBodytext"/>
            </w:pPr>
            <w:r>
              <w:t>0.03</w:t>
            </w:r>
          </w:p>
        </w:tc>
        <w:tc>
          <w:tcPr>
            <w:tcW w:w="907" w:type="dxa"/>
            <w:shd w:val="clear" w:color="auto" w:fill="FFFFFF"/>
          </w:tcPr>
          <w:p w14:paraId="62C2F860" w14:textId="74E95BB6" w:rsidR="00993355" w:rsidRDefault="004535BE" w:rsidP="00FA6187">
            <w:pPr>
              <w:pStyle w:val="CETBodytext"/>
            </w:pPr>
            <w:r>
              <w:t>0.00</w:t>
            </w:r>
          </w:p>
        </w:tc>
      </w:tr>
      <w:tr w:rsidR="00993355" w:rsidRPr="00B57B36" w14:paraId="3817DEA2" w14:textId="6CBF675E" w:rsidTr="004535BE">
        <w:tc>
          <w:tcPr>
            <w:tcW w:w="1812" w:type="dxa"/>
            <w:shd w:val="clear" w:color="auto" w:fill="FFFFFF"/>
          </w:tcPr>
          <w:p w14:paraId="3AD676C0" w14:textId="6746DCE9" w:rsidR="00993355" w:rsidRDefault="00993355" w:rsidP="00FA6187">
            <w:pPr>
              <w:pStyle w:val="CETBodytext"/>
              <w:ind w:right="-1"/>
              <w:rPr>
                <w:rFonts w:cs="Arial"/>
                <w:szCs w:val="18"/>
                <w:lang w:val="en-GB"/>
              </w:rPr>
            </w:pPr>
            <w:r>
              <w:rPr>
                <w:rFonts w:cs="Arial"/>
                <w:szCs w:val="18"/>
                <w:lang w:val="en-GB"/>
              </w:rPr>
              <w:t>Normal</w:t>
            </w:r>
          </w:p>
        </w:tc>
        <w:tc>
          <w:tcPr>
            <w:tcW w:w="2133" w:type="dxa"/>
            <w:shd w:val="clear" w:color="auto" w:fill="FFFFFF"/>
          </w:tcPr>
          <w:p w14:paraId="50967BCA" w14:textId="13F0E744" w:rsidR="00993355" w:rsidRPr="00B57B36" w:rsidRDefault="004535BE" w:rsidP="00FA6187">
            <w:pPr>
              <w:pStyle w:val="CETBodytext"/>
              <w:ind w:right="-1"/>
              <w:rPr>
                <w:rFonts w:cs="Arial"/>
                <w:szCs w:val="18"/>
                <w:lang w:val="en-GB"/>
              </w:rPr>
            </w:pPr>
            <w:r>
              <w:rPr>
                <w:rFonts w:cs="Arial"/>
                <w:szCs w:val="18"/>
                <w:lang w:val="en-GB"/>
              </w:rPr>
              <w:t>Low</w:t>
            </w:r>
          </w:p>
        </w:tc>
        <w:tc>
          <w:tcPr>
            <w:tcW w:w="1614" w:type="dxa"/>
            <w:shd w:val="clear" w:color="auto" w:fill="FFFFFF"/>
          </w:tcPr>
          <w:p w14:paraId="2E06FE00" w14:textId="0A70854B" w:rsidR="00993355" w:rsidRDefault="004535BE" w:rsidP="00FA6187">
            <w:pPr>
              <w:pStyle w:val="CETBodytext"/>
              <w:ind w:right="-1"/>
              <w:rPr>
                <w:rFonts w:cs="Arial"/>
                <w:szCs w:val="18"/>
                <w:lang w:val="en-GB"/>
              </w:rPr>
            </w:pPr>
            <w:r>
              <w:rPr>
                <w:rFonts w:cs="Arial"/>
                <w:szCs w:val="18"/>
                <w:lang w:val="en-GB"/>
              </w:rPr>
              <w:t>0.70</w:t>
            </w:r>
          </w:p>
        </w:tc>
        <w:tc>
          <w:tcPr>
            <w:tcW w:w="1614" w:type="dxa"/>
            <w:shd w:val="clear" w:color="auto" w:fill="FFFFFF"/>
          </w:tcPr>
          <w:p w14:paraId="1C6D6575" w14:textId="3F8BC839" w:rsidR="00993355" w:rsidRDefault="004535BE" w:rsidP="00FA6187">
            <w:pPr>
              <w:pStyle w:val="CETBodytext"/>
              <w:ind w:right="-1"/>
              <w:rPr>
                <w:rFonts w:cs="Arial"/>
                <w:szCs w:val="18"/>
                <w:lang w:val="en-GB"/>
              </w:rPr>
            </w:pPr>
            <w:r>
              <w:rPr>
                <w:rFonts w:cs="Arial"/>
                <w:szCs w:val="18"/>
                <w:lang w:val="en-GB"/>
              </w:rPr>
              <w:t>0.22</w:t>
            </w:r>
          </w:p>
        </w:tc>
        <w:tc>
          <w:tcPr>
            <w:tcW w:w="907" w:type="dxa"/>
            <w:shd w:val="clear" w:color="auto" w:fill="FFFFFF"/>
          </w:tcPr>
          <w:p w14:paraId="05ED81F4" w14:textId="177538F9" w:rsidR="00993355" w:rsidRDefault="004535BE" w:rsidP="00FA6187">
            <w:pPr>
              <w:pStyle w:val="CETBodytext"/>
              <w:ind w:right="-1"/>
              <w:rPr>
                <w:rFonts w:cs="Arial"/>
                <w:szCs w:val="18"/>
                <w:lang w:val="en-GB"/>
              </w:rPr>
            </w:pPr>
            <w:r>
              <w:rPr>
                <w:rFonts w:cs="Arial"/>
                <w:szCs w:val="18"/>
                <w:lang w:val="en-GB"/>
              </w:rPr>
              <w:t>0.08</w:t>
            </w:r>
          </w:p>
        </w:tc>
      </w:tr>
      <w:tr w:rsidR="00993355" w:rsidRPr="00B57B36" w14:paraId="5BADE7BC" w14:textId="77777777" w:rsidTr="004535BE">
        <w:tc>
          <w:tcPr>
            <w:tcW w:w="1812" w:type="dxa"/>
            <w:shd w:val="clear" w:color="auto" w:fill="FFFFFF"/>
          </w:tcPr>
          <w:p w14:paraId="3D6596E3" w14:textId="0D670129" w:rsidR="00993355" w:rsidRDefault="00993355" w:rsidP="00FA6187">
            <w:pPr>
              <w:pStyle w:val="CETBodytext"/>
              <w:ind w:right="-1"/>
              <w:rPr>
                <w:rFonts w:cs="Arial"/>
                <w:szCs w:val="18"/>
                <w:lang w:val="en-GB"/>
              </w:rPr>
            </w:pPr>
            <w:r>
              <w:rPr>
                <w:rFonts w:cs="Arial"/>
                <w:szCs w:val="18"/>
                <w:lang w:val="en-GB"/>
              </w:rPr>
              <w:t>High</w:t>
            </w:r>
          </w:p>
        </w:tc>
        <w:tc>
          <w:tcPr>
            <w:tcW w:w="2133" w:type="dxa"/>
            <w:shd w:val="clear" w:color="auto" w:fill="FFFFFF"/>
          </w:tcPr>
          <w:p w14:paraId="7D5A5AF4" w14:textId="03E60EFD" w:rsidR="00993355" w:rsidRDefault="004535BE" w:rsidP="00FA6187">
            <w:pPr>
              <w:pStyle w:val="CETBodytext"/>
              <w:ind w:right="-1"/>
              <w:rPr>
                <w:rFonts w:cs="Arial"/>
                <w:szCs w:val="18"/>
                <w:lang w:val="en-GB"/>
              </w:rPr>
            </w:pPr>
            <w:r>
              <w:rPr>
                <w:rFonts w:cs="Arial"/>
                <w:szCs w:val="18"/>
                <w:lang w:val="en-GB"/>
              </w:rPr>
              <w:t>High</w:t>
            </w:r>
          </w:p>
        </w:tc>
        <w:tc>
          <w:tcPr>
            <w:tcW w:w="1614" w:type="dxa"/>
            <w:shd w:val="clear" w:color="auto" w:fill="FFFFFF"/>
          </w:tcPr>
          <w:p w14:paraId="0E603057" w14:textId="771D7261" w:rsidR="00993355" w:rsidRDefault="004535BE" w:rsidP="00FA6187">
            <w:pPr>
              <w:pStyle w:val="CETBodytext"/>
              <w:ind w:right="-1"/>
              <w:rPr>
                <w:rFonts w:cs="Arial"/>
                <w:szCs w:val="18"/>
                <w:lang w:val="en-GB"/>
              </w:rPr>
            </w:pPr>
            <w:r>
              <w:rPr>
                <w:rFonts w:cs="Arial"/>
                <w:szCs w:val="18"/>
                <w:lang w:val="en-GB"/>
              </w:rPr>
              <w:t>0.85</w:t>
            </w:r>
          </w:p>
        </w:tc>
        <w:tc>
          <w:tcPr>
            <w:tcW w:w="1614" w:type="dxa"/>
            <w:shd w:val="clear" w:color="auto" w:fill="FFFFFF"/>
          </w:tcPr>
          <w:p w14:paraId="1B2B2A16" w14:textId="6190C8A6" w:rsidR="00993355" w:rsidRDefault="004535BE" w:rsidP="00FA6187">
            <w:pPr>
              <w:pStyle w:val="CETBodytext"/>
              <w:ind w:right="-1"/>
              <w:rPr>
                <w:rFonts w:cs="Arial"/>
                <w:szCs w:val="18"/>
                <w:lang w:val="en-GB"/>
              </w:rPr>
            </w:pPr>
            <w:r>
              <w:rPr>
                <w:rFonts w:cs="Arial"/>
                <w:szCs w:val="18"/>
                <w:lang w:val="en-GB"/>
              </w:rPr>
              <w:t>0.13</w:t>
            </w:r>
          </w:p>
        </w:tc>
        <w:tc>
          <w:tcPr>
            <w:tcW w:w="907" w:type="dxa"/>
            <w:shd w:val="clear" w:color="auto" w:fill="FFFFFF"/>
          </w:tcPr>
          <w:p w14:paraId="61FA5579" w14:textId="4ABC3AFD" w:rsidR="00993355" w:rsidRDefault="004535BE" w:rsidP="00FA6187">
            <w:pPr>
              <w:pStyle w:val="CETBodytext"/>
              <w:ind w:right="-1"/>
              <w:rPr>
                <w:rFonts w:cs="Arial"/>
                <w:szCs w:val="18"/>
                <w:lang w:val="en-GB"/>
              </w:rPr>
            </w:pPr>
            <w:r>
              <w:rPr>
                <w:rFonts w:cs="Arial"/>
                <w:szCs w:val="18"/>
                <w:lang w:val="en-GB"/>
              </w:rPr>
              <w:t>0.02</w:t>
            </w:r>
          </w:p>
        </w:tc>
      </w:tr>
      <w:tr w:rsidR="00993355" w:rsidRPr="00B57B36" w14:paraId="28C6E350" w14:textId="77777777" w:rsidTr="004535BE">
        <w:tc>
          <w:tcPr>
            <w:tcW w:w="1812" w:type="dxa"/>
            <w:shd w:val="clear" w:color="auto" w:fill="FFFFFF"/>
          </w:tcPr>
          <w:p w14:paraId="1717955C" w14:textId="5CC8DE0C" w:rsidR="00993355" w:rsidRDefault="00993355" w:rsidP="00FA6187">
            <w:pPr>
              <w:pStyle w:val="CETBodytext"/>
              <w:ind w:right="-1"/>
              <w:rPr>
                <w:rFonts w:cs="Arial"/>
                <w:szCs w:val="18"/>
                <w:lang w:val="en-GB"/>
              </w:rPr>
            </w:pPr>
            <w:r>
              <w:rPr>
                <w:rFonts w:cs="Arial"/>
                <w:szCs w:val="18"/>
                <w:lang w:val="en-GB"/>
              </w:rPr>
              <w:t>High</w:t>
            </w:r>
          </w:p>
        </w:tc>
        <w:tc>
          <w:tcPr>
            <w:tcW w:w="2133" w:type="dxa"/>
            <w:shd w:val="clear" w:color="auto" w:fill="FFFFFF"/>
          </w:tcPr>
          <w:p w14:paraId="7EC9B2CD" w14:textId="66FF1D40" w:rsidR="00993355" w:rsidRDefault="004535BE" w:rsidP="00FA6187">
            <w:pPr>
              <w:pStyle w:val="CETBodytext"/>
              <w:ind w:right="-1"/>
              <w:rPr>
                <w:rFonts w:cs="Arial"/>
                <w:szCs w:val="18"/>
                <w:lang w:val="en-GB"/>
              </w:rPr>
            </w:pPr>
            <w:r>
              <w:rPr>
                <w:rFonts w:cs="Arial"/>
                <w:szCs w:val="18"/>
                <w:lang w:val="en-GB"/>
              </w:rPr>
              <w:t>Low</w:t>
            </w:r>
          </w:p>
        </w:tc>
        <w:tc>
          <w:tcPr>
            <w:tcW w:w="1614" w:type="dxa"/>
            <w:shd w:val="clear" w:color="auto" w:fill="FFFFFF"/>
          </w:tcPr>
          <w:p w14:paraId="1ADD4E26" w14:textId="43C35773" w:rsidR="00993355" w:rsidRDefault="004535BE" w:rsidP="00FA6187">
            <w:pPr>
              <w:pStyle w:val="CETBodytext"/>
              <w:ind w:right="-1"/>
              <w:rPr>
                <w:rFonts w:cs="Arial"/>
                <w:szCs w:val="18"/>
                <w:lang w:val="en-GB"/>
              </w:rPr>
            </w:pPr>
            <w:r>
              <w:rPr>
                <w:rFonts w:cs="Arial"/>
                <w:szCs w:val="18"/>
                <w:lang w:val="en-GB"/>
              </w:rPr>
              <w:t>0.20</w:t>
            </w:r>
          </w:p>
        </w:tc>
        <w:tc>
          <w:tcPr>
            <w:tcW w:w="1614" w:type="dxa"/>
            <w:shd w:val="clear" w:color="auto" w:fill="FFFFFF"/>
          </w:tcPr>
          <w:p w14:paraId="370BBC08" w14:textId="1D198A6E" w:rsidR="00993355" w:rsidRDefault="004535BE" w:rsidP="00FA6187">
            <w:pPr>
              <w:pStyle w:val="CETBodytext"/>
              <w:ind w:right="-1"/>
              <w:rPr>
                <w:rFonts w:cs="Arial"/>
                <w:szCs w:val="18"/>
                <w:lang w:val="en-GB"/>
              </w:rPr>
            </w:pPr>
            <w:r>
              <w:rPr>
                <w:rFonts w:cs="Arial"/>
                <w:szCs w:val="18"/>
                <w:lang w:val="en-GB"/>
              </w:rPr>
              <w:t>0.75</w:t>
            </w:r>
          </w:p>
        </w:tc>
        <w:tc>
          <w:tcPr>
            <w:tcW w:w="907" w:type="dxa"/>
            <w:shd w:val="clear" w:color="auto" w:fill="FFFFFF"/>
          </w:tcPr>
          <w:p w14:paraId="58394989" w14:textId="7F0F1CEC" w:rsidR="00993355" w:rsidRDefault="004535BE" w:rsidP="00FA6187">
            <w:pPr>
              <w:pStyle w:val="CETBodytext"/>
              <w:ind w:right="-1"/>
              <w:rPr>
                <w:rFonts w:cs="Arial"/>
                <w:szCs w:val="18"/>
                <w:lang w:val="en-GB"/>
              </w:rPr>
            </w:pPr>
            <w:r>
              <w:rPr>
                <w:rFonts w:cs="Arial"/>
                <w:szCs w:val="18"/>
                <w:lang w:val="en-GB"/>
              </w:rPr>
              <w:t>0.05</w:t>
            </w:r>
          </w:p>
        </w:tc>
      </w:tr>
    </w:tbl>
    <w:p w14:paraId="19C4FF46" w14:textId="550E7F54" w:rsidR="004535BE" w:rsidRPr="00B57B36" w:rsidRDefault="004535BE" w:rsidP="00423317">
      <w:pPr>
        <w:pStyle w:val="CETTabletitle"/>
      </w:pPr>
      <w:r w:rsidRPr="00B57B36">
        <w:t xml:space="preserve">Table </w:t>
      </w:r>
      <w:r w:rsidR="00D236D7">
        <w:t>5</w:t>
      </w:r>
      <w:r w:rsidRPr="00B57B36">
        <w:t xml:space="preserve">: </w:t>
      </w:r>
      <w:r w:rsidR="00EA779A">
        <w:t>Ammonia r</w:t>
      </w:r>
      <w:r>
        <w:t xml:space="preserve">elease </w:t>
      </w:r>
      <w:r w:rsidR="00572C47">
        <w:t>severity</w:t>
      </w:r>
      <w:r w:rsidR="00423317">
        <w:t>.</w:t>
      </w:r>
    </w:p>
    <w:tbl>
      <w:tblPr>
        <w:tblW w:w="8505" w:type="dxa"/>
        <w:tblBorders>
          <w:top w:val="single" w:sz="12" w:space="0" w:color="008000"/>
          <w:bottom w:val="single" w:sz="12" w:space="0" w:color="008000"/>
        </w:tblBorders>
        <w:shd w:val="clear" w:color="auto" w:fill="FFFFFF"/>
        <w:tblLayout w:type="fixed"/>
        <w:tblCellMar>
          <w:left w:w="0" w:type="dxa"/>
          <w:right w:w="0" w:type="dxa"/>
        </w:tblCellMar>
        <w:tblLook w:val="00A0" w:firstRow="1" w:lastRow="0" w:firstColumn="1" w:lastColumn="0" w:noHBand="0" w:noVBand="0"/>
      </w:tblPr>
      <w:tblGrid>
        <w:gridCol w:w="2151"/>
        <w:gridCol w:w="968"/>
        <w:gridCol w:w="2410"/>
        <w:gridCol w:w="2976"/>
      </w:tblGrid>
      <w:tr w:rsidR="004535BE" w:rsidRPr="00B57B36" w14:paraId="240927E9" w14:textId="77777777" w:rsidTr="009C5907">
        <w:tc>
          <w:tcPr>
            <w:tcW w:w="2151" w:type="dxa"/>
            <w:tcBorders>
              <w:top w:val="single" w:sz="12" w:space="0" w:color="008000"/>
              <w:bottom w:val="single" w:sz="6" w:space="0" w:color="008000"/>
            </w:tcBorders>
            <w:shd w:val="clear" w:color="auto" w:fill="FFFFFF"/>
          </w:tcPr>
          <w:p w14:paraId="3581D01F" w14:textId="6F9776ED" w:rsidR="004535BE" w:rsidRPr="005C7511" w:rsidRDefault="004535BE" w:rsidP="00FA6187">
            <w:pPr>
              <w:pStyle w:val="CETBodytext"/>
              <w:rPr>
                <w:lang w:val="en-GB"/>
              </w:rPr>
            </w:pPr>
            <w:r>
              <w:rPr>
                <w:lang w:val="en-GB"/>
              </w:rPr>
              <w:t>Containment state</w:t>
            </w:r>
          </w:p>
        </w:tc>
        <w:tc>
          <w:tcPr>
            <w:tcW w:w="968" w:type="dxa"/>
            <w:tcBorders>
              <w:top w:val="single" w:sz="12" w:space="0" w:color="008000"/>
              <w:bottom w:val="single" w:sz="6" w:space="0" w:color="008000"/>
            </w:tcBorders>
            <w:shd w:val="clear" w:color="auto" w:fill="FFFFFF"/>
          </w:tcPr>
          <w:p w14:paraId="501A137C" w14:textId="3C35D1D7" w:rsidR="004535BE" w:rsidRPr="005C7511" w:rsidRDefault="004535BE" w:rsidP="00FA6187">
            <w:pPr>
              <w:pStyle w:val="CETBodytext"/>
              <w:rPr>
                <w:lang w:val="en-GB"/>
              </w:rPr>
            </w:pPr>
            <w:r>
              <w:rPr>
                <w:lang w:val="en-GB"/>
              </w:rPr>
              <w:t>None</w:t>
            </w:r>
          </w:p>
        </w:tc>
        <w:tc>
          <w:tcPr>
            <w:tcW w:w="2410" w:type="dxa"/>
            <w:tcBorders>
              <w:top w:val="single" w:sz="12" w:space="0" w:color="008000"/>
              <w:bottom w:val="single" w:sz="6" w:space="0" w:color="008000"/>
            </w:tcBorders>
            <w:shd w:val="clear" w:color="auto" w:fill="FFFFFF"/>
          </w:tcPr>
          <w:p w14:paraId="136A5284" w14:textId="1B50E841" w:rsidR="004535BE" w:rsidRDefault="004535BE" w:rsidP="00FA6187">
            <w:pPr>
              <w:pStyle w:val="CETBodytext"/>
              <w:rPr>
                <w:lang w:val="en-GB"/>
              </w:rPr>
            </w:pPr>
            <w:r>
              <w:rPr>
                <w:lang w:val="en-GB"/>
              </w:rPr>
              <w:t>Small</w:t>
            </w:r>
            <w:r w:rsidR="009C5907">
              <w:rPr>
                <w:lang w:val="en-GB"/>
              </w:rPr>
              <w:t xml:space="preserve"> </w:t>
            </w:r>
            <w:r w:rsidR="009C5907" w:rsidRPr="003E3F75">
              <w:rPr>
                <w:color w:val="000000" w:themeColor="text1"/>
                <w:lang w:val="en-GB"/>
              </w:rPr>
              <w:t>(few minutes release)</w:t>
            </w:r>
          </w:p>
        </w:tc>
        <w:tc>
          <w:tcPr>
            <w:tcW w:w="2976" w:type="dxa"/>
            <w:tcBorders>
              <w:top w:val="single" w:sz="12" w:space="0" w:color="008000"/>
              <w:bottom w:val="single" w:sz="6" w:space="0" w:color="008000"/>
            </w:tcBorders>
            <w:shd w:val="clear" w:color="auto" w:fill="FFFFFF"/>
          </w:tcPr>
          <w:p w14:paraId="70EC5CF4" w14:textId="75C6DCA5" w:rsidR="004535BE" w:rsidRDefault="004535BE" w:rsidP="00FA6187">
            <w:pPr>
              <w:pStyle w:val="CETBodytext"/>
              <w:rPr>
                <w:lang w:val="en-GB"/>
              </w:rPr>
            </w:pPr>
            <w:r>
              <w:rPr>
                <w:lang w:val="en-GB"/>
              </w:rPr>
              <w:t>Large</w:t>
            </w:r>
            <w:r w:rsidR="009C5907">
              <w:rPr>
                <w:lang w:val="en-GB"/>
              </w:rPr>
              <w:t xml:space="preserve"> </w:t>
            </w:r>
            <w:r w:rsidR="009C5907" w:rsidRPr="003E3F75">
              <w:rPr>
                <w:color w:val="000000" w:themeColor="text1"/>
                <w:lang w:val="en-GB"/>
              </w:rPr>
              <w:t>(several minutes release)</w:t>
            </w:r>
          </w:p>
        </w:tc>
      </w:tr>
      <w:tr w:rsidR="004535BE" w:rsidRPr="00B57B36" w14:paraId="24671B20" w14:textId="77777777" w:rsidTr="009C5907">
        <w:tc>
          <w:tcPr>
            <w:tcW w:w="2151" w:type="dxa"/>
            <w:shd w:val="clear" w:color="auto" w:fill="FFFFFF"/>
          </w:tcPr>
          <w:p w14:paraId="0E4CE66C" w14:textId="7F9EED4B" w:rsidR="004535BE" w:rsidRPr="00B57B36" w:rsidRDefault="004535BE" w:rsidP="00FA6187">
            <w:pPr>
              <w:pStyle w:val="CETBodytext"/>
              <w:rPr>
                <w:lang w:val="en-GB"/>
              </w:rPr>
            </w:pPr>
            <w:r>
              <w:rPr>
                <w:lang w:val="en-GB"/>
              </w:rPr>
              <w:t>Effective</w:t>
            </w:r>
          </w:p>
        </w:tc>
        <w:tc>
          <w:tcPr>
            <w:tcW w:w="968" w:type="dxa"/>
            <w:shd w:val="clear" w:color="auto" w:fill="FFFFFF"/>
          </w:tcPr>
          <w:p w14:paraId="3730695E" w14:textId="77777777" w:rsidR="004535BE" w:rsidRPr="00B57B36" w:rsidRDefault="004535BE" w:rsidP="00FA6187">
            <w:pPr>
              <w:pStyle w:val="CETBodytext"/>
              <w:rPr>
                <w:lang w:val="en-GB"/>
              </w:rPr>
            </w:pPr>
            <w:r>
              <w:t>High</w:t>
            </w:r>
          </w:p>
        </w:tc>
        <w:tc>
          <w:tcPr>
            <w:tcW w:w="2410" w:type="dxa"/>
            <w:shd w:val="clear" w:color="auto" w:fill="FFFFFF"/>
          </w:tcPr>
          <w:p w14:paraId="57471476" w14:textId="77777777" w:rsidR="004535BE" w:rsidRDefault="004535BE" w:rsidP="00FA6187">
            <w:pPr>
              <w:pStyle w:val="CETBodytext"/>
            </w:pPr>
            <w:r>
              <w:t>0.97</w:t>
            </w:r>
          </w:p>
        </w:tc>
        <w:tc>
          <w:tcPr>
            <w:tcW w:w="2976" w:type="dxa"/>
            <w:shd w:val="clear" w:color="auto" w:fill="FFFFFF"/>
          </w:tcPr>
          <w:p w14:paraId="5CE8E07C" w14:textId="77777777" w:rsidR="004535BE" w:rsidRDefault="004535BE" w:rsidP="00FA6187">
            <w:pPr>
              <w:pStyle w:val="CETBodytext"/>
            </w:pPr>
            <w:r>
              <w:t>0.03</w:t>
            </w:r>
          </w:p>
        </w:tc>
      </w:tr>
      <w:tr w:rsidR="004535BE" w:rsidRPr="00B57B36" w14:paraId="474C77DD" w14:textId="77777777" w:rsidTr="009C5907">
        <w:tc>
          <w:tcPr>
            <w:tcW w:w="2151" w:type="dxa"/>
            <w:shd w:val="clear" w:color="auto" w:fill="FFFFFF"/>
          </w:tcPr>
          <w:p w14:paraId="228858BE" w14:textId="11B3ADBB" w:rsidR="004535BE" w:rsidRDefault="004535BE" w:rsidP="00FA6187">
            <w:pPr>
              <w:pStyle w:val="CETBodytext"/>
              <w:ind w:right="-1"/>
              <w:rPr>
                <w:rFonts w:cs="Arial"/>
                <w:szCs w:val="18"/>
                <w:lang w:val="en-GB"/>
              </w:rPr>
            </w:pPr>
            <w:r>
              <w:rPr>
                <w:rFonts w:cs="Arial"/>
                <w:szCs w:val="18"/>
                <w:lang w:val="en-GB"/>
              </w:rPr>
              <w:t>Degraded</w:t>
            </w:r>
          </w:p>
        </w:tc>
        <w:tc>
          <w:tcPr>
            <w:tcW w:w="968" w:type="dxa"/>
            <w:shd w:val="clear" w:color="auto" w:fill="FFFFFF"/>
          </w:tcPr>
          <w:p w14:paraId="63C13AC0" w14:textId="77777777" w:rsidR="004535BE" w:rsidRPr="00B57B36" w:rsidRDefault="004535BE" w:rsidP="00FA6187">
            <w:pPr>
              <w:pStyle w:val="CETBodytext"/>
              <w:ind w:right="-1"/>
              <w:rPr>
                <w:rFonts w:cs="Arial"/>
                <w:szCs w:val="18"/>
                <w:lang w:val="en-GB"/>
              </w:rPr>
            </w:pPr>
            <w:r>
              <w:rPr>
                <w:rFonts w:cs="Arial"/>
                <w:szCs w:val="18"/>
                <w:lang w:val="en-GB"/>
              </w:rPr>
              <w:t>Low</w:t>
            </w:r>
          </w:p>
        </w:tc>
        <w:tc>
          <w:tcPr>
            <w:tcW w:w="2410" w:type="dxa"/>
            <w:shd w:val="clear" w:color="auto" w:fill="FFFFFF"/>
          </w:tcPr>
          <w:p w14:paraId="06F7CDC4" w14:textId="77777777" w:rsidR="004535BE" w:rsidRDefault="004535BE" w:rsidP="00FA6187">
            <w:pPr>
              <w:pStyle w:val="CETBodytext"/>
              <w:ind w:right="-1"/>
              <w:rPr>
                <w:rFonts w:cs="Arial"/>
                <w:szCs w:val="18"/>
                <w:lang w:val="en-GB"/>
              </w:rPr>
            </w:pPr>
            <w:r>
              <w:rPr>
                <w:rFonts w:cs="Arial"/>
                <w:szCs w:val="18"/>
                <w:lang w:val="en-GB"/>
              </w:rPr>
              <w:t>0.70</w:t>
            </w:r>
          </w:p>
        </w:tc>
        <w:tc>
          <w:tcPr>
            <w:tcW w:w="2976" w:type="dxa"/>
            <w:shd w:val="clear" w:color="auto" w:fill="FFFFFF"/>
          </w:tcPr>
          <w:p w14:paraId="6B9D8EE6" w14:textId="77777777" w:rsidR="004535BE" w:rsidRDefault="004535BE" w:rsidP="00FA6187">
            <w:pPr>
              <w:pStyle w:val="CETBodytext"/>
              <w:ind w:right="-1"/>
              <w:rPr>
                <w:rFonts w:cs="Arial"/>
                <w:szCs w:val="18"/>
                <w:lang w:val="en-GB"/>
              </w:rPr>
            </w:pPr>
            <w:r>
              <w:rPr>
                <w:rFonts w:cs="Arial"/>
                <w:szCs w:val="18"/>
                <w:lang w:val="en-GB"/>
              </w:rPr>
              <w:t>0.22</w:t>
            </w:r>
          </w:p>
        </w:tc>
      </w:tr>
      <w:tr w:rsidR="004535BE" w:rsidRPr="00B57B36" w14:paraId="3E2AA630" w14:textId="77777777" w:rsidTr="009C5907">
        <w:tc>
          <w:tcPr>
            <w:tcW w:w="2151" w:type="dxa"/>
            <w:shd w:val="clear" w:color="auto" w:fill="FFFFFF"/>
          </w:tcPr>
          <w:p w14:paraId="5B9F3E96" w14:textId="4AA274B8" w:rsidR="004535BE" w:rsidRDefault="004535BE" w:rsidP="00423317">
            <w:pPr>
              <w:pStyle w:val="CETBodytext"/>
              <w:rPr>
                <w:rFonts w:cs="Arial"/>
                <w:szCs w:val="18"/>
                <w:lang w:val="en-GB"/>
              </w:rPr>
            </w:pPr>
            <w:r>
              <w:rPr>
                <w:rFonts w:cs="Arial"/>
                <w:szCs w:val="18"/>
                <w:lang w:val="en-GB"/>
              </w:rPr>
              <w:t>Failed</w:t>
            </w:r>
          </w:p>
        </w:tc>
        <w:tc>
          <w:tcPr>
            <w:tcW w:w="968" w:type="dxa"/>
            <w:shd w:val="clear" w:color="auto" w:fill="FFFFFF"/>
          </w:tcPr>
          <w:p w14:paraId="0730F084" w14:textId="77777777" w:rsidR="004535BE" w:rsidRDefault="004535BE" w:rsidP="00423317">
            <w:pPr>
              <w:pStyle w:val="CETBodytext"/>
              <w:rPr>
                <w:rFonts w:cs="Arial"/>
                <w:szCs w:val="18"/>
                <w:lang w:val="en-GB"/>
              </w:rPr>
            </w:pPr>
            <w:r>
              <w:rPr>
                <w:rFonts w:cs="Arial"/>
                <w:szCs w:val="18"/>
                <w:lang w:val="en-GB"/>
              </w:rPr>
              <w:t>High</w:t>
            </w:r>
          </w:p>
        </w:tc>
        <w:tc>
          <w:tcPr>
            <w:tcW w:w="2410" w:type="dxa"/>
            <w:shd w:val="clear" w:color="auto" w:fill="FFFFFF"/>
          </w:tcPr>
          <w:p w14:paraId="7B879A44" w14:textId="77777777" w:rsidR="004535BE" w:rsidRDefault="004535BE" w:rsidP="00423317">
            <w:pPr>
              <w:pStyle w:val="CETBodytext"/>
              <w:rPr>
                <w:rFonts w:cs="Arial"/>
                <w:szCs w:val="18"/>
                <w:lang w:val="en-GB"/>
              </w:rPr>
            </w:pPr>
            <w:r>
              <w:rPr>
                <w:rFonts w:cs="Arial"/>
                <w:szCs w:val="18"/>
                <w:lang w:val="en-GB"/>
              </w:rPr>
              <w:t>0.85</w:t>
            </w:r>
          </w:p>
        </w:tc>
        <w:tc>
          <w:tcPr>
            <w:tcW w:w="2976" w:type="dxa"/>
            <w:shd w:val="clear" w:color="auto" w:fill="FFFFFF"/>
          </w:tcPr>
          <w:p w14:paraId="1C362A40" w14:textId="77777777" w:rsidR="004535BE" w:rsidRDefault="004535BE" w:rsidP="00423317">
            <w:pPr>
              <w:pStyle w:val="CETBodytext"/>
              <w:rPr>
                <w:rFonts w:cs="Arial"/>
                <w:szCs w:val="18"/>
                <w:lang w:val="en-GB"/>
              </w:rPr>
            </w:pPr>
            <w:r>
              <w:rPr>
                <w:rFonts w:cs="Arial"/>
                <w:szCs w:val="18"/>
                <w:lang w:val="en-GB"/>
              </w:rPr>
              <w:t>0.13</w:t>
            </w:r>
          </w:p>
        </w:tc>
      </w:tr>
    </w:tbl>
    <w:p w14:paraId="3ABFE239" w14:textId="5C6B24D9" w:rsidR="004535BE" w:rsidRDefault="004535BE" w:rsidP="00B12736">
      <w:pPr>
        <w:pStyle w:val="CETheadingx"/>
      </w:pPr>
      <w:r>
        <w:t>Scenario evolution</w:t>
      </w:r>
    </w:p>
    <w:p w14:paraId="7B919AAF" w14:textId="0E9EB5E7" w:rsidR="004535BE" w:rsidRPr="004535BE" w:rsidRDefault="004535BE" w:rsidP="004535BE">
      <w:pPr>
        <w:pStyle w:val="CETBodytext"/>
        <w:rPr>
          <w:lang w:val="en-GB"/>
        </w:rPr>
      </w:pPr>
      <w:r w:rsidRPr="004535BE">
        <w:rPr>
          <w:lang w:val="en-GB"/>
        </w:rPr>
        <w:t xml:space="preserve">The case study scenario introduces </w:t>
      </w:r>
      <w:r w:rsidR="001138E4">
        <w:rPr>
          <w:lang w:val="en-GB"/>
        </w:rPr>
        <w:t xml:space="preserve">severe </w:t>
      </w:r>
      <w:r w:rsidRPr="004535BE">
        <w:rPr>
          <w:lang w:val="en-GB"/>
        </w:rPr>
        <w:t>operational stress</w:t>
      </w:r>
      <w:r w:rsidR="001138E4">
        <w:rPr>
          <w:lang w:val="en-GB"/>
        </w:rPr>
        <w:t>, even though</w:t>
      </w:r>
      <w:r w:rsidRPr="004535BE">
        <w:rPr>
          <w:lang w:val="en-GB"/>
        </w:rPr>
        <w:t xml:space="preserve"> without explicit hardware failure.</w:t>
      </w:r>
    </w:p>
    <w:p w14:paraId="41761F4B" w14:textId="0CF597C2" w:rsidR="009D683F" w:rsidRPr="006064B9" w:rsidRDefault="004535BE" w:rsidP="00C0106B">
      <w:pPr>
        <w:pStyle w:val="CETnumberingbullets"/>
        <w:ind w:left="426"/>
        <w:jc w:val="both"/>
        <w:rPr>
          <w:rFonts w:ascii="Cambria Math" w:hAnsi="Cambria Math"/>
          <w:i/>
        </w:rPr>
      </w:pPr>
      <w:r w:rsidRPr="004535BE">
        <w:t>Step 1 – Posterior over containment barrier</w:t>
      </w:r>
      <w:r w:rsidR="006064B9">
        <w:t xml:space="preserve">. </w:t>
      </w:r>
      <w:r w:rsidRPr="006064B9">
        <w:t>From the CP</w:t>
      </w:r>
      <w:r w:rsidR="00AC32AA">
        <w:t>r</w:t>
      </w:r>
      <w:r w:rsidRPr="006064B9">
        <w:t xml:space="preserve">D: </w:t>
      </w:r>
      <w:r w:rsidR="00902D55" w:rsidRPr="006064B9">
        <w:t xml:space="preserve"> </w:t>
      </w:r>
      <w:r w:rsidRPr="006064B9">
        <w:rPr>
          <w:rFonts w:ascii="Cambria Math" w:hAnsi="Cambria Math"/>
          <w:i/>
        </w:rPr>
        <w:t>P</w:t>
      </w:r>
      <w:r w:rsidR="001B2772">
        <w:rPr>
          <w:rFonts w:ascii="Cambria Math" w:hAnsi="Cambria Math"/>
          <w:i/>
        </w:rPr>
        <w:t>r</w:t>
      </w:r>
      <w:r w:rsidRPr="006064B9">
        <w:rPr>
          <w:rFonts w:ascii="Cambria Math" w:hAnsi="Cambria Math"/>
          <w:i/>
        </w:rPr>
        <w:t>(B</w:t>
      </w:r>
      <w:r w:rsidRPr="006064B9">
        <w:rPr>
          <w:rFonts w:ascii="Cambria Math" w:hAnsi="Cambria Math" w:cs="Cambria Math"/>
          <w:i/>
        </w:rPr>
        <w:t>∣</w:t>
      </w:r>
      <w:r w:rsidRPr="006064B9">
        <w:rPr>
          <w:rFonts w:ascii="Cambria Math" w:hAnsi="Cambria Math"/>
          <w:i/>
        </w:rPr>
        <w:t>P=High,C=Low)=[0.20,0.75,0.05]</w:t>
      </w:r>
    </w:p>
    <w:p w14:paraId="2D95CA19" w14:textId="51F90D2D" w:rsidR="004535BE" w:rsidRPr="006064B9" w:rsidRDefault="004535BE" w:rsidP="00CE56CE">
      <w:pPr>
        <w:pStyle w:val="CETnumberingbullets"/>
        <w:ind w:left="426"/>
        <w:jc w:val="both"/>
        <w:rPr>
          <w:rFonts w:ascii="Cambria Math" w:hAnsi="Cambria Math"/>
          <w:i/>
        </w:rPr>
      </w:pPr>
      <w:r>
        <w:t xml:space="preserve">Step 2 – Posterior over release </w:t>
      </w:r>
      <w:r w:rsidR="00572C47">
        <w:t>severity</w:t>
      </w:r>
      <w:r w:rsidR="006064B9">
        <w:t xml:space="preserve">. </w:t>
      </w:r>
      <w:r w:rsidRPr="006064B9">
        <w:t>Using marginalization:</w:t>
      </w:r>
      <w:r w:rsidR="00902D55" w:rsidRPr="006064B9">
        <w:t xml:space="preserve"> </w:t>
      </w:r>
      <w:r w:rsidRPr="006064B9">
        <w:rPr>
          <w:rFonts w:ascii="Cambria Math" w:hAnsi="Cambria Math"/>
          <w:i/>
        </w:rPr>
        <w:t>P</w:t>
      </w:r>
      <w:r w:rsidR="001B2772">
        <w:rPr>
          <w:rFonts w:ascii="Cambria Math" w:hAnsi="Cambria Math"/>
          <w:i/>
        </w:rPr>
        <w:t>r</w:t>
      </w:r>
      <w:r w:rsidRPr="006064B9">
        <w:rPr>
          <w:rFonts w:ascii="Cambria Math" w:hAnsi="Cambria Math"/>
          <w:i/>
        </w:rPr>
        <w:t>(R|P,C)=Σ</w:t>
      </w:r>
      <w:r w:rsidRPr="006064B9">
        <w:rPr>
          <w:rFonts w:ascii="Cambria Math" w:hAnsi="Cambria Math"/>
          <w:i/>
          <w:vertAlign w:val="subscript"/>
        </w:rPr>
        <w:t>B</w:t>
      </w:r>
      <w:r w:rsidRPr="006064B9">
        <w:rPr>
          <w:rFonts w:ascii="Cambria Math" w:hAnsi="Cambria Math"/>
          <w:i/>
        </w:rPr>
        <w:t xml:space="preserve"> P</w:t>
      </w:r>
      <w:r w:rsidR="001B2772">
        <w:rPr>
          <w:rFonts w:ascii="Cambria Math" w:hAnsi="Cambria Math"/>
          <w:i/>
        </w:rPr>
        <w:t>r</w:t>
      </w:r>
      <w:r w:rsidRPr="006064B9">
        <w:rPr>
          <w:rFonts w:ascii="Cambria Math" w:hAnsi="Cambria Math"/>
          <w:i/>
        </w:rPr>
        <w:t>(R|B)P(B|P,C)</w:t>
      </w:r>
    </w:p>
    <w:p w14:paraId="0D74D2A1" w14:textId="771EDA67" w:rsidR="004535BE" w:rsidRPr="00965A03" w:rsidRDefault="00902D55" w:rsidP="004535BE">
      <w:pPr>
        <w:pStyle w:val="CETBodytext"/>
        <w:ind w:left="426"/>
      </w:pPr>
      <w:r>
        <w:rPr>
          <w:lang w:val="en-GB"/>
        </w:rPr>
        <w:t>The corresponding values are</w:t>
      </w:r>
      <w:r w:rsidR="004535BE">
        <w:rPr>
          <w:lang w:val="en-GB"/>
        </w:rPr>
        <w:t>:</w:t>
      </w:r>
      <w:r w:rsidR="00B74920">
        <w:rPr>
          <w:lang w:val="en-GB"/>
        </w:rPr>
        <w:t xml:space="preserve"> </w:t>
      </w:r>
      <w:r w:rsidR="004535BE" w:rsidRPr="00965A03">
        <w:t>P</w:t>
      </w:r>
      <w:r w:rsidR="005A1868" w:rsidRPr="00965A03">
        <w:t>r</w:t>
      </w:r>
      <w:r w:rsidR="004535BE" w:rsidRPr="00965A03">
        <w:t>(R=none) = 0.8405</w:t>
      </w:r>
      <w:r w:rsidRPr="00965A03">
        <w:t xml:space="preserve">;  </w:t>
      </w:r>
      <w:r w:rsidR="004535BE" w:rsidRPr="00965A03">
        <w:t>P</w:t>
      </w:r>
      <w:r w:rsidR="005A1868" w:rsidRPr="00965A03">
        <w:t>r</w:t>
      </w:r>
      <w:r w:rsidR="004535BE" w:rsidRPr="00965A03">
        <w:t>(R=Small) = 0.1245</w:t>
      </w:r>
      <w:r w:rsidRPr="00965A03">
        <w:t xml:space="preserve">,  </w:t>
      </w:r>
      <w:r w:rsidR="004535BE" w:rsidRPr="00965A03">
        <w:t>P</w:t>
      </w:r>
      <w:r w:rsidR="005A1868" w:rsidRPr="00965A03">
        <w:t>r</w:t>
      </w:r>
      <w:r w:rsidR="004535BE" w:rsidRPr="00965A03">
        <w:t>(R=Large) = 0.0350</w:t>
      </w:r>
      <w:r w:rsidRPr="00965A03">
        <w:t>.</w:t>
      </w:r>
    </w:p>
    <w:p w14:paraId="01115F74" w14:textId="56771991" w:rsidR="003F178B" w:rsidRDefault="003F178B" w:rsidP="003F178B">
      <w:pPr>
        <w:pStyle w:val="CETBodytext"/>
      </w:pPr>
      <w:r w:rsidRPr="004535BE">
        <w:rPr>
          <w:lang w:val="en-GB"/>
        </w:rPr>
        <w:t>Observed evidence</w:t>
      </w:r>
      <w:r>
        <w:rPr>
          <w:lang w:val="en-GB"/>
        </w:rPr>
        <w:t xml:space="preserve"> were categorized as </w:t>
      </w:r>
      <w:r w:rsidRPr="004535BE">
        <w:rPr>
          <w:lang w:val="en-GB"/>
        </w:rPr>
        <w:t>P=High,</w:t>
      </w:r>
      <w:r>
        <w:rPr>
          <w:lang w:val="en-GB"/>
        </w:rPr>
        <w:t xml:space="preserve"> </w:t>
      </w:r>
      <w:r w:rsidRPr="004535BE">
        <w:rPr>
          <w:lang w:val="en-GB"/>
        </w:rPr>
        <w:t>C=Low</w:t>
      </w:r>
      <w:r>
        <w:rPr>
          <w:lang w:val="en-GB"/>
        </w:rPr>
        <w:t xml:space="preserve">. </w:t>
      </w:r>
      <w:r w:rsidR="00A56CA1" w:rsidRPr="00A56CA1">
        <w:rPr>
          <w:lang w:val="en-GB"/>
        </w:rPr>
        <w:t>Given evidence of high pressure and low procedural compliance, posterior inference yields the following probabilities</w:t>
      </w:r>
      <w:r w:rsidR="001138E4">
        <w:rPr>
          <w:lang w:val="en-GB"/>
        </w:rPr>
        <w:t xml:space="preserve"> representing cautious estimate</w:t>
      </w:r>
      <w:r w:rsidR="00A56CA1" w:rsidRPr="00A56CA1">
        <w:rPr>
          <w:lang w:val="en-GB"/>
        </w:rPr>
        <w:t>:</w:t>
      </w:r>
      <w:r w:rsidR="001138E4">
        <w:rPr>
          <w:lang w:val="en-GB"/>
        </w:rPr>
        <w:t xml:space="preserve"> </w:t>
      </w:r>
      <w:r w:rsidR="00A56CA1" w:rsidRPr="00A56CA1">
        <w:t>No release: 0.8405</w:t>
      </w:r>
      <w:r w:rsidR="001138E4">
        <w:t xml:space="preserve">; </w:t>
      </w:r>
      <w:r w:rsidR="00A56CA1" w:rsidRPr="00A56CA1">
        <w:t>Small release: 0.1245</w:t>
      </w:r>
      <w:r w:rsidR="001138E4">
        <w:t xml:space="preserve">; </w:t>
      </w:r>
      <w:r w:rsidR="00A56CA1" w:rsidRPr="00A56CA1">
        <w:t>Large release: 0.0350</w:t>
      </w:r>
      <w:r>
        <w:t xml:space="preserve">. </w:t>
      </w:r>
      <w:r w:rsidR="00965A03">
        <w:t>The worked example shows that non-negligible release probabilities can arise solely from barrier degradation driven by operational stress and human factors.</w:t>
      </w:r>
    </w:p>
    <w:p w14:paraId="48795DE3" w14:textId="7DD68BF3" w:rsidR="00A56CA1" w:rsidRDefault="00A56CA1" w:rsidP="003F178B">
      <w:pPr>
        <w:pStyle w:val="CETBodytext"/>
        <w:spacing w:before="240" w:after="80"/>
      </w:pPr>
      <w:r w:rsidRPr="00B57B36">
        <w:t xml:space="preserve">Table </w:t>
      </w:r>
      <w:r w:rsidR="00D236D7">
        <w:t>6</w:t>
      </w:r>
      <w:r w:rsidRPr="00B57B36">
        <w:t xml:space="preserve">: </w:t>
      </w:r>
      <w:r w:rsidRPr="00A56CA1">
        <w:t>Transition for barrier degradation</w:t>
      </w:r>
      <w:r w:rsidR="00423317">
        <w:t>.</w:t>
      </w:r>
    </w:p>
    <w:tbl>
      <w:tblPr>
        <w:tblW w:w="7655"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268"/>
        <w:gridCol w:w="2127"/>
        <w:gridCol w:w="2268"/>
        <w:gridCol w:w="992"/>
      </w:tblGrid>
      <w:tr w:rsidR="00A56CA1" w:rsidRPr="00B57B36" w14:paraId="3EA36FB7" w14:textId="77777777" w:rsidTr="00FA6187">
        <w:tc>
          <w:tcPr>
            <w:tcW w:w="2268" w:type="dxa"/>
            <w:tcBorders>
              <w:top w:val="single" w:sz="12" w:space="0" w:color="008000"/>
              <w:bottom w:val="single" w:sz="6" w:space="0" w:color="008000"/>
            </w:tcBorders>
            <w:shd w:val="clear" w:color="auto" w:fill="FFFFFF"/>
          </w:tcPr>
          <w:p w14:paraId="73139D09" w14:textId="72577A70" w:rsidR="00A56CA1" w:rsidRPr="005C7511" w:rsidRDefault="00A56CA1" w:rsidP="00FA6187">
            <w:pPr>
              <w:pStyle w:val="CETBodytext"/>
              <w:rPr>
                <w:lang w:val="en-GB"/>
              </w:rPr>
            </w:pPr>
            <w:r>
              <w:rPr>
                <w:lang w:val="en-GB"/>
              </w:rPr>
              <w:t>B</w:t>
            </w:r>
            <w:r w:rsidRPr="00A56CA1">
              <w:rPr>
                <w:vertAlign w:val="subscript"/>
                <w:lang w:val="en-GB"/>
              </w:rPr>
              <w:t>t</w:t>
            </w:r>
            <w:r>
              <w:rPr>
                <w:lang w:val="en-GB"/>
              </w:rPr>
              <w:t xml:space="preserve"> -&gt; B</w:t>
            </w:r>
            <w:r w:rsidRPr="00A56CA1">
              <w:rPr>
                <w:vertAlign w:val="subscript"/>
                <w:lang w:val="en-GB"/>
              </w:rPr>
              <w:t>t+1</w:t>
            </w:r>
          </w:p>
        </w:tc>
        <w:tc>
          <w:tcPr>
            <w:tcW w:w="2127" w:type="dxa"/>
            <w:tcBorders>
              <w:top w:val="single" w:sz="12" w:space="0" w:color="008000"/>
              <w:bottom w:val="single" w:sz="6" w:space="0" w:color="008000"/>
            </w:tcBorders>
            <w:shd w:val="clear" w:color="auto" w:fill="FFFFFF"/>
          </w:tcPr>
          <w:p w14:paraId="527C5EBA" w14:textId="68EDE7F0" w:rsidR="00A56CA1" w:rsidRPr="005C7511" w:rsidRDefault="00A56CA1" w:rsidP="00FA6187">
            <w:pPr>
              <w:pStyle w:val="CETBodytext"/>
              <w:rPr>
                <w:lang w:val="en-GB"/>
              </w:rPr>
            </w:pPr>
            <w:r>
              <w:rPr>
                <w:lang w:val="en-GB"/>
              </w:rPr>
              <w:t>Effective</w:t>
            </w:r>
          </w:p>
        </w:tc>
        <w:tc>
          <w:tcPr>
            <w:tcW w:w="2268" w:type="dxa"/>
            <w:tcBorders>
              <w:top w:val="single" w:sz="12" w:space="0" w:color="008000"/>
              <w:bottom w:val="single" w:sz="6" w:space="0" w:color="008000"/>
            </w:tcBorders>
            <w:shd w:val="clear" w:color="auto" w:fill="FFFFFF"/>
          </w:tcPr>
          <w:p w14:paraId="084AD42C" w14:textId="411AAD6D" w:rsidR="00A56CA1" w:rsidRDefault="00A56CA1" w:rsidP="00FA6187">
            <w:pPr>
              <w:pStyle w:val="CETBodytext"/>
              <w:rPr>
                <w:lang w:val="en-GB"/>
              </w:rPr>
            </w:pPr>
            <w:r>
              <w:rPr>
                <w:lang w:val="en-GB"/>
              </w:rPr>
              <w:t>Degraded</w:t>
            </w:r>
          </w:p>
        </w:tc>
        <w:tc>
          <w:tcPr>
            <w:tcW w:w="992" w:type="dxa"/>
            <w:tcBorders>
              <w:top w:val="single" w:sz="12" w:space="0" w:color="008000"/>
              <w:bottom w:val="single" w:sz="6" w:space="0" w:color="008000"/>
            </w:tcBorders>
            <w:shd w:val="clear" w:color="auto" w:fill="FFFFFF"/>
          </w:tcPr>
          <w:p w14:paraId="39BA6437" w14:textId="27C2EA03" w:rsidR="00A56CA1" w:rsidRDefault="00A56CA1" w:rsidP="00FA6187">
            <w:pPr>
              <w:pStyle w:val="CETBodytext"/>
              <w:rPr>
                <w:lang w:val="en-GB"/>
              </w:rPr>
            </w:pPr>
            <w:r>
              <w:rPr>
                <w:lang w:val="en-GB"/>
              </w:rPr>
              <w:t>Failed</w:t>
            </w:r>
          </w:p>
        </w:tc>
      </w:tr>
      <w:tr w:rsidR="00A56CA1" w:rsidRPr="00B57B36" w14:paraId="2D56958E" w14:textId="77777777" w:rsidTr="00FA6187">
        <w:tc>
          <w:tcPr>
            <w:tcW w:w="2268" w:type="dxa"/>
            <w:shd w:val="clear" w:color="auto" w:fill="FFFFFF"/>
          </w:tcPr>
          <w:p w14:paraId="1F01A23D" w14:textId="77777777" w:rsidR="00A56CA1" w:rsidRPr="00B57B36" w:rsidRDefault="00A56CA1" w:rsidP="00FA6187">
            <w:pPr>
              <w:pStyle w:val="CETBodytext"/>
              <w:rPr>
                <w:lang w:val="en-GB"/>
              </w:rPr>
            </w:pPr>
            <w:r>
              <w:rPr>
                <w:lang w:val="en-GB"/>
              </w:rPr>
              <w:t>Effective</w:t>
            </w:r>
          </w:p>
        </w:tc>
        <w:tc>
          <w:tcPr>
            <w:tcW w:w="2127" w:type="dxa"/>
            <w:shd w:val="clear" w:color="auto" w:fill="FFFFFF"/>
          </w:tcPr>
          <w:p w14:paraId="1CB9C113" w14:textId="37BE440A" w:rsidR="00A56CA1" w:rsidRPr="00B57B36" w:rsidRDefault="00A56CA1" w:rsidP="00FA6187">
            <w:pPr>
              <w:pStyle w:val="CETBodytext"/>
              <w:rPr>
                <w:lang w:val="en-GB"/>
              </w:rPr>
            </w:pPr>
            <w:r>
              <w:t>0.95</w:t>
            </w:r>
          </w:p>
        </w:tc>
        <w:tc>
          <w:tcPr>
            <w:tcW w:w="2268" w:type="dxa"/>
            <w:shd w:val="clear" w:color="auto" w:fill="FFFFFF"/>
          </w:tcPr>
          <w:p w14:paraId="1D30B13F" w14:textId="2E7A692A" w:rsidR="00A56CA1" w:rsidRDefault="00A56CA1" w:rsidP="00A56CA1">
            <w:pPr>
              <w:pStyle w:val="CETBodytext"/>
            </w:pPr>
            <w:r>
              <w:t>0.05</w:t>
            </w:r>
          </w:p>
        </w:tc>
        <w:tc>
          <w:tcPr>
            <w:tcW w:w="992" w:type="dxa"/>
            <w:shd w:val="clear" w:color="auto" w:fill="FFFFFF"/>
          </w:tcPr>
          <w:p w14:paraId="700C9254" w14:textId="79811CA7" w:rsidR="00A56CA1" w:rsidRDefault="00A56CA1" w:rsidP="00A56CA1">
            <w:pPr>
              <w:pStyle w:val="CETBodytext"/>
            </w:pPr>
            <w:r>
              <w:t>0.00</w:t>
            </w:r>
          </w:p>
        </w:tc>
      </w:tr>
      <w:tr w:rsidR="00A56CA1" w:rsidRPr="00B57B36" w14:paraId="2FEF70F6" w14:textId="77777777" w:rsidTr="00FA6187">
        <w:tc>
          <w:tcPr>
            <w:tcW w:w="2268" w:type="dxa"/>
            <w:shd w:val="clear" w:color="auto" w:fill="FFFFFF"/>
          </w:tcPr>
          <w:p w14:paraId="6DB437EF" w14:textId="77777777" w:rsidR="00A56CA1" w:rsidRDefault="00A56CA1" w:rsidP="00FA6187">
            <w:pPr>
              <w:pStyle w:val="CETBodytext"/>
              <w:ind w:right="-1"/>
              <w:rPr>
                <w:rFonts w:cs="Arial"/>
                <w:szCs w:val="18"/>
                <w:lang w:val="en-GB"/>
              </w:rPr>
            </w:pPr>
            <w:r>
              <w:rPr>
                <w:rFonts w:cs="Arial"/>
                <w:szCs w:val="18"/>
                <w:lang w:val="en-GB"/>
              </w:rPr>
              <w:t>Degraded</w:t>
            </w:r>
          </w:p>
        </w:tc>
        <w:tc>
          <w:tcPr>
            <w:tcW w:w="2127" w:type="dxa"/>
            <w:shd w:val="clear" w:color="auto" w:fill="FFFFFF"/>
          </w:tcPr>
          <w:p w14:paraId="35D2B360" w14:textId="644DB2D8" w:rsidR="00A56CA1" w:rsidRPr="00B57B36" w:rsidRDefault="00A56CA1" w:rsidP="00FA6187">
            <w:pPr>
              <w:pStyle w:val="CETBodytext"/>
              <w:ind w:right="-1"/>
              <w:rPr>
                <w:rFonts w:cs="Arial"/>
                <w:szCs w:val="18"/>
                <w:lang w:val="en-GB"/>
              </w:rPr>
            </w:pPr>
            <w:r>
              <w:rPr>
                <w:rFonts w:cs="Arial"/>
                <w:szCs w:val="18"/>
                <w:lang w:val="en-GB"/>
              </w:rPr>
              <w:t>0.10</w:t>
            </w:r>
          </w:p>
        </w:tc>
        <w:tc>
          <w:tcPr>
            <w:tcW w:w="2268" w:type="dxa"/>
            <w:shd w:val="clear" w:color="auto" w:fill="FFFFFF"/>
          </w:tcPr>
          <w:p w14:paraId="6F3844E9" w14:textId="1F03E28F" w:rsidR="00A56CA1" w:rsidRDefault="00A56CA1" w:rsidP="00A56CA1">
            <w:pPr>
              <w:pStyle w:val="CETBodytext"/>
              <w:ind w:right="-1"/>
              <w:rPr>
                <w:rFonts w:cs="Arial"/>
                <w:szCs w:val="18"/>
                <w:lang w:val="en-GB"/>
              </w:rPr>
            </w:pPr>
            <w:r>
              <w:rPr>
                <w:rFonts w:cs="Arial"/>
                <w:szCs w:val="18"/>
                <w:lang w:val="en-GB"/>
              </w:rPr>
              <w:t>0.80</w:t>
            </w:r>
          </w:p>
        </w:tc>
        <w:tc>
          <w:tcPr>
            <w:tcW w:w="992" w:type="dxa"/>
            <w:shd w:val="clear" w:color="auto" w:fill="FFFFFF"/>
          </w:tcPr>
          <w:p w14:paraId="5CB89315" w14:textId="607BCF1D" w:rsidR="00A56CA1" w:rsidRDefault="00A56CA1" w:rsidP="00A56CA1">
            <w:pPr>
              <w:pStyle w:val="CETBodytext"/>
              <w:ind w:right="-1"/>
              <w:rPr>
                <w:rFonts w:cs="Arial"/>
                <w:szCs w:val="18"/>
                <w:lang w:val="en-GB"/>
              </w:rPr>
            </w:pPr>
            <w:r>
              <w:rPr>
                <w:rFonts w:cs="Arial"/>
                <w:szCs w:val="18"/>
                <w:lang w:val="en-GB"/>
              </w:rPr>
              <w:t>0.10</w:t>
            </w:r>
          </w:p>
        </w:tc>
      </w:tr>
      <w:tr w:rsidR="00A56CA1" w:rsidRPr="00B57B36" w14:paraId="42BA8900" w14:textId="77777777" w:rsidTr="00FA6187">
        <w:tc>
          <w:tcPr>
            <w:tcW w:w="2268" w:type="dxa"/>
            <w:shd w:val="clear" w:color="auto" w:fill="FFFFFF"/>
          </w:tcPr>
          <w:p w14:paraId="0FCD492A" w14:textId="77777777" w:rsidR="00A56CA1" w:rsidRDefault="00A56CA1" w:rsidP="00FA6187">
            <w:pPr>
              <w:pStyle w:val="CETBodytext"/>
              <w:ind w:right="-1"/>
              <w:rPr>
                <w:rFonts w:cs="Arial"/>
                <w:szCs w:val="18"/>
                <w:lang w:val="en-GB"/>
              </w:rPr>
            </w:pPr>
            <w:r>
              <w:rPr>
                <w:rFonts w:cs="Arial"/>
                <w:szCs w:val="18"/>
                <w:lang w:val="en-GB"/>
              </w:rPr>
              <w:t>Failed</w:t>
            </w:r>
          </w:p>
        </w:tc>
        <w:tc>
          <w:tcPr>
            <w:tcW w:w="2127" w:type="dxa"/>
            <w:shd w:val="clear" w:color="auto" w:fill="FFFFFF"/>
          </w:tcPr>
          <w:p w14:paraId="517C81C9" w14:textId="241DC004" w:rsidR="00A56CA1" w:rsidRDefault="00A56CA1" w:rsidP="00FA6187">
            <w:pPr>
              <w:pStyle w:val="CETBodytext"/>
              <w:ind w:right="-1"/>
              <w:rPr>
                <w:rFonts w:cs="Arial"/>
                <w:szCs w:val="18"/>
                <w:lang w:val="en-GB"/>
              </w:rPr>
            </w:pPr>
            <w:r>
              <w:rPr>
                <w:rFonts w:cs="Arial"/>
                <w:szCs w:val="18"/>
                <w:lang w:val="en-GB"/>
              </w:rPr>
              <w:t>0.00</w:t>
            </w:r>
          </w:p>
        </w:tc>
        <w:tc>
          <w:tcPr>
            <w:tcW w:w="2268" w:type="dxa"/>
            <w:shd w:val="clear" w:color="auto" w:fill="FFFFFF"/>
          </w:tcPr>
          <w:p w14:paraId="308BD855" w14:textId="1CC90EE9" w:rsidR="00A56CA1" w:rsidRDefault="00A56CA1" w:rsidP="00A56CA1">
            <w:pPr>
              <w:pStyle w:val="CETBodytext"/>
              <w:ind w:right="-1"/>
              <w:rPr>
                <w:rFonts w:cs="Arial"/>
                <w:szCs w:val="18"/>
                <w:lang w:val="en-GB"/>
              </w:rPr>
            </w:pPr>
            <w:r>
              <w:rPr>
                <w:rFonts w:cs="Arial"/>
                <w:szCs w:val="18"/>
                <w:lang w:val="en-GB"/>
              </w:rPr>
              <w:t>0.00</w:t>
            </w:r>
          </w:p>
        </w:tc>
        <w:tc>
          <w:tcPr>
            <w:tcW w:w="992" w:type="dxa"/>
            <w:shd w:val="clear" w:color="auto" w:fill="FFFFFF"/>
          </w:tcPr>
          <w:p w14:paraId="7FF70653" w14:textId="0860029E" w:rsidR="00A56CA1" w:rsidRDefault="00A56CA1" w:rsidP="00A56CA1">
            <w:pPr>
              <w:pStyle w:val="CETBodytext"/>
              <w:ind w:right="-1"/>
              <w:rPr>
                <w:rFonts w:cs="Arial"/>
                <w:szCs w:val="18"/>
                <w:lang w:val="en-GB"/>
              </w:rPr>
            </w:pPr>
            <w:r>
              <w:rPr>
                <w:rFonts w:cs="Arial"/>
                <w:szCs w:val="18"/>
                <w:lang w:val="en-GB"/>
              </w:rPr>
              <w:t>1.00</w:t>
            </w:r>
          </w:p>
        </w:tc>
      </w:tr>
    </w:tbl>
    <w:p w14:paraId="05547CA7" w14:textId="0653E708" w:rsidR="00A56CA1" w:rsidRDefault="00A56CA1" w:rsidP="004A33A0">
      <w:pPr>
        <w:pStyle w:val="CETTabletitle"/>
      </w:pPr>
      <w:r w:rsidRPr="00B57B36">
        <w:t xml:space="preserve">Table </w:t>
      </w:r>
      <w:r w:rsidR="00D236D7">
        <w:t>7</w:t>
      </w:r>
      <w:r w:rsidRPr="00B57B36">
        <w:t xml:space="preserve">: </w:t>
      </w:r>
      <w:r w:rsidRPr="00A56CA1">
        <w:t xml:space="preserve">Transition for </w:t>
      </w:r>
      <w:r w:rsidR="00EA779A">
        <w:t xml:space="preserve">ammonia </w:t>
      </w:r>
      <w:r>
        <w:t>release</w:t>
      </w:r>
      <w:r w:rsidR="00423317">
        <w:t>.</w:t>
      </w:r>
    </w:p>
    <w:tbl>
      <w:tblPr>
        <w:tblW w:w="7655"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268"/>
        <w:gridCol w:w="2127"/>
        <w:gridCol w:w="2268"/>
        <w:gridCol w:w="992"/>
      </w:tblGrid>
      <w:tr w:rsidR="00A56CA1" w:rsidRPr="00B57B36" w14:paraId="1D02A5A2" w14:textId="77777777" w:rsidTr="00FA6187">
        <w:tc>
          <w:tcPr>
            <w:tcW w:w="2268" w:type="dxa"/>
            <w:tcBorders>
              <w:top w:val="single" w:sz="12" w:space="0" w:color="008000"/>
              <w:bottom w:val="single" w:sz="6" w:space="0" w:color="008000"/>
            </w:tcBorders>
            <w:shd w:val="clear" w:color="auto" w:fill="FFFFFF"/>
          </w:tcPr>
          <w:p w14:paraId="153ED92E" w14:textId="001FEFAB" w:rsidR="00A56CA1" w:rsidRPr="005C7511" w:rsidRDefault="00A56CA1" w:rsidP="00FA6187">
            <w:pPr>
              <w:pStyle w:val="CETBodytext"/>
              <w:rPr>
                <w:lang w:val="en-GB"/>
              </w:rPr>
            </w:pPr>
            <w:r>
              <w:rPr>
                <w:lang w:val="en-GB"/>
              </w:rPr>
              <w:t>Containment</w:t>
            </w:r>
          </w:p>
        </w:tc>
        <w:tc>
          <w:tcPr>
            <w:tcW w:w="2127" w:type="dxa"/>
            <w:tcBorders>
              <w:top w:val="single" w:sz="12" w:space="0" w:color="008000"/>
              <w:bottom w:val="single" w:sz="6" w:space="0" w:color="008000"/>
            </w:tcBorders>
            <w:shd w:val="clear" w:color="auto" w:fill="FFFFFF"/>
          </w:tcPr>
          <w:p w14:paraId="271E6A44" w14:textId="2549C7E0" w:rsidR="00A56CA1" w:rsidRPr="005C7511" w:rsidRDefault="00A56CA1" w:rsidP="00FA6187">
            <w:pPr>
              <w:pStyle w:val="CETBodytext"/>
              <w:rPr>
                <w:lang w:val="en-GB"/>
              </w:rPr>
            </w:pPr>
            <w:r>
              <w:rPr>
                <w:lang w:val="en-GB"/>
              </w:rPr>
              <w:t>None</w:t>
            </w:r>
          </w:p>
        </w:tc>
        <w:tc>
          <w:tcPr>
            <w:tcW w:w="2268" w:type="dxa"/>
            <w:tcBorders>
              <w:top w:val="single" w:sz="12" w:space="0" w:color="008000"/>
              <w:bottom w:val="single" w:sz="6" w:space="0" w:color="008000"/>
            </w:tcBorders>
            <w:shd w:val="clear" w:color="auto" w:fill="FFFFFF"/>
          </w:tcPr>
          <w:p w14:paraId="54DF8127" w14:textId="49173647" w:rsidR="00A56CA1" w:rsidRDefault="00A56CA1" w:rsidP="00FA6187">
            <w:pPr>
              <w:pStyle w:val="CETBodytext"/>
              <w:rPr>
                <w:lang w:val="en-GB"/>
              </w:rPr>
            </w:pPr>
            <w:r>
              <w:rPr>
                <w:lang w:val="en-GB"/>
              </w:rPr>
              <w:t>Small</w:t>
            </w:r>
          </w:p>
        </w:tc>
        <w:tc>
          <w:tcPr>
            <w:tcW w:w="992" w:type="dxa"/>
            <w:tcBorders>
              <w:top w:val="single" w:sz="12" w:space="0" w:color="008000"/>
              <w:bottom w:val="single" w:sz="6" w:space="0" w:color="008000"/>
            </w:tcBorders>
            <w:shd w:val="clear" w:color="auto" w:fill="FFFFFF"/>
          </w:tcPr>
          <w:p w14:paraId="1D6A95D4" w14:textId="33A1F952" w:rsidR="00A56CA1" w:rsidRDefault="00A56CA1" w:rsidP="00FA6187">
            <w:pPr>
              <w:pStyle w:val="CETBodytext"/>
              <w:rPr>
                <w:lang w:val="en-GB"/>
              </w:rPr>
            </w:pPr>
            <w:r>
              <w:rPr>
                <w:lang w:val="en-GB"/>
              </w:rPr>
              <w:t>Large</w:t>
            </w:r>
          </w:p>
        </w:tc>
      </w:tr>
      <w:tr w:rsidR="00A56CA1" w:rsidRPr="00B57B36" w14:paraId="43D6ED92" w14:textId="77777777" w:rsidTr="00FA6187">
        <w:tc>
          <w:tcPr>
            <w:tcW w:w="2268" w:type="dxa"/>
            <w:shd w:val="clear" w:color="auto" w:fill="FFFFFF"/>
          </w:tcPr>
          <w:p w14:paraId="0998F380" w14:textId="77777777" w:rsidR="00A56CA1" w:rsidRPr="00B57B36" w:rsidRDefault="00A56CA1" w:rsidP="00FA6187">
            <w:pPr>
              <w:pStyle w:val="CETBodytext"/>
              <w:rPr>
                <w:lang w:val="en-GB"/>
              </w:rPr>
            </w:pPr>
            <w:r>
              <w:rPr>
                <w:lang w:val="en-GB"/>
              </w:rPr>
              <w:t>Effective</w:t>
            </w:r>
          </w:p>
        </w:tc>
        <w:tc>
          <w:tcPr>
            <w:tcW w:w="2127" w:type="dxa"/>
            <w:shd w:val="clear" w:color="auto" w:fill="FFFFFF"/>
          </w:tcPr>
          <w:p w14:paraId="4BC21917" w14:textId="14438C9F" w:rsidR="00A56CA1" w:rsidRPr="00B57B36" w:rsidRDefault="00A56CA1" w:rsidP="00A56CA1">
            <w:pPr>
              <w:pStyle w:val="CETBodytext"/>
              <w:rPr>
                <w:lang w:val="en-GB"/>
              </w:rPr>
            </w:pPr>
            <w:r>
              <w:t>0.99</w:t>
            </w:r>
          </w:p>
        </w:tc>
        <w:tc>
          <w:tcPr>
            <w:tcW w:w="2268" w:type="dxa"/>
            <w:shd w:val="clear" w:color="auto" w:fill="FFFFFF"/>
          </w:tcPr>
          <w:p w14:paraId="70496BE8" w14:textId="1EF50AE5" w:rsidR="00A56CA1" w:rsidRDefault="00A56CA1" w:rsidP="00A56CA1">
            <w:pPr>
              <w:pStyle w:val="CETBodytext"/>
            </w:pPr>
            <w:r>
              <w:t>0.01</w:t>
            </w:r>
          </w:p>
        </w:tc>
        <w:tc>
          <w:tcPr>
            <w:tcW w:w="992" w:type="dxa"/>
            <w:shd w:val="clear" w:color="auto" w:fill="FFFFFF"/>
          </w:tcPr>
          <w:p w14:paraId="4BBD9A58" w14:textId="77777777" w:rsidR="00A56CA1" w:rsidRDefault="00A56CA1" w:rsidP="00FA6187">
            <w:pPr>
              <w:pStyle w:val="CETBodytext"/>
            </w:pPr>
            <w:r>
              <w:t>0.00</w:t>
            </w:r>
          </w:p>
        </w:tc>
      </w:tr>
      <w:tr w:rsidR="00A56CA1" w:rsidRPr="00B57B36" w14:paraId="061B6F7F" w14:textId="77777777" w:rsidTr="00FA6187">
        <w:tc>
          <w:tcPr>
            <w:tcW w:w="2268" w:type="dxa"/>
            <w:shd w:val="clear" w:color="auto" w:fill="FFFFFF"/>
          </w:tcPr>
          <w:p w14:paraId="2764DE72" w14:textId="77777777" w:rsidR="00A56CA1" w:rsidRDefault="00A56CA1" w:rsidP="00FA6187">
            <w:pPr>
              <w:pStyle w:val="CETBodytext"/>
              <w:ind w:right="-1"/>
              <w:rPr>
                <w:rFonts w:cs="Arial"/>
                <w:szCs w:val="18"/>
                <w:lang w:val="en-GB"/>
              </w:rPr>
            </w:pPr>
            <w:r>
              <w:rPr>
                <w:rFonts w:cs="Arial"/>
                <w:szCs w:val="18"/>
                <w:lang w:val="en-GB"/>
              </w:rPr>
              <w:t>Degraded</w:t>
            </w:r>
          </w:p>
        </w:tc>
        <w:tc>
          <w:tcPr>
            <w:tcW w:w="2127" w:type="dxa"/>
            <w:shd w:val="clear" w:color="auto" w:fill="FFFFFF"/>
          </w:tcPr>
          <w:p w14:paraId="63B67E2C" w14:textId="10BBE6ED" w:rsidR="00A56CA1" w:rsidRPr="00B57B36" w:rsidRDefault="00A56CA1" w:rsidP="00A56CA1">
            <w:pPr>
              <w:pStyle w:val="CETBodytext"/>
              <w:ind w:right="-1"/>
              <w:rPr>
                <w:rFonts w:cs="Arial"/>
                <w:szCs w:val="18"/>
                <w:lang w:val="en-GB"/>
              </w:rPr>
            </w:pPr>
            <w:r>
              <w:rPr>
                <w:rFonts w:cs="Arial"/>
                <w:szCs w:val="18"/>
                <w:lang w:val="en-GB"/>
              </w:rPr>
              <w:t>0.85</w:t>
            </w:r>
          </w:p>
        </w:tc>
        <w:tc>
          <w:tcPr>
            <w:tcW w:w="2268" w:type="dxa"/>
            <w:shd w:val="clear" w:color="auto" w:fill="FFFFFF"/>
          </w:tcPr>
          <w:p w14:paraId="6B13581D" w14:textId="54178929" w:rsidR="00A56CA1" w:rsidRDefault="00A56CA1" w:rsidP="00A56CA1">
            <w:pPr>
              <w:pStyle w:val="CETBodytext"/>
              <w:ind w:right="-1"/>
              <w:rPr>
                <w:rFonts w:cs="Arial"/>
                <w:szCs w:val="18"/>
                <w:lang w:val="en-GB"/>
              </w:rPr>
            </w:pPr>
            <w:r>
              <w:rPr>
                <w:rFonts w:cs="Arial"/>
                <w:szCs w:val="18"/>
                <w:lang w:val="en-GB"/>
              </w:rPr>
              <w:t>0.13</w:t>
            </w:r>
          </w:p>
        </w:tc>
        <w:tc>
          <w:tcPr>
            <w:tcW w:w="992" w:type="dxa"/>
            <w:shd w:val="clear" w:color="auto" w:fill="FFFFFF"/>
          </w:tcPr>
          <w:p w14:paraId="60285395" w14:textId="28546B2B" w:rsidR="00A56CA1" w:rsidRDefault="00A56CA1" w:rsidP="00FA6187">
            <w:pPr>
              <w:pStyle w:val="CETBodytext"/>
              <w:ind w:right="-1"/>
              <w:rPr>
                <w:rFonts w:cs="Arial"/>
                <w:szCs w:val="18"/>
                <w:lang w:val="en-GB"/>
              </w:rPr>
            </w:pPr>
            <w:r>
              <w:rPr>
                <w:rFonts w:cs="Arial"/>
                <w:szCs w:val="18"/>
                <w:lang w:val="en-GB"/>
              </w:rPr>
              <w:t>0.02</w:t>
            </w:r>
          </w:p>
        </w:tc>
      </w:tr>
      <w:tr w:rsidR="00A56CA1" w:rsidRPr="00B57B36" w14:paraId="6D08437A" w14:textId="77777777" w:rsidTr="00FA6187">
        <w:tc>
          <w:tcPr>
            <w:tcW w:w="2268" w:type="dxa"/>
            <w:shd w:val="clear" w:color="auto" w:fill="FFFFFF"/>
          </w:tcPr>
          <w:p w14:paraId="659111FB" w14:textId="77777777" w:rsidR="00A56CA1" w:rsidRDefault="00A56CA1" w:rsidP="00FA6187">
            <w:pPr>
              <w:pStyle w:val="CETBodytext"/>
              <w:ind w:right="-1"/>
              <w:rPr>
                <w:rFonts w:cs="Arial"/>
                <w:szCs w:val="18"/>
                <w:lang w:val="en-GB"/>
              </w:rPr>
            </w:pPr>
            <w:r>
              <w:rPr>
                <w:rFonts w:cs="Arial"/>
                <w:szCs w:val="18"/>
                <w:lang w:val="en-GB"/>
              </w:rPr>
              <w:t>Failed</w:t>
            </w:r>
          </w:p>
        </w:tc>
        <w:tc>
          <w:tcPr>
            <w:tcW w:w="2127" w:type="dxa"/>
            <w:shd w:val="clear" w:color="auto" w:fill="FFFFFF"/>
          </w:tcPr>
          <w:p w14:paraId="096BC8E4" w14:textId="1BC41981" w:rsidR="00A56CA1" w:rsidRDefault="00A56CA1" w:rsidP="00A56CA1">
            <w:pPr>
              <w:pStyle w:val="CETBodytext"/>
              <w:ind w:right="-1"/>
              <w:rPr>
                <w:rFonts w:cs="Arial"/>
                <w:szCs w:val="18"/>
                <w:lang w:val="en-GB"/>
              </w:rPr>
            </w:pPr>
            <w:r>
              <w:rPr>
                <w:rFonts w:cs="Arial"/>
                <w:szCs w:val="18"/>
                <w:lang w:val="en-GB"/>
              </w:rPr>
              <w:t>0.10</w:t>
            </w:r>
          </w:p>
        </w:tc>
        <w:tc>
          <w:tcPr>
            <w:tcW w:w="2268" w:type="dxa"/>
            <w:shd w:val="clear" w:color="auto" w:fill="FFFFFF"/>
          </w:tcPr>
          <w:p w14:paraId="07068C3A" w14:textId="750B19BA" w:rsidR="00A56CA1" w:rsidRDefault="00A56CA1" w:rsidP="00A56CA1">
            <w:pPr>
              <w:pStyle w:val="CETBodytext"/>
              <w:ind w:right="-1"/>
              <w:rPr>
                <w:rFonts w:cs="Arial"/>
                <w:szCs w:val="18"/>
                <w:lang w:val="en-GB"/>
              </w:rPr>
            </w:pPr>
            <w:r>
              <w:rPr>
                <w:rFonts w:cs="Arial"/>
                <w:szCs w:val="18"/>
                <w:lang w:val="en-GB"/>
              </w:rPr>
              <w:t>0.50</w:t>
            </w:r>
          </w:p>
        </w:tc>
        <w:tc>
          <w:tcPr>
            <w:tcW w:w="992" w:type="dxa"/>
            <w:shd w:val="clear" w:color="auto" w:fill="FFFFFF"/>
          </w:tcPr>
          <w:p w14:paraId="213E45CB" w14:textId="31B4D28D" w:rsidR="00A56CA1" w:rsidRDefault="00A56CA1" w:rsidP="00A56CA1">
            <w:pPr>
              <w:pStyle w:val="CETBodytext"/>
              <w:ind w:right="-1"/>
              <w:rPr>
                <w:rFonts w:cs="Arial"/>
                <w:szCs w:val="18"/>
                <w:lang w:val="en-GB"/>
              </w:rPr>
            </w:pPr>
            <w:r>
              <w:rPr>
                <w:rFonts w:cs="Arial"/>
                <w:szCs w:val="18"/>
                <w:lang w:val="en-GB"/>
              </w:rPr>
              <w:t>0.40</w:t>
            </w:r>
          </w:p>
        </w:tc>
      </w:tr>
    </w:tbl>
    <w:p w14:paraId="0337ED22" w14:textId="3BF37B18" w:rsidR="00EA7DBD" w:rsidRDefault="00B766A1" w:rsidP="00F6020D">
      <w:pPr>
        <w:pStyle w:val="CETnumberingbullets"/>
        <w:numPr>
          <w:ilvl w:val="0"/>
          <w:numId w:val="0"/>
        </w:numPr>
        <w:spacing w:before="240"/>
        <w:jc w:val="both"/>
        <w:rPr>
          <w:rFonts w:asciiTheme="minorHAnsi" w:hAnsiTheme="minorHAnsi" w:cstheme="minorHAnsi"/>
        </w:rPr>
      </w:pPr>
      <w:r>
        <w:lastRenderedPageBreak/>
        <w:t>O</w:t>
      </w:r>
      <w:r w:rsidR="00902D55">
        <w:t>n these grounds</w:t>
      </w:r>
      <w:r w:rsidR="00613C79">
        <w:t>,</w:t>
      </w:r>
      <w:r w:rsidR="003E3F75">
        <w:t xml:space="preserve"> </w:t>
      </w:r>
      <w:r w:rsidR="00902D55">
        <w:t>it is</w:t>
      </w:r>
      <w:r w:rsidR="00EA7DBD">
        <w:t xml:space="preserve"> possible </w:t>
      </w:r>
      <w:r w:rsidR="00965A03">
        <w:t xml:space="preserve">obtaining a reliable estimate of </w:t>
      </w:r>
      <w:r w:rsidR="00EA7DBD">
        <w:t xml:space="preserve">the </w:t>
      </w:r>
      <w:r w:rsidR="00EA7DBD" w:rsidRPr="00F6020D">
        <w:t xml:space="preserve">Risk trajectories </w:t>
      </w:r>
      <w:r w:rsidR="00EA779A">
        <w:t xml:space="preserve">(T) </w:t>
      </w:r>
      <w:r w:rsidR="00EA7DBD">
        <w:t>of the posterior release probabilities</w:t>
      </w:r>
      <w:r w:rsidR="00F6020D">
        <w:t xml:space="preserve"> </w:t>
      </w:r>
      <w:r w:rsidR="00EA7DBD" w:rsidRPr="00EA7DBD">
        <w:rPr>
          <w:rFonts w:ascii="Cambria Math" w:hAnsi="Cambria Math"/>
          <w:i/>
        </w:rPr>
        <w:t>P</w:t>
      </w:r>
      <w:r w:rsidR="00AC32AA">
        <w:rPr>
          <w:rFonts w:ascii="Cambria Math" w:hAnsi="Cambria Math"/>
          <w:i/>
        </w:rPr>
        <w:t>r</w:t>
      </w:r>
      <w:r w:rsidR="00EA7DBD" w:rsidRPr="00EA7DBD">
        <w:rPr>
          <w:rFonts w:ascii="Cambria Math" w:hAnsi="Cambria Math"/>
          <w:i/>
        </w:rPr>
        <w:t>(R</w:t>
      </w:r>
      <w:r w:rsidR="00EA7DBD" w:rsidRPr="00EA7DBD">
        <w:rPr>
          <w:rFonts w:ascii="Cambria Math" w:hAnsi="Cambria Math"/>
          <w:i/>
          <w:vertAlign w:val="subscript"/>
        </w:rPr>
        <w:t>t</w:t>
      </w:r>
      <w:r w:rsidR="00EA7DBD" w:rsidRPr="00EA7DBD">
        <w:rPr>
          <w:rFonts w:ascii="Cambria Math" w:hAnsi="Cambria Math"/>
          <w:i/>
        </w:rPr>
        <w:t>|evidence up to t)</w:t>
      </w:r>
      <w:r w:rsidR="00EA7DBD">
        <w:t xml:space="preserve"> and </w:t>
      </w:r>
      <w:r w:rsidR="00EA7DBD" w:rsidRPr="00EA7DBD">
        <w:rPr>
          <w:rFonts w:ascii="Cambria Math" w:hAnsi="Cambria Math"/>
          <w:i/>
        </w:rPr>
        <w:t>P</w:t>
      </w:r>
      <w:r w:rsidR="00AC32AA">
        <w:rPr>
          <w:rFonts w:ascii="Cambria Math" w:hAnsi="Cambria Math"/>
          <w:i/>
        </w:rPr>
        <w:t>r</w:t>
      </w:r>
      <w:r w:rsidR="00EA7DBD" w:rsidRPr="00EA7DBD">
        <w:rPr>
          <w:rFonts w:ascii="Cambria Math" w:hAnsi="Cambria Math"/>
          <w:i/>
        </w:rPr>
        <w:t>(</w:t>
      </w:r>
      <w:r w:rsidR="00EA7DBD">
        <w:rPr>
          <w:rFonts w:ascii="Cambria Math" w:hAnsi="Cambria Math"/>
          <w:i/>
        </w:rPr>
        <w:t>B</w:t>
      </w:r>
      <w:r w:rsidR="00EA7DBD" w:rsidRPr="00EA7DBD">
        <w:rPr>
          <w:rFonts w:ascii="Cambria Math" w:hAnsi="Cambria Math"/>
          <w:i/>
          <w:vertAlign w:val="subscript"/>
        </w:rPr>
        <w:t>t</w:t>
      </w:r>
      <w:r w:rsidR="00EA7DBD">
        <w:rPr>
          <w:rFonts w:ascii="Cambria Math" w:hAnsi="Cambria Math"/>
          <w:i/>
          <w:vertAlign w:val="subscript"/>
        </w:rPr>
        <w:t>+1</w:t>
      </w:r>
      <w:r w:rsidR="00EA7DBD" w:rsidRPr="00EA7DBD">
        <w:rPr>
          <w:rFonts w:ascii="Cambria Math" w:hAnsi="Cambria Math"/>
          <w:i/>
        </w:rPr>
        <w:t>)</w:t>
      </w:r>
      <w:r w:rsidR="00902D55">
        <w:rPr>
          <w:rFonts w:asciiTheme="minorHAnsi" w:hAnsiTheme="minorHAnsi" w:cstheme="minorHAnsi"/>
        </w:rPr>
        <w:t xml:space="preserve">, </w:t>
      </w:r>
      <w:r w:rsidR="00902D55" w:rsidRPr="00F6020D">
        <w:t xml:space="preserve">as summarized in Tables </w:t>
      </w:r>
      <w:r w:rsidR="00FA6187" w:rsidRPr="00F6020D">
        <w:t>8</w:t>
      </w:r>
      <w:r w:rsidR="00902D55" w:rsidRPr="00F6020D">
        <w:t>-</w:t>
      </w:r>
      <w:r w:rsidR="00FA6187" w:rsidRPr="00F6020D">
        <w:t>10</w:t>
      </w:r>
      <w:r w:rsidR="00902D55" w:rsidRPr="00F6020D">
        <w:t>.</w:t>
      </w:r>
    </w:p>
    <w:p w14:paraId="16C33CAF" w14:textId="74A014FD" w:rsidR="00EA7DBD" w:rsidRPr="00EA7DBD" w:rsidRDefault="00EA7DBD" w:rsidP="004A33A0">
      <w:pPr>
        <w:pStyle w:val="CETTabletitle"/>
      </w:pPr>
      <w:r w:rsidRPr="00B57B36">
        <w:t xml:space="preserve">Table </w:t>
      </w:r>
      <w:r w:rsidR="00FA6187">
        <w:t>8</w:t>
      </w:r>
      <w:r w:rsidRPr="00B57B36">
        <w:t xml:space="preserve">: </w:t>
      </w:r>
      <w:r>
        <w:t xml:space="preserve">Risk trajectories </w:t>
      </w:r>
      <w:r w:rsidR="003D6982">
        <w:t xml:space="preserve">T </w:t>
      </w:r>
      <w:r>
        <w:t>for scenario A (High stress)</w:t>
      </w:r>
      <w:r w:rsidR="001E32B8">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1134"/>
        <w:gridCol w:w="1134"/>
        <w:gridCol w:w="1134"/>
        <w:gridCol w:w="3799"/>
      </w:tblGrid>
      <w:tr w:rsidR="00EA7DBD" w:rsidRPr="00B57B36" w14:paraId="1915DEB6" w14:textId="77777777" w:rsidTr="00EA7DBD">
        <w:tc>
          <w:tcPr>
            <w:tcW w:w="993" w:type="dxa"/>
            <w:tcBorders>
              <w:top w:val="single" w:sz="12" w:space="0" w:color="008000"/>
              <w:bottom w:val="single" w:sz="6" w:space="0" w:color="008000"/>
            </w:tcBorders>
            <w:shd w:val="clear" w:color="auto" w:fill="FFFFFF"/>
          </w:tcPr>
          <w:p w14:paraId="683932E8" w14:textId="0809F37F" w:rsidR="00EA7DBD" w:rsidRPr="005C7511" w:rsidRDefault="00EA779A" w:rsidP="00FA6187">
            <w:pPr>
              <w:pStyle w:val="CETBodytext"/>
              <w:rPr>
                <w:lang w:val="en-GB"/>
              </w:rPr>
            </w:pPr>
            <w:r>
              <w:rPr>
                <w:lang w:val="en-GB"/>
              </w:rPr>
              <w:t>T</w:t>
            </w:r>
          </w:p>
        </w:tc>
        <w:tc>
          <w:tcPr>
            <w:tcW w:w="1134" w:type="dxa"/>
            <w:tcBorders>
              <w:top w:val="single" w:sz="12" w:space="0" w:color="008000"/>
              <w:bottom w:val="single" w:sz="6" w:space="0" w:color="008000"/>
            </w:tcBorders>
            <w:shd w:val="clear" w:color="auto" w:fill="FFFFFF"/>
          </w:tcPr>
          <w:p w14:paraId="7562EDE2" w14:textId="59D6B9CB" w:rsidR="00EA7DBD" w:rsidRPr="005C7511" w:rsidRDefault="00EA7DBD" w:rsidP="00FA6187">
            <w:pPr>
              <w:pStyle w:val="CETBodytext"/>
              <w:rPr>
                <w:lang w:val="en-GB"/>
              </w:rPr>
            </w:pPr>
            <w:r>
              <w:rPr>
                <w:lang w:val="en-GB"/>
              </w:rPr>
              <w:t>P</w:t>
            </w:r>
            <w:r w:rsidR="003D6982">
              <w:rPr>
                <w:lang w:val="en-GB"/>
              </w:rPr>
              <w:t>r</w:t>
            </w:r>
            <w:r>
              <w:rPr>
                <w:lang w:val="en-GB"/>
              </w:rPr>
              <w:t>(None)</w:t>
            </w:r>
          </w:p>
        </w:tc>
        <w:tc>
          <w:tcPr>
            <w:tcW w:w="1134" w:type="dxa"/>
            <w:tcBorders>
              <w:top w:val="single" w:sz="12" w:space="0" w:color="008000"/>
              <w:bottom w:val="single" w:sz="6" w:space="0" w:color="008000"/>
            </w:tcBorders>
            <w:shd w:val="clear" w:color="auto" w:fill="FFFFFF"/>
          </w:tcPr>
          <w:p w14:paraId="6F4CDDC0" w14:textId="1DA27797" w:rsidR="00EA7DBD" w:rsidRDefault="00EA7DBD" w:rsidP="00FA6187">
            <w:pPr>
              <w:pStyle w:val="CETBodytext"/>
              <w:rPr>
                <w:lang w:val="en-GB"/>
              </w:rPr>
            </w:pPr>
            <w:r>
              <w:rPr>
                <w:lang w:val="en-GB"/>
              </w:rPr>
              <w:t>P</w:t>
            </w:r>
            <w:r w:rsidR="003D6982">
              <w:rPr>
                <w:lang w:val="en-GB"/>
              </w:rPr>
              <w:t>r</w:t>
            </w:r>
            <w:r>
              <w:rPr>
                <w:lang w:val="en-GB"/>
              </w:rPr>
              <w:t>(Small)</w:t>
            </w:r>
          </w:p>
        </w:tc>
        <w:tc>
          <w:tcPr>
            <w:tcW w:w="1134" w:type="dxa"/>
            <w:tcBorders>
              <w:top w:val="single" w:sz="12" w:space="0" w:color="008000"/>
              <w:bottom w:val="single" w:sz="6" w:space="0" w:color="008000"/>
            </w:tcBorders>
            <w:shd w:val="clear" w:color="auto" w:fill="FFFFFF"/>
          </w:tcPr>
          <w:p w14:paraId="72E40941" w14:textId="7CD2A355" w:rsidR="00EA7DBD" w:rsidRDefault="00EA7DBD" w:rsidP="00FA6187">
            <w:pPr>
              <w:pStyle w:val="CETBodytext"/>
              <w:rPr>
                <w:lang w:val="en-GB"/>
              </w:rPr>
            </w:pPr>
            <w:r>
              <w:rPr>
                <w:lang w:val="en-GB"/>
              </w:rPr>
              <w:t>P</w:t>
            </w:r>
            <w:r w:rsidR="003D6982">
              <w:rPr>
                <w:lang w:val="en-GB"/>
              </w:rPr>
              <w:t>r</w:t>
            </w:r>
            <w:r>
              <w:rPr>
                <w:lang w:val="en-GB"/>
              </w:rPr>
              <w:t>(Large)</w:t>
            </w:r>
          </w:p>
        </w:tc>
        <w:tc>
          <w:tcPr>
            <w:tcW w:w="3799" w:type="dxa"/>
            <w:tcBorders>
              <w:top w:val="single" w:sz="12" w:space="0" w:color="008000"/>
              <w:bottom w:val="single" w:sz="6" w:space="0" w:color="008000"/>
            </w:tcBorders>
            <w:shd w:val="clear" w:color="auto" w:fill="FFFFFF"/>
          </w:tcPr>
          <w:p w14:paraId="31440238" w14:textId="78409BEC" w:rsidR="00EA7DBD" w:rsidRDefault="00EA7DBD" w:rsidP="00FA6187">
            <w:pPr>
              <w:pStyle w:val="CETBodytext"/>
              <w:rPr>
                <w:lang w:val="en-GB"/>
              </w:rPr>
            </w:pPr>
            <w:r>
              <w:rPr>
                <w:lang w:val="en-GB"/>
              </w:rPr>
              <w:t>Containment expected state</w:t>
            </w:r>
          </w:p>
        </w:tc>
      </w:tr>
      <w:tr w:rsidR="00EA7DBD" w:rsidRPr="00B57B36" w14:paraId="68C69085" w14:textId="77777777" w:rsidTr="00EA7DBD">
        <w:tc>
          <w:tcPr>
            <w:tcW w:w="993" w:type="dxa"/>
            <w:shd w:val="clear" w:color="auto" w:fill="FFFFFF"/>
          </w:tcPr>
          <w:p w14:paraId="770DA0B7" w14:textId="6C3A9F0A" w:rsidR="00EA7DBD" w:rsidRPr="00B57B36" w:rsidRDefault="00EA7DBD" w:rsidP="00EA7DBD">
            <w:pPr>
              <w:pStyle w:val="CETBodytext"/>
              <w:rPr>
                <w:lang w:val="en-GB"/>
              </w:rPr>
            </w:pPr>
            <w:r>
              <w:rPr>
                <w:lang w:val="en-GB"/>
              </w:rPr>
              <w:t>0</w:t>
            </w:r>
          </w:p>
        </w:tc>
        <w:tc>
          <w:tcPr>
            <w:tcW w:w="1134" w:type="dxa"/>
            <w:shd w:val="clear" w:color="auto" w:fill="FFFFFF"/>
          </w:tcPr>
          <w:p w14:paraId="60DB79F3" w14:textId="3B5B6557" w:rsidR="00EA7DBD" w:rsidRPr="00B57B36" w:rsidRDefault="00EA7DBD" w:rsidP="00EA7DBD">
            <w:pPr>
              <w:pStyle w:val="CETBodytext"/>
              <w:rPr>
                <w:lang w:val="en-GB"/>
              </w:rPr>
            </w:pPr>
            <w:r w:rsidRPr="005F1696">
              <w:t>0.841</w:t>
            </w:r>
          </w:p>
        </w:tc>
        <w:tc>
          <w:tcPr>
            <w:tcW w:w="1134" w:type="dxa"/>
            <w:shd w:val="clear" w:color="auto" w:fill="FFFFFF"/>
          </w:tcPr>
          <w:p w14:paraId="5EE247A7" w14:textId="3FE7F3D5" w:rsidR="00EA7DBD" w:rsidRDefault="00EA7DBD" w:rsidP="00EA7DBD">
            <w:pPr>
              <w:pStyle w:val="CETBodytext"/>
            </w:pPr>
            <w:r w:rsidRPr="005F1696">
              <w:t>0.</w:t>
            </w:r>
            <w:r>
              <w:t>124</w:t>
            </w:r>
          </w:p>
        </w:tc>
        <w:tc>
          <w:tcPr>
            <w:tcW w:w="1134" w:type="dxa"/>
            <w:shd w:val="clear" w:color="auto" w:fill="FFFFFF"/>
          </w:tcPr>
          <w:p w14:paraId="29E3AC7C" w14:textId="68C0B04C" w:rsidR="00EA7DBD" w:rsidRDefault="00EA7DBD" w:rsidP="00EA7DBD">
            <w:pPr>
              <w:pStyle w:val="CETBodytext"/>
            </w:pPr>
            <w:r w:rsidRPr="005F1696">
              <w:t>0.</w:t>
            </w:r>
            <w:r>
              <w:t>035</w:t>
            </w:r>
          </w:p>
        </w:tc>
        <w:tc>
          <w:tcPr>
            <w:tcW w:w="3799" w:type="dxa"/>
            <w:shd w:val="clear" w:color="auto" w:fill="FFFFFF"/>
          </w:tcPr>
          <w:p w14:paraId="1E5CCA38" w14:textId="3EB20E3F" w:rsidR="00EA7DBD" w:rsidRDefault="00EA7DBD" w:rsidP="00EA7DBD">
            <w:pPr>
              <w:pStyle w:val="CETBodytext"/>
            </w:pPr>
            <w:r>
              <w:t>Effective -&gt; Degraded</w:t>
            </w:r>
          </w:p>
        </w:tc>
      </w:tr>
      <w:tr w:rsidR="00EA7DBD" w:rsidRPr="00B57B36" w14:paraId="79D8FC8D" w14:textId="77777777" w:rsidTr="00EA7DBD">
        <w:tc>
          <w:tcPr>
            <w:tcW w:w="993" w:type="dxa"/>
            <w:shd w:val="clear" w:color="auto" w:fill="FFFFFF"/>
          </w:tcPr>
          <w:p w14:paraId="24A337C7" w14:textId="73D8358F" w:rsidR="00EA7DBD" w:rsidRDefault="00EA7DBD" w:rsidP="00FA6187">
            <w:pPr>
              <w:pStyle w:val="CETBodytext"/>
              <w:ind w:right="-1"/>
              <w:rPr>
                <w:rFonts w:cs="Arial"/>
                <w:szCs w:val="18"/>
                <w:lang w:val="en-GB"/>
              </w:rPr>
            </w:pPr>
            <w:r>
              <w:rPr>
                <w:rFonts w:cs="Arial"/>
                <w:szCs w:val="18"/>
                <w:lang w:val="en-GB"/>
              </w:rPr>
              <w:t>1</w:t>
            </w:r>
          </w:p>
        </w:tc>
        <w:tc>
          <w:tcPr>
            <w:tcW w:w="1134" w:type="dxa"/>
            <w:shd w:val="clear" w:color="auto" w:fill="FFFFFF"/>
          </w:tcPr>
          <w:p w14:paraId="249F91A1" w14:textId="4B29B8AF" w:rsidR="00EA7DBD" w:rsidRPr="00B57B36" w:rsidRDefault="00EA7DBD" w:rsidP="00FA6187">
            <w:pPr>
              <w:pStyle w:val="CETBodytext"/>
              <w:ind w:right="-1"/>
              <w:rPr>
                <w:rFonts w:cs="Arial"/>
                <w:szCs w:val="18"/>
                <w:lang w:val="en-GB"/>
              </w:rPr>
            </w:pPr>
            <w:r>
              <w:t>0.725</w:t>
            </w:r>
          </w:p>
        </w:tc>
        <w:tc>
          <w:tcPr>
            <w:tcW w:w="1134" w:type="dxa"/>
            <w:shd w:val="clear" w:color="auto" w:fill="FFFFFF"/>
          </w:tcPr>
          <w:p w14:paraId="18A29A25" w14:textId="4E7FC006" w:rsidR="00EA7DBD" w:rsidRDefault="00EA7DBD" w:rsidP="00FA6187">
            <w:pPr>
              <w:pStyle w:val="CETBodytext"/>
              <w:ind w:right="-1"/>
              <w:rPr>
                <w:rFonts w:cs="Arial"/>
                <w:szCs w:val="18"/>
                <w:lang w:val="en-GB"/>
              </w:rPr>
            </w:pPr>
            <w:r>
              <w:t>0.200</w:t>
            </w:r>
          </w:p>
        </w:tc>
        <w:tc>
          <w:tcPr>
            <w:tcW w:w="1134" w:type="dxa"/>
            <w:shd w:val="clear" w:color="auto" w:fill="FFFFFF"/>
          </w:tcPr>
          <w:p w14:paraId="310029F3" w14:textId="0A928F96" w:rsidR="00EA7DBD" w:rsidRDefault="00EA7DBD" w:rsidP="00FA6187">
            <w:pPr>
              <w:pStyle w:val="CETBodytext"/>
              <w:ind w:right="-1"/>
              <w:rPr>
                <w:rFonts w:cs="Arial"/>
                <w:szCs w:val="18"/>
                <w:lang w:val="en-GB"/>
              </w:rPr>
            </w:pPr>
            <w:r>
              <w:t>0.075</w:t>
            </w:r>
          </w:p>
        </w:tc>
        <w:tc>
          <w:tcPr>
            <w:tcW w:w="3799" w:type="dxa"/>
            <w:shd w:val="clear" w:color="auto" w:fill="FFFFFF"/>
          </w:tcPr>
          <w:p w14:paraId="6E562511" w14:textId="34BFC6E1" w:rsidR="00EA7DBD" w:rsidRDefault="00EA7DBD" w:rsidP="00FA6187">
            <w:pPr>
              <w:pStyle w:val="CETBodytext"/>
              <w:ind w:right="-1"/>
              <w:rPr>
                <w:rFonts w:cs="Arial"/>
                <w:szCs w:val="18"/>
                <w:lang w:val="en-GB"/>
              </w:rPr>
            </w:pPr>
            <w:r>
              <w:t>Degraded</w:t>
            </w:r>
          </w:p>
        </w:tc>
      </w:tr>
      <w:tr w:rsidR="00EA7DBD" w:rsidRPr="00B57B36" w14:paraId="0C070C44" w14:textId="77777777" w:rsidTr="00EA7DBD">
        <w:tc>
          <w:tcPr>
            <w:tcW w:w="993" w:type="dxa"/>
            <w:shd w:val="clear" w:color="auto" w:fill="FFFFFF"/>
          </w:tcPr>
          <w:p w14:paraId="145DA556" w14:textId="3104E5EA" w:rsidR="00EA7DBD" w:rsidRDefault="00EA7DBD" w:rsidP="00FA6187">
            <w:pPr>
              <w:pStyle w:val="CETBodytext"/>
              <w:ind w:right="-1"/>
              <w:rPr>
                <w:rFonts w:cs="Arial"/>
                <w:szCs w:val="18"/>
                <w:lang w:val="en-GB"/>
              </w:rPr>
            </w:pPr>
            <w:r>
              <w:rPr>
                <w:rFonts w:cs="Arial"/>
                <w:szCs w:val="18"/>
                <w:lang w:val="en-GB"/>
              </w:rPr>
              <w:t>2</w:t>
            </w:r>
          </w:p>
        </w:tc>
        <w:tc>
          <w:tcPr>
            <w:tcW w:w="1134" w:type="dxa"/>
            <w:shd w:val="clear" w:color="auto" w:fill="FFFFFF"/>
          </w:tcPr>
          <w:p w14:paraId="679C8E4F" w14:textId="10C38199" w:rsidR="00EA7DBD" w:rsidRDefault="00EA7DBD" w:rsidP="00FA6187">
            <w:pPr>
              <w:pStyle w:val="CETBodytext"/>
              <w:ind w:right="-1"/>
              <w:rPr>
                <w:rFonts w:cs="Arial"/>
                <w:szCs w:val="18"/>
                <w:lang w:val="en-GB"/>
              </w:rPr>
            </w:pPr>
            <w:r>
              <w:t>0.600</w:t>
            </w:r>
          </w:p>
        </w:tc>
        <w:tc>
          <w:tcPr>
            <w:tcW w:w="1134" w:type="dxa"/>
            <w:shd w:val="clear" w:color="auto" w:fill="FFFFFF"/>
          </w:tcPr>
          <w:p w14:paraId="7C0C6422" w14:textId="015BF511" w:rsidR="00EA7DBD" w:rsidRDefault="00EA7DBD" w:rsidP="00FA6187">
            <w:pPr>
              <w:pStyle w:val="CETBodytext"/>
              <w:ind w:right="-1"/>
              <w:rPr>
                <w:rFonts w:cs="Arial"/>
                <w:szCs w:val="18"/>
                <w:lang w:val="en-GB"/>
              </w:rPr>
            </w:pPr>
            <w:r>
              <w:t>0.250</w:t>
            </w:r>
          </w:p>
        </w:tc>
        <w:tc>
          <w:tcPr>
            <w:tcW w:w="1134" w:type="dxa"/>
            <w:shd w:val="clear" w:color="auto" w:fill="FFFFFF"/>
          </w:tcPr>
          <w:p w14:paraId="026A5ABA" w14:textId="5FB1EBDF" w:rsidR="00EA7DBD" w:rsidRDefault="00EA7DBD" w:rsidP="00FA6187">
            <w:pPr>
              <w:pStyle w:val="CETBodytext"/>
              <w:ind w:right="-1"/>
              <w:rPr>
                <w:rFonts w:cs="Arial"/>
                <w:szCs w:val="18"/>
                <w:lang w:val="en-GB"/>
              </w:rPr>
            </w:pPr>
            <w:r>
              <w:t>0.150</w:t>
            </w:r>
          </w:p>
        </w:tc>
        <w:tc>
          <w:tcPr>
            <w:tcW w:w="3799" w:type="dxa"/>
            <w:shd w:val="clear" w:color="auto" w:fill="FFFFFF"/>
          </w:tcPr>
          <w:p w14:paraId="4527341D" w14:textId="40959EC0" w:rsidR="00EA7DBD" w:rsidRDefault="00EA7DBD" w:rsidP="00FA6187">
            <w:pPr>
              <w:pStyle w:val="CETBodytext"/>
              <w:ind w:right="-1"/>
              <w:rPr>
                <w:rFonts w:cs="Arial"/>
                <w:szCs w:val="18"/>
                <w:lang w:val="en-GB"/>
              </w:rPr>
            </w:pPr>
            <w:r>
              <w:t>Degraded / Failed mix</w:t>
            </w:r>
          </w:p>
        </w:tc>
      </w:tr>
    </w:tbl>
    <w:p w14:paraId="357DBEA2" w14:textId="705070FF" w:rsidR="0087252F" w:rsidRPr="0087252F" w:rsidRDefault="009F7686" w:rsidP="003F178B">
      <w:pPr>
        <w:pStyle w:val="CETTabletitle"/>
        <w:rPr>
          <w:i w:val="0"/>
        </w:rPr>
      </w:pPr>
      <w:r w:rsidRPr="00902D55">
        <w:rPr>
          <w:i w:val="0"/>
        </w:rPr>
        <w:t>Tab</w:t>
      </w:r>
      <w:r w:rsidR="00902D55">
        <w:rPr>
          <w:i w:val="0"/>
        </w:rPr>
        <w:t>le</w:t>
      </w:r>
      <w:r w:rsidRPr="00902D55">
        <w:rPr>
          <w:i w:val="0"/>
        </w:rPr>
        <w:t xml:space="preserve"> </w:t>
      </w:r>
      <w:r w:rsidR="00B766A1">
        <w:rPr>
          <w:i w:val="0"/>
        </w:rPr>
        <w:t>8</w:t>
      </w:r>
      <w:r w:rsidRPr="00902D55">
        <w:rPr>
          <w:i w:val="0"/>
        </w:rPr>
        <w:t xml:space="preserve"> shows that </w:t>
      </w:r>
      <w:r>
        <w:rPr>
          <w:i w:val="0"/>
        </w:rPr>
        <w:t>r</w:t>
      </w:r>
      <w:r w:rsidR="0087252F" w:rsidRPr="0087252F">
        <w:rPr>
          <w:i w:val="0"/>
        </w:rPr>
        <w:t xml:space="preserve">isk escalates over time </w:t>
      </w:r>
      <w:r w:rsidR="00613C79">
        <w:rPr>
          <w:i w:val="0"/>
        </w:rPr>
        <w:t>due to</w:t>
      </w:r>
      <w:r w:rsidR="0087252F" w:rsidRPr="0087252F">
        <w:rPr>
          <w:i w:val="0"/>
        </w:rPr>
        <w:t xml:space="preserve"> barrier degradation accumulat</w:t>
      </w:r>
      <w:r w:rsidR="00613C79">
        <w:rPr>
          <w:i w:val="0"/>
        </w:rPr>
        <w:t>ion</w:t>
      </w:r>
      <w:r w:rsidR="0087252F" w:rsidRPr="0087252F">
        <w:rPr>
          <w:i w:val="0"/>
        </w:rPr>
        <w:t>.</w:t>
      </w:r>
      <w:r w:rsidR="0087252F">
        <w:rPr>
          <w:i w:val="0"/>
        </w:rPr>
        <w:t xml:space="preserve"> </w:t>
      </w:r>
      <w:r w:rsidR="0087252F" w:rsidRPr="0087252F">
        <w:rPr>
          <w:i w:val="0"/>
        </w:rPr>
        <w:t xml:space="preserve">Large release probability grows from 3.5% </w:t>
      </w:r>
      <w:r w:rsidR="0087252F">
        <w:rPr>
          <w:i w:val="0"/>
        </w:rPr>
        <w:t>to</w:t>
      </w:r>
      <w:r w:rsidR="0087252F" w:rsidRPr="0087252F">
        <w:rPr>
          <w:i w:val="0"/>
        </w:rPr>
        <w:t xml:space="preserve"> 15%</w:t>
      </w:r>
      <w:r w:rsidR="005D7C8D">
        <w:rPr>
          <w:i w:val="0"/>
        </w:rPr>
        <w:t xml:space="preserve">, providing </w:t>
      </w:r>
      <w:r w:rsidR="0087252F" w:rsidRPr="0087252F">
        <w:rPr>
          <w:i w:val="0"/>
        </w:rPr>
        <w:t>the worst-case operational stress trajectory.</w:t>
      </w:r>
    </w:p>
    <w:p w14:paraId="6255C5A0" w14:textId="1EC9C80C" w:rsidR="0087252F" w:rsidRPr="00EA7DBD" w:rsidRDefault="0087252F" w:rsidP="004A33A0">
      <w:pPr>
        <w:pStyle w:val="CETTabletitle"/>
      </w:pPr>
      <w:r w:rsidRPr="00B57B36">
        <w:t xml:space="preserve">Table </w:t>
      </w:r>
      <w:r w:rsidR="00FA6187">
        <w:t>9</w:t>
      </w:r>
      <w:r w:rsidRPr="00B57B36">
        <w:t xml:space="preserve">: </w:t>
      </w:r>
      <w:r>
        <w:t xml:space="preserve">Risk trajectories </w:t>
      </w:r>
      <w:r w:rsidR="00EA779A">
        <w:t xml:space="preserve">T </w:t>
      </w:r>
      <w:r>
        <w:t>for scenario B (Moderate stress)</w:t>
      </w:r>
      <w:r w:rsidR="001E32B8">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1134"/>
        <w:gridCol w:w="1134"/>
        <w:gridCol w:w="1134"/>
        <w:gridCol w:w="3799"/>
      </w:tblGrid>
      <w:tr w:rsidR="0087252F" w:rsidRPr="00B57B36" w14:paraId="7E040305" w14:textId="77777777" w:rsidTr="00FA6187">
        <w:tc>
          <w:tcPr>
            <w:tcW w:w="993" w:type="dxa"/>
            <w:tcBorders>
              <w:top w:val="single" w:sz="12" w:space="0" w:color="008000"/>
              <w:bottom w:val="single" w:sz="6" w:space="0" w:color="008000"/>
            </w:tcBorders>
            <w:shd w:val="clear" w:color="auto" w:fill="FFFFFF"/>
          </w:tcPr>
          <w:p w14:paraId="0F8B67E4" w14:textId="3FFFA210" w:rsidR="0087252F" w:rsidRPr="005C7511" w:rsidRDefault="00EA779A" w:rsidP="00FA6187">
            <w:pPr>
              <w:pStyle w:val="CETBodytext"/>
              <w:rPr>
                <w:lang w:val="en-GB"/>
              </w:rPr>
            </w:pPr>
            <w:r>
              <w:rPr>
                <w:lang w:val="en-GB"/>
              </w:rPr>
              <w:t>T</w:t>
            </w:r>
          </w:p>
        </w:tc>
        <w:tc>
          <w:tcPr>
            <w:tcW w:w="1134" w:type="dxa"/>
            <w:tcBorders>
              <w:top w:val="single" w:sz="12" w:space="0" w:color="008000"/>
              <w:bottom w:val="single" w:sz="6" w:space="0" w:color="008000"/>
            </w:tcBorders>
            <w:shd w:val="clear" w:color="auto" w:fill="FFFFFF"/>
          </w:tcPr>
          <w:p w14:paraId="721D445B" w14:textId="37D0FF06" w:rsidR="0087252F" w:rsidRPr="005C7511" w:rsidRDefault="0087252F" w:rsidP="00FA6187">
            <w:pPr>
              <w:pStyle w:val="CETBodytext"/>
              <w:rPr>
                <w:lang w:val="en-GB"/>
              </w:rPr>
            </w:pPr>
            <w:r>
              <w:rPr>
                <w:lang w:val="en-GB"/>
              </w:rPr>
              <w:t>P</w:t>
            </w:r>
            <w:r w:rsidR="003D6982">
              <w:rPr>
                <w:lang w:val="en-GB"/>
              </w:rPr>
              <w:t>r</w:t>
            </w:r>
            <w:r>
              <w:rPr>
                <w:lang w:val="en-GB"/>
              </w:rPr>
              <w:t>(None)</w:t>
            </w:r>
          </w:p>
        </w:tc>
        <w:tc>
          <w:tcPr>
            <w:tcW w:w="1134" w:type="dxa"/>
            <w:tcBorders>
              <w:top w:val="single" w:sz="12" w:space="0" w:color="008000"/>
              <w:bottom w:val="single" w:sz="6" w:space="0" w:color="008000"/>
            </w:tcBorders>
            <w:shd w:val="clear" w:color="auto" w:fill="FFFFFF"/>
          </w:tcPr>
          <w:p w14:paraId="67D44F8B" w14:textId="67D4487E" w:rsidR="0087252F" w:rsidRDefault="0087252F" w:rsidP="00FA6187">
            <w:pPr>
              <w:pStyle w:val="CETBodytext"/>
              <w:rPr>
                <w:lang w:val="en-GB"/>
              </w:rPr>
            </w:pPr>
            <w:r>
              <w:rPr>
                <w:lang w:val="en-GB"/>
              </w:rPr>
              <w:t>P</w:t>
            </w:r>
            <w:r w:rsidR="003D6982">
              <w:rPr>
                <w:lang w:val="en-GB"/>
              </w:rPr>
              <w:t>r</w:t>
            </w:r>
            <w:r>
              <w:rPr>
                <w:lang w:val="en-GB"/>
              </w:rPr>
              <w:t>(Small)</w:t>
            </w:r>
          </w:p>
        </w:tc>
        <w:tc>
          <w:tcPr>
            <w:tcW w:w="1134" w:type="dxa"/>
            <w:tcBorders>
              <w:top w:val="single" w:sz="12" w:space="0" w:color="008000"/>
              <w:bottom w:val="single" w:sz="6" w:space="0" w:color="008000"/>
            </w:tcBorders>
            <w:shd w:val="clear" w:color="auto" w:fill="FFFFFF"/>
          </w:tcPr>
          <w:p w14:paraId="56FC6455" w14:textId="55EDF645" w:rsidR="0087252F" w:rsidRDefault="0087252F" w:rsidP="00FA6187">
            <w:pPr>
              <w:pStyle w:val="CETBodytext"/>
              <w:rPr>
                <w:lang w:val="en-GB"/>
              </w:rPr>
            </w:pPr>
            <w:r>
              <w:rPr>
                <w:lang w:val="en-GB"/>
              </w:rPr>
              <w:t>P</w:t>
            </w:r>
            <w:r w:rsidR="003D6982">
              <w:rPr>
                <w:lang w:val="en-GB"/>
              </w:rPr>
              <w:t>r</w:t>
            </w:r>
            <w:r>
              <w:rPr>
                <w:lang w:val="en-GB"/>
              </w:rPr>
              <w:t>(Large)</w:t>
            </w:r>
          </w:p>
        </w:tc>
        <w:tc>
          <w:tcPr>
            <w:tcW w:w="3799" w:type="dxa"/>
            <w:tcBorders>
              <w:top w:val="single" w:sz="12" w:space="0" w:color="008000"/>
              <w:bottom w:val="single" w:sz="6" w:space="0" w:color="008000"/>
            </w:tcBorders>
            <w:shd w:val="clear" w:color="auto" w:fill="FFFFFF"/>
          </w:tcPr>
          <w:p w14:paraId="2BA1ECBE" w14:textId="77777777" w:rsidR="0087252F" w:rsidRDefault="0087252F" w:rsidP="00FA6187">
            <w:pPr>
              <w:pStyle w:val="CETBodytext"/>
              <w:rPr>
                <w:lang w:val="en-GB"/>
              </w:rPr>
            </w:pPr>
            <w:r>
              <w:rPr>
                <w:lang w:val="en-GB"/>
              </w:rPr>
              <w:t>Containment expected state</w:t>
            </w:r>
          </w:p>
        </w:tc>
      </w:tr>
      <w:tr w:rsidR="0087252F" w:rsidRPr="00B57B36" w14:paraId="279AC3A1" w14:textId="77777777" w:rsidTr="00FA6187">
        <w:tc>
          <w:tcPr>
            <w:tcW w:w="993" w:type="dxa"/>
            <w:shd w:val="clear" w:color="auto" w:fill="FFFFFF"/>
          </w:tcPr>
          <w:p w14:paraId="7AF4DA63" w14:textId="77777777" w:rsidR="0087252F" w:rsidRPr="00B57B36" w:rsidRDefault="0087252F" w:rsidP="00FA6187">
            <w:pPr>
              <w:pStyle w:val="CETBodytext"/>
              <w:rPr>
                <w:lang w:val="en-GB"/>
              </w:rPr>
            </w:pPr>
            <w:r>
              <w:rPr>
                <w:lang w:val="en-GB"/>
              </w:rPr>
              <w:t>0</w:t>
            </w:r>
          </w:p>
        </w:tc>
        <w:tc>
          <w:tcPr>
            <w:tcW w:w="1134" w:type="dxa"/>
            <w:shd w:val="clear" w:color="auto" w:fill="FFFFFF"/>
          </w:tcPr>
          <w:p w14:paraId="1E6B06AC" w14:textId="77777777" w:rsidR="0087252F" w:rsidRPr="00B57B36" w:rsidRDefault="0087252F" w:rsidP="00FA6187">
            <w:pPr>
              <w:pStyle w:val="CETBodytext"/>
              <w:rPr>
                <w:lang w:val="en-GB"/>
              </w:rPr>
            </w:pPr>
            <w:r w:rsidRPr="005F1696">
              <w:t>0.841</w:t>
            </w:r>
          </w:p>
        </w:tc>
        <w:tc>
          <w:tcPr>
            <w:tcW w:w="1134" w:type="dxa"/>
            <w:shd w:val="clear" w:color="auto" w:fill="FFFFFF"/>
          </w:tcPr>
          <w:p w14:paraId="0AEBADF5" w14:textId="77777777" w:rsidR="0087252F" w:rsidRDefault="0087252F" w:rsidP="00FA6187">
            <w:pPr>
              <w:pStyle w:val="CETBodytext"/>
            </w:pPr>
            <w:r w:rsidRPr="005F1696">
              <w:t>0.</w:t>
            </w:r>
            <w:r>
              <w:t>124</w:t>
            </w:r>
          </w:p>
        </w:tc>
        <w:tc>
          <w:tcPr>
            <w:tcW w:w="1134" w:type="dxa"/>
            <w:shd w:val="clear" w:color="auto" w:fill="FFFFFF"/>
          </w:tcPr>
          <w:p w14:paraId="0E7D4FB2" w14:textId="77777777" w:rsidR="0087252F" w:rsidRDefault="0087252F" w:rsidP="00FA6187">
            <w:pPr>
              <w:pStyle w:val="CETBodytext"/>
            </w:pPr>
            <w:r w:rsidRPr="005F1696">
              <w:t>0.</w:t>
            </w:r>
            <w:r>
              <w:t>035</w:t>
            </w:r>
          </w:p>
        </w:tc>
        <w:tc>
          <w:tcPr>
            <w:tcW w:w="3799" w:type="dxa"/>
            <w:shd w:val="clear" w:color="auto" w:fill="FFFFFF"/>
          </w:tcPr>
          <w:p w14:paraId="78672246" w14:textId="77777777" w:rsidR="0087252F" w:rsidRDefault="0087252F" w:rsidP="00FA6187">
            <w:pPr>
              <w:pStyle w:val="CETBodytext"/>
            </w:pPr>
            <w:r>
              <w:t>Effective -&gt; Degraded</w:t>
            </w:r>
          </w:p>
        </w:tc>
      </w:tr>
      <w:tr w:rsidR="0087252F" w:rsidRPr="00B57B36" w14:paraId="2049ADFA" w14:textId="77777777" w:rsidTr="00FA6187">
        <w:tc>
          <w:tcPr>
            <w:tcW w:w="993" w:type="dxa"/>
            <w:shd w:val="clear" w:color="auto" w:fill="FFFFFF"/>
          </w:tcPr>
          <w:p w14:paraId="774FB60D" w14:textId="77777777" w:rsidR="0087252F" w:rsidRDefault="0087252F" w:rsidP="00FA6187">
            <w:pPr>
              <w:pStyle w:val="CETBodytext"/>
              <w:ind w:right="-1"/>
              <w:rPr>
                <w:rFonts w:cs="Arial"/>
                <w:szCs w:val="18"/>
                <w:lang w:val="en-GB"/>
              </w:rPr>
            </w:pPr>
            <w:r>
              <w:rPr>
                <w:rFonts w:cs="Arial"/>
                <w:szCs w:val="18"/>
                <w:lang w:val="en-GB"/>
              </w:rPr>
              <w:t>1</w:t>
            </w:r>
          </w:p>
        </w:tc>
        <w:tc>
          <w:tcPr>
            <w:tcW w:w="1134" w:type="dxa"/>
            <w:shd w:val="clear" w:color="auto" w:fill="FFFFFF"/>
          </w:tcPr>
          <w:p w14:paraId="48080443" w14:textId="1E7C9D50" w:rsidR="0087252F" w:rsidRPr="00B57B36" w:rsidRDefault="0087252F" w:rsidP="0087252F">
            <w:pPr>
              <w:pStyle w:val="CETBodytext"/>
              <w:ind w:right="-1"/>
              <w:rPr>
                <w:rFonts w:cs="Arial"/>
                <w:szCs w:val="18"/>
                <w:lang w:val="en-GB"/>
              </w:rPr>
            </w:pPr>
            <w:r>
              <w:t>0.900</w:t>
            </w:r>
          </w:p>
        </w:tc>
        <w:tc>
          <w:tcPr>
            <w:tcW w:w="1134" w:type="dxa"/>
            <w:shd w:val="clear" w:color="auto" w:fill="FFFFFF"/>
          </w:tcPr>
          <w:p w14:paraId="76985BC6" w14:textId="315E24C5" w:rsidR="0087252F" w:rsidRDefault="0087252F" w:rsidP="0087252F">
            <w:pPr>
              <w:pStyle w:val="CETBodytext"/>
              <w:ind w:right="-1"/>
              <w:rPr>
                <w:rFonts w:cs="Arial"/>
                <w:szCs w:val="18"/>
                <w:lang w:val="en-GB"/>
              </w:rPr>
            </w:pPr>
            <w:r>
              <w:t>0.090</w:t>
            </w:r>
          </w:p>
        </w:tc>
        <w:tc>
          <w:tcPr>
            <w:tcW w:w="1134" w:type="dxa"/>
            <w:shd w:val="clear" w:color="auto" w:fill="FFFFFF"/>
          </w:tcPr>
          <w:p w14:paraId="4E05A82D" w14:textId="1D55A01F" w:rsidR="0087252F" w:rsidRDefault="0087252F" w:rsidP="0087252F">
            <w:pPr>
              <w:pStyle w:val="CETBodytext"/>
              <w:ind w:right="-1"/>
              <w:rPr>
                <w:rFonts w:cs="Arial"/>
                <w:szCs w:val="18"/>
                <w:lang w:val="en-GB"/>
              </w:rPr>
            </w:pPr>
            <w:r>
              <w:t>0.010</w:t>
            </w:r>
          </w:p>
        </w:tc>
        <w:tc>
          <w:tcPr>
            <w:tcW w:w="3799" w:type="dxa"/>
            <w:shd w:val="clear" w:color="auto" w:fill="FFFFFF"/>
          </w:tcPr>
          <w:p w14:paraId="4A1199E4" w14:textId="7B67CFAB" w:rsidR="0087252F" w:rsidRDefault="0087252F" w:rsidP="00FA6187">
            <w:pPr>
              <w:pStyle w:val="CETBodytext"/>
              <w:ind w:right="-1"/>
              <w:rPr>
                <w:rFonts w:cs="Arial"/>
                <w:szCs w:val="18"/>
                <w:lang w:val="en-GB"/>
              </w:rPr>
            </w:pPr>
            <w:r>
              <w:t>Partially recovered</w:t>
            </w:r>
          </w:p>
        </w:tc>
      </w:tr>
      <w:tr w:rsidR="0087252F" w:rsidRPr="00B57B36" w14:paraId="04AC63CE" w14:textId="77777777" w:rsidTr="00FA6187">
        <w:tc>
          <w:tcPr>
            <w:tcW w:w="993" w:type="dxa"/>
            <w:shd w:val="clear" w:color="auto" w:fill="FFFFFF"/>
          </w:tcPr>
          <w:p w14:paraId="45A403BF" w14:textId="77777777" w:rsidR="0087252F" w:rsidRDefault="0087252F" w:rsidP="00FA6187">
            <w:pPr>
              <w:pStyle w:val="CETBodytext"/>
              <w:ind w:right="-1"/>
              <w:rPr>
                <w:rFonts w:cs="Arial"/>
                <w:szCs w:val="18"/>
                <w:lang w:val="en-GB"/>
              </w:rPr>
            </w:pPr>
            <w:r>
              <w:rPr>
                <w:rFonts w:cs="Arial"/>
                <w:szCs w:val="18"/>
                <w:lang w:val="en-GB"/>
              </w:rPr>
              <w:t>2</w:t>
            </w:r>
          </w:p>
        </w:tc>
        <w:tc>
          <w:tcPr>
            <w:tcW w:w="1134" w:type="dxa"/>
            <w:shd w:val="clear" w:color="auto" w:fill="FFFFFF"/>
          </w:tcPr>
          <w:p w14:paraId="40308B81" w14:textId="43B076FD" w:rsidR="0087252F" w:rsidRDefault="0087252F" w:rsidP="0087252F">
            <w:pPr>
              <w:pStyle w:val="CETBodytext"/>
              <w:ind w:right="-1"/>
              <w:rPr>
                <w:rFonts w:cs="Arial"/>
                <w:szCs w:val="18"/>
                <w:lang w:val="en-GB"/>
              </w:rPr>
            </w:pPr>
            <w:r>
              <w:t>0.950</w:t>
            </w:r>
          </w:p>
        </w:tc>
        <w:tc>
          <w:tcPr>
            <w:tcW w:w="1134" w:type="dxa"/>
            <w:shd w:val="clear" w:color="auto" w:fill="FFFFFF"/>
          </w:tcPr>
          <w:p w14:paraId="2164BAE4" w14:textId="7CDAED0C" w:rsidR="0087252F" w:rsidRDefault="0087252F" w:rsidP="0087252F">
            <w:pPr>
              <w:pStyle w:val="CETBodytext"/>
              <w:ind w:right="-1"/>
              <w:rPr>
                <w:rFonts w:cs="Arial"/>
                <w:szCs w:val="18"/>
                <w:lang w:val="en-GB"/>
              </w:rPr>
            </w:pPr>
            <w:r>
              <w:t>0.050</w:t>
            </w:r>
          </w:p>
        </w:tc>
        <w:tc>
          <w:tcPr>
            <w:tcW w:w="1134" w:type="dxa"/>
            <w:shd w:val="clear" w:color="auto" w:fill="FFFFFF"/>
          </w:tcPr>
          <w:p w14:paraId="30628D4D" w14:textId="0863504D" w:rsidR="0087252F" w:rsidRDefault="0087252F" w:rsidP="0087252F">
            <w:pPr>
              <w:pStyle w:val="CETBodytext"/>
              <w:ind w:right="-1"/>
              <w:rPr>
                <w:rFonts w:cs="Arial"/>
                <w:szCs w:val="18"/>
                <w:lang w:val="en-GB"/>
              </w:rPr>
            </w:pPr>
            <w:r>
              <w:t>0.000</w:t>
            </w:r>
          </w:p>
        </w:tc>
        <w:tc>
          <w:tcPr>
            <w:tcW w:w="3799" w:type="dxa"/>
            <w:shd w:val="clear" w:color="auto" w:fill="FFFFFF"/>
          </w:tcPr>
          <w:p w14:paraId="4FD39FF5" w14:textId="0BC793A7" w:rsidR="0087252F" w:rsidRDefault="0087252F" w:rsidP="00FA6187">
            <w:pPr>
              <w:pStyle w:val="CETBodytext"/>
              <w:ind w:right="-1"/>
              <w:rPr>
                <w:rFonts w:cs="Arial"/>
                <w:szCs w:val="18"/>
                <w:lang w:val="en-GB"/>
              </w:rPr>
            </w:pPr>
            <w:r>
              <w:t>Mostly effective</w:t>
            </w:r>
          </w:p>
        </w:tc>
      </w:tr>
    </w:tbl>
    <w:p w14:paraId="333A287E" w14:textId="36D6B819" w:rsidR="0087252F" w:rsidRPr="0087252F" w:rsidRDefault="009F7686" w:rsidP="003F178B">
      <w:pPr>
        <w:pStyle w:val="CETTabletitle"/>
        <w:spacing w:after="0"/>
        <w:rPr>
          <w:i w:val="0"/>
        </w:rPr>
      </w:pPr>
      <w:r w:rsidRPr="00902D55">
        <w:rPr>
          <w:i w:val="0"/>
        </w:rPr>
        <w:t>Tab</w:t>
      </w:r>
      <w:r w:rsidR="00902D55" w:rsidRPr="00902D55">
        <w:rPr>
          <w:i w:val="0"/>
        </w:rPr>
        <w:t>le</w:t>
      </w:r>
      <w:r w:rsidRPr="00902D55">
        <w:rPr>
          <w:i w:val="0"/>
        </w:rPr>
        <w:t xml:space="preserve"> </w:t>
      </w:r>
      <w:r w:rsidR="00B766A1">
        <w:rPr>
          <w:i w:val="0"/>
        </w:rPr>
        <w:t>9</w:t>
      </w:r>
      <w:r w:rsidRPr="00902D55">
        <w:rPr>
          <w:i w:val="0"/>
        </w:rPr>
        <w:t xml:space="preserve"> </w:t>
      </w:r>
      <w:r w:rsidR="00EA779A">
        <w:rPr>
          <w:i w:val="0"/>
        </w:rPr>
        <w:t>clearly evidences</w:t>
      </w:r>
      <w:r w:rsidRPr="00902D55">
        <w:rPr>
          <w:i w:val="0"/>
        </w:rPr>
        <w:t xml:space="preserve"> that </w:t>
      </w:r>
      <w:r>
        <w:rPr>
          <w:i w:val="0"/>
        </w:rPr>
        <w:t>b</w:t>
      </w:r>
      <w:r w:rsidR="0087252F" w:rsidRPr="0087252F">
        <w:rPr>
          <w:i w:val="0"/>
        </w:rPr>
        <w:t>arrier partially recovers once pressure normalizes and compliance improves.</w:t>
      </w:r>
      <w:r w:rsidR="0087252F">
        <w:rPr>
          <w:i w:val="0"/>
        </w:rPr>
        <w:t xml:space="preserve"> </w:t>
      </w:r>
      <w:r w:rsidR="0087252F" w:rsidRPr="0087252F">
        <w:rPr>
          <w:i w:val="0"/>
        </w:rPr>
        <w:t xml:space="preserve">Risk drops from 3.5% </w:t>
      </w:r>
      <w:r w:rsidR="0087252F">
        <w:rPr>
          <w:i w:val="0"/>
        </w:rPr>
        <w:t>to</w:t>
      </w:r>
      <w:r w:rsidR="0087252F" w:rsidRPr="0087252F">
        <w:rPr>
          <w:i w:val="0"/>
        </w:rPr>
        <w:t xml:space="preserve"> 1%, demonstrating </w:t>
      </w:r>
      <w:r w:rsidR="00902D55">
        <w:rPr>
          <w:i w:val="0"/>
        </w:rPr>
        <w:t xml:space="preserve">relevant </w:t>
      </w:r>
      <w:r w:rsidR="0087252F" w:rsidRPr="0087252F">
        <w:rPr>
          <w:i w:val="0"/>
        </w:rPr>
        <w:t xml:space="preserve">sensitivity to human </w:t>
      </w:r>
      <w:r w:rsidR="00902D55">
        <w:rPr>
          <w:i w:val="0"/>
        </w:rPr>
        <w:t>and</w:t>
      </w:r>
      <w:r w:rsidR="0087252F" w:rsidRPr="0087252F">
        <w:rPr>
          <w:i w:val="0"/>
        </w:rPr>
        <w:t xml:space="preserve"> process mitigation.</w:t>
      </w:r>
    </w:p>
    <w:p w14:paraId="6906484D" w14:textId="47D2BE9C" w:rsidR="0087252F" w:rsidRPr="00EA7DBD" w:rsidRDefault="0087252F" w:rsidP="004A33A0">
      <w:pPr>
        <w:pStyle w:val="CETTabletitle"/>
      </w:pPr>
      <w:r w:rsidRPr="00B57B36">
        <w:t xml:space="preserve">Table </w:t>
      </w:r>
      <w:r w:rsidR="00FA6187">
        <w:t>10</w:t>
      </w:r>
      <w:r w:rsidRPr="00B57B36">
        <w:t xml:space="preserve">: </w:t>
      </w:r>
      <w:r>
        <w:t>Risk trajectories</w:t>
      </w:r>
      <w:r w:rsidR="003D6982">
        <w:t xml:space="preserve"> T</w:t>
      </w:r>
      <w:r>
        <w:t xml:space="preserve"> for scenario C (Mitigated</w:t>
      </w:r>
      <w:r w:rsidR="007A1978">
        <w:t xml:space="preserve"> condition</w:t>
      </w:r>
      <w:r>
        <w:t>)</w:t>
      </w:r>
      <w:r w:rsidR="00937B47">
        <w:t>.</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993"/>
        <w:gridCol w:w="1134"/>
        <w:gridCol w:w="1134"/>
        <w:gridCol w:w="1134"/>
        <w:gridCol w:w="3799"/>
      </w:tblGrid>
      <w:tr w:rsidR="0087252F" w:rsidRPr="00B57B36" w14:paraId="57720BEA" w14:textId="77777777" w:rsidTr="00FA6187">
        <w:tc>
          <w:tcPr>
            <w:tcW w:w="993" w:type="dxa"/>
            <w:tcBorders>
              <w:top w:val="single" w:sz="12" w:space="0" w:color="008000"/>
              <w:bottom w:val="single" w:sz="6" w:space="0" w:color="008000"/>
            </w:tcBorders>
            <w:shd w:val="clear" w:color="auto" w:fill="FFFFFF"/>
          </w:tcPr>
          <w:p w14:paraId="3110B2C7" w14:textId="3D3B509B" w:rsidR="0087252F" w:rsidRPr="005C7511" w:rsidRDefault="0087252F" w:rsidP="00FA6187">
            <w:pPr>
              <w:pStyle w:val="CETBodytext"/>
              <w:rPr>
                <w:lang w:val="en-GB"/>
              </w:rPr>
            </w:pPr>
            <w:r>
              <w:rPr>
                <w:lang w:val="en-GB"/>
              </w:rPr>
              <w:t>T</w:t>
            </w:r>
          </w:p>
        </w:tc>
        <w:tc>
          <w:tcPr>
            <w:tcW w:w="1134" w:type="dxa"/>
            <w:tcBorders>
              <w:top w:val="single" w:sz="12" w:space="0" w:color="008000"/>
              <w:bottom w:val="single" w:sz="6" w:space="0" w:color="008000"/>
            </w:tcBorders>
            <w:shd w:val="clear" w:color="auto" w:fill="FFFFFF"/>
          </w:tcPr>
          <w:p w14:paraId="68A738FC" w14:textId="250D8F82" w:rsidR="0087252F" w:rsidRPr="005C7511" w:rsidRDefault="0087252F" w:rsidP="00FA6187">
            <w:pPr>
              <w:pStyle w:val="CETBodytext"/>
              <w:rPr>
                <w:lang w:val="en-GB"/>
              </w:rPr>
            </w:pPr>
            <w:r>
              <w:rPr>
                <w:lang w:val="en-GB"/>
              </w:rPr>
              <w:t>P</w:t>
            </w:r>
            <w:r w:rsidR="003D6982">
              <w:rPr>
                <w:lang w:val="en-GB"/>
              </w:rPr>
              <w:t>r</w:t>
            </w:r>
            <w:r>
              <w:rPr>
                <w:lang w:val="en-GB"/>
              </w:rPr>
              <w:t>(None)</w:t>
            </w:r>
          </w:p>
        </w:tc>
        <w:tc>
          <w:tcPr>
            <w:tcW w:w="1134" w:type="dxa"/>
            <w:tcBorders>
              <w:top w:val="single" w:sz="12" w:space="0" w:color="008000"/>
              <w:bottom w:val="single" w:sz="6" w:space="0" w:color="008000"/>
            </w:tcBorders>
            <w:shd w:val="clear" w:color="auto" w:fill="FFFFFF"/>
          </w:tcPr>
          <w:p w14:paraId="7241FA54" w14:textId="14472AEC" w:rsidR="0087252F" w:rsidRDefault="0087252F" w:rsidP="00FA6187">
            <w:pPr>
              <w:pStyle w:val="CETBodytext"/>
              <w:rPr>
                <w:lang w:val="en-GB"/>
              </w:rPr>
            </w:pPr>
            <w:r>
              <w:rPr>
                <w:lang w:val="en-GB"/>
              </w:rPr>
              <w:t>P</w:t>
            </w:r>
            <w:r w:rsidR="003D6982">
              <w:rPr>
                <w:lang w:val="en-GB"/>
              </w:rPr>
              <w:t>r</w:t>
            </w:r>
            <w:r>
              <w:rPr>
                <w:lang w:val="en-GB"/>
              </w:rPr>
              <w:t>(Small)</w:t>
            </w:r>
          </w:p>
        </w:tc>
        <w:tc>
          <w:tcPr>
            <w:tcW w:w="1134" w:type="dxa"/>
            <w:tcBorders>
              <w:top w:val="single" w:sz="12" w:space="0" w:color="008000"/>
              <w:bottom w:val="single" w:sz="6" w:space="0" w:color="008000"/>
            </w:tcBorders>
            <w:shd w:val="clear" w:color="auto" w:fill="FFFFFF"/>
          </w:tcPr>
          <w:p w14:paraId="682D6019" w14:textId="09465829" w:rsidR="0087252F" w:rsidRDefault="0087252F" w:rsidP="00FA6187">
            <w:pPr>
              <w:pStyle w:val="CETBodytext"/>
              <w:rPr>
                <w:lang w:val="en-GB"/>
              </w:rPr>
            </w:pPr>
            <w:r>
              <w:rPr>
                <w:lang w:val="en-GB"/>
              </w:rPr>
              <w:t>P</w:t>
            </w:r>
            <w:r w:rsidR="003D6982">
              <w:rPr>
                <w:lang w:val="en-GB"/>
              </w:rPr>
              <w:t>r</w:t>
            </w:r>
            <w:r>
              <w:rPr>
                <w:lang w:val="en-GB"/>
              </w:rPr>
              <w:t>(Large)</w:t>
            </w:r>
          </w:p>
        </w:tc>
        <w:tc>
          <w:tcPr>
            <w:tcW w:w="3799" w:type="dxa"/>
            <w:tcBorders>
              <w:top w:val="single" w:sz="12" w:space="0" w:color="008000"/>
              <w:bottom w:val="single" w:sz="6" w:space="0" w:color="008000"/>
            </w:tcBorders>
            <w:shd w:val="clear" w:color="auto" w:fill="FFFFFF"/>
          </w:tcPr>
          <w:p w14:paraId="2FCC9B64" w14:textId="77777777" w:rsidR="0087252F" w:rsidRDefault="0087252F" w:rsidP="00FA6187">
            <w:pPr>
              <w:pStyle w:val="CETBodytext"/>
              <w:rPr>
                <w:lang w:val="en-GB"/>
              </w:rPr>
            </w:pPr>
            <w:r>
              <w:rPr>
                <w:lang w:val="en-GB"/>
              </w:rPr>
              <w:t>Containment expected state</w:t>
            </w:r>
          </w:p>
        </w:tc>
      </w:tr>
      <w:tr w:rsidR="0087252F" w:rsidRPr="00B57B36" w14:paraId="0131A579" w14:textId="77777777" w:rsidTr="00FA6187">
        <w:tc>
          <w:tcPr>
            <w:tcW w:w="993" w:type="dxa"/>
            <w:shd w:val="clear" w:color="auto" w:fill="FFFFFF"/>
          </w:tcPr>
          <w:p w14:paraId="4D3FFFE0" w14:textId="77777777" w:rsidR="0087252F" w:rsidRPr="00B57B36" w:rsidRDefault="0087252F" w:rsidP="00FA6187">
            <w:pPr>
              <w:pStyle w:val="CETBodytext"/>
              <w:rPr>
                <w:lang w:val="en-GB"/>
              </w:rPr>
            </w:pPr>
            <w:r>
              <w:rPr>
                <w:lang w:val="en-GB"/>
              </w:rPr>
              <w:t>0</w:t>
            </w:r>
          </w:p>
        </w:tc>
        <w:tc>
          <w:tcPr>
            <w:tcW w:w="1134" w:type="dxa"/>
            <w:shd w:val="clear" w:color="auto" w:fill="FFFFFF"/>
          </w:tcPr>
          <w:p w14:paraId="2B48157C" w14:textId="77777777" w:rsidR="0087252F" w:rsidRPr="00B57B36" w:rsidRDefault="0087252F" w:rsidP="00FA6187">
            <w:pPr>
              <w:pStyle w:val="CETBodytext"/>
              <w:rPr>
                <w:lang w:val="en-GB"/>
              </w:rPr>
            </w:pPr>
            <w:r w:rsidRPr="005F1696">
              <w:t>0.841</w:t>
            </w:r>
          </w:p>
        </w:tc>
        <w:tc>
          <w:tcPr>
            <w:tcW w:w="1134" w:type="dxa"/>
            <w:shd w:val="clear" w:color="auto" w:fill="FFFFFF"/>
          </w:tcPr>
          <w:p w14:paraId="076CF91D" w14:textId="77777777" w:rsidR="0087252F" w:rsidRDefault="0087252F" w:rsidP="00FA6187">
            <w:pPr>
              <w:pStyle w:val="CETBodytext"/>
            </w:pPr>
            <w:r w:rsidRPr="005F1696">
              <w:t>0.</w:t>
            </w:r>
            <w:r>
              <w:t>124</w:t>
            </w:r>
          </w:p>
        </w:tc>
        <w:tc>
          <w:tcPr>
            <w:tcW w:w="1134" w:type="dxa"/>
            <w:shd w:val="clear" w:color="auto" w:fill="FFFFFF"/>
          </w:tcPr>
          <w:p w14:paraId="7A9D7073" w14:textId="77777777" w:rsidR="0087252F" w:rsidRDefault="0087252F" w:rsidP="00FA6187">
            <w:pPr>
              <w:pStyle w:val="CETBodytext"/>
            </w:pPr>
            <w:r w:rsidRPr="005F1696">
              <w:t>0.</w:t>
            </w:r>
            <w:r>
              <w:t>035</w:t>
            </w:r>
          </w:p>
        </w:tc>
        <w:tc>
          <w:tcPr>
            <w:tcW w:w="3799" w:type="dxa"/>
            <w:shd w:val="clear" w:color="auto" w:fill="FFFFFF"/>
          </w:tcPr>
          <w:p w14:paraId="04EFDE59" w14:textId="573E9FD9" w:rsidR="0087252F" w:rsidRDefault="0087252F" w:rsidP="00FA6187">
            <w:pPr>
              <w:pStyle w:val="CETBodytext"/>
            </w:pPr>
            <w:r>
              <w:t>Mostly effective</w:t>
            </w:r>
          </w:p>
        </w:tc>
      </w:tr>
      <w:tr w:rsidR="0087252F" w:rsidRPr="00B57B36" w14:paraId="127CD42D" w14:textId="77777777" w:rsidTr="00FA6187">
        <w:tc>
          <w:tcPr>
            <w:tcW w:w="993" w:type="dxa"/>
            <w:shd w:val="clear" w:color="auto" w:fill="FFFFFF"/>
          </w:tcPr>
          <w:p w14:paraId="68A5BBB7" w14:textId="77777777" w:rsidR="0087252F" w:rsidRDefault="0087252F" w:rsidP="00FA6187">
            <w:pPr>
              <w:pStyle w:val="CETBodytext"/>
              <w:ind w:right="-1"/>
              <w:rPr>
                <w:rFonts w:cs="Arial"/>
                <w:szCs w:val="18"/>
                <w:lang w:val="en-GB"/>
              </w:rPr>
            </w:pPr>
            <w:r>
              <w:rPr>
                <w:rFonts w:cs="Arial"/>
                <w:szCs w:val="18"/>
                <w:lang w:val="en-GB"/>
              </w:rPr>
              <w:t>1</w:t>
            </w:r>
          </w:p>
        </w:tc>
        <w:tc>
          <w:tcPr>
            <w:tcW w:w="1134" w:type="dxa"/>
            <w:shd w:val="clear" w:color="auto" w:fill="FFFFFF"/>
          </w:tcPr>
          <w:p w14:paraId="391F547E" w14:textId="352AE7D2" w:rsidR="0087252F" w:rsidRPr="00B57B36" w:rsidRDefault="0087252F" w:rsidP="00FA6187">
            <w:pPr>
              <w:pStyle w:val="CETBodytext"/>
              <w:ind w:right="-1"/>
              <w:rPr>
                <w:rFonts w:cs="Arial"/>
                <w:szCs w:val="18"/>
                <w:lang w:val="en-GB"/>
              </w:rPr>
            </w:pPr>
            <w:r>
              <w:t>0.970</w:t>
            </w:r>
          </w:p>
        </w:tc>
        <w:tc>
          <w:tcPr>
            <w:tcW w:w="1134" w:type="dxa"/>
            <w:shd w:val="clear" w:color="auto" w:fill="FFFFFF"/>
          </w:tcPr>
          <w:p w14:paraId="01F93221" w14:textId="3FD65C6C" w:rsidR="0087252F" w:rsidRDefault="0087252F" w:rsidP="00FA6187">
            <w:pPr>
              <w:pStyle w:val="CETBodytext"/>
              <w:ind w:right="-1"/>
              <w:rPr>
                <w:rFonts w:cs="Arial"/>
                <w:szCs w:val="18"/>
                <w:lang w:val="en-GB"/>
              </w:rPr>
            </w:pPr>
            <w:r>
              <w:t>0.030</w:t>
            </w:r>
          </w:p>
        </w:tc>
        <w:tc>
          <w:tcPr>
            <w:tcW w:w="1134" w:type="dxa"/>
            <w:shd w:val="clear" w:color="auto" w:fill="FFFFFF"/>
          </w:tcPr>
          <w:p w14:paraId="5004D2FC" w14:textId="3E336281" w:rsidR="0087252F" w:rsidRDefault="0087252F" w:rsidP="00FA6187">
            <w:pPr>
              <w:pStyle w:val="CETBodytext"/>
              <w:ind w:right="-1"/>
              <w:rPr>
                <w:rFonts w:cs="Arial"/>
                <w:szCs w:val="18"/>
                <w:lang w:val="en-GB"/>
              </w:rPr>
            </w:pPr>
            <w:r>
              <w:t>0.000</w:t>
            </w:r>
          </w:p>
        </w:tc>
        <w:tc>
          <w:tcPr>
            <w:tcW w:w="3799" w:type="dxa"/>
            <w:shd w:val="clear" w:color="auto" w:fill="FFFFFF"/>
          </w:tcPr>
          <w:p w14:paraId="641EF3D3" w14:textId="7855CECD" w:rsidR="0087252F" w:rsidRDefault="0087252F" w:rsidP="00FA6187">
            <w:pPr>
              <w:pStyle w:val="CETBodytext"/>
              <w:ind w:right="-1"/>
              <w:rPr>
                <w:rFonts w:cs="Arial"/>
                <w:szCs w:val="18"/>
                <w:lang w:val="en-GB"/>
              </w:rPr>
            </w:pPr>
            <w:r>
              <w:t>Effective</w:t>
            </w:r>
          </w:p>
        </w:tc>
      </w:tr>
      <w:tr w:rsidR="0087252F" w:rsidRPr="00B57B36" w14:paraId="6C70260C" w14:textId="77777777" w:rsidTr="00FA6187">
        <w:tc>
          <w:tcPr>
            <w:tcW w:w="993" w:type="dxa"/>
            <w:shd w:val="clear" w:color="auto" w:fill="FFFFFF"/>
          </w:tcPr>
          <w:p w14:paraId="59E472C0" w14:textId="77777777" w:rsidR="0087252F" w:rsidRDefault="0087252F" w:rsidP="006064B9">
            <w:pPr>
              <w:pStyle w:val="CETBodytext"/>
              <w:rPr>
                <w:rFonts w:cs="Arial"/>
                <w:szCs w:val="18"/>
                <w:lang w:val="en-GB"/>
              </w:rPr>
            </w:pPr>
            <w:r>
              <w:rPr>
                <w:rFonts w:cs="Arial"/>
                <w:szCs w:val="18"/>
                <w:lang w:val="en-GB"/>
              </w:rPr>
              <w:t>2</w:t>
            </w:r>
          </w:p>
        </w:tc>
        <w:tc>
          <w:tcPr>
            <w:tcW w:w="1134" w:type="dxa"/>
            <w:shd w:val="clear" w:color="auto" w:fill="FFFFFF"/>
          </w:tcPr>
          <w:p w14:paraId="2C1316A1" w14:textId="05143BDA" w:rsidR="0087252F" w:rsidRDefault="0087252F" w:rsidP="006064B9">
            <w:pPr>
              <w:pStyle w:val="CETBodytext"/>
              <w:rPr>
                <w:rFonts w:cs="Arial"/>
                <w:szCs w:val="18"/>
                <w:lang w:val="en-GB"/>
              </w:rPr>
            </w:pPr>
            <w:r>
              <w:t>0.985</w:t>
            </w:r>
          </w:p>
        </w:tc>
        <w:tc>
          <w:tcPr>
            <w:tcW w:w="1134" w:type="dxa"/>
            <w:shd w:val="clear" w:color="auto" w:fill="FFFFFF"/>
          </w:tcPr>
          <w:p w14:paraId="7357E106" w14:textId="23678DB8" w:rsidR="0087252F" w:rsidRDefault="0087252F" w:rsidP="006064B9">
            <w:pPr>
              <w:pStyle w:val="CETBodytext"/>
              <w:rPr>
                <w:rFonts w:cs="Arial"/>
                <w:szCs w:val="18"/>
                <w:lang w:val="en-GB"/>
              </w:rPr>
            </w:pPr>
            <w:r>
              <w:t>0.015</w:t>
            </w:r>
          </w:p>
        </w:tc>
        <w:tc>
          <w:tcPr>
            <w:tcW w:w="1134" w:type="dxa"/>
            <w:shd w:val="clear" w:color="auto" w:fill="FFFFFF"/>
          </w:tcPr>
          <w:p w14:paraId="0D608869" w14:textId="77777777" w:rsidR="0087252F" w:rsidRDefault="0087252F" w:rsidP="006064B9">
            <w:pPr>
              <w:pStyle w:val="CETBodytext"/>
              <w:rPr>
                <w:rFonts w:cs="Arial"/>
                <w:szCs w:val="18"/>
                <w:lang w:val="en-GB"/>
              </w:rPr>
            </w:pPr>
            <w:r>
              <w:t>0.000</w:t>
            </w:r>
          </w:p>
        </w:tc>
        <w:tc>
          <w:tcPr>
            <w:tcW w:w="3799" w:type="dxa"/>
            <w:shd w:val="clear" w:color="auto" w:fill="FFFFFF"/>
          </w:tcPr>
          <w:p w14:paraId="4B5DE6E8" w14:textId="70C5BE5C" w:rsidR="0087252F" w:rsidRDefault="0087252F" w:rsidP="006064B9">
            <w:pPr>
              <w:pStyle w:val="CETBodytext"/>
              <w:rPr>
                <w:rFonts w:cs="Arial"/>
                <w:szCs w:val="18"/>
                <w:lang w:val="en-GB"/>
              </w:rPr>
            </w:pPr>
            <w:r>
              <w:t>Effective</w:t>
            </w:r>
          </w:p>
        </w:tc>
      </w:tr>
    </w:tbl>
    <w:p w14:paraId="13168512" w14:textId="77777777" w:rsidR="006064B9" w:rsidRDefault="006064B9" w:rsidP="00BE55C7">
      <w:pPr>
        <w:pStyle w:val="CETBodytext"/>
      </w:pPr>
    </w:p>
    <w:p w14:paraId="36B5D0CE" w14:textId="0DE29983" w:rsidR="00BE55C7" w:rsidRDefault="00BE55C7" w:rsidP="00BE55C7">
      <w:pPr>
        <w:pStyle w:val="CETBodytext"/>
      </w:pPr>
      <w:r w:rsidRPr="00902D55">
        <w:t>Tab</w:t>
      </w:r>
      <w:r>
        <w:t>le</w:t>
      </w:r>
      <w:r w:rsidRPr="00902D55">
        <w:t xml:space="preserve"> </w:t>
      </w:r>
      <w:r w:rsidR="00FA6187">
        <w:t>10</w:t>
      </w:r>
      <w:r w:rsidRPr="00902D55">
        <w:t xml:space="preserve"> shows that </w:t>
      </w:r>
      <w:r>
        <w:t xml:space="preserve">sustained high procedural compliance prevents barrier degradation. Risk rapidly decays, illustrating effectiveness of operational interventions. </w:t>
      </w:r>
      <w:r w:rsidRPr="00690EEA">
        <w:t>The results depicted in Fig</w:t>
      </w:r>
      <w:r w:rsidR="004C1A12">
        <w:t>ure</w:t>
      </w:r>
      <w:r w:rsidRPr="00690EEA">
        <w:t xml:space="preserve"> </w:t>
      </w:r>
      <w:r w:rsidR="00B766A1">
        <w:t>2</w:t>
      </w:r>
      <w:r w:rsidRPr="00690EEA">
        <w:t xml:space="preserve"> refer the “risk trajectories” for a large leakage</w:t>
      </w:r>
      <w:r>
        <w:t xml:space="preserve">, </w:t>
      </w:r>
      <w:r w:rsidRPr="000D2B0C">
        <w:t>following an observed operational deviation</w:t>
      </w:r>
      <w:r w:rsidRPr="00690EEA">
        <w:t xml:space="preserve">. It can be inferred that even in the absence of an immediate failure, the probability progressively shifts from “no release” toward “small” and “large” release states when the deviation persists. A timely restoration of procedural compliance and process control leads to rapid risk reduction. </w:t>
      </w:r>
      <w:r w:rsidRPr="00F56CE1">
        <w:t xml:space="preserve">According to </w:t>
      </w:r>
      <w:r>
        <w:t>“</w:t>
      </w:r>
      <w:r w:rsidRPr="00F56CE1">
        <w:t>Leveson paradigm</w:t>
      </w:r>
      <w:r>
        <w:t>”</w:t>
      </w:r>
      <w:r w:rsidRPr="00F56CE1">
        <w:t xml:space="preserve">, the focus is on identifying the scenarios that can lead to a loss before an accident occurs: system design implications in the performed test include improved alarm management, automation of pressure control, and staffing strategies to manage workload during critical phases. </w:t>
      </w:r>
    </w:p>
    <w:p w14:paraId="78183E42" w14:textId="77777777" w:rsidR="00BE55C7" w:rsidRDefault="00BE55C7" w:rsidP="00BE55C7">
      <w:pPr>
        <w:pStyle w:val="CETBodytext"/>
      </w:pPr>
    </w:p>
    <w:p w14:paraId="5519587F" w14:textId="77777777" w:rsidR="00BE55C7" w:rsidRDefault="00BE55C7" w:rsidP="00BE55C7">
      <w:pPr>
        <w:pStyle w:val="CETBodytext"/>
      </w:pPr>
      <w:r w:rsidRPr="00166195">
        <w:rPr>
          <w:noProof/>
          <w:color w:val="FF0000"/>
          <w:lang w:val="it-IT" w:eastAsia="it-IT"/>
        </w:rPr>
        <w:drawing>
          <wp:inline distT="0" distB="0" distL="0" distR="0" wp14:anchorId="6792455F" wp14:editId="6A89AB4D">
            <wp:extent cx="2399639" cy="1323975"/>
            <wp:effectExtent l="0" t="0" r="1270" b="0"/>
            <wp:docPr id="461142002" name="Immagine 461142002" descr="Immagine che contiene testo, schermata, line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142002" name="Immagine 461142002" descr="Immagine che contiene testo, schermata, linea, Diagramma&#10;&#10;Il contenuto generato dall'IA potrebbe non essere corretto."/>
                    <pic:cNvPicPr/>
                  </pic:nvPicPr>
                  <pic:blipFill rotWithShape="1">
                    <a:blip r:embed="rId11"/>
                    <a:srcRect t="614"/>
                    <a:stretch/>
                  </pic:blipFill>
                  <pic:spPr bwMode="auto">
                    <a:xfrm>
                      <a:off x="0" y="0"/>
                      <a:ext cx="2411635" cy="1330594"/>
                    </a:xfrm>
                    <a:prstGeom prst="rect">
                      <a:avLst/>
                    </a:prstGeom>
                    <a:ln>
                      <a:noFill/>
                    </a:ln>
                    <a:extLst>
                      <a:ext uri="{53640926-AAD7-44D8-BBD7-CCE9431645EC}">
                        <a14:shadowObscured xmlns:a14="http://schemas.microsoft.com/office/drawing/2010/main"/>
                      </a:ext>
                    </a:extLst>
                  </pic:spPr>
                </pic:pic>
              </a:graphicData>
            </a:graphic>
          </wp:inline>
        </w:drawing>
      </w:r>
    </w:p>
    <w:p w14:paraId="5F9822AA" w14:textId="23BA8663" w:rsidR="00BE55C7" w:rsidRPr="000D2B0C" w:rsidRDefault="00BE55C7" w:rsidP="005D7C8D">
      <w:pPr>
        <w:pStyle w:val="CETTabletitle"/>
        <w:spacing w:before="120"/>
      </w:pPr>
      <w:r>
        <w:t>Figure</w:t>
      </w:r>
      <w:r w:rsidRPr="00B57B36">
        <w:t xml:space="preserve"> </w:t>
      </w:r>
      <w:r w:rsidR="00B766A1">
        <w:t>2</w:t>
      </w:r>
      <w:r w:rsidRPr="00B57B36">
        <w:t xml:space="preserve">: </w:t>
      </w:r>
      <w:r>
        <w:t>D</w:t>
      </w:r>
      <w:r w:rsidRPr="009F7686">
        <w:t xml:space="preserve">ynamic evolution of the posterior probability </w:t>
      </w:r>
      <w:r w:rsidR="003D6982">
        <w:t xml:space="preserve">Pr </w:t>
      </w:r>
      <w:r w:rsidRPr="009F7686">
        <w:t xml:space="preserve">of a large </w:t>
      </w:r>
      <w:r w:rsidR="00EC0263">
        <w:t>ammonia</w:t>
      </w:r>
      <w:r w:rsidRPr="009F7686">
        <w:t xml:space="preserve"> release</w:t>
      </w:r>
      <w:r>
        <w:t>.</w:t>
      </w:r>
    </w:p>
    <w:p w14:paraId="6A76B889" w14:textId="731B6AD1" w:rsidR="00BE55C7" w:rsidRPr="00937B47" w:rsidRDefault="00BE55C7" w:rsidP="00BE55C7">
      <w:pPr>
        <w:pStyle w:val="CETBodytext"/>
        <w:rPr>
          <w:lang w:val="en-GB"/>
        </w:rPr>
      </w:pPr>
      <w:r>
        <w:t xml:space="preserve">In this regard, </w:t>
      </w:r>
      <w:r w:rsidRPr="00690EEA">
        <w:t xml:space="preserve">the results should be interpreted as decision-support indicators providing information on evolving system vulnerability </w:t>
      </w:r>
      <w:r>
        <w:t xml:space="preserve">and </w:t>
      </w:r>
      <w:r w:rsidRPr="00B35344">
        <w:t xml:space="preserve">early warning insight </w:t>
      </w:r>
      <w:r w:rsidRPr="00690EEA">
        <w:t xml:space="preserve">to operators and safety managers. </w:t>
      </w:r>
      <w:r>
        <w:t>The framework supports proactive safety management by enabling real-time risk monitoring, identification of leading indicators, and evaluation of mitigation strategies. U</w:t>
      </w:r>
      <w:r w:rsidRPr="00C20521">
        <w:rPr>
          <w:lang w:val="en-GB"/>
        </w:rPr>
        <w:t xml:space="preserve">pon </w:t>
      </w:r>
      <w:r>
        <w:rPr>
          <w:lang w:val="en-GB"/>
        </w:rPr>
        <w:t xml:space="preserve">proper </w:t>
      </w:r>
      <w:r w:rsidRPr="00C20521">
        <w:rPr>
          <w:lang w:val="en-GB"/>
        </w:rPr>
        <w:t xml:space="preserve">refinement and </w:t>
      </w:r>
      <w:r>
        <w:rPr>
          <w:lang w:val="en-GB"/>
        </w:rPr>
        <w:t xml:space="preserve">field validation with large dataset, </w:t>
      </w:r>
      <w:r w:rsidR="00012666">
        <w:rPr>
          <w:lang w:val="en-GB"/>
        </w:rPr>
        <w:t>it</w:t>
      </w:r>
      <w:r>
        <w:rPr>
          <w:lang w:val="en-GB"/>
        </w:rPr>
        <w:t xml:space="preserve"> </w:t>
      </w:r>
      <w:r w:rsidRPr="00C20521">
        <w:rPr>
          <w:lang w:val="en-GB"/>
        </w:rPr>
        <w:t>may provide a reproducible methodology for proactive safety assurance and resilience enhancement in fuel maritime operations and offer actionable insights for improving bunkering procedures, vessel design, and safety-</w:t>
      </w:r>
      <w:r w:rsidRPr="00937B47">
        <w:rPr>
          <w:lang w:val="en-GB"/>
        </w:rPr>
        <w:t>management strategies, as the sector transitions to ammonia-powered propulsion.</w:t>
      </w:r>
      <w:r w:rsidR="00B12736" w:rsidRPr="00937B47">
        <w:rPr>
          <w:lang w:val="en-GB"/>
        </w:rPr>
        <w:t xml:space="preserve"> Validation requires operational data on process dynamics, barrier states, and precursors; frequency: post-operation or event-driven updates. Challenges</w:t>
      </w:r>
      <w:r w:rsidR="001A3231" w:rsidRPr="00937B47">
        <w:rPr>
          <w:lang w:val="en-GB"/>
        </w:rPr>
        <w:t xml:space="preserve"> include </w:t>
      </w:r>
      <w:r w:rsidR="00B12736" w:rsidRPr="00937B47">
        <w:rPr>
          <w:lang w:val="en-GB"/>
        </w:rPr>
        <w:t xml:space="preserve">limited ammonia-specific data, multi-source integration, and real-time computation. </w:t>
      </w:r>
    </w:p>
    <w:p w14:paraId="68D26B83" w14:textId="77777777" w:rsidR="00600535" w:rsidRPr="00B57B36" w:rsidRDefault="00600535" w:rsidP="009C05E6">
      <w:pPr>
        <w:pStyle w:val="CETHeading1"/>
        <w:spacing w:before="120"/>
        <w:rPr>
          <w:lang w:val="en-GB"/>
        </w:rPr>
      </w:pPr>
      <w:r w:rsidRPr="00B57B36">
        <w:rPr>
          <w:lang w:val="en-GB"/>
        </w:rPr>
        <w:lastRenderedPageBreak/>
        <w:t>Conclusions</w:t>
      </w:r>
    </w:p>
    <w:p w14:paraId="235BF089" w14:textId="3682C95F" w:rsidR="00554156" w:rsidRDefault="00554156" w:rsidP="00600535">
      <w:pPr>
        <w:pStyle w:val="CETBodytext"/>
        <w:rPr>
          <w:lang w:val="en-GB"/>
        </w:rPr>
      </w:pPr>
      <w:r w:rsidRPr="00554156">
        <w:rPr>
          <w:lang w:val="en-GB"/>
        </w:rPr>
        <w:t xml:space="preserve">The </w:t>
      </w:r>
      <w:r>
        <w:rPr>
          <w:lang w:val="en-GB"/>
        </w:rPr>
        <w:t>Systemic –</w:t>
      </w:r>
      <w:r w:rsidRPr="00554156">
        <w:rPr>
          <w:lang w:val="en-GB"/>
        </w:rPr>
        <w:t xml:space="preserve"> Bayesian</w:t>
      </w:r>
      <w:r>
        <w:rPr>
          <w:lang w:val="en-GB"/>
        </w:rPr>
        <w:t xml:space="preserve"> </w:t>
      </w:r>
      <w:r w:rsidRPr="00554156">
        <w:rPr>
          <w:lang w:val="en-GB"/>
        </w:rPr>
        <w:t>approach represents a paradigm shift from static, compliance-driven risk assessment toward adaptive, learning-oriented safety management</w:t>
      </w:r>
      <w:r w:rsidR="003E3F75">
        <w:rPr>
          <w:lang w:val="en-GB"/>
        </w:rPr>
        <w:t xml:space="preserve"> </w:t>
      </w:r>
      <w:r w:rsidR="003E3F75" w:rsidRPr="003E3F75">
        <w:rPr>
          <w:lang w:val="en-GB"/>
        </w:rPr>
        <w:t>that could be supported by dynamic Bayesian network based on accident data, expert estimates, and stakeholder input. Good management will reduce risk by effective safety measures, such as training operators, safety zones, PPE, and emergency readiness</w:t>
      </w:r>
      <w:r w:rsidRPr="00554156">
        <w:rPr>
          <w:lang w:val="en-GB"/>
        </w:rPr>
        <w:t xml:space="preserve"> While model development requires interdisciplinary expertise and data integration, the benefits in terms of insight, transparency, and proactive control are substantial. Challenges include data availability, model validation, and organizational acceptance, which must be addressed through iterative development and stakeholder engagement.</w:t>
      </w:r>
      <w:r>
        <w:rPr>
          <w:lang w:val="en-GB"/>
        </w:rPr>
        <w:t xml:space="preserve"> </w:t>
      </w:r>
      <w:r w:rsidRPr="00554156">
        <w:rPr>
          <w:lang w:val="en-GB"/>
        </w:rPr>
        <w:t>The framework explicitly models barrier degradation mechanisms such as wear, corrosion, sensor drift, procedural drift, and cognitive fatigue. Dependencies between barriers are represented, allowing common-cause and cascading failures to emerge naturally from the mode</w:t>
      </w:r>
      <w:r>
        <w:rPr>
          <w:lang w:val="en-GB"/>
        </w:rPr>
        <w:t xml:space="preserve">l. </w:t>
      </w:r>
      <w:r w:rsidR="00572C47">
        <w:rPr>
          <w:lang w:val="en-GB"/>
        </w:rPr>
        <w:t>T</w:t>
      </w:r>
      <w:r w:rsidRPr="00554156">
        <w:rPr>
          <w:lang w:val="en-GB"/>
        </w:rPr>
        <w:t xml:space="preserve">he model identifies high-risk precursor </w:t>
      </w:r>
      <w:r w:rsidRPr="00937B47">
        <w:rPr>
          <w:lang w:val="en-GB"/>
        </w:rPr>
        <w:t xml:space="preserve">conditions that precede barrier failure or </w:t>
      </w:r>
      <w:r w:rsidR="00572C47" w:rsidRPr="00937B47">
        <w:rPr>
          <w:lang w:val="en-GB"/>
        </w:rPr>
        <w:t xml:space="preserve">LOC, </w:t>
      </w:r>
      <w:r w:rsidRPr="00937B47">
        <w:rPr>
          <w:lang w:val="en-GB"/>
        </w:rPr>
        <w:t xml:space="preserve">supporting early intervention. </w:t>
      </w:r>
      <w:r w:rsidR="00B12736" w:rsidRPr="00937B47">
        <w:rPr>
          <w:lang w:val="en-GB"/>
        </w:rPr>
        <w:t xml:space="preserve">Field validation via </w:t>
      </w:r>
      <w:r w:rsidR="006F6902" w:rsidRPr="00937B47">
        <w:rPr>
          <w:lang w:val="en-GB"/>
        </w:rPr>
        <w:t>experimental</w:t>
      </w:r>
      <w:r w:rsidR="00B12736" w:rsidRPr="00937B47">
        <w:rPr>
          <w:lang w:val="en-GB"/>
        </w:rPr>
        <w:t xml:space="preserve"> trials </w:t>
      </w:r>
      <w:r w:rsidR="006F6902" w:rsidRPr="00937B47">
        <w:rPr>
          <w:lang w:val="en-GB"/>
        </w:rPr>
        <w:t xml:space="preserve">in a pilot urban port </w:t>
      </w:r>
      <w:r w:rsidR="00B12736" w:rsidRPr="00937B47">
        <w:rPr>
          <w:lang w:val="en-GB"/>
        </w:rPr>
        <w:t xml:space="preserve">is planned to </w:t>
      </w:r>
      <w:r w:rsidR="006F6902" w:rsidRPr="00937B47">
        <w:rPr>
          <w:lang w:val="en-GB"/>
        </w:rPr>
        <w:t xml:space="preserve">expand operational datasets </w:t>
      </w:r>
      <w:r w:rsidR="00A73E30" w:rsidRPr="00937B47">
        <w:rPr>
          <w:lang w:val="en-GB"/>
        </w:rPr>
        <w:t xml:space="preserve">and </w:t>
      </w:r>
      <w:r w:rsidR="00B12736" w:rsidRPr="00937B47">
        <w:rPr>
          <w:lang w:val="en-GB"/>
        </w:rPr>
        <w:t xml:space="preserve">refine parameters. </w:t>
      </w:r>
      <w:r w:rsidRPr="00937B47">
        <w:rPr>
          <w:lang w:val="en-GB"/>
        </w:rPr>
        <w:t xml:space="preserve">When coupled with </w:t>
      </w:r>
      <w:r w:rsidRPr="00554156">
        <w:rPr>
          <w:lang w:val="en-GB"/>
        </w:rPr>
        <w:t xml:space="preserve">real-time data streams, the framework can function as a dynamic risk monitor, </w:t>
      </w:r>
      <w:r w:rsidR="00613C79">
        <w:rPr>
          <w:lang w:val="en-GB"/>
        </w:rPr>
        <w:t>offering</w:t>
      </w:r>
      <w:r w:rsidRPr="00554156">
        <w:rPr>
          <w:lang w:val="en-GB"/>
        </w:rPr>
        <w:t xml:space="preserve"> regulators and designers a structured means to evaluate compliance, robustness and resilience of ammonia bunkering systems.</w:t>
      </w:r>
    </w:p>
    <w:p w14:paraId="459D05E6" w14:textId="77777777" w:rsidR="00600535" w:rsidRPr="00B57B36" w:rsidRDefault="00600535" w:rsidP="00600535">
      <w:pPr>
        <w:pStyle w:val="CETAcknowledgementstitle"/>
      </w:pPr>
      <w:r w:rsidRPr="00B57B36">
        <w:t>Acknowledgments</w:t>
      </w:r>
    </w:p>
    <w:p w14:paraId="7DAEB139" w14:textId="3AF26A17" w:rsidR="001A3231" w:rsidRPr="001A3231" w:rsidRDefault="001A3231" w:rsidP="001A3231">
      <w:pPr>
        <w:pStyle w:val="CETBodytext"/>
        <w:rPr>
          <w:lang w:val="en-GB"/>
        </w:rPr>
      </w:pPr>
      <w:r w:rsidRPr="001A3231">
        <w:rPr>
          <w:lang w:val="en-GB"/>
        </w:rPr>
        <w:t>The authors gratefully acknowledge funding by INAIL within the framework of the call BRIC/202</w:t>
      </w:r>
      <w:r>
        <w:rPr>
          <w:lang w:val="en-GB"/>
        </w:rPr>
        <w:t>5</w:t>
      </w:r>
      <w:r w:rsidRPr="001A3231">
        <w:rPr>
          <w:lang w:val="en-GB"/>
        </w:rPr>
        <w:t>/ID</w:t>
      </w:r>
      <w:r>
        <w:rPr>
          <w:lang w:val="en-GB"/>
        </w:rPr>
        <w:t>21</w:t>
      </w:r>
      <w:r w:rsidRPr="001A3231">
        <w:rPr>
          <w:lang w:val="en-GB"/>
        </w:rPr>
        <w:t xml:space="preserve"> (Project</w:t>
      </w:r>
    </w:p>
    <w:p w14:paraId="33F8138F" w14:textId="2DE42344" w:rsidR="00600535" w:rsidRPr="001A3231" w:rsidRDefault="001A3231" w:rsidP="001A3231">
      <w:pPr>
        <w:pStyle w:val="CETBodytext"/>
        <w:rPr>
          <w:lang w:val="it-IT"/>
        </w:rPr>
      </w:pPr>
      <w:r w:rsidRPr="001A3231">
        <w:rPr>
          <w:lang w:val="it-IT"/>
        </w:rPr>
        <w:t>GENIUS (GEstioNe Intelligente di nUove modalità Sostenibili di produzione, trasporto, distribuzione e utilizzo dell'idrogeno).</w:t>
      </w:r>
      <w:r w:rsidR="008B59D5" w:rsidRPr="001A3231">
        <w:rPr>
          <w:lang w:val="it-IT"/>
        </w:rPr>
        <w:t xml:space="preserve"> </w:t>
      </w:r>
    </w:p>
    <w:p w14:paraId="4F1327F8" w14:textId="77777777" w:rsidR="00600535" w:rsidRPr="00B57B36" w:rsidRDefault="00600535" w:rsidP="00600535">
      <w:pPr>
        <w:pStyle w:val="CETReference"/>
      </w:pPr>
      <w:r w:rsidRPr="00B57B36">
        <w:t>References</w:t>
      </w:r>
    </w:p>
    <w:p w14:paraId="301D5BFE" w14:textId="77777777" w:rsidR="004E229E" w:rsidRDefault="004E229E" w:rsidP="00CB0A9C">
      <w:pPr>
        <w:pStyle w:val="CETReferencetext"/>
      </w:pPr>
      <w:r w:rsidRPr="004F7D20">
        <w:rPr>
          <w:lang w:val="nl-NL"/>
        </w:rPr>
        <w:t>Duong P.A., Ryu B.R., Jung J., Kang H., 2023</w:t>
      </w:r>
      <w:r>
        <w:rPr>
          <w:lang w:val="nl-NL"/>
        </w:rPr>
        <w:t>,</w:t>
      </w:r>
      <w:r w:rsidRPr="004F7D20">
        <w:rPr>
          <w:lang w:val="nl-NL"/>
        </w:rPr>
        <w:t xml:space="preserve"> </w:t>
      </w:r>
      <w:r>
        <w:t>Comparative analysis on vapor cloud dispersion between LNG/liquid NH</w:t>
      </w:r>
      <w:r w:rsidRPr="00E5437B">
        <w:rPr>
          <w:vertAlign w:val="subscript"/>
        </w:rPr>
        <w:t>3</w:t>
      </w:r>
      <w:r>
        <w:t xml:space="preserve"> leakage on the ship to ship bunkering for establishing safety zones, J Loss Prev Process Ind, 85, 105167.</w:t>
      </w:r>
    </w:p>
    <w:p w14:paraId="715EFEBB" w14:textId="77777777" w:rsidR="004E229E" w:rsidRDefault="004E229E" w:rsidP="0085401F">
      <w:pPr>
        <w:pStyle w:val="CETReferencetext"/>
      </w:pPr>
      <w:r w:rsidRPr="00423317">
        <w:rPr>
          <w:lang w:val="en-US"/>
        </w:rPr>
        <w:t xml:space="preserve">Fabiano B., Pettinato M., Currò F. Reverberi A.P., 2025, </w:t>
      </w:r>
      <w:r w:rsidRPr="000167BE">
        <w:rPr>
          <w:lang w:val="en-US"/>
        </w:rPr>
        <w:t xml:space="preserve">Safety </w:t>
      </w:r>
      <w:r>
        <w:t>concerns for ammonia as a green energy vector and the role of spray curtains for Its accidental release mitigation, Energies, 18, 3412.</w:t>
      </w:r>
    </w:p>
    <w:p w14:paraId="645F3581" w14:textId="77777777" w:rsidR="004E229E" w:rsidRDefault="004E229E" w:rsidP="00CB0A9C">
      <w:pPr>
        <w:pStyle w:val="CETReferencetext"/>
      </w:pPr>
      <w:r>
        <w:t xml:space="preserve">Hwang I., Jeong B., Zhou P., Wang H., Mesbahi A., Jang H., Mujeeb-Ahmed M.P., Yang I., 2026, A PIDA-PDA integrated parametric approach for establishing safety zone for hydrogen, ammonia and LNG bunkering operations, Int J Hydrogen Energy, 206, 153212. </w:t>
      </w:r>
    </w:p>
    <w:p w14:paraId="33949385" w14:textId="77777777" w:rsidR="004E229E" w:rsidRPr="001257EA" w:rsidRDefault="004E229E" w:rsidP="001257EA">
      <w:pPr>
        <w:pStyle w:val="CETReferencetext"/>
        <w:rPr>
          <w:lang w:val="en-US"/>
        </w:rPr>
      </w:pPr>
      <w:r w:rsidRPr="001257EA">
        <w:rPr>
          <w:lang w:val="en-US"/>
        </w:rPr>
        <w:t>Ibrahim A</w:t>
      </w:r>
      <w:r>
        <w:rPr>
          <w:lang w:val="en-US"/>
        </w:rPr>
        <w:t>.</w:t>
      </w:r>
      <w:r w:rsidRPr="001257EA">
        <w:rPr>
          <w:lang w:val="en-US"/>
        </w:rPr>
        <w:t>, Paskevicius M</w:t>
      </w:r>
      <w:r>
        <w:rPr>
          <w:lang w:val="en-US"/>
        </w:rPr>
        <w:t>.</w:t>
      </w:r>
      <w:r w:rsidRPr="001257EA">
        <w:rPr>
          <w:lang w:val="en-US"/>
        </w:rPr>
        <w:t>, Buckley C</w:t>
      </w:r>
      <w:r>
        <w:rPr>
          <w:lang w:val="en-US"/>
        </w:rPr>
        <w:t>.</w:t>
      </w:r>
      <w:r w:rsidRPr="001257EA">
        <w:rPr>
          <w:lang w:val="en-US"/>
        </w:rPr>
        <w:t>E.</w:t>
      </w:r>
      <w:r>
        <w:rPr>
          <w:lang w:val="en-US"/>
        </w:rPr>
        <w:t>, 2023,</w:t>
      </w:r>
      <w:r w:rsidRPr="001257EA">
        <w:rPr>
          <w:lang w:val="en-US"/>
        </w:rPr>
        <w:t xml:space="preserve"> Chemical compression and transport of hydrogen using sodium borohydride</w:t>
      </w:r>
      <w:r>
        <w:rPr>
          <w:lang w:val="en-US"/>
        </w:rPr>
        <w:t>,</w:t>
      </w:r>
      <w:r w:rsidRPr="001257EA">
        <w:rPr>
          <w:lang w:val="en-US"/>
        </w:rPr>
        <w:t xml:space="preserve"> Sustain Energy Fuels</w:t>
      </w:r>
      <w:r>
        <w:rPr>
          <w:lang w:val="en-US"/>
        </w:rPr>
        <w:t xml:space="preserve">, </w:t>
      </w:r>
      <w:r w:rsidRPr="001257EA">
        <w:rPr>
          <w:lang w:val="en-US"/>
        </w:rPr>
        <w:t>7</w:t>
      </w:r>
      <w:r>
        <w:rPr>
          <w:lang w:val="en-US"/>
        </w:rPr>
        <w:t>,</w:t>
      </w:r>
      <w:r w:rsidRPr="001257EA">
        <w:rPr>
          <w:lang w:val="en-US"/>
        </w:rPr>
        <w:t>1196</w:t>
      </w:r>
      <w:r>
        <w:rPr>
          <w:lang w:val="en-US"/>
        </w:rPr>
        <w:t>-1</w:t>
      </w:r>
      <w:r w:rsidRPr="001257EA">
        <w:rPr>
          <w:lang w:val="en-US"/>
        </w:rPr>
        <w:t xml:space="preserve">203. </w:t>
      </w:r>
    </w:p>
    <w:p w14:paraId="65EC203E" w14:textId="77777777" w:rsidR="004E229E" w:rsidRDefault="004E229E" w:rsidP="00CB0A9C">
      <w:pPr>
        <w:pStyle w:val="CETReferencetext"/>
      </w:pPr>
      <w:r>
        <w:t xml:space="preserve">IMO, 2015, IGF, </w:t>
      </w:r>
      <w:r w:rsidRPr="00CB0A9C">
        <w:t xml:space="preserve">International </w:t>
      </w:r>
      <w:r>
        <w:t>c</w:t>
      </w:r>
      <w:r w:rsidRPr="00CB0A9C">
        <w:t xml:space="preserve">ode of </w:t>
      </w:r>
      <w:r>
        <w:t>s</w:t>
      </w:r>
      <w:r w:rsidRPr="00CB0A9C">
        <w:t xml:space="preserve">afety for </w:t>
      </w:r>
      <w:r>
        <w:t>s</w:t>
      </w:r>
      <w:r w:rsidRPr="00CB0A9C">
        <w:t xml:space="preserve">hips </w:t>
      </w:r>
      <w:r>
        <w:t>u</w:t>
      </w:r>
      <w:r w:rsidRPr="00CB0A9C">
        <w:t xml:space="preserve">sing </w:t>
      </w:r>
      <w:r>
        <w:t>g</w:t>
      </w:r>
      <w:r w:rsidRPr="00CB0A9C">
        <w:t xml:space="preserve">ases or </w:t>
      </w:r>
      <w:r>
        <w:t>o</w:t>
      </w:r>
      <w:r w:rsidRPr="00CB0A9C">
        <w:t xml:space="preserve">ther </w:t>
      </w:r>
      <w:r>
        <w:t>l</w:t>
      </w:r>
      <w:r w:rsidRPr="00CB0A9C">
        <w:t xml:space="preserve">ow-flashpoint </w:t>
      </w:r>
      <w:r>
        <w:t>f</w:t>
      </w:r>
      <w:r w:rsidRPr="00CB0A9C">
        <w:t>uels</w:t>
      </w:r>
      <w:r>
        <w:t>, IMO ed.</w:t>
      </w:r>
    </w:p>
    <w:p w14:paraId="2E9DDCF1" w14:textId="77777777" w:rsidR="004E229E" w:rsidRDefault="004E229E" w:rsidP="00CB0A9C">
      <w:pPr>
        <w:pStyle w:val="CETReferencetext"/>
      </w:pPr>
      <w:r>
        <w:t xml:space="preserve">IMO, 2025, </w:t>
      </w:r>
      <w:r w:rsidRPr="00CB0A9C">
        <w:t>Alternative Fuels Safety</w:t>
      </w:r>
      <w:r>
        <w:t xml:space="preserve">, Interim guidelines for the safety of ships using ammonia as fuel, IMO ed. </w:t>
      </w:r>
    </w:p>
    <w:p w14:paraId="7931CB09" w14:textId="77777777" w:rsidR="004E229E" w:rsidRPr="004F7D20" w:rsidRDefault="004E229E" w:rsidP="00993355">
      <w:pPr>
        <w:pStyle w:val="CETReferencetext"/>
        <w:rPr>
          <w:lang w:val="nl-NL"/>
        </w:rPr>
      </w:pPr>
      <w:r w:rsidRPr="00993355">
        <w:t>Jiang</w:t>
      </w:r>
      <w:r>
        <w:t xml:space="preserve"> S.,</w:t>
      </w:r>
      <w:r w:rsidRPr="00993355">
        <w:t xml:space="preserve"> Laursen</w:t>
      </w:r>
      <w:r>
        <w:t xml:space="preserve"> R.,</w:t>
      </w:r>
      <w:r w:rsidRPr="00993355">
        <w:t xml:space="preserve"> Semiz</w:t>
      </w:r>
      <w:r>
        <w:t xml:space="preserve"> O.,</w:t>
      </w:r>
      <w:r w:rsidRPr="00993355">
        <w:t xml:space="preserve"> Skinitis</w:t>
      </w:r>
      <w:r>
        <w:t xml:space="preserve"> P.,</w:t>
      </w:r>
      <w:r w:rsidRPr="00993355">
        <w:t xml:space="preserve"> </w:t>
      </w:r>
      <w:r>
        <w:t xml:space="preserve">2024, Safety of ammonia for use in ships – part 2: Safety assessment and reliability analysis of main component, equipment, sub-systems and systems rev. 4. </w:t>
      </w:r>
      <w:r w:rsidRPr="004F7D20">
        <w:rPr>
          <w:lang w:val="nl-NL"/>
        </w:rPr>
        <w:t>EMSA.</w:t>
      </w:r>
    </w:p>
    <w:p w14:paraId="06470F09" w14:textId="77777777" w:rsidR="004E229E" w:rsidRPr="004F7D20" w:rsidRDefault="004E229E" w:rsidP="00CB0A9C">
      <w:pPr>
        <w:pStyle w:val="CETReferencetext"/>
        <w:rPr>
          <w:lang w:val="nl-NL"/>
        </w:rPr>
      </w:pPr>
      <w:r w:rsidRPr="004F7D20">
        <w:rPr>
          <w:lang w:val="nl-NL"/>
        </w:rPr>
        <w:t>Khan R.U., Yin J., Wang S., Hussein M., Alqurashi Y., Al Sulaie S., 2025a</w:t>
      </w:r>
      <w:r>
        <w:rPr>
          <w:lang w:val="nl-NL"/>
        </w:rPr>
        <w:t xml:space="preserve">, </w:t>
      </w:r>
      <w:r>
        <w:t xml:space="preserve">A system theoretic quantitative risk assessment for port ammonia bunkering operations, </w:t>
      </w:r>
      <w:r w:rsidRPr="004F7D20">
        <w:rPr>
          <w:lang w:val="nl-NL"/>
        </w:rPr>
        <w:t>Int J Hydrogen Energy</w:t>
      </w:r>
      <w:r>
        <w:rPr>
          <w:lang w:val="nl-NL"/>
        </w:rPr>
        <w:t>,</w:t>
      </w:r>
      <w:r w:rsidRPr="004F7D20">
        <w:rPr>
          <w:lang w:val="nl-NL"/>
        </w:rPr>
        <w:t xml:space="preserve">172, 151217. </w:t>
      </w:r>
    </w:p>
    <w:p w14:paraId="6F187BFF" w14:textId="77777777" w:rsidR="004E229E" w:rsidRDefault="004E229E" w:rsidP="00CB0A9C">
      <w:pPr>
        <w:pStyle w:val="CETReferencetext"/>
      </w:pPr>
      <w:r w:rsidRPr="004F7D20">
        <w:rPr>
          <w:lang w:val="nl-NL"/>
        </w:rPr>
        <w:t>Khan R.U., Yin J., Wang X., 2025b</w:t>
      </w:r>
      <w:r>
        <w:rPr>
          <w:lang w:val="nl-NL"/>
        </w:rPr>
        <w:t>,</w:t>
      </w:r>
      <w:r w:rsidRPr="004F7D20">
        <w:rPr>
          <w:lang w:val="nl-NL"/>
        </w:rPr>
        <w:t xml:space="preserve"> </w:t>
      </w:r>
      <w:r>
        <w:t xml:space="preserve">Fuzzy Bayesian risk assessment of system and component failures in ammonia bunkering. Ocean Engineering 338, 121960. </w:t>
      </w:r>
    </w:p>
    <w:p w14:paraId="1959DA87" w14:textId="77777777" w:rsidR="004E229E" w:rsidRDefault="004E229E" w:rsidP="00CB0A9C">
      <w:pPr>
        <w:pStyle w:val="CETReferencetext"/>
      </w:pPr>
      <w:r>
        <w:t xml:space="preserve">Kojima Y., 2024, Safety of ammonia as a hydrogen energy carrier. Int J Hydrogen Energy 50, 732–739. </w:t>
      </w:r>
    </w:p>
    <w:p w14:paraId="27212E4F" w14:textId="77777777" w:rsidR="004E229E" w:rsidRPr="004E229E" w:rsidRDefault="004E229E" w:rsidP="00CB0A9C">
      <w:pPr>
        <w:pStyle w:val="CETReferencetext"/>
        <w:rPr>
          <w:lang w:val="en-US"/>
        </w:rPr>
      </w:pPr>
      <w:r w:rsidRPr="00E45005">
        <w:rPr>
          <w:lang w:val="en-US"/>
        </w:rPr>
        <w:t>Leveson N., 2004</w:t>
      </w:r>
      <w:r>
        <w:rPr>
          <w:lang w:val="en-US"/>
        </w:rPr>
        <w:t>,</w:t>
      </w:r>
      <w:r w:rsidRPr="00E45005">
        <w:rPr>
          <w:lang w:val="en-US"/>
        </w:rPr>
        <w:t xml:space="preserve"> A new accident model for engineering safer systems. </w:t>
      </w:r>
      <w:r w:rsidRPr="004E229E">
        <w:rPr>
          <w:lang w:val="en-US"/>
        </w:rPr>
        <w:t xml:space="preserve">Saf Sci 42, 237–270. </w:t>
      </w:r>
    </w:p>
    <w:p w14:paraId="3EFA4831" w14:textId="272694E0" w:rsidR="004E229E" w:rsidRPr="009C05E6" w:rsidRDefault="004E229E" w:rsidP="009C05E6">
      <w:pPr>
        <w:pStyle w:val="CETReferencetext"/>
        <w:jc w:val="left"/>
        <w:rPr>
          <w:lang w:val="en-US"/>
        </w:rPr>
      </w:pPr>
      <w:r w:rsidRPr="001020FE">
        <w:rPr>
          <w:lang w:val="en-US"/>
        </w:rPr>
        <w:t>Pasman H, Sripaul E, Khan F,</w:t>
      </w:r>
      <w:r>
        <w:rPr>
          <w:lang w:val="en-US"/>
        </w:rPr>
        <w:t xml:space="preserve"> </w:t>
      </w:r>
      <w:r w:rsidRPr="001020FE">
        <w:rPr>
          <w:lang w:val="en-US"/>
        </w:rPr>
        <w:t>Fabiano B.</w:t>
      </w:r>
      <w:r>
        <w:rPr>
          <w:lang w:val="en-US"/>
        </w:rPr>
        <w:t xml:space="preserve">, 2024, </w:t>
      </w:r>
      <w:r w:rsidRPr="001020FE">
        <w:rPr>
          <w:lang w:val="en-US"/>
        </w:rPr>
        <w:t>Energy transition technology comes with new</w:t>
      </w:r>
      <w:r>
        <w:rPr>
          <w:lang w:val="en-US"/>
        </w:rPr>
        <w:t xml:space="preserve"> </w:t>
      </w:r>
      <w:r w:rsidRPr="001020FE">
        <w:rPr>
          <w:lang w:val="en-US"/>
        </w:rPr>
        <w:t>process safety challenges and risks</w:t>
      </w:r>
      <w:r>
        <w:rPr>
          <w:lang w:val="en-US"/>
        </w:rPr>
        <w:t xml:space="preserve"> - </w:t>
      </w:r>
      <w:r w:rsidRPr="001020FE">
        <w:rPr>
          <w:lang w:val="en-US"/>
        </w:rPr>
        <w:t>What does it mean?</w:t>
      </w:r>
      <w:r>
        <w:rPr>
          <w:lang w:val="en-US"/>
        </w:rPr>
        <w:t xml:space="preserve"> </w:t>
      </w:r>
      <w:r w:rsidRPr="009C05E6">
        <w:rPr>
          <w:lang w:val="en-US"/>
        </w:rPr>
        <w:t>Process Saf Prog, 43(2), 226</w:t>
      </w:r>
      <w:r w:rsidRPr="009C05E6">
        <w:rPr>
          <w:rFonts w:ascii="Cambria Math" w:hAnsi="Cambria Math" w:cs="Cambria Math"/>
          <w:lang w:val="en-US"/>
        </w:rPr>
        <w:t>‐</w:t>
      </w:r>
      <w:r w:rsidRPr="009C05E6">
        <w:rPr>
          <w:lang w:val="en-US"/>
        </w:rPr>
        <w:t>230</w:t>
      </w:r>
    </w:p>
    <w:p w14:paraId="22B0622F" w14:textId="6DC2922E" w:rsidR="004E229E" w:rsidRDefault="004E229E" w:rsidP="00CB0A9C">
      <w:pPr>
        <w:pStyle w:val="CETReferencetext"/>
      </w:pPr>
      <w:r>
        <w:t xml:space="preserve">The Associated Press. 2025, U.S. News 6 November 2025: </w:t>
      </w:r>
      <w:r w:rsidRPr="00671B8B">
        <w:t>https://apnews.com/</w:t>
      </w:r>
      <w:r>
        <w:t xml:space="preserve"> accessed 1</w:t>
      </w:r>
      <w:r w:rsidR="00370C3A">
        <w:t>5</w:t>
      </w:r>
      <w:r>
        <w:t>.0</w:t>
      </w:r>
      <w:r w:rsidR="00370C3A">
        <w:t>5</w:t>
      </w:r>
      <w:r>
        <w:t>.2026.</w:t>
      </w:r>
    </w:p>
    <w:p w14:paraId="63B36B81" w14:textId="77777777" w:rsidR="004E229E" w:rsidRPr="008833E2" w:rsidRDefault="004E229E" w:rsidP="00CB0A9C">
      <w:pPr>
        <w:pStyle w:val="CETReferencetext"/>
        <w:rPr>
          <w:lang w:val="en-US"/>
        </w:rPr>
      </w:pPr>
      <w:r w:rsidRPr="00CB0A9C">
        <w:rPr>
          <w:lang w:val="it-IT"/>
        </w:rPr>
        <w:t xml:space="preserve">Vairo T., Gualeni P., Reverberi A.P., Fabiano B., 2021. </w:t>
      </w:r>
      <w:r>
        <w:t xml:space="preserve">Resilience dynamic assessment based on precursor events: application to ship LNG bunkering operations. </w:t>
      </w:r>
      <w:r w:rsidRPr="008833E2">
        <w:rPr>
          <w:lang w:val="en-US"/>
        </w:rPr>
        <w:t xml:space="preserve">Sustainability 13, 6836. </w:t>
      </w:r>
    </w:p>
    <w:p w14:paraId="75302A2C" w14:textId="77777777" w:rsidR="004E229E" w:rsidRDefault="004E229E" w:rsidP="00CB0A9C">
      <w:pPr>
        <w:pStyle w:val="CETReferencetext"/>
      </w:pPr>
      <w:r w:rsidRPr="00423317">
        <w:rPr>
          <w:lang w:val="en-US"/>
        </w:rPr>
        <w:t>Vairo T., Guarino S., Benvenuto A., Fabiano B., Setola R., 2026</w:t>
      </w:r>
      <w:r>
        <w:rPr>
          <w:lang w:val="en-US"/>
        </w:rPr>
        <w:t>a</w:t>
      </w:r>
      <w:r w:rsidRPr="00423317">
        <w:rPr>
          <w:lang w:val="en-US"/>
        </w:rPr>
        <w:t xml:space="preserve">, </w:t>
      </w:r>
      <w:r>
        <w:t xml:space="preserve">Emergent risks in complex systems: A Bayesian perspective on uncertainty and prediction, Reliab Eng Syst Saf, 270, 112129. </w:t>
      </w:r>
    </w:p>
    <w:p w14:paraId="53CED2EB" w14:textId="77777777" w:rsidR="004E229E" w:rsidRDefault="004E229E" w:rsidP="00CB0A9C">
      <w:pPr>
        <w:pStyle w:val="CETReferencetext"/>
      </w:pPr>
      <w:r w:rsidRPr="00423317">
        <w:rPr>
          <w:lang w:val="en-US"/>
        </w:rPr>
        <w:t>Vairo T., Pasman</w:t>
      </w:r>
      <w:r>
        <w:rPr>
          <w:lang w:val="en-US"/>
        </w:rPr>
        <w:t xml:space="preserve"> </w:t>
      </w:r>
      <w:r w:rsidRPr="00423317">
        <w:rPr>
          <w:lang w:val="en-US"/>
        </w:rPr>
        <w:t>H.J., Magrì S., Pettinato M., Fabiano</w:t>
      </w:r>
      <w:r>
        <w:rPr>
          <w:lang w:val="en-US"/>
        </w:rPr>
        <w:t xml:space="preserve"> </w:t>
      </w:r>
      <w:r w:rsidRPr="00423317">
        <w:rPr>
          <w:lang w:val="en-US"/>
        </w:rPr>
        <w:t xml:space="preserve">B., 2026b, </w:t>
      </w:r>
      <w:r>
        <w:t xml:space="preserve">From data to decision. AI powered proactive safety of landslide Natech events, Process Safety and Environmental Protection, 206, 108123. </w:t>
      </w:r>
    </w:p>
    <w:p w14:paraId="407E61CE" w14:textId="77777777" w:rsidR="004E229E" w:rsidRDefault="004E229E" w:rsidP="00CB0A9C">
      <w:pPr>
        <w:pStyle w:val="CETReferencetext"/>
      </w:pPr>
      <w:r w:rsidRPr="00423317">
        <w:rPr>
          <w:lang w:val="en-US"/>
        </w:rPr>
        <w:t xml:space="preserve">Vairo T., Pettinato M., Reverberi A.P., Milazzo M.F., Fabiano, B., 2023, </w:t>
      </w:r>
      <w:r>
        <w:t xml:space="preserve">An approach towards the implementation of a reliable resilience model based on machine learning, Process Saf Environ Protection, 172, 632–641. </w:t>
      </w:r>
    </w:p>
    <w:p w14:paraId="4B7AECE8" w14:textId="77777777" w:rsidR="004E229E" w:rsidRDefault="004E229E" w:rsidP="00CB0A9C">
      <w:pPr>
        <w:pStyle w:val="CETReferencetext"/>
      </w:pPr>
      <w:r>
        <w:t xml:space="preserve">Wang Z., Tkalich P., Low B., Liu M., Christy E., Chen M., 2025, Numerical environmental impact assessment of accidental release of ammonia during bunkering in the Singapore Strait, J Hazard Mater ,494, 138677. </w:t>
      </w:r>
    </w:p>
    <w:p w14:paraId="45DF6EA7" w14:textId="77777777" w:rsidR="004E229E" w:rsidRPr="00807D0B" w:rsidRDefault="004E229E" w:rsidP="007428EE">
      <w:pPr>
        <w:pStyle w:val="CETReferencetext"/>
      </w:pPr>
      <w:r w:rsidRPr="00EC38A1">
        <w:rPr>
          <w:lang w:val="en-US"/>
        </w:rPr>
        <w:t xml:space="preserve">Yang M., Lam J.S.L., 2024, </w:t>
      </w:r>
      <w:r>
        <w:t xml:space="preserve">Risk assessment of ammonia bunkering operations: Perspectives on different release scales, J Hazard Mater, 468, 133757. </w:t>
      </w:r>
    </w:p>
    <w:sectPr w:rsidR="004E229E" w:rsidRPr="00807D0B"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F989" w14:textId="77777777" w:rsidR="001B5696" w:rsidRDefault="001B5696" w:rsidP="004F5E36">
      <w:r>
        <w:separator/>
      </w:r>
    </w:p>
  </w:endnote>
  <w:endnote w:type="continuationSeparator" w:id="0">
    <w:p w14:paraId="7529C518" w14:textId="77777777" w:rsidR="001B5696" w:rsidRDefault="001B5696"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3F1C" w14:textId="77777777" w:rsidR="001B5696" w:rsidRDefault="001B5696" w:rsidP="004F5E36">
      <w:r>
        <w:separator/>
      </w:r>
    </w:p>
  </w:footnote>
  <w:footnote w:type="continuationSeparator" w:id="0">
    <w:p w14:paraId="746A14DD" w14:textId="77777777" w:rsidR="001B5696" w:rsidRDefault="001B5696"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79809DF"/>
    <w:multiLevelType w:val="hybridMultilevel"/>
    <w:tmpl w:val="A7062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38217E"/>
    <w:multiLevelType w:val="multilevel"/>
    <w:tmpl w:val="288CEA7C"/>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lang w:val="en-GB"/>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28004854"/>
    <w:multiLevelType w:val="hybridMultilevel"/>
    <w:tmpl w:val="1B8A06E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3"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6F28F4"/>
    <w:multiLevelType w:val="hybridMultilevel"/>
    <w:tmpl w:val="8E5A95D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42E32E4C"/>
    <w:multiLevelType w:val="hybridMultilevel"/>
    <w:tmpl w:val="10AE303C"/>
    <w:lvl w:ilvl="0" w:tplc="A5CE39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8C32F89"/>
    <w:multiLevelType w:val="hybridMultilevel"/>
    <w:tmpl w:val="89223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8F532C5"/>
    <w:multiLevelType w:val="hybridMultilevel"/>
    <w:tmpl w:val="DF8471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613CA4"/>
    <w:multiLevelType w:val="hybridMultilevel"/>
    <w:tmpl w:val="2DC2B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4524082">
    <w:abstractNumId w:val="11"/>
  </w:num>
  <w:num w:numId="2" w16cid:durableId="616646117">
    <w:abstractNumId w:val="8"/>
  </w:num>
  <w:num w:numId="3" w16cid:durableId="188028001">
    <w:abstractNumId w:val="3"/>
  </w:num>
  <w:num w:numId="4" w16cid:durableId="1608268471">
    <w:abstractNumId w:val="2"/>
  </w:num>
  <w:num w:numId="5" w16cid:durableId="496922376">
    <w:abstractNumId w:val="1"/>
  </w:num>
  <w:num w:numId="6" w16cid:durableId="2038576051">
    <w:abstractNumId w:val="0"/>
  </w:num>
  <w:num w:numId="7" w16cid:durableId="1510755468">
    <w:abstractNumId w:val="9"/>
  </w:num>
  <w:num w:numId="8" w16cid:durableId="1542402560">
    <w:abstractNumId w:val="7"/>
  </w:num>
  <w:num w:numId="9" w16cid:durableId="1346860737">
    <w:abstractNumId w:val="6"/>
  </w:num>
  <w:num w:numId="10" w16cid:durableId="1468938332">
    <w:abstractNumId w:val="5"/>
  </w:num>
  <w:num w:numId="11" w16cid:durableId="1128427966">
    <w:abstractNumId w:val="4"/>
  </w:num>
  <w:num w:numId="12" w16cid:durableId="342827725">
    <w:abstractNumId w:val="13"/>
  </w:num>
  <w:num w:numId="13" w16cid:durableId="224994950">
    <w:abstractNumId w:val="18"/>
  </w:num>
  <w:num w:numId="14" w16cid:durableId="2055813794">
    <w:abstractNumId w:val="20"/>
  </w:num>
  <w:num w:numId="15" w16cid:durableId="279068947">
    <w:abstractNumId w:val="17"/>
  </w:num>
  <w:num w:numId="16" w16cid:durableId="1065180642">
    <w:abstractNumId w:val="13"/>
  </w:num>
  <w:num w:numId="17" w16cid:durableId="1476028030">
    <w:abstractNumId w:val="10"/>
  </w:num>
  <w:num w:numId="18" w16cid:durableId="1070924912">
    <w:abstractNumId w:val="13"/>
  </w:num>
  <w:num w:numId="19" w16cid:durableId="1800341977">
    <w:abstractNumId w:val="19"/>
  </w:num>
  <w:num w:numId="20" w16cid:durableId="795678752">
    <w:abstractNumId w:val="13"/>
  </w:num>
  <w:num w:numId="21" w16cid:durableId="114981975">
    <w:abstractNumId w:val="16"/>
  </w:num>
  <w:num w:numId="22" w16cid:durableId="291638676">
    <w:abstractNumId w:val="13"/>
  </w:num>
  <w:num w:numId="23" w16cid:durableId="250358527">
    <w:abstractNumId w:val="12"/>
  </w:num>
  <w:num w:numId="24" w16cid:durableId="1719935062">
    <w:abstractNumId w:val="13"/>
  </w:num>
  <w:num w:numId="25" w16cid:durableId="237641308">
    <w:abstractNumId w:val="13"/>
  </w:num>
  <w:num w:numId="26" w16cid:durableId="1833567912">
    <w:abstractNumId w:val="13"/>
  </w:num>
  <w:num w:numId="27" w16cid:durableId="1457717922">
    <w:abstractNumId w:val="14"/>
  </w:num>
  <w:num w:numId="28" w16cid:durableId="458499342">
    <w:abstractNumId w:val="13"/>
  </w:num>
  <w:num w:numId="29" w16cid:durableId="100486656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884"/>
    <w:rsid w:val="00005A19"/>
    <w:rsid w:val="000117CB"/>
    <w:rsid w:val="00012666"/>
    <w:rsid w:val="000167BE"/>
    <w:rsid w:val="0003148D"/>
    <w:rsid w:val="00031EEC"/>
    <w:rsid w:val="00051566"/>
    <w:rsid w:val="000562A9"/>
    <w:rsid w:val="00062A9A"/>
    <w:rsid w:val="00065058"/>
    <w:rsid w:val="000803D8"/>
    <w:rsid w:val="00086C39"/>
    <w:rsid w:val="000A03B2"/>
    <w:rsid w:val="000A12B0"/>
    <w:rsid w:val="000D0268"/>
    <w:rsid w:val="000D0A67"/>
    <w:rsid w:val="000D34BE"/>
    <w:rsid w:val="000D434A"/>
    <w:rsid w:val="000E102F"/>
    <w:rsid w:val="000E2217"/>
    <w:rsid w:val="000E36F1"/>
    <w:rsid w:val="000E3A73"/>
    <w:rsid w:val="000E414A"/>
    <w:rsid w:val="000E75FD"/>
    <w:rsid w:val="000F093C"/>
    <w:rsid w:val="000F787B"/>
    <w:rsid w:val="001020FE"/>
    <w:rsid w:val="001138E4"/>
    <w:rsid w:val="0012091F"/>
    <w:rsid w:val="00124AAD"/>
    <w:rsid w:val="001257EA"/>
    <w:rsid w:val="00126BC2"/>
    <w:rsid w:val="001308B6"/>
    <w:rsid w:val="0013121F"/>
    <w:rsid w:val="00131FE6"/>
    <w:rsid w:val="0013263F"/>
    <w:rsid w:val="001331DF"/>
    <w:rsid w:val="00134DE4"/>
    <w:rsid w:val="0014034D"/>
    <w:rsid w:val="00140FE3"/>
    <w:rsid w:val="00143759"/>
    <w:rsid w:val="00144D16"/>
    <w:rsid w:val="00150E59"/>
    <w:rsid w:val="00152DE3"/>
    <w:rsid w:val="00153939"/>
    <w:rsid w:val="00164CF9"/>
    <w:rsid w:val="00166195"/>
    <w:rsid w:val="001667A6"/>
    <w:rsid w:val="00180B1A"/>
    <w:rsid w:val="00184AD6"/>
    <w:rsid w:val="00187219"/>
    <w:rsid w:val="001A3231"/>
    <w:rsid w:val="001A4AF7"/>
    <w:rsid w:val="001B0349"/>
    <w:rsid w:val="001B1E93"/>
    <w:rsid w:val="001B2772"/>
    <w:rsid w:val="001B2EEF"/>
    <w:rsid w:val="001B5696"/>
    <w:rsid w:val="001B61A7"/>
    <w:rsid w:val="001B65C1"/>
    <w:rsid w:val="001C260F"/>
    <w:rsid w:val="001C33F1"/>
    <w:rsid w:val="001C684B"/>
    <w:rsid w:val="001D0CFB"/>
    <w:rsid w:val="001D1F3D"/>
    <w:rsid w:val="001D21AF"/>
    <w:rsid w:val="001D53FC"/>
    <w:rsid w:val="001E32B8"/>
    <w:rsid w:val="001F42A5"/>
    <w:rsid w:val="001F7B9D"/>
    <w:rsid w:val="00201C93"/>
    <w:rsid w:val="00221148"/>
    <w:rsid w:val="002224B4"/>
    <w:rsid w:val="0022711A"/>
    <w:rsid w:val="002447EF"/>
    <w:rsid w:val="00251550"/>
    <w:rsid w:val="00263B05"/>
    <w:rsid w:val="0027150B"/>
    <w:rsid w:val="0027221A"/>
    <w:rsid w:val="00275B61"/>
    <w:rsid w:val="00280FAF"/>
    <w:rsid w:val="00282656"/>
    <w:rsid w:val="0029456F"/>
    <w:rsid w:val="00296B83"/>
    <w:rsid w:val="002A0BB7"/>
    <w:rsid w:val="002A5E43"/>
    <w:rsid w:val="002B07A0"/>
    <w:rsid w:val="002B4015"/>
    <w:rsid w:val="002B48A3"/>
    <w:rsid w:val="002B78CE"/>
    <w:rsid w:val="002C2FB6"/>
    <w:rsid w:val="002C4159"/>
    <w:rsid w:val="002E5FA7"/>
    <w:rsid w:val="002F3309"/>
    <w:rsid w:val="003008CE"/>
    <w:rsid w:val="003009B7"/>
    <w:rsid w:val="00300E56"/>
    <w:rsid w:val="0030152C"/>
    <w:rsid w:val="0030469C"/>
    <w:rsid w:val="00315A51"/>
    <w:rsid w:val="00321CA6"/>
    <w:rsid w:val="00322BFF"/>
    <w:rsid w:val="00323763"/>
    <w:rsid w:val="00323C5F"/>
    <w:rsid w:val="00334C09"/>
    <w:rsid w:val="00337D0D"/>
    <w:rsid w:val="00370C3A"/>
    <w:rsid w:val="003723D4"/>
    <w:rsid w:val="00381905"/>
    <w:rsid w:val="00384CC8"/>
    <w:rsid w:val="003871FD"/>
    <w:rsid w:val="003A1E30"/>
    <w:rsid w:val="003A2829"/>
    <w:rsid w:val="003A7D1C"/>
    <w:rsid w:val="003B304B"/>
    <w:rsid w:val="003B3146"/>
    <w:rsid w:val="003C3472"/>
    <w:rsid w:val="003D1E02"/>
    <w:rsid w:val="003D6982"/>
    <w:rsid w:val="003E3F75"/>
    <w:rsid w:val="003F015E"/>
    <w:rsid w:val="003F178B"/>
    <w:rsid w:val="00400414"/>
    <w:rsid w:val="0041446B"/>
    <w:rsid w:val="00423317"/>
    <w:rsid w:val="0044071E"/>
    <w:rsid w:val="0044329C"/>
    <w:rsid w:val="00447BF8"/>
    <w:rsid w:val="00450594"/>
    <w:rsid w:val="004535BE"/>
    <w:rsid w:val="00453E24"/>
    <w:rsid w:val="0045657F"/>
    <w:rsid w:val="00457456"/>
    <w:rsid w:val="004577FE"/>
    <w:rsid w:val="00457B9C"/>
    <w:rsid w:val="004605F4"/>
    <w:rsid w:val="0046164A"/>
    <w:rsid w:val="004628D2"/>
    <w:rsid w:val="00462DCD"/>
    <w:rsid w:val="004648AD"/>
    <w:rsid w:val="004703A9"/>
    <w:rsid w:val="004760DE"/>
    <w:rsid w:val="004763D7"/>
    <w:rsid w:val="00483C0F"/>
    <w:rsid w:val="00485DA1"/>
    <w:rsid w:val="004A004E"/>
    <w:rsid w:val="004A24CF"/>
    <w:rsid w:val="004A31D9"/>
    <w:rsid w:val="004A33A0"/>
    <w:rsid w:val="004A4E20"/>
    <w:rsid w:val="004A5E57"/>
    <w:rsid w:val="004C194F"/>
    <w:rsid w:val="004C1A12"/>
    <w:rsid w:val="004C3D1D"/>
    <w:rsid w:val="004C3D84"/>
    <w:rsid w:val="004C7913"/>
    <w:rsid w:val="004E229E"/>
    <w:rsid w:val="004E4DD6"/>
    <w:rsid w:val="004F5E36"/>
    <w:rsid w:val="004F7AB1"/>
    <w:rsid w:val="004F7D20"/>
    <w:rsid w:val="00507B47"/>
    <w:rsid w:val="00507BEF"/>
    <w:rsid w:val="00507CC9"/>
    <w:rsid w:val="005119A5"/>
    <w:rsid w:val="005278B7"/>
    <w:rsid w:val="00532016"/>
    <w:rsid w:val="005346C8"/>
    <w:rsid w:val="005435CA"/>
    <w:rsid w:val="00543E7D"/>
    <w:rsid w:val="00547A68"/>
    <w:rsid w:val="005531C9"/>
    <w:rsid w:val="00554156"/>
    <w:rsid w:val="00563BD8"/>
    <w:rsid w:val="00570C43"/>
    <w:rsid w:val="00572C47"/>
    <w:rsid w:val="00592274"/>
    <w:rsid w:val="005A1868"/>
    <w:rsid w:val="005B2110"/>
    <w:rsid w:val="005B61E6"/>
    <w:rsid w:val="005B7000"/>
    <w:rsid w:val="005C7511"/>
    <w:rsid w:val="005C77E1"/>
    <w:rsid w:val="005D668A"/>
    <w:rsid w:val="005D6A2F"/>
    <w:rsid w:val="005D7C8D"/>
    <w:rsid w:val="005E0592"/>
    <w:rsid w:val="005E1A82"/>
    <w:rsid w:val="005E794C"/>
    <w:rsid w:val="005F0A28"/>
    <w:rsid w:val="005F0E5E"/>
    <w:rsid w:val="005F479A"/>
    <w:rsid w:val="00600535"/>
    <w:rsid w:val="006064B9"/>
    <w:rsid w:val="00610CD6"/>
    <w:rsid w:val="00613C79"/>
    <w:rsid w:val="00614A00"/>
    <w:rsid w:val="00614F10"/>
    <w:rsid w:val="00620DEE"/>
    <w:rsid w:val="00621F92"/>
    <w:rsid w:val="0062280A"/>
    <w:rsid w:val="006231E1"/>
    <w:rsid w:val="00625639"/>
    <w:rsid w:val="00626AE2"/>
    <w:rsid w:val="00631B33"/>
    <w:rsid w:val="0064184D"/>
    <w:rsid w:val="006422CC"/>
    <w:rsid w:val="00651D18"/>
    <w:rsid w:val="00654664"/>
    <w:rsid w:val="00660E3E"/>
    <w:rsid w:val="00662E74"/>
    <w:rsid w:val="00671B8B"/>
    <w:rsid w:val="00680C23"/>
    <w:rsid w:val="00682CE8"/>
    <w:rsid w:val="00683E23"/>
    <w:rsid w:val="00690EEA"/>
    <w:rsid w:val="00693766"/>
    <w:rsid w:val="006A3281"/>
    <w:rsid w:val="006A7617"/>
    <w:rsid w:val="006B1F39"/>
    <w:rsid w:val="006B4888"/>
    <w:rsid w:val="006C0DA5"/>
    <w:rsid w:val="006C2E45"/>
    <w:rsid w:val="006C359C"/>
    <w:rsid w:val="006C5579"/>
    <w:rsid w:val="006D0BD3"/>
    <w:rsid w:val="006D6E8B"/>
    <w:rsid w:val="006D7209"/>
    <w:rsid w:val="006E5B5B"/>
    <w:rsid w:val="006E737D"/>
    <w:rsid w:val="006F6902"/>
    <w:rsid w:val="00700D86"/>
    <w:rsid w:val="00704B41"/>
    <w:rsid w:val="00707DD1"/>
    <w:rsid w:val="00713973"/>
    <w:rsid w:val="00720A24"/>
    <w:rsid w:val="0072107D"/>
    <w:rsid w:val="00727D8F"/>
    <w:rsid w:val="00732386"/>
    <w:rsid w:val="0073514D"/>
    <w:rsid w:val="0073680A"/>
    <w:rsid w:val="007428EE"/>
    <w:rsid w:val="007447F3"/>
    <w:rsid w:val="007474EA"/>
    <w:rsid w:val="0075499F"/>
    <w:rsid w:val="007555F8"/>
    <w:rsid w:val="007617CC"/>
    <w:rsid w:val="007661C8"/>
    <w:rsid w:val="0077098D"/>
    <w:rsid w:val="0078476F"/>
    <w:rsid w:val="00785BF9"/>
    <w:rsid w:val="007931FA"/>
    <w:rsid w:val="007A1978"/>
    <w:rsid w:val="007A4861"/>
    <w:rsid w:val="007A6DF8"/>
    <w:rsid w:val="007A7BBA"/>
    <w:rsid w:val="007B0C50"/>
    <w:rsid w:val="007B48F9"/>
    <w:rsid w:val="007C1A43"/>
    <w:rsid w:val="007D0951"/>
    <w:rsid w:val="007E42BE"/>
    <w:rsid w:val="007F27C8"/>
    <w:rsid w:val="007F5182"/>
    <w:rsid w:val="007F67FC"/>
    <w:rsid w:val="0080013E"/>
    <w:rsid w:val="00801B05"/>
    <w:rsid w:val="00807D0B"/>
    <w:rsid w:val="00813288"/>
    <w:rsid w:val="008168FC"/>
    <w:rsid w:val="00823934"/>
    <w:rsid w:val="00826883"/>
    <w:rsid w:val="00830996"/>
    <w:rsid w:val="008314D7"/>
    <w:rsid w:val="008345F1"/>
    <w:rsid w:val="00842F25"/>
    <w:rsid w:val="0085401F"/>
    <w:rsid w:val="00856E31"/>
    <w:rsid w:val="00865B07"/>
    <w:rsid w:val="008667EA"/>
    <w:rsid w:val="0087252F"/>
    <w:rsid w:val="0087637F"/>
    <w:rsid w:val="008833E2"/>
    <w:rsid w:val="00892AD5"/>
    <w:rsid w:val="008A1512"/>
    <w:rsid w:val="008B350E"/>
    <w:rsid w:val="008B59D5"/>
    <w:rsid w:val="008D32B9"/>
    <w:rsid w:val="008D433B"/>
    <w:rsid w:val="008D4A16"/>
    <w:rsid w:val="008E209A"/>
    <w:rsid w:val="008E45BC"/>
    <w:rsid w:val="008E566E"/>
    <w:rsid w:val="008F2DF1"/>
    <w:rsid w:val="0090161A"/>
    <w:rsid w:val="00901EB6"/>
    <w:rsid w:val="00902D55"/>
    <w:rsid w:val="009041F8"/>
    <w:rsid w:val="00904C62"/>
    <w:rsid w:val="0091144D"/>
    <w:rsid w:val="00914A02"/>
    <w:rsid w:val="00922BA8"/>
    <w:rsid w:val="00924DAC"/>
    <w:rsid w:val="00927058"/>
    <w:rsid w:val="00937B47"/>
    <w:rsid w:val="00942750"/>
    <w:rsid w:val="009450CE"/>
    <w:rsid w:val="009459BB"/>
    <w:rsid w:val="00947179"/>
    <w:rsid w:val="0095164B"/>
    <w:rsid w:val="00954090"/>
    <w:rsid w:val="009573E7"/>
    <w:rsid w:val="00963E05"/>
    <w:rsid w:val="00964A45"/>
    <w:rsid w:val="00965A03"/>
    <w:rsid w:val="00967843"/>
    <w:rsid w:val="00967D54"/>
    <w:rsid w:val="00971028"/>
    <w:rsid w:val="00980320"/>
    <w:rsid w:val="00991EE3"/>
    <w:rsid w:val="00993355"/>
    <w:rsid w:val="00993B84"/>
    <w:rsid w:val="00996483"/>
    <w:rsid w:val="00996F5A"/>
    <w:rsid w:val="009B041A"/>
    <w:rsid w:val="009B538D"/>
    <w:rsid w:val="009B61FA"/>
    <w:rsid w:val="009C05E6"/>
    <w:rsid w:val="009C2F87"/>
    <w:rsid w:val="009C37C3"/>
    <w:rsid w:val="009C5907"/>
    <w:rsid w:val="009C7C86"/>
    <w:rsid w:val="009D2FF7"/>
    <w:rsid w:val="009D530C"/>
    <w:rsid w:val="009D683F"/>
    <w:rsid w:val="009E7884"/>
    <w:rsid w:val="009E788A"/>
    <w:rsid w:val="009F0E08"/>
    <w:rsid w:val="009F7686"/>
    <w:rsid w:val="009F7D7D"/>
    <w:rsid w:val="00A03D8D"/>
    <w:rsid w:val="00A079AE"/>
    <w:rsid w:val="00A1763D"/>
    <w:rsid w:val="00A17CEC"/>
    <w:rsid w:val="00A20CCD"/>
    <w:rsid w:val="00A26CBB"/>
    <w:rsid w:val="00A27EF0"/>
    <w:rsid w:val="00A37259"/>
    <w:rsid w:val="00A42361"/>
    <w:rsid w:val="00A449B5"/>
    <w:rsid w:val="00A50B20"/>
    <w:rsid w:val="00A51390"/>
    <w:rsid w:val="00A56CA1"/>
    <w:rsid w:val="00A60D13"/>
    <w:rsid w:val="00A7223D"/>
    <w:rsid w:val="00A72745"/>
    <w:rsid w:val="00A73E30"/>
    <w:rsid w:val="00A76EFC"/>
    <w:rsid w:val="00A87D50"/>
    <w:rsid w:val="00A91010"/>
    <w:rsid w:val="00A97F29"/>
    <w:rsid w:val="00AA702E"/>
    <w:rsid w:val="00AA7D26"/>
    <w:rsid w:val="00AB0964"/>
    <w:rsid w:val="00AB5011"/>
    <w:rsid w:val="00AC1166"/>
    <w:rsid w:val="00AC32AA"/>
    <w:rsid w:val="00AC3BD1"/>
    <w:rsid w:val="00AC7368"/>
    <w:rsid w:val="00AD0278"/>
    <w:rsid w:val="00AD16B9"/>
    <w:rsid w:val="00AE377D"/>
    <w:rsid w:val="00AE391A"/>
    <w:rsid w:val="00AF0EBA"/>
    <w:rsid w:val="00AF22F8"/>
    <w:rsid w:val="00B02C8A"/>
    <w:rsid w:val="00B12736"/>
    <w:rsid w:val="00B17FBD"/>
    <w:rsid w:val="00B315A6"/>
    <w:rsid w:val="00B31813"/>
    <w:rsid w:val="00B32308"/>
    <w:rsid w:val="00B33365"/>
    <w:rsid w:val="00B40BF4"/>
    <w:rsid w:val="00B57B36"/>
    <w:rsid w:val="00B57E6F"/>
    <w:rsid w:val="00B74920"/>
    <w:rsid w:val="00B766A1"/>
    <w:rsid w:val="00B8686D"/>
    <w:rsid w:val="00B93F69"/>
    <w:rsid w:val="00BA6CEE"/>
    <w:rsid w:val="00BB1DDC"/>
    <w:rsid w:val="00BC30C9"/>
    <w:rsid w:val="00BD077D"/>
    <w:rsid w:val="00BE1A06"/>
    <w:rsid w:val="00BE3E58"/>
    <w:rsid w:val="00BE55C7"/>
    <w:rsid w:val="00BF5346"/>
    <w:rsid w:val="00C01616"/>
    <w:rsid w:val="00C0162B"/>
    <w:rsid w:val="00C02F32"/>
    <w:rsid w:val="00C068ED"/>
    <w:rsid w:val="00C20521"/>
    <w:rsid w:val="00C208E9"/>
    <w:rsid w:val="00C22E0C"/>
    <w:rsid w:val="00C345B1"/>
    <w:rsid w:val="00C40142"/>
    <w:rsid w:val="00C4237B"/>
    <w:rsid w:val="00C52C3C"/>
    <w:rsid w:val="00C57182"/>
    <w:rsid w:val="00C57863"/>
    <w:rsid w:val="00C60DCE"/>
    <w:rsid w:val="00C6339B"/>
    <w:rsid w:val="00C640AF"/>
    <w:rsid w:val="00C655FD"/>
    <w:rsid w:val="00C657BF"/>
    <w:rsid w:val="00C7523F"/>
    <w:rsid w:val="00C75407"/>
    <w:rsid w:val="00C80ED1"/>
    <w:rsid w:val="00C832D7"/>
    <w:rsid w:val="00C83A49"/>
    <w:rsid w:val="00C841C6"/>
    <w:rsid w:val="00C870A8"/>
    <w:rsid w:val="00C94434"/>
    <w:rsid w:val="00CA0D75"/>
    <w:rsid w:val="00CA1C95"/>
    <w:rsid w:val="00CA5A9C"/>
    <w:rsid w:val="00CB0A9C"/>
    <w:rsid w:val="00CC4C20"/>
    <w:rsid w:val="00CD3517"/>
    <w:rsid w:val="00CD5FE2"/>
    <w:rsid w:val="00CD6DBD"/>
    <w:rsid w:val="00CE6BEF"/>
    <w:rsid w:val="00CE7C68"/>
    <w:rsid w:val="00D02B4C"/>
    <w:rsid w:val="00D040C4"/>
    <w:rsid w:val="00D16538"/>
    <w:rsid w:val="00D20AD1"/>
    <w:rsid w:val="00D236D7"/>
    <w:rsid w:val="00D2582C"/>
    <w:rsid w:val="00D40135"/>
    <w:rsid w:val="00D45347"/>
    <w:rsid w:val="00D46A7F"/>
    <w:rsid w:val="00D46B7E"/>
    <w:rsid w:val="00D57C84"/>
    <w:rsid w:val="00D6057D"/>
    <w:rsid w:val="00D7051B"/>
    <w:rsid w:val="00D71640"/>
    <w:rsid w:val="00D74B05"/>
    <w:rsid w:val="00D836C5"/>
    <w:rsid w:val="00D84576"/>
    <w:rsid w:val="00D9269D"/>
    <w:rsid w:val="00DA1399"/>
    <w:rsid w:val="00DA24C6"/>
    <w:rsid w:val="00DA4D7B"/>
    <w:rsid w:val="00DA5BBB"/>
    <w:rsid w:val="00DD271C"/>
    <w:rsid w:val="00DE264A"/>
    <w:rsid w:val="00DE6684"/>
    <w:rsid w:val="00DF5072"/>
    <w:rsid w:val="00E02D18"/>
    <w:rsid w:val="00E041E7"/>
    <w:rsid w:val="00E103CF"/>
    <w:rsid w:val="00E23CA1"/>
    <w:rsid w:val="00E33DDB"/>
    <w:rsid w:val="00E345E3"/>
    <w:rsid w:val="00E409A8"/>
    <w:rsid w:val="00E40ED5"/>
    <w:rsid w:val="00E43DCD"/>
    <w:rsid w:val="00E45005"/>
    <w:rsid w:val="00E47D61"/>
    <w:rsid w:val="00E50C12"/>
    <w:rsid w:val="00E5437B"/>
    <w:rsid w:val="00E65B91"/>
    <w:rsid w:val="00E7209D"/>
    <w:rsid w:val="00E72EAD"/>
    <w:rsid w:val="00E7426E"/>
    <w:rsid w:val="00E7664F"/>
    <w:rsid w:val="00E77223"/>
    <w:rsid w:val="00E8528B"/>
    <w:rsid w:val="00E85B94"/>
    <w:rsid w:val="00E96568"/>
    <w:rsid w:val="00E978D0"/>
    <w:rsid w:val="00EA1606"/>
    <w:rsid w:val="00EA4613"/>
    <w:rsid w:val="00EA779A"/>
    <w:rsid w:val="00EA7DBD"/>
    <w:rsid w:val="00EA7F91"/>
    <w:rsid w:val="00EB1523"/>
    <w:rsid w:val="00EC0263"/>
    <w:rsid w:val="00EC0E49"/>
    <w:rsid w:val="00EC101F"/>
    <w:rsid w:val="00EC1D9F"/>
    <w:rsid w:val="00EC38A1"/>
    <w:rsid w:val="00EE0131"/>
    <w:rsid w:val="00EE17B0"/>
    <w:rsid w:val="00EF06D9"/>
    <w:rsid w:val="00EF0982"/>
    <w:rsid w:val="00F02324"/>
    <w:rsid w:val="00F3049E"/>
    <w:rsid w:val="00F30C64"/>
    <w:rsid w:val="00F32BA2"/>
    <w:rsid w:val="00F32CDB"/>
    <w:rsid w:val="00F3348F"/>
    <w:rsid w:val="00F37280"/>
    <w:rsid w:val="00F41EE4"/>
    <w:rsid w:val="00F5537C"/>
    <w:rsid w:val="00F565FE"/>
    <w:rsid w:val="00F56CE1"/>
    <w:rsid w:val="00F6020D"/>
    <w:rsid w:val="00F63A70"/>
    <w:rsid w:val="00F63D8C"/>
    <w:rsid w:val="00F7534E"/>
    <w:rsid w:val="00F81150"/>
    <w:rsid w:val="00F90ABC"/>
    <w:rsid w:val="00F91BD7"/>
    <w:rsid w:val="00F93EDF"/>
    <w:rsid w:val="00FA1802"/>
    <w:rsid w:val="00FA21D0"/>
    <w:rsid w:val="00FA5F5F"/>
    <w:rsid w:val="00FA6187"/>
    <w:rsid w:val="00FB730C"/>
    <w:rsid w:val="00FC2695"/>
    <w:rsid w:val="00FC3E03"/>
    <w:rsid w:val="00FC3FC1"/>
    <w:rsid w:val="00FE489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B12736"/>
    <w:pPr>
      <w:keepNext/>
      <w:numPr>
        <w:ilvl w:val="2"/>
        <w:numId w:val="1"/>
      </w:numPr>
      <w:suppressAutoHyphens/>
      <w:spacing w:before="120" w:after="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B12736"/>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2"/>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3"/>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4"/>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 w:type="character" w:styleId="Enfasigrassetto">
    <w:name w:val="Strong"/>
    <w:basedOn w:val="Carpredefinitoparagrafo"/>
    <w:uiPriority w:val="22"/>
    <w:qFormat/>
    <w:rsid w:val="00993355"/>
    <w:rPr>
      <w:b/>
      <w:bCs/>
    </w:rPr>
  </w:style>
  <w:style w:type="character" w:customStyle="1" w:styleId="katex-mathml">
    <w:name w:val="katex-mathml"/>
    <w:basedOn w:val="Carpredefinitoparagrafo"/>
    <w:rsid w:val="00A56CA1"/>
  </w:style>
  <w:style w:type="character" w:customStyle="1" w:styleId="mord">
    <w:name w:val="mord"/>
    <w:basedOn w:val="Carpredefinitoparagrafo"/>
    <w:rsid w:val="00A56CA1"/>
  </w:style>
  <w:style w:type="character" w:customStyle="1" w:styleId="mrel">
    <w:name w:val="mrel"/>
    <w:basedOn w:val="Carpredefinitoparagrafo"/>
    <w:rsid w:val="00A56CA1"/>
  </w:style>
  <w:style w:type="character" w:customStyle="1" w:styleId="mopen">
    <w:name w:val="mopen"/>
    <w:basedOn w:val="Carpredefinitoparagrafo"/>
    <w:rsid w:val="00A56CA1"/>
  </w:style>
  <w:style w:type="character" w:customStyle="1" w:styleId="mpunct">
    <w:name w:val="mpunct"/>
    <w:basedOn w:val="Carpredefinitoparagrafo"/>
    <w:rsid w:val="00A56CA1"/>
  </w:style>
  <w:style w:type="character" w:customStyle="1" w:styleId="mclose">
    <w:name w:val="mclose"/>
    <w:basedOn w:val="Carpredefinitoparagrafo"/>
    <w:rsid w:val="00A56CA1"/>
  </w:style>
  <w:style w:type="character" w:customStyle="1" w:styleId="Menzionenonrisolta1">
    <w:name w:val="Menzione non risolta1"/>
    <w:basedOn w:val="Carpredefinitoparagrafo"/>
    <w:uiPriority w:val="99"/>
    <w:semiHidden/>
    <w:unhideWhenUsed/>
    <w:rsid w:val="00D74B05"/>
    <w:rPr>
      <w:color w:val="605E5C"/>
      <w:shd w:val="clear" w:color="auto" w:fill="E1DFDD"/>
    </w:rPr>
  </w:style>
  <w:style w:type="paragraph" w:styleId="Revisione">
    <w:name w:val="Revision"/>
    <w:hidden/>
    <w:uiPriority w:val="99"/>
    <w:semiHidden/>
    <w:rsid w:val="00C6339B"/>
    <w:pPr>
      <w:spacing w:after="0" w:line="240" w:lineRule="auto"/>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51398">
      <w:bodyDiv w:val="1"/>
      <w:marLeft w:val="0"/>
      <w:marRight w:val="0"/>
      <w:marTop w:val="0"/>
      <w:marBottom w:val="0"/>
      <w:divBdr>
        <w:top w:val="none" w:sz="0" w:space="0" w:color="auto"/>
        <w:left w:val="none" w:sz="0" w:space="0" w:color="auto"/>
        <w:bottom w:val="none" w:sz="0" w:space="0" w:color="auto"/>
        <w:right w:val="none" w:sz="0" w:space="0" w:color="auto"/>
      </w:divBdr>
    </w:div>
    <w:div w:id="445121783">
      <w:bodyDiv w:val="1"/>
      <w:marLeft w:val="0"/>
      <w:marRight w:val="0"/>
      <w:marTop w:val="0"/>
      <w:marBottom w:val="0"/>
      <w:divBdr>
        <w:top w:val="none" w:sz="0" w:space="0" w:color="auto"/>
        <w:left w:val="none" w:sz="0" w:space="0" w:color="auto"/>
        <w:bottom w:val="none" w:sz="0" w:space="0" w:color="auto"/>
        <w:right w:val="none" w:sz="0" w:space="0" w:color="auto"/>
      </w:divBdr>
    </w:div>
    <w:div w:id="549271144">
      <w:bodyDiv w:val="1"/>
      <w:marLeft w:val="0"/>
      <w:marRight w:val="0"/>
      <w:marTop w:val="0"/>
      <w:marBottom w:val="0"/>
      <w:divBdr>
        <w:top w:val="none" w:sz="0" w:space="0" w:color="auto"/>
        <w:left w:val="none" w:sz="0" w:space="0" w:color="auto"/>
        <w:bottom w:val="none" w:sz="0" w:space="0" w:color="auto"/>
        <w:right w:val="none" w:sz="0" w:space="0" w:color="auto"/>
      </w:divBdr>
    </w:div>
    <w:div w:id="591284692">
      <w:bodyDiv w:val="1"/>
      <w:marLeft w:val="0"/>
      <w:marRight w:val="0"/>
      <w:marTop w:val="0"/>
      <w:marBottom w:val="0"/>
      <w:divBdr>
        <w:top w:val="none" w:sz="0" w:space="0" w:color="auto"/>
        <w:left w:val="none" w:sz="0" w:space="0" w:color="auto"/>
        <w:bottom w:val="none" w:sz="0" w:space="0" w:color="auto"/>
        <w:right w:val="none" w:sz="0" w:space="0" w:color="auto"/>
      </w:divBdr>
    </w:div>
    <w:div w:id="662700264">
      <w:bodyDiv w:val="1"/>
      <w:marLeft w:val="0"/>
      <w:marRight w:val="0"/>
      <w:marTop w:val="0"/>
      <w:marBottom w:val="0"/>
      <w:divBdr>
        <w:top w:val="none" w:sz="0" w:space="0" w:color="auto"/>
        <w:left w:val="none" w:sz="0" w:space="0" w:color="auto"/>
        <w:bottom w:val="none" w:sz="0" w:space="0" w:color="auto"/>
        <w:right w:val="none" w:sz="0" w:space="0" w:color="auto"/>
      </w:divBdr>
    </w:div>
    <w:div w:id="731000572">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75349">
      <w:bodyDiv w:val="1"/>
      <w:marLeft w:val="0"/>
      <w:marRight w:val="0"/>
      <w:marTop w:val="0"/>
      <w:marBottom w:val="0"/>
      <w:divBdr>
        <w:top w:val="none" w:sz="0" w:space="0" w:color="auto"/>
        <w:left w:val="none" w:sz="0" w:space="0" w:color="auto"/>
        <w:bottom w:val="none" w:sz="0" w:space="0" w:color="auto"/>
        <w:right w:val="none" w:sz="0" w:space="0" w:color="auto"/>
      </w:divBdr>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34671137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6512529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8864">
      <w:bodyDiv w:val="1"/>
      <w:marLeft w:val="0"/>
      <w:marRight w:val="0"/>
      <w:marTop w:val="0"/>
      <w:marBottom w:val="0"/>
      <w:divBdr>
        <w:top w:val="none" w:sz="0" w:space="0" w:color="auto"/>
        <w:left w:val="none" w:sz="0" w:space="0" w:color="auto"/>
        <w:bottom w:val="none" w:sz="0" w:space="0" w:color="auto"/>
        <w:right w:val="none" w:sz="0" w:space="0" w:color="auto"/>
      </w:divBdr>
    </w:div>
    <w:div w:id="2067875208">
      <w:bodyDiv w:val="1"/>
      <w:marLeft w:val="0"/>
      <w:marRight w:val="0"/>
      <w:marTop w:val="0"/>
      <w:marBottom w:val="0"/>
      <w:divBdr>
        <w:top w:val="none" w:sz="0" w:space="0" w:color="auto"/>
        <w:left w:val="none" w:sz="0" w:space="0" w:color="auto"/>
        <w:bottom w:val="none" w:sz="0" w:space="0" w:color="auto"/>
        <w:right w:val="none" w:sz="0" w:space="0" w:color="auto"/>
      </w:divBdr>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1EFAE-97A9-4DC5-A3FD-28EDB599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3571</Words>
  <Characters>20359</Characters>
  <Application>Microsoft Office Word</Application>
  <DocSecurity>0</DocSecurity>
  <Lines>169</Lines>
  <Paragraphs>47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23883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Bruno Fabiano</cp:lastModifiedBy>
  <cp:revision>22</cp:revision>
  <cp:lastPrinted>2026-01-20T11:19:00Z</cp:lastPrinted>
  <dcterms:created xsi:type="dcterms:W3CDTF">2026-03-09T10:43:00Z</dcterms:created>
  <dcterms:modified xsi:type="dcterms:W3CDTF">2026-05-15T14:44:00Z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