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4ABBAEDA" w:rsidR="00E978D0" w:rsidRPr="00665323" w:rsidRDefault="007431F5" w:rsidP="00665323">
      <w:pPr>
        <w:pStyle w:val="CETTitle"/>
      </w:pPr>
      <w:r>
        <w:t>Consequence Assessment of Detonations in Explosive Material Handling Facilities: an Integrated Approach</w:t>
      </w:r>
    </w:p>
    <w:p w14:paraId="0488FED2" w14:textId="7FAACD3B" w:rsidR="00B57E6F" w:rsidRPr="007431F5" w:rsidRDefault="007431F5" w:rsidP="00B57E6F">
      <w:pPr>
        <w:pStyle w:val="CETAuthors"/>
        <w:rPr>
          <w:vertAlign w:val="superscript"/>
          <w:lang w:val="it-IT"/>
        </w:rPr>
      </w:pPr>
      <w:r w:rsidRPr="007431F5">
        <w:rPr>
          <w:lang w:val="it-IT"/>
        </w:rPr>
        <w:t>Cristian Giovanniello</w:t>
      </w:r>
      <w:r w:rsidRPr="007431F5">
        <w:rPr>
          <w:vertAlign w:val="superscript"/>
          <w:lang w:val="it-IT"/>
        </w:rPr>
        <w:t>a</w:t>
      </w:r>
      <w:r w:rsidR="00B57E6F" w:rsidRPr="007431F5">
        <w:rPr>
          <w:lang w:val="it-IT"/>
        </w:rPr>
        <w:t xml:space="preserve">, </w:t>
      </w:r>
      <w:r w:rsidRPr="007431F5">
        <w:rPr>
          <w:lang w:val="it-IT"/>
        </w:rPr>
        <w:t>Luca Fiorentini</w:t>
      </w:r>
      <w:r w:rsidR="009900B3">
        <w:rPr>
          <w:vertAlign w:val="superscript"/>
          <w:lang w:val="it-IT"/>
        </w:rPr>
        <w:t>a</w:t>
      </w:r>
      <w:r w:rsidR="00B57E6F" w:rsidRPr="007431F5">
        <w:rPr>
          <w:lang w:val="it-IT"/>
        </w:rPr>
        <w:t xml:space="preserve">, </w:t>
      </w:r>
      <w:r w:rsidRPr="007431F5">
        <w:rPr>
          <w:lang w:val="it-IT"/>
        </w:rPr>
        <w:t>A</w:t>
      </w:r>
      <w:r>
        <w:rPr>
          <w:lang w:val="it-IT"/>
        </w:rPr>
        <w:t>ndrea Respighi</w:t>
      </w:r>
      <w:r w:rsidR="009900B3">
        <w:rPr>
          <w:vertAlign w:val="superscript"/>
          <w:lang w:val="it-IT"/>
        </w:rPr>
        <w:t>a</w:t>
      </w:r>
      <w:r>
        <w:rPr>
          <w:lang w:val="it-IT"/>
        </w:rPr>
        <w:t>, Valentina Busini</w:t>
      </w:r>
      <w:r w:rsidR="009900B3">
        <w:rPr>
          <w:vertAlign w:val="superscript"/>
          <w:lang w:val="it-IT"/>
        </w:rPr>
        <w:t>b</w:t>
      </w:r>
      <w:r>
        <w:rPr>
          <w:vertAlign w:val="superscript"/>
          <w:lang w:val="it-IT"/>
        </w:rPr>
        <w:t>, *</w:t>
      </w:r>
    </w:p>
    <w:p w14:paraId="280FE9F7" w14:textId="4FB584F2" w:rsidR="009900B3" w:rsidRDefault="009900B3" w:rsidP="00B57E6F">
      <w:pPr>
        <w:pStyle w:val="CETAddress"/>
        <w:rPr>
          <w:lang w:val="it-IT"/>
        </w:rPr>
      </w:pPr>
      <w:r>
        <w:rPr>
          <w:vertAlign w:val="superscript"/>
          <w:lang w:val="it-IT"/>
        </w:rPr>
        <w:t>a</w:t>
      </w:r>
      <w:r w:rsidRPr="007431F5">
        <w:rPr>
          <w:lang w:val="it-IT"/>
        </w:rPr>
        <w:t xml:space="preserve">Tecsa s.r.l., Via Figino 101, 20016, Pero (Milan), Italy </w:t>
      </w:r>
    </w:p>
    <w:p w14:paraId="0373BAE9" w14:textId="01BA143B" w:rsidR="009900B3" w:rsidRPr="007431F5" w:rsidRDefault="009900B3" w:rsidP="00B57E6F">
      <w:pPr>
        <w:pStyle w:val="CETAddress"/>
        <w:rPr>
          <w:lang w:val="it-IT"/>
        </w:rPr>
      </w:pPr>
      <w:r>
        <w:rPr>
          <w:vertAlign w:val="superscript"/>
          <w:lang w:val="it-IT"/>
        </w:rPr>
        <w:t>b</w:t>
      </w:r>
      <w:r w:rsidRPr="007431F5">
        <w:rPr>
          <w:lang w:val="it-IT"/>
        </w:rPr>
        <w:t>Politecnico di Milano – Department of Chemistry, Materials anche Chemical Engineering “Giulio Natta”, Piazza L. da Vinci 32, 20133, Milan, Italy</w:t>
      </w:r>
    </w:p>
    <w:p w14:paraId="73F1267A" w14:textId="6A98AF88" w:rsidR="00B57E6F" w:rsidRPr="00AE646D" w:rsidRDefault="007431F5" w:rsidP="00B57E6F">
      <w:pPr>
        <w:pStyle w:val="CETemail"/>
        <w:rPr>
          <w:lang w:val="en-US"/>
        </w:rPr>
      </w:pPr>
      <w:r w:rsidRPr="00AE646D">
        <w:rPr>
          <w:lang w:val="en-US"/>
        </w:rPr>
        <w:t>*valentina.busini@polimi.it</w:t>
      </w:r>
    </w:p>
    <w:p w14:paraId="2055923F" w14:textId="2210585D" w:rsidR="009900B3" w:rsidRPr="00B57B36" w:rsidRDefault="00AE646D" w:rsidP="00600535">
      <w:pPr>
        <w:pStyle w:val="CETBodytext"/>
        <w:rPr>
          <w:lang w:val="en-GB"/>
        </w:rPr>
      </w:pPr>
      <w:r w:rsidRPr="00AE646D">
        <w:rPr>
          <w:lang w:val="en-GB"/>
        </w:rPr>
        <w:t>Facilities handling explosives present severe risks where standard safety distances often fail to capture complex detonation phenomena. This work introduces an integrated framework combining Computational Fluid Dynamics to simulate blast wave propagation and a probabilistic Monte Carlo model for fragment projection. By simulating site-specific interactions and stochastic debris trajectories, this methodology overcomes the limitations of empirical models. The result is a robust, multi-vector risk assessment tool that provides accurate consequence analysis for safety and territorial planning.</w:t>
      </w:r>
    </w:p>
    <w:p w14:paraId="476B2F2E" w14:textId="77777777" w:rsidR="00600535" w:rsidRDefault="00600535" w:rsidP="00600535">
      <w:pPr>
        <w:pStyle w:val="CETHeading1"/>
        <w:rPr>
          <w:lang w:val="en-GB"/>
        </w:rPr>
      </w:pPr>
      <w:r w:rsidRPr="00B57B36">
        <w:rPr>
          <w:lang w:val="en-GB"/>
        </w:rPr>
        <w:t>Introduction</w:t>
      </w:r>
    </w:p>
    <w:p w14:paraId="7A2633B8" w14:textId="07ABC6D1" w:rsidR="004E17DB" w:rsidRDefault="008F7770" w:rsidP="004E17DB">
      <w:pPr>
        <w:pStyle w:val="CETBodytext"/>
        <w:rPr>
          <w:lang w:val="en-GB"/>
        </w:rPr>
      </w:pPr>
      <w:r w:rsidRPr="008F7770">
        <w:rPr>
          <w:lang w:val="en-GB"/>
        </w:rPr>
        <w:t>The industrial handling and storage of high explosives represent a specific sector within the process industry that demands rigorous safety protocols. In the European Union, these facilities constitute approximately 6 % of Seveso sites, yet historical analysis reveals a consistent pattern of severe accidents</w:t>
      </w:r>
      <w:r>
        <w:rPr>
          <w:lang w:val="en-GB"/>
        </w:rPr>
        <w:t xml:space="preserve"> </w:t>
      </w:r>
      <w:r>
        <w:rPr>
          <w:lang w:val="en-GB"/>
        </w:rPr>
        <w:fldChar w:fldCharType="begin"/>
      </w:r>
      <w:r w:rsidR="000A2D4A">
        <w:rPr>
          <w:lang w:val="en-GB"/>
        </w:rPr>
        <w:instrText xml:space="preserve"> ADDIN ZOTERO_ITEM CSL_CITATION {"citationID":"z1gQwouP","properties":{"formattedCitation":"(Major Accident Hazards Bureau Security Technology Assessment Unit, 2023)","plainCitation":"(Major Accident Hazards Bureau Security Technology Assessment Unit, 2023)","noteIndex":0},"citationItems":[{"id":174,"uris":["http://zotero.org/users/16159901/items/P98NUBQW"],"itemData":{"id":174,"type":"article-journal","title":"Explosives and Pyrotechnic Sites - Seveso inspection series - good practice report","URL":"https://minerva.jrc.ec.europa.eu/en/shorturl/technical_working_group_2_seveso_inspections/mjvnorwayexplosivespyrotechnicsshortreportformattedfinal","author":[{"literal":"Major Accident Hazards Bureau Security Technology Assessment Unit"}],"issued":{"date-parts":[["2023"]]}}}],"schema":"https://github.com/citation-style-language/schema/raw/master/csl-citation.json"} </w:instrText>
      </w:r>
      <w:r>
        <w:rPr>
          <w:lang w:val="en-GB"/>
        </w:rPr>
        <w:fldChar w:fldCharType="separate"/>
      </w:r>
      <w:r w:rsidR="004C00B5" w:rsidRPr="004C00B5">
        <w:rPr>
          <w:rFonts w:cs="Arial"/>
        </w:rPr>
        <w:t>(Major Accident Hazards Bureau Security Technology Assessment Unit, 2023)</w:t>
      </w:r>
      <w:r>
        <w:rPr>
          <w:lang w:val="en-GB"/>
        </w:rPr>
        <w:fldChar w:fldCharType="end"/>
      </w:r>
      <w:r>
        <w:rPr>
          <w:lang w:val="en-GB"/>
        </w:rPr>
        <w:t>.</w:t>
      </w:r>
      <w:r w:rsidRPr="008F7770">
        <w:rPr>
          <w:rFonts w:cs="Arial"/>
          <w:color w:val="303030"/>
          <w:sz w:val="21"/>
          <w:szCs w:val="21"/>
          <w:shd w:val="clear" w:color="auto" w:fill="FFFFFF"/>
          <w:lang w:val="en-GB"/>
        </w:rPr>
        <w:t xml:space="preserve"> </w:t>
      </w:r>
      <w:r w:rsidRPr="008F7770">
        <w:rPr>
          <w:lang w:val="en-GB"/>
        </w:rPr>
        <w:t>Unlike typical chemical incidents, detonations often entail rapid escalation that renders active mitigation strategies ineffective, posing severe risks to emergency responders and surrounding areas. Currently, risk management in this sector relies heavily on passive protection and territorial planning based on Quantity-Distance (QD) standards, such as those outlined in U.S. DoD regulations</w:t>
      </w:r>
      <w:r>
        <w:rPr>
          <w:lang w:val="en-GB"/>
        </w:rPr>
        <w:t xml:space="preserve"> </w:t>
      </w:r>
      <w:r>
        <w:rPr>
          <w:lang w:val="en-GB"/>
        </w:rPr>
        <w:fldChar w:fldCharType="begin"/>
      </w:r>
      <w:r w:rsidR="000A2D4A">
        <w:rPr>
          <w:lang w:val="en-GB"/>
        </w:rPr>
        <w:instrText xml:space="preserve"> ADDIN ZOTERO_ITEM CSL_CITATION {"citationID":"dS4szG5C","properties":{"formattedCitation":"(Department of Defense, 2024)","plainCitation":"(Department of Defense, 2024)","noteIndex":0},"citationItems":[{"id":221,"uris":["http://zotero.org/users/16159901/items/WC36SZ7N"],"itemData":{"id":221,"type":"webpage","title":"DOD 6055.9 STD - DOD AMMUNITION AND EXPLOSIVES SAFETY STANDARDS","URL":"https://standards.globalspec.com/std/384800/dod-6055-9-std","author":[{"literal":"Department of Defense"}],"accessed":{"date-parts":[["2025",3,28]]},"issued":{"date-parts":[["2024"]]}}}],"schema":"https://github.com/citation-style-language/schema/raw/master/csl-citation.json"} </w:instrText>
      </w:r>
      <w:r>
        <w:rPr>
          <w:lang w:val="en-GB"/>
        </w:rPr>
        <w:fldChar w:fldCharType="separate"/>
      </w:r>
      <w:r w:rsidR="004C00B5" w:rsidRPr="004C00B5">
        <w:rPr>
          <w:rFonts w:cs="Arial"/>
        </w:rPr>
        <w:t>(Department of Defense, 2024)</w:t>
      </w:r>
      <w:r>
        <w:rPr>
          <w:lang w:val="en-GB"/>
        </w:rPr>
        <w:fldChar w:fldCharType="end"/>
      </w:r>
      <w:r>
        <w:rPr>
          <w:lang w:val="en-GB"/>
        </w:rPr>
        <w:t xml:space="preserve"> </w:t>
      </w:r>
      <w:r w:rsidRPr="008F7770">
        <w:rPr>
          <w:lang w:val="en-GB"/>
        </w:rPr>
        <w:t>or NATO manuals</w:t>
      </w:r>
      <w:r>
        <w:rPr>
          <w:lang w:val="en-GB"/>
        </w:rPr>
        <w:t xml:space="preserve"> </w:t>
      </w:r>
      <w:r>
        <w:rPr>
          <w:lang w:val="en-GB"/>
        </w:rPr>
        <w:fldChar w:fldCharType="begin"/>
      </w:r>
      <w:r w:rsidR="000A2D4A">
        <w:rPr>
          <w:lang w:val="en-GB"/>
        </w:rPr>
        <w:instrText xml:space="preserve"> ADDIN ZOTERO_ITEM CSL_CITATION {"citationID":"gsAVyZ2q","properties":{"formattedCitation":"(NATO, 2023)","plainCitation":"(NATO, 2023)","noteIndex":0},"citationItems":[{"id":218,"uris":["http://zotero.org/users/16159901/items/GYI9CNRC"],"itemData":{"id":218,"type":"webpage","title":"NATO - AASTP-1.1 - MANUAL FOR THE DEVELOPMENT OF AN EXPLOSIVES SAFETY SITE PLAN BASED ON AASTP-1","URL":"https://standards.globalspec.com/std/14595454/aastp-1-1","author":[{"literal":"NATO"}],"accessed":{"date-parts":[["2025",3,28]]},"issued":{"date-parts":[["2023"]]}}}],"schema":"https://github.com/citation-style-language/schema/raw/master/csl-citation.json"} </w:instrText>
      </w:r>
      <w:r>
        <w:rPr>
          <w:lang w:val="en-GB"/>
        </w:rPr>
        <w:fldChar w:fldCharType="separate"/>
      </w:r>
      <w:r w:rsidR="004C00B5" w:rsidRPr="004C00B5">
        <w:rPr>
          <w:rFonts w:cs="Arial"/>
        </w:rPr>
        <w:t>(NATO, 2023)</w:t>
      </w:r>
      <w:r>
        <w:rPr>
          <w:lang w:val="en-GB"/>
        </w:rPr>
        <w:fldChar w:fldCharType="end"/>
      </w:r>
      <w:r>
        <w:rPr>
          <w:lang w:val="en-GB"/>
        </w:rPr>
        <w:t xml:space="preserve">. </w:t>
      </w:r>
      <w:r w:rsidRPr="008F7770">
        <w:rPr>
          <w:lang w:val="en-GB"/>
        </w:rPr>
        <w:t xml:space="preserve">While these empirical protocols provide a necessary baseline, they generally assume "free-field" conditions. Consequently, standard safety distances often fail to account for the complex reflection and </w:t>
      </w:r>
      <w:r w:rsidR="00816502" w:rsidRPr="008F7770">
        <w:rPr>
          <w:lang w:val="en-GB"/>
        </w:rPr>
        <w:t>channelling</w:t>
      </w:r>
      <w:r w:rsidRPr="008F7770">
        <w:rPr>
          <w:lang w:val="en-GB"/>
        </w:rPr>
        <w:t xml:space="preserve"> of blast waves caused by site-specific topography and protective embankments, leading to potential underestimation of the hazard footprint in complex geometries</w:t>
      </w:r>
      <w:r>
        <w:rPr>
          <w:lang w:val="en-GB"/>
        </w:rPr>
        <w:t xml:space="preserve"> </w:t>
      </w:r>
      <w:r>
        <w:rPr>
          <w:lang w:val="en-GB"/>
        </w:rPr>
        <w:fldChar w:fldCharType="begin"/>
      </w:r>
      <w:r>
        <w:rPr>
          <w:lang w:val="en-GB"/>
        </w:rPr>
        <w:instrText xml:space="preserve"> ADDIN ZOTERO_ITEM CSL_CITATION {"citationID":"a5Fuyh0X","properties":{"formattedCitation":"({\\i{}UFC 3-340-02 Structures to Resist the Effects of Accidental Explosions} 2005)","plainCitation":"(UFC 3-340-02 Structures to Resist the Effects of Accidental Explosions 2005)","dontUpdate":true,"noteIndex":0},"citationItems":[{"id":167,"uris":["http://zotero.org/users/16159901/items/JPZT4YXR"],"itemData":{"id":167,"type":"article-journal","language":"en","source":"Zotero","title":"UFC 3-340-02 Structures to Resist the Effects of Accidental Explosions","issued":{"date-parts":[["2005"]]}}}],"schema":"https://github.com/citation-style-language/schema/raw/master/csl-citation.json"} </w:instrText>
      </w:r>
      <w:r>
        <w:rPr>
          <w:lang w:val="en-GB"/>
        </w:rPr>
        <w:fldChar w:fldCharType="separate"/>
      </w:r>
      <w:r w:rsidRPr="003F23E8">
        <w:rPr>
          <w:rFonts w:cs="Arial"/>
        </w:rPr>
        <w:t>(</w:t>
      </w:r>
      <w:r w:rsidRPr="003F23E8">
        <w:rPr>
          <w:rFonts w:cs="Arial"/>
          <w:i/>
          <w:iCs/>
        </w:rPr>
        <w:t>UFC 3-340-02</w:t>
      </w:r>
      <w:r>
        <w:rPr>
          <w:rFonts w:cs="Arial"/>
          <w:i/>
          <w:iCs/>
        </w:rPr>
        <w:t>,</w:t>
      </w:r>
      <w:r w:rsidRPr="003F23E8">
        <w:rPr>
          <w:rFonts w:cs="Arial"/>
        </w:rPr>
        <w:t xml:space="preserve"> 2005)</w:t>
      </w:r>
      <w:r>
        <w:rPr>
          <w:lang w:val="en-GB"/>
        </w:rPr>
        <w:fldChar w:fldCharType="end"/>
      </w:r>
      <w:r w:rsidRPr="00A97CD6">
        <w:rPr>
          <w:lang w:val="en-GB"/>
        </w:rPr>
        <w:t>.</w:t>
      </w:r>
      <w:r w:rsidRPr="008F7770">
        <w:rPr>
          <w:rFonts w:cs="Arial"/>
          <w:color w:val="303030"/>
          <w:sz w:val="21"/>
          <w:szCs w:val="21"/>
          <w:shd w:val="clear" w:color="auto" w:fill="FFFFFF"/>
          <w:lang w:val="en-GB"/>
        </w:rPr>
        <w:t xml:space="preserve"> </w:t>
      </w:r>
      <w:r w:rsidR="004E17DB" w:rsidRPr="00816502">
        <w:rPr>
          <w:lang w:val="en-GB"/>
        </w:rPr>
        <w:t>To address these limitations, this paper introduces a novel, integrated consequence assessment framework applied to a real-world munition storage facility. Merging rapid empirical-probabilistic assessments with high-fidelity overpressure analysis, the methodology moves beyond simplified equations. Specifically, it employs Monte Carlo simulations for stochastic fragment projection alongside Viper::Blast—a specialized CFD code that provides precise shockwave mode</w:t>
      </w:r>
      <w:r w:rsidR="00E546B4">
        <w:rPr>
          <w:lang w:val="en-GB"/>
        </w:rPr>
        <w:t>l</w:t>
      </w:r>
      <w:r w:rsidR="004E17DB" w:rsidRPr="00816502">
        <w:rPr>
          <w:lang w:val="en-GB"/>
        </w:rPr>
        <w:t>ling while significantly reducing run-times compared to traditional hydrocodes</w:t>
      </w:r>
      <w:r w:rsidR="00E14E2C">
        <w:rPr>
          <w:lang w:val="en-GB"/>
        </w:rPr>
        <w:t xml:space="preserve"> </w:t>
      </w:r>
      <w:r w:rsidR="00E14E2C">
        <w:rPr>
          <w:lang w:val="en-GB"/>
        </w:rPr>
        <w:fldChar w:fldCharType="begin"/>
      </w:r>
      <w:r w:rsidR="00E14E2C">
        <w:rPr>
          <w:lang w:val="en-GB"/>
        </w:rPr>
        <w:instrText xml:space="preserve"> ADDIN ZOTERO_ITEM CSL_CITATION {"citationID":"hFZj0c3U","properties":{"formattedCitation":"(Chester et al. 2024)","plainCitation":"(Chester et al. 2024)","dontUpdate":true,"noteIndex":0},"citationItems":[{"id":244,"uris":["http://zotero.org/users/16159901/items/BDNZCT6S"],"itemData":{"id":244,"type":"article-journal","abstract":"In blast resistant design, simulation data may be used to generate the explosive loads that would be witnessed by the detonation of a high explosive device. There are many software packages available to simulate explosions, and this study aims to provide a comparison of a selection of them, including some recently available, with the aim of forming an understanding of the potential accuracies and speed of these in far-field explosive prediction. Software selection criteria were formed by a literature survey to highlight the commonly commercially used programmes. Each software package was used to predict the far-field effects of overpressure and specific impulse from two explosive charges against a reflective target. The data generated by these simulations were then critically compared and reviewed, both with respect to each other and, for the 100 kg charge size, with respect to experimental data. It shows that for the simulated scenarios, after domain and cell size fidelity studies have been performed, the choice of software may lead to a variance in prediction in the peak overpressure of up to 50%, specific impulse of up to 15%, and simulation run times by a factor of 600.","container-title":"International Journal of Protective Structures","DOI":"10.1177/20414196241248192","ISSN":"2041-4196","language":"EN","page":"20414196241248192","publisher":"SAGE Publications","source":"SAGE Journals","title":"A comparison of far-field explosive loads by a selection of current and emerging blast software","author":[{"family":"Chester","given":"Alastair"},{"family":"Critchley","given":"Richard"},{"family":"Hazael","given":"Rachael"}],"issued":{"date-parts":[["2024",4,29]]}}}],"schema":"https://github.com/citation-style-language/schema/raw/master/csl-citation.json"} </w:instrText>
      </w:r>
      <w:r w:rsidR="00E14E2C">
        <w:rPr>
          <w:lang w:val="en-GB"/>
        </w:rPr>
        <w:fldChar w:fldCharType="separate"/>
      </w:r>
      <w:r w:rsidR="00E14E2C" w:rsidRPr="00A7779F">
        <w:rPr>
          <w:rFonts w:cs="Arial"/>
        </w:rPr>
        <w:t>(Chester et al.</w:t>
      </w:r>
      <w:r w:rsidR="00E14E2C">
        <w:rPr>
          <w:rFonts w:cs="Arial"/>
        </w:rPr>
        <w:t xml:space="preserve">, </w:t>
      </w:r>
      <w:r w:rsidR="00E14E2C" w:rsidRPr="00A7779F">
        <w:rPr>
          <w:rFonts w:cs="Arial"/>
        </w:rPr>
        <w:t>2024)</w:t>
      </w:r>
      <w:r w:rsidR="00E14E2C">
        <w:rPr>
          <w:lang w:val="en-GB"/>
        </w:rPr>
        <w:fldChar w:fldCharType="end"/>
      </w:r>
      <w:r w:rsidR="004E17DB" w:rsidRPr="00816502">
        <w:rPr>
          <w:lang w:val="en-GB"/>
        </w:rPr>
        <w:t>. Ultimately, this combined approach establishes a robust, accurate, and accessible standard for safety analysis, land-use planning, and the systematic drafting of Safety Reports.</w:t>
      </w:r>
    </w:p>
    <w:p w14:paraId="5741900F" w14:textId="52D7629E" w:rsidR="00453E24" w:rsidRDefault="006A0F33" w:rsidP="00453E24">
      <w:pPr>
        <w:pStyle w:val="CETHeading1"/>
      </w:pPr>
      <w:r>
        <w:t>Methodology: case study and source term characterization</w:t>
      </w:r>
    </w:p>
    <w:p w14:paraId="09406386" w14:textId="791EF2C9" w:rsidR="00453E24" w:rsidRPr="003F23E8" w:rsidRDefault="006A0F33" w:rsidP="003F23E8">
      <w:pPr>
        <w:pStyle w:val="CETBodytext"/>
        <w:rPr>
          <w:rFonts w:ascii="Cambria Math" w:hAnsi="Cambria Math"/>
        </w:rPr>
      </w:pPr>
      <w:r>
        <w:t xml:space="preserve">The reference facility consists of 15 storage depots </w:t>
      </w:r>
      <w:r w:rsidR="003F23E8" w:rsidRPr="003F23E8">
        <w:t>and associated processing buildings, handling a variety of energetic materials including TNT, RDX, Composition B, and propellants. The source term characterization is critical. For each depot, the total "TNT equivalent" mass</w:t>
      </w:r>
      <w:r w:rsidR="003F23E8">
        <w:t xml:space="preserve"> (W</w:t>
      </w:r>
      <w:r w:rsidR="003F23E8">
        <w:rPr>
          <w:vertAlign w:val="subscript"/>
        </w:rPr>
        <w:t>TNT</w:t>
      </w:r>
      <w:r w:rsidR="003F23E8">
        <w:t>) was calculated based on the specific heat of detonation of the stores substances relative to standard TNT (</w:t>
      </w:r>
      <w:proofErr w:type="spellStart"/>
      <w:r w:rsidR="003F23E8">
        <w:t>H</w:t>
      </w:r>
      <w:r w:rsidR="003F23E8">
        <w:rPr>
          <w:vertAlign w:val="subscript"/>
        </w:rPr>
        <w:t>d,TNT</w:t>
      </w:r>
      <w:proofErr w:type="spellEnd"/>
      <w:r w:rsidR="003F23E8">
        <w:rPr>
          <w:vertAlign w:val="subscript"/>
        </w:rPr>
        <w:t xml:space="preserve"> </w:t>
      </w:r>
      <w:r w:rsidR="003F23E8" w:rsidRPr="003F23E8">
        <w:rPr>
          <w:rFonts w:ascii="Cambria Math" w:hAnsi="Cambria Math" w:cs="Cambria Math"/>
        </w:rPr>
        <w:t>≃</w:t>
      </w:r>
      <w:r w:rsidR="003F23E8" w:rsidRPr="003F23E8">
        <w:t xml:space="preserve"> </w:t>
      </w:r>
      <w:r w:rsidR="003F23E8">
        <w:t xml:space="preserve">4,520 kJ/kg), using thermochemical data from </w:t>
      </w:r>
      <w:r w:rsidR="003F23E8">
        <w:fldChar w:fldCharType="begin"/>
      </w:r>
      <w:r w:rsidR="005E7271">
        <w:instrText xml:space="preserve"> ADDIN ZOTERO_ITEM CSL_CITATION {"citationID":"qAXgL9t5","properties":{"formattedCitation":"(Meyer et al. 2002)","plainCitation":"(Meyer et al. 2002)","dontUpdate":true,"noteIndex":0},"citationItems":[{"id":251,"uris":["http://zotero.org/users/16159901/items/JZQZFV9W"],"itemData":{"id":251,"type":"book","abstract":"Explosives 5th Completely Revised Edition By Meyer, Kohler &amp; Homburg; Rev. ed. of: Explosives / Josef Köhler, Rudolf Meyer. 4th, rev. and extended ed. c1993; Includes bibliographical references and index","ISBN":"978-3-527-30267-3","language":"eng","publisher":"Weinheim : Wiley-VCH","source":"Internet Archive","title":"Explosives","URL":"http://archive.org/details/Explosives_5th_Completely_Revised_Edition_By_Meyer_Kohler_Homburg","author":[{"family":"Meyer","given":"Rudolf"},{"family":"Köhler","given":"Josef"},{"family":"Homburg","given":"Axel"}],"accessed":{"date-parts":[["2025",4,6]]},"issued":{"date-parts":[["2002"]]}}}],"schema":"https://github.com/citation-style-language/schema/raw/master/csl-citation.json"} </w:instrText>
      </w:r>
      <w:r w:rsidR="003F23E8">
        <w:fldChar w:fldCharType="separate"/>
      </w:r>
      <w:r w:rsidR="003F23E8" w:rsidRPr="003F23E8">
        <w:rPr>
          <w:rFonts w:cs="Arial"/>
        </w:rPr>
        <w:t>Meyer et al.</w:t>
      </w:r>
      <w:r w:rsidR="003F23E8">
        <w:rPr>
          <w:rFonts w:cs="Arial"/>
        </w:rPr>
        <w:t xml:space="preserve"> </w:t>
      </w:r>
      <w:r w:rsidR="007C18D2">
        <w:rPr>
          <w:rFonts w:cs="Arial"/>
        </w:rPr>
        <w:t>(</w:t>
      </w:r>
      <w:r w:rsidR="003F23E8" w:rsidRPr="003F23E8">
        <w:rPr>
          <w:rFonts w:cs="Arial"/>
        </w:rPr>
        <w:t>2002)</w:t>
      </w:r>
      <w:r w:rsidR="003F23E8">
        <w:fldChar w:fldCharType="end"/>
      </w:r>
      <w:r w:rsidR="00DE1633">
        <w:t xml:space="preserve">. To account </w:t>
      </w:r>
      <w:r w:rsidR="00DE1633" w:rsidRPr="00DE1633">
        <w:rPr>
          <w:lang w:val="en-GB"/>
        </w:rPr>
        <w:t>for energy dissipation, specific damping coefficients were applied. As suggested by</w:t>
      </w:r>
      <w:r w:rsidR="00DE1633">
        <w:rPr>
          <w:lang w:val="en-GB"/>
        </w:rPr>
        <w:t xml:space="preserve"> </w:t>
      </w:r>
      <w:r w:rsidR="00DE1633">
        <w:rPr>
          <w:lang w:val="en-GB"/>
        </w:rPr>
        <w:fldChar w:fldCharType="begin"/>
      </w:r>
      <w:r w:rsidR="005E7271">
        <w:rPr>
          <w:lang w:val="en-GB"/>
        </w:rPr>
        <w:instrText xml:space="preserve"> ADDIN ZOTERO_ITEM CSL_CITATION {"citationID":"uqZU8sTi","properties":{"formattedCitation":"(Manca 2013)","plainCitation":"(Manca 2013)","dontUpdate":true,"noteIndex":0},"citationItems":[{"id":183,"uris":["http://zotero.org/users/16159901/items/9AUAXGA6"],"itemData":{"id":183,"type":"article-journal","abstract":"Safety reports are mandatory documents in member states of European Union whenever any threshold limits of amounts of either stored or processed hazardous substances are exceeded. After a short introduction to EU Seveso Directives on major-accident hazards involving dangerous substances and to the transposition and implementation by member states, with a brief comment on last 2012/18/EU Directive (also known as Seveso III directive), the paper focuses on drafting of safety reports for industrial activities involving solid explosives. Specifically, the quantitative assessment of consequences from detonation is tackled respect to the side-on overpressure and the debris production. Both direct and inverse problems are illustrated to determine respectively the overpressure value at a given distance, and the explosive amount that allows respecting the regulations. Their solution is based on either analytic or numerical techniques and being based on recent scientific publications on the matter either evaluates or zeroes nonlinear algebraic equations. The availability of these equations avoids grounding the consequences assessment on diagrams and nomograms that otherwise would lead to interpretation and usage errors besides avoiding the automatic solution of the inverse problem. The paper focuses also on details such as embankment, crater, munitions, rocket propellant, building structure, and wall material that, at different levels, play a role in the assessment of detonation consequences. A discussion on debris formation, the available literature, and the evaluation of the impact probability of fragments on both fixed and moving targets closes the paper.","container-title":"Journal of Loss Prevention in the Process Industries","DOI":"10.1016/j.jlp.2013.10.010","ISSN":"0950-4230","issue":"6","journalAbbreviation":"Journal of Loss Prevention in the Process Industries","page":"974-981","source":"ScienceDirect","title":"Quantitative assessment in safety reports of the consequences from the detonation of solid explosives","volume":"26","author":[{"family":"Manca","given":"Davide"}],"issued":{"date-parts":[["2013",11,1]]}}}],"schema":"https://github.com/citation-style-language/schema/raw/master/csl-citation.json"} </w:instrText>
      </w:r>
      <w:r w:rsidR="00DE1633">
        <w:rPr>
          <w:lang w:val="en-GB"/>
        </w:rPr>
        <w:fldChar w:fldCharType="separate"/>
      </w:r>
      <w:r w:rsidR="00DE1633" w:rsidRPr="00DE1633">
        <w:rPr>
          <w:rFonts w:cs="Arial"/>
        </w:rPr>
        <w:t xml:space="preserve">Manca </w:t>
      </w:r>
      <w:r w:rsidR="00DE1633">
        <w:rPr>
          <w:rFonts w:cs="Arial"/>
        </w:rPr>
        <w:t>(</w:t>
      </w:r>
      <w:r w:rsidR="00DE1633" w:rsidRPr="00DE1633">
        <w:rPr>
          <w:rFonts w:cs="Arial"/>
        </w:rPr>
        <w:t>2013)</w:t>
      </w:r>
      <w:r w:rsidR="00DE1633">
        <w:rPr>
          <w:lang w:val="en-GB"/>
        </w:rPr>
        <w:fldChar w:fldCharType="end"/>
      </w:r>
      <w:r w:rsidR="00DE1633" w:rsidRPr="00DE1633">
        <w:rPr>
          <w:lang w:val="en-GB"/>
        </w:rPr>
        <w:t xml:space="preserve">, a structural damping factor of 0.70 was applied to account for the energy absorbed </w:t>
      </w:r>
      <w:r w:rsidR="00DE1633" w:rsidRPr="00DE1633">
        <w:rPr>
          <w:lang w:val="en-GB"/>
        </w:rPr>
        <w:lastRenderedPageBreak/>
        <w:t xml:space="preserve">by the depot walls and crater formation. Furthermore, for encased munitions, a coefficient of 0.60 was used to represent the energy consumed by the rupture of metallic casings, consistent with the findings of </w:t>
      </w:r>
      <w:r w:rsidR="00DE1633">
        <w:rPr>
          <w:lang w:val="en-GB"/>
        </w:rPr>
        <w:fldChar w:fldCharType="begin"/>
      </w:r>
      <w:r w:rsidR="005E7271">
        <w:rPr>
          <w:lang w:val="en-GB"/>
        </w:rPr>
        <w:instrText xml:space="preserve"> ADDIN ZOTERO_ITEM CSL_CITATION {"citationID":"9RLN19ge","properties":{"formattedCitation":"(Cooper 1996)","plainCitation":"(Cooper 1996)","dontUpdate":true,"noteIndex":0},"citationItems":[{"id":209,"uris":["http://zotero.org/users/16159901/items/2D5HLT2G"],"itemData":{"id":209,"type":"book","abstract":"This graduate text, and Cooper's companion introductory text ('Introduction to the Technology of Explosives'), serve the same markets as the successful explosives reference by Meyer, now in its 4th edition. VCH also published the International Journal of Propellants, Explosives, and Pyrotechnics. The resulting package would give VCH the major presence in the field. This text presents the basic technologies used in the engineering of explosives and explosive systems, i.e., chemistry, burning, detonation, shock waves, initiation theories, scaling. The book is written for upper-division undergraduate or graduate-level scientists and engineers, and assumes a good grasp of basic physics, chemistry, mechanics and mathematic through calculus. It is based on lecture notes used for graduate courses at the Dept. of Energy Laboratories, and could serve as a core text for a course at schools of mining or military engineering. The intent of the book is to provide the engineer or scientist in the field with an understanding of the phenomena involved and the engineering tools needed to solve/ design/ analyze a broad range of real problems.","ISBN":"978-0-471-18636-6","language":"en","note":"Google-Books-ID: TcjVDwAAQBAJ","number-of-pages":"480","publisher":"John Wiley &amp; Sons","source":"Google Books","title":"Explosives Engineering","author":[{"family":"Cooper","given":"Paul W."}],"issued":{"date-parts":[["1996",12,17]]}}}],"schema":"https://github.com/citation-style-language/schema/raw/master/csl-citation.json"} </w:instrText>
      </w:r>
      <w:r w:rsidR="00DE1633">
        <w:rPr>
          <w:lang w:val="en-GB"/>
        </w:rPr>
        <w:fldChar w:fldCharType="separate"/>
      </w:r>
      <w:r w:rsidR="00DE1633" w:rsidRPr="00DE1633">
        <w:rPr>
          <w:rFonts w:cs="Arial"/>
        </w:rPr>
        <w:t xml:space="preserve">Cooper </w:t>
      </w:r>
      <w:r w:rsidR="00DE1633">
        <w:rPr>
          <w:rFonts w:cs="Arial"/>
        </w:rPr>
        <w:t>(</w:t>
      </w:r>
      <w:r w:rsidR="00DE1633" w:rsidRPr="00DE1633">
        <w:rPr>
          <w:rFonts w:cs="Arial"/>
        </w:rPr>
        <w:t>1996)</w:t>
      </w:r>
      <w:r w:rsidR="00DE1633">
        <w:rPr>
          <w:lang w:val="en-GB"/>
        </w:rPr>
        <w:fldChar w:fldCharType="end"/>
      </w:r>
      <w:r w:rsidR="00DE1633">
        <w:rPr>
          <w:lang w:val="en-GB"/>
        </w:rPr>
        <w:t xml:space="preserve"> </w:t>
      </w:r>
      <w:r w:rsidR="00DE1633" w:rsidRPr="00DE1633">
        <w:rPr>
          <w:lang w:val="en-GB"/>
        </w:rPr>
        <w:t xml:space="preserve">and </w:t>
      </w:r>
      <w:r w:rsidR="00DE1633">
        <w:rPr>
          <w:lang w:val="en-GB"/>
        </w:rPr>
        <w:fldChar w:fldCharType="begin"/>
      </w:r>
      <w:r w:rsidR="005E7271">
        <w:rPr>
          <w:lang w:val="en-GB"/>
        </w:rPr>
        <w:instrText xml:space="preserve"> ADDIN ZOTERO_ITEM CSL_CITATION {"citationID":"0O1G1JrV","properties":{"formattedCitation":"(Mendon\\uc0\\u231{}a-Filho et al. 2008)","plainCitation":"(Mendonça-Filho et al. 2008)","dontUpdate":true,"noteIndex":0},"citationItems":[{"id":211,"uris":["http://zotero.org/users/16159901/items/TKSK67SD"],"itemData":{"id":211,"type":"article-journal","abstract":"Back in 1964 President Vargas Works was the only place in the country which processed single base powder for the Brazilian Armed Forces. Then its industrial activity was quite strong and around 4:45 a.m. of 23rd September an intense decomposition of nearly 15 ton of that material took place in one of the production lines workshops. The consequences of this explosion were the destruction and extensive damage to the workshops around its epicenter. At that time pictures of all affected buildings were taken and their damages fully described. This led to the present work which consists in the evaluation of the TNT equivalent charge of the explosion using the concept of damage category developed by UK engineers based on the WWII damaging bombing data. © 2008 Elsevier B.V. All rights reserved.","archive":"Scopus","container-title":"Journal of Hazardous Materials","DOI":"10.1016/j.jhazmat.2008.02.004","issue":"2-3","page":"599-604","source":"Scopus","title":"Estimating the TNT equivalence of a 15-ton single base powder explosion through damaged building profiles analyses","volume":"158","author":[{"family":"Mendonça-Filho","given":"L.G."},{"family":"Bastos-Netto","given":"D."},{"family":"Guirardello","given":"R."}],"issued":{"date-parts":[["2008"]]}}}],"schema":"https://github.com/citation-style-language/schema/raw/master/csl-citation.json"} </w:instrText>
      </w:r>
      <w:r w:rsidR="00DE1633">
        <w:rPr>
          <w:lang w:val="en-GB"/>
        </w:rPr>
        <w:fldChar w:fldCharType="separate"/>
      </w:r>
      <w:r w:rsidR="00DE1633" w:rsidRPr="00DE1633">
        <w:rPr>
          <w:rFonts w:cs="Arial"/>
        </w:rPr>
        <w:t xml:space="preserve">Mendonça-Filho et al. </w:t>
      </w:r>
      <w:r w:rsidR="00DE1633">
        <w:rPr>
          <w:rFonts w:cs="Arial"/>
        </w:rPr>
        <w:t>(</w:t>
      </w:r>
      <w:r w:rsidR="00DE1633" w:rsidRPr="00DE1633">
        <w:rPr>
          <w:rFonts w:cs="Arial"/>
        </w:rPr>
        <w:t>2008)</w:t>
      </w:r>
      <w:r w:rsidR="00DE1633">
        <w:rPr>
          <w:lang w:val="en-GB"/>
        </w:rPr>
        <w:fldChar w:fldCharType="end"/>
      </w:r>
      <w:r w:rsidR="00DE1633" w:rsidRPr="00DE1633">
        <w:rPr>
          <w:lang w:val="en-GB"/>
        </w:rPr>
        <w:t>.</w:t>
      </w:r>
    </w:p>
    <w:p w14:paraId="0636B784" w14:textId="18249D3C" w:rsidR="00453E24" w:rsidRDefault="00796DEA" w:rsidP="00453E24">
      <w:pPr>
        <w:pStyle w:val="CETheadingx"/>
      </w:pPr>
      <w:r>
        <w:t xml:space="preserve">Blast wave </w:t>
      </w:r>
      <w:proofErr w:type="gramStart"/>
      <w:r>
        <w:t>model</w:t>
      </w:r>
      <w:r w:rsidR="00816502">
        <w:t>l</w:t>
      </w:r>
      <w:r>
        <w:t>ing</w:t>
      </w:r>
      <w:proofErr w:type="gramEnd"/>
    </w:p>
    <w:p w14:paraId="7C2B0064" w14:textId="1B0123DF" w:rsidR="00453E24" w:rsidRDefault="00A7779F" w:rsidP="00453E24">
      <w:pPr>
        <w:pStyle w:val="CETBodytext"/>
        <w:rPr>
          <w:lang w:val="en-GB"/>
        </w:rPr>
      </w:pPr>
      <w:r w:rsidRPr="00A7779F">
        <w:rPr>
          <w:lang w:val="en-GB"/>
        </w:rPr>
        <w:t xml:space="preserve">Blast wave propagation was simulated using </w:t>
      </w:r>
      <w:r w:rsidRPr="00A7779F">
        <w:rPr>
          <w:i/>
          <w:iCs/>
          <w:lang w:val="en-GB"/>
        </w:rPr>
        <w:t>Viper::Blast</w:t>
      </w:r>
      <w:r w:rsidRPr="00A7779F">
        <w:rPr>
          <w:lang w:val="en-GB"/>
        </w:rPr>
        <w:t xml:space="preserve">, a CFD code optimized for the </w:t>
      </w:r>
      <w:proofErr w:type="spellStart"/>
      <w:r w:rsidRPr="00A7779F">
        <w:rPr>
          <w:lang w:val="en-GB"/>
        </w:rPr>
        <w:t>airblast</w:t>
      </w:r>
      <w:proofErr w:type="spellEnd"/>
      <w:r w:rsidRPr="00A7779F">
        <w:rPr>
          <w:lang w:val="en-GB"/>
        </w:rPr>
        <w:t xml:space="preserve"> environment resulting from high explosive detonations </w:t>
      </w:r>
      <w:r w:rsidR="00796DEA">
        <w:fldChar w:fldCharType="begin"/>
      </w:r>
      <w:r w:rsidR="000A2D4A">
        <w:instrText xml:space="preserve"> ADDIN ZOTERO_ITEM CSL_CITATION {"citationID":"WT0tCqaS","properties":{"formattedCitation":"(Stirling Simulation Services Limited 2024)","plainCitation":"(Stirling Simulation Services Limited 2024)","dontUpdate":true,"noteIndex":0},"citationItems":[{"id":300,"uris":["http://zotero.org/users/16159901/items/TJZMLYLG"],"itemData":{"id":300,"type":"software","publisher-place":"Glasgow","title":"Viper::Blast","version":"1.30","author":[{"literal":"Stirling Simulation Services Limited"}],"issued":{"date-parts":[["2024"]]}}}],"schema":"https://github.com/citation-style-language/schema/raw/master/csl-citation.json"} </w:instrText>
      </w:r>
      <w:r w:rsidR="00796DEA">
        <w:fldChar w:fldCharType="separate"/>
      </w:r>
      <w:r w:rsidR="00796DEA" w:rsidRPr="00796DEA">
        <w:rPr>
          <w:rFonts w:cs="Arial"/>
        </w:rPr>
        <w:t>(Stirling Simulation Services Limited</w:t>
      </w:r>
      <w:r w:rsidR="00796DEA">
        <w:rPr>
          <w:rFonts w:cs="Arial"/>
        </w:rPr>
        <w:t xml:space="preserve">, </w:t>
      </w:r>
      <w:r w:rsidR="00796DEA" w:rsidRPr="00796DEA">
        <w:rPr>
          <w:rFonts w:cs="Arial"/>
        </w:rPr>
        <w:t>2024)</w:t>
      </w:r>
      <w:r w:rsidR="00796DEA">
        <w:fldChar w:fldCharType="end"/>
      </w:r>
      <w:r w:rsidR="00796DEA">
        <w:t xml:space="preserve">. </w:t>
      </w:r>
      <w:r w:rsidRPr="00A7779F">
        <w:rPr>
          <w:lang w:val="en-GB"/>
        </w:rPr>
        <w:t>The software offers six solver modules distinguished primarily by their management of computational resources; while five options utilize an ideal single-material solver, the selected module employs a multi-material approach incorporating the Jones-Wilkins-Lee (JWL) Equation of State (</w:t>
      </w:r>
      <w:proofErr w:type="spellStart"/>
      <w:r w:rsidRPr="00A7779F">
        <w:rPr>
          <w:lang w:val="en-GB"/>
        </w:rPr>
        <w:t>EoS</w:t>
      </w:r>
      <w:proofErr w:type="spellEnd"/>
      <w:r w:rsidRPr="00A7779F">
        <w:rPr>
          <w:lang w:val="en-GB"/>
        </w:rPr>
        <w:t xml:space="preserve">). The use of the JWL </w:t>
      </w:r>
      <w:proofErr w:type="spellStart"/>
      <w:r w:rsidRPr="00A7779F">
        <w:rPr>
          <w:lang w:val="en-GB"/>
        </w:rPr>
        <w:t>EoS</w:t>
      </w:r>
      <w:proofErr w:type="spellEnd"/>
      <w:r w:rsidRPr="00A7779F">
        <w:rPr>
          <w:lang w:val="en-GB"/>
        </w:rPr>
        <w:t xml:space="preserve"> is essential to account for the expansion phase of explosive products and accurately describe the thermodynamics of detonation products in the near-field</w:t>
      </w:r>
      <w:r>
        <w:rPr>
          <w:lang w:val="en-GB"/>
        </w:rPr>
        <w:t xml:space="preserve"> </w:t>
      </w:r>
      <w:r>
        <w:rPr>
          <w:lang w:val="en-GB"/>
        </w:rPr>
        <w:fldChar w:fldCharType="begin"/>
      </w:r>
      <w:r w:rsidR="000A2D4A">
        <w:rPr>
          <w:lang w:val="en-GB"/>
        </w:rPr>
        <w:instrText xml:space="preserve"> ADDIN ZOTERO_ITEM CSL_CITATION {"citationID":"hFZj0c3U","properties":{"formattedCitation":"(Chester et al. 2024)","plainCitation":"(Chester et al. 2024)","dontUpdate":true,"noteIndex":0},"citationItems":[{"id":244,"uris":["http://zotero.org/users/16159901/items/BDNZCT6S"],"itemData":{"id":244,"type":"article-journal","abstract":"In blast resistant design, simulation data may be used to generate the explosive loads that would be witnessed by the detonation of a high explosive device. There are many software packages available to simulate explosions, and this study aims to provide a comparison of a selection of them, including some recently available, with the aim of forming an understanding of the potential accuracies and speed of these in far-field explosive prediction. Software selection criteria were formed by a literature survey to highlight the commonly commercially used programmes. Each software package was used to predict the far-field effects of overpressure and specific impulse from two explosive charges against a reflective target. The data generated by these simulations were then critically compared and reviewed, both with respect to each other and, for the 100 kg charge size, with respect to experimental data. It shows that for the simulated scenarios, after domain and cell size fidelity studies have been performed, the choice of software may lead to a variance in prediction in the peak overpressure of up to 50%, specific impulse of up to 15%, and simulation run times by a factor of 600.","container-title":"International Journal of Protective Structures","DOI":"10.1177/20414196241248192","ISSN":"2041-4196","language":"EN","page":"20414196241248192","publisher":"SAGE Publications","source":"SAGE Journals","title":"A comparison of far-field explosive loads by a selection of current and emerging blast software","author":[{"family":"Chester","given":"Alastair"},{"family":"Critchley","given":"Richard"},{"family":"Hazael","given":"Rachael"}],"issued":{"date-parts":[["2024",4,29]]}}}],"schema":"https://github.com/citation-style-language/schema/raw/master/csl-citation.json"} </w:instrText>
      </w:r>
      <w:r>
        <w:rPr>
          <w:lang w:val="en-GB"/>
        </w:rPr>
        <w:fldChar w:fldCharType="separate"/>
      </w:r>
      <w:r w:rsidRPr="00A7779F">
        <w:rPr>
          <w:rFonts w:cs="Arial"/>
        </w:rPr>
        <w:t>(Chester et al.</w:t>
      </w:r>
      <w:r>
        <w:rPr>
          <w:rFonts w:cs="Arial"/>
        </w:rPr>
        <w:t xml:space="preserve">, </w:t>
      </w:r>
      <w:r w:rsidRPr="00A7779F">
        <w:rPr>
          <w:rFonts w:cs="Arial"/>
        </w:rPr>
        <w:t>2024)</w:t>
      </w:r>
      <w:r>
        <w:rPr>
          <w:lang w:val="en-GB"/>
        </w:rPr>
        <w:fldChar w:fldCharType="end"/>
      </w:r>
      <w:r w:rsidR="00796DEA" w:rsidRPr="00796DEA">
        <w:rPr>
          <w:lang w:val="en-GB"/>
        </w:rPr>
        <w:t>.</w:t>
      </w:r>
      <w:r w:rsidR="00F55252">
        <w:rPr>
          <w:lang w:val="en-GB"/>
        </w:rPr>
        <w:t xml:space="preserve"> A three-stage “remapping” technique was implemented to balance computational coast and accuracy:</w:t>
      </w:r>
    </w:p>
    <w:p w14:paraId="7BC31549" w14:textId="3354F4C4" w:rsidR="008527A3" w:rsidRDefault="008527A3" w:rsidP="008527A3">
      <w:pPr>
        <w:pStyle w:val="CETBodytext"/>
        <w:numPr>
          <w:ilvl w:val="0"/>
          <w:numId w:val="23"/>
        </w:numPr>
      </w:pPr>
      <w:r>
        <w:t>Phase 1 (Near-Field): High-resolution domain</w:t>
      </w:r>
      <w:r w:rsidR="00EC4093">
        <w:t xml:space="preserve"> </w:t>
      </w:r>
      <w:r w:rsidR="00A4550E">
        <w:t>35 x 50 x 50 m</w:t>
      </w:r>
      <w:r>
        <w:t xml:space="preserve"> (0.1 m mesh) centered on the charge to capture the initial detonation and interaction with the depot structure.</w:t>
      </w:r>
    </w:p>
    <w:p w14:paraId="3401CC06" w14:textId="5D3EE4D5" w:rsidR="008527A3" w:rsidRDefault="008527A3" w:rsidP="008527A3">
      <w:pPr>
        <w:pStyle w:val="CETBodytext"/>
        <w:numPr>
          <w:ilvl w:val="0"/>
          <w:numId w:val="23"/>
        </w:numPr>
      </w:pPr>
      <w:r>
        <w:t>Phase 2 (Mid-Field): Expansion to a larger domain</w:t>
      </w:r>
      <w:r w:rsidR="00084CBF">
        <w:t xml:space="preserve"> </w:t>
      </w:r>
      <w:r w:rsidR="00927221">
        <w:t>235 x 220 x 80 m</w:t>
      </w:r>
      <w:r>
        <w:t xml:space="preserve"> (0.4 m mesh) to propagate the shockwave through embankments and nearby buildings. </w:t>
      </w:r>
    </w:p>
    <w:p w14:paraId="19960244" w14:textId="4F29A518" w:rsidR="008527A3" w:rsidRDefault="008527A3" w:rsidP="008527A3">
      <w:pPr>
        <w:pStyle w:val="CETBodytext"/>
        <w:numPr>
          <w:ilvl w:val="0"/>
          <w:numId w:val="23"/>
        </w:numPr>
      </w:pPr>
      <w:r>
        <w:t xml:space="preserve">Phase 3 (Far-Field): </w:t>
      </w:r>
      <w:r w:rsidR="00D85D36" w:rsidRPr="00D85D36">
        <w:rPr>
          <w:lang w:val="en-GB"/>
        </w:rPr>
        <w:t>Full domain simulation 600 x 550 x 150 m (1 m mesh) to track wave decay down to 0.03 bar. It is worth noting that while regulatory limits vary internationally, this specific value represents the lowest threshold for indirect effects and reversible injuries according to Italian land-use planning regulations (Italian Decree 09/05/2001).</w:t>
      </w:r>
    </w:p>
    <w:p w14:paraId="1F1B53F1" w14:textId="2086DB23" w:rsidR="00880A3F" w:rsidRPr="00796DEA" w:rsidRDefault="00880A3F" w:rsidP="00816502">
      <w:pPr>
        <w:pStyle w:val="CETBodytext"/>
      </w:pPr>
      <w:r w:rsidRPr="00880A3F">
        <w:rPr>
          <w:lang w:val="en-GB"/>
        </w:rPr>
        <w:t>The simulation employs an Advection Upstream Splitting Method with Diffusion Velocity (AUSMDV) Finite Volume Method with MUSCL-Hancock time integration and an adaptive time-step strictly satisfying the Courant-Friedrichs-Lewy (CFL) condition. To manage computational costs, the minimum resolvable obstacle size dynamically matches the grid resolution. Consequently, fine details are captured in the near-field (0.1 m mesh), whereas the far-field (1.0 m mesh) naturally filters them out, retaining only macroscopic structures (e.g., embankments and main buildings) critical for blast wave diffraction.</w:t>
      </w:r>
    </w:p>
    <w:p w14:paraId="4D30CAEC" w14:textId="0B42865E" w:rsidR="008527A3" w:rsidRPr="008527A3" w:rsidRDefault="008527A3" w:rsidP="008527A3">
      <w:pPr>
        <w:pStyle w:val="CETheadingx"/>
      </w:pPr>
      <w:r>
        <w:t>Probabilistic fragment modeling</w:t>
      </w:r>
    </w:p>
    <w:p w14:paraId="5C889F2A" w14:textId="728B51B8" w:rsidR="008527A3" w:rsidRPr="008527A3" w:rsidRDefault="008527A3" w:rsidP="008527A3">
      <w:pPr>
        <w:pStyle w:val="CETBodytext"/>
      </w:pPr>
      <w:r>
        <w:t xml:space="preserve">Debris projection was analyzed using a Python-based Monte Carlo simulation </w:t>
      </w:r>
      <w:r w:rsidRPr="008527A3">
        <w:rPr>
          <w:lang w:val="en-GB"/>
        </w:rPr>
        <w:t xml:space="preserve">(10,000 iterations per scenario). The ballistic limit distance was calculated by solving the equations of motion including aerodynamic drag, as described by </w:t>
      </w:r>
      <w:r w:rsidR="005E7271">
        <w:rPr>
          <w:lang w:val="en-GB"/>
        </w:rPr>
        <w:fldChar w:fldCharType="begin"/>
      </w:r>
      <w:r w:rsidR="000A2D4A">
        <w:rPr>
          <w:lang w:val="en-GB"/>
        </w:rPr>
        <w:instrText xml:space="preserve"> ADDIN ZOTERO_ITEM CSL_CITATION {"citationID":"3hU4FwCJ","properties":{"formattedCitation":"(van der Voort and Weerheijm, 2013)","plainCitation":"(van der Voort and Weerheijm, 2013)","noteIndex":0},"citationItems":[{"id":226,"uris":["http://zotero.org/users/16159901/items/JSKT84RG"],"itemData":{"id":226,"type":"article-journal","abstract":"The handling of explosives and ammunition introduces a safety risk for personnel and third parties. Accidents related to storage, transport and transshipment may result in severe injury and material damage. Dispersion of structural debris is one of the main hazards resulting from detonations inside structures. Reliable prediction models for debris dispersion are essential for risk assessment methods. In this article we give a statistical description of the dispersion of explosion produced debris. The basis is a general expression for the projectile areal number density in the horizontal and vertical plane. Combined with engineering models for the launch conditions, predictions can be made. An analytical solution to the equations of motion may be used to allow for fast calculations. A parameter study shows consistent results. The model has been validated with internal detonation tests of bare charges in reinforced concrete structures. The validation clearly shows the prediction capabilities of the model for three loading regimes described in the literature. We give a thorough description of the validity and limitations of the model, and an outlook of current and future research. Examples are the failing debris mass distribution prediction for reinforced concrete in the shock overloading regime, and ricochet and roll and break-up at impact phenomena.","container-title":"International Journal of Impact Engineering","DOI":"10.1016/j.ijimpeng.2013.03.002","ISSN":"0734-743X","journalAbbreviation":"International Journal of Impact Engineering","page":"29-37","source":"ScienceDirect","title":"A statistical description of explosion produced debris dispersion","volume":"59","author":[{"family":"Voort","given":"M. M.","non-dropping-particle":"van der"},{"family":"Weerheijm","given":"J."}],"issued":{"date-parts":[["2013",9,1]]}}}],"schema":"https://github.com/citation-style-language/schema/raw/master/csl-citation.json"} </w:instrText>
      </w:r>
      <w:r w:rsidR="005E7271">
        <w:rPr>
          <w:lang w:val="en-GB"/>
        </w:rPr>
        <w:fldChar w:fldCharType="separate"/>
      </w:r>
      <w:r w:rsidR="004C00B5" w:rsidRPr="004C00B5">
        <w:rPr>
          <w:rFonts w:cs="Arial"/>
        </w:rPr>
        <w:t>(van der Voort and Weerheijm, 2013)</w:t>
      </w:r>
      <w:r w:rsidR="005E7271">
        <w:rPr>
          <w:lang w:val="en-GB"/>
        </w:rPr>
        <w:fldChar w:fldCharType="end"/>
      </w:r>
      <w:r w:rsidRPr="008527A3">
        <w:rPr>
          <w:lang w:val="en-GB"/>
        </w:rPr>
        <w:t>, see</w:t>
      </w:r>
      <w:r w:rsidR="0054580F">
        <w:rPr>
          <w:lang w:val="en-GB"/>
        </w:rPr>
        <w:t xml:space="preserve"> Eq.</w:t>
      </w:r>
      <w:r w:rsidR="0054580F">
        <w:rPr>
          <w:lang w:val="en-GB"/>
        </w:rPr>
        <w:fldChar w:fldCharType="begin"/>
      </w:r>
      <w:r w:rsidR="0054580F">
        <w:rPr>
          <w:lang w:val="en-GB"/>
        </w:rPr>
        <w:instrText xml:space="preserve"> REF _Ref218933521 \h </w:instrText>
      </w:r>
      <w:r w:rsidR="0054580F">
        <w:rPr>
          <w:lang w:val="en-GB"/>
        </w:rPr>
      </w:r>
      <w:r w:rsidR="0054580F">
        <w:rPr>
          <w:lang w:val="en-GB"/>
        </w:rPr>
        <w:fldChar w:fldCharType="separate"/>
      </w:r>
      <w:r w:rsidR="0054580F">
        <w:rPr>
          <w:rFonts w:cs="Arial"/>
        </w:rPr>
        <w:t>(</w:t>
      </w:r>
      <w:r w:rsidR="0054580F">
        <w:rPr>
          <w:rFonts w:cs="Arial"/>
          <w:noProof/>
        </w:rPr>
        <w:t>1</w:t>
      </w:r>
      <w:r w:rsidR="0054580F">
        <w:rPr>
          <w:rFonts w:cs="Arial"/>
        </w:rPr>
        <w:t>)</w:t>
      </w:r>
      <w:r w:rsidR="0054580F">
        <w:rPr>
          <w:lang w:val="en-GB"/>
        </w:rPr>
        <w:fldChar w:fldCharType="end"/>
      </w:r>
      <w:r w:rsidR="005E7271">
        <w:rPr>
          <w:lang w:val="en-GB"/>
        </w:rPr>
        <w:t xml:space="preserve"> </w:t>
      </w:r>
      <w:r w:rsidRPr="008527A3">
        <w:rPr>
          <w:lang w:val="en-GB"/>
        </w:rPr>
        <w:t>:</w:t>
      </w:r>
    </w:p>
    <w:tbl>
      <w:tblPr>
        <w:tblW w:w="5000" w:type="pct"/>
        <w:tblLook w:val="04A0" w:firstRow="1" w:lastRow="0" w:firstColumn="1" w:lastColumn="0" w:noHBand="0" w:noVBand="1"/>
      </w:tblPr>
      <w:tblGrid>
        <w:gridCol w:w="7983"/>
        <w:gridCol w:w="804"/>
      </w:tblGrid>
      <w:tr w:rsidR="005E7271" w:rsidRPr="00B57B36" w14:paraId="1B09B769" w14:textId="77777777" w:rsidTr="00D66B7D">
        <w:tc>
          <w:tcPr>
            <w:tcW w:w="8188" w:type="dxa"/>
            <w:vAlign w:val="center"/>
          </w:tcPr>
          <w:p w14:paraId="135EFF8E" w14:textId="6B32F7B4" w:rsidR="005E7271" w:rsidRPr="005E7271" w:rsidRDefault="005E7271" w:rsidP="005E7271">
            <w:pPr>
              <w:pStyle w:val="CETEquation"/>
              <w:keepNext/>
            </w:pPr>
            <m:oMathPara>
              <m:oMathParaPr>
                <m:jc m:val="left"/>
              </m:oMathParaPr>
              <m:oMath>
                <m:r>
                  <w:rPr>
                    <w:rFonts w:ascii="Cambria Math" w:hAnsi="Cambria Math" w:cs="Arial"/>
                  </w:rPr>
                  <m:t>R</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w:rPr>
                        <w:rFonts w:ascii="Cambria Math" w:hAnsi="Cambria Math" w:cs="Arial"/>
                      </w:rPr>
                      <m:t>k</m:t>
                    </m:r>
                  </m:den>
                </m:f>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r>
                          <m:rPr>
                            <m:sty m:val="p"/>
                          </m:rPr>
                          <w:rPr>
                            <w:rFonts w:ascii="Cambria Math" w:hAnsi="Cambria Math" w:cs="Arial"/>
                          </w:rPr>
                          <m:t>1+</m:t>
                        </m:r>
                        <m:f>
                          <m:fPr>
                            <m:ctrlPr>
                              <w:rPr>
                                <w:rFonts w:ascii="Cambria Math" w:hAnsi="Cambria Math" w:cs="Arial"/>
                              </w:rPr>
                            </m:ctrlPr>
                          </m:fPr>
                          <m:num>
                            <m:r>
                              <m:rPr>
                                <m:sty m:val="p"/>
                              </m:rPr>
                              <w:rPr>
                                <w:rFonts w:ascii="Cambria Math" w:hAnsi="Cambria Math" w:cs="Arial"/>
                              </w:rPr>
                              <m:t>2</m:t>
                            </m:r>
                            <m:r>
                              <w:rPr>
                                <w:rFonts w:ascii="Cambria Math" w:hAnsi="Cambria Math" w:cs="Arial"/>
                              </w:rPr>
                              <m:t>k</m:t>
                            </m:r>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V</m:t>
                                </m:r>
                              </m:e>
                              <m:sub>
                                <m:r>
                                  <m:rPr>
                                    <m:sty m:val="p"/>
                                  </m:rPr>
                                  <w:rPr>
                                    <w:rFonts w:ascii="Cambria Math" w:hAnsi="Cambria Math" w:cs="Arial"/>
                                  </w:rPr>
                                  <m:t>0</m:t>
                                </m:r>
                              </m:sub>
                              <m:sup>
                                <m:r>
                                  <m:rPr>
                                    <m:sty m:val="p"/>
                                  </m:rPr>
                                  <w:rPr>
                                    <w:rFonts w:ascii="Cambria Math" w:hAnsi="Cambria Math" w:cs="Arial"/>
                                  </w:rPr>
                                  <m:t>2</m:t>
                                </m:r>
                              </m:sup>
                            </m:sSubSup>
                            <m:r>
                              <m:rPr>
                                <m:sty m:val="p"/>
                              </m:rPr>
                              <w:rPr>
                                <w:rFonts w:ascii="Cambria Math" w:hAnsi="Cambria Math" w:cs="Arial"/>
                              </w:rPr>
                              <m:t>∙</m:t>
                            </m:r>
                            <m:r>
                              <w:rPr>
                                <w:rFonts w:ascii="Cambria Math" w:hAnsi="Cambria Math" w:cs="Arial"/>
                              </w:rPr>
                              <m:t>α</m:t>
                            </m:r>
                          </m:num>
                          <m:den>
                            <m:r>
                              <w:rPr>
                                <w:rFonts w:ascii="Cambria Math" w:hAnsi="Cambria Math" w:cs="Arial"/>
                              </w:rPr>
                              <m:t>g</m:t>
                            </m:r>
                          </m:den>
                        </m:f>
                      </m:e>
                    </m:d>
                  </m:e>
                </m:func>
              </m:oMath>
            </m:oMathPara>
          </w:p>
        </w:tc>
        <w:tc>
          <w:tcPr>
            <w:tcW w:w="815" w:type="dxa"/>
            <w:vAlign w:val="center"/>
          </w:tcPr>
          <w:p w14:paraId="3E7EA195" w14:textId="73EB6539" w:rsidR="005E7271" w:rsidRPr="00B57B36" w:rsidRDefault="005E7271" w:rsidP="00D66B7D">
            <w:pPr>
              <w:pStyle w:val="CETEquation"/>
              <w:jc w:val="right"/>
            </w:pPr>
            <w:bookmarkStart w:id="0" w:name="_Ref218933521"/>
            <w:r>
              <w:rPr>
                <w:rFonts w:cs="Arial"/>
              </w:rPr>
              <w:t>(</w:t>
            </w:r>
            <w:r>
              <w:rPr>
                <w:rFonts w:cs="Arial"/>
              </w:rPr>
              <w:fldChar w:fldCharType="begin"/>
            </w:r>
            <w:r>
              <w:rPr>
                <w:rFonts w:cs="Arial"/>
              </w:rPr>
              <w:instrText xml:space="preserve"> SEQ Eq. \* ARABIC </w:instrText>
            </w:r>
            <w:r>
              <w:rPr>
                <w:rFonts w:cs="Arial"/>
              </w:rPr>
              <w:fldChar w:fldCharType="separate"/>
            </w:r>
            <w:r>
              <w:rPr>
                <w:rFonts w:cs="Arial"/>
                <w:noProof/>
              </w:rPr>
              <w:t>1</w:t>
            </w:r>
            <w:r>
              <w:rPr>
                <w:rFonts w:cs="Arial"/>
              </w:rPr>
              <w:fldChar w:fldCharType="end"/>
            </w:r>
            <w:r>
              <w:rPr>
                <w:rFonts w:cs="Arial"/>
              </w:rPr>
              <w:t>)</w:t>
            </w:r>
            <w:bookmarkEnd w:id="0"/>
          </w:p>
        </w:tc>
      </w:tr>
    </w:tbl>
    <w:p w14:paraId="1705EAF4" w14:textId="4C5FC2BA" w:rsidR="005E7271" w:rsidRDefault="0054580F" w:rsidP="0054580F">
      <w:pPr>
        <w:pStyle w:val="CETBodytext"/>
        <w:rPr>
          <w:lang w:val="en-GB"/>
        </w:rPr>
      </w:pPr>
      <w:r>
        <w:t xml:space="preserve">where </w:t>
      </w:r>
      <w:r w:rsidRPr="00927221">
        <w:rPr>
          <w:i/>
          <w:iCs/>
        </w:rPr>
        <w:t>g</w:t>
      </w:r>
      <w:r>
        <w:t xml:space="preserve"> is the gravitational acceleration, </w:t>
      </w:r>
      <w:r w:rsidRPr="00927221">
        <w:rPr>
          <w:rFonts w:cs="Arial"/>
          <w:i/>
          <w:iCs/>
        </w:rPr>
        <w:t>α</w:t>
      </w:r>
      <w:r>
        <w:rPr>
          <w:rFonts w:cs="Arial"/>
        </w:rPr>
        <w:t xml:space="preserve"> is the launch angle, and </w:t>
      </w:r>
      <w:r w:rsidRPr="00927221">
        <w:rPr>
          <w:rFonts w:cs="Arial"/>
          <w:i/>
          <w:iCs/>
        </w:rPr>
        <w:t>k</w:t>
      </w:r>
      <w:r>
        <w:rPr>
          <w:rFonts w:cs="Arial"/>
        </w:rPr>
        <w:t xml:space="preserve"> </w:t>
      </w:r>
      <w:r w:rsidRPr="0054580F">
        <w:rPr>
          <w:rFonts w:cs="Arial"/>
          <w:lang w:val="en-GB"/>
        </w:rPr>
        <w:t>is the ballistic coefficient (</w:t>
      </w:r>
      <w:r>
        <w:rPr>
          <w:rFonts w:cs="Arial"/>
          <w:lang w:val="en-GB"/>
        </w:rPr>
        <w:t>m</w:t>
      </w:r>
      <w:r>
        <w:rPr>
          <w:rFonts w:cs="Arial"/>
          <w:vertAlign w:val="superscript"/>
          <w:lang w:val="en-GB"/>
        </w:rPr>
        <w:t>-1</w:t>
      </w:r>
      <w:r w:rsidRPr="0054580F">
        <w:rPr>
          <w:rFonts w:cs="Arial"/>
          <w:lang w:val="en-GB"/>
        </w:rPr>
        <w:t>).</w:t>
      </w:r>
      <w:r>
        <w:rPr>
          <w:rFonts w:cs="Arial"/>
          <w:lang w:val="en-GB"/>
        </w:rPr>
        <w:t xml:space="preserve"> The latter accounts for the aerodynamic properties of the debris and is defined in </w:t>
      </w:r>
      <w:r>
        <w:rPr>
          <w:lang w:val="en-GB"/>
        </w:rPr>
        <w:t>Eq.</w:t>
      </w:r>
      <w:r>
        <w:rPr>
          <w:lang w:val="en-GB"/>
        </w:rPr>
        <w:fldChar w:fldCharType="begin"/>
      </w:r>
      <w:r>
        <w:rPr>
          <w:lang w:val="en-GB"/>
        </w:rPr>
        <w:instrText xml:space="preserve"> REF _Ref218933590 \h </w:instrText>
      </w:r>
      <w:r>
        <w:rPr>
          <w:lang w:val="en-GB"/>
        </w:rPr>
      </w:r>
      <w:r>
        <w:rPr>
          <w:lang w:val="en-GB"/>
        </w:rPr>
        <w:fldChar w:fldCharType="separate"/>
      </w:r>
      <w:r>
        <w:rPr>
          <w:rFonts w:cs="Arial"/>
        </w:rPr>
        <w:t>(</w:t>
      </w:r>
      <w:r>
        <w:rPr>
          <w:rFonts w:cs="Arial"/>
          <w:noProof/>
        </w:rPr>
        <w:t>2</w:t>
      </w:r>
      <w:r>
        <w:rPr>
          <w:rFonts w:cs="Arial"/>
        </w:rPr>
        <w:t>)</w:t>
      </w:r>
      <w:r>
        <w:rPr>
          <w:lang w:val="en-GB"/>
        </w:rPr>
        <w:fldChar w:fldCharType="end"/>
      </w:r>
      <w:r>
        <w:rPr>
          <w:lang w:val="en-GB"/>
        </w:rPr>
        <w:t xml:space="preserve">: </w:t>
      </w:r>
    </w:p>
    <w:tbl>
      <w:tblPr>
        <w:tblW w:w="5000" w:type="pct"/>
        <w:tblLook w:val="04A0" w:firstRow="1" w:lastRow="0" w:firstColumn="1" w:lastColumn="0" w:noHBand="0" w:noVBand="1"/>
      </w:tblPr>
      <w:tblGrid>
        <w:gridCol w:w="7983"/>
        <w:gridCol w:w="804"/>
      </w:tblGrid>
      <w:tr w:rsidR="0054580F" w:rsidRPr="00B57B36" w14:paraId="34D0DEA5" w14:textId="77777777" w:rsidTr="00D66B7D">
        <w:tc>
          <w:tcPr>
            <w:tcW w:w="8188" w:type="dxa"/>
            <w:vAlign w:val="center"/>
          </w:tcPr>
          <w:p w14:paraId="29509F39" w14:textId="3D19B442" w:rsidR="0054580F" w:rsidRPr="0054580F" w:rsidRDefault="0054580F" w:rsidP="0054580F">
            <w:pPr>
              <w:pStyle w:val="CETEquation"/>
            </w:pPr>
            <m:oMathPara>
              <m:oMathParaPr>
                <m:jc m:val="left"/>
              </m:oMathParaPr>
              <m:oMath>
                <m:r>
                  <w:rPr>
                    <w:rFonts w:ascii="Cambria Math" w:hAnsi="Cambria Math"/>
                  </w:rPr>
                  <m:t>k</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D</m:t>
                        </m:r>
                      </m:sub>
                    </m:sSub>
                  </m:num>
                  <m:den>
                    <m:r>
                      <m:rPr>
                        <m:sty m:val="p"/>
                      </m:rPr>
                      <w:rPr>
                        <w:rFonts w:ascii="Cambria Math" w:hAnsi="Cambria Math"/>
                      </w:rPr>
                      <m:t>2∙</m:t>
                    </m:r>
                    <m:r>
                      <w:rPr>
                        <w:rFonts w:ascii="Cambria Math" w:hAnsi="Cambria Math"/>
                      </w:rPr>
                      <m:t>ρ</m:t>
                    </m:r>
                    <m:r>
                      <m:rPr>
                        <m:sty m:val="p"/>
                      </m:rPr>
                      <w:rPr>
                        <w:rFonts w:ascii="Cambria Math" w:hAnsi="Cambria Math"/>
                      </w:rPr>
                      <m:t>∙</m:t>
                    </m:r>
                    <m:r>
                      <w:rPr>
                        <w:rFonts w:ascii="Cambria Math" w:hAnsi="Cambria Math"/>
                      </w:rPr>
                      <m:t>L</m:t>
                    </m:r>
                  </m:den>
                </m:f>
              </m:oMath>
            </m:oMathPara>
          </w:p>
        </w:tc>
        <w:tc>
          <w:tcPr>
            <w:tcW w:w="815" w:type="dxa"/>
            <w:vAlign w:val="center"/>
          </w:tcPr>
          <w:p w14:paraId="14F9236E" w14:textId="059DC320" w:rsidR="0054580F" w:rsidRPr="00B57B36" w:rsidRDefault="0054580F" w:rsidP="00D66B7D">
            <w:pPr>
              <w:pStyle w:val="CETEquation"/>
              <w:jc w:val="right"/>
            </w:pPr>
            <w:bookmarkStart w:id="1" w:name="_Ref218933590"/>
            <w:r>
              <w:rPr>
                <w:rFonts w:cs="Arial"/>
              </w:rPr>
              <w:t>(</w:t>
            </w:r>
            <w:r>
              <w:rPr>
                <w:rFonts w:cs="Arial"/>
              </w:rPr>
              <w:fldChar w:fldCharType="begin"/>
            </w:r>
            <w:r>
              <w:rPr>
                <w:rFonts w:cs="Arial"/>
              </w:rPr>
              <w:instrText xml:space="preserve"> SEQ Eq. \* ARABIC </w:instrText>
            </w:r>
            <w:r>
              <w:rPr>
                <w:rFonts w:cs="Arial"/>
              </w:rPr>
              <w:fldChar w:fldCharType="separate"/>
            </w:r>
            <w:r>
              <w:rPr>
                <w:rFonts w:cs="Arial"/>
                <w:noProof/>
              </w:rPr>
              <w:t>2</w:t>
            </w:r>
            <w:r>
              <w:rPr>
                <w:rFonts w:cs="Arial"/>
              </w:rPr>
              <w:fldChar w:fldCharType="end"/>
            </w:r>
            <w:r>
              <w:rPr>
                <w:rFonts w:cs="Arial"/>
              </w:rPr>
              <w:t>)</w:t>
            </w:r>
            <w:bookmarkEnd w:id="1"/>
          </w:p>
        </w:tc>
      </w:tr>
    </w:tbl>
    <w:p w14:paraId="75A5F9DE" w14:textId="6EAE5251" w:rsidR="0054580F" w:rsidRDefault="0054580F" w:rsidP="0054580F">
      <w:pPr>
        <w:pStyle w:val="CETBodytext"/>
      </w:pPr>
      <w:r>
        <w:t xml:space="preserve">where </w:t>
      </w:r>
      <w:r w:rsidRPr="00927221">
        <w:rPr>
          <w:i/>
          <w:iCs/>
        </w:rPr>
        <w:t>S</w:t>
      </w:r>
      <w:r w:rsidRPr="00927221">
        <w:rPr>
          <w:i/>
          <w:iCs/>
          <w:vertAlign w:val="subscript"/>
        </w:rPr>
        <w:t>N</w:t>
      </w:r>
      <w:r>
        <w:t xml:space="preserve"> is the shape number (</w:t>
      </w:r>
      <w:r w:rsidRPr="0054580F">
        <w:t>for concrete debris, an appropriate number is 1.5</w:t>
      </w:r>
      <w:r>
        <w:t xml:space="preserve">), </w:t>
      </w:r>
      <m:oMath>
        <m:sSub>
          <m:sSubPr>
            <m:ctrlPr>
              <w:rPr>
                <w:rFonts w:ascii="Cambria Math" w:hAnsi="Cambria Math"/>
              </w:rPr>
            </m:ctrlPr>
          </m:sSubPr>
          <m:e>
            <m:r>
              <w:rPr>
                <w:rFonts w:ascii="Cambria Math" w:hAnsi="Cambria Math"/>
              </w:rPr>
              <m:t>ρ</m:t>
            </m:r>
          </m:e>
          <m:sub>
            <m:r>
              <w:rPr>
                <w:rFonts w:ascii="Cambria Math" w:hAnsi="Cambria Math"/>
              </w:rPr>
              <m:t>a</m:t>
            </m:r>
          </m:sub>
        </m:sSub>
      </m:oMath>
      <w:r>
        <w:rPr>
          <w:rFonts w:cs="Arial"/>
          <w:vertAlign w:val="subscript"/>
        </w:rPr>
        <w:t xml:space="preserve"> </w:t>
      </w:r>
      <w:r w:rsidR="00CD749A" w:rsidRPr="00CD749A">
        <w:rPr>
          <w:rFonts w:cs="Arial"/>
        </w:rPr>
        <w:t>is the air density</w:t>
      </w:r>
      <w:r w:rsidR="00CD749A">
        <w:rPr>
          <w:rFonts w:cs="Arial"/>
        </w:rPr>
        <w:t xml:space="preserve"> (kg/m</w:t>
      </w:r>
      <w:r w:rsidR="00CD749A">
        <w:rPr>
          <w:rFonts w:cs="Arial"/>
          <w:vertAlign w:val="superscript"/>
        </w:rPr>
        <w:t>3</w:t>
      </w:r>
      <w:r w:rsidR="00CD749A">
        <w:rPr>
          <w:rFonts w:cs="Arial"/>
        </w:rPr>
        <w:t xml:space="preserve">), </w:t>
      </w:r>
      <m:oMath>
        <m:r>
          <m:rPr>
            <m:sty m:val="p"/>
          </m:rPr>
          <w:rPr>
            <w:rFonts w:ascii="Cambria Math" w:hAnsi="Cambria Math"/>
          </w:rPr>
          <m:t>ρ</m:t>
        </m:r>
      </m:oMath>
      <w:r w:rsidR="00CD749A">
        <w:rPr>
          <w:vertAlign w:val="subscript"/>
        </w:rPr>
        <w:t xml:space="preserve"> </w:t>
      </w:r>
      <w:r w:rsidR="00CD749A">
        <w:t>is the fragment density (</w:t>
      </w:r>
      <w:r w:rsidR="009E3CA6">
        <w:t>2500 kg/m</w:t>
      </w:r>
      <w:r w:rsidR="009E3CA6">
        <w:rPr>
          <w:vertAlign w:val="superscript"/>
        </w:rPr>
        <w:t>3</w:t>
      </w:r>
      <w:r w:rsidR="009E3CA6">
        <w:t xml:space="preserve"> for concrete), L is the characteristic length of the fragment (m), and </w:t>
      </w:r>
      <w:r w:rsidR="009E3CA6" w:rsidRPr="00927221">
        <w:rPr>
          <w:i/>
          <w:iCs/>
        </w:rPr>
        <w:t>C</w:t>
      </w:r>
      <w:r w:rsidR="009E3CA6" w:rsidRPr="00927221">
        <w:rPr>
          <w:i/>
          <w:iCs/>
          <w:vertAlign w:val="subscript"/>
        </w:rPr>
        <w:t>D</w:t>
      </w:r>
      <w:r w:rsidR="009E3CA6">
        <w:t xml:space="preserve"> is the drag coefficient (dimensionless), which varies as a function of the Mach number. The initial launch velocity </w:t>
      </w:r>
      <w:r w:rsidR="00576FD0">
        <w:t>(</w:t>
      </w:r>
      <w:r w:rsidR="00576FD0">
        <w:rPr>
          <w:i/>
          <w:iCs/>
        </w:rPr>
        <w:t>v</w:t>
      </w:r>
      <w:r w:rsidR="00576FD0" w:rsidRPr="00927221">
        <w:rPr>
          <w:i/>
          <w:iCs/>
          <w:vertAlign w:val="subscript"/>
        </w:rPr>
        <w:t>0</w:t>
      </w:r>
      <w:r w:rsidR="00576FD0">
        <w:t xml:space="preserve">), which in </w:t>
      </w:r>
      <w:r w:rsidR="00130FB8">
        <w:rPr>
          <w:lang w:val="en-GB"/>
        </w:rPr>
        <w:fldChar w:fldCharType="begin"/>
      </w:r>
      <w:r w:rsidR="000A2D4A">
        <w:rPr>
          <w:lang w:val="en-GB"/>
        </w:rPr>
        <w:instrText xml:space="preserve"> ADDIN ZOTERO_ITEM CSL_CITATION {"citationID":"GfCs5K9x","properties":{"formattedCitation":"(van der Voort and Weerheijm, 2013)","plainCitation":"(van der Voort and Weerheijm, 2013)","noteIndex":0},"citationItems":[{"id":226,"uris":["http://zotero.org/users/16159901/items/JSKT84RG"],"itemData":{"id":226,"type":"article-journal","abstract":"The handling of explosives and ammunition introduces a safety risk for personnel and third parties. Accidents related to storage, transport and transshipment may result in severe injury and material damage. Dispersion of structural debris is one of the main hazards resulting from detonations inside structures. Reliable prediction models for debris dispersion are essential for risk assessment methods. In this article we give a statistical description of the dispersion of explosion produced debris. The basis is a general expression for the projectile areal number density in the horizontal and vertical plane. Combined with engineering models for the launch conditions, predictions can be made. An analytical solution to the equations of motion may be used to allow for fast calculations. A parameter study shows consistent results. The model has been validated with internal detonation tests of bare charges in reinforced concrete structures. The validation clearly shows the prediction capabilities of the model for three loading regimes described in the literature. We give a thorough description of the validity and limitations of the model, and an outlook of current and future research. Examples are the failing debris mass distribution prediction for reinforced concrete in the shock overloading regime, and ricochet and roll and break-up at impact phenomena.","container-title":"International Journal of Impact Engineering","DOI":"10.1016/j.ijimpeng.2013.03.002","ISSN":"0734-743X","journalAbbreviation":"International Journal of Impact Engineering","page":"29-37","source":"ScienceDirect","title":"A statistical description of explosion produced debris dispersion","volume":"59","author":[{"family":"Voort","given":"M. M.","non-dropping-particle":"van der"},{"family":"Weerheijm","given":"J."}],"issued":{"date-parts":[["2013",9,1]]}}}],"schema":"https://github.com/citation-style-language/schema/raw/master/csl-citation.json"} </w:instrText>
      </w:r>
      <w:r w:rsidR="00130FB8">
        <w:rPr>
          <w:lang w:val="en-GB"/>
        </w:rPr>
        <w:fldChar w:fldCharType="separate"/>
      </w:r>
      <w:r w:rsidR="004C00B5" w:rsidRPr="004C00B5">
        <w:rPr>
          <w:rFonts w:cs="Arial"/>
        </w:rPr>
        <w:t>(van der Voort and Weerheijm, 2013)</w:t>
      </w:r>
      <w:r w:rsidR="00130FB8">
        <w:rPr>
          <w:lang w:val="en-GB"/>
        </w:rPr>
        <w:fldChar w:fldCharType="end"/>
      </w:r>
      <w:r w:rsidR="00130FB8">
        <w:t xml:space="preserve"> </w:t>
      </w:r>
      <w:r w:rsidR="00576FD0">
        <w:t xml:space="preserve">is also </w:t>
      </w:r>
      <w:r w:rsidR="003018DE">
        <w:t>referred</w:t>
      </w:r>
      <w:r w:rsidR="00576FD0">
        <w:t xml:space="preserve"> </w:t>
      </w:r>
      <w:r w:rsidR="002A450A">
        <w:t xml:space="preserve">to </w:t>
      </w:r>
      <w:r w:rsidR="00576FD0">
        <w:t xml:space="preserve">as Debris Launch Velocity </w:t>
      </w:r>
      <w:r w:rsidR="00B917F8">
        <w:t>(</w:t>
      </w:r>
      <w:r w:rsidR="00576FD0">
        <w:rPr>
          <w:i/>
          <w:iCs/>
        </w:rPr>
        <w:t>D</w:t>
      </w:r>
      <w:r w:rsidR="00B917F8">
        <w:rPr>
          <w:i/>
          <w:iCs/>
        </w:rPr>
        <w:t>LV</w:t>
      </w:r>
      <w:r w:rsidR="00576FD0">
        <w:t>)</w:t>
      </w:r>
      <w:r w:rsidR="0031764F">
        <w:t>,</w:t>
      </w:r>
      <w:r w:rsidR="009E3CA6">
        <w:t xml:space="preserve"> depends on the internal pressure generated by the explosion, as shown in Eq. </w:t>
      </w:r>
      <w:r w:rsidR="009E3CA6">
        <w:fldChar w:fldCharType="begin"/>
      </w:r>
      <w:r w:rsidR="009E3CA6">
        <w:instrText xml:space="preserve"> REF _Ref218934156 \h </w:instrText>
      </w:r>
      <w:r w:rsidR="009E3CA6">
        <w:fldChar w:fldCharType="separate"/>
      </w:r>
      <w:r w:rsidR="009E3CA6">
        <w:rPr>
          <w:rFonts w:cs="Arial"/>
        </w:rPr>
        <w:t>(</w:t>
      </w:r>
      <w:r w:rsidR="009E3CA6">
        <w:rPr>
          <w:rFonts w:cs="Arial"/>
          <w:noProof/>
        </w:rPr>
        <w:t>3</w:t>
      </w:r>
      <w:r w:rsidR="009E3CA6">
        <w:rPr>
          <w:rFonts w:cs="Arial"/>
        </w:rPr>
        <w:t>)</w:t>
      </w:r>
      <w:r w:rsidR="009E3CA6">
        <w:fldChar w:fldCharType="end"/>
      </w:r>
      <w:r w:rsidR="009E3CA6">
        <w:t>:</w:t>
      </w:r>
    </w:p>
    <w:tbl>
      <w:tblPr>
        <w:tblW w:w="5000" w:type="pct"/>
        <w:tblLook w:val="04A0" w:firstRow="1" w:lastRow="0" w:firstColumn="1" w:lastColumn="0" w:noHBand="0" w:noVBand="1"/>
      </w:tblPr>
      <w:tblGrid>
        <w:gridCol w:w="7983"/>
        <w:gridCol w:w="804"/>
      </w:tblGrid>
      <w:tr w:rsidR="009E3CA6" w:rsidRPr="00B57B36" w14:paraId="44FEB2DA" w14:textId="77777777" w:rsidTr="00D66B7D">
        <w:tc>
          <w:tcPr>
            <w:tcW w:w="8188" w:type="dxa"/>
            <w:vAlign w:val="center"/>
          </w:tcPr>
          <w:p w14:paraId="2B7C61A0" w14:textId="3EC12688" w:rsidR="009E3CA6" w:rsidRPr="009E3CA6" w:rsidRDefault="00952AA4" w:rsidP="009E3CA6">
            <w:pPr>
              <w:pStyle w:val="CETEquation"/>
              <w:rPr>
                <w:rFonts w:cs="Arial"/>
              </w:rPr>
            </w:pPr>
            <m:oMathPara>
              <m:oMathParaPr>
                <m:jc m:val="left"/>
              </m:oMathParaPr>
              <m:oMath>
                <m:sSub>
                  <m:sSubPr>
                    <m:ctrlPr>
                      <w:rPr>
                        <w:rFonts w:ascii="Cambria Math" w:hAnsi="Cambria Math" w:cs="Arial"/>
                      </w:rPr>
                    </m:ctrlPr>
                  </m:sSubPr>
                  <m:e>
                    <m:r>
                      <w:rPr>
                        <w:rFonts w:ascii="Cambria Math" w:hAnsi="Cambria Math" w:cs="Arial"/>
                      </w:rPr>
                      <m:t>v</m:t>
                    </m:r>
                  </m:e>
                  <m:sub>
                    <m:r>
                      <m:rPr>
                        <m:sty m:val="p"/>
                      </m:rPr>
                      <w:rPr>
                        <w:rFonts w:ascii="Cambria Math" w:hAnsi="Cambria Math" w:cs="Arial"/>
                      </w:rPr>
                      <m:t>0</m:t>
                    </m:r>
                  </m:sub>
                </m:sSub>
                <m:r>
                  <m:rPr>
                    <m:sty m:val="p"/>
                  </m:rPr>
                  <w:rPr>
                    <w:rFonts w:ascii="Cambria Math" w:hAnsi="Cambria Math" w:cs="Arial"/>
                  </w:rPr>
                  <m:t>=</m:t>
                </m:r>
                <m:r>
                  <w:rPr>
                    <w:rFonts w:ascii="Cambria Math" w:hAnsi="Cambria Math" w:cs="Arial"/>
                  </w:rPr>
                  <m:t>DLV</m:t>
                </m:r>
                <m:r>
                  <m:rPr>
                    <m:sty m:val="p"/>
                  </m:rPr>
                  <w:rPr>
                    <w:rFonts w:ascii="Cambria Math" w:hAnsi="Cambria Math" w:cs="Arial"/>
                  </w:rPr>
                  <m:t>=525∙</m:t>
                </m:r>
                <m:rad>
                  <m:radPr>
                    <m:degHide m:val="1"/>
                    <m:ctrlPr>
                      <w:rPr>
                        <w:rFonts w:ascii="Cambria Math" w:hAnsi="Cambria Math" w:cs="Arial"/>
                      </w:rPr>
                    </m:ctrlPr>
                  </m:radPr>
                  <m:deg/>
                  <m:e>
                    <m:f>
                      <m:fPr>
                        <m:ctrlPr>
                          <w:rPr>
                            <w:rFonts w:ascii="Cambria Math" w:hAnsi="Cambria Math" w:cs="Arial"/>
                          </w:rPr>
                        </m:ctrlPr>
                      </m:fPr>
                      <m:num>
                        <m:r>
                          <w:rPr>
                            <w:rFonts w:ascii="Cambria Math" w:hAnsi="Cambria Math" w:cs="Arial"/>
                          </w:rPr>
                          <m:t>W</m:t>
                        </m:r>
                      </m:num>
                      <m:den>
                        <m:sSup>
                          <m:sSupPr>
                            <m:ctrlPr>
                              <w:rPr>
                                <w:rFonts w:ascii="Cambria Math" w:hAnsi="Cambria Math" w:cs="Arial"/>
                              </w:rPr>
                            </m:ctrlPr>
                          </m:sSupPr>
                          <m:e>
                            <m:r>
                              <w:rPr>
                                <w:rFonts w:ascii="Cambria Math" w:hAnsi="Cambria Math" w:cs="Arial"/>
                              </w:rPr>
                              <m:t>V</m:t>
                            </m:r>
                          </m:e>
                          <m:sup>
                            <m:r>
                              <m:rPr>
                                <m:sty m:val="p"/>
                              </m:rPr>
                              <w:rPr>
                                <w:rFonts w:ascii="Cambria Math" w:hAnsi="Cambria Math" w:cs="Arial"/>
                              </w:rPr>
                              <m:t>2/3</m:t>
                            </m:r>
                          </m:sup>
                        </m:sSup>
                        <m:r>
                          <m:rPr>
                            <m:sty m:val="p"/>
                          </m:rPr>
                          <w:rPr>
                            <w:rFonts w:ascii="Cambria Math" w:hAnsi="Cambria Math" w:cs="Arial"/>
                          </w:rPr>
                          <m:t>∙</m:t>
                        </m:r>
                        <m:r>
                          <w:rPr>
                            <w:rFonts w:ascii="Cambria Math" w:hAnsi="Cambria Math" w:cs="Arial"/>
                          </w:rPr>
                          <m:t>ρ</m:t>
                        </m:r>
                        <m:r>
                          <m:rPr>
                            <m:sty m:val="p"/>
                          </m:rPr>
                          <w:rPr>
                            <w:rFonts w:ascii="Cambria Math" w:hAnsi="Cambria Math" w:cs="Arial"/>
                          </w:rPr>
                          <m:t>∙</m:t>
                        </m:r>
                        <m:r>
                          <w:rPr>
                            <w:rFonts w:ascii="Cambria Math" w:hAnsi="Cambria Math" w:cs="Arial"/>
                          </w:rPr>
                          <m:t>s</m:t>
                        </m:r>
                      </m:den>
                    </m:f>
                  </m:e>
                </m:rad>
              </m:oMath>
            </m:oMathPara>
          </w:p>
        </w:tc>
        <w:tc>
          <w:tcPr>
            <w:tcW w:w="815" w:type="dxa"/>
            <w:vAlign w:val="center"/>
          </w:tcPr>
          <w:p w14:paraId="5DBA092C" w14:textId="28FB9040" w:rsidR="009E3CA6" w:rsidRPr="00B57B36" w:rsidRDefault="009E3CA6" w:rsidP="00D66B7D">
            <w:pPr>
              <w:pStyle w:val="CETEquation"/>
              <w:jc w:val="right"/>
            </w:pPr>
            <w:bookmarkStart w:id="2" w:name="_Ref218934156"/>
            <w:r>
              <w:rPr>
                <w:rFonts w:cs="Arial"/>
              </w:rPr>
              <w:t>(</w:t>
            </w:r>
            <w:r>
              <w:rPr>
                <w:rFonts w:cs="Arial"/>
              </w:rPr>
              <w:fldChar w:fldCharType="begin"/>
            </w:r>
            <w:r>
              <w:rPr>
                <w:rFonts w:cs="Arial"/>
              </w:rPr>
              <w:instrText xml:space="preserve"> SEQ Eq. \* ARABIC </w:instrText>
            </w:r>
            <w:r>
              <w:rPr>
                <w:rFonts w:cs="Arial"/>
              </w:rPr>
              <w:fldChar w:fldCharType="separate"/>
            </w:r>
            <w:r>
              <w:rPr>
                <w:rFonts w:cs="Arial"/>
                <w:noProof/>
              </w:rPr>
              <w:t>3</w:t>
            </w:r>
            <w:r>
              <w:rPr>
                <w:rFonts w:cs="Arial"/>
              </w:rPr>
              <w:fldChar w:fldCharType="end"/>
            </w:r>
            <w:r>
              <w:rPr>
                <w:rFonts w:cs="Arial"/>
              </w:rPr>
              <w:t>)</w:t>
            </w:r>
            <w:bookmarkEnd w:id="2"/>
          </w:p>
        </w:tc>
      </w:tr>
    </w:tbl>
    <w:p w14:paraId="35ECD4FF" w14:textId="6E085E8A" w:rsidR="009E3CA6" w:rsidRDefault="009E3CA6" w:rsidP="0054580F">
      <w:pPr>
        <w:pStyle w:val="CETBodytext"/>
      </w:pPr>
      <w:r>
        <w:t xml:space="preserve">Where </w:t>
      </w:r>
      <w:r w:rsidR="00D22A1F">
        <w:t xml:space="preserve">W </w:t>
      </w:r>
      <w:r>
        <w:t xml:space="preserve">is the net explosive mass (kg), </w:t>
      </w:r>
      <w:r w:rsidRPr="00927221">
        <w:rPr>
          <w:i/>
          <w:iCs/>
        </w:rPr>
        <w:t>V</w:t>
      </w:r>
      <w:r>
        <w:t xml:space="preserve"> is the internal volume of the depot (m</w:t>
      </w:r>
      <w:r>
        <w:rPr>
          <w:vertAlign w:val="superscript"/>
        </w:rPr>
        <w:t>3</w:t>
      </w:r>
      <w:r>
        <w:t xml:space="preserve">), and </w:t>
      </w:r>
      <w:proofErr w:type="spellStart"/>
      <w:r w:rsidRPr="00927221">
        <w:rPr>
          <w:i/>
          <w:iCs/>
        </w:rPr>
        <w:t>s</w:t>
      </w:r>
      <w:proofErr w:type="spellEnd"/>
      <w:r>
        <w:t xml:space="preserve"> is the wall thickness (m). </w:t>
      </w:r>
      <w:r w:rsidR="00B46FF8">
        <w:t xml:space="preserve">Stochastic </w:t>
      </w:r>
      <w:r>
        <w:t xml:space="preserve">parameters were sampled from distributions based on literature: </w:t>
      </w:r>
    </w:p>
    <w:p w14:paraId="6AB79BD6" w14:textId="254EF34D" w:rsidR="009E3CA6" w:rsidRDefault="009E3CA6" w:rsidP="009E3CA6">
      <w:pPr>
        <w:pStyle w:val="CETBodytext"/>
        <w:numPr>
          <w:ilvl w:val="0"/>
          <w:numId w:val="24"/>
        </w:numPr>
      </w:pPr>
      <w:r w:rsidRPr="009E3CA6">
        <w:t>Fragment Size (</w:t>
      </w:r>
      <w:r w:rsidRPr="00927221">
        <w:rPr>
          <w:i/>
          <w:iCs/>
        </w:rPr>
        <w:t>L</w:t>
      </w:r>
      <w:r w:rsidRPr="009E3CA6">
        <w:t>): Sampled to r</w:t>
      </w:r>
      <w:r>
        <w:t xml:space="preserve">epresent the characteristic length of debris (5-25 mm) </w:t>
      </w:r>
      <w:r>
        <w:fldChar w:fldCharType="begin"/>
      </w:r>
      <w:r w:rsidR="000A2D4A">
        <w:instrText xml:space="preserve"> ADDIN ZOTERO_ITEM CSL_CITATION {"citationID":"N99wKsuf","properties":{"formattedCitation":"(van der Voort and Weerheijm, 2013)","plainCitation":"(van der Voort and Weerheijm, 2013)","noteIndex":0},"citationItems":[{"id":226,"uris":["http://zotero.org/users/16159901/items/JSKT84RG"],"itemData":{"id":226,"type":"article-journal","abstract":"The handling of explosives and ammunition introduces a safety risk for personnel and third parties. Accidents related to storage, transport and transshipment may result in severe injury and material damage. Dispersion of structural debris is one of the main hazards resulting from detonations inside structures. Reliable prediction models for debris dispersion are essential for risk assessment methods. In this article we give a statistical description of the dispersion of explosion produced debris. The basis is a general expression for the projectile areal number density in the horizontal and vertical plane. Combined with engineering models for the launch conditions, predictions can be made. An analytical solution to the equations of motion may be used to allow for fast calculations. A parameter study shows consistent results. The model has been validated with internal detonation tests of bare charges in reinforced concrete structures. The validation clearly shows the prediction capabilities of the model for three loading regimes described in the literature. We give a thorough description of the validity and limitations of the model, and an outlook of current and future research. Examples are the failing debris mass distribution prediction for reinforced concrete in the shock overloading regime, and ricochet and roll and break-up at impact phenomena.","container-title":"International Journal of Impact Engineering","DOI":"10.1016/j.ijimpeng.2013.03.002","ISSN":"0734-743X","journalAbbreviation":"International Journal of Impact Engineering","page":"29-37","source":"ScienceDirect","title":"A statistical description of explosion produced debris dispersion","volume":"59","author":[{"family":"Voort","given":"M. M.","non-dropping-particle":"van der"},{"family":"Weerheijm","given":"J."}],"issued":{"date-parts":[["2013",9,1]]}}}],"schema":"https://github.com/citation-style-language/schema/raw/master/csl-citation.json"} </w:instrText>
      </w:r>
      <w:r>
        <w:fldChar w:fldCharType="separate"/>
      </w:r>
      <w:r w:rsidR="004C00B5" w:rsidRPr="004C00B5">
        <w:rPr>
          <w:rFonts w:cs="Arial"/>
        </w:rPr>
        <w:t>(van der Voort and Weerheijm, 2013)</w:t>
      </w:r>
      <w:r>
        <w:fldChar w:fldCharType="end"/>
      </w:r>
      <w:r>
        <w:t>.</w:t>
      </w:r>
    </w:p>
    <w:p w14:paraId="582642C6" w14:textId="2C0446AC" w:rsidR="00E46A97" w:rsidRDefault="009E3CA6" w:rsidP="00E46A97">
      <w:pPr>
        <w:pStyle w:val="CETBodytext"/>
        <w:numPr>
          <w:ilvl w:val="0"/>
          <w:numId w:val="24"/>
        </w:numPr>
      </w:pPr>
      <w:r>
        <w:t>Drag coefficient (</w:t>
      </w:r>
      <w:r w:rsidRPr="00927221">
        <w:rPr>
          <w:i/>
          <w:iCs/>
        </w:rPr>
        <w:t>C</w:t>
      </w:r>
      <w:r w:rsidRPr="00927221">
        <w:rPr>
          <w:i/>
          <w:iCs/>
          <w:vertAlign w:val="subscript"/>
        </w:rPr>
        <w:t>D</w:t>
      </w:r>
      <w:r>
        <w:t xml:space="preserve">): sampled based on fragment velocity referencing NATO AASTP-1 data for irregular fragments </w:t>
      </w:r>
      <w:r w:rsidR="00E46A97">
        <w:fldChar w:fldCharType="begin"/>
      </w:r>
      <w:r w:rsidR="000A2D4A">
        <w:instrText xml:space="preserve"> ADDIN ZOTERO_ITEM CSL_CITATION {"citationID":"4Fs49XWN","properties":{"formattedCitation":"(\\uc0\\u8220{}AASTP-1 NATO GUIDELINES FOR THE STORAGE OF MILITARY AMMUNITION AND EXPLOSIVES,\\uc0\\u8221{} 2010)","plainCitation":"(“AASTP-1 NATO GUIDELINES FOR THE STORAGE OF MILITARY AMMUNITION AND EXPLOSIVES,” 2010)","noteIndex":0},"citationItems":[{"id":331,"uris":["http://zotero.org/users/16159901/items/GEAHWC7I"],"itemData":{"id":331,"type":"webpage","title":"AASTP-1 NATO GUIDELINES FOR THE STORAGE OF MILITARY AMMUNITION AND EXPLOSIVES","URL":"https://www.dau.edu/aastp-1-nato-guidelines-storage-military-ammunition-and-explosives","accessed":{"date-parts":[["2025",10,13]]},"issued":{"date-parts":[["2010"]]}}}],"schema":"https://github.com/citation-style-language/schema/raw/master/csl-citation.json"} </w:instrText>
      </w:r>
      <w:r w:rsidR="00E46A97">
        <w:fldChar w:fldCharType="separate"/>
      </w:r>
      <w:r w:rsidR="004C00B5" w:rsidRPr="004C00B5">
        <w:rPr>
          <w:rFonts w:cs="Arial"/>
        </w:rPr>
        <w:t>(“AASTP-1 NATO GUIDELINES FOR THE STORAGE OF MILITARY AMMUNITION AND EXPLOSIVES,” 2010)</w:t>
      </w:r>
      <w:r w:rsidR="00E46A97">
        <w:fldChar w:fldCharType="end"/>
      </w:r>
      <w:r w:rsidR="00E46A97">
        <w:t>.</w:t>
      </w:r>
    </w:p>
    <w:p w14:paraId="0EAD5E67" w14:textId="231B14C3" w:rsidR="00453E24" w:rsidRPr="001312EC" w:rsidRDefault="00CA2EBE" w:rsidP="00203A7A">
      <w:pPr>
        <w:pStyle w:val="CETBodytext"/>
        <w:numPr>
          <w:ilvl w:val="0"/>
          <w:numId w:val="24"/>
        </w:numPr>
        <w:tabs>
          <w:tab w:val="clear" w:pos="7100"/>
        </w:tabs>
        <w:spacing w:after="200" w:line="276" w:lineRule="auto"/>
      </w:pPr>
      <w:r>
        <w:t xml:space="preserve">Launch angle </w:t>
      </w:r>
      <w:r w:rsidR="00C609B5">
        <w:t>(</w:t>
      </w:r>
      <w:r w:rsidR="00C609B5" w:rsidRPr="002251C4">
        <w:rPr>
          <w:rFonts w:cs="Arial"/>
          <w:i/>
          <w:iCs/>
        </w:rPr>
        <w:t>α</w:t>
      </w:r>
      <w:r w:rsidR="00C609B5" w:rsidRPr="00203A7A">
        <w:rPr>
          <w:rFonts w:cs="Arial"/>
        </w:rPr>
        <w:t>)</w:t>
      </w:r>
      <w:r w:rsidR="00C609B5" w:rsidRPr="002251C4">
        <w:rPr>
          <w:rFonts w:cs="Arial"/>
        </w:rPr>
        <w:t xml:space="preserve">: </w:t>
      </w:r>
      <w:r w:rsidR="00601CA8" w:rsidRPr="002251C4">
        <w:rPr>
          <w:rFonts w:cs="Arial"/>
        </w:rPr>
        <w:t xml:space="preserve">model </w:t>
      </w:r>
      <w:r w:rsidR="005E463A" w:rsidRPr="002251C4">
        <w:rPr>
          <w:rFonts w:cs="Arial"/>
        </w:rPr>
        <w:t>assuming a Gaussian distribution (</w:t>
      </w:r>
      <m:oMath>
        <m:r>
          <m:rPr>
            <m:sty m:val="p"/>
          </m:rPr>
          <w:rPr>
            <w:rFonts w:ascii="Cambria Math" w:hAnsi="Cambria Math"/>
          </w:rPr>
          <m:t>μ</m:t>
        </m:r>
      </m:oMath>
      <w:r w:rsidR="002251C4" w:rsidRPr="002251C4">
        <w:rPr>
          <w:rFonts w:cs="Arial"/>
        </w:rPr>
        <w:t xml:space="preserve"> = 5°, </w:t>
      </w:r>
      <m:oMath>
        <m:r>
          <m:rPr>
            <m:sty m:val="p"/>
          </m:rPr>
          <w:rPr>
            <w:rFonts w:ascii="Cambria Math" w:hAnsi="Cambria Math"/>
          </w:rPr>
          <m:t>σ</m:t>
        </m:r>
      </m:oMath>
      <w:r w:rsidR="002251C4">
        <w:rPr>
          <w:rFonts w:cs="Arial"/>
        </w:rPr>
        <w:t xml:space="preserve"> = 9°)</w:t>
      </w:r>
      <w:r w:rsidR="0003118A">
        <w:rPr>
          <w:rFonts w:cs="Arial"/>
        </w:rPr>
        <w:t>. The sampling domain was truncated to the i</w:t>
      </w:r>
      <w:r w:rsidR="003312EA">
        <w:rPr>
          <w:rFonts w:cs="Arial"/>
        </w:rPr>
        <w:t>n</w:t>
      </w:r>
      <w:r w:rsidR="0003118A">
        <w:rPr>
          <w:rFonts w:cs="Arial"/>
        </w:rPr>
        <w:t xml:space="preserve">terval [0°, 23°]; this upper </w:t>
      </w:r>
      <w:r w:rsidR="00E7022C">
        <w:rPr>
          <w:rFonts w:cs="Arial"/>
        </w:rPr>
        <w:t>limit</w:t>
      </w:r>
      <w:r w:rsidR="00CF3508">
        <w:rPr>
          <w:rFonts w:cs="Arial"/>
        </w:rPr>
        <w:t xml:space="preserve"> accounts for about </w:t>
      </w:r>
      <w:r w:rsidR="0003118A">
        <w:rPr>
          <w:rFonts w:cs="Arial"/>
        </w:rPr>
        <w:t xml:space="preserve">95% of the probability distribution, </w:t>
      </w:r>
      <w:r w:rsidR="0003118A">
        <w:rPr>
          <w:rFonts w:cs="Arial"/>
        </w:rPr>
        <w:lastRenderedPageBreak/>
        <w:t xml:space="preserve">while the lower </w:t>
      </w:r>
      <w:r w:rsidR="00CF3508">
        <w:rPr>
          <w:rFonts w:cs="Arial"/>
        </w:rPr>
        <w:t xml:space="preserve">limit is set to zero to exclude downward </w:t>
      </w:r>
      <w:r w:rsidR="00856266">
        <w:rPr>
          <w:rFonts w:cs="Arial"/>
        </w:rPr>
        <w:t xml:space="preserve">trajectories </w:t>
      </w:r>
      <w:r w:rsidR="00C02711">
        <w:rPr>
          <w:rFonts w:cs="Arial"/>
        </w:rPr>
        <w:t>that would result in immediate ground impact.</w:t>
      </w:r>
    </w:p>
    <w:p w14:paraId="0FA5726D" w14:textId="374EC059" w:rsidR="001312EC" w:rsidRPr="00D743FF" w:rsidRDefault="00B90629" w:rsidP="00145C75">
      <w:pPr>
        <w:pStyle w:val="CETBodytext"/>
        <w:tabs>
          <w:tab w:val="clear" w:pos="7100"/>
        </w:tabs>
        <w:spacing w:after="200" w:line="276" w:lineRule="auto"/>
      </w:pPr>
      <w:r w:rsidRPr="00B90629">
        <w:rPr>
          <w:lang w:val="en-GB"/>
        </w:rPr>
        <w:t xml:space="preserve">Deterministic prediction of parameters like shape number, launch angle, and fragment size is highly uncertain, yet the ballistic model is extremely sensitive to them (e.g., larger fragments experience less </w:t>
      </w:r>
      <w:proofErr w:type="gramStart"/>
      <w:r w:rsidRPr="00B90629">
        <w:rPr>
          <w:lang w:val="en-GB"/>
        </w:rPr>
        <w:t>drag</w:t>
      </w:r>
      <w:proofErr w:type="gramEnd"/>
      <w:r w:rsidRPr="00B90629">
        <w:rPr>
          <w:lang w:val="en-GB"/>
        </w:rPr>
        <w:t xml:space="preserve"> and travel further). To manage this sensitivity, a Monte Carlo approach with 10,000 iterations was adopted. By sampling these variables from statistical distributions rather than assigning arbitrary values, the framework inherently absorbs individual parameter uncertainties, yielding a robust probability distribution of projection distances instead of a single unreliable estimate.</w:t>
      </w:r>
    </w:p>
    <w:p w14:paraId="19303846" w14:textId="27D66D03" w:rsidR="00E46A97" w:rsidRPr="00E46A97" w:rsidRDefault="00E46A97" w:rsidP="00E46A97">
      <w:pPr>
        <w:pStyle w:val="CETHeading1"/>
        <w:tabs>
          <w:tab w:val="clear" w:pos="360"/>
          <w:tab w:val="right" w:pos="7100"/>
        </w:tabs>
        <w:jc w:val="both"/>
        <w:rPr>
          <w:lang w:val="en-GB"/>
        </w:rPr>
      </w:pPr>
      <w:r>
        <w:rPr>
          <w:lang w:val="en-GB"/>
        </w:rPr>
        <w:t>Results and Discussion</w:t>
      </w:r>
    </w:p>
    <w:p w14:paraId="04963A06" w14:textId="5F68D5B9" w:rsidR="00600535" w:rsidRDefault="00E46A97" w:rsidP="00FA5F5F">
      <w:pPr>
        <w:pStyle w:val="CETheadingx"/>
      </w:pPr>
      <w:r>
        <w:t xml:space="preserve">Blast wave </w:t>
      </w:r>
      <w:proofErr w:type="gramStart"/>
      <w:r>
        <w:t>propagation</w:t>
      </w:r>
      <w:proofErr w:type="gramEnd"/>
    </w:p>
    <w:p w14:paraId="14392F1C" w14:textId="066F2017" w:rsidR="00E46A97" w:rsidRPr="00D46B15" w:rsidRDefault="00E46A97" w:rsidP="00E46A97">
      <w:pPr>
        <w:pStyle w:val="CETBodytextItalic"/>
        <w:rPr>
          <w:rStyle w:val="CETBodytextCarattere"/>
          <w:i w:val="0"/>
          <w:iCs/>
        </w:rPr>
      </w:pPr>
      <w:r w:rsidRPr="00075FD6">
        <w:rPr>
          <w:rStyle w:val="CETBodytextCarattere"/>
          <w:i w:val="0"/>
          <w:iCs/>
        </w:rPr>
        <w:t>The CFD results highlight the critical role of site topography.</w:t>
      </w:r>
      <w:r w:rsidR="004B31E4" w:rsidRPr="00075FD6">
        <w:rPr>
          <w:rStyle w:val="CETBodytextCarattere"/>
          <w:i w:val="0"/>
          <w:iCs/>
        </w:rPr>
        <w:t xml:space="preserve"> </w:t>
      </w:r>
      <w:r w:rsidR="00F31505" w:rsidRPr="00075FD6">
        <w:rPr>
          <w:rStyle w:val="CETBodytextCarattere"/>
          <w:i w:val="0"/>
          <w:iCs/>
        </w:rPr>
        <w:t>Here, only the results from three depots are presented for illustrative purposes.</w:t>
      </w:r>
      <w:r w:rsidR="00075FD6">
        <w:t xml:space="preserve"> </w:t>
      </w:r>
      <w:r>
        <w:t xml:space="preserve">Scenario A: </w:t>
      </w:r>
      <w:r w:rsidR="00CA1EB4">
        <w:rPr>
          <w:i w:val="0"/>
          <w:iCs/>
        </w:rPr>
        <w:t xml:space="preserve">depot </w:t>
      </w:r>
      <w:r>
        <w:rPr>
          <w:i w:val="0"/>
          <w:iCs/>
        </w:rPr>
        <w:t xml:space="preserve">1 contains about 809 kg of TNT equivalent. </w:t>
      </w:r>
      <w:r w:rsidRPr="00E46A97">
        <w:rPr>
          <w:rStyle w:val="CETBodytextCarattere"/>
          <w:i w:val="0"/>
          <w:iCs/>
        </w:rPr>
        <w:t>The simulation demonstrates a non-uniform pressure field (</w:t>
      </w:r>
      <w:r w:rsidR="00643580">
        <w:rPr>
          <w:rStyle w:val="CETBodytextCarattere"/>
          <w:i w:val="0"/>
          <w:iCs/>
        </w:rPr>
        <w:fldChar w:fldCharType="begin"/>
      </w:r>
      <w:r w:rsidR="00643580">
        <w:rPr>
          <w:rStyle w:val="CETBodytextCarattere"/>
          <w:i w:val="0"/>
          <w:iCs/>
        </w:rPr>
        <w:instrText xml:space="preserve"> REF _Ref218974883 \h </w:instrText>
      </w:r>
      <w:r w:rsidR="00643580">
        <w:rPr>
          <w:rStyle w:val="CETBodytextCarattere"/>
          <w:i w:val="0"/>
          <w:iCs/>
        </w:rPr>
      </w:r>
      <w:r w:rsidR="00643580">
        <w:rPr>
          <w:rStyle w:val="CETBodytextCarattere"/>
          <w:i w:val="0"/>
          <w:iCs/>
        </w:rPr>
        <w:fldChar w:fldCharType="separate"/>
      </w:r>
      <w:r w:rsidR="00643580">
        <w:t xml:space="preserve">Figure </w:t>
      </w:r>
      <w:r w:rsidR="00643580">
        <w:rPr>
          <w:noProof/>
        </w:rPr>
        <w:t>1</w:t>
      </w:r>
      <w:r w:rsidR="00643580">
        <w:rPr>
          <w:rStyle w:val="CETBodytextCarattere"/>
          <w:i w:val="0"/>
          <w:iCs/>
        </w:rPr>
        <w:fldChar w:fldCharType="end"/>
      </w:r>
      <w:r w:rsidR="00643580">
        <w:rPr>
          <w:rStyle w:val="CETBodytextCarattere"/>
        </w:rPr>
        <w:t>a</w:t>
      </w:r>
      <w:r w:rsidRPr="00E46A97">
        <w:rPr>
          <w:rStyle w:val="CETBodytextCarattere"/>
          <w:i w:val="0"/>
          <w:iCs/>
        </w:rPr>
        <w:t>). The blast wave interacts with adjacent embankments, causing diffraction. Unlike a free-field model, the CFD solution shows pressure "shadows" and intensifications. The 0.03 bar threshold (reversible injuries) extends to 214 m, but the shape is distorted by local geometry</w:t>
      </w:r>
      <w:r w:rsidR="00643580">
        <w:rPr>
          <w:rStyle w:val="CETBodytextCarattere"/>
          <w:i w:val="0"/>
          <w:iCs/>
        </w:rPr>
        <w:t xml:space="preserve"> (</w:t>
      </w:r>
      <w:r w:rsidR="00643580">
        <w:rPr>
          <w:rStyle w:val="CETBodytextCarattere"/>
          <w:i w:val="0"/>
          <w:iCs/>
        </w:rPr>
        <w:fldChar w:fldCharType="begin"/>
      </w:r>
      <w:r w:rsidR="00643580">
        <w:rPr>
          <w:rStyle w:val="CETBodytextCarattere"/>
          <w:i w:val="0"/>
          <w:iCs/>
        </w:rPr>
        <w:instrText xml:space="preserve"> REF _Ref218974883 \h </w:instrText>
      </w:r>
      <w:r w:rsidR="00643580">
        <w:rPr>
          <w:rStyle w:val="CETBodytextCarattere"/>
          <w:i w:val="0"/>
          <w:iCs/>
        </w:rPr>
      </w:r>
      <w:r w:rsidR="00643580">
        <w:rPr>
          <w:rStyle w:val="CETBodytextCarattere"/>
          <w:i w:val="0"/>
          <w:iCs/>
        </w:rPr>
        <w:fldChar w:fldCharType="separate"/>
      </w:r>
      <w:r w:rsidR="00643580">
        <w:t xml:space="preserve">Figure </w:t>
      </w:r>
      <w:r w:rsidR="00643580">
        <w:rPr>
          <w:noProof/>
        </w:rPr>
        <w:t>1</w:t>
      </w:r>
      <w:r w:rsidR="00643580">
        <w:rPr>
          <w:rStyle w:val="CETBodytextCarattere"/>
          <w:i w:val="0"/>
          <w:iCs/>
        </w:rPr>
        <w:fldChar w:fldCharType="end"/>
      </w:r>
      <w:r w:rsidR="00643580">
        <w:rPr>
          <w:rStyle w:val="CETBodytextCarattere"/>
        </w:rPr>
        <w:t>b</w:t>
      </w:r>
      <w:r w:rsidR="00643580">
        <w:rPr>
          <w:rStyle w:val="CETBodytextCarattere"/>
          <w:i w:val="0"/>
          <w:iCs/>
        </w:rPr>
        <w:t xml:space="preserve"> - </w:t>
      </w:r>
      <w:r w:rsidR="00643580">
        <w:rPr>
          <w:rStyle w:val="CETBodytextCarattere"/>
          <w:i w:val="0"/>
          <w:iCs/>
        </w:rPr>
        <w:fldChar w:fldCharType="begin"/>
      </w:r>
      <w:r w:rsidR="00643580">
        <w:rPr>
          <w:rStyle w:val="CETBodytextCarattere"/>
          <w:i w:val="0"/>
          <w:iCs/>
        </w:rPr>
        <w:instrText xml:space="preserve"> REF _Ref218974883 \h </w:instrText>
      </w:r>
      <w:r w:rsidR="00643580">
        <w:rPr>
          <w:rStyle w:val="CETBodytextCarattere"/>
          <w:i w:val="0"/>
          <w:iCs/>
        </w:rPr>
      </w:r>
      <w:r w:rsidR="00643580">
        <w:rPr>
          <w:rStyle w:val="CETBodytextCarattere"/>
          <w:i w:val="0"/>
          <w:iCs/>
        </w:rPr>
        <w:fldChar w:fldCharType="separate"/>
      </w:r>
      <w:r w:rsidR="00643580">
        <w:t xml:space="preserve">Figure </w:t>
      </w:r>
      <w:r w:rsidR="00643580">
        <w:rPr>
          <w:noProof/>
        </w:rPr>
        <w:t>1</w:t>
      </w:r>
      <w:r w:rsidR="00643580">
        <w:rPr>
          <w:rStyle w:val="CETBodytextCarattere"/>
          <w:i w:val="0"/>
          <w:iCs/>
        </w:rPr>
        <w:fldChar w:fldCharType="end"/>
      </w:r>
      <w:r w:rsidR="00643580">
        <w:rPr>
          <w:rStyle w:val="CETBodytextCarattere"/>
        </w:rPr>
        <w:t>c</w:t>
      </w:r>
      <w:r w:rsidR="00D46B15">
        <w:rPr>
          <w:rStyle w:val="CETBodytextCarattere"/>
          <w:i w:val="0"/>
          <w:iC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3"/>
      </w:tblGrid>
      <w:tr w:rsidR="00643580" w14:paraId="43549E26" w14:textId="77777777" w:rsidTr="00D66B7D">
        <w:tc>
          <w:tcPr>
            <w:tcW w:w="4530" w:type="dxa"/>
            <w:vAlign w:val="center"/>
          </w:tcPr>
          <w:p w14:paraId="3A73E696" w14:textId="77777777" w:rsidR="00643580" w:rsidRDefault="00643580" w:rsidP="00643580">
            <w:pPr>
              <w:pStyle w:val="Paragrafoelenco"/>
              <w:numPr>
                <w:ilvl w:val="0"/>
                <w:numId w:val="25"/>
              </w:numPr>
              <w:tabs>
                <w:tab w:val="clear" w:pos="7100"/>
              </w:tabs>
              <w:spacing w:before="120" w:line="240" w:lineRule="auto"/>
              <w:jc w:val="center"/>
            </w:pPr>
          </w:p>
        </w:tc>
        <w:tc>
          <w:tcPr>
            <w:tcW w:w="4530" w:type="dxa"/>
            <w:vAlign w:val="center"/>
          </w:tcPr>
          <w:p w14:paraId="0B61D5D2" w14:textId="77777777" w:rsidR="00643580" w:rsidRDefault="00643580" w:rsidP="00643580">
            <w:pPr>
              <w:pStyle w:val="Paragrafoelenco"/>
              <w:numPr>
                <w:ilvl w:val="0"/>
                <w:numId w:val="25"/>
              </w:numPr>
              <w:tabs>
                <w:tab w:val="clear" w:pos="7100"/>
              </w:tabs>
              <w:spacing w:before="120" w:line="240" w:lineRule="auto"/>
              <w:jc w:val="center"/>
            </w:pPr>
          </w:p>
        </w:tc>
      </w:tr>
    </w:tbl>
    <w:p w14:paraId="535CC5CB" w14:textId="77777777" w:rsidR="00643580" w:rsidRDefault="00643580" w:rsidP="00203A7A">
      <w:pPr>
        <w:pStyle w:val="CETBodytextItalic"/>
        <w:keepNext/>
        <w:jc w:val="left"/>
      </w:pPr>
      <w:r>
        <w:rPr>
          <w:i w:val="0"/>
          <w:iCs/>
          <w:noProof/>
        </w:rPr>
        <w:drawing>
          <wp:inline distT="0" distB="0" distL="0" distR="0" wp14:anchorId="3F754D71" wp14:editId="675C6E86">
            <wp:extent cx="5264704" cy="3504206"/>
            <wp:effectExtent l="0" t="0" r="0" b="1270"/>
            <wp:docPr id="208014778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109" cy="3524444"/>
                    </a:xfrm>
                    <a:prstGeom prst="rect">
                      <a:avLst/>
                    </a:prstGeom>
                    <a:noFill/>
                  </pic:spPr>
                </pic:pic>
              </a:graphicData>
            </a:graphic>
          </wp:inline>
        </w:drawing>
      </w:r>
    </w:p>
    <w:p w14:paraId="0184773F" w14:textId="77777777" w:rsidR="00643580" w:rsidRPr="00643580" w:rsidRDefault="00643580" w:rsidP="00E46A97">
      <w:pPr>
        <w:pStyle w:val="Paragrafoelenco"/>
        <w:numPr>
          <w:ilvl w:val="0"/>
          <w:numId w:val="25"/>
        </w:numPr>
        <w:tabs>
          <w:tab w:val="clear" w:pos="7100"/>
        </w:tabs>
        <w:spacing w:before="120" w:after="120" w:line="240" w:lineRule="auto"/>
        <w:jc w:val="center"/>
      </w:pPr>
    </w:p>
    <w:p w14:paraId="0807D4A6" w14:textId="7CB10472" w:rsidR="00643580" w:rsidRDefault="00643580" w:rsidP="00203A7A">
      <w:pPr>
        <w:pStyle w:val="CETCaption"/>
        <w:jc w:val="left"/>
        <w:rPr>
          <w:iCs/>
        </w:rPr>
      </w:pPr>
      <w:bookmarkStart w:id="3" w:name="_Ref218974883"/>
      <w:r>
        <w:t xml:space="preserve">Figure </w:t>
      </w:r>
      <w:r>
        <w:fldChar w:fldCharType="begin"/>
      </w:r>
      <w:r>
        <w:instrText xml:space="preserve"> SEQ Figure \* ARABIC </w:instrText>
      </w:r>
      <w:r>
        <w:fldChar w:fldCharType="separate"/>
      </w:r>
      <w:r w:rsidR="00855DF6">
        <w:rPr>
          <w:noProof/>
        </w:rPr>
        <w:t>1</w:t>
      </w:r>
      <w:r>
        <w:fldChar w:fldCharType="end"/>
      </w:r>
      <w:bookmarkEnd w:id="3"/>
      <w:r w:rsidRPr="00051932">
        <w:t xml:space="preserve"> result deposit no. </w:t>
      </w:r>
      <w:r w:rsidR="00227DD0">
        <w:t>1</w:t>
      </w:r>
      <w:r w:rsidRPr="00051932">
        <w:t>: a. run</w:t>
      </w:r>
      <w:r w:rsidR="00D7112A">
        <w:t xml:space="preserve"> of phase</w:t>
      </w:r>
      <w:r w:rsidRPr="00051932">
        <w:t xml:space="preserve"> 1, b. run</w:t>
      </w:r>
      <w:r w:rsidR="00D7112A">
        <w:t xml:space="preserve"> of phase</w:t>
      </w:r>
      <w:r w:rsidRPr="00051932">
        <w:t xml:space="preserve"> 2, c. run</w:t>
      </w:r>
      <w:r w:rsidR="00D7112A">
        <w:t xml:space="preserve"> of phase</w:t>
      </w:r>
      <w:r w:rsidRPr="00051932">
        <w:t xml:space="preserve"> 3.</w:t>
      </w:r>
    </w:p>
    <w:p w14:paraId="64AEFC03" w14:textId="4DE7C0A3" w:rsidR="00536F63" w:rsidRDefault="00A93556" w:rsidP="00536F63">
      <w:pPr>
        <w:pStyle w:val="CETBodytextItalic"/>
        <w:rPr>
          <w:i w:val="0"/>
          <w:iCs/>
        </w:rPr>
      </w:pPr>
      <w:r w:rsidRPr="00A93556">
        <w:t>Scenario B</w:t>
      </w:r>
      <w:r w:rsidRPr="00A93556">
        <w:rPr>
          <w:i w:val="0"/>
          <w:iCs/>
        </w:rPr>
        <w:t xml:space="preserve">: </w:t>
      </w:r>
      <w:r w:rsidR="00227DD0" w:rsidRPr="00227DD0">
        <w:rPr>
          <w:i w:val="0"/>
          <w:iCs/>
        </w:rPr>
        <w:t xml:space="preserve">Depot 5 stores Composition B (2,778 kg TNT eq.). </w:t>
      </w:r>
      <w:r w:rsidR="00227DD0">
        <w:rPr>
          <w:i w:val="0"/>
          <w:iCs/>
        </w:rPr>
        <w:fldChar w:fldCharType="begin"/>
      </w:r>
      <w:r w:rsidR="00227DD0">
        <w:rPr>
          <w:i w:val="0"/>
          <w:iCs/>
        </w:rPr>
        <w:instrText xml:space="preserve"> REF _Ref218975653 \h </w:instrText>
      </w:r>
      <w:r w:rsidR="00227DD0">
        <w:rPr>
          <w:i w:val="0"/>
          <w:iCs/>
        </w:rPr>
      </w:r>
      <w:r w:rsidR="00227DD0">
        <w:rPr>
          <w:i w:val="0"/>
          <w:iCs/>
        </w:rPr>
        <w:fldChar w:fldCharType="separate"/>
      </w:r>
      <w:r w:rsidR="00227DD0">
        <w:t xml:space="preserve">Figure </w:t>
      </w:r>
      <w:r w:rsidR="00227DD0">
        <w:rPr>
          <w:noProof/>
        </w:rPr>
        <w:t>2</w:t>
      </w:r>
      <w:r w:rsidR="00227DD0">
        <w:rPr>
          <w:i w:val="0"/>
          <w:iCs/>
        </w:rPr>
        <w:fldChar w:fldCharType="end"/>
      </w:r>
      <w:r w:rsidR="00227DD0">
        <w:rPr>
          <w:i w:val="0"/>
          <w:iCs/>
        </w:rPr>
        <w:t>a</w:t>
      </w:r>
      <w:r w:rsidR="00227DD0" w:rsidRPr="00227DD0">
        <w:rPr>
          <w:i w:val="0"/>
          <w:iCs/>
        </w:rPr>
        <w:t xml:space="preserve"> illustrates the results of the first calculation cycle, showing the overpressure values recorded during the initial moments of the wave evolution. </w:t>
      </w:r>
      <w:r w:rsidR="00536F63" w:rsidRPr="00536F63">
        <w:rPr>
          <w:i w:val="0"/>
          <w:iCs/>
        </w:rPr>
        <w:t xml:space="preserve">In this case, higher peaks near the </w:t>
      </w:r>
      <w:r w:rsidR="00D537CD" w:rsidRPr="00536F63">
        <w:rPr>
          <w:i w:val="0"/>
          <w:iCs/>
        </w:rPr>
        <w:t>epicentre</w:t>
      </w:r>
      <w:r w:rsidR="00536F63" w:rsidRPr="00536F63">
        <w:rPr>
          <w:i w:val="0"/>
          <w:iCs/>
        </w:rPr>
        <w:t xml:space="preserve"> of approximately 10,000 </w:t>
      </w:r>
      <w:proofErr w:type="gramStart"/>
      <w:r w:rsidR="00536F63" w:rsidRPr="00536F63">
        <w:rPr>
          <w:i w:val="0"/>
          <w:iCs/>
        </w:rPr>
        <w:t>bar</w:t>
      </w:r>
      <w:proofErr w:type="gramEnd"/>
      <w:r w:rsidR="00536F63" w:rsidRPr="00536F63">
        <w:rPr>
          <w:i w:val="0"/>
          <w:iCs/>
        </w:rPr>
        <w:t xml:space="preserve"> are recorded, due to the larger quantity of explosive analy</w:t>
      </w:r>
      <w:r w:rsidR="00D537CD">
        <w:rPr>
          <w:i w:val="0"/>
          <w:iCs/>
        </w:rPr>
        <w:t>s</w:t>
      </w:r>
      <w:r w:rsidR="00536F63" w:rsidRPr="00536F63">
        <w:rPr>
          <w:i w:val="0"/>
          <w:iCs/>
        </w:rPr>
        <w:t xml:space="preserve">ed. </w:t>
      </w:r>
      <w:r w:rsidR="00536F63" w:rsidRPr="00821EBD">
        <w:rPr>
          <w:i w:val="0"/>
          <w:iCs/>
        </w:rPr>
        <w:t xml:space="preserve">Such extreme magnitudes are physically realistic for the immediate </w:t>
      </w:r>
      <w:r w:rsidR="00D537CD" w:rsidRPr="00821EBD">
        <w:rPr>
          <w:i w:val="0"/>
          <w:iCs/>
        </w:rPr>
        <w:t>near field</w:t>
      </w:r>
      <w:r w:rsidR="00536F63" w:rsidRPr="00821EBD">
        <w:rPr>
          <w:i w:val="0"/>
          <w:iCs/>
        </w:rPr>
        <w:t xml:space="preserve"> of solid explosive detonations; as outlined in the </w:t>
      </w:r>
      <w:r w:rsidR="005D0D83" w:rsidRPr="003F23E8">
        <w:rPr>
          <w:rFonts w:cs="Arial"/>
          <w:iCs/>
        </w:rPr>
        <w:t>UFC 3-340-02</w:t>
      </w:r>
      <w:r w:rsidR="005D0D83">
        <w:rPr>
          <w:rFonts w:cs="Arial"/>
          <w:iCs/>
        </w:rPr>
        <w:t>,</w:t>
      </w:r>
      <w:r w:rsidR="005D0D83" w:rsidRPr="003F23E8">
        <w:rPr>
          <w:rFonts w:cs="Arial"/>
        </w:rPr>
        <w:t xml:space="preserve"> </w:t>
      </w:r>
      <w:r w:rsidR="005D0D83">
        <w:rPr>
          <w:rFonts w:cs="Arial"/>
        </w:rPr>
        <w:t>(</w:t>
      </w:r>
      <w:r w:rsidR="005D0D83" w:rsidRPr="003F23E8">
        <w:rPr>
          <w:rFonts w:cs="Arial"/>
        </w:rPr>
        <w:t>2005</w:t>
      </w:r>
      <w:r w:rsidR="005D0D83">
        <w:rPr>
          <w:rFonts w:cs="Arial"/>
        </w:rPr>
        <w:t>)</w:t>
      </w:r>
      <w:r w:rsidR="00536F63" w:rsidRPr="00821EBD">
        <w:rPr>
          <w:i w:val="0"/>
          <w:iCs/>
        </w:rPr>
        <w:t>, theoretical pressures at the detonation front can range from 180,000 to 350,000 bar before undergoing a rapid exponential decay.</w:t>
      </w:r>
    </w:p>
    <w:p w14:paraId="7F467C61" w14:textId="585876E6" w:rsidR="00A93556" w:rsidRDefault="00227DD0" w:rsidP="00E46A97">
      <w:pPr>
        <w:pStyle w:val="CETBodytextItalic"/>
        <w:rPr>
          <w:i w:val="0"/>
          <w:iCs/>
        </w:rPr>
      </w:pPr>
      <w:r>
        <w:rPr>
          <w:i w:val="0"/>
          <w:iCs/>
        </w:rPr>
        <w:fldChar w:fldCharType="begin"/>
      </w:r>
      <w:r>
        <w:rPr>
          <w:i w:val="0"/>
          <w:iCs/>
        </w:rPr>
        <w:instrText xml:space="preserve"> REF _Ref218975653 \h </w:instrText>
      </w:r>
      <w:r>
        <w:rPr>
          <w:i w:val="0"/>
          <w:iCs/>
        </w:rPr>
      </w:r>
      <w:r>
        <w:rPr>
          <w:i w:val="0"/>
          <w:iCs/>
        </w:rPr>
        <w:fldChar w:fldCharType="separate"/>
      </w:r>
      <w:r>
        <w:t xml:space="preserve">Figure </w:t>
      </w:r>
      <w:r>
        <w:rPr>
          <w:noProof/>
        </w:rPr>
        <w:t>2</w:t>
      </w:r>
      <w:r>
        <w:rPr>
          <w:i w:val="0"/>
          <w:iCs/>
        </w:rPr>
        <w:fldChar w:fldCharType="end"/>
      </w:r>
      <w:r>
        <w:rPr>
          <w:i w:val="0"/>
          <w:iCs/>
        </w:rPr>
        <w:t xml:space="preserve">b </w:t>
      </w:r>
      <w:r w:rsidRPr="00227DD0">
        <w:rPr>
          <w:i w:val="0"/>
          <w:iCs/>
        </w:rPr>
        <w:t xml:space="preserve">reports the result at the end of the second calculation run, highlighting some of the threshold values assumed by the overpressure wave. Finally, </w:t>
      </w:r>
      <w:r>
        <w:rPr>
          <w:i w:val="0"/>
          <w:iCs/>
        </w:rPr>
        <w:t xml:space="preserve">in </w:t>
      </w:r>
      <w:r>
        <w:rPr>
          <w:i w:val="0"/>
          <w:iCs/>
        </w:rPr>
        <w:fldChar w:fldCharType="begin"/>
      </w:r>
      <w:r>
        <w:rPr>
          <w:i w:val="0"/>
          <w:iCs/>
        </w:rPr>
        <w:instrText xml:space="preserve"> REF _Ref218975653 \h </w:instrText>
      </w:r>
      <w:r>
        <w:rPr>
          <w:i w:val="0"/>
          <w:iCs/>
        </w:rPr>
      </w:r>
      <w:r>
        <w:rPr>
          <w:i w:val="0"/>
          <w:iCs/>
        </w:rPr>
        <w:fldChar w:fldCharType="separate"/>
      </w:r>
      <w:r>
        <w:t xml:space="preserve">Figure </w:t>
      </w:r>
      <w:r>
        <w:rPr>
          <w:noProof/>
        </w:rPr>
        <w:t>2</w:t>
      </w:r>
      <w:r>
        <w:rPr>
          <w:i w:val="0"/>
          <w:iCs/>
        </w:rPr>
        <w:fldChar w:fldCharType="end"/>
      </w:r>
      <w:r>
        <w:rPr>
          <w:i w:val="0"/>
          <w:iCs/>
        </w:rPr>
        <w:t xml:space="preserve">c, </w:t>
      </w:r>
      <w:r w:rsidRPr="00227DD0">
        <w:rPr>
          <w:i w:val="0"/>
          <w:iCs/>
        </w:rPr>
        <w:t>the conclusive data of the third calculation run presents the last threshold value assumed by the overpressure wave (0.14 bar extends to 114 m).</w:t>
      </w:r>
    </w:p>
    <w:p w14:paraId="5D342838" w14:textId="3E19DA8B" w:rsidR="00643580" w:rsidRPr="00A93556" w:rsidRDefault="00643580" w:rsidP="00A93556">
      <w:pPr>
        <w:tabs>
          <w:tab w:val="clear" w:pos="7100"/>
        </w:tabs>
        <w:spacing w:after="200" w:line="276" w:lineRule="auto"/>
        <w:jc w:val="left"/>
        <w:rPr>
          <w:iC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3"/>
      </w:tblGrid>
      <w:tr w:rsidR="00A93556" w14:paraId="60C2BDD1" w14:textId="77777777" w:rsidTr="00D66B7D">
        <w:tc>
          <w:tcPr>
            <w:tcW w:w="4530" w:type="dxa"/>
            <w:vAlign w:val="center"/>
          </w:tcPr>
          <w:p w14:paraId="0AF3B6E9" w14:textId="77777777" w:rsidR="00A93556" w:rsidRDefault="00A93556" w:rsidP="00A93556">
            <w:pPr>
              <w:pStyle w:val="Paragrafoelenco"/>
              <w:numPr>
                <w:ilvl w:val="0"/>
                <w:numId w:val="27"/>
              </w:numPr>
              <w:tabs>
                <w:tab w:val="clear" w:pos="7100"/>
              </w:tabs>
              <w:spacing w:before="120" w:line="240" w:lineRule="auto"/>
              <w:jc w:val="center"/>
            </w:pPr>
          </w:p>
        </w:tc>
        <w:tc>
          <w:tcPr>
            <w:tcW w:w="4530" w:type="dxa"/>
            <w:vAlign w:val="center"/>
          </w:tcPr>
          <w:p w14:paraId="42BCD1A0" w14:textId="77777777" w:rsidR="00A93556" w:rsidRDefault="00A93556" w:rsidP="00A93556">
            <w:pPr>
              <w:pStyle w:val="Paragrafoelenco"/>
              <w:numPr>
                <w:ilvl w:val="0"/>
                <w:numId w:val="27"/>
              </w:numPr>
              <w:tabs>
                <w:tab w:val="clear" w:pos="7100"/>
              </w:tabs>
              <w:spacing w:before="120" w:line="240" w:lineRule="auto"/>
              <w:jc w:val="center"/>
            </w:pPr>
          </w:p>
        </w:tc>
      </w:tr>
    </w:tbl>
    <w:p w14:paraId="5220F61F" w14:textId="77777777" w:rsidR="00A93556" w:rsidRDefault="00A93556" w:rsidP="00203A7A">
      <w:pPr>
        <w:pStyle w:val="CETBodytextItalic"/>
        <w:keepNext/>
        <w:jc w:val="left"/>
      </w:pPr>
      <w:r>
        <w:rPr>
          <w:i w:val="0"/>
          <w:iCs/>
          <w:noProof/>
        </w:rPr>
        <w:drawing>
          <wp:inline distT="0" distB="0" distL="0" distR="0" wp14:anchorId="46487313" wp14:editId="2625CE75">
            <wp:extent cx="4729479" cy="2844938"/>
            <wp:effectExtent l="0" t="0" r="0" b="0"/>
            <wp:docPr id="94445310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497" cy="2861190"/>
                    </a:xfrm>
                    <a:prstGeom prst="rect">
                      <a:avLst/>
                    </a:prstGeom>
                    <a:noFill/>
                  </pic:spPr>
                </pic:pic>
              </a:graphicData>
            </a:graphic>
          </wp:inline>
        </w:drawing>
      </w:r>
    </w:p>
    <w:p w14:paraId="57F6DAE2" w14:textId="5B1305FF" w:rsidR="00A93556" w:rsidRDefault="00A93556" w:rsidP="00A93556">
      <w:pPr>
        <w:pStyle w:val="Paragrafoelenco"/>
        <w:numPr>
          <w:ilvl w:val="0"/>
          <w:numId w:val="27"/>
        </w:numPr>
        <w:tabs>
          <w:tab w:val="clear" w:pos="7100"/>
        </w:tabs>
        <w:spacing w:before="120" w:line="240" w:lineRule="auto"/>
        <w:jc w:val="center"/>
        <w:rPr>
          <w:lang w:val="it-IT"/>
        </w:rPr>
      </w:pPr>
    </w:p>
    <w:p w14:paraId="61DD7C67" w14:textId="0B359C1B" w:rsidR="00A93556" w:rsidRDefault="00A93556" w:rsidP="00203A7A">
      <w:pPr>
        <w:pStyle w:val="CETCaption"/>
        <w:jc w:val="left"/>
      </w:pPr>
      <w:bookmarkStart w:id="4" w:name="_Ref218975653"/>
      <w:r>
        <w:t xml:space="preserve">Figure </w:t>
      </w:r>
      <w:r>
        <w:fldChar w:fldCharType="begin"/>
      </w:r>
      <w:r>
        <w:instrText xml:space="preserve"> SEQ Figure \* ARABIC </w:instrText>
      </w:r>
      <w:r>
        <w:fldChar w:fldCharType="separate"/>
      </w:r>
      <w:r w:rsidR="00855DF6">
        <w:rPr>
          <w:noProof/>
        </w:rPr>
        <w:t>2</w:t>
      </w:r>
      <w:r>
        <w:fldChar w:fldCharType="end"/>
      </w:r>
      <w:bookmarkEnd w:id="4"/>
      <w:r>
        <w:t xml:space="preserve"> </w:t>
      </w:r>
      <w:r w:rsidR="00227DD0">
        <w:t>r</w:t>
      </w:r>
      <w:r w:rsidRPr="00051932">
        <w:t xml:space="preserve">esult deposit no. </w:t>
      </w:r>
      <w:r w:rsidR="00227DD0">
        <w:t>5</w:t>
      </w:r>
      <w:r w:rsidRPr="00051932">
        <w:t xml:space="preserve">: a. run </w:t>
      </w:r>
      <w:r w:rsidR="00C824FB">
        <w:t>of phase</w:t>
      </w:r>
      <w:r w:rsidR="00C824FB" w:rsidRPr="00051932">
        <w:t xml:space="preserve"> </w:t>
      </w:r>
      <w:r w:rsidRPr="00051932">
        <w:t xml:space="preserve">1, b. run </w:t>
      </w:r>
      <w:r w:rsidR="00C824FB">
        <w:t>of phase</w:t>
      </w:r>
      <w:r w:rsidR="00C824FB" w:rsidRPr="00051932">
        <w:t xml:space="preserve"> </w:t>
      </w:r>
      <w:r w:rsidRPr="00051932">
        <w:t xml:space="preserve">2, c. run </w:t>
      </w:r>
      <w:r w:rsidR="00C824FB">
        <w:t>of phase</w:t>
      </w:r>
      <w:r w:rsidR="00C824FB" w:rsidRPr="00051932">
        <w:t xml:space="preserve"> </w:t>
      </w:r>
      <w:r w:rsidRPr="00051932">
        <w:t>3.</w:t>
      </w:r>
    </w:p>
    <w:p w14:paraId="209B76E6" w14:textId="450FC7FC" w:rsidR="00227DD0" w:rsidRDefault="00227DD0" w:rsidP="00600535">
      <w:pPr>
        <w:pStyle w:val="CETBodytext"/>
        <w:rPr>
          <w:lang w:val="en-GB"/>
        </w:rPr>
      </w:pPr>
      <w:r>
        <w:rPr>
          <w:i/>
          <w:iCs/>
          <w:lang w:val="en-GB"/>
        </w:rPr>
        <w:t>Scenario C</w:t>
      </w:r>
      <w:r w:rsidR="006C09D9">
        <w:rPr>
          <w:i/>
          <w:iCs/>
          <w:lang w:val="en-GB"/>
        </w:rPr>
        <w:t>:</w:t>
      </w:r>
      <w:r w:rsidR="006C09D9">
        <w:rPr>
          <w:lang w:val="en-GB"/>
        </w:rPr>
        <w:t xml:space="preserve"> depot</w:t>
      </w:r>
      <w:r w:rsidRPr="00227DD0">
        <w:rPr>
          <w:lang w:val="en-GB"/>
        </w:rPr>
        <w:t xml:space="preserve"> 10 (2,280 kg TNT eq.) presents a unique case due to its proximity to identical structures. At the end of the first calculation process, Figure 3a displays the values assumed by the overpressure wave in its initial moments. Figure 3b illustrates the result of the second calculation run, indicating some threshold values reached by the overpressure wave. Figure 3c shows the result of the third calculation run, from which the threshold values of 0.07 and 0.03 bar were extrapolated. This is the only case where an additional simulation on a larger domain was required. The result of the fourth calculation run, visible in Figure 3d, concludes the analysis showing the final threshold value encountered.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3"/>
      </w:tblGrid>
      <w:tr w:rsidR="00227DD0" w14:paraId="3D6A78D8" w14:textId="77777777" w:rsidTr="00227DD0">
        <w:tc>
          <w:tcPr>
            <w:tcW w:w="4394" w:type="dxa"/>
            <w:vAlign w:val="center"/>
          </w:tcPr>
          <w:p w14:paraId="206ADFA4" w14:textId="77777777" w:rsidR="00227DD0" w:rsidRDefault="00227DD0" w:rsidP="00227DD0">
            <w:pPr>
              <w:pStyle w:val="Paragrafoelenco"/>
              <w:numPr>
                <w:ilvl w:val="0"/>
                <w:numId w:val="28"/>
              </w:numPr>
              <w:tabs>
                <w:tab w:val="clear" w:pos="7100"/>
              </w:tabs>
              <w:spacing w:before="120" w:line="240" w:lineRule="auto"/>
              <w:jc w:val="center"/>
            </w:pPr>
          </w:p>
        </w:tc>
        <w:tc>
          <w:tcPr>
            <w:tcW w:w="4393" w:type="dxa"/>
            <w:vAlign w:val="center"/>
          </w:tcPr>
          <w:p w14:paraId="3F125598" w14:textId="77777777" w:rsidR="00227DD0" w:rsidRDefault="00227DD0" w:rsidP="00227DD0">
            <w:pPr>
              <w:pStyle w:val="Paragrafoelenco"/>
              <w:numPr>
                <w:ilvl w:val="0"/>
                <w:numId w:val="28"/>
              </w:numPr>
              <w:tabs>
                <w:tab w:val="clear" w:pos="7100"/>
              </w:tabs>
              <w:spacing w:before="120" w:line="240" w:lineRule="auto"/>
              <w:jc w:val="center"/>
            </w:pPr>
          </w:p>
        </w:tc>
      </w:tr>
    </w:tbl>
    <w:p w14:paraId="38AABB07" w14:textId="2046FCDE" w:rsidR="00227DD0" w:rsidRDefault="00227DD0" w:rsidP="00203A7A">
      <w:pPr>
        <w:pStyle w:val="CETBodytextItalic"/>
        <w:keepNext/>
        <w:jc w:val="left"/>
      </w:pPr>
      <w:r>
        <w:rPr>
          <w:noProof/>
        </w:rPr>
        <w:drawing>
          <wp:inline distT="0" distB="0" distL="0" distR="0" wp14:anchorId="3D33E5E9" wp14:editId="60F2F512">
            <wp:extent cx="4267955" cy="2491822"/>
            <wp:effectExtent l="0" t="0" r="0" b="3810"/>
            <wp:docPr id="20025693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301" cy="2552160"/>
                    </a:xfrm>
                    <a:prstGeom prst="rect">
                      <a:avLst/>
                    </a:prstGeom>
                    <a:noFill/>
                  </pic:spPr>
                </pic:pic>
              </a:graphicData>
            </a:graphic>
          </wp:inline>
        </w:drawing>
      </w:r>
    </w:p>
    <w:p w14:paraId="08D5DD1A" w14:textId="77777777" w:rsidR="00227DD0" w:rsidRDefault="00227DD0" w:rsidP="00227DD0">
      <w:pPr>
        <w:pStyle w:val="Paragrafoelenco"/>
        <w:numPr>
          <w:ilvl w:val="0"/>
          <w:numId w:val="28"/>
        </w:numPr>
        <w:tabs>
          <w:tab w:val="clear" w:pos="7100"/>
        </w:tabs>
        <w:spacing w:before="120" w:line="240" w:lineRule="auto"/>
        <w:jc w:val="center"/>
        <w:rPr>
          <w:lang w:val="it-IT"/>
        </w:rPr>
      </w:pPr>
    </w:p>
    <w:p w14:paraId="0F8FF4F5" w14:textId="7389B78B" w:rsidR="00227DD0" w:rsidRDefault="00227DD0" w:rsidP="00203A7A">
      <w:pPr>
        <w:pStyle w:val="CETCaption"/>
        <w:jc w:val="left"/>
      </w:pPr>
      <w:r>
        <w:t xml:space="preserve">Figure </w:t>
      </w:r>
      <w:r>
        <w:fldChar w:fldCharType="begin"/>
      </w:r>
      <w:r>
        <w:instrText xml:space="preserve"> SEQ Figure \* ARABIC </w:instrText>
      </w:r>
      <w:r>
        <w:fldChar w:fldCharType="separate"/>
      </w:r>
      <w:r w:rsidR="00855DF6">
        <w:rPr>
          <w:noProof/>
        </w:rPr>
        <w:t>3</w:t>
      </w:r>
      <w:r>
        <w:fldChar w:fldCharType="end"/>
      </w:r>
      <w:r>
        <w:t xml:space="preserve"> r</w:t>
      </w:r>
      <w:r w:rsidRPr="00051932">
        <w:t xml:space="preserve">esult deposit no. </w:t>
      </w:r>
      <w:r>
        <w:t>10</w:t>
      </w:r>
      <w:r w:rsidRPr="00051932">
        <w:t xml:space="preserve">: a. run </w:t>
      </w:r>
      <w:r w:rsidR="00F31505">
        <w:t>of phase</w:t>
      </w:r>
      <w:r w:rsidR="00F31505" w:rsidRPr="00051932">
        <w:t xml:space="preserve"> </w:t>
      </w:r>
      <w:r w:rsidRPr="00051932">
        <w:t xml:space="preserve">1, b. run </w:t>
      </w:r>
      <w:r w:rsidR="00F31505">
        <w:t>of phase</w:t>
      </w:r>
      <w:r w:rsidR="00F31505" w:rsidRPr="00051932">
        <w:t xml:space="preserve"> </w:t>
      </w:r>
      <w:r w:rsidRPr="00051932">
        <w:t>2, c. run</w:t>
      </w:r>
      <w:r w:rsidR="00F31505" w:rsidRPr="00F31505">
        <w:t xml:space="preserve"> </w:t>
      </w:r>
      <w:r w:rsidR="00F31505">
        <w:t>of phase</w:t>
      </w:r>
      <w:r w:rsidRPr="00051932">
        <w:t xml:space="preserve"> 3.</w:t>
      </w:r>
    </w:p>
    <w:p w14:paraId="1F96CA21" w14:textId="05D5ECD8" w:rsidR="00600535" w:rsidRPr="00B57B36" w:rsidRDefault="00F0446C" w:rsidP="00FA5F5F">
      <w:pPr>
        <w:pStyle w:val="CETheadingx"/>
      </w:pPr>
      <w:r>
        <w:lastRenderedPageBreak/>
        <w:t>Analysis of fragment dispersion</w:t>
      </w:r>
    </w:p>
    <w:p w14:paraId="4179C368" w14:textId="2F4A9027" w:rsidR="00F0446C" w:rsidRDefault="00F0446C" w:rsidP="00600535">
      <w:pPr>
        <w:pStyle w:val="CETBodytext"/>
        <w:rPr>
          <w:lang w:val="en-GB"/>
        </w:rPr>
      </w:pPr>
      <w:r w:rsidRPr="00F0446C">
        <w:rPr>
          <w:lang w:val="en-GB"/>
        </w:rPr>
        <w:t xml:space="preserve">The Monte Carlo simulations confirmed that fragments often dictate safety distances for lethality, consistent with DoD standards </w:t>
      </w:r>
      <w:r>
        <w:rPr>
          <w:lang w:val="en-GB"/>
        </w:rPr>
        <w:fldChar w:fldCharType="begin"/>
      </w:r>
      <w:r w:rsidR="000A2D4A">
        <w:rPr>
          <w:lang w:val="en-GB"/>
        </w:rPr>
        <w:instrText xml:space="preserve"> ADDIN ZOTERO_ITEM CSL_CITATION {"citationID":"zcCWmAOw","properties":{"formattedCitation":"(Department of Defense, 2024)","plainCitation":"(Department of Defense, 2024)","noteIndex":0},"citationItems":[{"id":221,"uris":["http://zotero.org/users/16159901/items/WC36SZ7N"],"itemData":{"id":221,"type":"webpage","title":"DOD 6055.9 STD - DOD AMMUNITION AND EXPLOSIVES SAFETY STANDARDS","URL":"https://standards.globalspec.com/std/384800/dod-6055-9-std","author":[{"literal":"Department of Defense"}],"accessed":{"date-parts":[["2025",3,28]]},"issued":{"date-parts":[["2024"]]}}}],"schema":"https://github.com/citation-style-language/schema/raw/master/csl-citation.json"} </w:instrText>
      </w:r>
      <w:r>
        <w:rPr>
          <w:lang w:val="en-GB"/>
        </w:rPr>
        <w:fldChar w:fldCharType="separate"/>
      </w:r>
      <w:r w:rsidR="004C00B5" w:rsidRPr="004C00B5">
        <w:rPr>
          <w:rFonts w:cs="Arial"/>
        </w:rPr>
        <w:t>(Department of Defense, 2024)</w:t>
      </w:r>
      <w:r>
        <w:rPr>
          <w:lang w:val="en-GB"/>
        </w:rPr>
        <w:fldChar w:fldCharType="end"/>
      </w:r>
      <w:r w:rsidRPr="00F0446C">
        <w:rPr>
          <w:lang w:val="en-GB"/>
        </w:rPr>
        <w:t>.</w:t>
      </w:r>
      <w:r>
        <w:rPr>
          <w:lang w:val="en-GB"/>
        </w:rPr>
        <w:t xml:space="preserve"> </w:t>
      </w:r>
      <w:r w:rsidRPr="00F0446C">
        <w:rPr>
          <w:lang w:val="en-GB"/>
        </w:rPr>
        <w:t>Consistent with the high explosive mass, Depot 5 generates high-velocity fragments. The histogram (</w:t>
      </w:r>
      <w:r w:rsidR="002D45F2">
        <w:rPr>
          <w:lang w:val="en-GB"/>
        </w:rPr>
        <w:fldChar w:fldCharType="begin"/>
      </w:r>
      <w:r w:rsidR="002D45F2">
        <w:rPr>
          <w:lang w:val="en-GB"/>
        </w:rPr>
        <w:instrText xml:space="preserve"> REF _Ref218976561 \h </w:instrText>
      </w:r>
      <w:r w:rsidR="002D45F2">
        <w:rPr>
          <w:lang w:val="en-GB"/>
        </w:rPr>
      </w:r>
      <w:r w:rsidR="002D45F2">
        <w:rPr>
          <w:lang w:val="en-GB"/>
        </w:rPr>
        <w:fldChar w:fldCharType="separate"/>
      </w:r>
      <w:r w:rsidR="002D45F2">
        <w:t xml:space="preserve">Graphic </w:t>
      </w:r>
      <w:r w:rsidR="002D45F2">
        <w:rPr>
          <w:noProof/>
        </w:rPr>
        <w:t>1</w:t>
      </w:r>
      <w:r w:rsidR="002D45F2">
        <w:rPr>
          <w:lang w:val="en-GB"/>
        </w:rPr>
        <w:fldChar w:fldCharType="end"/>
      </w:r>
      <w:r w:rsidRPr="00F0446C">
        <w:rPr>
          <w:lang w:val="en-GB"/>
        </w:rPr>
        <w:t>) shows a tail extending up to 400 m. This range significantly exceeds the 114 m lethal blast radius, confirming that fragmentation is the dominant far-field hazard for open-air scenarios.</w:t>
      </w:r>
    </w:p>
    <w:p w14:paraId="76A9005A" w14:textId="77777777" w:rsidR="00855DF6" w:rsidRDefault="00F0446C" w:rsidP="00855DF6">
      <w:pPr>
        <w:pStyle w:val="CETBodytext"/>
        <w:keepNext/>
      </w:pPr>
      <w:r w:rsidRPr="00F0446C">
        <w:rPr>
          <w:noProof/>
          <w:lang w:val="it-IT"/>
        </w:rPr>
        <w:drawing>
          <wp:inline distT="0" distB="0" distL="0" distR="0" wp14:anchorId="53FA1198" wp14:editId="037DBB28">
            <wp:extent cx="2959459" cy="1580602"/>
            <wp:effectExtent l="0" t="0" r="0" b="635"/>
            <wp:docPr id="1373404583" name="Immagine 6"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4583" name="Immagine 6" descr="Immagine che contiene testo, schermata, linea, Diagramma&#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8137" cy="1585237"/>
                    </a:xfrm>
                    <a:prstGeom prst="rect">
                      <a:avLst/>
                    </a:prstGeom>
                    <a:noFill/>
                    <a:ln>
                      <a:noFill/>
                    </a:ln>
                  </pic:spPr>
                </pic:pic>
              </a:graphicData>
            </a:graphic>
          </wp:inline>
        </w:drawing>
      </w:r>
    </w:p>
    <w:p w14:paraId="3B81E549" w14:textId="64EA5618" w:rsidR="00F0446C" w:rsidRPr="00F0446C" w:rsidRDefault="00855DF6" w:rsidP="00203A7A">
      <w:pPr>
        <w:pStyle w:val="CETCaption"/>
        <w:rPr>
          <w:lang w:val="en-US"/>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F0446C">
        <w:t>distance "R" of fragment fallout deposit no. 5</w:t>
      </w:r>
    </w:p>
    <w:p w14:paraId="67E7D6BE" w14:textId="1347E0C2" w:rsidR="00600535" w:rsidRDefault="006C09D9" w:rsidP="00600535">
      <w:pPr>
        <w:pStyle w:val="CETBodytext"/>
        <w:rPr>
          <w:lang w:val="en-GB"/>
        </w:rPr>
      </w:pPr>
      <w:r w:rsidRPr="006C09D9">
        <w:rPr>
          <w:lang w:val="en-GB"/>
        </w:rPr>
        <w:t>Depots 9 and 10 exhibit similar behavio</w:t>
      </w:r>
      <w:r w:rsidR="00D3122F">
        <w:rPr>
          <w:lang w:val="en-GB"/>
        </w:rPr>
        <w:t>u</w:t>
      </w:r>
      <w:r w:rsidRPr="006C09D9">
        <w:rPr>
          <w:lang w:val="en-GB"/>
        </w:rPr>
        <w:t xml:space="preserve">r due to comparable explosive loads. For Depot 10 (net mass 4,500 kg), the simulation indicates a maximum range of 400 m, with </w:t>
      </w:r>
      <w:r w:rsidR="00D3122F" w:rsidRPr="006C09D9">
        <w:rPr>
          <w:lang w:val="en-GB"/>
        </w:rPr>
        <w:t>most</w:t>
      </w:r>
      <w:r w:rsidRPr="006C09D9">
        <w:rPr>
          <w:lang w:val="en-GB"/>
        </w:rPr>
        <w:t xml:space="preserve"> fragments landing between 50 and 250 m as shown in </w:t>
      </w:r>
      <w:r w:rsidR="00EB6596">
        <w:rPr>
          <w:lang w:val="en-GB"/>
        </w:rPr>
        <w:t>Graphic 2</w:t>
      </w:r>
      <w:r w:rsidRPr="006C09D9">
        <w:rPr>
          <w:lang w:val="en-GB"/>
        </w:rPr>
        <w:t>. This confirms that structural debris presents a hazard significantly beyond the blast lethality radius.</w:t>
      </w:r>
    </w:p>
    <w:p w14:paraId="0C86BA46" w14:textId="77777777" w:rsidR="00855DF6" w:rsidRDefault="00952B8D" w:rsidP="00855DF6">
      <w:pPr>
        <w:pStyle w:val="CETBodytext"/>
        <w:keepNext/>
      </w:pPr>
      <w:r w:rsidRPr="00952B8D">
        <w:rPr>
          <w:noProof/>
          <w:lang w:val="it-IT"/>
        </w:rPr>
        <w:drawing>
          <wp:inline distT="0" distB="0" distL="0" distR="0" wp14:anchorId="4E9998C4" wp14:editId="27B4A922">
            <wp:extent cx="2928427" cy="1546363"/>
            <wp:effectExtent l="0" t="0" r="5715" b="0"/>
            <wp:docPr id="748153165" name="Immagine 8"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53165" name="Immagine 8" descr="Immagine che contiene testo, schermata, Diagramma, linea&#10;&#10;Il contenuto generato dall'IA potrebbe non essere corret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8853" cy="1562429"/>
                    </a:xfrm>
                    <a:prstGeom prst="rect">
                      <a:avLst/>
                    </a:prstGeom>
                    <a:noFill/>
                    <a:ln>
                      <a:noFill/>
                    </a:ln>
                  </pic:spPr>
                </pic:pic>
              </a:graphicData>
            </a:graphic>
          </wp:inline>
        </w:drawing>
      </w:r>
    </w:p>
    <w:p w14:paraId="6D044A60" w14:textId="7D549820" w:rsidR="00C85832" w:rsidRDefault="00855DF6" w:rsidP="00D3122F">
      <w:pPr>
        <w:pStyle w:val="CETCaption"/>
      </w:pPr>
      <w:r>
        <w:t xml:space="preserve">Figure </w:t>
      </w:r>
      <w:r>
        <w:fldChar w:fldCharType="begin"/>
      </w:r>
      <w:r>
        <w:instrText xml:space="preserve"> SEQ Figure \* ARABIC </w:instrText>
      </w:r>
      <w:r>
        <w:fldChar w:fldCharType="separate"/>
      </w:r>
      <w:r>
        <w:t>5</w:t>
      </w:r>
      <w:r>
        <w:fldChar w:fldCharType="end"/>
      </w:r>
      <w:r>
        <w:t xml:space="preserve"> </w:t>
      </w:r>
      <w:r w:rsidRPr="00F529A1">
        <w:t>distance "R" of fragment fallout deposit no. 10</w:t>
      </w:r>
    </w:p>
    <w:p w14:paraId="643AFA49" w14:textId="3D6E892F" w:rsidR="006C09D9" w:rsidRPr="00D3122F" w:rsidRDefault="009E1A14" w:rsidP="00053EF4">
      <w:pPr>
        <w:pStyle w:val="CETCaption"/>
        <w:rPr>
          <w:b/>
          <w:sz w:val="20"/>
        </w:rPr>
      </w:pPr>
      <w:r w:rsidRPr="00E93A5E">
        <w:rPr>
          <w:iCs/>
        </w:rPr>
        <w:t>It is important to note that the Monte Carlo trajectory model calculates the 1D maximum radial flight distance and does not explicitly account for the 3D obstacles (e.g., embankments) defined in the CFD analysis. While embankments are primarily designed to intercept fragments with low horizontal launch angles, dedicated structural penetration tools would be required to quantify the exact stopping rate. Consequently, the probabilistic model conservatively assumes an isotropic, uniform 360-degree distribution of fragments at the calculated distances. Unlike the directional pressure maps generated by the CFD, producing a highly precise 2D/3D debris map would require fully coupled hydro-structural codes (e.g., FEM/Explicit dynamics) to model the exact physical break-up of the building and the subsequent discrete collisions with the surrounding topography.</w:t>
      </w:r>
    </w:p>
    <w:p w14:paraId="68D26B83" w14:textId="77777777" w:rsidR="00600535" w:rsidRPr="00B57B36" w:rsidRDefault="00600535" w:rsidP="00600535">
      <w:pPr>
        <w:pStyle w:val="CETHeading1"/>
        <w:rPr>
          <w:lang w:val="en-GB"/>
        </w:rPr>
      </w:pPr>
      <w:r w:rsidRPr="00B57B36">
        <w:rPr>
          <w:lang w:val="en-GB"/>
        </w:rPr>
        <w:t>Conclusions</w:t>
      </w:r>
    </w:p>
    <w:p w14:paraId="3D21F1A6" w14:textId="0EE396CE" w:rsidR="005B4820" w:rsidRPr="00952B8D" w:rsidRDefault="005B4820" w:rsidP="00952B8D">
      <w:pPr>
        <w:pStyle w:val="CETBodytext"/>
      </w:pPr>
      <w:r w:rsidRPr="005B4820">
        <w:rPr>
          <w:lang w:val="en-GB"/>
        </w:rPr>
        <w:t xml:space="preserve">This study demonstrates that a simulation-based approach provides a superior basis for risk assessment compared to traditional tabulated methods. While empirical formulas (e.g., Kingery-Bulmash) generally assume free-field conditions, the use of </w:t>
      </w:r>
      <w:proofErr w:type="gramStart"/>
      <w:r w:rsidRPr="005B4820">
        <w:rPr>
          <w:i/>
          <w:iCs/>
          <w:lang w:val="en-GB"/>
        </w:rPr>
        <w:t>Viper::</w:t>
      </w:r>
      <w:proofErr w:type="gramEnd"/>
      <w:r w:rsidRPr="005B4820">
        <w:rPr>
          <w:i/>
          <w:iCs/>
          <w:lang w:val="en-GB"/>
        </w:rPr>
        <w:t>Blast</w:t>
      </w:r>
      <w:r w:rsidRPr="005B4820">
        <w:rPr>
          <w:lang w:val="en-GB"/>
        </w:rPr>
        <w:t xml:space="preserve"> revealed that local topography and barriers fundamentally alter blast wave propagation, creating non-symmetrical hazard zones that simplified models fail to predict. Furthermore, the probabilistic analysis confirms that secondary fragmentation is the primary driver of lethality at extended distances. When overlaid with territorial planning criteria (e.g., Italian Decree 09/05/2001), the results for this specific case study indicate potential incompatibilities between the facility hazard footprint and surrounding areas. Although compliance must be evaluated on a case-by-case basis for different sites, this level of detailed output allows for targeted mitigation strategies impossible to define using generic safety distances.</w:t>
      </w:r>
      <w:r w:rsidR="00DB7D3F">
        <w:rPr>
          <w:lang w:val="en-GB"/>
        </w:rPr>
        <w:t xml:space="preserve"> </w:t>
      </w:r>
      <w:r w:rsidR="00DB7D3F" w:rsidRPr="00DB7D3F">
        <w:rPr>
          <w:lang w:val="en-GB"/>
        </w:rPr>
        <w:t xml:space="preserve">Future work </w:t>
      </w:r>
      <w:r w:rsidR="00DB7D3F" w:rsidRPr="00DB7D3F">
        <w:rPr>
          <w:lang w:val="en-GB"/>
        </w:rPr>
        <w:lastRenderedPageBreak/>
        <w:t>should extend the present analysis by including the estimation of toxic substance fallout generated by the explosion through the application of dispersion modelling.</w:t>
      </w:r>
    </w:p>
    <w:p w14:paraId="07A6D20F" w14:textId="0ECF229E" w:rsidR="00280FAF" w:rsidRPr="00203A7A" w:rsidRDefault="00280FAF" w:rsidP="00280FAF">
      <w:pPr>
        <w:pStyle w:val="CETHeadingxx"/>
        <w:sectPr w:rsidR="00280FAF" w:rsidRPr="00203A7A" w:rsidSect="00B57E6F">
          <w:type w:val="continuous"/>
          <w:pgSz w:w="11906" w:h="16838" w:code="9"/>
          <w:pgMar w:top="1701" w:right="1418" w:bottom="1701" w:left="1701" w:header="1701" w:footer="0" w:gutter="0"/>
          <w:cols w:space="708"/>
          <w:formProt w:val="0"/>
          <w:titlePg/>
          <w:docGrid w:linePitch="360"/>
        </w:sectPr>
      </w:pPr>
      <w:r w:rsidRPr="00203A7A">
        <w:t>Nomenclature</w:t>
      </w:r>
    </w:p>
    <w:p w14:paraId="7DFFBF41" w14:textId="28A789F7" w:rsidR="00280FAF" w:rsidRPr="00203A7A" w:rsidRDefault="005033D1" w:rsidP="00280FAF">
      <w:pPr>
        <w:pStyle w:val="CETBodytext"/>
        <w:jc w:val="left"/>
        <w:rPr>
          <w:rFonts w:eastAsia="SimSun"/>
        </w:rPr>
        <w:sectPr w:rsidR="00280FAF" w:rsidRPr="00203A7A" w:rsidSect="0077098D">
          <w:type w:val="continuous"/>
          <w:pgSz w:w="11906" w:h="16838" w:code="9"/>
          <w:pgMar w:top="1701" w:right="1418" w:bottom="1701" w:left="1701" w:header="1701" w:footer="0" w:gutter="0"/>
          <w:cols w:space="708"/>
          <w:formProt w:val="0"/>
          <w:titlePg/>
          <w:docGrid w:linePitch="360"/>
        </w:sectPr>
      </w:pPr>
      <w:r w:rsidRPr="00203A7A">
        <w:rPr>
          <w:rFonts w:eastAsia="SimSun"/>
        </w:rPr>
        <w:t>C</w:t>
      </w:r>
      <w:r w:rsidRPr="00203A7A">
        <w:rPr>
          <w:rFonts w:eastAsia="SimSun"/>
          <w:vertAlign w:val="subscript"/>
        </w:rPr>
        <w:t>D</w:t>
      </w:r>
      <w:r w:rsidRPr="00203A7A">
        <w:rPr>
          <w:rFonts w:eastAsia="SimSun"/>
        </w:rPr>
        <w:t xml:space="preserve"> </w:t>
      </w:r>
      <w:r w:rsidR="000247CD" w:rsidRPr="00203A7A">
        <w:rPr>
          <w:rFonts w:eastAsia="SimSun"/>
        </w:rPr>
        <w:t>- drag</w:t>
      </w:r>
      <w:r w:rsidRPr="00203A7A">
        <w:rPr>
          <w:rFonts w:eastAsia="SimSun"/>
        </w:rPr>
        <w:t xml:space="preserve"> coefficient</w:t>
      </w:r>
    </w:p>
    <w:p w14:paraId="57590CE2" w14:textId="5B4BD048" w:rsidR="00280FAF" w:rsidRPr="005033D1" w:rsidRDefault="005033D1" w:rsidP="00280FAF">
      <w:pPr>
        <w:pStyle w:val="CETBodytext"/>
        <w:jc w:val="left"/>
        <w:rPr>
          <w:rFonts w:eastAsia="SimSun"/>
          <w:vertAlign w:val="superscript"/>
        </w:rPr>
      </w:pPr>
      <w:r w:rsidRPr="005033D1">
        <w:rPr>
          <w:rFonts w:eastAsia="SimSun"/>
        </w:rPr>
        <w:t xml:space="preserve">G – gravitational acceleration, </w:t>
      </w:r>
      <w:r w:rsidR="00280FAF" w:rsidRPr="005033D1">
        <w:rPr>
          <w:rFonts w:eastAsia="SimSun"/>
        </w:rPr>
        <w:t>m</w:t>
      </w:r>
      <w:r w:rsidRPr="005033D1">
        <w:rPr>
          <w:rFonts w:eastAsia="SimSun"/>
        </w:rPr>
        <w:t>/s</w:t>
      </w:r>
      <w:r w:rsidRPr="005033D1">
        <w:rPr>
          <w:rFonts w:eastAsia="SimSun"/>
          <w:vertAlign w:val="superscript"/>
        </w:rPr>
        <w:t>2</w:t>
      </w:r>
    </w:p>
    <w:p w14:paraId="0E502614" w14:textId="6E0F049A" w:rsidR="00280FAF" w:rsidRPr="005033D1" w:rsidRDefault="005033D1" w:rsidP="00280FAF">
      <w:pPr>
        <w:pStyle w:val="CETBodytext"/>
        <w:jc w:val="left"/>
        <w:rPr>
          <w:rFonts w:eastAsia="SimSun"/>
        </w:rPr>
      </w:pPr>
      <w:proofErr w:type="spellStart"/>
      <w:proofErr w:type="gramStart"/>
      <w:r w:rsidRPr="005033D1">
        <w:rPr>
          <w:rFonts w:eastAsia="SimSun"/>
        </w:rPr>
        <w:t>H</w:t>
      </w:r>
      <w:r w:rsidRPr="005033D1">
        <w:rPr>
          <w:rFonts w:eastAsia="SimSun"/>
          <w:vertAlign w:val="subscript"/>
        </w:rPr>
        <w:t>d,TNT</w:t>
      </w:r>
      <w:proofErr w:type="spellEnd"/>
      <w:proofErr w:type="gramEnd"/>
      <w:r w:rsidRPr="005033D1">
        <w:rPr>
          <w:rFonts w:eastAsia="SimSun"/>
          <w:vertAlign w:val="subscript"/>
        </w:rPr>
        <w:t xml:space="preserve"> </w:t>
      </w:r>
      <w:r w:rsidRPr="005033D1">
        <w:rPr>
          <w:rFonts w:eastAsia="SimSun"/>
        </w:rPr>
        <w:t xml:space="preserve">– specific </w:t>
      </w:r>
      <w:r>
        <w:rPr>
          <w:rFonts w:eastAsia="SimSun"/>
        </w:rPr>
        <w:t>heat of detonation of TNT</w:t>
      </w:r>
    </w:p>
    <w:p w14:paraId="33D176ED" w14:textId="1B8CB43E" w:rsidR="00280FAF" w:rsidRPr="007C306E" w:rsidRDefault="005033D1" w:rsidP="00280FAF">
      <w:pPr>
        <w:pStyle w:val="CETBodytext"/>
        <w:jc w:val="left"/>
        <w:rPr>
          <w:rFonts w:eastAsia="SimSun"/>
          <w:vertAlign w:val="superscript"/>
        </w:rPr>
      </w:pPr>
      <w:r w:rsidRPr="007C306E">
        <w:rPr>
          <w:rFonts w:eastAsia="SimSun"/>
        </w:rPr>
        <w:t>K – Ballistic coefficient, m</w:t>
      </w:r>
      <w:r w:rsidRPr="007C306E">
        <w:rPr>
          <w:rFonts w:eastAsia="SimSun"/>
          <w:vertAlign w:val="superscript"/>
        </w:rPr>
        <w:t>-1</w:t>
      </w:r>
    </w:p>
    <w:p w14:paraId="05CC3BA4" w14:textId="70FB7208" w:rsidR="00280FAF" w:rsidRPr="005033D1" w:rsidRDefault="005033D1" w:rsidP="00280FAF">
      <w:pPr>
        <w:pStyle w:val="CETBodytext"/>
        <w:jc w:val="left"/>
        <w:rPr>
          <w:rFonts w:eastAsia="SimSun"/>
        </w:rPr>
      </w:pPr>
      <w:r w:rsidRPr="005033D1">
        <w:rPr>
          <w:rFonts w:eastAsia="SimSun"/>
        </w:rPr>
        <w:t>L – fragment characteristic length</w:t>
      </w:r>
      <w:r>
        <w:rPr>
          <w:rFonts w:eastAsia="SimSun"/>
        </w:rPr>
        <w:t>, m</w:t>
      </w:r>
    </w:p>
    <w:p w14:paraId="0718B861" w14:textId="49A27021" w:rsidR="00280FAF" w:rsidRPr="005033D1" w:rsidRDefault="005033D1" w:rsidP="00280FAF">
      <w:pPr>
        <w:pStyle w:val="CETBodytext"/>
        <w:jc w:val="left"/>
        <w:rPr>
          <w:rFonts w:eastAsia="SimSun"/>
        </w:rPr>
      </w:pPr>
      <w:r w:rsidRPr="005033D1">
        <w:rPr>
          <w:rFonts w:eastAsia="SimSun"/>
        </w:rPr>
        <w:t>Q – net explosive mass, kg</w:t>
      </w:r>
    </w:p>
    <w:p w14:paraId="5A6624BF" w14:textId="015C3429" w:rsidR="00280FAF" w:rsidRPr="005033D1" w:rsidRDefault="005033D1" w:rsidP="00280FAF">
      <w:pPr>
        <w:pStyle w:val="CETBodytext"/>
        <w:jc w:val="left"/>
        <w:rPr>
          <w:rFonts w:eastAsia="SimSun"/>
        </w:rPr>
      </w:pPr>
      <w:r w:rsidRPr="005033D1">
        <w:rPr>
          <w:rFonts w:eastAsia="SimSun"/>
        </w:rPr>
        <w:t>R – ballistic limit distance, m</w:t>
      </w:r>
    </w:p>
    <w:p w14:paraId="1B9CA67B" w14:textId="6EF54C3B" w:rsidR="00280FAF" w:rsidRPr="00280FAF" w:rsidRDefault="005033D1" w:rsidP="00280FAF">
      <w:pPr>
        <w:pStyle w:val="CETBodytext"/>
        <w:jc w:val="left"/>
        <w:rPr>
          <w:rFonts w:eastAsia="SimSun"/>
        </w:rPr>
      </w:pPr>
      <w:r>
        <w:rPr>
          <w:rFonts w:eastAsia="SimSun"/>
        </w:rPr>
        <w:t>S – wall thickness, m</w:t>
      </w:r>
    </w:p>
    <w:p w14:paraId="63AB7028" w14:textId="4AFFE110" w:rsidR="00280FAF" w:rsidRPr="005033D1" w:rsidRDefault="005033D1" w:rsidP="00280FAF">
      <w:pPr>
        <w:pStyle w:val="CETBodytext"/>
        <w:jc w:val="left"/>
        <w:rPr>
          <w:rFonts w:eastAsia="SimSun"/>
        </w:rPr>
      </w:pPr>
      <w:r w:rsidRPr="005033D1">
        <w:rPr>
          <w:rFonts w:eastAsia="SimSun"/>
        </w:rPr>
        <w:t>S</w:t>
      </w:r>
      <w:r w:rsidRPr="005033D1">
        <w:rPr>
          <w:rFonts w:eastAsia="SimSun"/>
          <w:vertAlign w:val="subscript"/>
        </w:rPr>
        <w:t xml:space="preserve">N </w:t>
      </w:r>
      <w:r w:rsidRPr="005033D1">
        <w:rPr>
          <w:rFonts w:eastAsia="SimSun"/>
        </w:rPr>
        <w:t>– shape number</w:t>
      </w:r>
    </w:p>
    <w:p w14:paraId="42FAA691" w14:textId="49147CC0" w:rsidR="00280FAF" w:rsidRPr="005033D1" w:rsidRDefault="005033D1" w:rsidP="00280FAF">
      <w:pPr>
        <w:pStyle w:val="CETBodytext"/>
        <w:jc w:val="left"/>
        <w:rPr>
          <w:rFonts w:eastAsia="SimSun"/>
          <w:vertAlign w:val="superscript"/>
        </w:rPr>
      </w:pPr>
      <w:r w:rsidRPr="005033D1">
        <w:rPr>
          <w:rFonts w:eastAsia="SimSun"/>
        </w:rPr>
        <w:t xml:space="preserve">V </w:t>
      </w:r>
      <w:r>
        <w:rPr>
          <w:rFonts w:eastAsia="SimSun"/>
        </w:rPr>
        <w:t>– internal volume of the depot, m</w:t>
      </w:r>
      <w:r>
        <w:rPr>
          <w:rFonts w:eastAsia="SimSun"/>
          <w:vertAlign w:val="superscript"/>
        </w:rPr>
        <w:t>3</w:t>
      </w:r>
    </w:p>
    <w:p w14:paraId="24D4E211" w14:textId="54BA9BA8" w:rsidR="00280FAF" w:rsidRPr="005033D1" w:rsidRDefault="005033D1" w:rsidP="00280FAF">
      <w:pPr>
        <w:pStyle w:val="CETBodytext"/>
        <w:jc w:val="left"/>
        <w:rPr>
          <w:rFonts w:eastAsia="SimSun"/>
        </w:rPr>
      </w:pPr>
      <w:r>
        <w:rPr>
          <w:rFonts w:eastAsia="SimSun"/>
        </w:rPr>
        <w:t>V</w:t>
      </w:r>
      <w:r>
        <w:rPr>
          <w:rFonts w:eastAsia="SimSun"/>
          <w:vertAlign w:val="subscript"/>
        </w:rPr>
        <w:t xml:space="preserve">0 </w:t>
      </w:r>
      <w:r w:rsidR="000247CD">
        <w:rPr>
          <w:rFonts w:eastAsia="SimSun"/>
        </w:rPr>
        <w:t>–</w:t>
      </w:r>
      <w:r>
        <w:rPr>
          <w:rFonts w:eastAsia="SimSun"/>
        </w:rPr>
        <w:t xml:space="preserve"> </w:t>
      </w:r>
      <w:r w:rsidR="000247CD">
        <w:rPr>
          <w:rFonts w:eastAsia="SimSun"/>
        </w:rPr>
        <w:t>initial launch velocity, m/s</w:t>
      </w:r>
    </w:p>
    <w:p w14:paraId="13E77803" w14:textId="43297BB4" w:rsidR="000247CD" w:rsidRPr="000247CD" w:rsidRDefault="000247CD" w:rsidP="00280FAF">
      <w:pPr>
        <w:pStyle w:val="CETBodytext"/>
        <w:jc w:val="left"/>
        <w:rPr>
          <w:rFonts w:eastAsia="SimSun"/>
        </w:rPr>
      </w:pPr>
      <w:r w:rsidRPr="000247CD">
        <w:rPr>
          <w:rFonts w:eastAsia="SimSun"/>
        </w:rPr>
        <w:t>W</w:t>
      </w:r>
      <w:r w:rsidRPr="000247CD">
        <w:rPr>
          <w:rFonts w:eastAsia="SimSun"/>
          <w:vertAlign w:val="subscript"/>
        </w:rPr>
        <w:t xml:space="preserve">TNT </w:t>
      </w:r>
      <w:r w:rsidRPr="000247CD">
        <w:rPr>
          <w:rFonts w:eastAsia="SimSun"/>
        </w:rPr>
        <w:t>– TNT equivalent mass, k</w:t>
      </w:r>
      <w:r>
        <w:rPr>
          <w:rFonts w:eastAsia="SimSun"/>
        </w:rPr>
        <w:t>g</w:t>
      </w:r>
    </w:p>
    <w:p w14:paraId="6B0B5F2B" w14:textId="1EDCF8E3" w:rsidR="00280FAF" w:rsidRPr="000247CD" w:rsidRDefault="000247CD" w:rsidP="00280FAF">
      <w:pPr>
        <w:pStyle w:val="CETBodytext"/>
        <w:jc w:val="left"/>
        <w:rPr>
          <w:rFonts w:eastAsia="SimSun"/>
        </w:rPr>
      </w:pPr>
      <w:r w:rsidRPr="0054580F">
        <w:rPr>
          <w:rFonts w:cs="Arial"/>
        </w:rPr>
        <w:t>α</w:t>
      </w:r>
      <w:r>
        <w:rPr>
          <w:rFonts w:cs="Arial"/>
        </w:rPr>
        <w:t xml:space="preserve"> – launch angle, °</w:t>
      </w:r>
    </w:p>
    <w:p w14:paraId="2E4EE6F7" w14:textId="601F6E2D" w:rsidR="00280FAF" w:rsidRPr="000247CD" w:rsidRDefault="000247CD" w:rsidP="00280FAF">
      <w:pPr>
        <w:pStyle w:val="CETBodytext"/>
        <w:jc w:val="left"/>
        <w:rPr>
          <w:rFonts w:cs="Arial"/>
          <w:vertAlign w:val="superscript"/>
        </w:rPr>
      </w:pPr>
      <w:r w:rsidRPr="0054580F">
        <w:rPr>
          <w:rFonts w:cs="Arial"/>
        </w:rPr>
        <w:t>φ</w:t>
      </w:r>
      <w:r w:rsidRPr="000247CD">
        <w:rPr>
          <w:rFonts w:cs="Arial"/>
          <w:vertAlign w:val="subscript"/>
        </w:rPr>
        <w:t xml:space="preserve"> </w:t>
      </w:r>
      <w:r w:rsidRPr="000247CD">
        <w:rPr>
          <w:rFonts w:cs="Arial"/>
        </w:rPr>
        <w:t>– material density, kg/m</w:t>
      </w:r>
      <w:r w:rsidRPr="000247CD">
        <w:rPr>
          <w:rFonts w:cs="Arial"/>
          <w:vertAlign w:val="superscript"/>
        </w:rPr>
        <w:t>3</w:t>
      </w:r>
    </w:p>
    <w:p w14:paraId="27A0CC94" w14:textId="30D29468" w:rsidR="000247CD" w:rsidRPr="000247CD" w:rsidRDefault="000247CD" w:rsidP="00280FAF">
      <w:pPr>
        <w:pStyle w:val="CETBodytext"/>
        <w:jc w:val="left"/>
        <w:rPr>
          <w:rFonts w:eastAsia="SimSun"/>
        </w:rPr>
      </w:pPr>
      <w:proofErr w:type="spellStart"/>
      <w:r w:rsidRPr="0054580F">
        <w:rPr>
          <w:rFonts w:cs="Arial"/>
        </w:rPr>
        <w:t>φ</w:t>
      </w:r>
      <w:r w:rsidRPr="000247CD">
        <w:rPr>
          <w:rFonts w:cs="Arial"/>
          <w:vertAlign w:val="subscript"/>
        </w:rPr>
        <w:t>a</w:t>
      </w:r>
      <w:proofErr w:type="spellEnd"/>
      <w:r w:rsidRPr="000247CD">
        <w:rPr>
          <w:rFonts w:cs="Arial"/>
          <w:vertAlign w:val="subscript"/>
        </w:rPr>
        <w:t xml:space="preserve"> –</w:t>
      </w:r>
      <w:r w:rsidRPr="000247CD">
        <w:rPr>
          <w:rFonts w:cs="Arial"/>
        </w:rPr>
        <w:t xml:space="preserve"> air density, kg/m</w:t>
      </w:r>
      <w:r w:rsidRPr="000247CD">
        <w:rPr>
          <w:rFonts w:cs="Arial"/>
          <w:vertAlign w:val="superscript"/>
        </w:rPr>
        <w:t>3</w:t>
      </w:r>
    </w:p>
    <w:p w14:paraId="38BFE636" w14:textId="5DB882BD" w:rsidR="00280FAF" w:rsidRPr="00E377D0" w:rsidRDefault="00280FAF" w:rsidP="00280FAF">
      <w:pPr>
        <w:pStyle w:val="CETBodytext"/>
        <w:jc w:val="left"/>
        <w:rPr>
          <w:rFonts w:eastAsia="SimSun"/>
        </w:rPr>
        <w:sectPr w:rsidR="00280FAF" w:rsidRPr="00E377D0" w:rsidSect="00200ECB">
          <w:type w:val="continuous"/>
          <w:pgSz w:w="11906" w:h="16838" w:code="9"/>
          <w:pgMar w:top="1701" w:right="1418" w:bottom="1701" w:left="1701" w:header="1701" w:footer="0" w:gutter="0"/>
          <w:cols w:num="2" w:space="708"/>
          <w:formProt w:val="0"/>
          <w:titlePg/>
          <w:docGrid w:linePitch="360"/>
        </w:sectPr>
      </w:pPr>
      <w:r w:rsidRPr="00280FAF">
        <w:rPr>
          <w:rFonts w:eastAsia="SimSun"/>
        </w:rPr>
        <w:t>-</w:t>
      </w:r>
    </w:p>
    <w:p w14:paraId="459D05E6" w14:textId="77777777" w:rsidR="00600535" w:rsidRPr="00B57B36" w:rsidRDefault="00600535" w:rsidP="00600535">
      <w:pPr>
        <w:pStyle w:val="CETAcknowledgementstitle"/>
      </w:pPr>
      <w:r w:rsidRPr="00B57B36">
        <w:t>Acknowledgments</w:t>
      </w:r>
    </w:p>
    <w:p w14:paraId="5D57D111" w14:textId="77777777" w:rsidR="007C306E" w:rsidRPr="007C306E" w:rsidRDefault="007C306E" w:rsidP="007C306E">
      <w:pPr>
        <w:pStyle w:val="CETBodytext"/>
      </w:pPr>
      <w:r w:rsidRPr="007C306E">
        <w:t xml:space="preserve">This work originated as a Master Thesis by C. Giovanniello, who acknowledges his dual affiliation as a PhD student at </w:t>
      </w:r>
      <w:proofErr w:type="spellStart"/>
      <w:r w:rsidRPr="007C306E">
        <w:t>Politecnico</w:t>
      </w:r>
      <w:proofErr w:type="spellEnd"/>
      <w:r w:rsidRPr="007C306E">
        <w:t xml:space="preserve"> di Milano and an employee at </w:t>
      </w:r>
      <w:proofErr w:type="spellStart"/>
      <w:r w:rsidRPr="007C306E">
        <w:t>Tecsa</w:t>
      </w:r>
      <w:proofErr w:type="spellEnd"/>
      <w:r w:rsidRPr="007C306E">
        <w:t xml:space="preserve"> </w:t>
      </w:r>
      <w:proofErr w:type="spellStart"/>
      <w:r w:rsidRPr="007C306E">
        <w:t>s.r.l</w:t>
      </w:r>
      <w:proofErr w:type="spellEnd"/>
      <w:r w:rsidRPr="007C306E">
        <w:t xml:space="preserve">. The authors allow for the technical framework provided by </w:t>
      </w:r>
      <w:proofErr w:type="spellStart"/>
      <w:r w:rsidRPr="007C306E">
        <w:t>Tecsa</w:t>
      </w:r>
      <w:proofErr w:type="spellEnd"/>
      <w:r w:rsidRPr="007C306E">
        <w:t xml:space="preserve"> </w:t>
      </w:r>
      <w:proofErr w:type="spellStart"/>
      <w:r w:rsidRPr="007C306E">
        <w:t>s.r.l</w:t>
      </w:r>
      <w:proofErr w:type="spellEnd"/>
      <w:r w:rsidRPr="007C306E">
        <w:t>. for the development of the study.</w:t>
      </w:r>
    </w:p>
    <w:p w14:paraId="4F1327F8" w14:textId="77777777" w:rsidR="00600535" w:rsidRPr="00B57B36" w:rsidRDefault="00600535" w:rsidP="00600535">
      <w:pPr>
        <w:pStyle w:val="CETReference"/>
      </w:pPr>
      <w:r w:rsidRPr="00B57B36">
        <w:t>References</w:t>
      </w:r>
    </w:p>
    <w:p w14:paraId="6666CAE4" w14:textId="17201628" w:rsidR="004C00B5" w:rsidRPr="00D3122F" w:rsidRDefault="006A0F33" w:rsidP="004C00B5">
      <w:pPr>
        <w:pStyle w:val="Bibliografia"/>
        <w:rPr>
          <w:lang w:val="es-ES"/>
        </w:rPr>
      </w:pPr>
      <w:r>
        <w:fldChar w:fldCharType="begin"/>
      </w:r>
      <w:r w:rsidR="004C00B5">
        <w:instrText xml:space="preserve"> ADDIN ZOTERO_BIBL {"uncited":[],"omitted":[],"custom":[]} CSL_BIBLIOGRAPHY </w:instrText>
      </w:r>
      <w:r>
        <w:fldChar w:fldCharType="separate"/>
      </w:r>
      <w:r w:rsidR="004C00B5" w:rsidRPr="004C00B5">
        <w:t xml:space="preserve">AASTP-1 NATO GUIDELINES FOR THE STORAGE OF MILITARY AMMUNITION AND EXPLOSIVES, 2010. </w:t>
      </w:r>
      <w:r w:rsidR="004C00B5" w:rsidRPr="00D3122F">
        <w:rPr>
          <w:lang w:val="es-ES"/>
        </w:rPr>
        <w:t>URL https://www.dau.edu/aastp-1-nato-guidelines-storage-military-ammunition-and-explosives.</w:t>
      </w:r>
    </w:p>
    <w:p w14:paraId="10828458" w14:textId="77777777" w:rsidR="004C00B5" w:rsidRPr="004C00B5" w:rsidRDefault="004C00B5" w:rsidP="004C00B5">
      <w:pPr>
        <w:pStyle w:val="Bibliografia"/>
      </w:pPr>
      <w:r w:rsidRPr="00D3122F">
        <w:rPr>
          <w:lang w:val="es-ES"/>
        </w:rPr>
        <w:t xml:space="preserve">Chester, A., Critchley, R., Hazael, R., 2024. </w:t>
      </w:r>
      <w:r w:rsidRPr="004C00B5">
        <w:t>A comparison of far-field explosive loads by a selection of current and emerging blast software. International Journal of Protective Structures 20414196241248192. https://doi.org/10.1177/20414196241248192</w:t>
      </w:r>
    </w:p>
    <w:p w14:paraId="7A1BCC94" w14:textId="77777777" w:rsidR="004C00B5" w:rsidRPr="004C00B5" w:rsidRDefault="004C00B5" w:rsidP="004C00B5">
      <w:pPr>
        <w:pStyle w:val="Bibliografia"/>
      </w:pPr>
      <w:r w:rsidRPr="004C00B5">
        <w:t>Cooper, P.W., 1996. Explosives Engineering. John Wiley &amp; Sons.</w:t>
      </w:r>
    </w:p>
    <w:p w14:paraId="178434D7" w14:textId="68271A86" w:rsidR="004C00B5" w:rsidRPr="004C00B5" w:rsidRDefault="004C00B5" w:rsidP="004C00B5">
      <w:pPr>
        <w:pStyle w:val="Bibliografia"/>
      </w:pPr>
      <w:r w:rsidRPr="004C00B5">
        <w:t>Department of Defense, 2024. DOD 6055.9 STD - DOD AMMUNITION AND EXPLOSIVES SAFETY STANDARDS [WWW Document]. URL https://standards.globalspec.com/std/384800/dod-6055-9-std.</w:t>
      </w:r>
    </w:p>
    <w:p w14:paraId="45EBE54F" w14:textId="77777777" w:rsidR="004C00B5" w:rsidRPr="004C00B5" w:rsidRDefault="004C00B5" w:rsidP="004C00B5">
      <w:pPr>
        <w:pStyle w:val="Bibliografia"/>
      </w:pPr>
      <w:r w:rsidRPr="004C00B5">
        <w:t>Major Accident Hazards Bureau Security Technology Assessment Unit, 2023. Explosives and Pyrotechnic Sites - Seveso inspection series - good practice report.</w:t>
      </w:r>
    </w:p>
    <w:p w14:paraId="05C8F34D" w14:textId="77777777" w:rsidR="004C00B5" w:rsidRPr="004C00B5" w:rsidRDefault="004C00B5" w:rsidP="004C00B5">
      <w:pPr>
        <w:pStyle w:val="Bibliografia"/>
      </w:pPr>
      <w:r w:rsidRPr="004C00B5">
        <w:t>Manca, D., 2013. Quantitative assessment in safety reports of the consequences from the detonation of solid explosives. Journal of Loss Prevention in the Process Industries 26, 974–981. https://doi.org/10.1016/j.jlp.2013.10.010</w:t>
      </w:r>
    </w:p>
    <w:p w14:paraId="092A7E28" w14:textId="77777777" w:rsidR="004C00B5" w:rsidRPr="004C00B5" w:rsidRDefault="004C00B5" w:rsidP="004C00B5">
      <w:pPr>
        <w:pStyle w:val="Bibliografia"/>
      </w:pPr>
      <w:r w:rsidRPr="00043FCD">
        <w:rPr>
          <w:lang w:val="pt-PT"/>
        </w:rPr>
        <w:t xml:space="preserve">Mendonça-Filho, L.G., Bastos-Netto, D., Guirardello, R., 2008. </w:t>
      </w:r>
      <w:r w:rsidRPr="004C00B5">
        <w:t>Estimating the TNT equivalence of a 15-ton single base powder explosion through damaged building profiles analyses. Journal of Hazardous Materials 158, 599–604. https://doi.org/10.1016/j.jhazmat.2008.02.004</w:t>
      </w:r>
    </w:p>
    <w:p w14:paraId="3E368C50" w14:textId="77777777" w:rsidR="004C00B5" w:rsidRPr="004C00B5" w:rsidRDefault="004C00B5" w:rsidP="004C00B5">
      <w:pPr>
        <w:pStyle w:val="Bibliografia"/>
      </w:pPr>
      <w:r w:rsidRPr="004C00B5">
        <w:t>Meyer, R., Köhler, J., Homburg, A., 2002. Explosives. Weinheim : Wiley-VCH.</w:t>
      </w:r>
    </w:p>
    <w:p w14:paraId="4DB1B35A" w14:textId="111F7DCD" w:rsidR="004C00B5" w:rsidRPr="004C00B5" w:rsidRDefault="004C00B5" w:rsidP="004C00B5">
      <w:pPr>
        <w:pStyle w:val="Bibliografia"/>
      </w:pPr>
      <w:r w:rsidRPr="004C00B5">
        <w:t>NATO, 2023. NATO - AASTP-1.1 - MANUAL FOR THE DEVELOPMENT OF AN EXPLOSIVES SAFETY SITE PLAN BASED ON AASTP-1 URL https://standards.globalspec.com/std/14595454/aastp-1-1.</w:t>
      </w:r>
    </w:p>
    <w:p w14:paraId="353A58D1" w14:textId="77777777" w:rsidR="004C00B5" w:rsidRPr="004C00B5" w:rsidRDefault="004C00B5" w:rsidP="004C00B5">
      <w:pPr>
        <w:pStyle w:val="Bibliografia"/>
      </w:pPr>
      <w:r w:rsidRPr="004C00B5">
        <w:t>Stirling Simulation Services Limited, 2024. Viper::Blast.</w:t>
      </w:r>
    </w:p>
    <w:p w14:paraId="1A6E0A97" w14:textId="77777777" w:rsidR="004C00B5" w:rsidRPr="004C00B5" w:rsidRDefault="004C00B5" w:rsidP="004C00B5">
      <w:pPr>
        <w:pStyle w:val="Bibliografia"/>
      </w:pPr>
      <w:r w:rsidRPr="004C00B5">
        <w:t>UFC 3-340-02 Structures to Resist the Effects of Accidental Explosions, 2005.</w:t>
      </w:r>
    </w:p>
    <w:p w14:paraId="0A991355" w14:textId="77777777" w:rsidR="004C00B5" w:rsidRPr="004C00B5" w:rsidRDefault="004C00B5" w:rsidP="004C00B5">
      <w:pPr>
        <w:pStyle w:val="Bibliografia"/>
      </w:pPr>
      <w:r w:rsidRPr="004C00B5">
        <w:t>van der Voort, M.M., Weerheijm, J., 2013. A statistical description of explosion produced debris dispersion. International Journal of Impact Engineering 59, 29–37. https://doi.org/10.1016/j.ijimpeng.2013.03.002</w:t>
      </w:r>
    </w:p>
    <w:p w14:paraId="28E8379D" w14:textId="3CA7CA4D" w:rsidR="00C52C3C" w:rsidRDefault="006A0F33" w:rsidP="006A0F33">
      <w:pPr>
        <w:pStyle w:val="CETReferencetext"/>
        <w:ind w:left="0" w:firstLine="0"/>
      </w:pPr>
      <w:r>
        <w:fldChar w:fldCharType="end"/>
      </w:r>
    </w:p>
    <w:sectPr w:rsidR="00C52C3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9840A" w14:textId="77777777" w:rsidR="00952AA4" w:rsidRDefault="00952AA4" w:rsidP="004F5E36">
      <w:r>
        <w:separator/>
      </w:r>
    </w:p>
  </w:endnote>
  <w:endnote w:type="continuationSeparator" w:id="0">
    <w:p w14:paraId="25A5577A" w14:textId="77777777" w:rsidR="00952AA4" w:rsidRDefault="00952AA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2992B" w14:textId="77777777" w:rsidR="00952AA4" w:rsidRDefault="00952AA4" w:rsidP="004F5E36">
      <w:r>
        <w:separator/>
      </w:r>
    </w:p>
  </w:footnote>
  <w:footnote w:type="continuationSeparator" w:id="0">
    <w:p w14:paraId="44D24E44" w14:textId="77777777" w:rsidR="00952AA4" w:rsidRDefault="00952AA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CEC2CAD"/>
    <w:multiLevelType w:val="hybridMultilevel"/>
    <w:tmpl w:val="1C1A84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902CDD"/>
    <w:multiLevelType w:val="hybridMultilevel"/>
    <w:tmpl w:val="9C5623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5740B80"/>
    <w:multiLevelType w:val="hybridMultilevel"/>
    <w:tmpl w:val="D05CE5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39C3518"/>
    <w:multiLevelType w:val="hybridMultilevel"/>
    <w:tmpl w:val="F05A76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54851F0"/>
    <w:multiLevelType w:val="hybridMultilevel"/>
    <w:tmpl w:val="F05A76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DED44C8"/>
    <w:multiLevelType w:val="hybridMultilevel"/>
    <w:tmpl w:val="1C1A840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20"/>
  </w:num>
  <w:num w:numId="13" w16cid:durableId="1573659240">
    <w:abstractNumId w:val="12"/>
  </w:num>
  <w:num w:numId="14" w16cid:durableId="2092192635">
    <w:abstractNumId w:val="21"/>
  </w:num>
  <w:num w:numId="15" w16cid:durableId="1115637783">
    <w:abstractNumId w:val="25"/>
  </w:num>
  <w:num w:numId="16" w16cid:durableId="635987207">
    <w:abstractNumId w:val="24"/>
  </w:num>
  <w:num w:numId="17" w16cid:durableId="1476411020">
    <w:abstractNumId w:val="11"/>
  </w:num>
  <w:num w:numId="18" w16cid:durableId="2106877164">
    <w:abstractNumId w:val="12"/>
    <w:lvlOverride w:ilvl="0">
      <w:startOverride w:val="1"/>
    </w:lvlOverride>
  </w:num>
  <w:num w:numId="19" w16cid:durableId="1650403514">
    <w:abstractNumId w:val="18"/>
  </w:num>
  <w:num w:numId="20" w16cid:durableId="536504040">
    <w:abstractNumId w:val="17"/>
  </w:num>
  <w:num w:numId="21" w16cid:durableId="518815501">
    <w:abstractNumId w:val="14"/>
  </w:num>
  <w:num w:numId="22" w16cid:durableId="299530822">
    <w:abstractNumId w:val="13"/>
  </w:num>
  <w:num w:numId="23" w16cid:durableId="468743991">
    <w:abstractNumId w:val="16"/>
  </w:num>
  <w:num w:numId="24" w16cid:durableId="1593389044">
    <w:abstractNumId w:val="19"/>
  </w:num>
  <w:num w:numId="25" w16cid:durableId="1216966623">
    <w:abstractNumId w:val="26"/>
  </w:num>
  <w:num w:numId="26" w16cid:durableId="735276042">
    <w:abstractNumId w:val="15"/>
  </w:num>
  <w:num w:numId="27" w16cid:durableId="199636352">
    <w:abstractNumId w:val="22"/>
  </w:num>
  <w:num w:numId="28" w16cid:durableId="6251654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7E5F"/>
    <w:rsid w:val="000247CD"/>
    <w:rsid w:val="0003118A"/>
    <w:rsid w:val="0003148D"/>
    <w:rsid w:val="00031EEC"/>
    <w:rsid w:val="00043FCD"/>
    <w:rsid w:val="00051566"/>
    <w:rsid w:val="00053EF4"/>
    <w:rsid w:val="00062A9A"/>
    <w:rsid w:val="00065058"/>
    <w:rsid w:val="00075FD6"/>
    <w:rsid w:val="00084CBF"/>
    <w:rsid w:val="00086C39"/>
    <w:rsid w:val="0009103A"/>
    <w:rsid w:val="000A03B2"/>
    <w:rsid w:val="000A2D4A"/>
    <w:rsid w:val="000D0268"/>
    <w:rsid w:val="000D2A68"/>
    <w:rsid w:val="000D34BE"/>
    <w:rsid w:val="000E102F"/>
    <w:rsid w:val="000E36F1"/>
    <w:rsid w:val="000E3A73"/>
    <w:rsid w:val="000E414A"/>
    <w:rsid w:val="000F093C"/>
    <w:rsid w:val="000F787B"/>
    <w:rsid w:val="00106B28"/>
    <w:rsid w:val="0012091F"/>
    <w:rsid w:val="00126BC2"/>
    <w:rsid w:val="001308B6"/>
    <w:rsid w:val="00130FB8"/>
    <w:rsid w:val="0013121F"/>
    <w:rsid w:val="001312EC"/>
    <w:rsid w:val="00131FE6"/>
    <w:rsid w:val="0013263F"/>
    <w:rsid w:val="001331DF"/>
    <w:rsid w:val="00134DE4"/>
    <w:rsid w:val="0014034D"/>
    <w:rsid w:val="00144D16"/>
    <w:rsid w:val="00145C75"/>
    <w:rsid w:val="00150E59"/>
    <w:rsid w:val="00152DE3"/>
    <w:rsid w:val="00164CF9"/>
    <w:rsid w:val="001667A6"/>
    <w:rsid w:val="00184AD6"/>
    <w:rsid w:val="001A4AF7"/>
    <w:rsid w:val="001B0349"/>
    <w:rsid w:val="001B1E93"/>
    <w:rsid w:val="001B65C1"/>
    <w:rsid w:val="001B6A78"/>
    <w:rsid w:val="001C684B"/>
    <w:rsid w:val="001D0CFB"/>
    <w:rsid w:val="001D1921"/>
    <w:rsid w:val="001D53FC"/>
    <w:rsid w:val="001F42A5"/>
    <w:rsid w:val="001F7B9D"/>
    <w:rsid w:val="00201C93"/>
    <w:rsid w:val="00203A7A"/>
    <w:rsid w:val="002224B4"/>
    <w:rsid w:val="002251C4"/>
    <w:rsid w:val="00227DD0"/>
    <w:rsid w:val="00234A9F"/>
    <w:rsid w:val="002377EC"/>
    <w:rsid w:val="002447EF"/>
    <w:rsid w:val="00251550"/>
    <w:rsid w:val="00253BFC"/>
    <w:rsid w:val="00263B05"/>
    <w:rsid w:val="0027221A"/>
    <w:rsid w:val="00275B61"/>
    <w:rsid w:val="00280FAF"/>
    <w:rsid w:val="00282656"/>
    <w:rsid w:val="00296B83"/>
    <w:rsid w:val="002A450A"/>
    <w:rsid w:val="002B4015"/>
    <w:rsid w:val="002B78CE"/>
    <w:rsid w:val="002C2FB6"/>
    <w:rsid w:val="002D45F2"/>
    <w:rsid w:val="002E5FA7"/>
    <w:rsid w:val="002F3309"/>
    <w:rsid w:val="003008CE"/>
    <w:rsid w:val="003009B7"/>
    <w:rsid w:val="00300E56"/>
    <w:rsid w:val="003018DE"/>
    <w:rsid w:val="0030469C"/>
    <w:rsid w:val="003144C7"/>
    <w:rsid w:val="00316A61"/>
    <w:rsid w:val="0031764F"/>
    <w:rsid w:val="00321CA6"/>
    <w:rsid w:val="00323763"/>
    <w:rsid w:val="00325BD9"/>
    <w:rsid w:val="003312EA"/>
    <w:rsid w:val="00334C09"/>
    <w:rsid w:val="00337CD3"/>
    <w:rsid w:val="003723D4"/>
    <w:rsid w:val="00381905"/>
    <w:rsid w:val="00384CC8"/>
    <w:rsid w:val="003871FD"/>
    <w:rsid w:val="003952DF"/>
    <w:rsid w:val="003A1E30"/>
    <w:rsid w:val="003A2829"/>
    <w:rsid w:val="003A7D1C"/>
    <w:rsid w:val="003B304B"/>
    <w:rsid w:val="003B3146"/>
    <w:rsid w:val="003C52FC"/>
    <w:rsid w:val="003C6F75"/>
    <w:rsid w:val="003D2C41"/>
    <w:rsid w:val="003D4850"/>
    <w:rsid w:val="003D6BEE"/>
    <w:rsid w:val="003E3B74"/>
    <w:rsid w:val="003F015E"/>
    <w:rsid w:val="003F23E8"/>
    <w:rsid w:val="00400414"/>
    <w:rsid w:val="0040337E"/>
    <w:rsid w:val="00404039"/>
    <w:rsid w:val="0041446B"/>
    <w:rsid w:val="00420183"/>
    <w:rsid w:val="00430D83"/>
    <w:rsid w:val="0044329C"/>
    <w:rsid w:val="00453E24"/>
    <w:rsid w:val="00457456"/>
    <w:rsid w:val="004577FE"/>
    <w:rsid w:val="00457B9C"/>
    <w:rsid w:val="0046164A"/>
    <w:rsid w:val="004628D2"/>
    <w:rsid w:val="00462DCD"/>
    <w:rsid w:val="004648AD"/>
    <w:rsid w:val="00465808"/>
    <w:rsid w:val="004703A9"/>
    <w:rsid w:val="004760DE"/>
    <w:rsid w:val="004763D7"/>
    <w:rsid w:val="004A004E"/>
    <w:rsid w:val="004A24CF"/>
    <w:rsid w:val="004B31E4"/>
    <w:rsid w:val="004C00B5"/>
    <w:rsid w:val="004C3D1D"/>
    <w:rsid w:val="004C7913"/>
    <w:rsid w:val="004E17DB"/>
    <w:rsid w:val="004E4DD6"/>
    <w:rsid w:val="004F5E36"/>
    <w:rsid w:val="005033D1"/>
    <w:rsid w:val="00503F17"/>
    <w:rsid w:val="00507B47"/>
    <w:rsid w:val="00507BEF"/>
    <w:rsid w:val="00507CC9"/>
    <w:rsid w:val="005119A5"/>
    <w:rsid w:val="005278B7"/>
    <w:rsid w:val="00532016"/>
    <w:rsid w:val="005346C8"/>
    <w:rsid w:val="00536E9A"/>
    <w:rsid w:val="00536F63"/>
    <w:rsid w:val="00543E7D"/>
    <w:rsid w:val="0054580F"/>
    <w:rsid w:val="00547A68"/>
    <w:rsid w:val="005531C9"/>
    <w:rsid w:val="00553B0C"/>
    <w:rsid w:val="00570C43"/>
    <w:rsid w:val="00576FD0"/>
    <w:rsid w:val="00586D7D"/>
    <w:rsid w:val="005B2110"/>
    <w:rsid w:val="005B4820"/>
    <w:rsid w:val="005B61E6"/>
    <w:rsid w:val="005C03E4"/>
    <w:rsid w:val="005C77E1"/>
    <w:rsid w:val="005D0D83"/>
    <w:rsid w:val="005D668A"/>
    <w:rsid w:val="005D6A2F"/>
    <w:rsid w:val="005E1A82"/>
    <w:rsid w:val="005E44B3"/>
    <w:rsid w:val="005E463A"/>
    <w:rsid w:val="005E7271"/>
    <w:rsid w:val="005E794C"/>
    <w:rsid w:val="005F0A28"/>
    <w:rsid w:val="005F0E5E"/>
    <w:rsid w:val="005F4661"/>
    <w:rsid w:val="00600535"/>
    <w:rsid w:val="00601CA8"/>
    <w:rsid w:val="00606F0C"/>
    <w:rsid w:val="00610CD6"/>
    <w:rsid w:val="00620DEE"/>
    <w:rsid w:val="00621F92"/>
    <w:rsid w:val="0062280A"/>
    <w:rsid w:val="00625639"/>
    <w:rsid w:val="00631B33"/>
    <w:rsid w:val="0064184D"/>
    <w:rsid w:val="006422CC"/>
    <w:rsid w:val="00643580"/>
    <w:rsid w:val="00660E3E"/>
    <w:rsid w:val="00662794"/>
    <w:rsid w:val="00662E74"/>
    <w:rsid w:val="00665323"/>
    <w:rsid w:val="006656FA"/>
    <w:rsid w:val="00680C23"/>
    <w:rsid w:val="00693766"/>
    <w:rsid w:val="006A0F33"/>
    <w:rsid w:val="006A3281"/>
    <w:rsid w:val="006B4888"/>
    <w:rsid w:val="006C09D9"/>
    <w:rsid w:val="006C2E45"/>
    <w:rsid w:val="006C359C"/>
    <w:rsid w:val="006C5579"/>
    <w:rsid w:val="006D6E8B"/>
    <w:rsid w:val="006E737D"/>
    <w:rsid w:val="006F3446"/>
    <w:rsid w:val="006F4DA8"/>
    <w:rsid w:val="00713973"/>
    <w:rsid w:val="00720A24"/>
    <w:rsid w:val="00732386"/>
    <w:rsid w:val="0073514D"/>
    <w:rsid w:val="007431F5"/>
    <w:rsid w:val="007447F3"/>
    <w:rsid w:val="0075499F"/>
    <w:rsid w:val="007568D1"/>
    <w:rsid w:val="007661C8"/>
    <w:rsid w:val="0077098D"/>
    <w:rsid w:val="007931FA"/>
    <w:rsid w:val="00796DEA"/>
    <w:rsid w:val="007A4861"/>
    <w:rsid w:val="007A7BBA"/>
    <w:rsid w:val="007B0C50"/>
    <w:rsid w:val="007B48F9"/>
    <w:rsid w:val="007C18D2"/>
    <w:rsid w:val="007C1A43"/>
    <w:rsid w:val="007C306E"/>
    <w:rsid w:val="0080013E"/>
    <w:rsid w:val="00801A1B"/>
    <w:rsid w:val="00813288"/>
    <w:rsid w:val="00816502"/>
    <w:rsid w:val="008168FC"/>
    <w:rsid w:val="00825DD9"/>
    <w:rsid w:val="00827081"/>
    <w:rsid w:val="00830996"/>
    <w:rsid w:val="008345F1"/>
    <w:rsid w:val="00837CFB"/>
    <w:rsid w:val="0084444B"/>
    <w:rsid w:val="008527A3"/>
    <w:rsid w:val="00855DF6"/>
    <w:rsid w:val="00856266"/>
    <w:rsid w:val="00865B07"/>
    <w:rsid w:val="008667EA"/>
    <w:rsid w:val="00872A06"/>
    <w:rsid w:val="0087637F"/>
    <w:rsid w:val="00880A3F"/>
    <w:rsid w:val="00885788"/>
    <w:rsid w:val="00892AD5"/>
    <w:rsid w:val="008A1512"/>
    <w:rsid w:val="008A2BD1"/>
    <w:rsid w:val="008B286B"/>
    <w:rsid w:val="008D32B9"/>
    <w:rsid w:val="008D433B"/>
    <w:rsid w:val="008E566E"/>
    <w:rsid w:val="008F7770"/>
    <w:rsid w:val="008F78A3"/>
    <w:rsid w:val="00900804"/>
    <w:rsid w:val="0090161A"/>
    <w:rsid w:val="00901EB6"/>
    <w:rsid w:val="00904846"/>
    <w:rsid w:val="00904C62"/>
    <w:rsid w:val="009054E3"/>
    <w:rsid w:val="00922BA8"/>
    <w:rsid w:val="00924DAC"/>
    <w:rsid w:val="00927058"/>
    <w:rsid w:val="00927221"/>
    <w:rsid w:val="00942750"/>
    <w:rsid w:val="009450CE"/>
    <w:rsid w:val="00947179"/>
    <w:rsid w:val="0095164B"/>
    <w:rsid w:val="00952AA4"/>
    <w:rsid w:val="00952B8D"/>
    <w:rsid w:val="00954090"/>
    <w:rsid w:val="009573E7"/>
    <w:rsid w:val="00963E05"/>
    <w:rsid w:val="00967843"/>
    <w:rsid w:val="00967D54"/>
    <w:rsid w:val="00971028"/>
    <w:rsid w:val="00985799"/>
    <w:rsid w:val="009900B3"/>
    <w:rsid w:val="00993B84"/>
    <w:rsid w:val="00996483"/>
    <w:rsid w:val="00996F5A"/>
    <w:rsid w:val="009B041A"/>
    <w:rsid w:val="009B2C81"/>
    <w:rsid w:val="009B68E5"/>
    <w:rsid w:val="009C37C3"/>
    <w:rsid w:val="009C7C86"/>
    <w:rsid w:val="009D2FF7"/>
    <w:rsid w:val="009E1A14"/>
    <w:rsid w:val="009E3CA6"/>
    <w:rsid w:val="009E6FDC"/>
    <w:rsid w:val="009E7884"/>
    <w:rsid w:val="009E788A"/>
    <w:rsid w:val="009F0E08"/>
    <w:rsid w:val="00A03FCF"/>
    <w:rsid w:val="00A1763D"/>
    <w:rsid w:val="00A17CEC"/>
    <w:rsid w:val="00A27EF0"/>
    <w:rsid w:val="00A334F8"/>
    <w:rsid w:val="00A42361"/>
    <w:rsid w:val="00A42EBC"/>
    <w:rsid w:val="00A4550E"/>
    <w:rsid w:val="00A50B20"/>
    <w:rsid w:val="00A51390"/>
    <w:rsid w:val="00A6082A"/>
    <w:rsid w:val="00A60D13"/>
    <w:rsid w:val="00A72745"/>
    <w:rsid w:val="00A76EFC"/>
    <w:rsid w:val="00A7779F"/>
    <w:rsid w:val="00A837E0"/>
    <w:rsid w:val="00A8544B"/>
    <w:rsid w:val="00A91010"/>
    <w:rsid w:val="00A93556"/>
    <w:rsid w:val="00A97B85"/>
    <w:rsid w:val="00A97CD6"/>
    <w:rsid w:val="00A97F29"/>
    <w:rsid w:val="00AA702E"/>
    <w:rsid w:val="00AB0964"/>
    <w:rsid w:val="00AB5011"/>
    <w:rsid w:val="00AC7368"/>
    <w:rsid w:val="00AD16B9"/>
    <w:rsid w:val="00AE276C"/>
    <w:rsid w:val="00AE377D"/>
    <w:rsid w:val="00AE646D"/>
    <w:rsid w:val="00AF0EBA"/>
    <w:rsid w:val="00B02C8A"/>
    <w:rsid w:val="00B14524"/>
    <w:rsid w:val="00B17FBD"/>
    <w:rsid w:val="00B315A6"/>
    <w:rsid w:val="00B31813"/>
    <w:rsid w:val="00B33365"/>
    <w:rsid w:val="00B46FF8"/>
    <w:rsid w:val="00B57B36"/>
    <w:rsid w:val="00B57E6F"/>
    <w:rsid w:val="00B6087D"/>
    <w:rsid w:val="00B8686D"/>
    <w:rsid w:val="00B90629"/>
    <w:rsid w:val="00B917F8"/>
    <w:rsid w:val="00B93F69"/>
    <w:rsid w:val="00BB1DDC"/>
    <w:rsid w:val="00BC30C9"/>
    <w:rsid w:val="00BD077D"/>
    <w:rsid w:val="00BD5F84"/>
    <w:rsid w:val="00BE3E58"/>
    <w:rsid w:val="00BE7C24"/>
    <w:rsid w:val="00C01616"/>
    <w:rsid w:val="00C0162B"/>
    <w:rsid w:val="00C02711"/>
    <w:rsid w:val="00C068ED"/>
    <w:rsid w:val="00C13499"/>
    <w:rsid w:val="00C13DF7"/>
    <w:rsid w:val="00C22E0C"/>
    <w:rsid w:val="00C345B1"/>
    <w:rsid w:val="00C40142"/>
    <w:rsid w:val="00C52C3C"/>
    <w:rsid w:val="00C57182"/>
    <w:rsid w:val="00C57863"/>
    <w:rsid w:val="00C609B5"/>
    <w:rsid w:val="00C619E6"/>
    <w:rsid w:val="00C655FD"/>
    <w:rsid w:val="00C75407"/>
    <w:rsid w:val="00C824FB"/>
    <w:rsid w:val="00C85832"/>
    <w:rsid w:val="00C870A8"/>
    <w:rsid w:val="00C94434"/>
    <w:rsid w:val="00CA0D75"/>
    <w:rsid w:val="00CA1C95"/>
    <w:rsid w:val="00CA1EB4"/>
    <w:rsid w:val="00CA2EBE"/>
    <w:rsid w:val="00CA5A9C"/>
    <w:rsid w:val="00CC4C20"/>
    <w:rsid w:val="00CD3517"/>
    <w:rsid w:val="00CD5FE2"/>
    <w:rsid w:val="00CD749A"/>
    <w:rsid w:val="00CE7C68"/>
    <w:rsid w:val="00CF3508"/>
    <w:rsid w:val="00D02B4C"/>
    <w:rsid w:val="00D040C4"/>
    <w:rsid w:val="00D22A1F"/>
    <w:rsid w:val="00D265A3"/>
    <w:rsid w:val="00D3122F"/>
    <w:rsid w:val="00D33D48"/>
    <w:rsid w:val="00D34EA4"/>
    <w:rsid w:val="00D46B15"/>
    <w:rsid w:val="00D46B7E"/>
    <w:rsid w:val="00D4737E"/>
    <w:rsid w:val="00D537CD"/>
    <w:rsid w:val="00D57C84"/>
    <w:rsid w:val="00D6057D"/>
    <w:rsid w:val="00D7112A"/>
    <w:rsid w:val="00D743FF"/>
    <w:rsid w:val="00D821E7"/>
    <w:rsid w:val="00D836C5"/>
    <w:rsid w:val="00D84576"/>
    <w:rsid w:val="00D85D36"/>
    <w:rsid w:val="00DA1399"/>
    <w:rsid w:val="00DA24C6"/>
    <w:rsid w:val="00DA4D7B"/>
    <w:rsid w:val="00DB129E"/>
    <w:rsid w:val="00DB7D3F"/>
    <w:rsid w:val="00DD7755"/>
    <w:rsid w:val="00DE1633"/>
    <w:rsid w:val="00DE264A"/>
    <w:rsid w:val="00DF5072"/>
    <w:rsid w:val="00E02D18"/>
    <w:rsid w:val="00E041E7"/>
    <w:rsid w:val="00E14E2C"/>
    <w:rsid w:val="00E23CA1"/>
    <w:rsid w:val="00E409A8"/>
    <w:rsid w:val="00E46A97"/>
    <w:rsid w:val="00E50C12"/>
    <w:rsid w:val="00E546B4"/>
    <w:rsid w:val="00E65B91"/>
    <w:rsid w:val="00E7022C"/>
    <w:rsid w:val="00E7209D"/>
    <w:rsid w:val="00E72EAD"/>
    <w:rsid w:val="00E77223"/>
    <w:rsid w:val="00E8528B"/>
    <w:rsid w:val="00E85B94"/>
    <w:rsid w:val="00E93A5E"/>
    <w:rsid w:val="00E96FE9"/>
    <w:rsid w:val="00E978D0"/>
    <w:rsid w:val="00EA2E2D"/>
    <w:rsid w:val="00EA4613"/>
    <w:rsid w:val="00EA7F91"/>
    <w:rsid w:val="00EB1523"/>
    <w:rsid w:val="00EB6596"/>
    <w:rsid w:val="00EC0E49"/>
    <w:rsid w:val="00EC101F"/>
    <w:rsid w:val="00EC1D9F"/>
    <w:rsid w:val="00EC4093"/>
    <w:rsid w:val="00ED5348"/>
    <w:rsid w:val="00EE0131"/>
    <w:rsid w:val="00EE17B0"/>
    <w:rsid w:val="00EF06D9"/>
    <w:rsid w:val="00F0446C"/>
    <w:rsid w:val="00F11BE1"/>
    <w:rsid w:val="00F30C64"/>
    <w:rsid w:val="00F31505"/>
    <w:rsid w:val="00F31D94"/>
    <w:rsid w:val="00F32BA2"/>
    <w:rsid w:val="00F32CDB"/>
    <w:rsid w:val="00F55252"/>
    <w:rsid w:val="00F565FE"/>
    <w:rsid w:val="00F63A70"/>
    <w:rsid w:val="00F7534E"/>
    <w:rsid w:val="00FA0F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aliases w:val="Elenco puntato 1,Paragrafo indice,Paragrafo elenco puntato,EL Paragrafo elenco,Normal bullet 2"/>
    <w:basedOn w:val="Normale"/>
    <w:link w:val="ParagrafoelencoCarattere"/>
    <w:uiPriority w:val="34"/>
    <w:qFormat/>
    <w:rsid w:val="00280FAF"/>
    <w:pPr>
      <w:ind w:left="720"/>
      <w:contextualSpacing/>
    </w:pPr>
  </w:style>
  <w:style w:type="character" w:styleId="Testosegnaposto">
    <w:name w:val="Placeholder Text"/>
    <w:basedOn w:val="Carpredefinitoparagrafo"/>
    <w:uiPriority w:val="99"/>
    <w:semiHidden/>
    <w:rsid w:val="005E7271"/>
    <w:rPr>
      <w:color w:val="666666"/>
    </w:rPr>
  </w:style>
  <w:style w:type="character" w:customStyle="1" w:styleId="ParagrafoelencoCarattere">
    <w:name w:val="Paragrafo elenco Carattere"/>
    <w:aliases w:val="Elenco puntato 1 Carattere,Paragrafo indice Carattere,Paragrafo elenco puntato Carattere,EL Paragrafo elenco Carattere,Normal bullet 2 Carattere"/>
    <w:basedOn w:val="Carpredefinitoparagrafo"/>
    <w:link w:val="Paragrafoelenco"/>
    <w:uiPriority w:val="34"/>
    <w:qFormat/>
    <w:rsid w:val="00643580"/>
    <w:rPr>
      <w:rFonts w:ascii="Arial" w:eastAsia="Times New Roman" w:hAnsi="Arial" w:cs="Times New Roman"/>
      <w:sz w:val="18"/>
      <w:szCs w:val="20"/>
      <w:lang w:val="en-GB"/>
    </w:rPr>
  </w:style>
  <w:style w:type="paragraph" w:styleId="Revisione">
    <w:name w:val="Revision"/>
    <w:hidden/>
    <w:uiPriority w:val="99"/>
    <w:semiHidden/>
    <w:rsid w:val="00D265A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6117</Words>
  <Characters>34871</Characters>
  <Application>Microsoft Office Word</Application>
  <DocSecurity>0</DocSecurity>
  <Lines>290</Lines>
  <Paragraphs>81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40907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Valentina Busini</cp:lastModifiedBy>
  <cp:revision>2</cp:revision>
  <cp:lastPrinted>2015-05-12T18:31:00Z</cp:lastPrinted>
  <dcterms:created xsi:type="dcterms:W3CDTF">2026-04-10T12:25:00Z</dcterms:created>
  <dcterms:modified xsi:type="dcterms:W3CDTF">2026-04-10T12:25:00Z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id="mfOSqZm6"/&gt;&lt;style id="http://www.zotero.org/styles/chemical-engineering-research-and-design" hasBibliography="1" bibliographyStyleHasBeenSet="1"/&gt;&lt;prefs&gt;&lt;pref name="fieldType" value="Field"/&gt;&lt;pref</vt:lpwstr>
  </property>
  <property fmtid="{D5CDD505-2E9C-101B-9397-08002B2CF9AE}" pid="3" name="ZOTERO_PREF_2">
    <vt:lpwstr> name="storeReferences" value="true"/&gt;&lt;/prefs&gt;&lt;/data&gt;</vt:lpwstr>
  </property>
</Properties>
</file>