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C00FB">
        <w:trPr>
          <w:trHeight w:val="852"/>
          <w:jc w:val="center"/>
        </w:trPr>
        <w:tc>
          <w:tcPr>
            <w:tcW w:w="6940" w:type="dxa"/>
            <w:vMerge w:val="restart"/>
            <w:tcBorders>
              <w:right w:val="single" w:sz="4" w:space="0" w:color="auto"/>
            </w:tcBorders>
          </w:tcPr>
          <w:p w14:paraId="38C3D2BA" w14:textId="77777777" w:rsidR="000A03B2" w:rsidRPr="00B57B36" w:rsidRDefault="000A03B2" w:rsidP="00852263">
            <w:pPr>
              <w:tabs>
                <w:tab w:val="left" w:pos="-108"/>
              </w:tabs>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C00F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C00FB">
        <w:trPr>
          <w:trHeight w:val="68"/>
          <w:jc w:val="center"/>
        </w:trPr>
        <w:tc>
          <w:tcPr>
            <w:tcW w:w="8782"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Valerio Cozzani, Bruno Fabiano, Genserik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19AF652C" w14:textId="77777777" w:rsidR="006C00FB" w:rsidRPr="00066E20" w:rsidRDefault="006C00FB" w:rsidP="006C00FB">
      <w:pPr>
        <w:pBdr>
          <w:top w:val="nil"/>
          <w:left w:val="nil"/>
          <w:bottom w:val="nil"/>
          <w:right w:val="nil"/>
          <w:between w:val="nil"/>
        </w:pBdr>
        <w:spacing w:before="480" w:after="120"/>
        <w:jc w:val="center"/>
        <w:rPr>
          <w:color w:val="000000"/>
          <w:sz w:val="32"/>
          <w:szCs w:val="32"/>
        </w:rPr>
      </w:pPr>
      <w:r w:rsidRPr="00066E20">
        <w:rPr>
          <w:sz w:val="32"/>
          <w:szCs w:val="32"/>
        </w:rPr>
        <w:t>Automatic classification of industrial accident causes using NLP: A case study in eMARS</w:t>
      </w:r>
    </w:p>
    <w:p w14:paraId="78C8F783" w14:textId="76C7A4FF" w:rsidR="006C00FB" w:rsidRPr="006C00FB" w:rsidRDefault="006C00FB" w:rsidP="001B6E48">
      <w:pPr>
        <w:pStyle w:val="CETAuthors"/>
        <w:rPr>
          <w:lang w:val="es-CO"/>
        </w:rPr>
      </w:pPr>
      <w:r w:rsidRPr="006C00FB">
        <w:rPr>
          <w:rFonts w:eastAsia="Arial"/>
          <w:lang w:val="es-CO"/>
        </w:rPr>
        <w:t>Johan Andrés García</w:t>
      </w:r>
      <w:r w:rsidRPr="006C00FB">
        <w:rPr>
          <w:rFonts w:eastAsia="Arial"/>
          <w:vertAlign w:val="superscript"/>
          <w:lang w:val="es-CO"/>
        </w:rPr>
        <w:t>a</w:t>
      </w:r>
      <w:r w:rsidR="005F3F1B">
        <w:rPr>
          <w:rFonts w:eastAsia="Arial"/>
          <w:vertAlign w:val="superscript"/>
          <w:lang w:val="es-CO"/>
        </w:rPr>
        <w:t>,*</w:t>
      </w:r>
      <w:r w:rsidRPr="006C00FB">
        <w:rPr>
          <w:rFonts w:eastAsia="Arial"/>
          <w:lang w:val="es-CO"/>
        </w:rPr>
        <w:t>, Daniel Fajardo-López</w:t>
      </w:r>
      <w:r w:rsidRPr="006C00FB">
        <w:rPr>
          <w:vertAlign w:val="superscript"/>
          <w:lang w:val="es-CO"/>
        </w:rPr>
        <w:t>b</w:t>
      </w:r>
      <w:r w:rsidRPr="006C00FB">
        <w:rPr>
          <w:rFonts w:eastAsia="Arial"/>
          <w:lang w:val="es-CO"/>
        </w:rPr>
        <w:t>, Jacqueline Mesa</w:t>
      </w:r>
      <w:r w:rsidRPr="006C00FB">
        <w:rPr>
          <w:vertAlign w:val="superscript"/>
          <w:lang w:val="es-CO"/>
        </w:rPr>
        <w:t>a</w:t>
      </w:r>
      <w:r w:rsidRPr="006C00FB">
        <w:rPr>
          <w:rFonts w:eastAsia="Arial"/>
          <w:lang w:val="es-CO"/>
        </w:rPr>
        <w:t>, Rafael Amaya-Gómez</w:t>
      </w:r>
      <w:r w:rsidRPr="006C00FB">
        <w:rPr>
          <w:vertAlign w:val="superscript"/>
          <w:lang w:val="es-CO"/>
        </w:rPr>
        <w:t>c</w:t>
      </w:r>
    </w:p>
    <w:p w14:paraId="50CC5513" w14:textId="77777777" w:rsidR="006C00FB" w:rsidRPr="00066E20" w:rsidRDefault="006C00FB" w:rsidP="00B96F3E">
      <w:pPr>
        <w:pStyle w:val="CETAddress"/>
      </w:pPr>
      <w:r w:rsidRPr="00066E20">
        <w:rPr>
          <w:rFonts w:eastAsia="Arial" w:cs="Arial"/>
          <w:color w:val="000000"/>
          <w:vertAlign w:val="superscript"/>
        </w:rPr>
        <w:t>a</w:t>
      </w:r>
      <w:r w:rsidRPr="00066E20">
        <w:t>Technical Management, Colombian Safety Council. Cr 20 # 39-52, Bogotá, Colombia</w:t>
      </w:r>
    </w:p>
    <w:p w14:paraId="49E896BD" w14:textId="77777777" w:rsidR="006C00FB" w:rsidRPr="00066E20" w:rsidRDefault="006C00FB" w:rsidP="00B96F3E">
      <w:pPr>
        <w:pStyle w:val="CETAddress"/>
      </w:pPr>
      <w:r w:rsidRPr="00066E20">
        <w:rPr>
          <w:rFonts w:eastAsia="Arial" w:cs="Arial"/>
          <w:color w:val="000000"/>
          <w:vertAlign w:val="superscript"/>
        </w:rPr>
        <w:t>b</w:t>
      </w:r>
      <w:r w:rsidRPr="00066E20">
        <w:t>Department of Electronic Engineering, Pontifical Javeriana University, Cr 7 #40 - 62, Bogotá, Colombia</w:t>
      </w:r>
    </w:p>
    <w:p w14:paraId="7AEBAC85" w14:textId="77777777" w:rsidR="006C00FB" w:rsidRPr="00066E20" w:rsidRDefault="006C00FB" w:rsidP="00B96F3E">
      <w:pPr>
        <w:pStyle w:val="CETAddress"/>
        <w:rPr>
          <w:highlight w:val="white"/>
        </w:rPr>
      </w:pPr>
      <w:r w:rsidRPr="00066E20">
        <w:rPr>
          <w:highlight w:val="white"/>
          <w:vertAlign w:val="superscript"/>
        </w:rPr>
        <w:t>c</w:t>
      </w:r>
      <w:r w:rsidRPr="00066E20">
        <w:rPr>
          <w:highlight w:val="white"/>
        </w:rPr>
        <w:t>Department of Industrial Engineering, University of the Andes, Cr 1E # 19A - 40, Bogotá, Colombia</w:t>
      </w:r>
    </w:p>
    <w:p w14:paraId="2CAB1680" w14:textId="5EAD8B1E" w:rsidR="006C00FB" w:rsidRDefault="005F3F1B" w:rsidP="005512F0">
      <w:pPr>
        <w:keepNext/>
        <w:pBdr>
          <w:top w:val="nil"/>
          <w:left w:val="nil"/>
          <w:bottom w:val="nil"/>
          <w:right w:val="nil"/>
          <w:between w:val="nil"/>
        </w:pBdr>
        <w:spacing w:line="276" w:lineRule="auto"/>
        <w:jc w:val="left"/>
        <w:rPr>
          <w:sz w:val="16"/>
          <w:szCs w:val="16"/>
          <w:highlight w:val="white"/>
        </w:rPr>
      </w:pPr>
      <w:r>
        <w:rPr>
          <w:sz w:val="16"/>
          <w:szCs w:val="16"/>
          <w:highlight w:val="white"/>
        </w:rPr>
        <w:t xml:space="preserve"> </w:t>
      </w:r>
      <w:hyperlink r:id="rId13" w:history="1">
        <w:r w:rsidR="005512F0" w:rsidRPr="008E74F9">
          <w:rPr>
            <w:rStyle w:val="Hipervnculo"/>
            <w:sz w:val="16"/>
            <w:szCs w:val="16"/>
            <w:highlight w:val="white"/>
          </w:rPr>
          <w:t>johan.garcia@ccs.org.co</w:t>
        </w:r>
      </w:hyperlink>
    </w:p>
    <w:p w14:paraId="1345C47B" w14:textId="77777777" w:rsidR="005512F0" w:rsidRPr="00066E20" w:rsidRDefault="005512F0" w:rsidP="005512F0">
      <w:pPr>
        <w:keepNext/>
        <w:pBdr>
          <w:top w:val="nil"/>
          <w:left w:val="nil"/>
          <w:bottom w:val="nil"/>
          <w:right w:val="nil"/>
          <w:between w:val="nil"/>
        </w:pBdr>
        <w:spacing w:line="276" w:lineRule="auto"/>
        <w:jc w:val="left"/>
        <w:rPr>
          <w:color w:val="000000"/>
          <w:sz w:val="16"/>
          <w:szCs w:val="16"/>
          <w:highlight w:val="white"/>
        </w:rPr>
      </w:pPr>
    </w:p>
    <w:p w14:paraId="3A8AE572" w14:textId="77777777" w:rsidR="006C00FB" w:rsidRPr="00066E20" w:rsidRDefault="006C00FB" w:rsidP="00D531EE">
      <w:pPr>
        <w:pStyle w:val="CETBodytext"/>
        <w:rPr>
          <w:highlight w:val="white"/>
        </w:rPr>
      </w:pPr>
      <w:r w:rsidRPr="00066E20">
        <w:rPr>
          <w:highlight w:val="white"/>
        </w:rPr>
        <w:t>Previous accidental events serve to reinforce Process Safety Management (PSM); however, some accidental databases suffer from unstructured reports that require largely manual data extraction, making it challenging to analyse a significant number of events. Artificial Intelligence (AI) can offer a scalable pathway to extract actionable knowledge from unstructured data. This study proposes a lightweight Natural Language Processing (NLP) pipeline to automatically classify the primary cause of major accidents using the European eMARS database. A total of 1,234 reports were parsed from PDF and structured by extracting the Accident Description and Causes sections; a six-class PSM taxonomy was operationalized, excluding undetermined cases from supervised learning. Two document representations were compared: an in-domain Word2Vec embedding (200-d) and Sentence-BERT (all-MiniLM-L6-v2, 384-d). Both representations were evaluated with a class-balanced linear Support Vector Machine (SVM) using stratified five-fold cross-validation and a hold-out test. Results show that Word2Vec+SVM provides the strongest and most stable baseline on the full labelled set, while SBERT performance improves markedly under higher label fidelity.</w:t>
      </w:r>
    </w:p>
    <w:p w14:paraId="7D91220C" w14:textId="77777777" w:rsidR="006C00FB" w:rsidRPr="00470F45" w:rsidRDefault="006C00FB" w:rsidP="00470F45">
      <w:pPr>
        <w:pStyle w:val="CETHeading1"/>
      </w:pPr>
      <w:r w:rsidRPr="00470F45">
        <w:rPr>
          <w:rFonts w:eastAsia="Arial"/>
        </w:rPr>
        <w:t>Introduction</w:t>
      </w:r>
    </w:p>
    <w:p w14:paraId="43D42C2E" w14:textId="77777777" w:rsidR="006C00FB" w:rsidRPr="00066E20" w:rsidRDefault="006C00FB" w:rsidP="00D531EE">
      <w:pPr>
        <w:pStyle w:val="CETBodytext"/>
      </w:pPr>
      <w:r w:rsidRPr="00066E20">
        <w:t>Learning from experience in Process Safety Management (PSM) relies on systematically collecting and analysing past incidents to derive indicators and recommendations that reduce the likelihood of recurrence (CCPS, 2007). Large repositories such as the European Major Accident Reporting System (eMARS) are therefore widely used for statistical and qualitative analyses (Katarina &amp; Kockal, 2025). In practice, however, major-accident repositories frequently provide information in report form rather than in fully structured datasets, and data gaps may arise when reporting is incomplete. As a result, critical causal evidence is often embedded in unstructured narrative sections—including accident descriptions, causes, consequences, and lessons learned—where relevant information is dispersed across sections, wording styles, and levels of technical detail. Manual review of such narratives is time-consuming, subjective, and difficult to scale for routine screening and learning-from-experience workflows (Agarwal et al., 2025; Gao et al., 2025).</w:t>
      </w:r>
    </w:p>
    <w:p w14:paraId="3DAFCA6F" w14:textId="77777777" w:rsidR="006C00FB" w:rsidRPr="00066E20" w:rsidRDefault="006C00FB" w:rsidP="006C00FB">
      <w:pPr>
        <w:pBdr>
          <w:top w:val="nil"/>
          <w:left w:val="nil"/>
          <w:bottom w:val="nil"/>
          <w:right w:val="nil"/>
          <w:between w:val="nil"/>
        </w:pBdr>
      </w:pPr>
    </w:p>
    <w:p w14:paraId="1BF5E97B" w14:textId="77777777" w:rsidR="006C00FB" w:rsidRPr="00066E20" w:rsidRDefault="006C00FB" w:rsidP="00D531EE">
      <w:pPr>
        <w:pStyle w:val="CETBodytext"/>
      </w:pPr>
      <w:r w:rsidRPr="00066E20">
        <w:t>Prior work has shown that AI and probabilistic reasoning can reveal interdependencies among PSM elements when incident data are already coded into structured categories (Sattari, 2021). However, approaches that depend on pre-coded data limit scalability when the dominant source of information is narrative text. Motivated by this gap, this study investigates a lightweight and interpretable NLP pipeline for automated (single-label) causal classification of major-accident narratives. The pipeline compares two document-level representations—an in-domain Word2Vec embedding (Mikolov et al., 2013) and Sentence-BERT (SBERT) embeddings (Reimers &amp; Gurevych, 2019)—combined with a class-balanced linear Support Vector Machine (SVM) under a unified evaluation protocol. This design aims to preserve technical terminology and acronyms, balance lexical and contextual information, and remain computationally efficient for large-scale screening.</w:t>
      </w:r>
    </w:p>
    <w:p w14:paraId="440ACF67" w14:textId="77777777" w:rsidR="006C00FB" w:rsidRPr="00066E20" w:rsidRDefault="006C00FB" w:rsidP="006C00FB">
      <w:pPr>
        <w:pBdr>
          <w:top w:val="nil"/>
          <w:left w:val="nil"/>
          <w:bottom w:val="nil"/>
          <w:right w:val="nil"/>
          <w:between w:val="nil"/>
        </w:pBdr>
      </w:pPr>
    </w:p>
    <w:p w14:paraId="6DC37357" w14:textId="77777777" w:rsidR="006C00FB" w:rsidRPr="00066E20" w:rsidRDefault="006C00FB" w:rsidP="00D531EE">
      <w:pPr>
        <w:pStyle w:val="CETBodytext"/>
      </w:pPr>
      <w:r w:rsidRPr="00066E20">
        <w:lastRenderedPageBreak/>
        <w:t>The analysis uses 1,234 eMARS reports parsed and structured from PDF into tabular form, enabling intrinsic assessment of the embeddings and supervised evaluation on a six-class PSM taxonomy grounded in process-safety literature (Baybutt, 2016; Fyffe et al., 2016; Wang, 2021). The results provide evidence on when domain-trained lexical representations may outperform contextual encoders under limited labelled data and single-label constraints, and they motivate future extensions toward multi-label or hierarchical formulations better aligned with the multi-causal nature of major accidents. The remainder of the paper is organized as follows: Section 2 describes data preparation and labelling, Section 3 details the embedding and classification methodology, Section 4 presents results and discussion, and Section 5 concludes with implications and future work.</w:t>
      </w:r>
    </w:p>
    <w:p w14:paraId="7E2CB109" w14:textId="77777777" w:rsidR="006C00FB" w:rsidRPr="00066E20" w:rsidRDefault="006C00FB" w:rsidP="0026669E">
      <w:pPr>
        <w:pStyle w:val="CETHeading1"/>
      </w:pPr>
      <w:r w:rsidRPr="00066E20">
        <w:t>Methods</w:t>
      </w:r>
    </w:p>
    <w:p w14:paraId="13909DC8" w14:textId="77777777" w:rsidR="006C00FB" w:rsidRPr="00066E20" w:rsidRDefault="006C00FB" w:rsidP="0026669E">
      <w:pPr>
        <w:pStyle w:val="CETheadingx"/>
      </w:pPr>
      <w:r w:rsidRPr="00066E20">
        <w:t>Data collection and parsi</w:t>
      </w:r>
      <w:r w:rsidRPr="00066E20">
        <w:rPr>
          <w:sz w:val="20"/>
        </w:rPr>
        <w:t>n</w:t>
      </w:r>
      <w:r w:rsidRPr="00066E20">
        <w:t>g</w:t>
      </w:r>
    </w:p>
    <w:p w14:paraId="2E01D0B5" w14:textId="77777777" w:rsidR="006C00FB" w:rsidRPr="00066E20" w:rsidRDefault="006C00FB" w:rsidP="0026669E">
      <w:pPr>
        <w:pStyle w:val="CETBodytext"/>
      </w:pPr>
      <w:r w:rsidRPr="00066E20">
        <w:t>A total of 1,234 major-accident reports were collected from the European Commission’s eMARS repository. At the time of data collection, no public API for bulk programmatic access was available; therefore, reports were locally archived and converted from PDF into machine-readable text. Using a rule-based parsing routine with regular expressions anchored to common eMARS section headers, allow segmenting each report into four fields: Accident Report/Description, Causes, Consequences, and Lessons Learned. The resulting dataset was stored in tabular form with one record per accident.</w:t>
      </w:r>
    </w:p>
    <w:p w14:paraId="0B7C1656" w14:textId="77777777" w:rsidR="006C00FB" w:rsidRPr="00066E20" w:rsidRDefault="006C00FB" w:rsidP="0026669E">
      <w:pPr>
        <w:pStyle w:val="CETheadingx"/>
      </w:pPr>
      <w:r w:rsidRPr="00066E20">
        <w:t>Text preprocessing</w:t>
      </w:r>
    </w:p>
    <w:p w14:paraId="32719FE2" w14:textId="1A2948C9" w:rsidR="006C00FB" w:rsidRPr="00066E20" w:rsidRDefault="006C00FB" w:rsidP="00DC4C30">
      <w:pPr>
        <w:pStyle w:val="CETBodytext"/>
      </w:pPr>
      <w:r w:rsidRPr="00066E20">
        <w:t xml:space="preserve">Text was normalized for NLP analysis using light preprocessing, including whitespace normalization and the removal of control characters, spurious markup, and boilerplate text. Lowercasing was applied by default unless letter case encoded semantic meaning (e.g., named entities), following standard practices in text normalization (HaCohen-Kerner et al., 2020). In occupational injury and safety-report NLP, common preprocessing steps include lowercasing, punctuation and number handling, stopword removal, tokenization, and stemming or lemmatization, followed by feature construction such as n-grams, TF-IDF vectors, or embeddings (Chai, 2022). For the supervised experiments, the model input for each report was formed by concatenating the </w:t>
      </w:r>
      <w:r w:rsidRPr="00066E20">
        <w:rPr>
          <w:i/>
          <w:iCs/>
        </w:rPr>
        <w:t>Accident Report/Description</w:t>
      </w:r>
      <w:r w:rsidRPr="00066E20">
        <w:t xml:space="preserve"> and </w:t>
      </w:r>
      <w:r w:rsidRPr="00066E20">
        <w:rPr>
          <w:i/>
          <w:iCs/>
        </w:rPr>
        <w:t>Causes</w:t>
      </w:r>
      <w:r w:rsidRPr="00066E20">
        <w:t xml:space="preserve"> fields into a single text sequence. The </w:t>
      </w:r>
      <w:r w:rsidRPr="00066E20">
        <w:rPr>
          <w:i/>
          <w:iCs/>
        </w:rPr>
        <w:t>Consequences</w:t>
      </w:r>
      <w:r w:rsidRPr="00066E20">
        <w:t xml:space="preserve"> and </w:t>
      </w:r>
      <w:r w:rsidRPr="00066E20">
        <w:rPr>
          <w:i/>
          <w:iCs/>
        </w:rPr>
        <w:t>Lessons Learned</w:t>
      </w:r>
      <w:r w:rsidRPr="00066E20">
        <w:t xml:space="preserve"> fields were retained for future analysis but were not used for model training in this study. Sentence-level document representations were obtained using a pre-trained Sentence-BERT encoder (Reimers &amp; Gurevych, 2019), while static word embeddings were trained in-domain using Word2Vec (Mikolov et al., 2013).</w:t>
      </w:r>
      <w:r w:rsidR="00B12BF1" w:rsidRPr="00B12BF1">
        <w:t xml:space="preserve"> </w:t>
      </w:r>
      <w:r w:rsidR="00B12BF1" w:rsidRPr="00066E20">
        <w:t>Figure 1 summarizes the main methods proposed in this work.</w:t>
      </w:r>
    </w:p>
    <w:p w14:paraId="4C0F753F" w14:textId="77777777" w:rsidR="006C00FB" w:rsidRPr="00066E20" w:rsidRDefault="006C00FB" w:rsidP="006C00FB">
      <w:pPr>
        <w:keepNext/>
        <w:spacing w:before="120" w:after="120" w:line="240" w:lineRule="auto"/>
      </w:pPr>
    </w:p>
    <w:p w14:paraId="0811CB0E" w14:textId="77777777" w:rsidR="006C00FB" w:rsidRPr="00066E20" w:rsidRDefault="006C00FB" w:rsidP="006C00FB">
      <w:pPr>
        <w:keepNext/>
        <w:spacing w:before="120" w:after="120" w:line="240" w:lineRule="auto"/>
        <w:jc w:val="center"/>
      </w:pPr>
      <w:r w:rsidRPr="00066E20">
        <w:rPr>
          <w:noProof/>
        </w:rPr>
        <w:drawing>
          <wp:inline distT="114300" distB="114300" distL="114300" distR="114300" wp14:anchorId="1C241EA7" wp14:editId="6C3F5997">
            <wp:extent cx="5052254" cy="24098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r="-1846" b="1975"/>
                    <a:stretch>
                      <a:fillRect/>
                    </a:stretch>
                  </pic:blipFill>
                  <pic:spPr>
                    <a:xfrm>
                      <a:off x="0" y="0"/>
                      <a:ext cx="5065870" cy="2416319"/>
                    </a:xfrm>
                    <a:prstGeom prst="rect">
                      <a:avLst/>
                    </a:prstGeom>
                    <a:ln/>
                  </pic:spPr>
                </pic:pic>
              </a:graphicData>
            </a:graphic>
          </wp:inline>
        </w:drawing>
      </w:r>
    </w:p>
    <w:p w14:paraId="2DA79168" w14:textId="77777777" w:rsidR="006C00FB" w:rsidRPr="00066E20" w:rsidRDefault="006C00FB" w:rsidP="006C00FB">
      <w:pPr>
        <w:keepNext/>
        <w:spacing w:before="120" w:after="120" w:line="240" w:lineRule="auto"/>
        <w:jc w:val="center"/>
        <w:rPr>
          <w:i/>
          <w:iCs/>
        </w:rPr>
      </w:pPr>
      <w:r w:rsidRPr="00066E20">
        <w:rPr>
          <w:i/>
          <w:iCs/>
        </w:rPr>
        <w:t>Figure1. Architecture Diagram. Image created with AI.</w:t>
      </w:r>
    </w:p>
    <w:p w14:paraId="10821AE6" w14:textId="77777777" w:rsidR="006C00FB" w:rsidRPr="00066E20" w:rsidRDefault="006C00FB" w:rsidP="006C00FB">
      <w:pPr>
        <w:keepNext/>
        <w:spacing w:line="240" w:lineRule="auto"/>
      </w:pPr>
    </w:p>
    <w:p w14:paraId="6A4EB468" w14:textId="77777777" w:rsidR="006C00FB" w:rsidRPr="00066E20" w:rsidRDefault="006C00FB" w:rsidP="006C00FB">
      <w:pPr>
        <w:keepNext/>
        <w:spacing w:line="240" w:lineRule="auto"/>
        <w:jc w:val="center"/>
      </w:pPr>
    </w:p>
    <w:p w14:paraId="26FE4C05" w14:textId="77777777" w:rsidR="006C00FB" w:rsidRPr="00066E20" w:rsidRDefault="006C00FB" w:rsidP="00DC4C30">
      <w:pPr>
        <w:pStyle w:val="CETheadingx"/>
      </w:pPr>
      <w:r w:rsidRPr="00066E20">
        <w:t>Causal taxonomy and labelling</w:t>
      </w:r>
    </w:p>
    <w:p w14:paraId="04B7355C" w14:textId="77777777" w:rsidR="006C00FB" w:rsidRDefault="006C00FB" w:rsidP="00DC4C30">
      <w:pPr>
        <w:pStyle w:val="CETBodytext"/>
      </w:pPr>
      <w:r w:rsidRPr="00066E20">
        <w:t xml:space="preserve">The causal taxonomy was grounded in Process Safety frameworks (CCPS RBPS; OSHA PSM, 29 CFR 1910.119) and prior analyses of major-accident causal patterns (Baybutt, 2016; Fyffe et al., 2016; Wang, 2021). </w:t>
      </w:r>
      <w:r w:rsidRPr="00066E20">
        <w:lastRenderedPageBreak/>
        <w:t>Six single-label categories were operationalized: Procedures &amp; Operational Control, Mechanical Integrity &amp; Maintenance, Safeguards &amp; Safety Controls, Competence &amp; Human Factors, Safety Culture &amp; Leadership, and Process Risk &amp; Design. Each of the events was associated one of these labels as follows.</w:t>
      </w:r>
    </w:p>
    <w:p w14:paraId="6D27B337" w14:textId="77777777" w:rsidR="00DC4C30" w:rsidRPr="00066E20" w:rsidRDefault="00DC4C30" w:rsidP="00DC4C30">
      <w:pPr>
        <w:pStyle w:val="CETBodytext"/>
      </w:pPr>
    </w:p>
    <w:p w14:paraId="0386C039" w14:textId="77777777" w:rsidR="006C00FB" w:rsidRPr="00066E20" w:rsidRDefault="006C00FB" w:rsidP="00DC4C30">
      <w:pPr>
        <w:pStyle w:val="CETBodytext"/>
      </w:pPr>
      <w:r w:rsidRPr="00066E20">
        <w:t>Labels were generated via weak supervision using curated keyword dictionaries, causal trigger phrases (e.g., “due to”</w:t>
      </w:r>
      <w:r>
        <w:t>,</w:t>
      </w:r>
      <w:r w:rsidRPr="00066E20">
        <w:t xml:space="preserve"> “caused by</w:t>
      </w:r>
      <w:r>
        <w:t>”</w:t>
      </w:r>
      <w:r w:rsidRPr="00066E20">
        <w:t xml:space="preserve">, “failure of”), and negation rules. Evidence in the Causes section contributed a fixed score (+1.5) per match, while evidence in the Accident Report section contributed +2.0 only when occurring within a ±12-token distance of a causal trigger and not within a negated context; otherwise, it was treated as weak mention (+1.0). Scores of each category was aggregated, producing an intermediate multilabel score profile; and the supervised target </w:t>
      </w:r>
      <w:r w:rsidRPr="00881E43">
        <w:rPr>
          <w:i/>
          <w:iCs/>
        </w:rPr>
        <w:t>final_label</w:t>
      </w:r>
      <w:r w:rsidRPr="00066E20">
        <w:t xml:space="preserve"> was derived as the maximum-scoring category. Ties were resolved by a predefined priority order emphasizing technical/operational contributors (Mechanical Integrity &amp; Maintenance &gt; Procedures &amp; Operational Control &gt; Safeguards &amp; Safety Controls &gt; Competence &amp; Human Factors &gt; Process Risk &amp; Design &gt; Safety Culture &amp; Leadership). Reports with no positive evidence were marked undetermined and excluded from supervised learning, yielding 1,127 labelled reports.</w:t>
      </w:r>
    </w:p>
    <w:p w14:paraId="63890E37" w14:textId="77777777" w:rsidR="006C00FB" w:rsidRPr="00066E20" w:rsidRDefault="006C00FB" w:rsidP="00DC4C30">
      <w:pPr>
        <w:pStyle w:val="CETheadingx"/>
      </w:pPr>
      <w:r w:rsidRPr="00066E20">
        <w:rPr>
          <w:rFonts w:eastAsia="Arial"/>
        </w:rPr>
        <w:t>Embedding representations</w:t>
      </w:r>
    </w:p>
    <w:p w14:paraId="1BF34713" w14:textId="77777777" w:rsidR="006C00FB" w:rsidRPr="00066E20" w:rsidRDefault="006C00FB" w:rsidP="006C00FB">
      <w:pPr>
        <w:keepNext/>
        <w:pBdr>
          <w:top w:val="nil"/>
          <w:left w:val="nil"/>
          <w:bottom w:val="nil"/>
          <w:right w:val="nil"/>
          <w:between w:val="nil"/>
        </w:pBdr>
        <w:spacing w:before="120" w:after="120" w:line="240" w:lineRule="auto"/>
      </w:pPr>
      <w:r w:rsidRPr="00066E20">
        <w:t>Two document representations were compared.</w:t>
      </w:r>
    </w:p>
    <w:p w14:paraId="5EFA5760" w14:textId="77777777" w:rsidR="006C00FB" w:rsidRPr="00DC4C30" w:rsidRDefault="006C00FB" w:rsidP="00DC4C30">
      <w:pPr>
        <w:pStyle w:val="CETListbullets"/>
        <w:numPr>
          <w:ilvl w:val="0"/>
          <w:numId w:val="24"/>
        </w:numPr>
      </w:pPr>
      <w:r w:rsidRPr="00DC4C30">
        <w:t>Word2Vec (W2V): an in-domain skip-gram model trained on the cleaned corpus (Mikolov et al., 2013), which produces word-level vectors for each word. In this case a 200 dimension was used with a window of 10, i.e., learning with 10 words in each side. Each report was represented by mean pooling the vectors of in-vocabulary tokens from the concatenated input, producing a fixed-length document vector of 200 dimensions for each document. These vectors were L2-normalized prior to classification.</w:t>
      </w:r>
    </w:p>
    <w:p w14:paraId="44F6F5E9" w14:textId="77777777" w:rsidR="006C00FB" w:rsidRPr="00DC4C30" w:rsidRDefault="006C00FB" w:rsidP="00DC4C30">
      <w:pPr>
        <w:pStyle w:val="CETListbullets"/>
        <w:numPr>
          <w:ilvl w:val="0"/>
          <w:numId w:val="24"/>
        </w:numPr>
      </w:pPr>
      <w:r w:rsidRPr="00DC4C30">
        <w:t>Sentence-BERT (SBERT): a pre-trained bi-encoder (all-MiniLM-L6-v2) was used to encode each concatenated report into a 384-dimensional document embedding (Reimers &amp; Gurevych, 2019), capturing contextual semantics beyond lexical overlap.</w:t>
      </w:r>
    </w:p>
    <w:p w14:paraId="5144C509" w14:textId="77777777" w:rsidR="006C00FB" w:rsidRPr="00066E20" w:rsidRDefault="006C00FB" w:rsidP="00DC4C30">
      <w:pPr>
        <w:pStyle w:val="CETheadingx"/>
      </w:pPr>
      <w:r w:rsidRPr="00066E20">
        <w:rPr>
          <w:rFonts w:eastAsia="Arial"/>
        </w:rPr>
        <w:t>Classifier and evaluation</w:t>
      </w:r>
    </w:p>
    <w:p w14:paraId="5647B87E" w14:textId="77777777" w:rsidR="006C00FB" w:rsidRDefault="006C00FB" w:rsidP="006C00FB">
      <w:pPr>
        <w:keepNext/>
        <w:pBdr>
          <w:top w:val="nil"/>
          <w:left w:val="nil"/>
          <w:bottom w:val="nil"/>
          <w:right w:val="nil"/>
          <w:between w:val="nil"/>
        </w:pBdr>
        <w:spacing w:before="120" w:after="120" w:line="240" w:lineRule="auto"/>
        <w:rPr>
          <w:highlight w:val="white"/>
        </w:rPr>
      </w:pPr>
      <w:r w:rsidRPr="00066E20">
        <w:rPr>
          <w:highlight w:val="white"/>
        </w:rPr>
        <w:t xml:space="preserve">Both representations were classified using a linear SVM (Cortes &amp; Vapnik, 1995) with a balanced </w:t>
      </w:r>
      <w:proofErr w:type="spellStart"/>
      <w:r w:rsidRPr="00066E20">
        <w:rPr>
          <w:highlight w:val="white"/>
        </w:rPr>
        <w:t>class_weight</w:t>
      </w:r>
      <w:proofErr w:type="spellEnd"/>
      <w:r w:rsidRPr="00066E20">
        <w:rPr>
          <w:highlight w:val="white"/>
        </w:rPr>
        <w:t>. Performance was assessed using five-fold stratified cross-validation on the training split and a stratified 15% hold-out test for final reporting. Metrics included macro-/micro-F1, precision, recall, accuracy, balanced accuracy, and Cohen’s κ. To assess sensitivity to label fidelity, the same pipeline was additionally evaluated on an independent random subset of 389 reports that were reviewed and re-labelled with higher consistency.</w:t>
      </w:r>
    </w:p>
    <w:p w14:paraId="1EDB641A" w14:textId="665B76E5" w:rsidR="00892584" w:rsidRPr="00B12BF1" w:rsidRDefault="00F34A96" w:rsidP="00892584">
      <w:pPr>
        <w:pStyle w:val="CETBodytext"/>
      </w:pPr>
      <w:r w:rsidRPr="00B12BF1">
        <w:t>One of the main indicators is t</w:t>
      </w:r>
      <w:r w:rsidR="00892584" w:rsidRPr="00B12BF1">
        <w:t>he F1-score</w:t>
      </w:r>
      <w:r w:rsidRPr="00B12BF1">
        <w:t>, which</w:t>
      </w:r>
      <w:r w:rsidR="00892584" w:rsidRPr="00B12BF1">
        <w:t xml:space="preserve"> </w:t>
      </w:r>
      <w:r w:rsidR="009360CE" w:rsidRPr="00B12BF1">
        <w:t>summarizes model performance by balancing precision and recall. Precision asks: when the model predicts a category, how often is it correct? Recall asks: of all items that truly belong to that category, how many does the model find? F1 is high only when both are high. In multi-class problems, macro-F1 averages F1 across categories (each category counts equally), while micro-F1 computes a single overall score across all predictions (more influenced by frequent categories)</w:t>
      </w:r>
      <w:r w:rsidR="00880A94" w:rsidRPr="00B12BF1">
        <w:t xml:space="preserve"> (Takahashi et al., 202</w:t>
      </w:r>
      <w:r w:rsidR="009D78F4" w:rsidRPr="00B12BF1">
        <w:t>2</w:t>
      </w:r>
      <w:r w:rsidR="00880A94" w:rsidRPr="00B12BF1">
        <w:t>)</w:t>
      </w:r>
      <w:r w:rsidR="009360CE" w:rsidRPr="00B12BF1">
        <w:t>.</w:t>
      </w:r>
    </w:p>
    <w:p w14:paraId="187DABE4" w14:textId="77777777" w:rsidR="006C00FB" w:rsidRPr="00066E20" w:rsidRDefault="006C00FB" w:rsidP="00DC4C30">
      <w:pPr>
        <w:pStyle w:val="CETHeading1"/>
        <w:rPr>
          <w:color w:val="000000"/>
        </w:rPr>
      </w:pPr>
      <w:r w:rsidRPr="00066E20">
        <w:t>Results</w:t>
      </w:r>
    </w:p>
    <w:p w14:paraId="283815CF" w14:textId="77777777" w:rsidR="006C00FB" w:rsidRPr="00066E20" w:rsidRDefault="006C00FB" w:rsidP="00DC4C30">
      <w:pPr>
        <w:pStyle w:val="CETheadingx"/>
      </w:pPr>
      <w:r w:rsidRPr="00066E20">
        <w:t xml:space="preserve">Intrinsic Embedding Assessment </w:t>
      </w:r>
    </w:p>
    <w:p w14:paraId="0AA960B9" w14:textId="77777777" w:rsidR="006C00FB" w:rsidRPr="00066E20" w:rsidRDefault="006C00FB" w:rsidP="008C44CB">
      <w:pPr>
        <w:pStyle w:val="CETBodytext"/>
      </w:pPr>
      <w:r w:rsidRPr="00066E20">
        <w:t xml:space="preserve">An intrinsic evaluation was conducted to characterize the semantic structure of the two representations prior to supervised learning. The in-domain Word2Vec model produced a vocabulary </w:t>
      </w:r>
      <w:sdt>
        <w:sdtPr>
          <w:tag w:val="goog_rdk_1"/>
          <w:id w:val="-803715844"/>
        </w:sdtPr>
        <w:sdtContent>
          <w:r w:rsidRPr="00066E20">
            <w:rPr>
              <w:rFonts w:ascii="Arial Unicode MS" w:eastAsia="Arial Unicode MS" w:hAnsi="Arial Unicode MS" w:cs="Arial Unicode MS"/>
            </w:rPr>
            <w:t>of approximately 6,200 terms, with mean vector norm ≈ 4.52 (σ ≈ 0.43) and mean pairwise cosine ≈ 0.121</w:t>
          </w:r>
        </w:sdtContent>
      </w:sdt>
      <w:sdt>
        <w:sdtPr>
          <w:tag w:val="goog_rdk_2"/>
          <w:id w:val="-1598986616"/>
        </w:sdtPr>
        <w:sdtContent>
          <w:r w:rsidRPr="00066E20">
            <w:rPr>
              <w:rFonts w:ascii="Arial Unicode MS" w:eastAsia="Arial Unicode MS" w:hAnsi="Arial Unicode MS" w:cs="Arial Unicode MS"/>
            </w:rPr>
            <w:t xml:space="preserve">, indicating a non-collapsed embedding space. Qualitative probes showed domain-relevant neighbourhoods (e.g., corrosion–pitting–erosion; alarm–interlock; emergency–response), supporting the ability of the model to capture technical co-occurrence patterns, although some critical acronyms were out-of-vocabulary (e.g., </w:t>
          </w:r>
          <w:proofErr w:type="spellStart"/>
          <w:r w:rsidRPr="00066E20">
            <w:rPr>
              <w:rFonts w:ascii="Arial Unicode MS" w:eastAsia="Arial Unicode MS" w:hAnsi="Arial Unicode MS" w:cs="Arial Unicode MS"/>
            </w:rPr>
            <w:t>psv</w:t>
          </w:r>
          <w:proofErr w:type="spellEnd"/>
          <w:r w:rsidRPr="00066E20">
            <w:rPr>
              <w:rFonts w:ascii="Arial Unicode MS" w:eastAsia="Arial Unicode MS" w:hAnsi="Arial Unicode MS" w:cs="Arial Unicode MS"/>
            </w:rPr>
            <w:t>) and polysemous tokens occasionally produced noisy neighbours. Sentence-BERT generated 384-dimensional unit-normalized document embeddings for 1,127 reports, with mean pairwise cosine ≈ 0.379. Concept-level similarities were consistent with process-safety semantics (e.g., interlock–safeguards ≈ 0.445; mechanical integrity–inspection ≈ 0.403; design–mechanical integrity ≈ 0.439), and nearest-neighbour retrieval returned reports aligned with seed concepts (e.g., SIS failures, emergency response, maintenance-related failures), indicating strong contextual coherence at the document level. Table 1 summarizes the main intrinsic properties.</w:t>
          </w:r>
        </w:sdtContent>
      </w:sdt>
    </w:p>
    <w:p w14:paraId="1EF0475D" w14:textId="77777777" w:rsidR="006C00FB" w:rsidRPr="00066E20" w:rsidRDefault="006C00FB" w:rsidP="008C44CB">
      <w:pPr>
        <w:pStyle w:val="CETTabletitle"/>
        <w:rPr>
          <w:highlight w:val="white"/>
        </w:rPr>
      </w:pPr>
      <w:r w:rsidRPr="00066E20">
        <w:lastRenderedPageBreak/>
        <w:t>Tabl</w:t>
      </w:r>
      <w:r w:rsidRPr="00066E20">
        <w:rPr>
          <w:highlight w:val="white"/>
        </w:rPr>
        <w:t>e 1: Intrinsic properties of document representations (eMARS).</w:t>
      </w:r>
    </w:p>
    <w:p w14:paraId="02EE906F" w14:textId="77777777" w:rsidR="006C00FB" w:rsidRPr="00066E20" w:rsidRDefault="006C00FB" w:rsidP="006C00FB">
      <w:pPr>
        <w:keepNext/>
        <w:spacing w:before="240" w:after="80" w:line="240" w:lineRule="auto"/>
        <w:jc w:val="left"/>
      </w:pPr>
    </w:p>
    <w:tbl>
      <w:tblPr>
        <w:tblW w:w="8580" w:type="dxa"/>
        <w:tblBorders>
          <w:top w:val="nil"/>
          <w:left w:val="nil"/>
          <w:bottom w:val="nil"/>
          <w:right w:val="nil"/>
          <w:insideH w:val="nil"/>
          <w:insideV w:val="nil"/>
        </w:tblBorders>
        <w:tblLayout w:type="fixed"/>
        <w:tblLook w:val="0600" w:firstRow="0" w:lastRow="0" w:firstColumn="0" w:lastColumn="0" w:noHBand="1" w:noVBand="1"/>
      </w:tblPr>
      <w:tblGrid>
        <w:gridCol w:w="1815"/>
        <w:gridCol w:w="1515"/>
        <w:gridCol w:w="1950"/>
        <w:gridCol w:w="3300"/>
      </w:tblGrid>
      <w:tr w:rsidR="006C00FB" w:rsidRPr="000F4289" w14:paraId="563366CD" w14:textId="77777777" w:rsidTr="007B12C3">
        <w:tc>
          <w:tcPr>
            <w:tcW w:w="1815" w:type="dxa"/>
            <w:tcBorders>
              <w:top w:val="single" w:sz="12" w:space="0" w:color="008000"/>
              <w:left w:val="nil"/>
              <w:bottom w:val="single" w:sz="8" w:space="0" w:color="008000"/>
              <w:right w:val="nil"/>
            </w:tcBorders>
            <w:tcMar>
              <w:top w:w="0" w:type="dxa"/>
              <w:left w:w="0" w:type="dxa"/>
              <w:bottom w:w="0" w:type="dxa"/>
              <w:right w:w="0" w:type="dxa"/>
            </w:tcMar>
          </w:tcPr>
          <w:p w14:paraId="1527970B" w14:textId="77777777" w:rsidR="006C00FB" w:rsidRPr="000F4289" w:rsidRDefault="006C00FB" w:rsidP="00EE0408">
            <w:pPr>
              <w:pStyle w:val="CETBodytext"/>
              <w:jc w:val="center"/>
            </w:pPr>
            <w:r w:rsidRPr="000F4289">
              <w:t>Metric/Property</w:t>
            </w:r>
          </w:p>
        </w:tc>
        <w:tc>
          <w:tcPr>
            <w:tcW w:w="1515" w:type="dxa"/>
            <w:tcBorders>
              <w:top w:val="single" w:sz="12" w:space="0" w:color="008000"/>
              <w:left w:val="nil"/>
              <w:bottom w:val="single" w:sz="8" w:space="0" w:color="008000"/>
              <w:right w:val="nil"/>
            </w:tcBorders>
            <w:tcMar>
              <w:top w:w="0" w:type="dxa"/>
              <w:left w:w="0" w:type="dxa"/>
              <w:bottom w:w="0" w:type="dxa"/>
              <w:right w:w="0" w:type="dxa"/>
            </w:tcMar>
          </w:tcPr>
          <w:p w14:paraId="2ADA34A0" w14:textId="77777777" w:rsidR="006C00FB" w:rsidRPr="000F4289" w:rsidRDefault="006C00FB" w:rsidP="00EE0408">
            <w:pPr>
              <w:pStyle w:val="CETBodytext"/>
              <w:jc w:val="center"/>
            </w:pPr>
            <w:r w:rsidRPr="000F4289">
              <w:t>Word2Vec</w:t>
            </w:r>
          </w:p>
        </w:tc>
        <w:tc>
          <w:tcPr>
            <w:tcW w:w="1950" w:type="dxa"/>
            <w:tcBorders>
              <w:top w:val="single" w:sz="12" w:space="0" w:color="008000"/>
              <w:left w:val="nil"/>
              <w:bottom w:val="single" w:sz="8" w:space="0" w:color="008000"/>
              <w:right w:val="nil"/>
            </w:tcBorders>
            <w:tcMar>
              <w:top w:w="0" w:type="dxa"/>
              <w:left w:w="0" w:type="dxa"/>
              <w:bottom w:w="0" w:type="dxa"/>
              <w:right w:w="0" w:type="dxa"/>
            </w:tcMar>
          </w:tcPr>
          <w:p w14:paraId="1021AE60" w14:textId="77777777" w:rsidR="006C00FB" w:rsidRPr="000F4289" w:rsidRDefault="006C00FB" w:rsidP="00EE0408">
            <w:pPr>
              <w:pStyle w:val="CETBodytext"/>
              <w:jc w:val="center"/>
            </w:pPr>
            <w:r w:rsidRPr="000F4289">
              <w:t>SBERT (all-MiniLM-L6-v2)</w:t>
            </w:r>
          </w:p>
        </w:tc>
        <w:tc>
          <w:tcPr>
            <w:tcW w:w="3300" w:type="dxa"/>
            <w:tcBorders>
              <w:top w:val="single" w:sz="12" w:space="0" w:color="008000"/>
              <w:left w:val="nil"/>
              <w:bottom w:val="single" w:sz="8" w:space="0" w:color="008000"/>
              <w:right w:val="nil"/>
            </w:tcBorders>
            <w:tcMar>
              <w:top w:w="0" w:type="dxa"/>
              <w:left w:w="0" w:type="dxa"/>
              <w:bottom w:w="0" w:type="dxa"/>
              <w:right w:w="0" w:type="dxa"/>
            </w:tcMar>
          </w:tcPr>
          <w:p w14:paraId="772B60F4" w14:textId="77777777" w:rsidR="006C00FB" w:rsidRPr="000F4289" w:rsidRDefault="006C00FB" w:rsidP="00EE0408">
            <w:pPr>
              <w:pStyle w:val="CETBodytext"/>
              <w:jc w:val="center"/>
            </w:pPr>
            <w:r w:rsidRPr="000F4289">
              <w:t>Interpretation</w:t>
            </w:r>
          </w:p>
        </w:tc>
      </w:tr>
      <w:tr w:rsidR="006C00FB" w:rsidRPr="000F4289" w14:paraId="1DC3DEE2" w14:textId="77777777" w:rsidTr="007B12C3">
        <w:tc>
          <w:tcPr>
            <w:tcW w:w="1815" w:type="dxa"/>
            <w:tcBorders>
              <w:top w:val="nil"/>
              <w:left w:val="nil"/>
              <w:bottom w:val="nil"/>
              <w:right w:val="nil"/>
            </w:tcBorders>
            <w:tcMar>
              <w:top w:w="0" w:type="dxa"/>
              <w:left w:w="0" w:type="dxa"/>
              <w:bottom w:w="0" w:type="dxa"/>
              <w:right w:w="0" w:type="dxa"/>
            </w:tcMar>
          </w:tcPr>
          <w:p w14:paraId="0CFBB18C" w14:textId="77777777" w:rsidR="006C00FB" w:rsidRPr="000F4289" w:rsidRDefault="006C00FB" w:rsidP="007B12C3">
            <w:pPr>
              <w:pStyle w:val="CETBodytext"/>
            </w:pPr>
            <w:r w:rsidRPr="000F4289">
              <w:t>Representation level</w:t>
            </w:r>
          </w:p>
        </w:tc>
        <w:tc>
          <w:tcPr>
            <w:tcW w:w="1515" w:type="dxa"/>
            <w:tcBorders>
              <w:top w:val="nil"/>
              <w:left w:val="nil"/>
              <w:bottom w:val="nil"/>
              <w:right w:val="nil"/>
            </w:tcBorders>
            <w:tcMar>
              <w:top w:w="0" w:type="dxa"/>
              <w:left w:w="0" w:type="dxa"/>
              <w:bottom w:w="0" w:type="dxa"/>
              <w:right w:w="0" w:type="dxa"/>
            </w:tcMar>
          </w:tcPr>
          <w:p w14:paraId="2ED710FE" w14:textId="77777777" w:rsidR="006C00FB" w:rsidRPr="000F4289" w:rsidRDefault="006C00FB" w:rsidP="007B12C3">
            <w:pPr>
              <w:pStyle w:val="CETBodytext"/>
            </w:pPr>
            <w:r w:rsidRPr="000F4289">
              <w:t>Word (averaged to document)</w:t>
            </w:r>
          </w:p>
        </w:tc>
        <w:tc>
          <w:tcPr>
            <w:tcW w:w="1950" w:type="dxa"/>
            <w:tcBorders>
              <w:top w:val="nil"/>
              <w:left w:val="nil"/>
              <w:bottom w:val="nil"/>
              <w:right w:val="nil"/>
            </w:tcBorders>
            <w:tcMar>
              <w:top w:w="0" w:type="dxa"/>
              <w:left w:w="0" w:type="dxa"/>
              <w:bottom w:w="0" w:type="dxa"/>
              <w:right w:w="0" w:type="dxa"/>
            </w:tcMar>
          </w:tcPr>
          <w:p w14:paraId="0BB39E8B" w14:textId="77777777" w:rsidR="006C00FB" w:rsidRPr="000F4289" w:rsidRDefault="006C00FB" w:rsidP="007B12C3">
            <w:pPr>
              <w:pStyle w:val="CETBodytext"/>
            </w:pPr>
            <w:r w:rsidRPr="000F4289">
              <w:t>Sentence/Document (contextual)</w:t>
            </w:r>
          </w:p>
        </w:tc>
        <w:tc>
          <w:tcPr>
            <w:tcW w:w="3300" w:type="dxa"/>
            <w:tcBorders>
              <w:top w:val="nil"/>
              <w:left w:val="nil"/>
              <w:bottom w:val="nil"/>
              <w:right w:val="nil"/>
            </w:tcBorders>
            <w:tcMar>
              <w:top w:w="0" w:type="dxa"/>
              <w:left w:w="0" w:type="dxa"/>
              <w:bottom w:w="0" w:type="dxa"/>
              <w:right w:w="0" w:type="dxa"/>
            </w:tcMar>
          </w:tcPr>
          <w:p w14:paraId="04D5EBCE" w14:textId="77777777" w:rsidR="006C00FB" w:rsidRPr="000F4289" w:rsidRDefault="006C00FB" w:rsidP="007B12C3">
            <w:pPr>
              <w:pStyle w:val="CETBodytext"/>
            </w:pPr>
            <w:r w:rsidRPr="000F4289">
              <w:t>SBERT encodes context beyond surface lexicon</w:t>
            </w:r>
          </w:p>
        </w:tc>
      </w:tr>
      <w:tr w:rsidR="006C00FB" w:rsidRPr="000F4289" w14:paraId="015B4684" w14:textId="77777777" w:rsidTr="007B12C3">
        <w:tc>
          <w:tcPr>
            <w:tcW w:w="1815" w:type="dxa"/>
            <w:tcBorders>
              <w:top w:val="nil"/>
              <w:left w:val="nil"/>
              <w:bottom w:val="nil"/>
              <w:right w:val="nil"/>
            </w:tcBorders>
            <w:tcMar>
              <w:top w:w="0" w:type="dxa"/>
              <w:left w:w="0" w:type="dxa"/>
              <w:bottom w:w="0" w:type="dxa"/>
              <w:right w:w="0" w:type="dxa"/>
            </w:tcMar>
          </w:tcPr>
          <w:p w14:paraId="7E4A3B8C" w14:textId="77777777" w:rsidR="006C00FB" w:rsidRPr="000F4289" w:rsidRDefault="006C00FB" w:rsidP="007B12C3">
            <w:pPr>
              <w:pStyle w:val="CETBodytext"/>
            </w:pPr>
            <w:r w:rsidRPr="000F4289">
              <w:t>Vocabulary / Documents</w:t>
            </w:r>
          </w:p>
        </w:tc>
        <w:tc>
          <w:tcPr>
            <w:tcW w:w="1515" w:type="dxa"/>
            <w:tcBorders>
              <w:top w:val="nil"/>
              <w:left w:val="nil"/>
              <w:bottom w:val="nil"/>
              <w:right w:val="nil"/>
            </w:tcBorders>
            <w:tcMar>
              <w:top w:w="0" w:type="dxa"/>
              <w:left w:w="0" w:type="dxa"/>
              <w:bottom w:w="0" w:type="dxa"/>
              <w:right w:w="0" w:type="dxa"/>
            </w:tcMar>
          </w:tcPr>
          <w:p w14:paraId="00DB5396" w14:textId="77777777" w:rsidR="006C00FB" w:rsidRPr="000F4289" w:rsidRDefault="00000000" w:rsidP="007B12C3">
            <w:pPr>
              <w:pStyle w:val="CETBodytext"/>
            </w:pPr>
            <w:sdt>
              <w:sdtPr>
                <w:tag w:val="goog_rdk_3"/>
                <w:id w:val="-1826955751"/>
              </w:sdtPr>
              <w:sdtContent>
                <w:r w:rsidR="006C00FB" w:rsidRPr="000F4289">
                  <w:rPr>
                    <w:rFonts w:eastAsia="Arial Unicode MS"/>
                  </w:rPr>
                  <w:t>≈6,200 terms</w:t>
                </w:r>
              </w:sdtContent>
            </w:sdt>
          </w:p>
        </w:tc>
        <w:tc>
          <w:tcPr>
            <w:tcW w:w="1950" w:type="dxa"/>
            <w:tcBorders>
              <w:top w:val="nil"/>
              <w:left w:val="nil"/>
              <w:bottom w:val="nil"/>
              <w:right w:val="nil"/>
            </w:tcBorders>
            <w:tcMar>
              <w:top w:w="0" w:type="dxa"/>
              <w:left w:w="0" w:type="dxa"/>
              <w:bottom w:w="0" w:type="dxa"/>
              <w:right w:w="0" w:type="dxa"/>
            </w:tcMar>
          </w:tcPr>
          <w:p w14:paraId="7922605B" w14:textId="77777777" w:rsidR="006C00FB" w:rsidRPr="000F4289" w:rsidRDefault="006C00FB" w:rsidP="007B12C3">
            <w:pPr>
              <w:pStyle w:val="CETBodytext"/>
            </w:pPr>
            <w:r w:rsidRPr="000F4289">
              <w:t>1,127 documents</w:t>
            </w:r>
          </w:p>
        </w:tc>
        <w:tc>
          <w:tcPr>
            <w:tcW w:w="3300" w:type="dxa"/>
            <w:tcBorders>
              <w:top w:val="nil"/>
              <w:left w:val="nil"/>
              <w:bottom w:val="nil"/>
              <w:right w:val="nil"/>
            </w:tcBorders>
            <w:tcMar>
              <w:top w:w="0" w:type="dxa"/>
              <w:left w:w="0" w:type="dxa"/>
              <w:bottom w:w="0" w:type="dxa"/>
              <w:right w:w="0" w:type="dxa"/>
            </w:tcMar>
          </w:tcPr>
          <w:p w14:paraId="36D76C1C" w14:textId="77777777" w:rsidR="006C00FB" w:rsidRPr="000F4289" w:rsidRDefault="006C00FB" w:rsidP="007B12C3">
            <w:pPr>
              <w:pStyle w:val="CETBodytext"/>
            </w:pPr>
            <w:r w:rsidRPr="000F4289">
              <w:t>Lexical coverage vs. document coverage</w:t>
            </w:r>
          </w:p>
        </w:tc>
      </w:tr>
      <w:tr w:rsidR="006C00FB" w:rsidRPr="000F4289" w14:paraId="540687CE" w14:textId="77777777" w:rsidTr="007B12C3">
        <w:tc>
          <w:tcPr>
            <w:tcW w:w="1815" w:type="dxa"/>
            <w:tcBorders>
              <w:top w:val="nil"/>
              <w:left w:val="nil"/>
              <w:bottom w:val="nil"/>
              <w:right w:val="nil"/>
            </w:tcBorders>
            <w:tcMar>
              <w:top w:w="0" w:type="dxa"/>
              <w:left w:w="0" w:type="dxa"/>
              <w:bottom w:w="0" w:type="dxa"/>
              <w:right w:w="0" w:type="dxa"/>
            </w:tcMar>
          </w:tcPr>
          <w:p w14:paraId="25ACEF5A" w14:textId="77777777" w:rsidR="006C00FB" w:rsidRPr="000F4289" w:rsidRDefault="006C00FB" w:rsidP="007B12C3">
            <w:pPr>
              <w:pStyle w:val="CETBodytext"/>
            </w:pPr>
            <w:r w:rsidRPr="000F4289">
              <w:t>Embedding dimension</w:t>
            </w:r>
          </w:p>
        </w:tc>
        <w:tc>
          <w:tcPr>
            <w:tcW w:w="1515" w:type="dxa"/>
            <w:tcBorders>
              <w:top w:val="nil"/>
              <w:left w:val="nil"/>
              <w:bottom w:val="nil"/>
              <w:right w:val="nil"/>
            </w:tcBorders>
            <w:tcMar>
              <w:top w:w="0" w:type="dxa"/>
              <w:left w:w="0" w:type="dxa"/>
              <w:bottom w:w="0" w:type="dxa"/>
              <w:right w:w="0" w:type="dxa"/>
            </w:tcMar>
          </w:tcPr>
          <w:p w14:paraId="7667086A" w14:textId="77777777" w:rsidR="006C00FB" w:rsidRPr="000F4289" w:rsidRDefault="006C00FB" w:rsidP="007B12C3">
            <w:pPr>
              <w:pStyle w:val="CETBodytext"/>
            </w:pPr>
            <w:r w:rsidRPr="000F4289">
              <w:t>200</w:t>
            </w:r>
          </w:p>
        </w:tc>
        <w:tc>
          <w:tcPr>
            <w:tcW w:w="1950" w:type="dxa"/>
            <w:tcBorders>
              <w:top w:val="nil"/>
              <w:left w:val="nil"/>
              <w:bottom w:val="nil"/>
              <w:right w:val="nil"/>
            </w:tcBorders>
            <w:tcMar>
              <w:top w:w="0" w:type="dxa"/>
              <w:left w:w="0" w:type="dxa"/>
              <w:bottom w:w="0" w:type="dxa"/>
              <w:right w:w="0" w:type="dxa"/>
            </w:tcMar>
          </w:tcPr>
          <w:p w14:paraId="69BAC31A" w14:textId="77777777" w:rsidR="006C00FB" w:rsidRPr="000F4289" w:rsidRDefault="006C00FB" w:rsidP="007B12C3">
            <w:pPr>
              <w:pStyle w:val="CETBodytext"/>
            </w:pPr>
            <w:r w:rsidRPr="000F4289">
              <w:t>384</w:t>
            </w:r>
          </w:p>
        </w:tc>
        <w:tc>
          <w:tcPr>
            <w:tcW w:w="3300" w:type="dxa"/>
            <w:tcBorders>
              <w:top w:val="nil"/>
              <w:left w:val="nil"/>
              <w:bottom w:val="nil"/>
              <w:right w:val="nil"/>
            </w:tcBorders>
            <w:tcMar>
              <w:top w:w="0" w:type="dxa"/>
              <w:left w:w="0" w:type="dxa"/>
              <w:bottom w:w="0" w:type="dxa"/>
              <w:right w:w="0" w:type="dxa"/>
            </w:tcMar>
          </w:tcPr>
          <w:p w14:paraId="3CDBB6F4" w14:textId="77777777" w:rsidR="006C00FB" w:rsidRPr="000F4289" w:rsidRDefault="006C00FB" w:rsidP="007B12C3">
            <w:pPr>
              <w:pStyle w:val="CETBodytext"/>
            </w:pPr>
            <w:r w:rsidRPr="000F4289">
              <w:t>Higher contextual capacity in SBERT</w:t>
            </w:r>
          </w:p>
        </w:tc>
      </w:tr>
      <w:tr w:rsidR="006C00FB" w:rsidRPr="000F4289" w14:paraId="66A72896" w14:textId="77777777" w:rsidTr="007B12C3">
        <w:tc>
          <w:tcPr>
            <w:tcW w:w="1815" w:type="dxa"/>
            <w:tcBorders>
              <w:top w:val="nil"/>
              <w:left w:val="nil"/>
              <w:bottom w:val="nil"/>
              <w:right w:val="nil"/>
            </w:tcBorders>
            <w:tcMar>
              <w:top w:w="0" w:type="dxa"/>
              <w:left w:w="0" w:type="dxa"/>
              <w:bottom w:w="0" w:type="dxa"/>
              <w:right w:w="0" w:type="dxa"/>
            </w:tcMar>
          </w:tcPr>
          <w:p w14:paraId="1994C986" w14:textId="77777777" w:rsidR="006C00FB" w:rsidRPr="000F4289" w:rsidRDefault="006C00FB" w:rsidP="007B12C3">
            <w:pPr>
              <w:pStyle w:val="CETBodytext"/>
            </w:pPr>
            <w:r w:rsidRPr="000F4289">
              <w:t>Mean pairwise cosine</w:t>
            </w:r>
          </w:p>
        </w:tc>
        <w:tc>
          <w:tcPr>
            <w:tcW w:w="1515" w:type="dxa"/>
            <w:tcBorders>
              <w:top w:val="nil"/>
              <w:left w:val="nil"/>
              <w:bottom w:val="nil"/>
              <w:right w:val="nil"/>
            </w:tcBorders>
            <w:tcMar>
              <w:top w:w="0" w:type="dxa"/>
              <w:left w:w="0" w:type="dxa"/>
              <w:bottom w:w="0" w:type="dxa"/>
              <w:right w:w="0" w:type="dxa"/>
            </w:tcMar>
          </w:tcPr>
          <w:p w14:paraId="7C03CB6E" w14:textId="77777777" w:rsidR="006C00FB" w:rsidRPr="000F4289" w:rsidRDefault="00000000" w:rsidP="007B12C3">
            <w:pPr>
              <w:pStyle w:val="CETBodytext"/>
            </w:pPr>
            <w:sdt>
              <w:sdtPr>
                <w:tag w:val="goog_rdk_4"/>
                <w:id w:val="-142949011"/>
              </w:sdtPr>
              <w:sdtContent>
                <w:r w:rsidR="006C00FB" w:rsidRPr="000F4289">
                  <w:rPr>
                    <w:rFonts w:eastAsia="Arial Unicode MS"/>
                  </w:rPr>
                  <w:t>≈0.121</w:t>
                </w:r>
              </w:sdtContent>
            </w:sdt>
          </w:p>
        </w:tc>
        <w:tc>
          <w:tcPr>
            <w:tcW w:w="1950" w:type="dxa"/>
            <w:tcBorders>
              <w:top w:val="nil"/>
              <w:left w:val="nil"/>
              <w:bottom w:val="nil"/>
              <w:right w:val="nil"/>
            </w:tcBorders>
            <w:tcMar>
              <w:top w:w="0" w:type="dxa"/>
              <w:left w:w="0" w:type="dxa"/>
              <w:bottom w:w="0" w:type="dxa"/>
              <w:right w:w="0" w:type="dxa"/>
            </w:tcMar>
          </w:tcPr>
          <w:p w14:paraId="38A02C2E" w14:textId="77777777" w:rsidR="006C00FB" w:rsidRPr="000F4289" w:rsidRDefault="00000000" w:rsidP="007B12C3">
            <w:pPr>
              <w:pStyle w:val="CETBodytext"/>
            </w:pPr>
            <w:sdt>
              <w:sdtPr>
                <w:tag w:val="goog_rdk_5"/>
                <w:id w:val="2036150585"/>
              </w:sdtPr>
              <w:sdtContent>
                <w:r w:rsidR="006C00FB" w:rsidRPr="000F4289">
                  <w:rPr>
                    <w:rFonts w:eastAsia="Arial Unicode MS"/>
                  </w:rPr>
                  <w:t>≈0.379</w:t>
                </w:r>
              </w:sdtContent>
            </w:sdt>
          </w:p>
        </w:tc>
        <w:tc>
          <w:tcPr>
            <w:tcW w:w="3300" w:type="dxa"/>
            <w:tcBorders>
              <w:top w:val="nil"/>
              <w:left w:val="nil"/>
              <w:bottom w:val="nil"/>
              <w:right w:val="nil"/>
            </w:tcBorders>
            <w:tcMar>
              <w:top w:w="0" w:type="dxa"/>
              <w:left w:w="0" w:type="dxa"/>
              <w:bottom w:w="0" w:type="dxa"/>
              <w:right w:w="0" w:type="dxa"/>
            </w:tcMar>
          </w:tcPr>
          <w:p w14:paraId="73CBA5DE" w14:textId="77777777" w:rsidR="006C00FB" w:rsidRPr="000F4289" w:rsidRDefault="006C00FB" w:rsidP="007B12C3">
            <w:pPr>
              <w:pStyle w:val="CETBodytext"/>
            </w:pPr>
            <w:r w:rsidRPr="000F4289">
              <w:t>SBERT is denser/anisotropic yet non-collapsed</w:t>
            </w:r>
          </w:p>
        </w:tc>
      </w:tr>
      <w:tr w:rsidR="006C00FB" w:rsidRPr="000F4289" w14:paraId="246E5420" w14:textId="77777777" w:rsidTr="007B12C3">
        <w:tc>
          <w:tcPr>
            <w:tcW w:w="1815" w:type="dxa"/>
            <w:tcBorders>
              <w:top w:val="nil"/>
              <w:left w:val="nil"/>
              <w:bottom w:val="nil"/>
              <w:right w:val="nil"/>
            </w:tcBorders>
            <w:tcMar>
              <w:top w:w="0" w:type="dxa"/>
              <w:left w:w="0" w:type="dxa"/>
              <w:bottom w:w="0" w:type="dxa"/>
              <w:right w:w="0" w:type="dxa"/>
            </w:tcMar>
          </w:tcPr>
          <w:p w14:paraId="35CCF4E9" w14:textId="77777777" w:rsidR="006C00FB" w:rsidRPr="000F4289" w:rsidRDefault="006C00FB" w:rsidP="007B12C3">
            <w:pPr>
              <w:pStyle w:val="CETBodytext"/>
            </w:pPr>
            <w:r w:rsidRPr="000F4289">
              <w:t>Mean vector norm</w:t>
            </w:r>
          </w:p>
        </w:tc>
        <w:tc>
          <w:tcPr>
            <w:tcW w:w="1515" w:type="dxa"/>
            <w:tcBorders>
              <w:top w:val="nil"/>
              <w:left w:val="nil"/>
              <w:bottom w:val="nil"/>
              <w:right w:val="nil"/>
            </w:tcBorders>
            <w:tcMar>
              <w:top w:w="0" w:type="dxa"/>
              <w:left w:w="0" w:type="dxa"/>
              <w:bottom w:w="0" w:type="dxa"/>
              <w:right w:w="0" w:type="dxa"/>
            </w:tcMar>
          </w:tcPr>
          <w:p w14:paraId="12DC5023" w14:textId="77777777" w:rsidR="006C00FB" w:rsidRPr="000F4289" w:rsidRDefault="00000000" w:rsidP="007B12C3">
            <w:pPr>
              <w:pStyle w:val="CETBodytext"/>
            </w:pPr>
            <w:sdt>
              <w:sdtPr>
                <w:tag w:val="goog_rdk_6"/>
                <w:id w:val="-1553030252"/>
              </w:sdtPr>
              <w:sdtContent>
                <w:r w:rsidR="006C00FB" w:rsidRPr="000F4289">
                  <w:rPr>
                    <w:rFonts w:eastAsia="Arial Unicode MS"/>
                  </w:rPr>
                  <w:t>≈4.52</w:t>
                </w:r>
              </w:sdtContent>
            </w:sdt>
          </w:p>
        </w:tc>
        <w:tc>
          <w:tcPr>
            <w:tcW w:w="1950" w:type="dxa"/>
            <w:tcBorders>
              <w:top w:val="nil"/>
              <w:left w:val="nil"/>
              <w:bottom w:val="nil"/>
              <w:right w:val="nil"/>
            </w:tcBorders>
            <w:tcMar>
              <w:top w:w="0" w:type="dxa"/>
              <w:left w:w="0" w:type="dxa"/>
              <w:bottom w:w="0" w:type="dxa"/>
              <w:right w:w="0" w:type="dxa"/>
            </w:tcMar>
          </w:tcPr>
          <w:p w14:paraId="28FAF8C0" w14:textId="77777777" w:rsidR="006C00FB" w:rsidRPr="000F4289" w:rsidRDefault="006C00FB" w:rsidP="007B12C3">
            <w:pPr>
              <w:pStyle w:val="CETBodytext"/>
            </w:pPr>
            <w:r w:rsidRPr="000F4289">
              <w:t>1.00 (unit-norm)</w:t>
            </w:r>
          </w:p>
        </w:tc>
        <w:tc>
          <w:tcPr>
            <w:tcW w:w="3300" w:type="dxa"/>
            <w:tcBorders>
              <w:top w:val="nil"/>
              <w:left w:val="nil"/>
              <w:bottom w:val="nil"/>
              <w:right w:val="nil"/>
            </w:tcBorders>
            <w:tcMar>
              <w:top w:w="0" w:type="dxa"/>
              <w:left w:w="0" w:type="dxa"/>
              <w:bottom w:w="0" w:type="dxa"/>
              <w:right w:w="0" w:type="dxa"/>
            </w:tcMar>
          </w:tcPr>
          <w:p w14:paraId="3F25B3C5" w14:textId="77777777" w:rsidR="006C00FB" w:rsidRPr="000F4289" w:rsidRDefault="006C00FB" w:rsidP="007B12C3">
            <w:pPr>
              <w:pStyle w:val="CETBodytext"/>
            </w:pPr>
            <w:r w:rsidRPr="000F4289">
              <w:t>SBERT standardizes magnitudes</w:t>
            </w:r>
          </w:p>
        </w:tc>
      </w:tr>
      <w:tr w:rsidR="006C00FB" w:rsidRPr="000F4289" w14:paraId="2BFD5E31" w14:textId="77777777" w:rsidTr="007B12C3">
        <w:tc>
          <w:tcPr>
            <w:tcW w:w="1815" w:type="dxa"/>
            <w:tcBorders>
              <w:top w:val="nil"/>
              <w:left w:val="nil"/>
              <w:bottom w:val="single" w:sz="12" w:space="0" w:color="008000"/>
              <w:right w:val="nil"/>
            </w:tcBorders>
            <w:tcMar>
              <w:top w:w="0" w:type="dxa"/>
              <w:left w:w="0" w:type="dxa"/>
              <w:bottom w:w="0" w:type="dxa"/>
              <w:right w:w="0" w:type="dxa"/>
            </w:tcMar>
          </w:tcPr>
          <w:p w14:paraId="379E1502" w14:textId="77777777" w:rsidR="006C00FB" w:rsidRPr="000F4289" w:rsidRDefault="006C00FB" w:rsidP="007B12C3">
            <w:pPr>
              <w:pStyle w:val="CETBodytext"/>
            </w:pPr>
            <w:r w:rsidRPr="000F4289">
              <w:t xml:space="preserve"> Concept-level similarities</w:t>
            </w:r>
          </w:p>
        </w:tc>
        <w:tc>
          <w:tcPr>
            <w:tcW w:w="1515" w:type="dxa"/>
            <w:tcBorders>
              <w:top w:val="nil"/>
              <w:left w:val="nil"/>
              <w:bottom w:val="single" w:sz="12" w:space="0" w:color="008000"/>
              <w:right w:val="nil"/>
            </w:tcBorders>
            <w:tcMar>
              <w:top w:w="0" w:type="dxa"/>
              <w:left w:w="0" w:type="dxa"/>
              <w:bottom w:w="0" w:type="dxa"/>
              <w:right w:w="0" w:type="dxa"/>
            </w:tcMar>
          </w:tcPr>
          <w:p w14:paraId="4698CF35" w14:textId="77777777" w:rsidR="006C00FB" w:rsidRPr="000F4289" w:rsidRDefault="006C00FB" w:rsidP="007B12C3">
            <w:pPr>
              <w:pStyle w:val="CETBodytext"/>
            </w:pPr>
            <w:r w:rsidRPr="000F4289">
              <w:t xml:space="preserve"> Coherent but variable</w:t>
            </w:r>
          </w:p>
        </w:tc>
        <w:tc>
          <w:tcPr>
            <w:tcW w:w="1950" w:type="dxa"/>
            <w:tcBorders>
              <w:top w:val="nil"/>
              <w:left w:val="nil"/>
              <w:bottom w:val="single" w:sz="12" w:space="0" w:color="008000"/>
              <w:right w:val="nil"/>
            </w:tcBorders>
            <w:tcMar>
              <w:top w:w="0" w:type="dxa"/>
              <w:left w:w="0" w:type="dxa"/>
              <w:bottom w:w="0" w:type="dxa"/>
              <w:right w:w="0" w:type="dxa"/>
            </w:tcMar>
          </w:tcPr>
          <w:p w14:paraId="6F520A27" w14:textId="77777777" w:rsidR="006C00FB" w:rsidRPr="000F4289" w:rsidRDefault="00000000" w:rsidP="007B12C3">
            <w:pPr>
              <w:pStyle w:val="CETBodytext"/>
            </w:pPr>
            <w:sdt>
              <w:sdtPr>
                <w:tag w:val="goog_rdk_7"/>
                <w:id w:val="1013805170"/>
              </w:sdtPr>
              <w:sdtContent>
                <w:r w:rsidR="006C00FB" w:rsidRPr="000F4289">
                  <w:rPr>
                    <w:rFonts w:eastAsia="Arial Unicode MS"/>
                  </w:rPr>
                  <w:t xml:space="preserve"> Coherent and explainable (e.g., interlock–safeguards ≈0.445)</w:t>
                </w:r>
              </w:sdtContent>
            </w:sdt>
          </w:p>
        </w:tc>
        <w:tc>
          <w:tcPr>
            <w:tcW w:w="3300" w:type="dxa"/>
            <w:tcBorders>
              <w:top w:val="nil"/>
              <w:left w:val="nil"/>
              <w:bottom w:val="single" w:sz="12" w:space="0" w:color="008000"/>
              <w:right w:val="nil"/>
            </w:tcBorders>
            <w:tcMar>
              <w:top w:w="0" w:type="dxa"/>
              <w:left w:w="0" w:type="dxa"/>
              <w:bottom w:w="0" w:type="dxa"/>
              <w:right w:w="0" w:type="dxa"/>
            </w:tcMar>
          </w:tcPr>
          <w:p w14:paraId="395C7B92" w14:textId="77777777" w:rsidR="006C00FB" w:rsidRPr="000F4289" w:rsidRDefault="006C00FB" w:rsidP="007B12C3">
            <w:pPr>
              <w:pStyle w:val="CETBodytext"/>
            </w:pPr>
            <w:r w:rsidRPr="000F4289">
              <w:t xml:space="preserve"> SBERT reflects domain relations</w:t>
            </w:r>
          </w:p>
        </w:tc>
      </w:tr>
    </w:tbl>
    <w:p w14:paraId="27EE4498" w14:textId="77777777" w:rsidR="006C00FB" w:rsidRPr="00066E20" w:rsidRDefault="006C00FB" w:rsidP="006C00FB">
      <w:pPr>
        <w:spacing w:before="240" w:after="240" w:line="276" w:lineRule="auto"/>
      </w:pPr>
      <w:r w:rsidRPr="00066E20">
        <w:t>Because SBERT embeddings are already L2-normalized, additional pre-classification normalization is redundant, whereas W2V document vectors benefit from explicit L2 normalization prior to linear classification.</w:t>
      </w:r>
    </w:p>
    <w:p w14:paraId="7ACA355C" w14:textId="77777777" w:rsidR="006C00FB" w:rsidRPr="00066E20" w:rsidRDefault="006C00FB" w:rsidP="00EE0408">
      <w:pPr>
        <w:pStyle w:val="CETheadingx"/>
      </w:pPr>
      <w:r w:rsidRPr="00066E20">
        <w:t>Supervised single-label classification</w:t>
      </w:r>
    </w:p>
    <w:p w14:paraId="3A6E08D4" w14:textId="77777777" w:rsidR="006C00FB" w:rsidRDefault="006C00FB" w:rsidP="00EE0408">
      <w:pPr>
        <w:pStyle w:val="CETBodytext"/>
      </w:pPr>
      <w:r w:rsidRPr="00066E20">
        <w:t xml:space="preserve">Using a shared linear SVM classifier with class-weight balancing, W2V+SVM consistently outperformed SBERT+SVM on the full labelled dataset. Under five-fold stratified cross-validation, SBERT+SVM achieved </w:t>
      </w:r>
      <w:sdt>
        <w:sdtPr>
          <w:tag w:val="goog_rdk_8"/>
          <w:id w:val="1286309151"/>
        </w:sdtPr>
        <w:sdtContent/>
      </w:sdt>
      <w:r w:rsidRPr="00066E20">
        <w:t>macro-F1 = 0.323 ± 0.014 and micro-F1 = 0.406 ± 0.014 (balanced accuracy = 0.331), while W2V+SVM reached macro-F1 = 0.407 ± 0.031 and micro-F1 = 0.493 ± 0.030 (balanced accuracy = 0.419). The 15% hold-out test reproduced this ordering: SBERT+SVM obtained accuracy = 0.465, balanced accuracy = 0.407, and κ = 0.298, compared with W2V+SVM accuracy = 0.512, balanced accuracy = 0.451, and κ = 0.364.</w:t>
      </w:r>
    </w:p>
    <w:p w14:paraId="3D00141F" w14:textId="77777777" w:rsidR="00EE0408" w:rsidRPr="00066E20" w:rsidRDefault="00EE0408" w:rsidP="00EE0408">
      <w:pPr>
        <w:pStyle w:val="CETBodytext"/>
      </w:pPr>
    </w:p>
    <w:p w14:paraId="2A5570FA" w14:textId="77777777" w:rsidR="006C00FB" w:rsidRPr="00066E20" w:rsidRDefault="006C00FB" w:rsidP="00EE0408">
      <w:pPr>
        <w:pStyle w:val="CETBodytext"/>
      </w:pPr>
      <w:r w:rsidRPr="00066E20">
        <w:t>Per-class results indicate that SBERT+SVM performed strongly on Mechanical Integrity &amp; Maintenance (F1 = 0.594) and Safeguards &amp; Safety Controls (F1 = 0.533</w:t>
      </w:r>
      <w:proofErr w:type="gramStart"/>
      <w:r w:rsidRPr="00066E20">
        <w:t>), but</w:t>
      </w:r>
      <w:proofErr w:type="gramEnd"/>
      <w:r w:rsidRPr="00066E20">
        <w:t xml:space="preserve"> struggled on Process Risk &amp; Design (F1 = 0.087). W2V+SVM showed a more balanced profile, improving Competence &amp; Human Factors (F1 = 0.524), Procedures &amp; Operational Control (F1 = 0.426), and Process Risk &amp; Design (F1 = 0.320), while maintaining high performance for Mechanical Integrity &amp; Maintenance (F1 = 0.634). Overall, the supervised outcomes suggest that, under the current single-label taxonomy and weak-supervision labelling regime, discriminative signal is strongly tied to technical lexical cues effectively captured by in-domain W2V with a linear decision boundary.</w:t>
      </w:r>
    </w:p>
    <w:p w14:paraId="2ADBF6FF" w14:textId="77777777" w:rsidR="006C00FB" w:rsidRPr="00066E20" w:rsidRDefault="006C00FB" w:rsidP="00EE0408">
      <w:pPr>
        <w:pStyle w:val="CETheadingx"/>
      </w:pPr>
      <w:r w:rsidRPr="00066E20">
        <w:t>Sensitivity to label quality</w:t>
      </w:r>
    </w:p>
    <w:p w14:paraId="539F55C0" w14:textId="77777777" w:rsidR="006C00FB" w:rsidRPr="00066E20" w:rsidRDefault="006C00FB" w:rsidP="00EE0408">
      <w:pPr>
        <w:pStyle w:val="CETBodytext"/>
      </w:pPr>
      <w:r w:rsidRPr="00066E20">
        <w:t>To probe sensitivity to label fidelity, a randomly selected subset of approximately 389 reports was curated with improved labelling consistency and evaluated using the same protocol. On this subset, SBERT+SVM exhibited a marked increase in cross-validated performance (macro-F1 = 0.464 ± 0.110; micro-F1 = 0.540 ± 0.067; balanced accuracy = 0.467). The hold-out test yielded accuracy = 0.488, balanced accuracy = 0.411, and κ = 0.306; however, one class had zero support in the test split, limiting strict comparability of macro-level test metrics. Nevertheless, the cross-validation gains relative to the full dataset (macro-F1: 0.323 to 0.464; micro-F1: 0.406 to 0.540) indicate that label fidelity substantially mediates the effectiveness of contextual embeddings in this task.</w:t>
      </w:r>
    </w:p>
    <w:p w14:paraId="22A97AAC" w14:textId="77777777" w:rsidR="006C00FB" w:rsidRPr="00066E20" w:rsidRDefault="006C00FB" w:rsidP="00EE0408">
      <w:pPr>
        <w:pStyle w:val="CETHeading1"/>
      </w:pPr>
      <w:r w:rsidRPr="00066E20">
        <w:t>Analysis</w:t>
      </w:r>
    </w:p>
    <w:p w14:paraId="5AD3DCBE" w14:textId="77777777" w:rsidR="006C00FB" w:rsidRDefault="006C00FB" w:rsidP="006C00FB">
      <w:pPr>
        <w:spacing w:before="240" w:after="240" w:line="276" w:lineRule="auto"/>
      </w:pPr>
      <w:r w:rsidRPr="00066E20">
        <w:t>Performance differences and error patterns are primarily explained by three interacting factors: class imbalance, label fidelity, and causal overlap across PSM domains. Minority categories such as Process Risk &amp; Design and Safety Culture &amp; Leadership exhibit higher variance and unstable estimates, particularly under small hold-out samples. These categories are semantically diffuse and often co-occur with procedural or safeguard-related evidence in the narrative, which increases overlap with Procedures &amp; Operational Control and Safeguards &amp; Safety Controls and reduces separability in a single-label setting.</w:t>
      </w:r>
    </w:p>
    <w:p w14:paraId="57363A4D" w14:textId="321E20E0" w:rsidR="009F2EB5" w:rsidRPr="00622E34" w:rsidRDefault="00622E34" w:rsidP="00622E34">
      <w:pPr>
        <w:pStyle w:val="CETBodytext"/>
      </w:pPr>
      <w:r w:rsidRPr="00622E34">
        <w:lastRenderedPageBreak/>
        <w:t xml:space="preserve">Data quality is an additional source of uncertainty in text-based PSM analytics. Major-accident narratives are commonly derived from PDF reports and may include noise introduced during report preparation and PDF-to-text conversion, such as broken words, missing symbols, duplicated lines, or inconsistent equipment and instrument tags. In supervised learning terms, this constitutes attribute noise that can attenuate the technical lexical signal and increase ambiguity in downstream classification (Zhu &amp; Wu, 2004). In the present </w:t>
      </w:r>
      <w:proofErr w:type="spellStart"/>
      <w:r w:rsidRPr="00622E34">
        <w:t>eMARS</w:t>
      </w:r>
      <w:proofErr w:type="spellEnd"/>
      <w:r w:rsidRPr="00622E34">
        <w:t xml:space="preserve"> corpus, such extraction-related noise was observed in a subset of reports and may have affected the representation of key process-safety terms (e.g., safeguards, equipment identifiers, and failure-mode descriptors). This aligns with prior evidence in document classification showing that noisy inputs can reduce predictive performance and highlights the importance of careful preprocessing and quality checks in scalable learning-from-experience pipelines (Mustafa et al., 2023).</w:t>
      </w:r>
    </w:p>
    <w:p w14:paraId="654BC738" w14:textId="77777777" w:rsidR="00622E34" w:rsidRPr="00066E20" w:rsidRDefault="00622E34" w:rsidP="009F2EB5">
      <w:pPr>
        <w:pStyle w:val="CETBodytext"/>
      </w:pPr>
    </w:p>
    <w:p w14:paraId="0CC85113" w14:textId="77777777" w:rsidR="006C00FB" w:rsidRDefault="006C00FB" w:rsidP="00EE0408">
      <w:pPr>
        <w:pStyle w:val="CETBodytext"/>
      </w:pPr>
      <w:r w:rsidRPr="00066E20">
        <w:t>The curated subset results indicate that contextual encoders are particularly sensitive to label noise and to single-label compression of inherently multi-causal narratives. When the ground truth aggregates multiple contributing mechanisms into one dominant class through tie-breaking rules, the supervision signal can become partially misaligned with the broader semantics encoded by SBERT. In contrast, in-domain lexical representations can remain competitive because they rely more directly on recurring technical cues that are consistently present in equipment- and maintenance-centric narratives. This interpretation is consistent with evidence that representation choice and preprocessing decisions can be decisive in text analytics performance, and that domain-specific embeddings may be highly effective under constrained labelling conditions (Asudani et al., 2023).</w:t>
      </w:r>
    </w:p>
    <w:p w14:paraId="254925AC" w14:textId="77777777" w:rsidR="00EE0408" w:rsidRPr="00066E20" w:rsidRDefault="00EE0408" w:rsidP="00EE0408">
      <w:pPr>
        <w:pStyle w:val="CETBodytext"/>
      </w:pPr>
    </w:p>
    <w:p w14:paraId="7BDAF687" w14:textId="77777777" w:rsidR="006C00FB" w:rsidRDefault="006C00FB" w:rsidP="00EE0408">
      <w:pPr>
        <w:pStyle w:val="CETBodytext"/>
      </w:pPr>
      <w:r w:rsidRPr="00066E20">
        <w:t xml:space="preserve">Confusion patterns across models concentrate within the triad Mechanical Integrity &amp; Maintenance, Procedures &amp; Operational Control, and Safeguards &amp; Safety Controls, reflecting a realistic coupling in accident narratives: degradation or equipment failure is frequently described alongside procedural context and protection-layer behaviour. This systematic overlap implies that strict single-label assignment is intrinsically lossy for a non-trivial portion of reports and supports the need for multi-label or hierarchical formulations. (Sattari, 2021). From an operational perspective, the results support W2V+SVM as a lightweight, interpretable baseline suitable for large-scale screening and learning-from-experience workflows, particularly where technical terminology is prominent. SBERT remains valuable for narrative similarity tasks (e.g., retrieval of comparable cases and thematic organization) and its supervised performance improves markedly as label consistency increases. Further performance gains are expected from stabilizing evaluation splits, modest hyperparameter tuning of the linear SVM (e.g., regularization parameter </w:t>
      </w:r>
      <w:r w:rsidRPr="00066E20">
        <w:rPr>
          <w:rFonts w:ascii="Cambria Math" w:hAnsi="Cambria Math" w:cs="Cambria Math"/>
        </w:rPr>
        <w:t>𝐶</w:t>
      </w:r>
      <w:r w:rsidRPr="00066E20">
        <w:t>), and targeted label refinement for ambiguous or low-support categories.</w:t>
      </w:r>
    </w:p>
    <w:p w14:paraId="5A62C8B9" w14:textId="77777777" w:rsidR="00EF4AA7" w:rsidRDefault="00EF4AA7" w:rsidP="00EE0408">
      <w:pPr>
        <w:pStyle w:val="CETBodytext"/>
      </w:pPr>
    </w:p>
    <w:p w14:paraId="6F86CD5A" w14:textId="77777777" w:rsidR="00EE0408" w:rsidRPr="00066E20" w:rsidRDefault="00EE0408" w:rsidP="00EE0408">
      <w:pPr>
        <w:pStyle w:val="CETBodytext"/>
      </w:pPr>
    </w:p>
    <w:p w14:paraId="1A3094D4" w14:textId="77777777" w:rsidR="006C00FB" w:rsidRDefault="006C00FB" w:rsidP="00EE0408">
      <w:pPr>
        <w:pStyle w:val="CETBodytext"/>
      </w:pPr>
      <w:r w:rsidRPr="00066E20">
        <w:t>Regarding limitations,</w:t>
      </w:r>
      <w:r w:rsidRPr="00066E20">
        <w:rPr>
          <w:b/>
          <w:bCs/>
        </w:rPr>
        <w:t xml:space="preserve"> </w:t>
      </w:r>
      <w:r w:rsidRPr="00066E20">
        <w:t>three are emphasized. First, the single-label constraint may bias predictions toward dominant categories and amplifies confusions among overlapping domains. Second, label provenance (weak-supervision rules and tie-break priority) can introduce residual noise, which may disproportionately affect contextual representations. Third, under small subsets, class absence in hold-out splits can depress macro-level test metrics; cross-validated reporting provides more stable estimates in this setting.</w:t>
      </w:r>
    </w:p>
    <w:p w14:paraId="10818A4F" w14:textId="77777777" w:rsidR="00EF4AA7" w:rsidRDefault="00EF4AA7" w:rsidP="00EE0408">
      <w:pPr>
        <w:pStyle w:val="CETBodytext"/>
      </w:pPr>
    </w:p>
    <w:p w14:paraId="54CA3F30" w14:textId="77777777" w:rsidR="006C00FB" w:rsidRPr="00066E20" w:rsidRDefault="006C00FB" w:rsidP="00EE0408">
      <w:pPr>
        <w:pStyle w:val="CETHeading1"/>
      </w:pPr>
      <w:r w:rsidRPr="00066E20">
        <w:rPr>
          <w:rFonts w:eastAsia="Arial"/>
        </w:rPr>
        <w:t>Conclusions</w:t>
      </w:r>
    </w:p>
    <w:p w14:paraId="6DE6FAC9" w14:textId="77777777" w:rsidR="006C00FB" w:rsidRDefault="006C00FB" w:rsidP="00EE0408">
      <w:pPr>
        <w:pStyle w:val="CETBodytext"/>
      </w:pPr>
      <w:r w:rsidRPr="00066E20">
        <w:t>This study assessed two lightweight NLP pipelines for single-label causal classification of eMARS major-accident narratives: an in-domain Word2Vec representation with document-level mean pooling and a Sentence-BERT document embedding, both coupled with a linear SVM under a consistent evaluation protocol. On the full labelled dataset (i.e., 1127), W2V+SVM achieved the most stable performance across cross-validation and hold-out testing, indicating that domain-specific lexical signals remain highly discriminative for process-safety narratives under limited labelled data and residual label noise. In contrast, SBERT+SVM showed clear improvements on a curated random subset with higher labelling consistency (i.e., 389), suggesting that contextual embeddings are strongly moderated by label fidelity and task–label alignment.</w:t>
      </w:r>
    </w:p>
    <w:p w14:paraId="741CFE0F" w14:textId="77777777" w:rsidR="00EE0408" w:rsidRPr="00066E20" w:rsidRDefault="00EE0408" w:rsidP="00EE0408">
      <w:pPr>
        <w:pStyle w:val="CETBodytext"/>
      </w:pPr>
    </w:p>
    <w:p w14:paraId="512FF5DE" w14:textId="77777777" w:rsidR="006C00FB" w:rsidRPr="00066E20" w:rsidRDefault="006C00FB" w:rsidP="00EE0408">
      <w:pPr>
        <w:pStyle w:val="CETBodytext"/>
      </w:pPr>
      <w:r w:rsidRPr="00066E20">
        <w:t>Across models, misclassifications concentrated within Mechanical Integrity &amp; Maintenance, Procedures &amp; Operational Control, and Safeguards &amp; Safety Controls, reflecting genuine causal co-occurrence in major-accident narratives and highlighting the inherent limitations of single-label assignment. From an operational perspective, W2V+SVM offers a transparent and computationally efficient baseline for learning-from-experience screening, while SBERT is particularly valuable for semantic similarity and narrative organization and may realize stronger supervised performance as labelling consistency increases. Future work should prioritize improved label governance, modest hyperparameter tuning and calibration, robust evaluation under small-</w:t>
      </w:r>
      <w:r w:rsidRPr="00066E20">
        <w:lastRenderedPageBreak/>
        <w:t>support classes, and extensions to multi-label or hierarchical formulations to represent co-occurring causal mechanisms more faithfully.</w:t>
      </w:r>
    </w:p>
    <w:p w14:paraId="37F82170" w14:textId="77777777" w:rsidR="006C00FB" w:rsidRPr="00066E20" w:rsidRDefault="006C00FB" w:rsidP="00854074">
      <w:pPr>
        <w:pStyle w:val="CETHeadingxx"/>
      </w:pPr>
      <w:r w:rsidRPr="00066E20">
        <w:t>Nomenclature</w:t>
      </w:r>
    </w:p>
    <w:p w14:paraId="45278CB8" w14:textId="77777777" w:rsidR="006C00FB" w:rsidRPr="00066E20" w:rsidRDefault="006C00FB" w:rsidP="00942995">
      <w:pPr>
        <w:pStyle w:val="CETBodytext"/>
      </w:pPr>
      <w:r w:rsidRPr="00066E20">
        <w:rPr>
          <w:sz w:val="24"/>
          <w:szCs w:val="24"/>
        </w:rPr>
        <w:t xml:space="preserve">σ - </w:t>
      </w:r>
      <w:r w:rsidRPr="00066E20">
        <w:t>Standard deviation (specifically of vector norms)</w:t>
      </w:r>
    </w:p>
    <w:p w14:paraId="194E502E" w14:textId="77777777" w:rsidR="006C00FB" w:rsidRPr="00066E20" w:rsidRDefault="006C00FB" w:rsidP="00942995">
      <w:pPr>
        <w:pStyle w:val="CETBodytext"/>
      </w:pPr>
      <w:r w:rsidRPr="00066E20">
        <w:rPr>
          <w:sz w:val="24"/>
          <w:szCs w:val="24"/>
        </w:rPr>
        <w:t xml:space="preserve">Κ - </w:t>
      </w:r>
      <w:r w:rsidRPr="00066E20">
        <w:t>Cohen’s kappa coefficient (statistical measure of inter-rater agreement)</w:t>
      </w:r>
    </w:p>
    <w:p w14:paraId="6C66A650" w14:textId="77777777" w:rsidR="006C00FB" w:rsidRPr="00066E20" w:rsidRDefault="006C00FB" w:rsidP="00942995">
      <w:pPr>
        <w:pStyle w:val="CETBodytext"/>
      </w:pPr>
      <w:r w:rsidRPr="00066E20">
        <w:rPr>
          <w:i/>
          <w:iCs/>
          <w:sz w:val="24"/>
          <w:szCs w:val="24"/>
        </w:rPr>
        <w:t xml:space="preserve">C - </w:t>
      </w:r>
      <w:r w:rsidRPr="00066E20">
        <w:t>Linear SVC regularization parameter</w:t>
      </w:r>
    </w:p>
    <w:p w14:paraId="39072E58" w14:textId="77777777" w:rsidR="006C00FB" w:rsidRPr="00066E20" w:rsidRDefault="006C00FB" w:rsidP="00942995">
      <w:pPr>
        <w:pStyle w:val="CETBodytext"/>
      </w:pPr>
      <w:r w:rsidRPr="00066E20">
        <w:t>F1 - F-score (harmonic mean of precision and recall)</w:t>
      </w:r>
    </w:p>
    <w:p w14:paraId="6389B35E" w14:textId="77777777" w:rsidR="006C00FB" w:rsidRPr="00066E20" w:rsidRDefault="006C00FB" w:rsidP="00942995">
      <w:pPr>
        <w:pStyle w:val="CETHeadingxx"/>
      </w:pPr>
      <w:r w:rsidRPr="00066E20">
        <w:rPr>
          <w:rFonts w:eastAsia="Arial"/>
        </w:rPr>
        <w:t>References</w:t>
      </w:r>
    </w:p>
    <w:p w14:paraId="34B30F57" w14:textId="77777777" w:rsidR="006C00FB" w:rsidRPr="00C31610" w:rsidRDefault="006C00FB" w:rsidP="00942995">
      <w:pPr>
        <w:pStyle w:val="CETReference"/>
        <w:rPr>
          <w:b w:val="0"/>
          <w:bCs/>
          <w:i/>
          <w:iCs/>
        </w:rPr>
      </w:pPr>
      <w:r w:rsidRPr="00C31610">
        <w:rPr>
          <w:b w:val="0"/>
          <w:bCs/>
        </w:rPr>
        <w:t xml:space="preserve">Agarwal, S., Chugh, Y. P., Singh, A., </w:t>
      </w:r>
      <w:proofErr w:type="spellStart"/>
      <w:r w:rsidRPr="00C31610">
        <w:rPr>
          <w:b w:val="0"/>
          <w:bCs/>
        </w:rPr>
        <w:t>Sakinala</w:t>
      </w:r>
      <w:proofErr w:type="spellEnd"/>
      <w:r w:rsidRPr="00C31610">
        <w:rPr>
          <w:b w:val="0"/>
          <w:bCs/>
        </w:rPr>
        <w:t xml:space="preserve">, V., Mukherjee, A., Prasad, B., Dagli, C., &amp; Zou, Y. (2025). Application of natural language processing and machine learning for analysing mining accident reports and automating the process of root cause analysis. </w:t>
      </w:r>
      <w:r w:rsidRPr="00C31610">
        <w:rPr>
          <w:b w:val="0"/>
          <w:bCs/>
          <w:i/>
          <w:iCs/>
        </w:rPr>
        <w:t>International Journal of Coal Science &amp; Technology.</w:t>
      </w:r>
    </w:p>
    <w:p w14:paraId="54604F8D" w14:textId="77777777" w:rsidR="006C00FB" w:rsidRPr="00C31610" w:rsidRDefault="006C00FB" w:rsidP="00942995">
      <w:pPr>
        <w:pStyle w:val="CETReference"/>
        <w:rPr>
          <w:b w:val="0"/>
          <w:bCs/>
          <w:color w:val="1155CC"/>
          <w:u w:val="single"/>
        </w:rPr>
      </w:pPr>
      <w:r w:rsidRPr="00C31610">
        <w:rPr>
          <w:b w:val="0"/>
          <w:bCs/>
        </w:rPr>
        <w:t xml:space="preserve">Asudani, D. S., Nagwani, N. K., &amp; Singh, P. (2023). Impact of word embedding models on text analytics in deep learning environment: A review. </w:t>
      </w:r>
      <w:r w:rsidRPr="00C31610">
        <w:rPr>
          <w:b w:val="0"/>
          <w:bCs/>
          <w:i/>
          <w:iCs/>
        </w:rPr>
        <w:t>Artificial Intelligence Review, 56</w:t>
      </w:r>
      <w:r w:rsidRPr="00C31610">
        <w:rPr>
          <w:b w:val="0"/>
          <w:bCs/>
        </w:rPr>
        <w:t>, 10345–10425.</w:t>
      </w:r>
      <w:hyperlink r:id="rId15">
        <w:r w:rsidRPr="00C31610">
          <w:rPr>
            <w:b w:val="0"/>
            <w:bCs/>
          </w:rPr>
          <w:t xml:space="preserve"> </w:t>
        </w:r>
      </w:hyperlink>
    </w:p>
    <w:p w14:paraId="0DD8B0FD" w14:textId="77777777" w:rsidR="006C00FB" w:rsidRPr="00C31610" w:rsidRDefault="006C00FB" w:rsidP="00942995">
      <w:pPr>
        <w:pStyle w:val="CETReference"/>
        <w:rPr>
          <w:b w:val="0"/>
          <w:bCs/>
        </w:rPr>
      </w:pPr>
      <w:r w:rsidRPr="00C31610">
        <w:rPr>
          <w:b w:val="0"/>
          <w:bCs/>
        </w:rPr>
        <w:t xml:space="preserve">Baybutt, P. (2016). Insights into process safety incidents from an analysis of CSB investigations. </w:t>
      </w:r>
      <w:r w:rsidRPr="00C31610">
        <w:rPr>
          <w:b w:val="0"/>
          <w:bCs/>
          <w:i/>
          <w:iCs/>
        </w:rPr>
        <w:t>Journal of Loss Prevention in the Process Industries, 43</w:t>
      </w:r>
      <w:r w:rsidRPr="00C31610">
        <w:rPr>
          <w:b w:val="0"/>
          <w:bCs/>
        </w:rPr>
        <w:t>, 537–548. https://doi.org/10.1016/j.jlp.2016.07.002</w:t>
      </w:r>
    </w:p>
    <w:p w14:paraId="4D0A8871" w14:textId="77777777" w:rsidR="006C00FB" w:rsidRPr="00C31610" w:rsidRDefault="006C00FB" w:rsidP="00942995">
      <w:pPr>
        <w:pStyle w:val="CETReference"/>
        <w:rPr>
          <w:b w:val="0"/>
          <w:bCs/>
        </w:rPr>
      </w:pPr>
      <w:r w:rsidRPr="00C31610">
        <w:rPr>
          <w:b w:val="0"/>
          <w:bCs/>
        </w:rPr>
        <w:t xml:space="preserve">Center for Chemical Process Safety. (2007). </w:t>
      </w:r>
      <w:r w:rsidRPr="00C31610">
        <w:rPr>
          <w:b w:val="0"/>
          <w:bCs/>
          <w:i/>
          <w:iCs/>
        </w:rPr>
        <w:t>Guidelines for risk-based process safety</w:t>
      </w:r>
      <w:r w:rsidRPr="00C31610">
        <w:rPr>
          <w:b w:val="0"/>
          <w:bCs/>
        </w:rPr>
        <w:t>. American Institute of Chemical Engineers.</w:t>
      </w:r>
    </w:p>
    <w:p w14:paraId="2821292D" w14:textId="50EE8D36" w:rsidR="006C00FB" w:rsidRPr="00C31610" w:rsidRDefault="006C00FB" w:rsidP="00942995">
      <w:pPr>
        <w:pStyle w:val="CETReference"/>
        <w:rPr>
          <w:b w:val="0"/>
          <w:bCs/>
        </w:rPr>
      </w:pPr>
      <w:r w:rsidRPr="00C31610">
        <w:rPr>
          <w:b w:val="0"/>
          <w:bCs/>
        </w:rPr>
        <w:t>Chai, C. P. (202</w:t>
      </w:r>
      <w:r w:rsidR="00FD15E4">
        <w:rPr>
          <w:b w:val="0"/>
          <w:bCs/>
        </w:rPr>
        <w:t>3</w:t>
      </w:r>
      <w:r w:rsidRPr="00C31610">
        <w:rPr>
          <w:b w:val="0"/>
          <w:bCs/>
        </w:rPr>
        <w:t xml:space="preserve">). Comparison of text preprocessing methods. </w:t>
      </w:r>
      <w:r w:rsidRPr="00C31610">
        <w:rPr>
          <w:b w:val="0"/>
          <w:bCs/>
          <w:i/>
          <w:iCs/>
        </w:rPr>
        <w:t>Natural Language Engineering, 29</w:t>
      </w:r>
      <w:r w:rsidRPr="00C31610">
        <w:rPr>
          <w:b w:val="0"/>
          <w:bCs/>
        </w:rPr>
        <w:t>(3), 509–553.</w:t>
      </w:r>
    </w:p>
    <w:p w14:paraId="1B3559D3" w14:textId="77777777" w:rsidR="006C00FB" w:rsidRPr="00C31610" w:rsidRDefault="006C00FB" w:rsidP="00942995">
      <w:pPr>
        <w:pStyle w:val="CETReference"/>
        <w:rPr>
          <w:b w:val="0"/>
          <w:bCs/>
        </w:rPr>
      </w:pPr>
      <w:r w:rsidRPr="00C31610">
        <w:rPr>
          <w:b w:val="0"/>
          <w:bCs/>
        </w:rPr>
        <w:t xml:space="preserve">Cortes, C., &amp; Vapnik, V. (1995). Support-vector networks. </w:t>
      </w:r>
      <w:r w:rsidRPr="00C31610">
        <w:rPr>
          <w:b w:val="0"/>
          <w:bCs/>
          <w:i/>
          <w:iCs/>
        </w:rPr>
        <w:t>Machine Learning, 20</w:t>
      </w:r>
      <w:r w:rsidRPr="00C31610">
        <w:rPr>
          <w:b w:val="0"/>
          <w:bCs/>
        </w:rPr>
        <w:t>, 273–297</w:t>
      </w:r>
    </w:p>
    <w:p w14:paraId="68C3A926" w14:textId="77777777" w:rsidR="006C00FB" w:rsidRPr="00C31610" w:rsidRDefault="006C00FB" w:rsidP="00942995">
      <w:pPr>
        <w:pStyle w:val="CETReference"/>
        <w:rPr>
          <w:b w:val="0"/>
          <w:bCs/>
        </w:rPr>
      </w:pPr>
      <w:r w:rsidRPr="00C31610">
        <w:rPr>
          <w:b w:val="0"/>
          <w:bCs/>
        </w:rPr>
        <w:t xml:space="preserve">Fyffe, L., Krahn, S., Clarke, J., Kosson, D., &amp; Hutton, J. (2016). A preliminary analysis of Key Issues in chemical industry accident reports. </w:t>
      </w:r>
      <w:r w:rsidRPr="00C31610">
        <w:rPr>
          <w:b w:val="0"/>
          <w:bCs/>
          <w:i/>
          <w:iCs/>
        </w:rPr>
        <w:t>Safety Science, 82</w:t>
      </w:r>
      <w:r w:rsidRPr="00C31610">
        <w:rPr>
          <w:b w:val="0"/>
          <w:bCs/>
        </w:rPr>
        <w:t>, 368–373. https://doi.org/10.1016/j.ssci.2015.10.008</w:t>
      </w:r>
    </w:p>
    <w:p w14:paraId="353D0B2B" w14:textId="77777777" w:rsidR="006C00FB" w:rsidRPr="00C31610" w:rsidRDefault="006C00FB" w:rsidP="00942995">
      <w:pPr>
        <w:pStyle w:val="CETReference"/>
        <w:rPr>
          <w:b w:val="0"/>
          <w:bCs/>
          <w:color w:val="1155CC"/>
          <w:u w:val="single"/>
        </w:rPr>
      </w:pPr>
      <w:r w:rsidRPr="00C31610">
        <w:rPr>
          <w:b w:val="0"/>
          <w:bCs/>
        </w:rPr>
        <w:t xml:space="preserve">Gao, Y., Niu, Y., &amp; Ju, X. (2025). Leveraging natural language processing for hazard pattern discovery: A decadal study of severe chemical accidents in China (2011–2023). </w:t>
      </w:r>
      <w:r w:rsidRPr="00C31610">
        <w:rPr>
          <w:b w:val="0"/>
          <w:bCs/>
          <w:i/>
          <w:iCs/>
        </w:rPr>
        <w:t>Process Safety Progress, 44</w:t>
      </w:r>
      <w:r w:rsidRPr="00C31610">
        <w:rPr>
          <w:b w:val="0"/>
          <w:bCs/>
        </w:rPr>
        <w:t>(4), 628–643.</w:t>
      </w:r>
      <w:hyperlink r:id="rId16">
        <w:r w:rsidRPr="00C31610">
          <w:rPr>
            <w:b w:val="0"/>
            <w:bCs/>
          </w:rPr>
          <w:t xml:space="preserve"> </w:t>
        </w:r>
      </w:hyperlink>
    </w:p>
    <w:p w14:paraId="01E24DD6" w14:textId="77777777" w:rsidR="006C00FB" w:rsidRPr="00C31610" w:rsidRDefault="006C00FB" w:rsidP="00942995">
      <w:pPr>
        <w:pStyle w:val="CETReference"/>
        <w:rPr>
          <w:b w:val="0"/>
          <w:bCs/>
          <w:color w:val="1155CC"/>
          <w:u w:val="single"/>
        </w:rPr>
      </w:pPr>
      <w:r w:rsidRPr="00C31610">
        <w:rPr>
          <w:b w:val="0"/>
          <w:bCs/>
        </w:rPr>
        <w:t xml:space="preserve">HaCohen-Kerner, Y., Miller, D., &amp; Yigal, Y. (2020). The influence of preprocessing on text classification using a bag-of-words representation. </w:t>
      </w:r>
      <w:r w:rsidRPr="00C31610">
        <w:rPr>
          <w:b w:val="0"/>
          <w:bCs/>
          <w:i/>
          <w:iCs/>
        </w:rPr>
        <w:t>PLOS ONE, 15</w:t>
      </w:r>
      <w:r w:rsidRPr="00C31610">
        <w:rPr>
          <w:b w:val="0"/>
          <w:bCs/>
        </w:rPr>
        <w:t>(5).</w:t>
      </w:r>
    </w:p>
    <w:p w14:paraId="61D0BCB8" w14:textId="77777777" w:rsidR="006C00FB" w:rsidRDefault="006C00FB" w:rsidP="00942995">
      <w:pPr>
        <w:pStyle w:val="CETReference"/>
      </w:pPr>
      <w:r w:rsidRPr="00C31610">
        <w:rPr>
          <w:b w:val="0"/>
          <w:bCs/>
        </w:rPr>
        <w:t xml:space="preserve">Katarina, H., &amp; Kockar, S. (2025). Statistical survey on the prevention of major industrial accidents (MIAs) in the EU Member States in 2000–2020. </w:t>
      </w:r>
      <w:r w:rsidRPr="00C31610">
        <w:rPr>
          <w:b w:val="0"/>
          <w:bCs/>
          <w:i/>
          <w:iCs/>
        </w:rPr>
        <w:t>Journal of Safety and Sustainability, 2</w:t>
      </w:r>
      <w:r w:rsidRPr="00C31610">
        <w:rPr>
          <w:b w:val="0"/>
          <w:bCs/>
        </w:rPr>
        <w:t>(1), 72–80.</w:t>
      </w:r>
      <w:hyperlink r:id="rId17">
        <w:r w:rsidRPr="00C31610">
          <w:rPr>
            <w:b w:val="0"/>
            <w:bCs/>
          </w:rPr>
          <w:t xml:space="preserve"> </w:t>
        </w:r>
      </w:hyperlink>
    </w:p>
    <w:p w14:paraId="64F40200" w14:textId="1A6C555D" w:rsidR="00FD3E79" w:rsidRPr="00FD3E79" w:rsidRDefault="00FD3E79" w:rsidP="00FD3E79">
      <w:pPr>
        <w:pStyle w:val="CETReference"/>
        <w:rPr>
          <w:b w:val="0"/>
          <w:bCs/>
        </w:rPr>
      </w:pPr>
      <w:r w:rsidRPr="00FD3E79">
        <w:rPr>
          <w:b w:val="0"/>
          <w:bCs/>
        </w:rPr>
        <w:t>Mustafa, G., Rauf, A., Al-</w:t>
      </w:r>
      <w:proofErr w:type="spellStart"/>
      <w:r w:rsidRPr="00FD3E79">
        <w:rPr>
          <w:b w:val="0"/>
          <w:bCs/>
        </w:rPr>
        <w:t>Shamayleh</w:t>
      </w:r>
      <w:proofErr w:type="spellEnd"/>
      <w:r w:rsidRPr="00FD3E79">
        <w:rPr>
          <w:b w:val="0"/>
          <w:bCs/>
        </w:rPr>
        <w:t xml:space="preserve">, A. S., Sulaiman, M., </w:t>
      </w:r>
      <w:proofErr w:type="spellStart"/>
      <w:r w:rsidRPr="00FD3E79">
        <w:rPr>
          <w:b w:val="0"/>
          <w:bCs/>
        </w:rPr>
        <w:t>Alrawagfeh</w:t>
      </w:r>
      <w:proofErr w:type="spellEnd"/>
      <w:r w:rsidRPr="00FD3E79">
        <w:rPr>
          <w:b w:val="0"/>
          <w:bCs/>
        </w:rPr>
        <w:t xml:space="preserve">, W., Afzal, M. T., &amp; </w:t>
      </w:r>
      <w:proofErr w:type="spellStart"/>
      <w:r w:rsidRPr="00FD3E79">
        <w:rPr>
          <w:b w:val="0"/>
          <w:bCs/>
        </w:rPr>
        <w:t>Akhunzada</w:t>
      </w:r>
      <w:proofErr w:type="spellEnd"/>
      <w:r w:rsidRPr="00FD3E79">
        <w:rPr>
          <w:b w:val="0"/>
          <w:bCs/>
        </w:rPr>
        <w:t>, A. (2023). Optimizing document classification: Unleashing the power of genetic algorithms. IEEE Access, 11, 83136–83149</w:t>
      </w:r>
    </w:p>
    <w:p w14:paraId="1FE4BE9B" w14:textId="77777777" w:rsidR="006C00FB" w:rsidRPr="00C31610" w:rsidRDefault="006C00FB" w:rsidP="00942995">
      <w:pPr>
        <w:pStyle w:val="CETReference"/>
        <w:rPr>
          <w:b w:val="0"/>
          <w:bCs/>
          <w:color w:val="1155CC"/>
          <w:u w:val="single"/>
        </w:rPr>
      </w:pPr>
      <w:r w:rsidRPr="00C31610">
        <w:rPr>
          <w:b w:val="0"/>
          <w:bCs/>
        </w:rPr>
        <w:t xml:space="preserve">Reimers, N., &amp; Gurevych, I. (2019). Sentence-BERT: Sentence embeddings using Siamese BERT-networks. In: </w:t>
      </w:r>
      <w:r w:rsidRPr="00C31610">
        <w:rPr>
          <w:b w:val="0"/>
          <w:bCs/>
          <w:i/>
          <w:iCs/>
        </w:rPr>
        <w:t>Proceedings of the 2019 Conference on Empirical Methods in Natural Language Processing and the 9th International Joint Conference on Natural Language Processing (EMNLP-IJCNLP)</w:t>
      </w:r>
      <w:r w:rsidRPr="00C31610">
        <w:rPr>
          <w:b w:val="0"/>
          <w:bCs/>
        </w:rPr>
        <w:t xml:space="preserve"> (pp. 3982–3992). Association for Computational Linguistics.</w:t>
      </w:r>
    </w:p>
    <w:p w14:paraId="25711009" w14:textId="77777777" w:rsidR="006C00FB" w:rsidRDefault="006C00FB" w:rsidP="00942995">
      <w:pPr>
        <w:pStyle w:val="CETReference"/>
      </w:pPr>
      <w:r w:rsidRPr="00C31610">
        <w:rPr>
          <w:b w:val="0"/>
          <w:bCs/>
        </w:rPr>
        <w:t xml:space="preserve">Sattari, F., Macciotta, R., Kurian, D., &amp; Lefsrud, L. (2021). Application of Bayesian network and artificial intelligence to reduce accident/incident rates in oil &amp; gas companies. </w:t>
      </w:r>
      <w:r w:rsidRPr="00C31610">
        <w:rPr>
          <w:b w:val="0"/>
          <w:bCs/>
          <w:i/>
          <w:iCs/>
        </w:rPr>
        <w:t>Safety Science, 133</w:t>
      </w:r>
      <w:r w:rsidRPr="00C31610">
        <w:rPr>
          <w:b w:val="0"/>
          <w:bCs/>
        </w:rPr>
        <w:t>, 104981.</w:t>
      </w:r>
      <w:hyperlink r:id="rId18">
        <w:r w:rsidRPr="00C31610">
          <w:rPr>
            <w:b w:val="0"/>
            <w:bCs/>
          </w:rPr>
          <w:t xml:space="preserve"> </w:t>
        </w:r>
      </w:hyperlink>
    </w:p>
    <w:p w14:paraId="04FEEC8F" w14:textId="3C77433A" w:rsidR="007B4974" w:rsidRPr="007B4974" w:rsidRDefault="007B4974" w:rsidP="00942995">
      <w:pPr>
        <w:pStyle w:val="CETReference"/>
        <w:rPr>
          <w:b w:val="0"/>
          <w:bCs/>
          <w:color w:val="1155CC"/>
          <w:u w:val="single"/>
        </w:rPr>
      </w:pPr>
      <w:r w:rsidRPr="00FD15E4">
        <w:rPr>
          <w:b w:val="0"/>
          <w:bCs/>
          <w:lang w:val="en-US"/>
        </w:rPr>
        <w:t xml:space="preserve">Takahashi, K., Yamamoto, K., </w:t>
      </w:r>
      <w:proofErr w:type="spellStart"/>
      <w:r w:rsidRPr="00FD15E4">
        <w:rPr>
          <w:b w:val="0"/>
          <w:bCs/>
          <w:lang w:val="en-US"/>
        </w:rPr>
        <w:t>Kuchiba</w:t>
      </w:r>
      <w:proofErr w:type="spellEnd"/>
      <w:r w:rsidRPr="00FD15E4">
        <w:rPr>
          <w:b w:val="0"/>
          <w:bCs/>
          <w:lang w:val="en-US"/>
        </w:rPr>
        <w:t xml:space="preserve">, A., &amp; Koyama, T. (2022). </w:t>
      </w:r>
      <w:r w:rsidRPr="007B4974">
        <w:rPr>
          <w:b w:val="0"/>
          <w:bCs/>
        </w:rPr>
        <w:t xml:space="preserve">Confidence interval for micro-averaged F1 and macro-averaged F1 scores. </w:t>
      </w:r>
      <w:r w:rsidRPr="007B4974">
        <w:rPr>
          <w:rStyle w:val="nfasis"/>
          <w:b w:val="0"/>
          <w:bCs/>
        </w:rPr>
        <w:t>Applied Intelligence, 52</w:t>
      </w:r>
      <w:r w:rsidRPr="007B4974">
        <w:rPr>
          <w:b w:val="0"/>
          <w:bCs/>
        </w:rPr>
        <w:t>, 4961–4972</w:t>
      </w:r>
    </w:p>
    <w:p w14:paraId="7D80E6EF" w14:textId="77777777" w:rsidR="006C00FB" w:rsidRPr="00C31610" w:rsidRDefault="006C00FB" w:rsidP="00942995">
      <w:pPr>
        <w:pStyle w:val="CETReference"/>
        <w:rPr>
          <w:b w:val="0"/>
          <w:bCs/>
        </w:rPr>
      </w:pPr>
      <w:r w:rsidRPr="00C31610">
        <w:rPr>
          <w:b w:val="0"/>
          <w:bCs/>
        </w:rPr>
        <w:t xml:space="preserve">Wang, Y., Henriksen, T., Deo, M., &amp; Mentzer, R. A. (2021). Factors contributing to US chemical plant process safety incidents from 2010 to 2020. </w:t>
      </w:r>
      <w:r w:rsidRPr="00C31610">
        <w:rPr>
          <w:b w:val="0"/>
          <w:bCs/>
          <w:i/>
          <w:iCs/>
        </w:rPr>
        <w:t>Journal of Loss Prevention in the Process Industries, 71</w:t>
      </w:r>
      <w:r w:rsidRPr="00C31610">
        <w:rPr>
          <w:b w:val="0"/>
          <w:bCs/>
        </w:rPr>
        <w:t xml:space="preserve">, 104512. </w:t>
      </w:r>
    </w:p>
    <w:p w14:paraId="55284B78" w14:textId="77777777" w:rsidR="006C00FB" w:rsidRPr="00990B8F" w:rsidRDefault="006C00FB" w:rsidP="00942995">
      <w:pPr>
        <w:pStyle w:val="CETReference"/>
        <w:rPr>
          <w:b w:val="0"/>
          <w:bCs/>
        </w:rPr>
      </w:pPr>
      <w:r w:rsidRPr="00C31610">
        <w:rPr>
          <w:b w:val="0"/>
          <w:bCs/>
        </w:rPr>
        <w:t xml:space="preserve">Zhu X., Wu X. (2004). Class noise vs. attribute noise: A quantitative study, </w:t>
      </w:r>
      <w:r w:rsidRPr="00C31610">
        <w:rPr>
          <w:b w:val="0"/>
          <w:bCs/>
          <w:i/>
          <w:iCs/>
        </w:rPr>
        <w:t>Artif. Intell. Rev</w:t>
      </w:r>
      <w:r w:rsidRPr="00C31610">
        <w:rPr>
          <w:b w:val="0"/>
          <w:bCs/>
        </w:rPr>
        <w:t>., vol. 22, no. 3, pp. 177–210</w:t>
      </w:r>
    </w:p>
    <w:p w14:paraId="19C4FC68" w14:textId="77777777" w:rsidR="004628D2" w:rsidRDefault="004628D2" w:rsidP="00FA5F5F">
      <w:pPr>
        <w:pStyle w:val="CETHeading1"/>
        <w:numPr>
          <w:ilvl w:val="0"/>
          <w:numId w:val="0"/>
        </w:numPr>
      </w:pP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D375A" w14:textId="77777777" w:rsidR="00A54D31" w:rsidRDefault="00A54D31" w:rsidP="004F5E36">
      <w:r>
        <w:separator/>
      </w:r>
    </w:p>
  </w:endnote>
  <w:endnote w:type="continuationSeparator" w:id="0">
    <w:p w14:paraId="593AD207" w14:textId="77777777" w:rsidR="00A54D31" w:rsidRDefault="00A54D3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49984" w14:textId="77777777" w:rsidR="00A54D31" w:rsidRDefault="00A54D31" w:rsidP="004F5E36">
      <w:r>
        <w:separator/>
      </w:r>
    </w:p>
  </w:footnote>
  <w:footnote w:type="continuationSeparator" w:id="0">
    <w:p w14:paraId="08708EB1" w14:textId="77777777" w:rsidR="00A54D31" w:rsidRDefault="00A54D3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D0B53F7"/>
    <w:multiLevelType w:val="hybridMultilevel"/>
    <w:tmpl w:val="8CF07472"/>
    <w:lvl w:ilvl="0" w:tplc="240A0001">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7F73988"/>
    <w:multiLevelType w:val="hybridMultilevel"/>
    <w:tmpl w:val="B05C49F6"/>
    <w:lvl w:ilvl="0" w:tplc="240A0001">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2"/>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011953383">
    <w:abstractNumId w:val="10"/>
  </w:num>
  <w:num w:numId="24" w16cid:durableId="10652996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E75FD"/>
    <w:rsid w:val="000F093C"/>
    <w:rsid w:val="000F4289"/>
    <w:rsid w:val="000F787B"/>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833ED"/>
    <w:rsid w:val="00184AD6"/>
    <w:rsid w:val="001A4AF7"/>
    <w:rsid w:val="001B0349"/>
    <w:rsid w:val="001B1E93"/>
    <w:rsid w:val="001B61A7"/>
    <w:rsid w:val="001B65C1"/>
    <w:rsid w:val="001B6E48"/>
    <w:rsid w:val="001C260F"/>
    <w:rsid w:val="001C33F1"/>
    <w:rsid w:val="001C684B"/>
    <w:rsid w:val="001D0CFB"/>
    <w:rsid w:val="001D21AF"/>
    <w:rsid w:val="001D53FC"/>
    <w:rsid w:val="001F42A5"/>
    <w:rsid w:val="001F7B9D"/>
    <w:rsid w:val="00201C93"/>
    <w:rsid w:val="002224B4"/>
    <w:rsid w:val="002447EF"/>
    <w:rsid w:val="00251550"/>
    <w:rsid w:val="00263B05"/>
    <w:rsid w:val="0026669E"/>
    <w:rsid w:val="0027221A"/>
    <w:rsid w:val="00275B61"/>
    <w:rsid w:val="00280FAF"/>
    <w:rsid w:val="00282656"/>
    <w:rsid w:val="0028473B"/>
    <w:rsid w:val="00296B83"/>
    <w:rsid w:val="002B4015"/>
    <w:rsid w:val="002B78CE"/>
    <w:rsid w:val="002C2FB6"/>
    <w:rsid w:val="002E5FA7"/>
    <w:rsid w:val="002F3309"/>
    <w:rsid w:val="003008CE"/>
    <w:rsid w:val="003009B7"/>
    <w:rsid w:val="00300E56"/>
    <w:rsid w:val="0030152C"/>
    <w:rsid w:val="0030469C"/>
    <w:rsid w:val="00321CA6"/>
    <w:rsid w:val="00323763"/>
    <w:rsid w:val="00323C5F"/>
    <w:rsid w:val="00334C09"/>
    <w:rsid w:val="003723D4"/>
    <w:rsid w:val="00381905"/>
    <w:rsid w:val="00384CC8"/>
    <w:rsid w:val="003871FD"/>
    <w:rsid w:val="003A1E30"/>
    <w:rsid w:val="003A2829"/>
    <w:rsid w:val="003A7D1C"/>
    <w:rsid w:val="003B304B"/>
    <w:rsid w:val="003B3146"/>
    <w:rsid w:val="003D0DB8"/>
    <w:rsid w:val="003D1E02"/>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0F45"/>
    <w:rsid w:val="004760DE"/>
    <w:rsid w:val="004763D7"/>
    <w:rsid w:val="004849EF"/>
    <w:rsid w:val="004A004E"/>
    <w:rsid w:val="004A24CF"/>
    <w:rsid w:val="004A5E57"/>
    <w:rsid w:val="004C194F"/>
    <w:rsid w:val="004C3D1D"/>
    <w:rsid w:val="004C3D84"/>
    <w:rsid w:val="004C7913"/>
    <w:rsid w:val="004E4DD6"/>
    <w:rsid w:val="004F5E36"/>
    <w:rsid w:val="00507B47"/>
    <w:rsid w:val="00507BEF"/>
    <w:rsid w:val="00507CC9"/>
    <w:rsid w:val="005119A5"/>
    <w:rsid w:val="005278B7"/>
    <w:rsid w:val="00532016"/>
    <w:rsid w:val="005346C8"/>
    <w:rsid w:val="00543E7D"/>
    <w:rsid w:val="00547A68"/>
    <w:rsid w:val="005512F0"/>
    <w:rsid w:val="005531C9"/>
    <w:rsid w:val="00570C43"/>
    <w:rsid w:val="00592274"/>
    <w:rsid w:val="005B2110"/>
    <w:rsid w:val="005B61E6"/>
    <w:rsid w:val="005C77E1"/>
    <w:rsid w:val="005D668A"/>
    <w:rsid w:val="005D6A2F"/>
    <w:rsid w:val="005E0592"/>
    <w:rsid w:val="005E1A82"/>
    <w:rsid w:val="005E794C"/>
    <w:rsid w:val="005F0163"/>
    <w:rsid w:val="005F0A28"/>
    <w:rsid w:val="005F0E5E"/>
    <w:rsid w:val="005F3F1B"/>
    <w:rsid w:val="00600535"/>
    <w:rsid w:val="00610CD6"/>
    <w:rsid w:val="00620DEE"/>
    <w:rsid w:val="00621F92"/>
    <w:rsid w:val="0062280A"/>
    <w:rsid w:val="00622E34"/>
    <w:rsid w:val="006231E1"/>
    <w:rsid w:val="00625639"/>
    <w:rsid w:val="00631B33"/>
    <w:rsid w:val="0064184D"/>
    <w:rsid w:val="006422CC"/>
    <w:rsid w:val="00651D18"/>
    <w:rsid w:val="00660E3E"/>
    <w:rsid w:val="00662E74"/>
    <w:rsid w:val="00680C23"/>
    <w:rsid w:val="00683E23"/>
    <w:rsid w:val="00693766"/>
    <w:rsid w:val="006A3281"/>
    <w:rsid w:val="006A7617"/>
    <w:rsid w:val="006B4888"/>
    <w:rsid w:val="006C00FB"/>
    <w:rsid w:val="006C2E45"/>
    <w:rsid w:val="006C359C"/>
    <w:rsid w:val="006C5579"/>
    <w:rsid w:val="006D6E8B"/>
    <w:rsid w:val="006D7209"/>
    <w:rsid w:val="006E737D"/>
    <w:rsid w:val="00707DD1"/>
    <w:rsid w:val="00713973"/>
    <w:rsid w:val="00720A24"/>
    <w:rsid w:val="007241D0"/>
    <w:rsid w:val="00732386"/>
    <w:rsid w:val="0073514D"/>
    <w:rsid w:val="00737B84"/>
    <w:rsid w:val="007447F3"/>
    <w:rsid w:val="0075499F"/>
    <w:rsid w:val="007617CC"/>
    <w:rsid w:val="007661C8"/>
    <w:rsid w:val="0077098D"/>
    <w:rsid w:val="00785BF9"/>
    <w:rsid w:val="007931FA"/>
    <w:rsid w:val="007A4861"/>
    <w:rsid w:val="007A6DF8"/>
    <w:rsid w:val="007A7BBA"/>
    <w:rsid w:val="007B0C50"/>
    <w:rsid w:val="007B12C3"/>
    <w:rsid w:val="007B48F9"/>
    <w:rsid w:val="007B4974"/>
    <w:rsid w:val="007C1A43"/>
    <w:rsid w:val="007D0951"/>
    <w:rsid w:val="007F27C8"/>
    <w:rsid w:val="0080013E"/>
    <w:rsid w:val="00813288"/>
    <w:rsid w:val="008168FC"/>
    <w:rsid w:val="00830996"/>
    <w:rsid w:val="008314D7"/>
    <w:rsid w:val="008345F1"/>
    <w:rsid w:val="00852263"/>
    <w:rsid w:val="00854074"/>
    <w:rsid w:val="00865B07"/>
    <w:rsid w:val="008667EA"/>
    <w:rsid w:val="0087637F"/>
    <w:rsid w:val="00880A94"/>
    <w:rsid w:val="00892584"/>
    <w:rsid w:val="00892AD5"/>
    <w:rsid w:val="008A1512"/>
    <w:rsid w:val="008C44CB"/>
    <w:rsid w:val="008D32B9"/>
    <w:rsid w:val="008D433B"/>
    <w:rsid w:val="008D4A16"/>
    <w:rsid w:val="008E209A"/>
    <w:rsid w:val="008E45BC"/>
    <w:rsid w:val="008E566E"/>
    <w:rsid w:val="008E5FC8"/>
    <w:rsid w:val="0090161A"/>
    <w:rsid w:val="00901EB6"/>
    <w:rsid w:val="009041F8"/>
    <w:rsid w:val="00904C62"/>
    <w:rsid w:val="00922BA8"/>
    <w:rsid w:val="00924DAC"/>
    <w:rsid w:val="00927058"/>
    <w:rsid w:val="009360CE"/>
    <w:rsid w:val="00942750"/>
    <w:rsid w:val="00942995"/>
    <w:rsid w:val="009450CE"/>
    <w:rsid w:val="009459BB"/>
    <w:rsid w:val="00947179"/>
    <w:rsid w:val="0095164B"/>
    <w:rsid w:val="00954090"/>
    <w:rsid w:val="009573E7"/>
    <w:rsid w:val="00963E05"/>
    <w:rsid w:val="00964A45"/>
    <w:rsid w:val="00967843"/>
    <w:rsid w:val="00967D54"/>
    <w:rsid w:val="00971028"/>
    <w:rsid w:val="00990B8F"/>
    <w:rsid w:val="00993B84"/>
    <w:rsid w:val="00996483"/>
    <w:rsid w:val="00996F5A"/>
    <w:rsid w:val="009B041A"/>
    <w:rsid w:val="009C37C3"/>
    <w:rsid w:val="009C7C86"/>
    <w:rsid w:val="009D2FF7"/>
    <w:rsid w:val="009D78F4"/>
    <w:rsid w:val="009E7884"/>
    <w:rsid w:val="009E788A"/>
    <w:rsid w:val="009F0E08"/>
    <w:rsid w:val="009F2EB5"/>
    <w:rsid w:val="00A079AE"/>
    <w:rsid w:val="00A1763D"/>
    <w:rsid w:val="00A17CEC"/>
    <w:rsid w:val="00A26CBB"/>
    <w:rsid w:val="00A27EF0"/>
    <w:rsid w:val="00A367D9"/>
    <w:rsid w:val="00A42361"/>
    <w:rsid w:val="00A50B20"/>
    <w:rsid w:val="00A51390"/>
    <w:rsid w:val="00A54D31"/>
    <w:rsid w:val="00A60D13"/>
    <w:rsid w:val="00A640F1"/>
    <w:rsid w:val="00A7223D"/>
    <w:rsid w:val="00A72745"/>
    <w:rsid w:val="00A76EFC"/>
    <w:rsid w:val="00A8720D"/>
    <w:rsid w:val="00A87D50"/>
    <w:rsid w:val="00A91010"/>
    <w:rsid w:val="00A97F29"/>
    <w:rsid w:val="00AA702E"/>
    <w:rsid w:val="00AA7D26"/>
    <w:rsid w:val="00AB0964"/>
    <w:rsid w:val="00AB5011"/>
    <w:rsid w:val="00AC7368"/>
    <w:rsid w:val="00AD0278"/>
    <w:rsid w:val="00AD16B9"/>
    <w:rsid w:val="00AE377D"/>
    <w:rsid w:val="00AF0EBA"/>
    <w:rsid w:val="00B02C8A"/>
    <w:rsid w:val="00B12BF1"/>
    <w:rsid w:val="00B17FBD"/>
    <w:rsid w:val="00B315A6"/>
    <w:rsid w:val="00B31813"/>
    <w:rsid w:val="00B33365"/>
    <w:rsid w:val="00B57B36"/>
    <w:rsid w:val="00B57E6F"/>
    <w:rsid w:val="00B8686D"/>
    <w:rsid w:val="00B93F69"/>
    <w:rsid w:val="00B96F3E"/>
    <w:rsid w:val="00BB1DDC"/>
    <w:rsid w:val="00BC30C9"/>
    <w:rsid w:val="00BD077D"/>
    <w:rsid w:val="00BE3E58"/>
    <w:rsid w:val="00C01616"/>
    <w:rsid w:val="00C0162B"/>
    <w:rsid w:val="00C068ED"/>
    <w:rsid w:val="00C12C12"/>
    <w:rsid w:val="00C208E9"/>
    <w:rsid w:val="00C22E0C"/>
    <w:rsid w:val="00C31610"/>
    <w:rsid w:val="00C345B1"/>
    <w:rsid w:val="00C40142"/>
    <w:rsid w:val="00C52C3C"/>
    <w:rsid w:val="00C57182"/>
    <w:rsid w:val="00C57863"/>
    <w:rsid w:val="00C640AF"/>
    <w:rsid w:val="00C655FD"/>
    <w:rsid w:val="00C75407"/>
    <w:rsid w:val="00C841C6"/>
    <w:rsid w:val="00C870A8"/>
    <w:rsid w:val="00C94434"/>
    <w:rsid w:val="00CA0D75"/>
    <w:rsid w:val="00CA1C95"/>
    <w:rsid w:val="00CA5A9C"/>
    <w:rsid w:val="00CC4C20"/>
    <w:rsid w:val="00CD3517"/>
    <w:rsid w:val="00CD5FE2"/>
    <w:rsid w:val="00CE7C68"/>
    <w:rsid w:val="00D02B4C"/>
    <w:rsid w:val="00D040C4"/>
    <w:rsid w:val="00D07D27"/>
    <w:rsid w:val="00D20AD1"/>
    <w:rsid w:val="00D2582C"/>
    <w:rsid w:val="00D46B7E"/>
    <w:rsid w:val="00D531EE"/>
    <w:rsid w:val="00D57C84"/>
    <w:rsid w:val="00D6057D"/>
    <w:rsid w:val="00D71640"/>
    <w:rsid w:val="00D836C5"/>
    <w:rsid w:val="00D84576"/>
    <w:rsid w:val="00DA1399"/>
    <w:rsid w:val="00DA24C6"/>
    <w:rsid w:val="00DA4D7B"/>
    <w:rsid w:val="00DA5F75"/>
    <w:rsid w:val="00DC4C30"/>
    <w:rsid w:val="00DD271C"/>
    <w:rsid w:val="00DE01BB"/>
    <w:rsid w:val="00DE264A"/>
    <w:rsid w:val="00DF5072"/>
    <w:rsid w:val="00E02D18"/>
    <w:rsid w:val="00E041E7"/>
    <w:rsid w:val="00E23CA1"/>
    <w:rsid w:val="00E409A8"/>
    <w:rsid w:val="00E47D61"/>
    <w:rsid w:val="00E50C12"/>
    <w:rsid w:val="00E65B91"/>
    <w:rsid w:val="00E7209D"/>
    <w:rsid w:val="00E72EAD"/>
    <w:rsid w:val="00E754EA"/>
    <w:rsid w:val="00E77223"/>
    <w:rsid w:val="00E8528B"/>
    <w:rsid w:val="00E85B94"/>
    <w:rsid w:val="00E978D0"/>
    <w:rsid w:val="00EA4613"/>
    <w:rsid w:val="00EA7F91"/>
    <w:rsid w:val="00EB1523"/>
    <w:rsid w:val="00EC0E49"/>
    <w:rsid w:val="00EC101F"/>
    <w:rsid w:val="00EC1D9F"/>
    <w:rsid w:val="00EE0131"/>
    <w:rsid w:val="00EE0408"/>
    <w:rsid w:val="00EE17B0"/>
    <w:rsid w:val="00EF06D9"/>
    <w:rsid w:val="00EF0982"/>
    <w:rsid w:val="00EF4AA7"/>
    <w:rsid w:val="00F3049E"/>
    <w:rsid w:val="00F30C64"/>
    <w:rsid w:val="00F32BA2"/>
    <w:rsid w:val="00F32CDB"/>
    <w:rsid w:val="00F3348F"/>
    <w:rsid w:val="00F34A96"/>
    <w:rsid w:val="00F37280"/>
    <w:rsid w:val="00F41EE4"/>
    <w:rsid w:val="00F565FE"/>
    <w:rsid w:val="00F61A20"/>
    <w:rsid w:val="00F63A70"/>
    <w:rsid w:val="00F63D8C"/>
    <w:rsid w:val="00F7534E"/>
    <w:rsid w:val="00F870C1"/>
    <w:rsid w:val="00F93EDF"/>
    <w:rsid w:val="00FA1802"/>
    <w:rsid w:val="00FA21D0"/>
    <w:rsid w:val="00FA5F5F"/>
    <w:rsid w:val="00FA78A4"/>
    <w:rsid w:val="00FB6A60"/>
    <w:rsid w:val="00FB730C"/>
    <w:rsid w:val="00FC2695"/>
    <w:rsid w:val="00FC3E03"/>
    <w:rsid w:val="00FC3FC1"/>
    <w:rsid w:val="00FD15E4"/>
    <w:rsid w:val="00FD3E7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
    <w:name w:val="E-mail Signature"/>
    <w:basedOn w:val="Normal"/>
    <w:link w:val="FirmadecorreoCar"/>
    <w:uiPriority w:val="99"/>
    <w:semiHidden/>
    <w:unhideWhenUsed/>
    <w:rsid w:val="0003148D"/>
    <w:pPr>
      <w:spacing w:line="240" w:lineRule="auto"/>
    </w:pPr>
  </w:style>
  <w:style w:type="character" w:customStyle="1" w:styleId="FirmadecorreoCar">
    <w:name w:val="Firma de correo Car"/>
    <w:basedOn w:val="Fuentedeprrafopredeter"/>
    <w:link w:val="Firmadecorre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Mencinsinresolver">
    <w:name w:val="Unresolved Mention"/>
    <w:basedOn w:val="Fuentedeprrafopredeter"/>
    <w:uiPriority w:val="99"/>
    <w:semiHidden/>
    <w:unhideWhenUsed/>
    <w:rsid w:val="005512F0"/>
    <w:rPr>
      <w:color w:val="605E5C"/>
      <w:shd w:val="clear" w:color="auto" w:fill="E1DFDD"/>
    </w:rPr>
  </w:style>
  <w:style w:type="character" w:styleId="nfasis">
    <w:name w:val="Emphasis"/>
    <w:basedOn w:val="Fuentedeprrafopredeter"/>
    <w:uiPriority w:val="20"/>
    <w:qFormat/>
    <w:rsid w:val="007B49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han.garcia@ccs.org.co" TargetMode="External"/><Relationship Id="rId18" Type="http://schemas.openxmlformats.org/officeDocument/2006/relationships/hyperlink" Target="https://doi.org/10.1016/j.ssci.2020.10498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016/j.jsasus.2024.12.003" TargetMode="External"/><Relationship Id="rId2" Type="http://schemas.openxmlformats.org/officeDocument/2006/relationships/customXml" Target="../customXml/item2.xml"/><Relationship Id="rId16" Type="http://schemas.openxmlformats.org/officeDocument/2006/relationships/hyperlink" Target="https://doi.org/10.1002/prs.7001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oi.org/10.1007/s10462-023-10419-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3E82A4B7AD4A489C8600269FD7CA18" ma:contentTypeVersion="23" ma:contentTypeDescription="Crear nuevo documento." ma:contentTypeScope="" ma:versionID="617ee4167cb122843696324a363ff620">
  <xsd:schema xmlns:xsd="http://www.w3.org/2001/XMLSchema" xmlns:xs="http://www.w3.org/2001/XMLSchema" xmlns:p="http://schemas.microsoft.com/office/2006/metadata/properties" xmlns:ns1="http://schemas.microsoft.com/sharepoint/v3" xmlns:ns2="7b8a0d6e-50d7-4031-8195-ea6f30b01806" xmlns:ns3="16d94fb3-1faf-4918-8ba3-ccd952d6a0ed" targetNamespace="http://schemas.microsoft.com/office/2006/metadata/properties" ma:root="true" ma:fieldsID="fec859eab85d3515908b055b66d94e1e" ns1:_="" ns2:_="" ns3:_="">
    <xsd:import namespace="http://schemas.microsoft.com/sharepoint/v3"/>
    <xsd:import namespace="7b8a0d6e-50d7-4031-8195-ea6f30b01806"/>
    <xsd:import namespace="16d94fb3-1faf-4918-8ba3-ccd952d6a0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ServiceAutoKeyPoints" minOccurs="0"/>
                <xsd:element ref="ns3:MediaServiceKeyPoints" minOccurs="0"/>
                <xsd:element ref="ns3:MediaServiceLocation" minOccurs="0"/>
                <xsd:element ref="ns3:MediaServiceObjectDetectorVersions" minOccurs="0"/>
                <xsd:element ref="ns3:MediaServiceSearchProperties"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iedades de la Directiva de cumplimiento unificado" ma:hidden="true" ma:internalName="_ip_UnifiedCompliancePolicyProperties">
      <xsd:simpleType>
        <xsd:restriction base="dms:Note"/>
      </xsd:simpleType>
    </xsd:element>
    <xsd:element name="_ip_UnifiedCompliancePolicyUIAction" ma:index="28"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8a0d6e-50d7-4031-8195-ea6f30b0180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7a09d71c-8d26-4bf5-aba3-ebb47ad56d50}" ma:internalName="TaxCatchAll" ma:showField="CatchAllData" ma:web="7b8a0d6e-50d7-4031-8195-ea6f30b018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d94fb3-1faf-4918-8ba3-ccd952d6a0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25bba21d-1869-49cc-a4f3-2a50ba353b39"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b8a0d6e-50d7-4031-8195-ea6f30b01806" xsi:nil="true"/>
    <lcf76f155ced4ddcb4097134ff3c332f xmlns="16d94fb3-1faf-4918-8ba3-ccd952d6a0e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2FD7B3C-F1C8-442E-B1AB-C06353F2770F}"/>
</file>

<file path=customXml/itemProps2.xml><?xml version="1.0" encoding="utf-8"?>
<ds:datastoreItem xmlns:ds="http://schemas.openxmlformats.org/officeDocument/2006/customXml" ds:itemID="{7DA908B9-907E-4513-8F77-C094EBA3EF9B}">
  <ds:schemaRefs>
    <ds:schemaRef ds:uri="http://schemas.microsoft.com/sharepoint/v3/contenttype/forms"/>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65DB0468-469F-4D77-836E-F37214D8A9C0}">
  <ds:schemaRefs>
    <ds:schemaRef ds:uri="http://schemas.microsoft.com/office/2006/metadata/properties"/>
    <ds:schemaRef ds:uri="http://schemas.microsoft.com/office/infopath/2007/PartnerControls"/>
    <ds:schemaRef ds:uri="7b8a0d6e-50d7-4031-8195-ea6f30b01806"/>
    <ds:schemaRef ds:uri="16d94fb3-1faf-4918-8ba3-ccd952d6a0ed"/>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Pages>
  <Words>3744</Words>
  <Characters>20598</Characters>
  <Application>Microsoft Office Word</Application>
  <DocSecurity>0</DocSecurity>
  <Lines>171</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Johan Andres Garcia Meneses</cp:lastModifiedBy>
  <cp:revision>29</cp:revision>
  <cp:lastPrinted>2015-05-12T18:31:00Z</cp:lastPrinted>
  <dcterms:created xsi:type="dcterms:W3CDTF">2026-01-30T15:48:00Z</dcterms:created>
  <dcterms:modified xsi:type="dcterms:W3CDTF">2026-02-04T16:12:00Z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0x010100EC3E82A4B7AD4A489C8600269FD7CA18</vt:lpwstr>
  </property>
  <property fmtid="{D5CDD505-2E9C-101B-9397-08002B2CF9AE}" pid="5" name="MediaServiceImageTags">
    <vt:lpwstr/>
  </property>
</Properties>
</file>