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eastAsia="en-GB"/>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087A532"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w:t>
            </w:r>
            <w:bookmarkStart w:id="0" w:name="_GoBack"/>
            <w:bookmarkEnd w:id="0"/>
            <w:r w:rsidR="0030152C">
              <w:rPr>
                <w:rFonts w:cs="Arial"/>
                <w:b/>
                <w:bCs/>
                <w:i/>
                <w:iCs/>
                <w:color w:val="000066"/>
                <w:sz w:val="22"/>
                <w:szCs w:val="22"/>
                <w:lang w:eastAsia="it-IT"/>
              </w:rPr>
              <w:t>02</w:t>
            </w:r>
            <w:r w:rsidR="0035009F">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eastAsia="en-GB"/>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086598E2"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1B0F1814" w14:textId="57AA03E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5938F104" w:rsidR="00E978D0" w:rsidRPr="00B57B36" w:rsidRDefault="009B01BF" w:rsidP="00C9293B">
      <w:pPr>
        <w:pStyle w:val="CETTitle"/>
        <w:jc w:val="left"/>
      </w:pPr>
      <w:r>
        <w:t xml:space="preserve">Safety Supervision and Open Communication </w:t>
      </w:r>
      <w:r w:rsidR="00C9293B">
        <w:t xml:space="preserve">                                      </w:t>
      </w:r>
      <w:r>
        <w:t xml:space="preserve">in the Chemical Fibre Production Industry: </w:t>
      </w:r>
      <w:r w:rsidR="00C9293B">
        <w:t xml:space="preserve">                                         </w:t>
      </w:r>
      <w:r>
        <w:t xml:space="preserve">The Influence of Team Leader on Safety Voice </w:t>
      </w:r>
      <w:proofErr w:type="spellStart"/>
      <w:r>
        <w:t>Behaviors</w:t>
      </w:r>
      <w:proofErr w:type="spellEnd"/>
    </w:p>
    <w:p w14:paraId="0488FED2" w14:textId="66E993C0" w:rsidR="00B57E6F" w:rsidRPr="001D6828" w:rsidRDefault="00BE561F" w:rsidP="00B57E6F">
      <w:pPr>
        <w:pStyle w:val="CETAuthors"/>
        <w:rPr>
          <w:lang w:val="it-IT"/>
        </w:rPr>
      </w:pPr>
      <w:r>
        <w:rPr>
          <w:lang w:val="it-IT"/>
        </w:rPr>
        <w:t>Andrea De Vincenti</w:t>
      </w:r>
      <w:r w:rsidR="00B57E6F" w:rsidRPr="001D6828">
        <w:rPr>
          <w:vertAlign w:val="superscript"/>
          <w:lang w:val="it-IT"/>
        </w:rPr>
        <w:t>a</w:t>
      </w:r>
      <w:r w:rsidR="00B57E6F" w:rsidRPr="001D6828">
        <w:rPr>
          <w:lang w:val="it-IT"/>
        </w:rPr>
        <w:t xml:space="preserve">, </w:t>
      </w:r>
      <w:r>
        <w:rPr>
          <w:lang w:val="it-IT"/>
        </w:rPr>
        <w:t>Valerio Vinciarelli</w:t>
      </w:r>
      <w:r w:rsidR="001D6828" w:rsidRPr="001D6828">
        <w:rPr>
          <w:vertAlign w:val="superscript"/>
          <w:lang w:val="it-IT"/>
        </w:rPr>
        <w:t>a</w:t>
      </w:r>
      <w:r w:rsidR="001D6828" w:rsidRPr="001D6828">
        <w:rPr>
          <w:lang w:val="it-IT"/>
        </w:rPr>
        <w:t>,</w:t>
      </w:r>
      <w:r>
        <w:rPr>
          <w:lang w:val="it-IT"/>
        </w:rPr>
        <w:t xml:space="preserve"> </w:t>
      </w:r>
      <w:r w:rsidR="001D6828" w:rsidRPr="001D6828">
        <w:rPr>
          <w:lang w:val="it-IT"/>
        </w:rPr>
        <w:t>Rebecca Lancioni</w:t>
      </w:r>
      <w:r w:rsidR="001D6828" w:rsidRPr="001D6828">
        <w:rPr>
          <w:vertAlign w:val="superscript"/>
          <w:lang w:val="it-IT"/>
        </w:rPr>
        <w:t>a</w:t>
      </w:r>
      <w:r w:rsidR="001D6828">
        <w:rPr>
          <w:lang w:val="it-IT"/>
        </w:rPr>
        <w:t>, M</w:t>
      </w:r>
      <w:r w:rsidR="001D6828" w:rsidRPr="001D6828">
        <w:rPr>
          <w:lang w:val="it-IT"/>
        </w:rPr>
        <w:t>atteo Curcuruto</w:t>
      </w:r>
      <w:r w:rsidR="001D6828" w:rsidRPr="001D6828">
        <w:rPr>
          <w:vertAlign w:val="superscript"/>
          <w:lang w:val="it-IT"/>
        </w:rPr>
        <w:t>a</w:t>
      </w:r>
      <w:r w:rsidR="00B57E6F" w:rsidRPr="001D6828">
        <w:rPr>
          <w:vertAlign w:val="superscript"/>
          <w:lang w:val="it-IT"/>
        </w:rPr>
        <w:t>,</w:t>
      </w:r>
      <w:r w:rsidR="001D6828">
        <w:rPr>
          <w:lang w:val="it-IT"/>
        </w:rPr>
        <w:t>*</w:t>
      </w:r>
    </w:p>
    <w:p w14:paraId="3D72B0B0" w14:textId="3F62A541" w:rsidR="00B57E6F" w:rsidRDefault="00B57E6F" w:rsidP="00B57E6F">
      <w:pPr>
        <w:pStyle w:val="CETAddress"/>
      </w:pPr>
      <w:r w:rsidRPr="00B57B36">
        <w:rPr>
          <w:vertAlign w:val="superscript"/>
        </w:rPr>
        <w:t>a</w:t>
      </w:r>
      <w:r w:rsidR="001D6828" w:rsidRPr="001D6828">
        <w:t xml:space="preserve"> Department of Life and Health Sciences, European University of Rome, Rome 00163, Italy         </w:t>
      </w:r>
      <w:r w:rsidRPr="00B57B36">
        <w:t xml:space="preserve"> </w:t>
      </w:r>
    </w:p>
    <w:p w14:paraId="325C1225" w14:textId="5FFE88E5" w:rsidR="00681460" w:rsidRPr="009378F0" w:rsidRDefault="00411A06" w:rsidP="001D6828">
      <w:pPr>
        <w:pStyle w:val="CETemail"/>
      </w:pPr>
      <w:r>
        <w:t>*Corresponding author contact</w:t>
      </w:r>
      <w:r w:rsidR="001D6828">
        <w:t>: matteo.curcuruto@unier.it</w:t>
      </w:r>
    </w:p>
    <w:p w14:paraId="58BC3CF8" w14:textId="77777777" w:rsidR="00BB6656" w:rsidRPr="00550723" w:rsidRDefault="00BB6656" w:rsidP="00BB6656">
      <w:pPr>
        <w:pStyle w:val="p1"/>
        <w:spacing w:before="0" w:beforeAutospacing="0" w:after="0" w:afterAutospacing="0"/>
        <w:rPr>
          <w:rFonts w:ascii="Arial" w:hAnsi="Arial"/>
          <w:sz w:val="18"/>
          <w:szCs w:val="20"/>
          <w:lang w:val="en-GB" w:eastAsia="en-US"/>
        </w:rPr>
      </w:pPr>
      <w:r w:rsidRPr="00550723">
        <w:rPr>
          <w:rFonts w:ascii="Arial" w:hAnsi="Arial"/>
          <w:sz w:val="18"/>
          <w:szCs w:val="20"/>
          <w:lang w:val="en-GB" w:eastAsia="en-US"/>
        </w:rPr>
        <w:t>Aim. The paper outlines a multidimensional approach to understanding and assessing the influence of safety leader supervision styles in eliciting open safety communication in the working teams operating in high-risk industries, like chemical operators, off-shore oil, gas industry, where the complexity of the production processes and high operational risks require continuous and differentiated communication.</w:t>
      </w:r>
    </w:p>
    <w:p w14:paraId="487BCCA3" w14:textId="628F8694" w:rsidR="00BB6656" w:rsidRPr="00550723" w:rsidRDefault="00A97D9A" w:rsidP="00BB6656">
      <w:pPr>
        <w:pStyle w:val="p1"/>
        <w:spacing w:before="0" w:beforeAutospacing="0" w:after="0" w:afterAutospacing="0"/>
        <w:rPr>
          <w:rFonts w:ascii="Arial" w:hAnsi="Arial"/>
          <w:sz w:val="18"/>
          <w:szCs w:val="20"/>
          <w:lang w:val="en-GB" w:eastAsia="en-US"/>
        </w:rPr>
      </w:pPr>
      <w:r>
        <w:rPr>
          <w:rFonts w:ascii="Arial" w:hAnsi="Arial"/>
          <w:sz w:val="18"/>
          <w:szCs w:val="20"/>
          <w:lang w:val="en-GB" w:eastAsia="en-US"/>
        </w:rPr>
        <w:t>T</w:t>
      </w:r>
      <w:r w:rsidR="00BB6656" w:rsidRPr="00550723">
        <w:rPr>
          <w:rFonts w:ascii="Arial" w:hAnsi="Arial"/>
          <w:sz w:val="18"/>
          <w:szCs w:val="20"/>
          <w:lang w:val="en-GB" w:eastAsia="en-US"/>
        </w:rPr>
        <w:t>his study advances existing research in the chemical industry by moving beyond a unitary conceptualization of safety supervision and communication: instead, it examines distinct supervisory styles (safety-empowering vs. safety-monitoring) and multiple forms of safety communication (promotive, preventive, proscriptive voice).</w:t>
      </w:r>
    </w:p>
    <w:p w14:paraId="50665B30" w14:textId="68F15FED" w:rsidR="00BB6656" w:rsidRPr="00550723" w:rsidRDefault="00A97D9A" w:rsidP="00BB6656">
      <w:pPr>
        <w:pStyle w:val="p1"/>
        <w:spacing w:before="0" w:beforeAutospacing="0" w:after="0" w:afterAutospacing="0"/>
        <w:rPr>
          <w:rFonts w:ascii="Arial" w:hAnsi="Arial"/>
          <w:sz w:val="18"/>
          <w:szCs w:val="20"/>
          <w:lang w:val="en-GB" w:eastAsia="en-US"/>
        </w:rPr>
      </w:pPr>
      <w:r>
        <w:rPr>
          <w:rFonts w:ascii="Arial" w:hAnsi="Arial"/>
          <w:sz w:val="18"/>
          <w:szCs w:val="20"/>
          <w:lang w:val="en-GB" w:eastAsia="en-US"/>
        </w:rPr>
        <w:t>Methods. A survey</w:t>
      </w:r>
      <w:r w:rsidR="00BB6656" w:rsidRPr="00550723">
        <w:rPr>
          <w:rFonts w:ascii="Arial" w:hAnsi="Arial"/>
          <w:sz w:val="18"/>
          <w:szCs w:val="20"/>
          <w:lang w:val="en-GB" w:eastAsia="en-US"/>
        </w:rPr>
        <w:t xml:space="preserve"> research was conducted in a large chemical manufacturing facility in Eastern Europe, specialized in fibre production and employing approximately one thousand workers.</w:t>
      </w:r>
    </w:p>
    <w:p w14:paraId="01C50F57" w14:textId="77777777" w:rsidR="00BB6656" w:rsidRPr="00550723" w:rsidRDefault="00BB6656" w:rsidP="00BB6656">
      <w:pPr>
        <w:pStyle w:val="p1"/>
        <w:spacing w:before="0" w:beforeAutospacing="0" w:after="0" w:afterAutospacing="0"/>
        <w:rPr>
          <w:rFonts w:ascii="Arial" w:hAnsi="Arial"/>
          <w:sz w:val="18"/>
          <w:szCs w:val="20"/>
          <w:lang w:val="en-GB" w:eastAsia="en-US"/>
        </w:rPr>
      </w:pPr>
      <w:r w:rsidRPr="00550723">
        <w:rPr>
          <w:rFonts w:ascii="Arial" w:hAnsi="Arial"/>
          <w:sz w:val="18"/>
          <w:szCs w:val="20"/>
          <w:lang w:val="en-GB" w:eastAsia="en-US"/>
        </w:rPr>
        <w:t>Results. Statistical analyses supported an eight-factor measurement model and showed that safety-empowering supervision influences promotive and preventive voice through safety motivation, whereas safety-monitoring supervision predicts proscriptive voice via safety knowledge.</w:t>
      </w:r>
    </w:p>
    <w:p w14:paraId="7FEA3A58" w14:textId="32C84953" w:rsidR="00BB6656" w:rsidRPr="00550723" w:rsidRDefault="00BB6656" w:rsidP="00BB6656">
      <w:pPr>
        <w:pStyle w:val="p1"/>
        <w:spacing w:before="0" w:beforeAutospacing="0" w:after="0" w:afterAutospacing="0"/>
        <w:rPr>
          <w:rFonts w:ascii="Arial" w:hAnsi="Arial"/>
          <w:sz w:val="18"/>
          <w:szCs w:val="20"/>
          <w:lang w:val="en-GB" w:eastAsia="en-US"/>
        </w:rPr>
      </w:pPr>
      <w:r w:rsidRPr="00550723">
        <w:rPr>
          <w:rFonts w:ascii="Arial" w:hAnsi="Arial"/>
          <w:sz w:val="18"/>
          <w:szCs w:val="20"/>
          <w:lang w:val="en-GB" w:eastAsia="en-US"/>
        </w:rPr>
        <w:t>Conclusions. The findings offer actionable implications for the management of safe operations in the chemical industry: aligning supervisory styles with specific communicative goals can strengthen workers’ participation in safety, enhancing organizational ri</w:t>
      </w:r>
      <w:r w:rsidR="00A97D9A">
        <w:rPr>
          <w:rFonts w:ascii="Arial" w:hAnsi="Arial"/>
          <w:sz w:val="18"/>
          <w:szCs w:val="20"/>
          <w:lang w:val="en-GB" w:eastAsia="en-US"/>
        </w:rPr>
        <w:t xml:space="preserve">sk prevention and the </w:t>
      </w:r>
      <w:r w:rsidRPr="00550723">
        <w:rPr>
          <w:rFonts w:ascii="Arial" w:hAnsi="Arial"/>
          <w:sz w:val="18"/>
          <w:szCs w:val="20"/>
          <w:lang w:val="en-GB" w:eastAsia="en-US"/>
        </w:rPr>
        <w:t xml:space="preserve">improvement of safety management </w:t>
      </w:r>
      <w:r>
        <w:rPr>
          <w:rFonts w:ascii="Arial" w:hAnsi="Arial"/>
          <w:sz w:val="18"/>
          <w:szCs w:val="20"/>
          <w:lang w:val="en-GB" w:eastAsia="en-US"/>
        </w:rPr>
        <w:t>p</w:t>
      </w:r>
      <w:r w:rsidRPr="00550723">
        <w:rPr>
          <w:rFonts w:ascii="Arial" w:hAnsi="Arial"/>
          <w:sz w:val="18"/>
          <w:szCs w:val="20"/>
          <w:lang w:val="en-GB" w:eastAsia="en-US"/>
        </w:rPr>
        <w:t>ractices.</w:t>
      </w:r>
    </w:p>
    <w:p w14:paraId="03CEA04C" w14:textId="77777777" w:rsidR="00C52C3C" w:rsidRDefault="00C52C3C" w:rsidP="00E65B91">
      <w:pPr>
        <w:pStyle w:val="CETReferencetext"/>
      </w:pPr>
    </w:p>
    <w:p w14:paraId="3BC79ABC" w14:textId="6D906ED6" w:rsidR="0020325B" w:rsidRPr="00A52B48" w:rsidRDefault="00BB6656" w:rsidP="00A52B48">
      <w:pPr>
        <w:pStyle w:val="CETHeading1"/>
        <w:rPr>
          <w:lang w:val="en-GB"/>
        </w:rPr>
      </w:pPr>
      <w:r w:rsidRPr="00550723">
        <w:rPr>
          <w:lang w:val="en-GB"/>
        </w:rPr>
        <w:t>Introduction</w:t>
      </w:r>
      <w:r w:rsidR="00A52B48">
        <w:rPr>
          <w:lang w:val="en-GB"/>
        </w:rPr>
        <w:t>:</w:t>
      </w:r>
      <w:r w:rsidR="00A52B48" w:rsidRPr="00A52B48">
        <w:t xml:space="preserve"> </w:t>
      </w:r>
      <w:r w:rsidR="00C77AE1">
        <w:rPr>
          <w:lang w:val="en-GB"/>
        </w:rPr>
        <w:t>s</w:t>
      </w:r>
      <w:r w:rsidR="00A52B48">
        <w:rPr>
          <w:lang w:val="en-GB"/>
        </w:rPr>
        <w:t xml:space="preserve">afety voice and </w:t>
      </w:r>
      <w:r w:rsidR="00A52B48" w:rsidRPr="00A52B48">
        <w:rPr>
          <w:lang w:val="en-GB"/>
        </w:rPr>
        <w:t>acc</w:t>
      </w:r>
      <w:r w:rsidR="00C77AE1">
        <w:rPr>
          <w:lang w:val="en-GB"/>
        </w:rPr>
        <w:t>idents prevention in p</w:t>
      </w:r>
      <w:r w:rsidR="00A52B48">
        <w:rPr>
          <w:lang w:val="en-GB"/>
        </w:rPr>
        <w:t>roces</w:t>
      </w:r>
      <w:r w:rsidR="00C77AE1">
        <w:rPr>
          <w:lang w:val="en-GB"/>
        </w:rPr>
        <w:t>s safety m</w:t>
      </w:r>
      <w:r w:rsidR="00A52B48">
        <w:rPr>
          <w:lang w:val="en-GB"/>
        </w:rPr>
        <w:t>anagement</w:t>
      </w:r>
    </w:p>
    <w:p w14:paraId="70FC37E8" w14:textId="2E4A07A2" w:rsidR="0020325B" w:rsidRPr="0020325B" w:rsidRDefault="0020325B" w:rsidP="00B6561F">
      <w:pPr>
        <w:pStyle w:val="CETBodytext"/>
        <w:spacing w:after="120" w:line="240" w:lineRule="auto"/>
        <w:rPr>
          <w:lang w:val="en-GB"/>
        </w:rPr>
      </w:pPr>
      <w:r w:rsidRPr="0020325B">
        <w:rPr>
          <w:lang w:val="en-GB"/>
        </w:rPr>
        <w:t>Employee voice refers to open communication aimed at improving working conditions by identifying issues and opportunities through formal and informal channels</w:t>
      </w:r>
      <w:r w:rsidR="008B0582">
        <w:rPr>
          <w:lang w:val="en-GB"/>
        </w:rPr>
        <w:t xml:space="preserve"> </w:t>
      </w:r>
      <w:r w:rsidR="008B0582">
        <w:rPr>
          <w:lang w:val="en-GB"/>
        </w:rPr>
        <w:fldChar w:fldCharType="begin"/>
      </w:r>
      <w:r w:rsidR="008B0582">
        <w:rPr>
          <w:lang w:val="en-GB"/>
        </w:rPr>
        <w:instrText xml:space="preserve"> ADDIN ZOTERO_ITEM CSL_CITATION {"citationID":"jaW4Z7OO","properties":{"formattedCitation":"(Morrison, 2014)","plainCitation":"(Morrison, 2014)","noteIndex":0},"citationItems":[{"id":106,"uris":["http://zotero.org/users/18822934/items/PININ2Q6"],"itemData":{"id":106,"type":"article-journal","container-title":"Annu. Rev. Organ. Psychol. Organ. Behav.","issue":"1","page":"173–197","publisher":"Annual Reviews","title":"Employee voice and silence","volume":"1","author":[{"family":"Morrison","given":"Elizabeth W"}],"issued":{"date-parts":[["2014"]]}}}],"schema":"https://github.com/citation-style-language/schema/raw/master/csl-citation.json"} </w:instrText>
      </w:r>
      <w:r w:rsidR="008B0582">
        <w:rPr>
          <w:lang w:val="en-GB"/>
        </w:rPr>
        <w:fldChar w:fldCharType="separate"/>
      </w:r>
      <w:r w:rsidR="008B0582" w:rsidRPr="008B0582">
        <w:rPr>
          <w:rFonts w:cs="Arial"/>
        </w:rPr>
        <w:t>(Morrison, 2014)</w:t>
      </w:r>
      <w:r w:rsidR="008B0582">
        <w:rPr>
          <w:lang w:val="en-GB"/>
        </w:rPr>
        <w:fldChar w:fldCharType="end"/>
      </w:r>
      <w:r w:rsidRPr="0020325B">
        <w:rPr>
          <w:lang w:val="en-GB"/>
        </w:rPr>
        <w:t xml:space="preserve">. In workplace safety, </w:t>
      </w:r>
      <w:r w:rsidRPr="001D6828">
        <w:rPr>
          <w:bCs/>
          <w:lang w:val="en-GB"/>
        </w:rPr>
        <w:t>safety voice</w:t>
      </w:r>
      <w:r w:rsidRPr="0020325B">
        <w:rPr>
          <w:lang w:val="en-GB"/>
        </w:rPr>
        <w:t xml:space="preserve"> is a proactive </w:t>
      </w:r>
      <w:proofErr w:type="spellStart"/>
      <w:r w:rsidRPr="0020325B">
        <w:rPr>
          <w:lang w:val="en-GB"/>
        </w:rPr>
        <w:t>behavior</w:t>
      </w:r>
      <w:proofErr w:type="spellEnd"/>
      <w:r w:rsidRPr="0020325B">
        <w:rPr>
          <w:lang w:val="en-GB"/>
        </w:rPr>
        <w:t xml:space="preserve"> reporting risks to those who can intervene, helping prevent future injuries and accidents</w:t>
      </w:r>
      <w:r w:rsidR="008B0582">
        <w:rPr>
          <w:lang w:val="en-GB"/>
        </w:rPr>
        <w:t xml:space="preserve"> </w:t>
      </w:r>
      <w:r w:rsidR="008B0582">
        <w:rPr>
          <w:lang w:val="en-GB"/>
        </w:rPr>
        <w:fldChar w:fldCharType="begin"/>
      </w:r>
      <w:r w:rsidR="008B0582">
        <w:rPr>
          <w:lang w:val="en-GB"/>
        </w:rPr>
        <w:instrText xml:space="preserve"> ADDIN ZOTERO_ITEM CSL_CITATION {"citationID":"9Mz5riAG","properties":{"formattedCitation":"(Bazzoli et al., 2025)","plainCitation":"(Bazzoli et al., 2025)","noteIndex":0},"citationItems":[{"id":97,"uris":["http://zotero.org/users/18822934/items/5WQB7X3X"],"itemData":{"id":97,"type":"article-journal","container-title":"Safety","issue":"4","page":"110","publisher":"MDPI","title":"A Multidimensional Conceptualization of Employee Safety Voice","volume":"11","author":[{"family":"Bazzoli","given":"Andrea"},{"family":"Sommovigo","given":"Valentina"},{"family":"Finstad","given":"Georgia Libera"},{"family":"Vinciarelli","given":"Valerio"},{"family":"Curcuruto","given":"Matteo"}],"issued":{"date-parts":[["2025"]]}}}],"schema":"https://github.com/citation-style-language/schema/raw/master/csl-citation.json"} </w:instrText>
      </w:r>
      <w:r w:rsidR="008B0582">
        <w:rPr>
          <w:lang w:val="en-GB"/>
        </w:rPr>
        <w:fldChar w:fldCharType="separate"/>
      </w:r>
      <w:r w:rsidR="008B0582" w:rsidRPr="008B0582">
        <w:rPr>
          <w:rFonts w:cs="Arial"/>
        </w:rPr>
        <w:t>(Bazzoli et al., 2025)</w:t>
      </w:r>
      <w:r w:rsidR="008B0582">
        <w:rPr>
          <w:lang w:val="en-GB"/>
        </w:rPr>
        <w:fldChar w:fldCharType="end"/>
      </w:r>
      <w:r w:rsidRPr="0020325B">
        <w:rPr>
          <w:lang w:val="en-GB"/>
        </w:rPr>
        <w:t>.</w:t>
      </w:r>
      <w:r w:rsidR="008B0582">
        <w:rPr>
          <w:lang w:val="en-GB"/>
        </w:rPr>
        <w:t xml:space="preserve"> </w:t>
      </w:r>
      <w:r w:rsidRPr="0020325B">
        <w:rPr>
          <w:lang w:val="en-GB"/>
        </w:rPr>
        <w:t>Its importance has grown due to the high incidence of serious workplace accidents</w:t>
      </w:r>
      <w:r w:rsidR="008B0582">
        <w:rPr>
          <w:lang w:val="en-GB"/>
        </w:rPr>
        <w:t xml:space="preserve"> </w:t>
      </w:r>
      <w:r w:rsidR="008B0582">
        <w:rPr>
          <w:lang w:val="en-GB"/>
        </w:rPr>
        <w:fldChar w:fldCharType="begin"/>
      </w:r>
      <w:r w:rsidR="008B0582">
        <w:rPr>
          <w:lang w:val="en-GB"/>
        </w:rPr>
        <w:instrText xml:space="preserve"> ADDIN ZOTERO_ITEM CSL_CITATION {"citationID":"KDrHO9Zx","properties":{"formattedCitation":"(Christian et al., 2009)","plainCitation":"(Christian et al., 2009)","noteIndex":0},"citationItems":[{"id":98,"uris":["http://zotero.org/users/18822934/items/FXE8C6VW"],"itemData":{"id":98,"type":"article-journal","container-title":"Journal of applied psychology","issue":"5","page":"1103","publisher":"American Psychological Association","title":"Workplace safety: a meta-analysis of the roles of person and situation factors.","volume":"94","author":[{"family":"Christian","given":"Michael S"},{"family":"Bradley","given":"Jill C"},{"family":"Wallace","given":"J Craig"},{"family":"Burke","given":"Michael J"}],"issued":{"date-parts":[["2009"]]}}}],"schema":"https://github.com/citation-style-language/schema/raw/master/csl-citation.json"} </w:instrText>
      </w:r>
      <w:r w:rsidR="008B0582">
        <w:rPr>
          <w:lang w:val="en-GB"/>
        </w:rPr>
        <w:fldChar w:fldCharType="separate"/>
      </w:r>
      <w:r w:rsidR="008B0582" w:rsidRPr="008B0582">
        <w:rPr>
          <w:rFonts w:cs="Arial"/>
        </w:rPr>
        <w:t>(Christian et al., 2009)</w:t>
      </w:r>
      <w:r w:rsidR="008B0582">
        <w:rPr>
          <w:lang w:val="en-GB"/>
        </w:rPr>
        <w:fldChar w:fldCharType="end"/>
      </w:r>
      <w:r w:rsidRPr="0020325B">
        <w:rPr>
          <w:lang w:val="en-GB"/>
        </w:rPr>
        <w:t xml:space="preserve">. Research shows that organizations can enhance </w:t>
      </w:r>
      <w:r w:rsidR="00A52B48">
        <w:rPr>
          <w:lang w:val="en-GB"/>
        </w:rPr>
        <w:t xml:space="preserve">individual and team </w:t>
      </w:r>
      <w:r w:rsidRPr="0020325B">
        <w:rPr>
          <w:lang w:val="en-GB"/>
        </w:rPr>
        <w:t>safety performance by supporting employees’ reporting and improvement ini</w:t>
      </w:r>
      <w:r w:rsidR="00514BE4">
        <w:rPr>
          <w:lang w:val="en-GB"/>
        </w:rPr>
        <w:t>tiatives</w:t>
      </w:r>
      <w:r w:rsidR="008B0582">
        <w:rPr>
          <w:rFonts w:cs="Arial"/>
          <w:lang w:val="en-GB"/>
        </w:rPr>
        <w:t xml:space="preserve"> </w:t>
      </w:r>
      <w:r w:rsidR="008B0582">
        <w:rPr>
          <w:rFonts w:cs="Arial"/>
          <w:lang w:val="en-GB"/>
        </w:rPr>
        <w:fldChar w:fldCharType="begin"/>
      </w:r>
      <w:r w:rsidR="008B0582">
        <w:rPr>
          <w:rFonts w:cs="Arial"/>
          <w:lang w:val="en-GB"/>
        </w:rPr>
        <w:instrText xml:space="preserve"> ADDIN ZOTERO_ITEM CSL_CITATION {"citationID":"Gz5QagB6","properties":{"formattedCitation":"(Curcuruto et al., 2016)","plainCitation":"(Curcuruto et al., 2016)","noteIndex":0},"citationItems":[{"id":100,"uris":["http://zotero.org/users/18822934/items/CA3XYENV"],"itemData":{"id":100,"type":"article-journal","container-title":"Safety science","page":"144–155","publisher":"Elsevier","title":"Proactive role-orientation toward workplace safety: Psychological dimensions, nomological network and external validity","volume":"87","author":[{"family":"Curcuruto","given":"Matteo"},{"family":"Mearns","given":"Kathryn J"},{"family":"Mariani","given":"Marco G"}],"issued":{"date-parts":[["2016"]]}}}],"schema":"https://github.com/citation-style-language/schema/raw/master/csl-citation.json"} </w:instrText>
      </w:r>
      <w:r w:rsidR="008B0582">
        <w:rPr>
          <w:rFonts w:cs="Arial"/>
          <w:lang w:val="en-GB"/>
        </w:rPr>
        <w:fldChar w:fldCharType="separate"/>
      </w:r>
      <w:r w:rsidR="008B0582" w:rsidRPr="008B0582">
        <w:rPr>
          <w:rFonts w:cs="Arial"/>
        </w:rPr>
        <w:t>(Curcuruto et al., 2016)</w:t>
      </w:r>
      <w:r w:rsidR="008B0582">
        <w:rPr>
          <w:rFonts w:cs="Arial"/>
          <w:lang w:val="en-GB"/>
        </w:rPr>
        <w:fldChar w:fldCharType="end"/>
      </w:r>
      <w:r w:rsidRPr="0020325B">
        <w:rPr>
          <w:lang w:val="en-GB"/>
        </w:rPr>
        <w:t xml:space="preserve">. </w:t>
      </w:r>
      <w:r w:rsidR="00A52B48" w:rsidRPr="00A52B48">
        <w:t xml:space="preserve">Beyond individual and team-level safety outcomes, safety voice behaviors are </w:t>
      </w:r>
      <w:r w:rsidR="00A52B48">
        <w:t xml:space="preserve">also </w:t>
      </w:r>
      <w:r w:rsidR="00A52B48" w:rsidRPr="00A52B48">
        <w:t>critically relevant to the prevention of major accidents and to the effectiveness of process safety management (PSM) systems. A substantial body of evidence indicates that catastrophic events in high-hazard industries are frequently preceded by communication breakdowns, part</w:t>
      </w:r>
      <w:r w:rsidR="00672F2B">
        <w:t>icularly during shift handovers</w:t>
      </w:r>
      <w:r w:rsidR="00F61ED1">
        <w:t xml:space="preserve"> </w:t>
      </w:r>
      <w:r w:rsidR="008B0582">
        <w:fldChar w:fldCharType="begin"/>
      </w:r>
      <w:r w:rsidR="008B0582">
        <w:instrText xml:space="preserve"> ADDIN ZOTERO_ITEM CSL_CITATION {"citationID":"CO3WYECC","properties":{"formattedCitation":"(Flin and O\\uc0\\u8217{}Connor, 2017)","plainCitation":"(Flin and O’Connor, 2017)","noteIndex":0},"citationItems":[{"id":118,"uris":["http://zotero.org/users/18822934/items/JFTSGTUN"],"itemData":{"id":118,"type":"book","publisher":"CRC Press","title":"Safety at the sharp end: a guide to non-technical skills","author":[{"family":"Flin","given":"Rhona"},{"family":"O'Connor","given":"Paul"}],"issued":{"date-parts":[["2017"]]}}}],"schema":"https://github.com/citation-style-language/schema/raw/master/csl-citation.json"} </w:instrText>
      </w:r>
      <w:r w:rsidR="008B0582">
        <w:fldChar w:fldCharType="separate"/>
      </w:r>
      <w:r w:rsidR="008B0582" w:rsidRPr="008B0582">
        <w:rPr>
          <w:rFonts w:cs="Arial"/>
        </w:rPr>
        <w:t>(Flin and O’Connor, 2017)</w:t>
      </w:r>
      <w:r w:rsidR="008B0582">
        <w:fldChar w:fldCharType="end"/>
      </w:r>
      <w:r w:rsidR="008B0582">
        <w:t xml:space="preserve">. </w:t>
      </w:r>
      <w:r w:rsidR="00A52B48" w:rsidRPr="00A52B48">
        <w:t xml:space="preserve">Communication is the most influential factors in safety management, second only to personal safety awareness. Across complex and dynamic environments characterized by multiple stakeholders and decentralized structures, effective and frequent communication exchanges are essential to sustain a positive safety climate </w:t>
      </w:r>
      <w:r w:rsidR="00A52B48">
        <w:t xml:space="preserve">and prevent </w:t>
      </w:r>
      <w:r w:rsidR="00A52B48" w:rsidRPr="00672F2B">
        <w:t>incident escalation</w:t>
      </w:r>
      <w:r w:rsidR="008B0582">
        <w:t xml:space="preserve"> </w:t>
      </w:r>
      <w:r w:rsidR="008B0582">
        <w:fldChar w:fldCharType="begin"/>
      </w:r>
      <w:r w:rsidR="008B0582">
        <w:instrText xml:space="preserve"> ADDIN ZOTERO_ITEM CSL_CITATION {"citationID":"Zxzp7NFu","properties":{"formattedCitation":"(Musarat et al., 2021)","plainCitation":"(Musarat et al., 2021)","noteIndex":0},"citationItems":[{"id":119,"uris":["http://zotero.org/users/18822934/items/VZFAE9JU"],"itemData":{"id":119,"type":"paper-conference","container-title":"2021 International Conference on Decision Aid Sciences and Application (DASA)","page":"562–566","publisher":"IEEE","title":"Impact of communication on site accidents prevention: a review","author":[{"family":"Musarat","given":"Muhammad Ali"},{"family":"Altaf","given":"Muhammad"},{"family":"Hameed","given":"Nasir"},{"family":"Alaloul","given":"Wesam Salah"},{"family":"Baarimah","given":"Abdullah O"},{"family":"Alzubi","given":"Khalid M"}],"issued":{"date-parts":[["2021"]]}}}],"schema":"https://github.com/citation-style-language/schema/raw/master/csl-citation.json"} </w:instrText>
      </w:r>
      <w:r w:rsidR="008B0582">
        <w:fldChar w:fldCharType="separate"/>
      </w:r>
      <w:r w:rsidR="008B0582" w:rsidRPr="008B0582">
        <w:rPr>
          <w:rFonts w:cs="Arial"/>
        </w:rPr>
        <w:t>(Musarat et al., 2021)</w:t>
      </w:r>
      <w:r w:rsidR="008B0582">
        <w:fldChar w:fldCharType="end"/>
      </w:r>
      <w:r w:rsidR="005710A3">
        <w:t>.</w:t>
      </w:r>
      <w:r w:rsidR="008B0582">
        <w:t xml:space="preserve"> </w:t>
      </w:r>
      <w:r w:rsidR="00A52B48" w:rsidRPr="00672F2B">
        <w:t>The Piper Alpha disaster (1988) illustrates how failures in shift handover communication can fatally compromise process integrity. Similarly, the DuPont La Porte toxic chemical leak revealed how overreliance on informal verbal exchanges and lack of structured documentation during shift transitions led to misinterpretations of plant conditions. Communication breakdowns were also central to the Deepwater Horizon oil spill (Macondo blowout), where poor decision-sharing, inadequate risk communication, and weak inter-organizational coordination contributed to 11 fatalities and the massive oil release</w:t>
      </w:r>
      <w:r w:rsidR="008B0582">
        <w:t xml:space="preserve"> </w:t>
      </w:r>
      <w:r w:rsidR="008B0582">
        <w:fldChar w:fldCharType="begin"/>
      </w:r>
      <w:r w:rsidR="008B0582">
        <w:instrText xml:space="preserve"> ADDIN ZOTERO_ITEM CSL_CITATION {"citationID":"oqzSNFCL","properties":{"formattedCitation":"(Flin and O\\uc0\\u8217{}Connor, 2017)","plainCitation":"(Flin and O’Connor, 2017)","noteIndex":0},"citationItems":[{"id":118,"uris":["http://zotero.org/users/18822934/items/JFTSGTUN"],"itemData":{"id":118,"type":"book","publisher":"CRC Press","title":"Safety at the sharp end: a guide to non-technical skills","author":[{"family":"Flin","given":"Rhona"},{"family":"O'Connor","given":"Paul"}],"issued":{"date-parts":[["2017"]]}}}],"schema":"https://github.com/citation-style-language/schema/raw/master/csl-citation.json"} </w:instrText>
      </w:r>
      <w:r w:rsidR="008B0582">
        <w:fldChar w:fldCharType="separate"/>
      </w:r>
      <w:r w:rsidR="008B0582" w:rsidRPr="008B0582">
        <w:rPr>
          <w:rFonts w:cs="Arial"/>
        </w:rPr>
        <w:t>(Flin and O’Connor, 2017)</w:t>
      </w:r>
      <w:r w:rsidR="008B0582">
        <w:fldChar w:fldCharType="end"/>
      </w:r>
      <w:r w:rsidR="00672F2B" w:rsidRPr="00413BDA">
        <w:t>.</w:t>
      </w:r>
      <w:r w:rsidR="00A52B48" w:rsidRPr="00A52B48">
        <w:t xml:space="preserve"> Across these cases, ineffective communication undermined process safety barriers. These events underscore that structured, empowered, and monitored safety voice behaviors are not peripheral organizational phenomena, but essential mechanisms for maintaining communicative reliability and preventing </w:t>
      </w:r>
      <w:r w:rsidR="00A52B48" w:rsidRPr="00A52B48">
        <w:lastRenderedPageBreak/>
        <w:t>the escalation of latent conditions into major accidents within process safety management systems.</w:t>
      </w:r>
      <w:r w:rsidR="00A52B48">
        <w:t xml:space="preserve"> </w:t>
      </w:r>
      <w:r w:rsidRPr="0020325B">
        <w:rPr>
          <w:lang w:val="en-GB"/>
        </w:rPr>
        <w:t>This article examines how safety supervision styles influenc</w:t>
      </w:r>
      <w:r w:rsidR="009B01BF">
        <w:rPr>
          <w:lang w:val="en-GB"/>
        </w:rPr>
        <w:t xml:space="preserve">e safety voice, considering </w:t>
      </w:r>
      <w:r w:rsidRPr="0020325B">
        <w:rPr>
          <w:lang w:val="en-GB"/>
        </w:rPr>
        <w:t>three types</w:t>
      </w:r>
      <w:r w:rsidR="009B01BF">
        <w:rPr>
          <w:lang w:val="en-GB"/>
        </w:rPr>
        <w:t xml:space="preserve"> of constructive voice</w:t>
      </w:r>
      <w:r w:rsidRPr="0020325B">
        <w:rPr>
          <w:lang w:val="en-GB"/>
        </w:rPr>
        <w:t>: promotive, preventive, an</w:t>
      </w:r>
      <w:r w:rsidR="009B01BF">
        <w:rPr>
          <w:lang w:val="en-GB"/>
        </w:rPr>
        <w:t>d proscriptive</w:t>
      </w:r>
      <w:r>
        <w:rPr>
          <w:lang w:val="en-GB"/>
        </w:rPr>
        <w:t>.</w:t>
      </w:r>
    </w:p>
    <w:p w14:paraId="57AB56F1" w14:textId="3578E2BE" w:rsidR="0020325B" w:rsidRDefault="00BB6656" w:rsidP="00BB6656">
      <w:pPr>
        <w:pStyle w:val="CETheadingx"/>
      </w:pPr>
      <w:r w:rsidRPr="002535D9">
        <w:t>Types of safety voice</w:t>
      </w:r>
    </w:p>
    <w:p w14:paraId="43472784" w14:textId="51F6C263" w:rsidR="00A97D9A" w:rsidRPr="00A97D9A" w:rsidRDefault="00A97D9A" w:rsidP="00A97D9A">
      <w:pPr>
        <w:pStyle w:val="CETBodytext"/>
      </w:pPr>
      <w:r>
        <w:t xml:space="preserve">In this first section, we will briefly review the principal </w:t>
      </w:r>
      <w:r w:rsidR="00D66D6D">
        <w:t xml:space="preserve">types of safety voice </w:t>
      </w:r>
      <w:r>
        <w:t>described in literature</w:t>
      </w:r>
      <w:r w:rsidR="00D66D6D">
        <w:t xml:space="preserve">, including their conceptual description and </w:t>
      </w:r>
      <w:proofErr w:type="spellStart"/>
      <w:r w:rsidR="00D66D6D">
        <w:t>behavioural</w:t>
      </w:r>
      <w:proofErr w:type="spellEnd"/>
      <w:r w:rsidR="00D66D6D">
        <w:t xml:space="preserve"> expressions.  </w:t>
      </w:r>
    </w:p>
    <w:p w14:paraId="2364089F" w14:textId="32D4BED6" w:rsidR="0020325B" w:rsidRDefault="0020325B" w:rsidP="00BB6656">
      <w:pPr>
        <w:pStyle w:val="CETBodytext"/>
        <w:rPr>
          <w:lang w:val="en-GB"/>
        </w:rPr>
      </w:pPr>
      <w:r w:rsidRPr="009A5579">
        <w:rPr>
          <w:i/>
          <w:lang w:val="en-GB"/>
        </w:rPr>
        <w:t>Promotive safety voice</w:t>
      </w:r>
      <w:r w:rsidRPr="0020325B">
        <w:rPr>
          <w:lang w:val="en-GB"/>
        </w:rPr>
        <w:t xml:space="preserve"> involves discretionary initiatives, such as proposing and implementing ideas to improve workplace safety</w:t>
      </w:r>
      <w:r w:rsidR="008B0582">
        <w:rPr>
          <w:lang w:val="en-GB"/>
        </w:rPr>
        <w:t xml:space="preserve"> </w:t>
      </w:r>
      <w:r w:rsidR="008B0582">
        <w:rPr>
          <w:lang w:val="en-GB"/>
        </w:rPr>
        <w:fldChar w:fldCharType="begin"/>
      </w:r>
      <w:r w:rsidR="008B0582">
        <w:rPr>
          <w:lang w:val="en-GB"/>
        </w:rPr>
        <w:instrText xml:space="preserve"> ADDIN ZOTERO_ITEM CSL_CITATION {"citationID":"6QWd6rIK","properties":{"formattedCitation":"(Bazzoli et al., 2025)","plainCitation":"(Bazzoli et al., 2025)","noteIndex":0},"citationItems":[{"id":97,"uris":["http://zotero.org/users/18822934/items/5WQB7X3X"],"itemData":{"id":97,"type":"article-journal","container-title":"Safety","issue":"4","page":"110","publisher":"MDPI","title":"A Multidimensional Conceptualization of Employee Safety Voice","volume":"11","author":[{"family":"Bazzoli","given":"Andrea"},{"family":"Sommovigo","given":"Valentina"},{"family":"Finstad","given":"Georgia Libera"},{"family":"Vinciarelli","given":"Valerio"},{"family":"Curcuruto","given":"Matteo"}],"issued":{"date-parts":[["2025"]]}}}],"schema":"https://github.com/citation-style-language/schema/raw/master/csl-citation.json"} </w:instrText>
      </w:r>
      <w:r w:rsidR="008B0582">
        <w:rPr>
          <w:lang w:val="en-GB"/>
        </w:rPr>
        <w:fldChar w:fldCharType="separate"/>
      </w:r>
      <w:r w:rsidR="008B0582" w:rsidRPr="008B0582">
        <w:rPr>
          <w:rFonts w:cs="Arial"/>
        </w:rPr>
        <w:t>(Bazzoli et al., 2025)</w:t>
      </w:r>
      <w:r w:rsidR="008B0582">
        <w:rPr>
          <w:lang w:val="en-GB"/>
        </w:rPr>
        <w:fldChar w:fldCharType="end"/>
      </w:r>
      <w:r w:rsidRPr="0020325B">
        <w:rPr>
          <w:lang w:val="en-GB"/>
        </w:rPr>
        <w:t>. Employees can share these ideas informally with supervisors</w:t>
      </w:r>
      <w:r w:rsidR="008B0582">
        <w:rPr>
          <w:lang w:val="en-GB"/>
        </w:rPr>
        <w:t xml:space="preserve"> </w:t>
      </w:r>
      <w:r w:rsidR="008B0582">
        <w:rPr>
          <w:lang w:val="en-GB"/>
        </w:rPr>
        <w:fldChar w:fldCharType="begin"/>
      </w:r>
      <w:r w:rsidR="008B0582">
        <w:rPr>
          <w:lang w:val="en-GB"/>
        </w:rPr>
        <w:instrText xml:space="preserve"> ADDIN ZOTERO_ITEM CSL_CITATION {"citationID":"ui3OY2ZP","properties":{"formattedCitation":"(Johnson, 2007)","plainCitation":"(Johnson, 2007)","noteIndex":0},"citationItems":[{"id":105,"uris":["http://zotero.org/users/18822934/items/DX6LBC8K"],"itemData":{"id":105,"type":"article-journal","container-title":"Journal of safety research","issue":"5","page":"511–521","publisher":"Elsevier","title":"The predictive validity of safety climate","volume":"38","author":[{"family":"Johnson","given":"Stephen E"}],"issued":{"date-parts":[["2007"]]}}}],"schema":"https://github.com/citation-style-language/schema/raw/master/csl-citation.json"} </w:instrText>
      </w:r>
      <w:r w:rsidR="008B0582">
        <w:rPr>
          <w:lang w:val="en-GB"/>
        </w:rPr>
        <w:fldChar w:fldCharType="separate"/>
      </w:r>
      <w:r w:rsidR="008B0582" w:rsidRPr="008B0582">
        <w:rPr>
          <w:rFonts w:cs="Arial"/>
        </w:rPr>
        <w:t>(Johnson, 2007)</w:t>
      </w:r>
      <w:r w:rsidR="008B0582">
        <w:rPr>
          <w:lang w:val="en-GB"/>
        </w:rPr>
        <w:fldChar w:fldCharType="end"/>
      </w:r>
      <w:r w:rsidRPr="0020325B">
        <w:rPr>
          <w:lang w:val="en-GB"/>
        </w:rPr>
        <w:t>, via formal reportin</w:t>
      </w:r>
      <w:r w:rsidR="00514BE4">
        <w:rPr>
          <w:lang w:val="en-GB"/>
        </w:rPr>
        <w:t>g systems</w:t>
      </w:r>
      <w:r w:rsidR="008B0582">
        <w:rPr>
          <w:lang w:val="en-GB"/>
        </w:rPr>
        <w:t xml:space="preserve"> </w:t>
      </w:r>
      <w:r w:rsidR="008B0582">
        <w:rPr>
          <w:lang w:val="en-GB"/>
        </w:rPr>
        <w:fldChar w:fldCharType="begin"/>
      </w:r>
      <w:r w:rsidR="008B0582">
        <w:rPr>
          <w:lang w:val="en-GB"/>
        </w:rPr>
        <w:instrText xml:space="preserve"> ADDIN ZOTERO_ITEM CSL_CITATION {"citationID":"3gsXgzYQ","properties":{"formattedCitation":"(Saracino et al., 2012)","plainCitation":"(Saracino et al., 2012)","noteIndex":0},"citationItems":[{"id":112,"uris":["http://zotero.org/users/18822934/items/RVQ8NWZL"],"itemData":{"id":112,"type":"article-journal","container-title":"Chemical engineering transactions","page":"519–524","title":"A new model for evaluating occupational health and safety management systems (OHSMS)","volume":"26","author":[{"family":"Saracino","given":"Ada"},{"family":"Spadoni","given":"Gigliola"},{"family":"Curcuruto","given":"Matteo"},{"family":"Guglielmi","given":"Dina"},{"family":"Bocci","given":"Venanzo M"},{"family":"Cimarelli","given":"Massimo"},{"family":"Dottori","given":"Ennio"},{"family":"Violante","given":"Francesco S"},{"literal":"others"}],"issued":{"date-parts":[["2012"]]}}}],"schema":"https://github.com/citation-style-language/schema/raw/master/csl-citation.json"} </w:instrText>
      </w:r>
      <w:r w:rsidR="008B0582">
        <w:rPr>
          <w:lang w:val="en-GB"/>
        </w:rPr>
        <w:fldChar w:fldCharType="separate"/>
      </w:r>
      <w:r w:rsidR="008B0582" w:rsidRPr="008B0582">
        <w:rPr>
          <w:rFonts w:cs="Arial"/>
        </w:rPr>
        <w:t>(Saracino et al., 2012)</w:t>
      </w:r>
      <w:r w:rsidR="008B0582">
        <w:rPr>
          <w:lang w:val="en-GB"/>
        </w:rPr>
        <w:fldChar w:fldCharType="end"/>
      </w:r>
      <w:r w:rsidRPr="0020325B">
        <w:rPr>
          <w:lang w:val="en-GB"/>
        </w:rPr>
        <w:t>, or in collective settings like safety committees or “safety days.”</w:t>
      </w:r>
      <w:r w:rsidR="009A5579">
        <w:rPr>
          <w:lang w:val="en-GB"/>
        </w:rPr>
        <w:t xml:space="preserve"> </w:t>
      </w:r>
      <w:r w:rsidRPr="009A5579">
        <w:rPr>
          <w:i/>
          <w:lang w:val="en-GB"/>
        </w:rPr>
        <w:t>Preventive safety voice</w:t>
      </w:r>
      <w:r w:rsidRPr="0020325B">
        <w:rPr>
          <w:lang w:val="en-GB"/>
        </w:rPr>
        <w:t xml:space="preserve"> entails proactively expressing safety concerns to reduce future risks by reporting hazards</w:t>
      </w:r>
      <w:r w:rsidR="00514BE4">
        <w:rPr>
          <w:lang w:val="en-GB"/>
        </w:rPr>
        <w:t xml:space="preserve"> to colleagues or supervisors</w:t>
      </w:r>
      <w:r w:rsidR="008B0582">
        <w:rPr>
          <w:lang w:val="en-GB"/>
        </w:rPr>
        <w:t xml:space="preserve"> </w:t>
      </w:r>
      <w:r w:rsidR="008B0582">
        <w:rPr>
          <w:lang w:val="en-GB"/>
        </w:rPr>
        <w:fldChar w:fldCharType="begin"/>
      </w:r>
      <w:r w:rsidR="008B0582">
        <w:rPr>
          <w:lang w:val="en-GB"/>
        </w:rPr>
        <w:instrText xml:space="preserve"> ADDIN ZOTERO_ITEM CSL_CITATION {"citationID":"1Tjy4d50","properties":{"formattedCitation":"(Conchie, 2013)","plainCitation":"(Conchie, 2013)","noteIndex":0},"citationItems":[{"id":99,"uris":["http://zotero.org/users/18822934/items/EZ9D4B5M"],"itemData":{"id":99,"type":"article-journal","container-title":"Journal of occupational health psychology","issue":"2","page":"198","publisher":"Educational Publishing Foundation","title":"Transformational leadership, intrinsic motivation, and trust: A moderated-mediated model of workplace safety.","volume":"18","author":[{"family":"Conchie","given":"Stacey M"}],"issued":{"date-parts":[["2013"]]}}}],"schema":"https://github.com/citation-style-language/schema/raw/master/csl-citation.json"} </w:instrText>
      </w:r>
      <w:r w:rsidR="008B0582">
        <w:rPr>
          <w:lang w:val="en-GB"/>
        </w:rPr>
        <w:fldChar w:fldCharType="separate"/>
      </w:r>
      <w:r w:rsidR="008B0582" w:rsidRPr="008B0582">
        <w:rPr>
          <w:rFonts w:cs="Arial"/>
        </w:rPr>
        <w:t>(Conchie, 2013)</w:t>
      </w:r>
      <w:r w:rsidR="008B0582">
        <w:rPr>
          <w:lang w:val="en-GB"/>
        </w:rPr>
        <w:fldChar w:fldCharType="end"/>
      </w:r>
      <w:r w:rsidRPr="0020325B">
        <w:rPr>
          <w:lang w:val="en-GB"/>
        </w:rPr>
        <w:t>. It includes sharing risk assessments and is often mandated by national safety regulations, aligning with employees’ and employers’ legal responsi</w:t>
      </w:r>
      <w:r w:rsidR="00514BE4">
        <w:rPr>
          <w:lang w:val="en-GB"/>
        </w:rPr>
        <w:t>bilities</w:t>
      </w:r>
      <w:r w:rsidR="008B0582">
        <w:rPr>
          <w:lang w:val="en-GB"/>
        </w:rPr>
        <w:t xml:space="preserve"> </w:t>
      </w:r>
      <w:r w:rsidR="008B0582">
        <w:rPr>
          <w:lang w:val="en-GB"/>
        </w:rPr>
        <w:fldChar w:fldCharType="begin"/>
      </w:r>
      <w:r w:rsidR="008B0582">
        <w:rPr>
          <w:lang w:val="en-GB"/>
        </w:rPr>
        <w:instrText xml:space="preserve"> ADDIN ZOTERO_ITEM CSL_CITATION {"citationID":"6CIxDhuD","properties":{"formattedCitation":"(Mullen, 2005)","plainCitation":"(Mullen, 2005)","noteIndex":0},"citationItems":[{"id":108,"uris":["http://zotero.org/users/18822934/items/9HY59NBL"],"itemData":{"id":108,"type":"article-journal","container-title":"Canadian Journal of Behavioural Science/Revue canadienne des sciences du comportement","issue":"4","page":"273","publisher":"Canadian Psychological Association","title":"Testing a model of employee willingness to raise safety issues.","volume":"37","author":[{"family":"Mullen","given":"Jane"}],"issued":{"date-parts":[["2005"]]}}}],"schema":"https://github.com/citation-style-language/schema/raw/master/csl-citation.json"} </w:instrText>
      </w:r>
      <w:r w:rsidR="008B0582">
        <w:rPr>
          <w:lang w:val="en-GB"/>
        </w:rPr>
        <w:fldChar w:fldCharType="separate"/>
      </w:r>
      <w:r w:rsidR="008B0582" w:rsidRPr="008B0582">
        <w:rPr>
          <w:rFonts w:cs="Arial"/>
        </w:rPr>
        <w:t>(Mullen, 2005)</w:t>
      </w:r>
      <w:r w:rsidR="008B0582">
        <w:rPr>
          <w:lang w:val="en-GB"/>
        </w:rPr>
        <w:fldChar w:fldCharType="end"/>
      </w:r>
      <w:r w:rsidRPr="00971151">
        <w:rPr>
          <w:lang w:val="en-GB"/>
        </w:rPr>
        <w:t>.</w:t>
      </w:r>
      <w:r w:rsidR="009A5579" w:rsidRPr="00971151">
        <w:rPr>
          <w:lang w:val="en-GB"/>
        </w:rPr>
        <w:t xml:space="preserve"> </w:t>
      </w:r>
      <w:r w:rsidR="009B01BF" w:rsidRPr="00971151">
        <w:rPr>
          <w:i/>
          <w:lang w:val="en-GB"/>
        </w:rPr>
        <w:t>Proscriptive</w:t>
      </w:r>
      <w:r w:rsidRPr="00971151">
        <w:rPr>
          <w:i/>
          <w:lang w:val="en-GB"/>
        </w:rPr>
        <w:t xml:space="preserve"> safety voice</w:t>
      </w:r>
      <w:r w:rsidRPr="00971151">
        <w:rPr>
          <w:lang w:val="en-GB"/>
        </w:rPr>
        <w:t xml:space="preserve">, including whistleblowing, refers to reporting safety violations to those </w:t>
      </w:r>
      <w:r w:rsidR="00514BE4" w:rsidRPr="00971151">
        <w:rPr>
          <w:lang w:val="en-GB"/>
        </w:rPr>
        <w:t>able to intervene</w:t>
      </w:r>
      <w:r w:rsidR="008B0582">
        <w:rPr>
          <w:lang w:val="en-GB"/>
        </w:rPr>
        <w:t xml:space="preserve"> </w:t>
      </w:r>
      <w:r w:rsidR="008B0582">
        <w:rPr>
          <w:lang w:val="en-GB"/>
        </w:rPr>
        <w:fldChar w:fldCharType="begin"/>
      </w:r>
      <w:r w:rsidR="008B0582">
        <w:rPr>
          <w:lang w:val="en-GB"/>
        </w:rPr>
        <w:instrText xml:space="preserve"> ADDIN ZOTERO_ITEM CSL_CITATION {"citationID":"8nObIeZa","properties":{"formattedCitation":"(Noort et al., 2021)","plainCitation":"(Noort et al., 2021)","noteIndex":0},"citationItems":[{"id":111,"uris":["http://zotero.org/users/18822934/items/BL4HVG7E"],"itemData":{"id":111,"type":"article-journal","container-title":"Data in brief","page":"107602","publisher":"Elsevier","title":"Cockpit voice recorder transcript data: Capturing safety voice and safety listening during historic aviation accidents","volume":"39","author":[{"family":"Noort","given":"Mark C"},{"family":"Reader","given":"Tom W"},{"family":"Gillespie","given":"Alex"}],"issued":{"date-parts":[["2021"]]}}}],"schema":"https://github.com/citation-style-language/schema/raw/master/csl-citation.json"} </w:instrText>
      </w:r>
      <w:r w:rsidR="008B0582">
        <w:rPr>
          <w:lang w:val="en-GB"/>
        </w:rPr>
        <w:fldChar w:fldCharType="separate"/>
      </w:r>
      <w:r w:rsidR="008B0582" w:rsidRPr="008B0582">
        <w:rPr>
          <w:rFonts w:cs="Arial"/>
        </w:rPr>
        <w:t>(Noort et al., 2021)</w:t>
      </w:r>
      <w:r w:rsidR="008B0582">
        <w:rPr>
          <w:lang w:val="en-GB"/>
        </w:rPr>
        <w:fldChar w:fldCharType="end"/>
      </w:r>
      <w:r w:rsidRPr="00971151">
        <w:rPr>
          <w:lang w:val="en-GB"/>
        </w:rPr>
        <w:t xml:space="preserve">. This defensive form of voice aims to stop illegal or risky </w:t>
      </w:r>
      <w:proofErr w:type="spellStart"/>
      <w:r w:rsidRPr="00971151">
        <w:rPr>
          <w:lang w:val="en-GB"/>
        </w:rPr>
        <w:t>behaviors</w:t>
      </w:r>
      <w:proofErr w:type="spellEnd"/>
      <w:r w:rsidRPr="00971151">
        <w:rPr>
          <w:lang w:val="en-GB"/>
        </w:rPr>
        <w:t xml:space="preserve"> and is less studied i</w:t>
      </w:r>
      <w:r w:rsidR="00514BE4" w:rsidRPr="00971151">
        <w:rPr>
          <w:lang w:val="en-GB"/>
        </w:rPr>
        <w:t>n workplace safety contexts</w:t>
      </w:r>
      <w:r w:rsidR="008B0582">
        <w:rPr>
          <w:lang w:val="en-GB"/>
        </w:rPr>
        <w:t xml:space="preserve"> </w:t>
      </w:r>
      <w:r w:rsidR="008B0582">
        <w:rPr>
          <w:lang w:val="en-GB"/>
        </w:rPr>
        <w:fldChar w:fldCharType="begin"/>
      </w:r>
      <w:r w:rsidR="008B0582">
        <w:rPr>
          <w:lang w:val="en-GB"/>
        </w:rPr>
        <w:instrText xml:space="preserve"> ADDIN ZOTERO_ITEM CSL_CITATION {"citationID":"wkycbppa","properties":{"formattedCitation":"(Bazzoli et al., 2025)","plainCitation":"(Bazzoli et al., 2025)","noteIndex":0},"citationItems":[{"id":97,"uris":["http://zotero.org/users/18822934/items/5WQB7X3X"],"itemData":{"id":97,"type":"article-journal","container-title":"Safety","issue":"4","page":"110","publisher":"MDPI","title":"A Multidimensional Conceptualization of Employee Safety Voice","volume":"11","author":[{"family":"Bazzoli","given":"Andrea"},{"family":"Sommovigo","given":"Valentina"},{"family":"Finstad","given":"Georgia Libera"},{"family":"Vinciarelli","given":"Valerio"},{"family":"Curcuruto","given":"Matteo"}],"issued":{"date-parts":[["2025"]]}}}],"schema":"https://github.com/citation-style-language/schema/raw/master/csl-citation.json"} </w:instrText>
      </w:r>
      <w:r w:rsidR="008B0582">
        <w:rPr>
          <w:lang w:val="en-GB"/>
        </w:rPr>
        <w:fldChar w:fldCharType="separate"/>
      </w:r>
      <w:r w:rsidR="008B0582" w:rsidRPr="008B0582">
        <w:rPr>
          <w:rFonts w:cs="Arial"/>
        </w:rPr>
        <w:t>(Bazzoli et al., 2025)</w:t>
      </w:r>
      <w:r w:rsidR="008B0582">
        <w:rPr>
          <w:lang w:val="en-GB"/>
        </w:rPr>
        <w:fldChar w:fldCharType="end"/>
      </w:r>
      <w:r w:rsidRPr="00971151">
        <w:rPr>
          <w:lang w:val="en-GB"/>
        </w:rPr>
        <w:t>.</w:t>
      </w:r>
    </w:p>
    <w:p w14:paraId="545717A7" w14:textId="15B9022E" w:rsidR="0020325B" w:rsidRPr="00971151" w:rsidRDefault="00E45289" w:rsidP="00E45289">
      <w:pPr>
        <w:pStyle w:val="CETheadingx"/>
      </w:pPr>
      <w:r w:rsidRPr="00971151">
        <w:t>Safety supervision styles</w:t>
      </w:r>
    </w:p>
    <w:p w14:paraId="4FD443C2" w14:textId="5B47B7F4" w:rsidR="0020325B" w:rsidRPr="00971151" w:rsidRDefault="009B01BF" w:rsidP="00BB6656">
      <w:pPr>
        <w:pStyle w:val="CETBodytext"/>
        <w:rPr>
          <w:bCs/>
          <w:lang w:val="en-GB"/>
        </w:rPr>
      </w:pPr>
      <w:r w:rsidRPr="00971151">
        <w:rPr>
          <w:bCs/>
          <w:lang w:val="en-GB"/>
        </w:rPr>
        <w:t>In this study we focus on two</w:t>
      </w:r>
      <w:r w:rsidR="0020325B" w:rsidRPr="00971151">
        <w:rPr>
          <w:bCs/>
          <w:lang w:val="en-GB"/>
        </w:rPr>
        <w:t xml:space="preserve"> safety supervision styles</w:t>
      </w:r>
      <w:r w:rsidRPr="00971151">
        <w:rPr>
          <w:bCs/>
          <w:lang w:val="en-GB"/>
        </w:rPr>
        <w:t xml:space="preserve">: </w:t>
      </w:r>
      <w:r w:rsidR="0020325B" w:rsidRPr="00971151">
        <w:rPr>
          <w:bCs/>
          <w:lang w:val="en-GB"/>
        </w:rPr>
        <w:t>safety empowerment supervision (SES) and safety monitoring supervi</w:t>
      </w:r>
      <w:r w:rsidR="009A5579" w:rsidRPr="00971151">
        <w:rPr>
          <w:bCs/>
          <w:lang w:val="en-GB"/>
        </w:rPr>
        <w:t>sion (SMS)</w:t>
      </w:r>
      <w:r w:rsidR="008B0582">
        <w:rPr>
          <w:bCs/>
          <w:lang w:val="en-GB"/>
        </w:rPr>
        <w:t xml:space="preserve"> </w:t>
      </w:r>
      <w:r w:rsidR="008B0582">
        <w:rPr>
          <w:bCs/>
          <w:lang w:val="en-GB"/>
        </w:rPr>
        <w:fldChar w:fldCharType="begin"/>
      </w:r>
      <w:r w:rsidR="008B0582">
        <w:rPr>
          <w:bCs/>
          <w:lang w:val="en-GB"/>
        </w:rPr>
        <w:instrText xml:space="preserve"> ADDIN ZOTERO_ITEM CSL_CITATION {"citationID":"RiXbOcHN","properties":{"formattedCitation":"(Griffin and Hu, 2013)","plainCitation":"(Griffin and Hu, 2013)","noteIndex":0},"citationItems":[{"id":103,"uris":["http://zotero.org/users/18822934/items/23C8Y2B2"],"itemData":{"id":103,"type":"article-journal","container-title":"Safety science","page":"196–202","publisher":"Elsevier","title":"How leaders differentially motivate safety compliance and safety participation: The role of monitoring, inspiring, and learning","volume":"60","author":[{"family":"Griffin","given":"Mark A"},{"family":"Hu","given":"Xiaowen"}],"issued":{"date-parts":[["2013"]]}}}],"schema":"https://github.com/citation-style-language/schema/raw/master/csl-citation.json"} </w:instrText>
      </w:r>
      <w:r w:rsidR="008B0582">
        <w:rPr>
          <w:bCs/>
          <w:lang w:val="en-GB"/>
        </w:rPr>
        <w:fldChar w:fldCharType="separate"/>
      </w:r>
      <w:r w:rsidR="008B0582" w:rsidRPr="008B0582">
        <w:rPr>
          <w:rFonts w:cs="Arial"/>
        </w:rPr>
        <w:t>(Griffin and Hu, 2013)</w:t>
      </w:r>
      <w:r w:rsidR="008B0582">
        <w:rPr>
          <w:bCs/>
          <w:lang w:val="en-GB"/>
        </w:rPr>
        <w:fldChar w:fldCharType="end"/>
      </w:r>
      <w:r w:rsidR="0020325B" w:rsidRPr="00971151">
        <w:rPr>
          <w:bCs/>
          <w:lang w:val="en-GB"/>
        </w:rPr>
        <w:t xml:space="preserve">. Different supervision styles stimulate distinct safety </w:t>
      </w:r>
      <w:proofErr w:type="spellStart"/>
      <w:r w:rsidR="0020325B" w:rsidRPr="00971151">
        <w:rPr>
          <w:bCs/>
          <w:lang w:val="en-GB"/>
        </w:rPr>
        <w:t>behaviors</w:t>
      </w:r>
      <w:proofErr w:type="spellEnd"/>
      <w:r w:rsidR="0020325B" w:rsidRPr="00971151">
        <w:rPr>
          <w:bCs/>
          <w:lang w:val="en-GB"/>
        </w:rPr>
        <w:t>, supporting bot</w:t>
      </w:r>
      <w:r w:rsidR="00C77AE1">
        <w:rPr>
          <w:bCs/>
          <w:lang w:val="en-GB"/>
        </w:rPr>
        <w:t xml:space="preserve">h compliance and participation. </w:t>
      </w:r>
      <w:r w:rsidR="0020325B" w:rsidRPr="00971151">
        <w:rPr>
          <w:bCs/>
          <w:lang w:val="en-GB"/>
        </w:rPr>
        <w:t>Monitoring enhances perceptions of safety priority and system efficiency, while empowerment fosters social and organizational support for change</w:t>
      </w:r>
      <w:r w:rsidR="00C77AE1">
        <w:rPr>
          <w:bCs/>
          <w:lang w:val="en-GB"/>
        </w:rPr>
        <w:t xml:space="preserve">. </w:t>
      </w:r>
      <w:r w:rsidR="0020325B" w:rsidRPr="00971151">
        <w:rPr>
          <w:bCs/>
          <w:lang w:val="en-GB"/>
        </w:rPr>
        <w:t>SES emphasizes sharing power and responsibility, promoting autonomy, initiative, and part</w:t>
      </w:r>
      <w:r w:rsidR="009A5579" w:rsidRPr="00971151">
        <w:rPr>
          <w:bCs/>
          <w:lang w:val="en-GB"/>
        </w:rPr>
        <w:t>icipation</w:t>
      </w:r>
      <w:r w:rsidR="008B0582">
        <w:rPr>
          <w:bCs/>
          <w:lang w:val="en-GB"/>
        </w:rPr>
        <w:t xml:space="preserve"> </w:t>
      </w:r>
      <w:r w:rsidR="008B0582">
        <w:rPr>
          <w:bCs/>
          <w:lang w:val="en-GB"/>
        </w:rPr>
        <w:fldChar w:fldCharType="begin"/>
      </w:r>
      <w:r w:rsidR="008B0582">
        <w:rPr>
          <w:bCs/>
          <w:lang w:val="en-GB"/>
        </w:rPr>
        <w:instrText xml:space="preserve"> ADDIN ZOTERO_ITEM CSL_CITATION {"citationID":"K3rmjyF2","properties":{"formattedCitation":"(Arnold et al., 2000)","plainCitation":"(Arnold et al., 2000)","noteIndex":0},"citationItems":[{"id":96,"uris":["http://zotero.org/users/18822934/items/WF2ZIW5K"],"itemData":{"id":96,"type":"article-journal","container-title":"Journal of organizational behavior","issue":"3","page":"249–269","publisher":"Wiley Online Library","title":"The empowering leadership questionnaire: The construction and validation of a new scale for measuring leader behaviors","volume":"21","author":[{"family":"Arnold","given":"Josh A"},{"family":"Arad","given":"Sharon"},{"family":"Rhoades","given":"Jonathan A"},{"family":"Drasgow","given":"Fritz"}],"issued":{"date-parts":[["2000"]]}}}],"schema":"https://github.com/citation-style-language/schema/raw/master/csl-citation.json"} </w:instrText>
      </w:r>
      <w:r w:rsidR="008B0582">
        <w:rPr>
          <w:bCs/>
          <w:lang w:val="en-GB"/>
        </w:rPr>
        <w:fldChar w:fldCharType="separate"/>
      </w:r>
      <w:r w:rsidR="008B0582" w:rsidRPr="008B0582">
        <w:rPr>
          <w:rFonts w:cs="Arial"/>
        </w:rPr>
        <w:t>(Arnold et al., 2000)</w:t>
      </w:r>
      <w:r w:rsidR="008B0582">
        <w:rPr>
          <w:bCs/>
          <w:lang w:val="en-GB"/>
        </w:rPr>
        <w:fldChar w:fldCharType="end"/>
      </w:r>
      <w:r w:rsidR="0020325B" w:rsidRPr="00971151">
        <w:rPr>
          <w:bCs/>
          <w:lang w:val="en-GB"/>
        </w:rPr>
        <w:t>. It encourages employee initiative, open communication on risks, trust, and recognition of contributions, stimulating proactive safety voice such as suggestions for improvement.</w:t>
      </w:r>
      <w:r w:rsidR="00C77AE1">
        <w:rPr>
          <w:bCs/>
          <w:lang w:val="en-GB"/>
        </w:rPr>
        <w:t xml:space="preserve"> </w:t>
      </w:r>
      <w:r w:rsidR="0020325B" w:rsidRPr="00971151">
        <w:rPr>
          <w:bCs/>
          <w:lang w:val="en-GB"/>
        </w:rPr>
        <w:t>SMS involves observing safe practices, correcting errors, and pro</w:t>
      </w:r>
      <w:r w:rsidR="009A5579" w:rsidRPr="00971151">
        <w:rPr>
          <w:bCs/>
          <w:lang w:val="en-GB"/>
        </w:rPr>
        <w:t>viding feedback</w:t>
      </w:r>
      <w:r w:rsidR="008B0582">
        <w:rPr>
          <w:bCs/>
          <w:lang w:val="en-GB"/>
        </w:rPr>
        <w:t xml:space="preserve"> </w:t>
      </w:r>
      <w:r w:rsidR="008B0582">
        <w:rPr>
          <w:bCs/>
          <w:lang w:val="en-GB"/>
        </w:rPr>
        <w:fldChar w:fldCharType="begin"/>
      </w:r>
      <w:r w:rsidR="008B0582">
        <w:rPr>
          <w:bCs/>
          <w:lang w:val="en-GB"/>
        </w:rPr>
        <w:instrText xml:space="preserve"> ADDIN ZOTERO_ITEM CSL_CITATION {"citationID":"uA3TpZAC","properties":{"formattedCitation":"(Griffin and Hu, 2013)","plainCitation":"(Griffin and Hu, 2013)","noteIndex":0},"citationItems":[{"id":103,"uris":["http://zotero.org/users/18822934/items/23C8Y2B2"],"itemData":{"id":103,"type":"article-journal","container-title":"Safety science","page":"196–202","publisher":"Elsevier","title":"How leaders differentially motivate safety compliance and safety participation: The role of monitoring, inspiring, and learning","volume":"60","author":[{"family":"Griffin","given":"Mark A"},{"family":"Hu","given":"Xiaowen"}],"issued":{"date-parts":[["2013"]]}}}],"schema":"https://github.com/citation-style-language/schema/raw/master/csl-citation.json"} </w:instrText>
      </w:r>
      <w:r w:rsidR="008B0582">
        <w:rPr>
          <w:bCs/>
          <w:lang w:val="en-GB"/>
        </w:rPr>
        <w:fldChar w:fldCharType="separate"/>
      </w:r>
      <w:r w:rsidR="008B0582" w:rsidRPr="008B0582">
        <w:rPr>
          <w:rFonts w:cs="Arial"/>
        </w:rPr>
        <w:t>(Griffin and Hu, 2013)</w:t>
      </w:r>
      <w:r w:rsidR="008B0582">
        <w:rPr>
          <w:bCs/>
          <w:lang w:val="en-GB"/>
        </w:rPr>
        <w:fldChar w:fldCharType="end"/>
      </w:r>
      <w:r w:rsidR="008B0582">
        <w:rPr>
          <w:bCs/>
          <w:lang w:val="en-GB"/>
        </w:rPr>
        <w:t>.</w:t>
      </w:r>
      <w:r w:rsidR="0020325B" w:rsidRPr="00971151">
        <w:rPr>
          <w:bCs/>
          <w:lang w:val="en-GB"/>
        </w:rPr>
        <w:t xml:space="preserve"> It acts as a self-regulation mechanism, increasing awareness of deviations from standards and motivating correction of risky </w:t>
      </w:r>
      <w:proofErr w:type="spellStart"/>
      <w:r w:rsidR="0020325B" w:rsidRPr="00971151">
        <w:rPr>
          <w:bCs/>
          <w:lang w:val="en-GB"/>
        </w:rPr>
        <w:t>behaviors</w:t>
      </w:r>
      <w:proofErr w:type="spellEnd"/>
      <w:r w:rsidR="0020325B" w:rsidRPr="00971151">
        <w:rPr>
          <w:bCs/>
          <w:lang w:val="en-GB"/>
        </w:rPr>
        <w:t>, serving as an external reminder of organizational safety requirements.</w:t>
      </w:r>
    </w:p>
    <w:p w14:paraId="4630C85F" w14:textId="77777777" w:rsidR="0020325B" w:rsidRPr="00971151" w:rsidRDefault="0020325B" w:rsidP="00BB6656">
      <w:pPr>
        <w:pStyle w:val="CETBodytext"/>
        <w:rPr>
          <w:b/>
        </w:rPr>
      </w:pPr>
    </w:p>
    <w:p w14:paraId="33DB663E" w14:textId="77777777" w:rsidR="00BB6656" w:rsidRPr="00971151" w:rsidRDefault="00BB6656" w:rsidP="00B6561F">
      <w:pPr>
        <w:pStyle w:val="CETBodytext"/>
        <w:spacing w:after="120"/>
        <w:rPr>
          <w:b/>
        </w:rPr>
      </w:pPr>
      <w:r w:rsidRPr="00971151">
        <w:rPr>
          <w:b/>
        </w:rPr>
        <w:t xml:space="preserve">1.3. Research hypotheses </w:t>
      </w:r>
    </w:p>
    <w:p w14:paraId="02EE2960" w14:textId="77777777" w:rsidR="00BB6656" w:rsidRPr="00971151" w:rsidRDefault="00BB6656" w:rsidP="00BB6656">
      <w:r w:rsidRPr="00971151">
        <w:t xml:space="preserve">A main objective of the present study concerns the psychological mechanisms through which supervision styles influence different types of safety voice. Based on Neal and Griffin’s model (2002), safety knowledge and motivation are considered key mediators of the influence of supervision on safety </w:t>
      </w:r>
      <w:proofErr w:type="spellStart"/>
      <w:r w:rsidRPr="00971151">
        <w:t>behaviors</w:t>
      </w:r>
      <w:proofErr w:type="spellEnd"/>
      <w:r w:rsidRPr="00971151">
        <w:t>.</w:t>
      </w:r>
    </w:p>
    <w:p w14:paraId="05B5FAFB" w14:textId="3C1B51A6" w:rsidR="00BB6656" w:rsidRPr="00971151" w:rsidRDefault="00BB6656" w:rsidP="00BB6656">
      <w:r w:rsidRPr="00971151">
        <w:t xml:space="preserve">Specifically, safety knowledge is associated with compliance </w:t>
      </w:r>
      <w:proofErr w:type="spellStart"/>
      <w:r w:rsidRPr="00971151">
        <w:t>behaviors</w:t>
      </w:r>
      <w:proofErr w:type="spellEnd"/>
      <w:r w:rsidRPr="00971151">
        <w:t xml:space="preserve"> and may mediate the effect of monitoring-oriented supervision on prohibitive safety voice</w:t>
      </w:r>
      <w:r w:rsidR="008B0582">
        <w:t xml:space="preserve"> </w:t>
      </w:r>
      <w:r w:rsidR="008B0582">
        <w:fldChar w:fldCharType="begin"/>
      </w:r>
      <w:r w:rsidR="008B0582">
        <w:instrText xml:space="preserve"> ADDIN ZOTERO_ITEM CSL_CITATION {"citationID":"p9w5mhdA","properties":{"formattedCitation":"(Neal et al., 2000)","plainCitation":"(Neal et al., 2000)","noteIndex":0},"citationItems":[{"id":110,"uris":["http://zotero.org/users/18822934/items/U3QRJP65"],"itemData":{"id":110,"type":"article-journal","container-title":"Safety science","issue":"1-3","page":"99–109","publisher":"Elsevier","title":"The impact of organizational climate on safety climate and individual behavior","volume":"34","author":[{"family":"Neal","given":"Andrew"},{"family":"Griffin","given":"Mark A"},{"family":"Hart","given":"Peter M"}],"issued":{"date-parts":[["2000"]]}}}],"schema":"https://github.com/citation-style-language/schema/raw/master/csl-citation.json"} </w:instrText>
      </w:r>
      <w:r w:rsidR="008B0582">
        <w:fldChar w:fldCharType="separate"/>
      </w:r>
      <w:r w:rsidR="008B0582" w:rsidRPr="008B0582">
        <w:rPr>
          <w:rFonts w:cs="Arial"/>
        </w:rPr>
        <w:t>(Neal et al., 2000)</w:t>
      </w:r>
      <w:r w:rsidR="008B0582">
        <w:fldChar w:fldCharType="end"/>
      </w:r>
      <w:r w:rsidRPr="00971151">
        <w:t xml:space="preserve">. According to the organizational learning framework, supervisors carefully monitor subordinates’ </w:t>
      </w:r>
      <w:proofErr w:type="spellStart"/>
      <w:r w:rsidRPr="00971151">
        <w:t>behaviors</w:t>
      </w:r>
      <w:proofErr w:type="spellEnd"/>
      <w:r w:rsidRPr="00971151">
        <w:t>, provide corrective feedback, and stimulate learning by increasing awareness and understanding of safe practices</w:t>
      </w:r>
      <w:r w:rsidR="008B0582">
        <w:t xml:space="preserve"> </w:t>
      </w:r>
      <w:r w:rsidR="008B0582">
        <w:fldChar w:fldCharType="begin"/>
      </w:r>
      <w:r w:rsidR="008B0582">
        <w:instrText xml:space="preserve"> ADDIN ZOTERO_ITEM CSL_CITATION {"citationID":"HMWhpQza","properties":{"formattedCitation":"(Geller, 2002)","plainCitation":"(Geller, 2002)","noteIndex":0},"citationItems":[{"id":101,"uris":["http://zotero.org/users/18822934/items/G2AT9HTD"],"itemData":{"id":101,"type":"article-journal","container-title":"Professional Safety","page":"25–31","title":"Social influence principles","author":[{"family":"Geller","given":"E Scott"}],"issued":{"date-parts":[["2002"]]}}}],"schema":"https://github.com/citation-style-language/schema/raw/master/csl-citation.json"} </w:instrText>
      </w:r>
      <w:r w:rsidR="008B0582">
        <w:fldChar w:fldCharType="separate"/>
      </w:r>
      <w:r w:rsidR="008B0582" w:rsidRPr="008B0582">
        <w:rPr>
          <w:rFonts w:cs="Arial"/>
        </w:rPr>
        <w:t>(Geller, 2002)</w:t>
      </w:r>
      <w:r w:rsidR="008B0582">
        <w:fldChar w:fldCharType="end"/>
      </w:r>
      <w:r w:rsidRPr="00971151">
        <w:t xml:space="preserve">. Consequently, workers with higher safety knowledge are better able to identify risks and engage in prohibitive safety voice to immediately correct unsafe </w:t>
      </w:r>
      <w:proofErr w:type="spellStart"/>
      <w:r w:rsidRPr="00971151">
        <w:t>behaviors</w:t>
      </w:r>
      <w:proofErr w:type="spellEnd"/>
      <w:r w:rsidRPr="00971151">
        <w:t xml:space="preserve"> or situations.</w:t>
      </w:r>
    </w:p>
    <w:p w14:paraId="316A1E04" w14:textId="77777777" w:rsidR="00BB6656" w:rsidRPr="00971151" w:rsidRDefault="00BB6656" w:rsidP="00BB6656"/>
    <w:p w14:paraId="4F0E5E14" w14:textId="77777777" w:rsidR="00BB6656" w:rsidRPr="00971151" w:rsidRDefault="00BB6656" w:rsidP="00BB6656">
      <w:r w:rsidRPr="00971151">
        <w:rPr>
          <w:bCs/>
          <w:i/>
        </w:rPr>
        <w:t>Research Hypothesis 1 (H1)</w:t>
      </w:r>
      <w:r w:rsidRPr="00971151">
        <w:rPr>
          <w:i/>
        </w:rPr>
        <w:t>:</w:t>
      </w:r>
      <w:r w:rsidRPr="00971151">
        <w:t xml:space="preserve"> Safety knowledge mediates the effect of monitoring-oriented supervision (SMS) on prohibitive safety voice.</w:t>
      </w:r>
    </w:p>
    <w:p w14:paraId="753BFFAA" w14:textId="77777777" w:rsidR="00BB6656" w:rsidRPr="00971151" w:rsidRDefault="00BB6656" w:rsidP="00BB6656"/>
    <w:p w14:paraId="19CC0F8D" w14:textId="57C45B2A" w:rsidR="00BB6656" w:rsidRPr="00971151" w:rsidRDefault="00BB6656" w:rsidP="00BB6656">
      <w:r w:rsidRPr="00971151">
        <w:t>Promotive and preventive safety voice require motivation to influence the organizational status quo</w:t>
      </w:r>
      <w:r w:rsidR="008B0582">
        <w:t xml:space="preserve"> </w:t>
      </w:r>
      <w:r w:rsidR="008B0582">
        <w:fldChar w:fldCharType="begin"/>
      </w:r>
      <w:r w:rsidR="008B0582">
        <w:instrText xml:space="preserve"> ADDIN ZOTERO_ITEM CSL_CITATION {"citationID":"VWfK2gQK","properties":{"formattedCitation":"(Curcuruto et al., 2016)","plainCitation":"(Curcuruto et al., 2016)","noteIndex":0},"citationItems":[{"id":100,"uris":["http://zotero.org/users/18822934/items/CA3XYENV"],"itemData":{"id":100,"type":"article-journal","container-title":"Safety science","page":"144–155","publisher":"Elsevier","title":"Proactive role-orientation toward workplace safety: Psychological dimensions, nomological network and external validity","volume":"87","author":[{"family":"Curcuruto","given":"Matteo"},{"family":"Mearns","given":"Kathryn J"},{"family":"Mariani","given":"Marco G"}],"issued":{"date-parts":[["2016"]]}}}],"schema":"https://github.com/citation-style-language/schema/raw/master/csl-citation.json"} </w:instrText>
      </w:r>
      <w:r w:rsidR="008B0582">
        <w:fldChar w:fldCharType="separate"/>
      </w:r>
      <w:r w:rsidR="008B0582" w:rsidRPr="008B0582">
        <w:rPr>
          <w:rFonts w:cs="Arial"/>
        </w:rPr>
        <w:t>(Curcuruto et al., 2016)</w:t>
      </w:r>
      <w:r w:rsidR="008B0582">
        <w:fldChar w:fldCharType="end"/>
      </w:r>
      <w:r w:rsidRPr="00971151">
        <w:t>. Empowerment-oriented supervisors stimulate a sense of responsibility and psychological ownership in employees, encouraging proposals for constructive changes in safety</w:t>
      </w:r>
      <w:r w:rsidR="008B0582">
        <w:t xml:space="preserve"> </w:t>
      </w:r>
      <w:r w:rsidR="008B0582">
        <w:fldChar w:fldCharType="begin"/>
      </w:r>
      <w:r w:rsidR="008B0582">
        <w:instrText xml:space="preserve"> ADDIN ZOTERO_ITEM CSL_CITATION {"citationID":"qVieUR0g","properties":{"formattedCitation":"(Willis et al., 2021)","plainCitation":"(Willis et al., 2021)","noteIndex":0},"citationItems":[{"id":116,"uris":["http://zotero.org/users/18822934/items/JJQP7WT3"],"itemData":{"id":116,"type":"article-journal","container-title":"Journal of Managerial Psychology","issue":"3","page":"226–240","publisher":"Emerald Publishing Limited","title":"Identifying the optimal safety leader: A person-centered approach","volume":"36","author":[{"family":"Willis","given":"Sara"},{"family":"Clarke","given":"Sharon"},{"family":"O'Connor","given":"Elinor"}],"issued":{"date-parts":[["2021"]]}}}],"schema":"https://github.com/citation-style-language/schema/raw/master/csl-citation.json"} </w:instrText>
      </w:r>
      <w:r w:rsidR="008B0582">
        <w:fldChar w:fldCharType="separate"/>
      </w:r>
      <w:r w:rsidR="008B0582" w:rsidRPr="008B0582">
        <w:rPr>
          <w:rFonts w:cs="Arial"/>
        </w:rPr>
        <w:t>(Willis et al., 2021)</w:t>
      </w:r>
      <w:r w:rsidR="008B0582">
        <w:fldChar w:fldCharType="end"/>
      </w:r>
      <w:r w:rsidRPr="00971151">
        <w:t>.</w:t>
      </w:r>
    </w:p>
    <w:p w14:paraId="447D5230" w14:textId="77777777" w:rsidR="00BB6656" w:rsidRPr="00971151" w:rsidRDefault="00BB6656" w:rsidP="00BB6656">
      <w:r w:rsidRPr="00971151">
        <w:t>We propose that empowerment-oriented supervision influences future safety voice through a safety-specific type of proactive motivation, defined as perceived responsibility to generate safety improvements.</w:t>
      </w:r>
    </w:p>
    <w:p w14:paraId="16C6DD99" w14:textId="77777777" w:rsidR="00BB6656" w:rsidRPr="00971151" w:rsidRDefault="00BB6656" w:rsidP="00BB6656"/>
    <w:p w14:paraId="662FE81C" w14:textId="77777777" w:rsidR="00BB6656" w:rsidRDefault="00BB6656" w:rsidP="00BB6656">
      <w:r w:rsidRPr="00971151">
        <w:rPr>
          <w:bCs/>
          <w:i/>
        </w:rPr>
        <w:t>Research Hypotheses 2a and 2b</w:t>
      </w:r>
      <w:r w:rsidRPr="00971151">
        <w:rPr>
          <w:i/>
        </w:rPr>
        <w:t>:</w:t>
      </w:r>
      <w:r w:rsidRPr="00971151">
        <w:t xml:space="preserve"> Felt responsibility to generate safety improvements mediates the effect of empowerment-oriented supervision on promotive (H2a) and preventive (H2b) safety voice.</w:t>
      </w:r>
    </w:p>
    <w:p w14:paraId="56E8567C" w14:textId="77777777" w:rsidR="00BB6656" w:rsidRPr="00820B03" w:rsidRDefault="00BB6656" w:rsidP="00BB6656"/>
    <w:p w14:paraId="2A4AA47F" w14:textId="6A3CBEB5" w:rsidR="00BB6656" w:rsidRPr="00820B03" w:rsidRDefault="00BB6656" w:rsidP="00BB6656">
      <w:r w:rsidRPr="00820B03">
        <w:t>To test the hypotheses on the med</w:t>
      </w:r>
      <w:r>
        <w:t>iating role of sa</w:t>
      </w:r>
      <w:r w:rsidRPr="00820B03">
        <w:t>fety knowledge</w:t>
      </w:r>
      <w:r>
        <w:t xml:space="preserve"> and felt responsibility</w:t>
      </w:r>
      <w:r w:rsidRPr="00820B03">
        <w:t>, a</w:t>
      </w:r>
      <w:r>
        <w:t xml:space="preserve">n empirical correlational study </w:t>
      </w:r>
      <w:r w:rsidR="004E1855">
        <w:t xml:space="preserve">with survey methodology </w:t>
      </w:r>
      <w:r>
        <w:t>was conducted. In the next sections methods and results</w:t>
      </w:r>
      <w:r w:rsidR="004E1855">
        <w:t xml:space="preserve"> of the study</w:t>
      </w:r>
      <w:r>
        <w:t xml:space="preserve"> will be briefly reported.</w:t>
      </w:r>
    </w:p>
    <w:p w14:paraId="59A88E59" w14:textId="77777777" w:rsidR="00BB6656" w:rsidRDefault="00BB6656" w:rsidP="00BB6656">
      <w:pPr>
        <w:pStyle w:val="CETHeading1"/>
      </w:pPr>
      <w:r>
        <w:lastRenderedPageBreak/>
        <w:t>Methods</w:t>
      </w:r>
    </w:p>
    <w:p w14:paraId="3269DD53" w14:textId="37BEEE7A" w:rsidR="00BB6656" w:rsidRDefault="009A5579" w:rsidP="00BB6656">
      <w:pPr>
        <w:pStyle w:val="CETBodytext"/>
      </w:pPr>
      <w:r w:rsidRPr="009A5579">
        <w:rPr>
          <w:b/>
        </w:rPr>
        <w:t>2.1. Research sample</w:t>
      </w:r>
      <w:r>
        <w:rPr>
          <w:b/>
        </w:rPr>
        <w:t xml:space="preserve">. </w:t>
      </w:r>
      <w:r w:rsidR="00BB6656">
        <w:t>A survey study was conducted in a chemical production plant located in Eastern Europe, part of a multinational industrial filters company. The sample included 455 employees (mean age = 36.7 years; SD = 13.8; 92% male). A total of 455 questionnaires were returned, with a response rate of 85%. Respondents were from a filter production department (42.6%), a chemical treatment department (32.13%), and engineering and maintenance support staff (25.1%). Regarding tenure, 46.1% reported 5–10 years, 32.5% more than 10 years, and 21.4% less than 5 years.</w:t>
      </w:r>
    </w:p>
    <w:p w14:paraId="72B74114" w14:textId="77777777" w:rsidR="00C04040" w:rsidRPr="00C04040" w:rsidRDefault="00C04040" w:rsidP="00BB6656">
      <w:pPr>
        <w:pStyle w:val="CETBodytext"/>
      </w:pPr>
    </w:p>
    <w:p w14:paraId="56D4061A" w14:textId="76FE4C3A" w:rsidR="009A5579" w:rsidRDefault="001F66BC" w:rsidP="00C04040">
      <w:pPr>
        <w:pStyle w:val="CETBodytext"/>
        <w:rPr>
          <w:lang w:val="en-GB"/>
        </w:rPr>
      </w:pPr>
      <w:r>
        <w:rPr>
          <w:b/>
          <w:lang w:val="en-GB"/>
        </w:rPr>
        <w:t>2.2. Survey</w:t>
      </w:r>
      <w:r w:rsidR="009A5579" w:rsidRPr="009A5579">
        <w:rPr>
          <w:b/>
          <w:lang w:val="en-GB"/>
        </w:rPr>
        <w:t xml:space="preserve"> measures.</w:t>
      </w:r>
      <w:r w:rsidR="009A5579">
        <w:rPr>
          <w:lang w:val="en-GB"/>
        </w:rPr>
        <w:t xml:space="preserve"> </w:t>
      </w:r>
    </w:p>
    <w:p w14:paraId="07CBA344" w14:textId="1C6846A8" w:rsidR="00B72941" w:rsidRPr="00B72941" w:rsidRDefault="00B72941" w:rsidP="00B72941">
      <w:pPr>
        <w:pStyle w:val="CETBodytext"/>
        <w:rPr>
          <w:lang w:val="en-GB"/>
        </w:rPr>
      </w:pPr>
      <w:r w:rsidRPr="00411A06">
        <w:rPr>
          <w:i/>
          <w:lang w:val="en-GB"/>
        </w:rPr>
        <w:t>Safety-empowering supervision</w:t>
      </w:r>
      <w:r w:rsidRPr="00B72941">
        <w:rPr>
          <w:lang w:val="en-GB"/>
        </w:rPr>
        <w:t xml:space="preserve"> (SES). We used a 4-item coaching scale by Johnson (2007</w:t>
      </w:r>
      <w:r w:rsidR="00EE7A55">
        <w:rPr>
          <w:lang w:val="en-GB"/>
        </w:rPr>
        <w:t>) t</w:t>
      </w:r>
      <w:r w:rsidRPr="00B72941">
        <w:rPr>
          <w:lang w:val="en-GB"/>
        </w:rPr>
        <w:t xml:space="preserve">o measure safety-empowering oriented </w:t>
      </w:r>
      <w:proofErr w:type="spellStart"/>
      <w:r w:rsidRPr="00B72941">
        <w:rPr>
          <w:lang w:val="en-GB"/>
        </w:rPr>
        <w:t>behaviors</w:t>
      </w:r>
      <w:proofErr w:type="spellEnd"/>
      <w:r w:rsidRPr="00B72941">
        <w:rPr>
          <w:lang w:val="en-GB"/>
        </w:rPr>
        <w:t xml:space="preserve"> by supervisors. Workers were invited to report their degree of agreement on sentences on their direct supervisor, considering a range of participative- and empowering-supervision </w:t>
      </w:r>
      <w:proofErr w:type="spellStart"/>
      <w:r w:rsidRPr="00B72941">
        <w:rPr>
          <w:lang w:val="en-GB"/>
        </w:rPr>
        <w:t>behaviors</w:t>
      </w:r>
      <w:proofErr w:type="spellEnd"/>
      <w:r w:rsidRPr="00B72941">
        <w:rPr>
          <w:lang w:val="en-GB"/>
        </w:rPr>
        <w:t xml:space="preserve"> (1 = strongly disagree; 5 = strongly agre</w:t>
      </w:r>
      <w:r w:rsidR="00EE7A55">
        <w:rPr>
          <w:lang w:val="en-GB"/>
        </w:rPr>
        <w:t>e). An example of item was:</w:t>
      </w:r>
      <w:r w:rsidRPr="00B72941">
        <w:rPr>
          <w:lang w:val="en-GB"/>
        </w:rPr>
        <w:t xml:space="preserve"> “he discusses with us how </w:t>
      </w:r>
      <w:r w:rsidR="00EE7A55">
        <w:rPr>
          <w:lang w:val="en-GB"/>
        </w:rPr>
        <w:t xml:space="preserve">to improve safety in our work”. </w:t>
      </w:r>
      <w:r w:rsidRPr="00B72941">
        <w:rPr>
          <w:lang w:val="en-GB"/>
        </w:rPr>
        <w:t>In the p</w:t>
      </w:r>
      <w:r w:rsidR="00A210ED">
        <w:rPr>
          <w:lang w:val="en-GB"/>
        </w:rPr>
        <w:t>resent sample, the reliability Cronbach α of the scale was .86</w:t>
      </w:r>
      <w:r w:rsidRPr="00B72941">
        <w:rPr>
          <w:lang w:val="en-GB"/>
        </w:rPr>
        <w:t>.</w:t>
      </w:r>
    </w:p>
    <w:p w14:paraId="2A4323CC" w14:textId="69582327" w:rsidR="00B72941" w:rsidRPr="00B72941" w:rsidRDefault="00B72941" w:rsidP="00B72941">
      <w:pPr>
        <w:pStyle w:val="CETBodytext"/>
        <w:rPr>
          <w:lang w:val="en-GB"/>
        </w:rPr>
      </w:pPr>
      <w:r w:rsidRPr="00411A06">
        <w:rPr>
          <w:i/>
          <w:lang w:val="en-GB"/>
        </w:rPr>
        <w:t>Safety-monitoring supervision</w:t>
      </w:r>
      <w:r w:rsidRPr="00B72941">
        <w:rPr>
          <w:lang w:val="en-GB"/>
        </w:rPr>
        <w:t xml:space="preserve"> (SMS). We also used a 4-item compliance scale </w:t>
      </w:r>
      <w:r w:rsidR="00E004D4">
        <w:rPr>
          <w:lang w:val="en-GB"/>
        </w:rPr>
        <w:fldChar w:fldCharType="begin"/>
      </w:r>
      <w:r w:rsidR="00E004D4">
        <w:rPr>
          <w:lang w:val="en-GB"/>
        </w:rPr>
        <w:instrText xml:space="preserve"> ADDIN ZOTERO_ITEM CSL_CITATION {"citationID":"eAtVXKlr","properties":{"formattedCitation":"(Johnson, 2007)","plainCitation":"(Johnson, 2007)","noteIndex":0},"citationItems":[{"id":105,"uris":["http://zotero.org/users/18822934/items/DX6LBC8K"],"itemData":{"id":105,"type":"article-journal","container-title":"Journal of safety research","issue":"5","page":"511–521","publisher":"Elsevier","title":"The predictive validity of safety climate","volume":"38","author":[{"family":"Johnson","given":"Stephen E"}],"issued":{"date-parts":[["2007"]]}}}],"schema":"https://github.com/citation-style-language/schema/raw/master/csl-citation.json"} </w:instrText>
      </w:r>
      <w:r w:rsidR="00E004D4">
        <w:rPr>
          <w:lang w:val="en-GB"/>
        </w:rPr>
        <w:fldChar w:fldCharType="separate"/>
      </w:r>
      <w:r w:rsidR="008B0582" w:rsidRPr="008B0582">
        <w:rPr>
          <w:rFonts w:cs="Arial"/>
        </w:rPr>
        <w:t>(Johnson, 2007)</w:t>
      </w:r>
      <w:r w:rsidR="00E004D4">
        <w:rPr>
          <w:lang w:val="en-GB"/>
        </w:rPr>
        <w:fldChar w:fldCharType="end"/>
      </w:r>
      <w:r w:rsidRPr="00B72941">
        <w:rPr>
          <w:lang w:val="en-GB"/>
        </w:rPr>
        <w:t xml:space="preserve"> to assess safety monitoring-oriented </w:t>
      </w:r>
      <w:proofErr w:type="spellStart"/>
      <w:r w:rsidRPr="00B72941">
        <w:rPr>
          <w:lang w:val="en-GB"/>
        </w:rPr>
        <w:t>behaviors</w:t>
      </w:r>
      <w:proofErr w:type="spellEnd"/>
      <w:r w:rsidRPr="00B72941">
        <w:rPr>
          <w:lang w:val="en-GB"/>
        </w:rPr>
        <w:t xml:space="preserve"> </w:t>
      </w:r>
      <w:r w:rsidR="00EE7A55">
        <w:rPr>
          <w:lang w:val="en-GB"/>
        </w:rPr>
        <w:t>by supervisors. W</w:t>
      </w:r>
      <w:r w:rsidRPr="00B72941">
        <w:rPr>
          <w:lang w:val="en-GB"/>
        </w:rPr>
        <w:t xml:space="preserve">orkers were invited to report their agreement on sentences on their direct supervisor </w:t>
      </w:r>
      <w:proofErr w:type="spellStart"/>
      <w:r w:rsidRPr="00B72941">
        <w:rPr>
          <w:lang w:val="en-GB"/>
        </w:rPr>
        <w:t>behaviors</w:t>
      </w:r>
      <w:proofErr w:type="spellEnd"/>
      <w:r w:rsidRPr="00B72941">
        <w:rPr>
          <w:lang w:val="en-GB"/>
        </w:rPr>
        <w:t xml:space="preserve"> (1 = strongly </w:t>
      </w:r>
      <w:r w:rsidR="004A5E28">
        <w:rPr>
          <w:lang w:val="en-GB"/>
        </w:rPr>
        <w:t>dis</w:t>
      </w:r>
      <w:r w:rsidRPr="00B72941">
        <w:rPr>
          <w:lang w:val="en-GB"/>
        </w:rPr>
        <w:t>agree; 5 = strongly agree). All the items focused on monitoring and vigilance superv</w:t>
      </w:r>
      <w:r w:rsidR="00EE7A55">
        <w:rPr>
          <w:lang w:val="en-GB"/>
        </w:rPr>
        <w:t xml:space="preserve">isory </w:t>
      </w:r>
      <w:proofErr w:type="spellStart"/>
      <w:r w:rsidR="00EE7A55">
        <w:rPr>
          <w:lang w:val="en-GB"/>
        </w:rPr>
        <w:t>behaviors</w:t>
      </w:r>
      <w:proofErr w:type="spellEnd"/>
      <w:r w:rsidR="00EE7A55">
        <w:rPr>
          <w:lang w:val="en-GB"/>
        </w:rPr>
        <w:t>. An example of item was:</w:t>
      </w:r>
      <w:r w:rsidRPr="00B72941">
        <w:rPr>
          <w:lang w:val="en-GB"/>
        </w:rPr>
        <w:t xml:space="preserve"> “he frequently checks to see if we are</w:t>
      </w:r>
      <w:r w:rsidR="00EE7A55">
        <w:rPr>
          <w:lang w:val="en-GB"/>
        </w:rPr>
        <w:t xml:space="preserve"> all obeying the safety rules”. </w:t>
      </w:r>
      <w:r w:rsidRPr="00B72941">
        <w:rPr>
          <w:lang w:val="en-GB"/>
        </w:rPr>
        <w:t>In the present sample, Cronbach alpha wa</w:t>
      </w:r>
      <w:r w:rsidR="00A210ED">
        <w:rPr>
          <w:lang w:val="en-GB"/>
        </w:rPr>
        <w:t>s .</w:t>
      </w:r>
      <w:r w:rsidRPr="00B72941">
        <w:rPr>
          <w:lang w:val="en-GB"/>
        </w:rPr>
        <w:t>8</w:t>
      </w:r>
      <w:r w:rsidR="00A210ED">
        <w:rPr>
          <w:lang w:val="en-GB"/>
        </w:rPr>
        <w:t>1</w:t>
      </w:r>
      <w:r w:rsidRPr="00B72941">
        <w:rPr>
          <w:lang w:val="en-GB"/>
        </w:rPr>
        <w:t>.</w:t>
      </w:r>
    </w:p>
    <w:p w14:paraId="6CC11682" w14:textId="3958E5F2" w:rsidR="00B72941" w:rsidRPr="00B72941" w:rsidRDefault="00B72941" w:rsidP="00B72941">
      <w:pPr>
        <w:pStyle w:val="CETBodytext"/>
        <w:rPr>
          <w:lang w:val="en-GB"/>
        </w:rPr>
      </w:pPr>
      <w:r w:rsidRPr="00411A06">
        <w:rPr>
          <w:i/>
          <w:lang w:val="en-GB"/>
        </w:rPr>
        <w:t>Prevention-oriented safety voice</w:t>
      </w:r>
      <w:r w:rsidR="00411A06">
        <w:rPr>
          <w:i/>
          <w:lang w:val="en-GB"/>
        </w:rPr>
        <w:t>.</w:t>
      </w:r>
      <w:r w:rsidRPr="00B72941">
        <w:rPr>
          <w:lang w:val="en-GB"/>
        </w:rPr>
        <w:t xml:space="preserve"> Three items previously developed by Hoffman et colleagues (2003) were adapted to assess the prevention-oriented typology of safety voice</w:t>
      </w:r>
      <w:r w:rsidR="008B0582">
        <w:rPr>
          <w:lang w:val="en-GB"/>
        </w:rPr>
        <w:t xml:space="preserve"> </w:t>
      </w:r>
      <w:r w:rsidR="008B0582">
        <w:rPr>
          <w:lang w:val="en-GB"/>
        </w:rPr>
        <w:fldChar w:fldCharType="begin"/>
      </w:r>
      <w:r w:rsidR="008B0582">
        <w:rPr>
          <w:lang w:val="en-GB"/>
        </w:rPr>
        <w:instrText xml:space="preserve"> ADDIN ZOTERO_ITEM CSL_CITATION {"citationID":"iAOuUHM2","properties":{"formattedCitation":"(Hofmann et al., 2003)","plainCitation":"(Hofmann et al., 2003)","noteIndex":0},"citationItems":[{"id":104,"uris":["http://zotero.org/users/18822934/items/5BKZ7AUT"],"itemData":{"id":104,"type":"article-journal","container-title":"Journal of applied psychology","issue":"1","page":"170","publisher":"American Psychological Association","title":"Climate as a moderator of the relationship between leader-member exchange and content specific citizenship: safety climate as an exemplar.","volume":"88","author":[{"family":"Hofmann","given":"David A"},{"family":"Morgeson","given":"Frederick P"},{"family":"Gerras","given":"Stephen J"}],"issued":{"date-parts":[["2003"]]}}}],"schema":"https://github.com/citation-style-language/schema/raw/master/csl-citation.json"} </w:instrText>
      </w:r>
      <w:r w:rsidR="008B0582">
        <w:rPr>
          <w:lang w:val="en-GB"/>
        </w:rPr>
        <w:fldChar w:fldCharType="separate"/>
      </w:r>
      <w:r w:rsidR="008B0582" w:rsidRPr="008B0582">
        <w:rPr>
          <w:rFonts w:cs="Arial"/>
        </w:rPr>
        <w:t>(Hofmann et al., 2003)</w:t>
      </w:r>
      <w:r w:rsidR="008B0582">
        <w:rPr>
          <w:lang w:val="en-GB"/>
        </w:rPr>
        <w:fldChar w:fldCharType="end"/>
      </w:r>
      <w:r w:rsidRPr="00B72941">
        <w:rPr>
          <w:lang w:val="en-GB"/>
        </w:rPr>
        <w:t xml:space="preserve">. Workers were invited to report how much they engage in </w:t>
      </w:r>
      <w:proofErr w:type="spellStart"/>
      <w:r w:rsidRPr="00B72941">
        <w:rPr>
          <w:lang w:val="en-GB"/>
        </w:rPr>
        <w:t>behaviors</w:t>
      </w:r>
      <w:proofErr w:type="spellEnd"/>
      <w:r w:rsidRPr="00B72941">
        <w:rPr>
          <w:lang w:val="en-GB"/>
        </w:rPr>
        <w:t xml:space="preserve"> like “making recommendations to assure the safety of the work activities”, “raising safety-related concerns during planning sessions”, “encouraging others to pay attention to safety-related issues” (Response range was: 0 = never; 4 = very frequently). In the present sample, Cronbach alpha was .8</w:t>
      </w:r>
      <w:r w:rsidR="00A210ED">
        <w:rPr>
          <w:lang w:val="en-GB"/>
        </w:rPr>
        <w:t>5</w:t>
      </w:r>
      <w:r w:rsidRPr="00B72941">
        <w:rPr>
          <w:lang w:val="en-GB"/>
        </w:rPr>
        <w:t>.</w:t>
      </w:r>
    </w:p>
    <w:p w14:paraId="46896B6B" w14:textId="46C092E8" w:rsidR="00B72941" w:rsidRPr="00B72941" w:rsidRDefault="00B72941" w:rsidP="00B72941">
      <w:pPr>
        <w:pStyle w:val="CETBodytext"/>
        <w:rPr>
          <w:lang w:val="en-GB"/>
        </w:rPr>
      </w:pPr>
      <w:r w:rsidRPr="00411A06">
        <w:rPr>
          <w:i/>
          <w:lang w:val="en-GB"/>
        </w:rPr>
        <w:t>Promotion-oriented safety voice</w:t>
      </w:r>
      <w:r w:rsidR="00411A06">
        <w:rPr>
          <w:lang w:val="en-GB"/>
        </w:rPr>
        <w:t>.</w:t>
      </w:r>
      <w:r w:rsidRPr="00B72941">
        <w:rPr>
          <w:lang w:val="en-GB"/>
        </w:rPr>
        <w:t xml:space="preserve"> We adapted three items previously developed by Simard and </w:t>
      </w:r>
      <w:proofErr w:type="spellStart"/>
      <w:r w:rsidRPr="00B72941">
        <w:rPr>
          <w:lang w:val="en-GB"/>
        </w:rPr>
        <w:t>Marchard</w:t>
      </w:r>
      <w:proofErr w:type="spellEnd"/>
      <w:r w:rsidRPr="00B72941">
        <w:rPr>
          <w:lang w:val="en-GB"/>
        </w:rPr>
        <w:t xml:space="preserve"> (1995) to measure voicing suggestion </w:t>
      </w:r>
      <w:proofErr w:type="spellStart"/>
      <w:r w:rsidRPr="00B72941">
        <w:rPr>
          <w:lang w:val="en-GB"/>
        </w:rPr>
        <w:t>behaviors</w:t>
      </w:r>
      <w:proofErr w:type="spellEnd"/>
      <w:r w:rsidRPr="00B72941">
        <w:rPr>
          <w:lang w:val="en-GB"/>
        </w:rPr>
        <w:t>, adapting the original items to our current research aims</w:t>
      </w:r>
      <w:r w:rsidR="008B0582">
        <w:rPr>
          <w:lang w:val="en-GB"/>
        </w:rPr>
        <w:t xml:space="preserve"> </w:t>
      </w:r>
      <w:r w:rsidR="008B0582">
        <w:rPr>
          <w:lang w:val="en-GB"/>
        </w:rPr>
        <w:fldChar w:fldCharType="begin"/>
      </w:r>
      <w:r w:rsidR="008B0582">
        <w:rPr>
          <w:lang w:val="en-GB"/>
        </w:rPr>
        <w:instrText xml:space="preserve"> ADDIN ZOTERO_ITEM CSL_CITATION {"citationID":"ICg15qc1","properties":{"formattedCitation":"(Simard and Marchand, 1995)","plainCitation":"(Simard and Marchand, 1995)","noteIndex":0},"citationItems":[{"id":113,"uris":["http://zotero.org/users/18822934/items/CRJICJFD"],"itemData":{"id":113,"type":"article-journal","container-title":"Safety Science","issue":"2","page":"113–129","publisher":"Elsevier","title":"A multilevel analysis of organisational factors related to the taking of safety initiatives by work groups","volume":"21","author":[{"family":"Simard","given":"Marcel"},{"family":"Marchand","given":"Alain"}],"issued":{"date-parts":[["1995"]]}}}],"schema":"https://github.com/citation-style-language/schema/raw/master/csl-citation.json"} </w:instrText>
      </w:r>
      <w:r w:rsidR="008B0582">
        <w:rPr>
          <w:lang w:val="en-GB"/>
        </w:rPr>
        <w:fldChar w:fldCharType="separate"/>
      </w:r>
      <w:r w:rsidR="008B0582" w:rsidRPr="008B0582">
        <w:rPr>
          <w:rFonts w:cs="Arial"/>
        </w:rPr>
        <w:t>(Simard and Marchand, 1995)</w:t>
      </w:r>
      <w:r w:rsidR="008B0582">
        <w:rPr>
          <w:lang w:val="en-GB"/>
        </w:rPr>
        <w:fldChar w:fldCharType="end"/>
      </w:r>
      <w:r w:rsidRPr="00B72941">
        <w:rPr>
          <w:lang w:val="en-GB"/>
        </w:rPr>
        <w:t xml:space="preserve">. Participants were presented the following items focused on </w:t>
      </w:r>
      <w:r w:rsidR="00EE7A55">
        <w:rPr>
          <w:lang w:val="en-GB"/>
        </w:rPr>
        <w:t xml:space="preserve">communication </w:t>
      </w:r>
      <w:r w:rsidRPr="00B72941">
        <w:rPr>
          <w:lang w:val="en-GB"/>
        </w:rPr>
        <w:t>aimed at improving safety-related aspects of the organizational context: “voicing suggestions to your colleagues about how making your work routines safer”, “presenting suggestions to your supervisor about how to improve the safety of our work operations”, “putting pressure on the management to improve some aspects of workplace safety”. Cron</w:t>
      </w:r>
      <w:r w:rsidR="00EE7A55">
        <w:rPr>
          <w:lang w:val="en-GB"/>
        </w:rPr>
        <w:t xml:space="preserve">bach alpha in the present sample </w:t>
      </w:r>
      <w:r w:rsidRPr="00B72941">
        <w:rPr>
          <w:lang w:val="en-GB"/>
        </w:rPr>
        <w:t>was .83. The response range was from zero (never) to four (very frequently).</w:t>
      </w:r>
    </w:p>
    <w:p w14:paraId="20EABAD2" w14:textId="64D096A9" w:rsidR="00B72941" w:rsidRPr="00B72941" w:rsidRDefault="00B72941" w:rsidP="00B72941">
      <w:pPr>
        <w:pStyle w:val="CETBodytext"/>
        <w:rPr>
          <w:lang w:val="en-GB"/>
        </w:rPr>
      </w:pPr>
      <w:r w:rsidRPr="00411A06">
        <w:rPr>
          <w:i/>
          <w:lang w:val="en-GB"/>
        </w:rPr>
        <w:t>Proscriptive safety voice</w:t>
      </w:r>
      <w:r w:rsidR="00411A06">
        <w:rPr>
          <w:lang w:val="en-GB"/>
        </w:rPr>
        <w:t xml:space="preserve">. </w:t>
      </w:r>
      <w:r w:rsidRPr="00B72941">
        <w:rPr>
          <w:lang w:val="en-GB"/>
        </w:rPr>
        <w:t>We adapted three items previously developed by Hofmann et colleagues (2003). Participants were presented items focused on alerting colleagues or supervisors about unsafe acts or their negative consequences: “warning coworkers against working unsafely”, “reporting potential risky situations to the safety head of the factory”, “reminding team members that safety violations are not tolerated”. (Response range was: 0 = never; 4 = very frequently). In the present sample Cronbach alp</w:t>
      </w:r>
      <w:r w:rsidR="00A210ED">
        <w:rPr>
          <w:lang w:val="en-GB"/>
        </w:rPr>
        <w:t>ha was .81</w:t>
      </w:r>
      <w:r w:rsidRPr="00B72941">
        <w:rPr>
          <w:lang w:val="en-GB"/>
        </w:rPr>
        <w:t xml:space="preserve">. </w:t>
      </w:r>
    </w:p>
    <w:p w14:paraId="78277DD3" w14:textId="03CD1384" w:rsidR="00BB6656" w:rsidRDefault="00BB6656" w:rsidP="00BB6656">
      <w:pPr>
        <w:pStyle w:val="CETBodytext"/>
      </w:pPr>
      <w:r>
        <w:t>The “</w:t>
      </w:r>
      <w:r w:rsidRPr="00411A06">
        <w:rPr>
          <w:i/>
        </w:rPr>
        <w:t>felt responsibility for safety improvement</w:t>
      </w:r>
      <w:r>
        <w:t xml:space="preserve">” scale included four items developed </w:t>
      </w:r>
      <w:r w:rsidR="00EE7A55">
        <w:t>by Curcuruto et al.</w:t>
      </w:r>
      <w:r>
        <w:t xml:space="preserve"> </w:t>
      </w:r>
      <w:r w:rsidR="00EE7A55">
        <w:t>(</w:t>
      </w:r>
      <w:r>
        <w:t xml:space="preserve">2016). The scale aimed to assess employees’ proactive motivation to personally contribute to workplace safety improvement. Participants rated agreement with four statements (e.g., “I feel personally responsible for improving the safety of our operations”; “I believe I should personally try to improve aspects of safety”; “I think I should personally attempt to change things regarding safety”) on a 1–5 scale (1 = strongly </w:t>
      </w:r>
      <w:r w:rsidR="004A5E28">
        <w:t>dis</w:t>
      </w:r>
      <w:r>
        <w:t>agree; 5 = strongly agree). Cronbach’s alpha was .91.</w:t>
      </w:r>
    </w:p>
    <w:p w14:paraId="1E131246" w14:textId="2033BE35" w:rsidR="00BB6656" w:rsidRDefault="00411A06" w:rsidP="00BB6656">
      <w:pPr>
        <w:pStyle w:val="CETBodytext"/>
      </w:pPr>
      <w:r w:rsidRPr="00411A06">
        <w:rPr>
          <w:i/>
        </w:rPr>
        <w:t>Safety knowledge</w:t>
      </w:r>
      <w:r>
        <w:t>. Four i</w:t>
      </w:r>
      <w:r w:rsidR="00BB6656">
        <w:t>tems from Neal et</w:t>
      </w:r>
      <w:r>
        <w:t xml:space="preserve"> al. scale (2000) </w:t>
      </w:r>
      <w:r w:rsidR="00BB6656">
        <w:t>were adapted to assess employees’ perceived ability to support safety by following rules, standards, and procedures. Example items: “I know how to reduce the risk of injuries and accidents in my workplace”; “I know how to maintain high safety levels in my area”; “I know how to prevent hazardous conditions in my area”; “I know how to use standard workplace safety procedures.” Responses ranged from 1 (strongly disagree) to 5 (strongly agree). Cronbach’s alpha was .87.</w:t>
      </w:r>
    </w:p>
    <w:p w14:paraId="74B4F20B" w14:textId="55BB203B" w:rsidR="00411A06" w:rsidRPr="008F09FB" w:rsidRDefault="00411A06" w:rsidP="00BB6656">
      <w:pPr>
        <w:pStyle w:val="CETBodytext"/>
      </w:pPr>
      <w:r w:rsidRPr="00411A06">
        <w:rPr>
          <w:i/>
        </w:rPr>
        <w:t xml:space="preserve">Housekeeping </w:t>
      </w:r>
      <w:proofErr w:type="spellStart"/>
      <w:r w:rsidRPr="00411A06">
        <w:rPr>
          <w:i/>
        </w:rPr>
        <w:t>behaviour</w:t>
      </w:r>
      <w:proofErr w:type="spellEnd"/>
      <w:r w:rsidRPr="00411A06">
        <w:rPr>
          <w:i/>
        </w:rPr>
        <w:t>.</w:t>
      </w:r>
      <w:r w:rsidRPr="00411A06">
        <w:t xml:space="preserve"> We used three items previously developed by </w:t>
      </w:r>
      <w:r w:rsidRPr="008F601F">
        <w:t>Geller, Roberts and Gilmore (1996</w:t>
      </w:r>
      <w:r w:rsidRPr="00411A06">
        <w:t>)</w:t>
      </w:r>
      <w:r w:rsidR="00914B27">
        <w:t xml:space="preserve"> </w:t>
      </w:r>
      <w:r w:rsidRPr="00411A06">
        <w:t>in relation to spontaneous helping behaviors aimed at actively caring about safety housekeeping issues in their work environment</w:t>
      </w:r>
      <w:r w:rsidR="00B81D36">
        <w:t xml:space="preserve"> </w:t>
      </w:r>
      <w:r w:rsidR="00B81D36">
        <w:fldChar w:fldCharType="begin"/>
      </w:r>
      <w:r w:rsidR="00B81D36">
        <w:instrText xml:space="preserve"> ADDIN ZOTERO_ITEM CSL_CITATION {"citationID":"nZMy5Jkf","properties":{"formattedCitation":"(Geller et al., 1996)","plainCitation":"(Geller et al., 1996)","noteIndex":0},"citationItems":[{"id":102,"uris":["http://zotero.org/users/18822934/items/H9NPI8BS"],"itemData":{"id":102,"type":"article-journal","container-title":"Journal of Safety Research","issue":"1","page":"1–8","publisher":"Elsevier","title":"Predicting propensity to actively care for occupational safety","volume":"27","author":[{"family":"Geller","given":"E Scott"},{"family":"Roberts","given":"D Steve"},{"family":"Gilmore","given":"Michael R"}],"issued":{"date-parts":[["1996"]]}}}],"schema":"https://github.com/citation-style-language/schema/raw/master/csl-citation.json"} </w:instrText>
      </w:r>
      <w:r w:rsidR="00B81D36">
        <w:fldChar w:fldCharType="separate"/>
      </w:r>
      <w:r w:rsidR="00B81D36" w:rsidRPr="00B81D36">
        <w:rPr>
          <w:rFonts w:cs="Arial"/>
        </w:rPr>
        <w:t>(Geller et al., 1996)</w:t>
      </w:r>
      <w:r w:rsidR="00B81D36">
        <w:fldChar w:fldCharType="end"/>
      </w:r>
      <w:r w:rsidRPr="00411A06">
        <w:t>. Participants were presented these items: “supporting other employees to maintain good housekeeping”, “fixing a potential risk myself if possible”, “correcting disorder in the workplace that I did not cause myself”. Cronbach alpha was .72. (Response range was: 0 = never; 4 = very frequently).</w:t>
      </w:r>
      <w:r>
        <w:t xml:space="preserve"> This scale was included in the research model as a sort of control variable to assess concurrent influence processes of safet</w:t>
      </w:r>
      <w:r w:rsidR="00D8407D">
        <w:t>y supervision on other desirable</w:t>
      </w:r>
      <w:r>
        <w:t xml:space="preserve"> behaviors (other than safety communication), in order to compare</w:t>
      </w:r>
      <w:r w:rsidR="00D8407D">
        <w:t xml:space="preserve"> and contrast the unique and specific </w:t>
      </w:r>
      <w:r>
        <w:t xml:space="preserve">effects of safety supervision on the three kind of safety </w:t>
      </w:r>
      <w:r>
        <w:lastRenderedPageBreak/>
        <w:t>voice</w:t>
      </w:r>
      <w:r w:rsidR="00D8407D">
        <w:t xml:space="preserve">, with other constructive work </w:t>
      </w:r>
      <w:proofErr w:type="spellStart"/>
      <w:r>
        <w:t>behavio</w:t>
      </w:r>
      <w:r w:rsidR="00D8407D">
        <w:t>u</w:t>
      </w:r>
      <w:r>
        <w:t>r</w:t>
      </w:r>
      <w:r w:rsidR="00D8407D">
        <w:t>s</w:t>
      </w:r>
      <w:proofErr w:type="spellEnd"/>
      <w:r w:rsidR="00D8407D">
        <w:t xml:space="preserve"> that support the maintenance of safe conditions in the workplace.   </w:t>
      </w:r>
      <w:r>
        <w:t xml:space="preserve">   </w:t>
      </w:r>
    </w:p>
    <w:p w14:paraId="5CB0BC67" w14:textId="77777777" w:rsidR="00BB6656" w:rsidRDefault="00BB6656" w:rsidP="00BB6656">
      <w:pPr>
        <w:pStyle w:val="CETHeading1"/>
        <w:tabs>
          <w:tab w:val="clear" w:pos="360"/>
          <w:tab w:val="right" w:pos="7100"/>
        </w:tabs>
        <w:jc w:val="both"/>
        <w:rPr>
          <w:lang w:val="en-GB"/>
        </w:rPr>
      </w:pPr>
      <w:r>
        <w:rPr>
          <w:lang w:val="en-GB"/>
        </w:rPr>
        <w:t xml:space="preserve">Results </w:t>
      </w:r>
    </w:p>
    <w:p w14:paraId="53F0D29C" w14:textId="78248ED5" w:rsidR="00C04040" w:rsidRDefault="00BB6656" w:rsidP="00F51F45">
      <w:pPr>
        <w:pStyle w:val="CETBodytext"/>
      </w:pPr>
      <w:r w:rsidRPr="008F09FB">
        <w:rPr>
          <w:lang w:val="en-GB"/>
        </w:rPr>
        <w:t xml:space="preserve">The eight-factor measurement model showed good fit (χ² = 747.1; </w:t>
      </w:r>
      <w:proofErr w:type="spellStart"/>
      <w:r w:rsidRPr="008F09FB">
        <w:rPr>
          <w:lang w:val="en-GB"/>
        </w:rPr>
        <w:t>df</w:t>
      </w:r>
      <w:proofErr w:type="spellEnd"/>
      <w:r w:rsidRPr="008F09FB">
        <w:rPr>
          <w:lang w:val="en-GB"/>
        </w:rPr>
        <w:t xml:space="preserve"> = 322; CFI = .96; RMSEA = .05), outperforming alternative models.</w:t>
      </w:r>
      <w:r w:rsidR="000D57CE">
        <w:rPr>
          <w:lang w:val="en-GB"/>
        </w:rPr>
        <w:t xml:space="preserve"> </w:t>
      </w:r>
      <w:r w:rsidRPr="008F09FB">
        <w:t xml:space="preserve">The fully mediated hypothesized model showed inadequate fit (χ² = 162.1; </w:t>
      </w:r>
      <w:proofErr w:type="spellStart"/>
      <w:r w:rsidRPr="008F09FB">
        <w:t>df</w:t>
      </w:r>
      <w:proofErr w:type="spellEnd"/>
      <w:r w:rsidRPr="008F09FB">
        <w:t xml:space="preserve"> = 14; CFI = .91; RMSEA = .15). An alternative model including a direct effect of SMS on perceived responsibility showed the best fit (χ² = 41.1; </w:t>
      </w:r>
      <w:proofErr w:type="spellStart"/>
      <w:r w:rsidRPr="008F09FB">
        <w:t>df</w:t>
      </w:r>
      <w:proofErr w:type="spellEnd"/>
      <w:r w:rsidRPr="008F09FB">
        <w:t xml:space="preserve"> = 11; CFI = .98; RMSEA = .07).</w:t>
      </w:r>
      <w:r w:rsidR="00C04040">
        <w:t xml:space="preserve"> </w:t>
      </w:r>
      <w:r w:rsidR="00C04040" w:rsidRPr="002F2252">
        <w:t>Means, standard deviations, and zero-order correlations of the study variables are shown in Table 1.</w:t>
      </w:r>
    </w:p>
    <w:p w14:paraId="5D7A6BBC" w14:textId="77777777" w:rsidR="00F265EE" w:rsidRDefault="00F265EE" w:rsidP="00F51F45">
      <w:pPr>
        <w:pStyle w:val="CETBodytext"/>
      </w:pPr>
    </w:p>
    <w:p w14:paraId="3C83F52C" w14:textId="77777777" w:rsidR="00F265EE" w:rsidRPr="007311A8" w:rsidRDefault="00F265EE" w:rsidP="00F51F45">
      <w:pPr>
        <w:pStyle w:val="CETBodytext"/>
      </w:pPr>
    </w:p>
    <w:p w14:paraId="6A8B316B" w14:textId="77777777" w:rsidR="00D475C7" w:rsidRDefault="00D475C7" w:rsidP="00D475C7">
      <w:pPr>
        <w:pStyle w:val="CETReferencetext"/>
        <w:rPr>
          <w:i/>
        </w:rPr>
      </w:pPr>
      <w:r w:rsidRPr="007C2508">
        <w:rPr>
          <w:i/>
          <w:iCs/>
        </w:rPr>
        <w:t>Table 1: Descriptive and</w:t>
      </w:r>
      <w:r w:rsidRPr="008F0053">
        <w:rPr>
          <w:i/>
        </w:rPr>
        <w:t xml:space="preserve"> correlation statistics (N = 455)</w:t>
      </w:r>
    </w:p>
    <w:tbl>
      <w:tblPr>
        <w:tblW w:w="880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552"/>
        <w:gridCol w:w="425"/>
        <w:gridCol w:w="567"/>
        <w:gridCol w:w="567"/>
        <w:gridCol w:w="583"/>
        <w:gridCol w:w="695"/>
        <w:gridCol w:w="695"/>
        <w:gridCol w:w="694"/>
        <w:gridCol w:w="686"/>
        <w:gridCol w:w="678"/>
        <w:gridCol w:w="665"/>
      </w:tblGrid>
      <w:tr w:rsidR="00D475C7" w:rsidRPr="00B57B36" w14:paraId="75AAB13F" w14:textId="77777777" w:rsidTr="00A97D9A">
        <w:tc>
          <w:tcPr>
            <w:tcW w:w="2552" w:type="dxa"/>
            <w:tcBorders>
              <w:top w:val="single" w:sz="12" w:space="0" w:color="008000"/>
              <w:bottom w:val="single" w:sz="6" w:space="0" w:color="008000"/>
            </w:tcBorders>
            <w:shd w:val="clear" w:color="auto" w:fill="FFFFFF"/>
          </w:tcPr>
          <w:p w14:paraId="74BD65A0" w14:textId="77777777" w:rsidR="00D475C7" w:rsidRPr="00B57B36" w:rsidRDefault="00D475C7" w:rsidP="00522127">
            <w:pPr>
              <w:pStyle w:val="CETBodytext"/>
              <w:rPr>
                <w:lang w:val="en-GB"/>
              </w:rPr>
            </w:pPr>
            <w:r>
              <w:rPr>
                <w:lang w:val="en-GB"/>
              </w:rPr>
              <w:t>Dimension</w:t>
            </w:r>
            <w:r w:rsidRPr="00B57B36">
              <w:rPr>
                <w:lang w:val="en-GB"/>
              </w:rPr>
              <w:t xml:space="preserve"> </w:t>
            </w:r>
          </w:p>
        </w:tc>
        <w:tc>
          <w:tcPr>
            <w:tcW w:w="425" w:type="dxa"/>
            <w:tcBorders>
              <w:top w:val="single" w:sz="12" w:space="0" w:color="008000"/>
              <w:bottom w:val="single" w:sz="4" w:space="0" w:color="auto"/>
            </w:tcBorders>
            <w:shd w:val="clear" w:color="auto" w:fill="FFFFFF"/>
          </w:tcPr>
          <w:p w14:paraId="20F0912E" w14:textId="77777777" w:rsidR="00D475C7" w:rsidRPr="00B57B36" w:rsidRDefault="00D475C7" w:rsidP="00522127">
            <w:pPr>
              <w:pStyle w:val="CETBodytext"/>
              <w:rPr>
                <w:lang w:val="en-GB"/>
              </w:rPr>
            </w:pPr>
            <w:r>
              <w:rPr>
                <w:lang w:val="en-GB"/>
              </w:rPr>
              <w:t>M</w:t>
            </w:r>
          </w:p>
        </w:tc>
        <w:tc>
          <w:tcPr>
            <w:tcW w:w="567" w:type="dxa"/>
            <w:tcBorders>
              <w:top w:val="single" w:sz="12" w:space="0" w:color="008000"/>
              <w:bottom w:val="single" w:sz="4" w:space="0" w:color="auto"/>
            </w:tcBorders>
            <w:shd w:val="clear" w:color="auto" w:fill="FFFFFF"/>
          </w:tcPr>
          <w:p w14:paraId="47FE5479" w14:textId="77777777" w:rsidR="00D475C7" w:rsidRPr="00B57B36" w:rsidRDefault="00D475C7" w:rsidP="00522127">
            <w:pPr>
              <w:pStyle w:val="CETBodytext"/>
              <w:rPr>
                <w:lang w:val="en-GB"/>
              </w:rPr>
            </w:pPr>
            <w:r>
              <w:rPr>
                <w:lang w:val="en-GB"/>
              </w:rPr>
              <w:t>SD</w:t>
            </w:r>
          </w:p>
        </w:tc>
        <w:tc>
          <w:tcPr>
            <w:tcW w:w="567" w:type="dxa"/>
            <w:tcBorders>
              <w:top w:val="single" w:sz="12" w:space="0" w:color="008000"/>
              <w:bottom w:val="single" w:sz="4" w:space="0" w:color="auto"/>
            </w:tcBorders>
            <w:shd w:val="clear" w:color="auto" w:fill="FFFFFF"/>
          </w:tcPr>
          <w:p w14:paraId="02FB79BB" w14:textId="77777777" w:rsidR="00D475C7" w:rsidRPr="00B57B36" w:rsidRDefault="00D475C7" w:rsidP="00522127">
            <w:pPr>
              <w:pStyle w:val="CETBodytext"/>
              <w:ind w:right="-1"/>
              <w:rPr>
                <w:rFonts w:cs="Arial"/>
                <w:szCs w:val="18"/>
                <w:lang w:val="en-GB"/>
              </w:rPr>
            </w:pPr>
            <w:r>
              <w:rPr>
                <w:rFonts w:cs="Arial"/>
                <w:szCs w:val="18"/>
                <w:lang w:val="en-GB"/>
              </w:rPr>
              <w:t>1</w:t>
            </w:r>
          </w:p>
        </w:tc>
        <w:tc>
          <w:tcPr>
            <w:tcW w:w="583" w:type="dxa"/>
            <w:tcBorders>
              <w:top w:val="single" w:sz="12" w:space="0" w:color="008000"/>
              <w:bottom w:val="single" w:sz="4" w:space="0" w:color="auto"/>
            </w:tcBorders>
            <w:shd w:val="clear" w:color="auto" w:fill="FFFFFF"/>
          </w:tcPr>
          <w:p w14:paraId="0479B143" w14:textId="77777777" w:rsidR="00D475C7" w:rsidRPr="00B57B36" w:rsidRDefault="00D475C7" w:rsidP="00522127">
            <w:pPr>
              <w:pStyle w:val="CETBodytext"/>
              <w:ind w:right="-1"/>
              <w:rPr>
                <w:rFonts w:cs="Arial"/>
                <w:szCs w:val="18"/>
                <w:lang w:val="en-GB"/>
              </w:rPr>
            </w:pPr>
            <w:r>
              <w:rPr>
                <w:rFonts w:cs="Arial"/>
                <w:szCs w:val="18"/>
                <w:lang w:val="en-GB"/>
              </w:rPr>
              <w:t>2</w:t>
            </w:r>
          </w:p>
        </w:tc>
        <w:tc>
          <w:tcPr>
            <w:tcW w:w="695" w:type="dxa"/>
            <w:tcBorders>
              <w:top w:val="single" w:sz="12" w:space="0" w:color="008000"/>
              <w:bottom w:val="single" w:sz="4" w:space="0" w:color="auto"/>
            </w:tcBorders>
          </w:tcPr>
          <w:p w14:paraId="4B91FEE7" w14:textId="77777777" w:rsidR="00D475C7" w:rsidRDefault="00D475C7" w:rsidP="00522127">
            <w:pPr>
              <w:pStyle w:val="CETBodytext"/>
              <w:ind w:right="-1"/>
              <w:rPr>
                <w:rFonts w:cs="Arial"/>
                <w:szCs w:val="18"/>
                <w:lang w:val="en-GB"/>
              </w:rPr>
            </w:pPr>
            <w:r>
              <w:rPr>
                <w:rFonts w:cs="Arial"/>
                <w:szCs w:val="18"/>
                <w:lang w:val="en-GB"/>
              </w:rPr>
              <w:t>3</w:t>
            </w:r>
          </w:p>
        </w:tc>
        <w:tc>
          <w:tcPr>
            <w:tcW w:w="695" w:type="dxa"/>
            <w:tcBorders>
              <w:top w:val="single" w:sz="12" w:space="0" w:color="008000"/>
              <w:bottom w:val="single" w:sz="4" w:space="0" w:color="auto"/>
            </w:tcBorders>
          </w:tcPr>
          <w:p w14:paraId="3AECD128" w14:textId="77777777" w:rsidR="00D475C7" w:rsidRDefault="00D475C7" w:rsidP="00522127">
            <w:pPr>
              <w:pStyle w:val="CETBodytext"/>
              <w:ind w:right="-1"/>
              <w:rPr>
                <w:rFonts w:cs="Arial"/>
                <w:szCs w:val="18"/>
                <w:lang w:val="en-GB"/>
              </w:rPr>
            </w:pPr>
            <w:r>
              <w:rPr>
                <w:rFonts w:cs="Arial"/>
                <w:szCs w:val="18"/>
                <w:lang w:val="en-GB"/>
              </w:rPr>
              <w:t>4</w:t>
            </w:r>
          </w:p>
        </w:tc>
        <w:tc>
          <w:tcPr>
            <w:tcW w:w="694" w:type="dxa"/>
            <w:tcBorders>
              <w:top w:val="single" w:sz="12" w:space="0" w:color="008000"/>
              <w:bottom w:val="single" w:sz="4" w:space="0" w:color="auto"/>
            </w:tcBorders>
          </w:tcPr>
          <w:p w14:paraId="2A20AFA5" w14:textId="77777777" w:rsidR="00D475C7" w:rsidRDefault="00D475C7" w:rsidP="00522127">
            <w:pPr>
              <w:pStyle w:val="CETBodytext"/>
              <w:ind w:right="-1"/>
              <w:rPr>
                <w:rFonts w:cs="Arial"/>
                <w:szCs w:val="18"/>
                <w:lang w:val="en-GB"/>
              </w:rPr>
            </w:pPr>
            <w:r>
              <w:rPr>
                <w:rFonts w:cs="Arial"/>
                <w:szCs w:val="18"/>
                <w:lang w:val="en-GB"/>
              </w:rPr>
              <w:t>5</w:t>
            </w:r>
          </w:p>
        </w:tc>
        <w:tc>
          <w:tcPr>
            <w:tcW w:w="686" w:type="dxa"/>
            <w:tcBorders>
              <w:top w:val="single" w:sz="12" w:space="0" w:color="008000"/>
              <w:bottom w:val="single" w:sz="4" w:space="0" w:color="auto"/>
            </w:tcBorders>
          </w:tcPr>
          <w:p w14:paraId="42FF04B0" w14:textId="77777777" w:rsidR="00D475C7" w:rsidRDefault="00D475C7" w:rsidP="00522127">
            <w:pPr>
              <w:pStyle w:val="CETBodytext"/>
              <w:ind w:right="-1"/>
              <w:rPr>
                <w:rFonts w:cs="Arial"/>
                <w:szCs w:val="18"/>
                <w:lang w:val="en-GB"/>
              </w:rPr>
            </w:pPr>
            <w:r>
              <w:rPr>
                <w:rFonts w:cs="Arial"/>
                <w:szCs w:val="18"/>
                <w:lang w:val="en-GB"/>
              </w:rPr>
              <w:t>6</w:t>
            </w:r>
          </w:p>
        </w:tc>
        <w:tc>
          <w:tcPr>
            <w:tcW w:w="678" w:type="dxa"/>
            <w:tcBorders>
              <w:top w:val="single" w:sz="12" w:space="0" w:color="008000"/>
              <w:bottom w:val="single" w:sz="4" w:space="0" w:color="auto"/>
            </w:tcBorders>
          </w:tcPr>
          <w:p w14:paraId="4C63B32C" w14:textId="77777777" w:rsidR="00D475C7" w:rsidRDefault="00D475C7" w:rsidP="00522127">
            <w:pPr>
              <w:pStyle w:val="CETBodytext"/>
              <w:ind w:right="-1"/>
              <w:rPr>
                <w:rFonts w:cs="Arial"/>
                <w:szCs w:val="18"/>
                <w:lang w:val="en-GB"/>
              </w:rPr>
            </w:pPr>
            <w:r>
              <w:rPr>
                <w:rFonts w:cs="Arial"/>
                <w:szCs w:val="18"/>
                <w:lang w:val="en-GB"/>
              </w:rPr>
              <w:t>7</w:t>
            </w:r>
          </w:p>
        </w:tc>
        <w:tc>
          <w:tcPr>
            <w:tcW w:w="665" w:type="dxa"/>
            <w:tcBorders>
              <w:top w:val="single" w:sz="12" w:space="0" w:color="008000"/>
              <w:bottom w:val="single" w:sz="4" w:space="0" w:color="auto"/>
            </w:tcBorders>
          </w:tcPr>
          <w:p w14:paraId="27DD73A8" w14:textId="77777777" w:rsidR="00D475C7" w:rsidRDefault="00D475C7" w:rsidP="00522127">
            <w:pPr>
              <w:pStyle w:val="CETBodytext"/>
              <w:ind w:right="-1"/>
              <w:rPr>
                <w:rFonts w:cs="Arial"/>
                <w:szCs w:val="18"/>
                <w:lang w:val="en-GB"/>
              </w:rPr>
            </w:pPr>
            <w:r>
              <w:rPr>
                <w:rFonts w:cs="Arial"/>
                <w:szCs w:val="18"/>
                <w:lang w:val="en-GB"/>
              </w:rPr>
              <w:t>8</w:t>
            </w:r>
          </w:p>
        </w:tc>
      </w:tr>
      <w:tr w:rsidR="00D475C7" w:rsidRPr="00B57B36" w14:paraId="30A14D5B" w14:textId="77777777" w:rsidTr="00A97D9A">
        <w:tc>
          <w:tcPr>
            <w:tcW w:w="2552" w:type="dxa"/>
            <w:shd w:val="clear" w:color="auto" w:fill="FFFFFF"/>
          </w:tcPr>
          <w:p w14:paraId="305EA716" w14:textId="5B77054E" w:rsidR="00D475C7" w:rsidRDefault="008D5C51" w:rsidP="00D475C7">
            <w:pPr>
              <w:pStyle w:val="CETBodytext"/>
              <w:numPr>
                <w:ilvl w:val="0"/>
                <w:numId w:val="25"/>
              </w:numPr>
              <w:rPr>
                <w:lang w:val="en-GB"/>
              </w:rPr>
            </w:pPr>
            <w:r>
              <w:rPr>
                <w:lang w:val="en-GB"/>
              </w:rPr>
              <w:t>Safety e</w:t>
            </w:r>
            <w:r w:rsidR="00D475C7">
              <w:rPr>
                <w:lang w:val="en-GB"/>
              </w:rPr>
              <w:t>mpowering</w:t>
            </w:r>
          </w:p>
          <w:p w14:paraId="3A3CD1BB" w14:textId="05101752" w:rsidR="00D475C7" w:rsidRDefault="008D5C51" w:rsidP="00522127">
            <w:pPr>
              <w:pStyle w:val="CETBodytext"/>
              <w:ind w:left="720"/>
              <w:rPr>
                <w:lang w:val="en-GB"/>
              </w:rPr>
            </w:pPr>
            <w:r>
              <w:rPr>
                <w:lang w:val="en-GB"/>
              </w:rPr>
              <w:t>s</w:t>
            </w:r>
            <w:r w:rsidR="00D475C7">
              <w:rPr>
                <w:lang w:val="en-GB"/>
              </w:rPr>
              <w:t>upervision (SMS)</w:t>
            </w:r>
          </w:p>
          <w:p w14:paraId="4A46CB80" w14:textId="22DF0022" w:rsidR="00D475C7" w:rsidRDefault="008D5C51" w:rsidP="00D475C7">
            <w:pPr>
              <w:pStyle w:val="CETBodytext"/>
              <w:numPr>
                <w:ilvl w:val="0"/>
                <w:numId w:val="25"/>
              </w:numPr>
              <w:rPr>
                <w:lang w:val="en-GB"/>
              </w:rPr>
            </w:pPr>
            <w:r>
              <w:rPr>
                <w:lang w:val="en-GB"/>
              </w:rPr>
              <w:t>Safety m</w:t>
            </w:r>
            <w:r w:rsidR="00D475C7">
              <w:rPr>
                <w:lang w:val="en-GB"/>
              </w:rPr>
              <w:t>onitoring</w:t>
            </w:r>
          </w:p>
          <w:p w14:paraId="18F9BBCE" w14:textId="19916D8B" w:rsidR="00D475C7" w:rsidRDefault="008D5C51" w:rsidP="00522127">
            <w:pPr>
              <w:pStyle w:val="CETBodytext"/>
              <w:ind w:left="720"/>
              <w:rPr>
                <w:lang w:val="en-GB"/>
              </w:rPr>
            </w:pPr>
            <w:r>
              <w:rPr>
                <w:lang w:val="en-GB"/>
              </w:rPr>
              <w:t>s</w:t>
            </w:r>
            <w:r w:rsidR="00D475C7">
              <w:rPr>
                <w:lang w:val="en-GB"/>
              </w:rPr>
              <w:t>upervision (SMS)</w:t>
            </w:r>
          </w:p>
          <w:p w14:paraId="70AA9805" w14:textId="5C467F84" w:rsidR="00D475C7" w:rsidRPr="008D5C51" w:rsidRDefault="00F51F45" w:rsidP="008D5C51">
            <w:pPr>
              <w:pStyle w:val="CETBodytext"/>
              <w:numPr>
                <w:ilvl w:val="0"/>
                <w:numId w:val="25"/>
              </w:numPr>
              <w:rPr>
                <w:lang w:val="en-GB"/>
              </w:rPr>
            </w:pPr>
            <w:r>
              <w:rPr>
                <w:lang w:val="en-GB"/>
              </w:rPr>
              <w:t>Preventive</w:t>
            </w:r>
            <w:r w:rsidR="008D5C51">
              <w:rPr>
                <w:lang w:val="en-GB"/>
              </w:rPr>
              <w:t xml:space="preserve">            s</w:t>
            </w:r>
            <w:r w:rsidR="00D475C7">
              <w:rPr>
                <w:lang w:val="en-GB"/>
              </w:rPr>
              <w:t>afety</w:t>
            </w:r>
            <w:r w:rsidR="008D5C51">
              <w:rPr>
                <w:lang w:val="en-GB"/>
              </w:rPr>
              <w:t xml:space="preserve"> </w:t>
            </w:r>
            <w:r w:rsidR="008D5C51" w:rsidRPr="008D5C51">
              <w:rPr>
                <w:lang w:val="en-GB"/>
              </w:rPr>
              <w:t>v</w:t>
            </w:r>
            <w:r w:rsidR="00D475C7" w:rsidRPr="008D5C51">
              <w:rPr>
                <w:lang w:val="en-GB"/>
              </w:rPr>
              <w:t>oice</w:t>
            </w:r>
          </w:p>
          <w:p w14:paraId="45127F0D" w14:textId="2F9A2A9C" w:rsidR="00D475C7" w:rsidRPr="008D5C51" w:rsidRDefault="00F51F45" w:rsidP="008D5C51">
            <w:pPr>
              <w:pStyle w:val="CETBodytext"/>
              <w:numPr>
                <w:ilvl w:val="0"/>
                <w:numId w:val="25"/>
              </w:numPr>
              <w:rPr>
                <w:lang w:val="en-GB"/>
              </w:rPr>
            </w:pPr>
            <w:r>
              <w:rPr>
                <w:lang w:val="en-GB"/>
              </w:rPr>
              <w:t>Promotive</w:t>
            </w:r>
            <w:r w:rsidR="00D475C7">
              <w:rPr>
                <w:lang w:val="en-GB"/>
              </w:rPr>
              <w:t xml:space="preserve"> </w:t>
            </w:r>
            <w:r w:rsidR="008D5C51">
              <w:rPr>
                <w:lang w:val="en-GB"/>
              </w:rPr>
              <w:t xml:space="preserve">                  s</w:t>
            </w:r>
            <w:r w:rsidR="00D475C7">
              <w:rPr>
                <w:lang w:val="en-GB"/>
              </w:rPr>
              <w:t>afety</w:t>
            </w:r>
            <w:r w:rsidR="008D5C51">
              <w:rPr>
                <w:lang w:val="en-GB"/>
              </w:rPr>
              <w:t xml:space="preserve"> v</w:t>
            </w:r>
            <w:r w:rsidR="00D475C7" w:rsidRPr="008D5C51">
              <w:rPr>
                <w:lang w:val="en-GB"/>
              </w:rPr>
              <w:t>oice</w:t>
            </w:r>
          </w:p>
          <w:p w14:paraId="44726BBD" w14:textId="1F49DAC4" w:rsidR="00D475C7" w:rsidRPr="008D5C51" w:rsidRDefault="00D475C7" w:rsidP="008D5C51">
            <w:pPr>
              <w:pStyle w:val="CETBodytext"/>
              <w:numPr>
                <w:ilvl w:val="0"/>
                <w:numId w:val="25"/>
              </w:numPr>
              <w:rPr>
                <w:lang w:val="en-GB"/>
              </w:rPr>
            </w:pPr>
            <w:r>
              <w:rPr>
                <w:lang w:val="en-GB"/>
              </w:rPr>
              <w:t xml:space="preserve">Proscriptive </w:t>
            </w:r>
            <w:r w:rsidR="008D5C51">
              <w:rPr>
                <w:lang w:val="en-GB"/>
              </w:rPr>
              <w:t xml:space="preserve">               s</w:t>
            </w:r>
            <w:r>
              <w:rPr>
                <w:lang w:val="en-GB"/>
              </w:rPr>
              <w:t>afety</w:t>
            </w:r>
            <w:r w:rsidR="008D5C51">
              <w:rPr>
                <w:lang w:val="en-GB"/>
              </w:rPr>
              <w:t xml:space="preserve"> v</w:t>
            </w:r>
            <w:r w:rsidRPr="008D5C51">
              <w:rPr>
                <w:lang w:val="en-GB"/>
              </w:rPr>
              <w:t>oice</w:t>
            </w:r>
          </w:p>
          <w:p w14:paraId="749BFADD" w14:textId="77777777" w:rsidR="00D475C7" w:rsidRDefault="00D475C7" w:rsidP="00D475C7">
            <w:pPr>
              <w:pStyle w:val="CETBodytext"/>
              <w:numPr>
                <w:ilvl w:val="0"/>
                <w:numId w:val="25"/>
              </w:numPr>
              <w:rPr>
                <w:lang w:val="en-GB"/>
              </w:rPr>
            </w:pPr>
            <w:r>
              <w:rPr>
                <w:lang w:val="en-GB"/>
              </w:rPr>
              <w:t>Housekeeping</w:t>
            </w:r>
          </w:p>
          <w:p w14:paraId="1EF3DBE2" w14:textId="79A423DB" w:rsidR="00D475C7" w:rsidRDefault="008D5C51" w:rsidP="00522127">
            <w:pPr>
              <w:pStyle w:val="CETBodytext"/>
              <w:ind w:left="720"/>
              <w:rPr>
                <w:lang w:val="en-GB"/>
              </w:rPr>
            </w:pPr>
            <w:r>
              <w:rPr>
                <w:lang w:val="en-GB"/>
              </w:rPr>
              <w:t>b</w:t>
            </w:r>
            <w:r w:rsidR="00D475C7">
              <w:rPr>
                <w:lang w:val="en-GB"/>
              </w:rPr>
              <w:t>ehaviour</w:t>
            </w:r>
          </w:p>
          <w:p w14:paraId="0C4740A6" w14:textId="77777777" w:rsidR="00D475C7" w:rsidRDefault="00D475C7" w:rsidP="00D475C7">
            <w:pPr>
              <w:pStyle w:val="CETBodytext"/>
              <w:numPr>
                <w:ilvl w:val="0"/>
                <w:numId w:val="25"/>
              </w:numPr>
              <w:rPr>
                <w:lang w:val="en-GB"/>
              </w:rPr>
            </w:pPr>
            <w:r>
              <w:rPr>
                <w:lang w:val="en-GB"/>
              </w:rPr>
              <w:t>Felt Responsibility</w:t>
            </w:r>
          </w:p>
          <w:p w14:paraId="2487E817" w14:textId="77777777" w:rsidR="00D475C7" w:rsidRPr="00B57B36" w:rsidRDefault="00D475C7" w:rsidP="00D475C7">
            <w:pPr>
              <w:pStyle w:val="CETBodytext"/>
              <w:numPr>
                <w:ilvl w:val="0"/>
                <w:numId w:val="25"/>
              </w:numPr>
              <w:rPr>
                <w:lang w:val="en-GB"/>
              </w:rPr>
            </w:pPr>
            <w:r>
              <w:rPr>
                <w:lang w:val="en-GB"/>
              </w:rPr>
              <w:t>Safety Knowledge</w:t>
            </w:r>
          </w:p>
        </w:tc>
        <w:tc>
          <w:tcPr>
            <w:tcW w:w="425" w:type="dxa"/>
            <w:tcBorders>
              <w:top w:val="single" w:sz="4" w:space="0" w:color="auto"/>
            </w:tcBorders>
            <w:shd w:val="clear" w:color="auto" w:fill="FFFFFF"/>
          </w:tcPr>
          <w:p w14:paraId="0CDF6E49" w14:textId="77777777" w:rsidR="00D475C7" w:rsidRDefault="00D475C7" w:rsidP="00522127">
            <w:pPr>
              <w:pStyle w:val="CETBodytext"/>
              <w:rPr>
                <w:rFonts w:eastAsia="Calibri"/>
              </w:rPr>
            </w:pPr>
            <w:r w:rsidRPr="0070389A">
              <w:rPr>
                <w:rFonts w:eastAsia="Calibri"/>
              </w:rPr>
              <w:t>4.3</w:t>
            </w:r>
          </w:p>
          <w:p w14:paraId="72969546" w14:textId="77777777" w:rsidR="00D475C7" w:rsidRDefault="00D475C7" w:rsidP="00522127">
            <w:pPr>
              <w:pStyle w:val="CETBodytext"/>
              <w:rPr>
                <w:rFonts w:eastAsia="Calibri"/>
              </w:rPr>
            </w:pPr>
          </w:p>
          <w:p w14:paraId="15E98576" w14:textId="77777777" w:rsidR="00D475C7" w:rsidRDefault="00D475C7" w:rsidP="00522127">
            <w:pPr>
              <w:pStyle w:val="CETBodytext"/>
              <w:rPr>
                <w:rFonts w:eastAsia="Calibri"/>
              </w:rPr>
            </w:pPr>
            <w:r w:rsidRPr="0070389A">
              <w:rPr>
                <w:rFonts w:eastAsia="Calibri"/>
              </w:rPr>
              <w:t>4.5</w:t>
            </w:r>
          </w:p>
          <w:p w14:paraId="3AB1AA0D" w14:textId="77777777" w:rsidR="00D475C7" w:rsidRDefault="00D475C7" w:rsidP="00522127">
            <w:pPr>
              <w:pStyle w:val="CETBodytext"/>
              <w:rPr>
                <w:rFonts w:eastAsia="Calibri"/>
              </w:rPr>
            </w:pPr>
          </w:p>
          <w:p w14:paraId="4CD598AD" w14:textId="77777777" w:rsidR="00D475C7" w:rsidRDefault="00D475C7" w:rsidP="00522127">
            <w:pPr>
              <w:pStyle w:val="CETBodytext"/>
              <w:rPr>
                <w:rFonts w:eastAsia="Calibri"/>
              </w:rPr>
            </w:pPr>
            <w:r w:rsidRPr="0070389A">
              <w:rPr>
                <w:rFonts w:eastAsia="Calibri"/>
              </w:rPr>
              <w:t>3.8</w:t>
            </w:r>
          </w:p>
          <w:p w14:paraId="394F0A87" w14:textId="77777777" w:rsidR="00D475C7" w:rsidRDefault="00D475C7" w:rsidP="00522127">
            <w:pPr>
              <w:pStyle w:val="CETBodytext"/>
              <w:rPr>
                <w:rFonts w:eastAsia="Calibri"/>
              </w:rPr>
            </w:pPr>
          </w:p>
          <w:p w14:paraId="2853A32D" w14:textId="77777777" w:rsidR="00D475C7" w:rsidRDefault="00D475C7" w:rsidP="00522127">
            <w:pPr>
              <w:pStyle w:val="CETBodytext"/>
              <w:rPr>
                <w:rFonts w:eastAsia="Calibri"/>
              </w:rPr>
            </w:pPr>
            <w:r w:rsidRPr="0070389A">
              <w:rPr>
                <w:rFonts w:eastAsia="Calibri"/>
              </w:rPr>
              <w:t>3.5</w:t>
            </w:r>
          </w:p>
          <w:p w14:paraId="2BA7CFCA" w14:textId="77777777" w:rsidR="00D475C7" w:rsidRDefault="00D475C7" w:rsidP="00522127">
            <w:pPr>
              <w:pStyle w:val="CETBodytext"/>
              <w:rPr>
                <w:rFonts w:eastAsia="Calibri"/>
              </w:rPr>
            </w:pPr>
          </w:p>
          <w:p w14:paraId="5FDB3513" w14:textId="77777777" w:rsidR="00D475C7" w:rsidRDefault="00D475C7" w:rsidP="00522127">
            <w:pPr>
              <w:pStyle w:val="CETBodytext"/>
              <w:rPr>
                <w:rFonts w:eastAsia="Calibri"/>
              </w:rPr>
            </w:pPr>
            <w:r w:rsidRPr="0070389A">
              <w:rPr>
                <w:rFonts w:eastAsia="Calibri"/>
              </w:rPr>
              <w:t>4.1</w:t>
            </w:r>
          </w:p>
          <w:p w14:paraId="778FF8AF" w14:textId="77777777" w:rsidR="00D475C7" w:rsidRDefault="00D475C7" w:rsidP="00522127">
            <w:pPr>
              <w:pStyle w:val="CETBodytext"/>
              <w:rPr>
                <w:rFonts w:eastAsia="Calibri"/>
              </w:rPr>
            </w:pPr>
          </w:p>
          <w:p w14:paraId="69444928" w14:textId="77777777" w:rsidR="00D475C7" w:rsidRDefault="00D475C7" w:rsidP="00522127">
            <w:pPr>
              <w:pStyle w:val="CETBodytext"/>
              <w:rPr>
                <w:rFonts w:eastAsia="Calibri"/>
              </w:rPr>
            </w:pPr>
            <w:r w:rsidRPr="0070389A">
              <w:rPr>
                <w:rFonts w:eastAsia="Calibri"/>
              </w:rPr>
              <w:t>4.4</w:t>
            </w:r>
          </w:p>
          <w:p w14:paraId="7BB77FD5" w14:textId="77777777" w:rsidR="00D475C7" w:rsidRDefault="00D475C7" w:rsidP="00522127">
            <w:pPr>
              <w:pStyle w:val="CETBodytext"/>
              <w:rPr>
                <w:rFonts w:eastAsia="Calibri"/>
              </w:rPr>
            </w:pPr>
          </w:p>
          <w:p w14:paraId="49B01BB2" w14:textId="77777777" w:rsidR="00D475C7" w:rsidRDefault="00D475C7" w:rsidP="00522127">
            <w:pPr>
              <w:pStyle w:val="CETBodytext"/>
              <w:rPr>
                <w:rFonts w:eastAsia="Calibri"/>
              </w:rPr>
            </w:pPr>
            <w:r w:rsidRPr="0070389A">
              <w:rPr>
                <w:rFonts w:eastAsia="Calibri"/>
              </w:rPr>
              <w:t>4.3</w:t>
            </w:r>
          </w:p>
          <w:p w14:paraId="04234553" w14:textId="77777777" w:rsidR="00D475C7" w:rsidRDefault="00D475C7" w:rsidP="00522127">
            <w:pPr>
              <w:pStyle w:val="CETBodytext"/>
              <w:rPr>
                <w:lang w:val="en-GB"/>
              </w:rPr>
            </w:pPr>
            <w:r>
              <w:rPr>
                <w:rFonts w:eastAsia="Calibri"/>
              </w:rPr>
              <w:t>4.5</w:t>
            </w:r>
          </w:p>
          <w:p w14:paraId="58272378" w14:textId="77777777" w:rsidR="00D475C7" w:rsidRPr="00B57B36" w:rsidRDefault="00D475C7" w:rsidP="00522127">
            <w:pPr>
              <w:pStyle w:val="CETBodytext"/>
              <w:rPr>
                <w:lang w:val="en-GB"/>
              </w:rPr>
            </w:pPr>
          </w:p>
        </w:tc>
        <w:tc>
          <w:tcPr>
            <w:tcW w:w="567" w:type="dxa"/>
            <w:tcBorders>
              <w:top w:val="single" w:sz="4" w:space="0" w:color="auto"/>
            </w:tcBorders>
            <w:shd w:val="clear" w:color="auto" w:fill="FFFFFF"/>
          </w:tcPr>
          <w:p w14:paraId="708893C6" w14:textId="77777777" w:rsidR="00D475C7" w:rsidRDefault="00D475C7" w:rsidP="00522127">
            <w:pPr>
              <w:pStyle w:val="CETBodytext"/>
              <w:rPr>
                <w:rFonts w:eastAsia="Calibri"/>
              </w:rPr>
            </w:pPr>
            <w:r>
              <w:rPr>
                <w:rFonts w:eastAsia="Calibri"/>
              </w:rPr>
              <w:t>.</w:t>
            </w:r>
            <w:r w:rsidRPr="0070389A">
              <w:rPr>
                <w:rFonts w:eastAsia="Calibri"/>
              </w:rPr>
              <w:t>73</w:t>
            </w:r>
          </w:p>
          <w:p w14:paraId="429A0353" w14:textId="77777777" w:rsidR="00D475C7" w:rsidRDefault="00D475C7" w:rsidP="00522127">
            <w:pPr>
              <w:pStyle w:val="CETBodytext"/>
              <w:rPr>
                <w:rFonts w:eastAsia="Calibri"/>
              </w:rPr>
            </w:pPr>
          </w:p>
          <w:p w14:paraId="297E4C50" w14:textId="77777777" w:rsidR="00D475C7" w:rsidRDefault="00D475C7" w:rsidP="00522127">
            <w:pPr>
              <w:pStyle w:val="CETBodytext"/>
              <w:rPr>
                <w:rFonts w:eastAsia="Calibri"/>
              </w:rPr>
            </w:pPr>
            <w:r w:rsidRPr="0070389A">
              <w:rPr>
                <w:rFonts w:eastAsia="Calibri"/>
              </w:rPr>
              <w:t>.71</w:t>
            </w:r>
          </w:p>
          <w:p w14:paraId="6D4265A3" w14:textId="77777777" w:rsidR="00D475C7" w:rsidRDefault="00D475C7" w:rsidP="00522127">
            <w:pPr>
              <w:pStyle w:val="CETBodytext"/>
              <w:rPr>
                <w:rFonts w:eastAsia="Calibri"/>
              </w:rPr>
            </w:pPr>
          </w:p>
          <w:p w14:paraId="2742107B" w14:textId="77777777" w:rsidR="00D475C7" w:rsidRDefault="00D475C7" w:rsidP="00522127">
            <w:pPr>
              <w:pStyle w:val="CETBodytext"/>
              <w:rPr>
                <w:lang w:val="en-GB"/>
              </w:rPr>
            </w:pPr>
            <w:r>
              <w:rPr>
                <w:lang w:val="en-GB"/>
              </w:rPr>
              <w:t>.95</w:t>
            </w:r>
          </w:p>
          <w:p w14:paraId="2C7F18AD" w14:textId="77777777" w:rsidR="00D475C7" w:rsidRDefault="00D475C7" w:rsidP="00522127">
            <w:pPr>
              <w:pStyle w:val="CETBodytext"/>
              <w:rPr>
                <w:lang w:val="en-GB"/>
              </w:rPr>
            </w:pPr>
          </w:p>
          <w:p w14:paraId="22E25E18" w14:textId="77777777" w:rsidR="00D475C7" w:rsidRDefault="00D475C7" w:rsidP="00522127">
            <w:pPr>
              <w:pStyle w:val="CETBodytext"/>
              <w:rPr>
                <w:lang w:val="en-GB"/>
              </w:rPr>
            </w:pPr>
            <w:r>
              <w:rPr>
                <w:lang w:val="en-GB"/>
              </w:rPr>
              <w:t>.91</w:t>
            </w:r>
          </w:p>
          <w:p w14:paraId="61408FDD" w14:textId="77777777" w:rsidR="00D475C7" w:rsidRDefault="00D475C7" w:rsidP="00522127">
            <w:pPr>
              <w:pStyle w:val="CETBodytext"/>
              <w:rPr>
                <w:lang w:val="en-GB"/>
              </w:rPr>
            </w:pPr>
          </w:p>
          <w:p w14:paraId="04DC06A0" w14:textId="77777777" w:rsidR="00D475C7" w:rsidRDefault="00D475C7" w:rsidP="00522127">
            <w:pPr>
              <w:pStyle w:val="CETBodytext"/>
              <w:rPr>
                <w:rFonts w:eastAsia="Calibri"/>
              </w:rPr>
            </w:pPr>
            <w:r w:rsidRPr="0070389A">
              <w:rPr>
                <w:rFonts w:eastAsia="Calibri"/>
              </w:rPr>
              <w:t>.83</w:t>
            </w:r>
          </w:p>
          <w:p w14:paraId="07F6ECD7" w14:textId="77777777" w:rsidR="00D475C7" w:rsidRDefault="00D475C7" w:rsidP="00522127">
            <w:pPr>
              <w:pStyle w:val="CETBodytext"/>
              <w:rPr>
                <w:rFonts w:eastAsia="Calibri"/>
              </w:rPr>
            </w:pPr>
          </w:p>
          <w:p w14:paraId="26E896E0" w14:textId="77777777" w:rsidR="00D475C7" w:rsidRDefault="00D475C7" w:rsidP="00522127">
            <w:pPr>
              <w:pStyle w:val="CETBodytext"/>
              <w:rPr>
                <w:rFonts w:eastAsia="Calibri"/>
              </w:rPr>
            </w:pPr>
            <w:r>
              <w:rPr>
                <w:rFonts w:eastAsia="Calibri"/>
              </w:rPr>
              <w:t>.</w:t>
            </w:r>
            <w:r w:rsidRPr="0070389A">
              <w:rPr>
                <w:rFonts w:eastAsia="Calibri"/>
              </w:rPr>
              <w:t>76</w:t>
            </w:r>
          </w:p>
          <w:p w14:paraId="43F0CDA4" w14:textId="77777777" w:rsidR="00D475C7" w:rsidRDefault="00D475C7" w:rsidP="00522127">
            <w:pPr>
              <w:pStyle w:val="CETBodytext"/>
            </w:pPr>
          </w:p>
          <w:p w14:paraId="080DE43F" w14:textId="77777777" w:rsidR="00D475C7" w:rsidRDefault="00D475C7" w:rsidP="00522127">
            <w:pPr>
              <w:pStyle w:val="CETBodytext"/>
              <w:rPr>
                <w:rFonts w:eastAsia="Calibri"/>
              </w:rPr>
            </w:pPr>
            <w:r w:rsidRPr="0070389A">
              <w:rPr>
                <w:rFonts w:eastAsia="Calibri"/>
              </w:rPr>
              <w:t>.87</w:t>
            </w:r>
          </w:p>
          <w:p w14:paraId="17FA0C4C" w14:textId="77777777" w:rsidR="00D475C7" w:rsidRPr="00B57B36" w:rsidRDefault="00D475C7" w:rsidP="00522127">
            <w:pPr>
              <w:pStyle w:val="CETBodytext"/>
              <w:rPr>
                <w:lang w:val="en-GB"/>
              </w:rPr>
            </w:pPr>
            <w:r w:rsidRPr="0070389A">
              <w:rPr>
                <w:rFonts w:eastAsia="Calibri"/>
              </w:rPr>
              <w:t>.54</w:t>
            </w:r>
          </w:p>
        </w:tc>
        <w:tc>
          <w:tcPr>
            <w:tcW w:w="567" w:type="dxa"/>
            <w:tcBorders>
              <w:top w:val="single" w:sz="4" w:space="0" w:color="auto"/>
            </w:tcBorders>
            <w:shd w:val="clear" w:color="auto" w:fill="FFFFFF"/>
          </w:tcPr>
          <w:p w14:paraId="6EB6770E" w14:textId="77777777" w:rsidR="00D475C7" w:rsidRDefault="00D475C7" w:rsidP="00522127">
            <w:pPr>
              <w:pStyle w:val="CETBodytext"/>
              <w:ind w:right="-1"/>
              <w:rPr>
                <w:rFonts w:eastAsia="Calibri"/>
                <w:i/>
              </w:rPr>
            </w:pPr>
            <w:r w:rsidRPr="0070389A">
              <w:rPr>
                <w:rFonts w:eastAsia="Calibri"/>
                <w:i/>
              </w:rPr>
              <w:t>(.86)</w:t>
            </w:r>
          </w:p>
          <w:p w14:paraId="69023DCF" w14:textId="77777777" w:rsidR="00D475C7" w:rsidRDefault="00D475C7" w:rsidP="00522127">
            <w:pPr>
              <w:pStyle w:val="CETBodytext"/>
              <w:ind w:right="-1"/>
              <w:rPr>
                <w:rFonts w:eastAsia="Calibri"/>
                <w:i/>
              </w:rPr>
            </w:pPr>
          </w:p>
          <w:p w14:paraId="160A136E" w14:textId="77777777" w:rsidR="00D475C7" w:rsidRDefault="00D475C7" w:rsidP="00522127">
            <w:pPr>
              <w:pStyle w:val="CETBodytext"/>
              <w:ind w:right="-1"/>
              <w:rPr>
                <w:rFonts w:eastAsia="Calibri"/>
              </w:rPr>
            </w:pPr>
            <w:r>
              <w:rPr>
                <w:rFonts w:eastAsia="Calibri"/>
              </w:rPr>
              <w:t>.</w:t>
            </w:r>
            <w:r w:rsidRPr="0070389A">
              <w:rPr>
                <w:rFonts w:eastAsia="Calibri"/>
              </w:rPr>
              <w:t>67**</w:t>
            </w:r>
          </w:p>
          <w:p w14:paraId="1B9825A6" w14:textId="77777777" w:rsidR="00D475C7" w:rsidRDefault="00D475C7" w:rsidP="00522127">
            <w:pPr>
              <w:pStyle w:val="CETBodytext"/>
              <w:ind w:right="-1"/>
              <w:rPr>
                <w:rFonts w:eastAsia="Calibri"/>
              </w:rPr>
            </w:pPr>
          </w:p>
          <w:p w14:paraId="36E91E1B" w14:textId="77777777" w:rsidR="00D475C7" w:rsidRDefault="00D475C7" w:rsidP="00522127">
            <w:pPr>
              <w:pStyle w:val="CETBodytext"/>
              <w:ind w:right="-1"/>
              <w:rPr>
                <w:rFonts w:eastAsia="Calibri"/>
                <w:iCs/>
              </w:rPr>
            </w:pPr>
            <w:r w:rsidRPr="0070389A">
              <w:rPr>
                <w:rFonts w:eastAsia="Calibri"/>
                <w:iCs/>
              </w:rPr>
              <w:t>.32**</w:t>
            </w:r>
          </w:p>
          <w:p w14:paraId="2834D29E" w14:textId="77777777" w:rsidR="00D475C7" w:rsidRDefault="00D475C7" w:rsidP="00522127">
            <w:pPr>
              <w:pStyle w:val="CETBodytext"/>
              <w:ind w:right="-1"/>
              <w:rPr>
                <w:rFonts w:eastAsia="Calibri"/>
                <w:iCs/>
              </w:rPr>
            </w:pPr>
          </w:p>
          <w:p w14:paraId="0D80C4F4" w14:textId="77777777" w:rsidR="00D475C7" w:rsidRDefault="00D475C7" w:rsidP="00522127">
            <w:pPr>
              <w:pStyle w:val="CETBodytext"/>
              <w:ind w:right="-1"/>
              <w:rPr>
                <w:rFonts w:eastAsia="Calibri"/>
              </w:rPr>
            </w:pPr>
            <w:r w:rsidRPr="0070389A">
              <w:rPr>
                <w:rFonts w:eastAsia="Calibri"/>
              </w:rPr>
              <w:t>.29**</w:t>
            </w:r>
          </w:p>
          <w:p w14:paraId="2010780B" w14:textId="77777777" w:rsidR="00D475C7" w:rsidRDefault="00D475C7" w:rsidP="00522127">
            <w:pPr>
              <w:pStyle w:val="CETBodytext"/>
              <w:ind w:right="-1"/>
              <w:rPr>
                <w:rFonts w:eastAsia="Calibri"/>
              </w:rPr>
            </w:pPr>
          </w:p>
          <w:p w14:paraId="32DA08B3" w14:textId="77777777" w:rsidR="00D475C7" w:rsidRDefault="00D475C7" w:rsidP="00522127">
            <w:pPr>
              <w:pStyle w:val="CETBodytext"/>
              <w:ind w:right="-1"/>
              <w:rPr>
                <w:rFonts w:eastAsia="Calibri"/>
              </w:rPr>
            </w:pPr>
            <w:r w:rsidRPr="0070389A">
              <w:rPr>
                <w:rFonts w:eastAsia="Calibri"/>
              </w:rPr>
              <w:t>.26**</w:t>
            </w:r>
          </w:p>
          <w:p w14:paraId="718C9889" w14:textId="77777777" w:rsidR="00D475C7" w:rsidRDefault="00D475C7" w:rsidP="00522127">
            <w:pPr>
              <w:pStyle w:val="CETBodytext"/>
              <w:ind w:right="-1"/>
              <w:rPr>
                <w:rFonts w:eastAsia="Calibri"/>
              </w:rPr>
            </w:pPr>
          </w:p>
          <w:p w14:paraId="39C4B3FC" w14:textId="77777777" w:rsidR="00D475C7" w:rsidRPr="003E0CB5" w:rsidRDefault="00D475C7" w:rsidP="00522127">
            <w:pPr>
              <w:pStyle w:val="CETBodytext"/>
              <w:ind w:right="-1"/>
              <w:rPr>
                <w:rFonts w:eastAsia="Calibri"/>
              </w:rPr>
            </w:pPr>
            <w:r w:rsidRPr="0070389A">
              <w:rPr>
                <w:rFonts w:eastAsia="Calibri"/>
              </w:rPr>
              <w:t>.22**</w:t>
            </w:r>
          </w:p>
          <w:p w14:paraId="4A3999E5" w14:textId="77777777" w:rsidR="00D475C7" w:rsidRDefault="00D475C7" w:rsidP="00522127">
            <w:pPr>
              <w:pStyle w:val="CETBodytext"/>
              <w:ind w:right="-1"/>
              <w:rPr>
                <w:rFonts w:eastAsia="Calibri"/>
                <w:i/>
              </w:rPr>
            </w:pPr>
          </w:p>
          <w:p w14:paraId="1ED1CDBF" w14:textId="77777777" w:rsidR="00D475C7" w:rsidRDefault="00D475C7" w:rsidP="00522127">
            <w:pPr>
              <w:pStyle w:val="CETBodytext"/>
              <w:ind w:right="-1"/>
              <w:rPr>
                <w:rFonts w:eastAsia="Calibri"/>
              </w:rPr>
            </w:pPr>
            <w:r w:rsidRPr="0070389A">
              <w:rPr>
                <w:rFonts w:eastAsia="Calibri"/>
              </w:rPr>
              <w:t>.41**</w:t>
            </w:r>
          </w:p>
          <w:p w14:paraId="71CECCE9" w14:textId="77777777" w:rsidR="00D475C7" w:rsidRDefault="00D475C7" w:rsidP="00522127">
            <w:pPr>
              <w:pStyle w:val="CETBodytext"/>
              <w:ind w:right="-1"/>
              <w:rPr>
                <w:rFonts w:eastAsia="Calibri"/>
                <w:i/>
              </w:rPr>
            </w:pPr>
            <w:r w:rsidRPr="0070389A">
              <w:rPr>
                <w:rFonts w:eastAsia="Calibri"/>
              </w:rPr>
              <w:t>.27**</w:t>
            </w:r>
          </w:p>
          <w:p w14:paraId="2597ED26" w14:textId="77777777" w:rsidR="00D475C7" w:rsidRPr="00B57B36" w:rsidRDefault="00D475C7" w:rsidP="00522127">
            <w:pPr>
              <w:pStyle w:val="CETBodytext"/>
              <w:ind w:right="-1"/>
              <w:rPr>
                <w:rFonts w:cs="Arial"/>
                <w:szCs w:val="18"/>
                <w:lang w:val="en-GB"/>
              </w:rPr>
            </w:pPr>
          </w:p>
        </w:tc>
        <w:tc>
          <w:tcPr>
            <w:tcW w:w="583" w:type="dxa"/>
            <w:tcBorders>
              <w:top w:val="single" w:sz="4" w:space="0" w:color="auto"/>
            </w:tcBorders>
            <w:shd w:val="clear" w:color="auto" w:fill="FFFFFF"/>
          </w:tcPr>
          <w:p w14:paraId="507190DD" w14:textId="77777777" w:rsidR="00D475C7" w:rsidRDefault="00D475C7" w:rsidP="00522127">
            <w:pPr>
              <w:pStyle w:val="CETBodytext"/>
              <w:ind w:right="-1"/>
              <w:rPr>
                <w:rFonts w:cs="Arial"/>
                <w:szCs w:val="18"/>
                <w:lang w:val="en-GB"/>
              </w:rPr>
            </w:pPr>
          </w:p>
          <w:p w14:paraId="2FCF41C2" w14:textId="77777777" w:rsidR="00D475C7" w:rsidRDefault="00D475C7" w:rsidP="00522127">
            <w:pPr>
              <w:pStyle w:val="CETBodytext"/>
              <w:ind w:right="-1"/>
              <w:rPr>
                <w:rFonts w:cs="Arial"/>
                <w:szCs w:val="18"/>
                <w:lang w:val="en-GB"/>
              </w:rPr>
            </w:pPr>
          </w:p>
          <w:p w14:paraId="3D1A704A" w14:textId="77777777" w:rsidR="00D475C7" w:rsidRDefault="00D475C7" w:rsidP="00522127">
            <w:pPr>
              <w:pStyle w:val="CETBodytext"/>
              <w:ind w:right="-1"/>
              <w:rPr>
                <w:rFonts w:eastAsia="Calibri"/>
                <w:i/>
              </w:rPr>
            </w:pPr>
            <w:r w:rsidRPr="0070389A">
              <w:rPr>
                <w:rFonts w:eastAsia="Calibri"/>
                <w:i/>
              </w:rPr>
              <w:t>(.81)</w:t>
            </w:r>
          </w:p>
          <w:p w14:paraId="3A52A54B" w14:textId="77777777" w:rsidR="00D475C7" w:rsidRDefault="00D475C7" w:rsidP="00522127">
            <w:pPr>
              <w:pStyle w:val="CETBodytext"/>
              <w:ind w:right="-1"/>
              <w:rPr>
                <w:i/>
              </w:rPr>
            </w:pPr>
          </w:p>
          <w:p w14:paraId="0F9C02FE" w14:textId="77777777" w:rsidR="00D475C7" w:rsidRDefault="00D475C7" w:rsidP="00522127">
            <w:pPr>
              <w:pStyle w:val="CETBodytext"/>
              <w:ind w:right="-1"/>
              <w:rPr>
                <w:rFonts w:eastAsia="Calibri"/>
                <w:iCs/>
              </w:rPr>
            </w:pPr>
            <w:r>
              <w:rPr>
                <w:rFonts w:eastAsia="Calibri"/>
                <w:iCs/>
              </w:rPr>
              <w:t>.</w:t>
            </w:r>
            <w:r w:rsidRPr="0070389A">
              <w:rPr>
                <w:rFonts w:eastAsia="Calibri"/>
                <w:iCs/>
              </w:rPr>
              <w:t>26**</w:t>
            </w:r>
          </w:p>
          <w:p w14:paraId="6F2B8E75" w14:textId="77777777" w:rsidR="00D475C7" w:rsidRDefault="00D475C7" w:rsidP="00522127">
            <w:pPr>
              <w:pStyle w:val="CETBodytext"/>
              <w:ind w:right="-1"/>
              <w:rPr>
                <w:iCs/>
              </w:rPr>
            </w:pPr>
          </w:p>
          <w:p w14:paraId="75050394" w14:textId="77777777" w:rsidR="00D475C7" w:rsidRDefault="00D475C7" w:rsidP="00522127">
            <w:pPr>
              <w:pStyle w:val="CETBodytext"/>
              <w:ind w:right="-1"/>
              <w:rPr>
                <w:rFonts w:eastAsia="Calibri"/>
              </w:rPr>
            </w:pPr>
            <w:r>
              <w:rPr>
                <w:rFonts w:eastAsia="Calibri"/>
              </w:rPr>
              <w:t>.</w:t>
            </w:r>
            <w:r w:rsidRPr="0070389A">
              <w:rPr>
                <w:rFonts w:eastAsia="Calibri"/>
              </w:rPr>
              <w:t>23**</w:t>
            </w:r>
          </w:p>
          <w:p w14:paraId="5C674651" w14:textId="77777777" w:rsidR="00D475C7" w:rsidRDefault="00D475C7" w:rsidP="00522127">
            <w:pPr>
              <w:pStyle w:val="CETBodytext"/>
              <w:ind w:right="-1"/>
            </w:pPr>
          </w:p>
          <w:p w14:paraId="01016D84" w14:textId="77777777" w:rsidR="00D475C7" w:rsidRDefault="00D475C7" w:rsidP="00522127">
            <w:pPr>
              <w:pStyle w:val="CETBodytext"/>
              <w:ind w:right="-1"/>
              <w:rPr>
                <w:rFonts w:eastAsia="Calibri"/>
              </w:rPr>
            </w:pPr>
            <w:r>
              <w:rPr>
                <w:rFonts w:eastAsia="Calibri"/>
              </w:rPr>
              <w:t>.</w:t>
            </w:r>
            <w:r w:rsidRPr="0070389A">
              <w:rPr>
                <w:rFonts w:eastAsia="Calibri"/>
              </w:rPr>
              <w:t>35**</w:t>
            </w:r>
          </w:p>
          <w:p w14:paraId="2ED31D7F" w14:textId="77777777" w:rsidR="00D475C7" w:rsidRDefault="00D475C7" w:rsidP="00522127">
            <w:pPr>
              <w:pStyle w:val="CETBodytext"/>
              <w:ind w:right="-1"/>
            </w:pPr>
          </w:p>
          <w:p w14:paraId="741F61FC" w14:textId="77777777" w:rsidR="00D475C7" w:rsidRDefault="00D475C7" w:rsidP="00522127">
            <w:pPr>
              <w:pStyle w:val="CETBodytext"/>
              <w:ind w:right="-1"/>
              <w:rPr>
                <w:rFonts w:eastAsia="Calibri"/>
              </w:rPr>
            </w:pPr>
            <w:r>
              <w:rPr>
                <w:rFonts w:eastAsia="Calibri"/>
              </w:rPr>
              <w:t>.</w:t>
            </w:r>
            <w:r w:rsidRPr="0070389A">
              <w:rPr>
                <w:rFonts w:eastAsia="Calibri"/>
              </w:rPr>
              <w:t>25**</w:t>
            </w:r>
          </w:p>
          <w:p w14:paraId="72FEE583" w14:textId="77777777" w:rsidR="00D475C7" w:rsidRDefault="00D475C7" w:rsidP="00522127">
            <w:pPr>
              <w:pStyle w:val="CETBodytext"/>
              <w:ind w:right="-1"/>
            </w:pPr>
          </w:p>
          <w:p w14:paraId="37B7B678" w14:textId="77777777" w:rsidR="00D475C7" w:rsidRDefault="00D475C7" w:rsidP="00522127">
            <w:pPr>
              <w:pStyle w:val="CETBodytext"/>
              <w:ind w:right="-1"/>
              <w:rPr>
                <w:rFonts w:eastAsia="Calibri"/>
              </w:rPr>
            </w:pPr>
            <w:r>
              <w:rPr>
                <w:rFonts w:eastAsia="Calibri"/>
              </w:rPr>
              <w:t>.</w:t>
            </w:r>
            <w:r w:rsidRPr="0070389A">
              <w:rPr>
                <w:rFonts w:eastAsia="Calibri"/>
              </w:rPr>
              <w:t>37**</w:t>
            </w:r>
          </w:p>
          <w:p w14:paraId="1DDFF861" w14:textId="77777777" w:rsidR="00D475C7" w:rsidRPr="00B57B36" w:rsidRDefault="00D475C7" w:rsidP="00522127">
            <w:pPr>
              <w:pStyle w:val="CETBodytext"/>
              <w:ind w:right="-1"/>
              <w:rPr>
                <w:rFonts w:cs="Arial"/>
                <w:szCs w:val="18"/>
                <w:lang w:val="en-GB"/>
              </w:rPr>
            </w:pPr>
            <w:r w:rsidRPr="0070389A">
              <w:rPr>
                <w:rFonts w:eastAsia="Calibri"/>
              </w:rPr>
              <w:t>.34**</w:t>
            </w:r>
          </w:p>
        </w:tc>
        <w:tc>
          <w:tcPr>
            <w:tcW w:w="695" w:type="dxa"/>
            <w:tcBorders>
              <w:top w:val="single" w:sz="4" w:space="0" w:color="auto"/>
            </w:tcBorders>
          </w:tcPr>
          <w:p w14:paraId="34487276" w14:textId="77777777" w:rsidR="00D475C7" w:rsidRDefault="00D475C7" w:rsidP="00522127">
            <w:pPr>
              <w:pStyle w:val="CETBodytext"/>
              <w:ind w:right="-1"/>
              <w:rPr>
                <w:rFonts w:cs="Arial"/>
                <w:szCs w:val="18"/>
                <w:lang w:val="en-GB"/>
              </w:rPr>
            </w:pPr>
          </w:p>
          <w:p w14:paraId="5A5BEECF" w14:textId="77777777" w:rsidR="00D475C7" w:rsidRDefault="00D475C7" w:rsidP="00522127">
            <w:pPr>
              <w:pStyle w:val="CETBodytext"/>
              <w:ind w:right="-1"/>
              <w:rPr>
                <w:rFonts w:cs="Arial"/>
                <w:szCs w:val="18"/>
                <w:lang w:val="en-GB"/>
              </w:rPr>
            </w:pPr>
          </w:p>
          <w:p w14:paraId="13E56227" w14:textId="77777777" w:rsidR="00D475C7" w:rsidRDefault="00D475C7" w:rsidP="00522127">
            <w:pPr>
              <w:pStyle w:val="CETBodytext"/>
              <w:ind w:right="-1"/>
              <w:rPr>
                <w:rFonts w:cs="Arial"/>
                <w:szCs w:val="18"/>
                <w:lang w:val="en-GB"/>
              </w:rPr>
            </w:pPr>
          </w:p>
          <w:p w14:paraId="61F33BAC" w14:textId="77777777" w:rsidR="00D475C7" w:rsidRDefault="00D475C7" w:rsidP="00522127">
            <w:pPr>
              <w:pStyle w:val="CETBodytext"/>
              <w:ind w:right="-1"/>
              <w:rPr>
                <w:rFonts w:cs="Arial"/>
                <w:szCs w:val="18"/>
                <w:lang w:val="en-GB"/>
              </w:rPr>
            </w:pPr>
          </w:p>
          <w:p w14:paraId="4B451697" w14:textId="77777777" w:rsidR="00D475C7" w:rsidRDefault="00D475C7" w:rsidP="00522127">
            <w:pPr>
              <w:pStyle w:val="CETBodytext"/>
              <w:ind w:right="-1"/>
              <w:rPr>
                <w:rFonts w:eastAsia="Calibri"/>
                <w:i/>
              </w:rPr>
            </w:pPr>
            <w:r w:rsidRPr="0070389A">
              <w:rPr>
                <w:rFonts w:eastAsia="Calibri"/>
                <w:i/>
              </w:rPr>
              <w:t>(.85)</w:t>
            </w:r>
          </w:p>
          <w:p w14:paraId="34808848" w14:textId="77777777" w:rsidR="00D475C7" w:rsidRDefault="00D475C7" w:rsidP="00522127">
            <w:pPr>
              <w:pStyle w:val="CETBodytext"/>
              <w:ind w:right="-1"/>
              <w:rPr>
                <w:i/>
              </w:rPr>
            </w:pPr>
          </w:p>
          <w:p w14:paraId="41F8FB70" w14:textId="77777777" w:rsidR="00D475C7" w:rsidRDefault="00D475C7" w:rsidP="00522127">
            <w:pPr>
              <w:pStyle w:val="CETBodytext"/>
              <w:ind w:right="-1"/>
              <w:rPr>
                <w:rFonts w:eastAsia="Calibri"/>
              </w:rPr>
            </w:pPr>
            <w:r w:rsidRPr="0070389A">
              <w:rPr>
                <w:rFonts w:eastAsia="Calibri"/>
              </w:rPr>
              <w:t>.71**</w:t>
            </w:r>
          </w:p>
          <w:p w14:paraId="07D2C3E5" w14:textId="77777777" w:rsidR="00D475C7" w:rsidRDefault="00D475C7" w:rsidP="00522127">
            <w:pPr>
              <w:pStyle w:val="CETBodytext"/>
              <w:ind w:right="-1"/>
            </w:pPr>
          </w:p>
          <w:p w14:paraId="3BB1D141" w14:textId="77777777" w:rsidR="00D475C7" w:rsidRDefault="00D475C7" w:rsidP="00522127">
            <w:pPr>
              <w:pStyle w:val="CETBodytext"/>
              <w:ind w:right="-1"/>
              <w:rPr>
                <w:rFonts w:eastAsia="Calibri"/>
              </w:rPr>
            </w:pPr>
            <w:r w:rsidRPr="0070389A">
              <w:rPr>
                <w:rFonts w:eastAsia="Calibri"/>
              </w:rPr>
              <w:t>.59**</w:t>
            </w:r>
          </w:p>
          <w:p w14:paraId="2FB572C5" w14:textId="77777777" w:rsidR="00D475C7" w:rsidRDefault="00D475C7" w:rsidP="00522127">
            <w:pPr>
              <w:pStyle w:val="CETBodytext"/>
              <w:ind w:right="-1"/>
            </w:pPr>
          </w:p>
          <w:p w14:paraId="5F00C655" w14:textId="77777777" w:rsidR="00D475C7" w:rsidRDefault="00D475C7" w:rsidP="00522127">
            <w:pPr>
              <w:pStyle w:val="CETBodytext"/>
              <w:ind w:right="-1"/>
              <w:rPr>
                <w:rFonts w:eastAsia="Calibri"/>
              </w:rPr>
            </w:pPr>
            <w:r w:rsidRPr="0070389A">
              <w:rPr>
                <w:rFonts w:eastAsia="Calibri"/>
              </w:rPr>
              <w:t>.34**</w:t>
            </w:r>
          </w:p>
          <w:p w14:paraId="3BC591C2" w14:textId="77777777" w:rsidR="00D475C7" w:rsidRDefault="00D475C7" w:rsidP="00522127">
            <w:pPr>
              <w:pStyle w:val="CETBodytext"/>
              <w:ind w:right="-1"/>
            </w:pPr>
          </w:p>
          <w:p w14:paraId="25758204" w14:textId="77777777" w:rsidR="00D475C7" w:rsidRDefault="00D475C7" w:rsidP="00522127">
            <w:pPr>
              <w:pStyle w:val="CETBodytext"/>
              <w:ind w:right="-1"/>
              <w:rPr>
                <w:rFonts w:eastAsia="Calibri"/>
              </w:rPr>
            </w:pPr>
            <w:r w:rsidRPr="0070389A">
              <w:rPr>
                <w:rFonts w:eastAsia="Calibri"/>
              </w:rPr>
              <w:t>.43**</w:t>
            </w:r>
          </w:p>
          <w:p w14:paraId="28099252" w14:textId="77777777" w:rsidR="00D475C7" w:rsidRPr="00B57B36" w:rsidRDefault="00D475C7" w:rsidP="00522127">
            <w:pPr>
              <w:pStyle w:val="CETBodytext"/>
              <w:ind w:right="-1"/>
              <w:rPr>
                <w:rFonts w:cs="Arial"/>
                <w:szCs w:val="18"/>
                <w:lang w:val="en-GB"/>
              </w:rPr>
            </w:pPr>
            <w:r w:rsidRPr="0070389A">
              <w:rPr>
                <w:rFonts w:eastAsia="Calibri"/>
              </w:rPr>
              <w:t>.50**</w:t>
            </w:r>
          </w:p>
        </w:tc>
        <w:tc>
          <w:tcPr>
            <w:tcW w:w="695" w:type="dxa"/>
            <w:tcBorders>
              <w:top w:val="single" w:sz="4" w:space="0" w:color="auto"/>
            </w:tcBorders>
          </w:tcPr>
          <w:p w14:paraId="123F167A" w14:textId="77777777" w:rsidR="00D475C7" w:rsidRDefault="00D475C7" w:rsidP="00522127">
            <w:pPr>
              <w:pStyle w:val="CETBodytext"/>
              <w:ind w:right="-1"/>
              <w:rPr>
                <w:rFonts w:cs="Arial"/>
                <w:szCs w:val="18"/>
                <w:lang w:val="en-GB"/>
              </w:rPr>
            </w:pPr>
          </w:p>
          <w:p w14:paraId="194E1320" w14:textId="77777777" w:rsidR="00D475C7" w:rsidRDefault="00D475C7" w:rsidP="00522127">
            <w:pPr>
              <w:pStyle w:val="CETBodytext"/>
              <w:ind w:right="-1"/>
              <w:rPr>
                <w:rFonts w:cs="Arial"/>
                <w:szCs w:val="18"/>
                <w:lang w:val="en-GB"/>
              </w:rPr>
            </w:pPr>
          </w:p>
          <w:p w14:paraId="63406D11" w14:textId="77777777" w:rsidR="00D475C7" w:rsidRDefault="00D475C7" w:rsidP="00522127">
            <w:pPr>
              <w:pStyle w:val="CETBodytext"/>
              <w:ind w:right="-1"/>
              <w:rPr>
                <w:rFonts w:cs="Arial"/>
                <w:szCs w:val="18"/>
                <w:lang w:val="en-GB"/>
              </w:rPr>
            </w:pPr>
          </w:p>
          <w:p w14:paraId="39A51917" w14:textId="77777777" w:rsidR="00D475C7" w:rsidRDefault="00D475C7" w:rsidP="00522127">
            <w:pPr>
              <w:pStyle w:val="CETBodytext"/>
              <w:ind w:right="-1"/>
              <w:rPr>
                <w:rFonts w:cs="Arial"/>
                <w:szCs w:val="18"/>
                <w:lang w:val="en-GB"/>
              </w:rPr>
            </w:pPr>
          </w:p>
          <w:p w14:paraId="0DC0611F" w14:textId="77777777" w:rsidR="00D475C7" w:rsidRDefault="00D475C7" w:rsidP="00522127">
            <w:pPr>
              <w:pStyle w:val="CETBodytext"/>
              <w:ind w:right="-1"/>
              <w:rPr>
                <w:rFonts w:cs="Arial"/>
                <w:szCs w:val="18"/>
                <w:lang w:val="en-GB"/>
              </w:rPr>
            </w:pPr>
          </w:p>
          <w:p w14:paraId="285AACF8" w14:textId="77777777" w:rsidR="00D475C7" w:rsidRDefault="00D475C7" w:rsidP="00522127">
            <w:pPr>
              <w:pStyle w:val="CETBodytext"/>
              <w:ind w:right="-1"/>
              <w:rPr>
                <w:rFonts w:cs="Arial"/>
                <w:szCs w:val="18"/>
                <w:lang w:val="en-GB"/>
              </w:rPr>
            </w:pPr>
          </w:p>
          <w:p w14:paraId="39AA5D3E" w14:textId="77777777" w:rsidR="00D475C7" w:rsidRDefault="00D475C7" w:rsidP="00522127">
            <w:pPr>
              <w:pStyle w:val="CETBodytext"/>
              <w:ind w:right="-1"/>
              <w:rPr>
                <w:rFonts w:eastAsia="Calibri"/>
                <w:i/>
              </w:rPr>
            </w:pPr>
            <w:r w:rsidRPr="0070389A">
              <w:rPr>
                <w:rFonts w:eastAsia="Calibri"/>
                <w:i/>
              </w:rPr>
              <w:t>(.83)</w:t>
            </w:r>
          </w:p>
          <w:p w14:paraId="57C7E15F" w14:textId="77777777" w:rsidR="00D475C7" w:rsidRDefault="00D475C7" w:rsidP="00522127">
            <w:pPr>
              <w:pStyle w:val="CETBodytext"/>
              <w:ind w:right="-1"/>
              <w:rPr>
                <w:rFonts w:eastAsia="Calibri"/>
                <w:i/>
              </w:rPr>
            </w:pPr>
          </w:p>
          <w:p w14:paraId="2A1DEF27" w14:textId="77777777" w:rsidR="00D475C7" w:rsidRDefault="00D475C7" w:rsidP="00522127">
            <w:pPr>
              <w:pStyle w:val="CETBodytext"/>
              <w:ind w:right="-1"/>
              <w:rPr>
                <w:rFonts w:eastAsia="Calibri"/>
              </w:rPr>
            </w:pPr>
            <w:r w:rsidRPr="0070389A">
              <w:rPr>
                <w:rFonts w:eastAsia="Calibri"/>
              </w:rPr>
              <w:t>.63**</w:t>
            </w:r>
          </w:p>
          <w:p w14:paraId="596C6563" w14:textId="77777777" w:rsidR="00D475C7" w:rsidRDefault="00D475C7" w:rsidP="00522127">
            <w:pPr>
              <w:pStyle w:val="CETBodytext"/>
              <w:ind w:right="-1"/>
              <w:rPr>
                <w:rFonts w:eastAsia="Calibri"/>
              </w:rPr>
            </w:pPr>
          </w:p>
          <w:p w14:paraId="2E7A65FA" w14:textId="77777777" w:rsidR="00D475C7" w:rsidRDefault="00D475C7" w:rsidP="00522127">
            <w:pPr>
              <w:pStyle w:val="CETBodytext"/>
              <w:ind w:right="-1"/>
              <w:rPr>
                <w:rFonts w:eastAsia="Calibri"/>
              </w:rPr>
            </w:pPr>
            <w:r>
              <w:rPr>
                <w:rFonts w:eastAsia="Calibri"/>
              </w:rPr>
              <w:t>.</w:t>
            </w:r>
            <w:r w:rsidRPr="0070389A">
              <w:rPr>
                <w:rFonts w:eastAsia="Calibri"/>
              </w:rPr>
              <w:t>28**</w:t>
            </w:r>
          </w:p>
          <w:p w14:paraId="28A6E796" w14:textId="77777777" w:rsidR="00D475C7" w:rsidRDefault="00D475C7" w:rsidP="00522127">
            <w:pPr>
              <w:pStyle w:val="CETBodytext"/>
              <w:ind w:right="-1"/>
            </w:pPr>
          </w:p>
          <w:p w14:paraId="260F2F13" w14:textId="77777777" w:rsidR="00D475C7" w:rsidRDefault="00D475C7" w:rsidP="00522127">
            <w:pPr>
              <w:pStyle w:val="CETBodytext"/>
              <w:ind w:right="-1"/>
              <w:rPr>
                <w:rFonts w:eastAsia="Calibri"/>
              </w:rPr>
            </w:pPr>
            <w:r w:rsidRPr="0070389A">
              <w:rPr>
                <w:rFonts w:eastAsia="Calibri"/>
              </w:rPr>
              <w:t>.53**</w:t>
            </w:r>
          </w:p>
          <w:p w14:paraId="2F8DAD9E" w14:textId="77777777" w:rsidR="00D475C7" w:rsidRPr="00B57B36" w:rsidRDefault="00D475C7" w:rsidP="00522127">
            <w:pPr>
              <w:pStyle w:val="CETBodytext"/>
              <w:ind w:right="-1"/>
              <w:rPr>
                <w:rFonts w:cs="Arial"/>
                <w:szCs w:val="18"/>
                <w:lang w:val="en-GB"/>
              </w:rPr>
            </w:pPr>
            <w:r w:rsidRPr="0070389A">
              <w:rPr>
                <w:rFonts w:eastAsia="Calibri"/>
              </w:rPr>
              <w:t>.38**</w:t>
            </w:r>
          </w:p>
        </w:tc>
        <w:tc>
          <w:tcPr>
            <w:tcW w:w="694" w:type="dxa"/>
            <w:tcBorders>
              <w:top w:val="single" w:sz="4" w:space="0" w:color="auto"/>
            </w:tcBorders>
          </w:tcPr>
          <w:p w14:paraId="694A4556" w14:textId="77777777" w:rsidR="00D475C7" w:rsidRDefault="00D475C7" w:rsidP="00522127">
            <w:pPr>
              <w:pStyle w:val="CETBodytext"/>
              <w:ind w:right="-1"/>
              <w:rPr>
                <w:rFonts w:cs="Arial"/>
                <w:szCs w:val="18"/>
                <w:lang w:val="en-GB"/>
              </w:rPr>
            </w:pPr>
          </w:p>
          <w:p w14:paraId="6152E442" w14:textId="77777777" w:rsidR="00D475C7" w:rsidRDefault="00D475C7" w:rsidP="00522127">
            <w:pPr>
              <w:pStyle w:val="CETBodytext"/>
              <w:ind w:right="-1"/>
              <w:rPr>
                <w:rFonts w:cs="Arial"/>
                <w:szCs w:val="18"/>
                <w:lang w:val="en-GB"/>
              </w:rPr>
            </w:pPr>
          </w:p>
          <w:p w14:paraId="440BA705" w14:textId="77777777" w:rsidR="00D475C7" w:rsidRDefault="00D475C7" w:rsidP="00522127">
            <w:pPr>
              <w:pStyle w:val="CETBodytext"/>
              <w:ind w:right="-1"/>
              <w:rPr>
                <w:rFonts w:cs="Arial"/>
                <w:szCs w:val="18"/>
                <w:lang w:val="en-GB"/>
              </w:rPr>
            </w:pPr>
          </w:p>
          <w:p w14:paraId="0E134C00" w14:textId="77777777" w:rsidR="00D475C7" w:rsidRDefault="00D475C7" w:rsidP="00522127">
            <w:pPr>
              <w:pStyle w:val="CETBodytext"/>
              <w:ind w:right="-1"/>
              <w:rPr>
                <w:rFonts w:cs="Arial"/>
                <w:szCs w:val="18"/>
                <w:lang w:val="en-GB"/>
              </w:rPr>
            </w:pPr>
          </w:p>
          <w:p w14:paraId="15576608" w14:textId="77777777" w:rsidR="00D475C7" w:rsidRDefault="00D475C7" w:rsidP="00522127">
            <w:pPr>
              <w:pStyle w:val="CETBodytext"/>
              <w:ind w:right="-1"/>
              <w:rPr>
                <w:rFonts w:cs="Arial"/>
                <w:szCs w:val="18"/>
                <w:lang w:val="en-GB"/>
              </w:rPr>
            </w:pPr>
          </w:p>
          <w:p w14:paraId="54F20610" w14:textId="77777777" w:rsidR="00D475C7" w:rsidRDefault="00D475C7" w:rsidP="00522127">
            <w:pPr>
              <w:pStyle w:val="CETBodytext"/>
              <w:ind w:right="-1"/>
              <w:rPr>
                <w:rFonts w:cs="Arial"/>
                <w:szCs w:val="18"/>
                <w:lang w:val="en-GB"/>
              </w:rPr>
            </w:pPr>
          </w:p>
          <w:p w14:paraId="63DF86C0" w14:textId="77777777" w:rsidR="00D475C7" w:rsidRDefault="00D475C7" w:rsidP="00522127">
            <w:pPr>
              <w:pStyle w:val="CETBodytext"/>
              <w:ind w:right="-1"/>
              <w:rPr>
                <w:rFonts w:cs="Arial"/>
                <w:szCs w:val="18"/>
                <w:lang w:val="en-GB"/>
              </w:rPr>
            </w:pPr>
          </w:p>
          <w:p w14:paraId="11416605" w14:textId="77777777" w:rsidR="00D475C7" w:rsidRDefault="00D475C7" w:rsidP="00522127">
            <w:pPr>
              <w:pStyle w:val="CETBodytext"/>
              <w:ind w:right="-1"/>
              <w:rPr>
                <w:rFonts w:cs="Arial"/>
                <w:szCs w:val="18"/>
                <w:lang w:val="en-GB"/>
              </w:rPr>
            </w:pPr>
          </w:p>
          <w:p w14:paraId="14F3815F" w14:textId="77777777" w:rsidR="00D475C7" w:rsidRDefault="00D475C7" w:rsidP="00522127">
            <w:pPr>
              <w:pStyle w:val="CETBodytext"/>
              <w:ind w:right="-1"/>
              <w:rPr>
                <w:rFonts w:eastAsia="Calibri"/>
                <w:i/>
              </w:rPr>
            </w:pPr>
            <w:r w:rsidRPr="0070389A">
              <w:rPr>
                <w:rFonts w:eastAsia="Calibri"/>
                <w:i/>
              </w:rPr>
              <w:t>(.8</w:t>
            </w:r>
            <w:r>
              <w:rPr>
                <w:rFonts w:eastAsia="Calibri"/>
                <w:i/>
              </w:rPr>
              <w:t>1</w:t>
            </w:r>
            <w:r w:rsidRPr="0070389A">
              <w:rPr>
                <w:rFonts w:eastAsia="Calibri"/>
                <w:i/>
              </w:rPr>
              <w:t>)</w:t>
            </w:r>
          </w:p>
          <w:p w14:paraId="5CB6CBCA" w14:textId="77777777" w:rsidR="00D475C7" w:rsidRDefault="00D475C7" w:rsidP="00522127">
            <w:pPr>
              <w:pStyle w:val="CETBodytext"/>
              <w:ind w:right="-1"/>
              <w:rPr>
                <w:rFonts w:eastAsia="Calibri"/>
                <w:i/>
              </w:rPr>
            </w:pPr>
          </w:p>
          <w:p w14:paraId="6BB4D9A6" w14:textId="77777777" w:rsidR="00D475C7" w:rsidRDefault="00D475C7" w:rsidP="00522127">
            <w:pPr>
              <w:pStyle w:val="CETBodytext"/>
              <w:ind w:right="-1"/>
              <w:rPr>
                <w:rFonts w:eastAsia="Calibri"/>
                <w:iCs/>
              </w:rPr>
            </w:pPr>
            <w:r w:rsidRPr="0070389A">
              <w:rPr>
                <w:rFonts w:eastAsia="Calibri"/>
                <w:iCs/>
              </w:rPr>
              <w:t>.42**</w:t>
            </w:r>
          </w:p>
          <w:p w14:paraId="140EAA45" w14:textId="77777777" w:rsidR="00D475C7" w:rsidRDefault="00D475C7" w:rsidP="00522127">
            <w:pPr>
              <w:pStyle w:val="CETBodytext"/>
              <w:ind w:right="-1"/>
              <w:rPr>
                <w:rFonts w:eastAsia="Calibri"/>
                <w:iCs/>
              </w:rPr>
            </w:pPr>
          </w:p>
          <w:p w14:paraId="11A6E160" w14:textId="77777777" w:rsidR="00D475C7" w:rsidRDefault="00D475C7" w:rsidP="00522127">
            <w:pPr>
              <w:pStyle w:val="CETBodytext"/>
              <w:ind w:right="-1"/>
              <w:rPr>
                <w:rFonts w:eastAsia="Calibri"/>
                <w:iCs/>
              </w:rPr>
            </w:pPr>
            <w:r>
              <w:rPr>
                <w:rFonts w:eastAsia="Calibri"/>
                <w:iCs/>
              </w:rPr>
              <w:t>.</w:t>
            </w:r>
            <w:r w:rsidRPr="0070389A">
              <w:rPr>
                <w:rFonts w:eastAsia="Calibri"/>
                <w:iCs/>
              </w:rPr>
              <w:t>49**</w:t>
            </w:r>
          </w:p>
          <w:p w14:paraId="4A20DE37" w14:textId="77777777" w:rsidR="00D475C7" w:rsidRPr="00B57B36" w:rsidRDefault="00D475C7" w:rsidP="00522127">
            <w:pPr>
              <w:pStyle w:val="CETBodytext"/>
              <w:ind w:right="-1"/>
              <w:rPr>
                <w:rFonts w:cs="Arial"/>
                <w:szCs w:val="18"/>
                <w:lang w:val="en-GB"/>
              </w:rPr>
            </w:pPr>
            <w:r w:rsidRPr="0070389A">
              <w:rPr>
                <w:rFonts w:eastAsia="Calibri"/>
                <w:iCs/>
              </w:rPr>
              <w:t>.46**</w:t>
            </w:r>
          </w:p>
        </w:tc>
        <w:tc>
          <w:tcPr>
            <w:tcW w:w="686" w:type="dxa"/>
            <w:tcBorders>
              <w:top w:val="single" w:sz="4" w:space="0" w:color="auto"/>
            </w:tcBorders>
          </w:tcPr>
          <w:p w14:paraId="69F9C29D" w14:textId="77777777" w:rsidR="00D475C7" w:rsidRDefault="00D475C7" w:rsidP="00522127">
            <w:pPr>
              <w:pStyle w:val="CETBodytext"/>
              <w:ind w:right="-1"/>
              <w:rPr>
                <w:rFonts w:cs="Arial"/>
                <w:szCs w:val="18"/>
                <w:lang w:val="en-GB"/>
              </w:rPr>
            </w:pPr>
          </w:p>
          <w:p w14:paraId="2DABEAAF" w14:textId="77777777" w:rsidR="00D475C7" w:rsidRDefault="00D475C7" w:rsidP="00522127">
            <w:pPr>
              <w:pStyle w:val="CETBodytext"/>
              <w:ind w:right="-1"/>
              <w:rPr>
                <w:rFonts w:cs="Arial"/>
                <w:szCs w:val="18"/>
                <w:lang w:val="en-GB"/>
              </w:rPr>
            </w:pPr>
          </w:p>
          <w:p w14:paraId="375719C3" w14:textId="77777777" w:rsidR="00D475C7" w:rsidRDefault="00D475C7" w:rsidP="00522127">
            <w:pPr>
              <w:pStyle w:val="CETBodytext"/>
              <w:ind w:right="-1"/>
              <w:rPr>
                <w:rFonts w:cs="Arial"/>
                <w:szCs w:val="18"/>
                <w:lang w:val="en-GB"/>
              </w:rPr>
            </w:pPr>
          </w:p>
          <w:p w14:paraId="23840DAE" w14:textId="77777777" w:rsidR="00D475C7" w:rsidRDefault="00D475C7" w:rsidP="00522127">
            <w:pPr>
              <w:pStyle w:val="CETBodytext"/>
              <w:ind w:right="-1"/>
              <w:rPr>
                <w:rFonts w:cs="Arial"/>
                <w:szCs w:val="18"/>
                <w:lang w:val="en-GB"/>
              </w:rPr>
            </w:pPr>
          </w:p>
          <w:p w14:paraId="1C0D9CC3" w14:textId="77777777" w:rsidR="00D475C7" w:rsidRDefault="00D475C7" w:rsidP="00522127">
            <w:pPr>
              <w:pStyle w:val="CETBodytext"/>
              <w:ind w:right="-1"/>
              <w:rPr>
                <w:rFonts w:cs="Arial"/>
                <w:szCs w:val="18"/>
                <w:lang w:val="en-GB"/>
              </w:rPr>
            </w:pPr>
          </w:p>
          <w:p w14:paraId="5143A26E" w14:textId="77777777" w:rsidR="00D475C7" w:rsidRDefault="00D475C7" w:rsidP="00522127">
            <w:pPr>
              <w:pStyle w:val="CETBodytext"/>
              <w:ind w:right="-1"/>
              <w:rPr>
                <w:rFonts w:cs="Arial"/>
                <w:szCs w:val="18"/>
                <w:lang w:val="en-GB"/>
              </w:rPr>
            </w:pPr>
          </w:p>
          <w:p w14:paraId="2ABB3BA4" w14:textId="77777777" w:rsidR="00D475C7" w:rsidRDefault="00D475C7" w:rsidP="00522127">
            <w:pPr>
              <w:pStyle w:val="CETBodytext"/>
              <w:ind w:right="-1"/>
              <w:rPr>
                <w:rFonts w:cs="Arial"/>
                <w:szCs w:val="18"/>
                <w:lang w:val="en-GB"/>
              </w:rPr>
            </w:pPr>
          </w:p>
          <w:p w14:paraId="6BEBC8B5" w14:textId="77777777" w:rsidR="00D475C7" w:rsidRDefault="00D475C7" w:rsidP="00522127">
            <w:pPr>
              <w:pStyle w:val="CETBodytext"/>
              <w:ind w:right="-1"/>
              <w:rPr>
                <w:rFonts w:cs="Arial"/>
                <w:szCs w:val="18"/>
                <w:lang w:val="en-GB"/>
              </w:rPr>
            </w:pPr>
          </w:p>
          <w:p w14:paraId="4F7FC88E" w14:textId="77777777" w:rsidR="00D475C7" w:rsidRDefault="00D475C7" w:rsidP="00522127">
            <w:pPr>
              <w:pStyle w:val="CETBodytext"/>
              <w:ind w:right="-1"/>
              <w:rPr>
                <w:rFonts w:cs="Arial"/>
                <w:szCs w:val="18"/>
                <w:lang w:val="en-GB"/>
              </w:rPr>
            </w:pPr>
          </w:p>
          <w:p w14:paraId="743DD2B7" w14:textId="77777777" w:rsidR="00D475C7" w:rsidRDefault="00D475C7" w:rsidP="00522127">
            <w:pPr>
              <w:pStyle w:val="CETBodytext"/>
              <w:ind w:right="-1"/>
              <w:rPr>
                <w:rFonts w:cs="Arial"/>
                <w:szCs w:val="18"/>
                <w:lang w:val="en-GB"/>
              </w:rPr>
            </w:pPr>
          </w:p>
          <w:p w14:paraId="02C99C3D" w14:textId="77777777" w:rsidR="00D475C7" w:rsidRDefault="00D475C7" w:rsidP="00522127">
            <w:pPr>
              <w:pStyle w:val="CETBodytext"/>
              <w:ind w:right="-1"/>
              <w:rPr>
                <w:rFonts w:eastAsia="Calibri"/>
                <w:i/>
              </w:rPr>
            </w:pPr>
            <w:r w:rsidRPr="0070389A">
              <w:rPr>
                <w:rFonts w:eastAsia="Calibri"/>
                <w:i/>
              </w:rPr>
              <w:t>(.79)</w:t>
            </w:r>
          </w:p>
          <w:p w14:paraId="0B7B770D" w14:textId="77777777" w:rsidR="00D475C7" w:rsidRDefault="00D475C7" w:rsidP="00522127">
            <w:pPr>
              <w:pStyle w:val="CETBodytext"/>
              <w:ind w:right="-1"/>
              <w:rPr>
                <w:rFonts w:eastAsia="Calibri"/>
                <w:i/>
              </w:rPr>
            </w:pPr>
          </w:p>
          <w:p w14:paraId="1A92EB9E" w14:textId="77777777" w:rsidR="00D475C7" w:rsidRDefault="00D475C7" w:rsidP="00522127">
            <w:pPr>
              <w:pStyle w:val="CETBodytext"/>
              <w:ind w:right="-1"/>
              <w:rPr>
                <w:rFonts w:eastAsia="Calibri"/>
              </w:rPr>
            </w:pPr>
            <w:r>
              <w:rPr>
                <w:rFonts w:eastAsia="Calibri"/>
              </w:rPr>
              <w:t>.</w:t>
            </w:r>
            <w:r w:rsidRPr="0070389A">
              <w:rPr>
                <w:rFonts w:eastAsia="Calibri"/>
              </w:rPr>
              <w:t>33**</w:t>
            </w:r>
          </w:p>
          <w:p w14:paraId="1165D838" w14:textId="77777777" w:rsidR="00D475C7" w:rsidRPr="00B57B36" w:rsidRDefault="00D475C7" w:rsidP="00522127">
            <w:pPr>
              <w:pStyle w:val="CETBodytext"/>
              <w:ind w:right="-1"/>
              <w:rPr>
                <w:rFonts w:cs="Arial"/>
                <w:szCs w:val="18"/>
                <w:lang w:val="en-GB"/>
              </w:rPr>
            </w:pPr>
            <w:r>
              <w:rPr>
                <w:rFonts w:eastAsia="Calibri"/>
              </w:rPr>
              <w:t>.</w:t>
            </w:r>
            <w:r w:rsidRPr="0070389A">
              <w:rPr>
                <w:rFonts w:eastAsia="Calibri"/>
              </w:rPr>
              <w:t>42**</w:t>
            </w:r>
          </w:p>
        </w:tc>
        <w:tc>
          <w:tcPr>
            <w:tcW w:w="678" w:type="dxa"/>
            <w:tcBorders>
              <w:top w:val="single" w:sz="4" w:space="0" w:color="auto"/>
            </w:tcBorders>
          </w:tcPr>
          <w:p w14:paraId="0B24A00C" w14:textId="77777777" w:rsidR="00D475C7" w:rsidRDefault="00D475C7" w:rsidP="00522127">
            <w:pPr>
              <w:pStyle w:val="CETBodytext"/>
              <w:ind w:right="-1"/>
              <w:rPr>
                <w:rFonts w:cs="Arial"/>
                <w:szCs w:val="18"/>
                <w:lang w:val="en-GB"/>
              </w:rPr>
            </w:pPr>
          </w:p>
          <w:p w14:paraId="171C90F7" w14:textId="77777777" w:rsidR="00D475C7" w:rsidRDefault="00D475C7" w:rsidP="00522127">
            <w:pPr>
              <w:pStyle w:val="CETBodytext"/>
              <w:ind w:right="-1"/>
              <w:rPr>
                <w:rFonts w:cs="Arial"/>
                <w:szCs w:val="18"/>
                <w:lang w:val="en-GB"/>
              </w:rPr>
            </w:pPr>
          </w:p>
          <w:p w14:paraId="3DF21016" w14:textId="77777777" w:rsidR="00D475C7" w:rsidRDefault="00D475C7" w:rsidP="00522127">
            <w:pPr>
              <w:pStyle w:val="CETBodytext"/>
              <w:ind w:right="-1"/>
              <w:rPr>
                <w:rFonts w:cs="Arial"/>
                <w:szCs w:val="18"/>
                <w:lang w:val="en-GB"/>
              </w:rPr>
            </w:pPr>
          </w:p>
          <w:p w14:paraId="0A5FEE9B" w14:textId="77777777" w:rsidR="00D475C7" w:rsidRDefault="00D475C7" w:rsidP="00522127">
            <w:pPr>
              <w:pStyle w:val="CETBodytext"/>
              <w:ind w:right="-1"/>
              <w:rPr>
                <w:rFonts w:cs="Arial"/>
                <w:szCs w:val="18"/>
                <w:lang w:val="en-GB"/>
              </w:rPr>
            </w:pPr>
          </w:p>
          <w:p w14:paraId="1D515A92" w14:textId="77777777" w:rsidR="00D475C7" w:rsidRDefault="00D475C7" w:rsidP="00522127">
            <w:pPr>
              <w:pStyle w:val="CETBodytext"/>
              <w:ind w:right="-1"/>
              <w:rPr>
                <w:rFonts w:cs="Arial"/>
                <w:szCs w:val="18"/>
                <w:lang w:val="en-GB"/>
              </w:rPr>
            </w:pPr>
          </w:p>
          <w:p w14:paraId="550C5799" w14:textId="77777777" w:rsidR="00D475C7" w:rsidRDefault="00D475C7" w:rsidP="00522127">
            <w:pPr>
              <w:pStyle w:val="CETBodytext"/>
              <w:ind w:right="-1"/>
              <w:rPr>
                <w:rFonts w:cs="Arial"/>
                <w:szCs w:val="18"/>
                <w:lang w:val="en-GB"/>
              </w:rPr>
            </w:pPr>
          </w:p>
          <w:p w14:paraId="55896A23" w14:textId="77777777" w:rsidR="00D475C7" w:rsidRDefault="00D475C7" w:rsidP="00522127">
            <w:pPr>
              <w:pStyle w:val="CETBodytext"/>
              <w:ind w:right="-1"/>
              <w:rPr>
                <w:rFonts w:cs="Arial"/>
                <w:szCs w:val="18"/>
                <w:lang w:val="en-GB"/>
              </w:rPr>
            </w:pPr>
          </w:p>
          <w:p w14:paraId="13B9AD97" w14:textId="77777777" w:rsidR="00D475C7" w:rsidRDefault="00D475C7" w:rsidP="00522127">
            <w:pPr>
              <w:pStyle w:val="CETBodytext"/>
              <w:ind w:right="-1"/>
              <w:rPr>
                <w:rFonts w:cs="Arial"/>
                <w:szCs w:val="18"/>
                <w:lang w:val="en-GB"/>
              </w:rPr>
            </w:pPr>
          </w:p>
          <w:p w14:paraId="55452A68" w14:textId="77777777" w:rsidR="00D475C7" w:rsidRDefault="00D475C7" w:rsidP="00522127">
            <w:pPr>
              <w:pStyle w:val="CETBodytext"/>
              <w:ind w:right="-1"/>
              <w:rPr>
                <w:rFonts w:cs="Arial"/>
                <w:szCs w:val="18"/>
                <w:lang w:val="en-GB"/>
              </w:rPr>
            </w:pPr>
          </w:p>
          <w:p w14:paraId="5978CC98" w14:textId="77777777" w:rsidR="00D475C7" w:rsidRDefault="00D475C7" w:rsidP="00522127">
            <w:pPr>
              <w:pStyle w:val="CETBodytext"/>
              <w:ind w:right="-1"/>
              <w:rPr>
                <w:rFonts w:cs="Arial"/>
                <w:szCs w:val="18"/>
                <w:lang w:val="en-GB"/>
              </w:rPr>
            </w:pPr>
          </w:p>
          <w:p w14:paraId="0A4DC3E1" w14:textId="77777777" w:rsidR="00D475C7" w:rsidRDefault="00D475C7" w:rsidP="00522127">
            <w:pPr>
              <w:pStyle w:val="CETBodytext"/>
              <w:ind w:right="-1"/>
            </w:pPr>
          </w:p>
          <w:p w14:paraId="64604E5A" w14:textId="77777777" w:rsidR="00D475C7" w:rsidRDefault="00D475C7" w:rsidP="00522127">
            <w:pPr>
              <w:pStyle w:val="CETBodytext"/>
              <w:ind w:right="-1"/>
            </w:pPr>
          </w:p>
          <w:p w14:paraId="5DAAB4B3" w14:textId="77777777" w:rsidR="00D475C7" w:rsidRDefault="00D475C7" w:rsidP="00522127">
            <w:pPr>
              <w:pStyle w:val="CETBodytext"/>
              <w:ind w:right="-1"/>
              <w:rPr>
                <w:rFonts w:eastAsia="Calibri"/>
                <w:i/>
              </w:rPr>
            </w:pPr>
            <w:r w:rsidRPr="0070389A">
              <w:rPr>
                <w:rFonts w:eastAsia="Calibri"/>
                <w:i/>
              </w:rPr>
              <w:t>(.91)</w:t>
            </w:r>
          </w:p>
          <w:p w14:paraId="78E32757" w14:textId="77777777" w:rsidR="00D475C7" w:rsidRPr="00B57B36" w:rsidRDefault="00D475C7" w:rsidP="00522127">
            <w:pPr>
              <w:pStyle w:val="CETBodytext"/>
              <w:ind w:right="-1"/>
              <w:rPr>
                <w:rFonts w:cs="Arial"/>
                <w:szCs w:val="18"/>
                <w:lang w:val="en-GB"/>
              </w:rPr>
            </w:pPr>
            <w:r>
              <w:rPr>
                <w:rFonts w:eastAsia="Calibri"/>
              </w:rPr>
              <w:t>.</w:t>
            </w:r>
            <w:r w:rsidRPr="0070389A">
              <w:rPr>
                <w:rFonts w:eastAsia="Calibri"/>
              </w:rPr>
              <w:t>46**</w:t>
            </w:r>
          </w:p>
        </w:tc>
        <w:tc>
          <w:tcPr>
            <w:tcW w:w="665" w:type="dxa"/>
            <w:tcBorders>
              <w:top w:val="single" w:sz="4" w:space="0" w:color="auto"/>
            </w:tcBorders>
          </w:tcPr>
          <w:p w14:paraId="3D693F86" w14:textId="77777777" w:rsidR="00D475C7" w:rsidRDefault="00D475C7" w:rsidP="00522127">
            <w:pPr>
              <w:pStyle w:val="CETBodytext"/>
              <w:ind w:right="-1"/>
              <w:rPr>
                <w:rFonts w:cs="Arial"/>
                <w:szCs w:val="18"/>
                <w:lang w:val="en-GB"/>
              </w:rPr>
            </w:pPr>
          </w:p>
          <w:p w14:paraId="09B6C888" w14:textId="77777777" w:rsidR="00D475C7" w:rsidRDefault="00D475C7" w:rsidP="00522127">
            <w:pPr>
              <w:pStyle w:val="CETBodytext"/>
              <w:ind w:right="-1"/>
              <w:rPr>
                <w:rFonts w:cs="Arial"/>
                <w:szCs w:val="18"/>
                <w:lang w:val="en-GB"/>
              </w:rPr>
            </w:pPr>
          </w:p>
          <w:p w14:paraId="4437BC82" w14:textId="77777777" w:rsidR="00D475C7" w:rsidRDefault="00D475C7" w:rsidP="00522127">
            <w:pPr>
              <w:pStyle w:val="CETBodytext"/>
              <w:ind w:right="-1"/>
              <w:rPr>
                <w:rFonts w:cs="Arial"/>
                <w:szCs w:val="18"/>
                <w:lang w:val="en-GB"/>
              </w:rPr>
            </w:pPr>
          </w:p>
          <w:p w14:paraId="29479C6C" w14:textId="77777777" w:rsidR="00D475C7" w:rsidRDefault="00D475C7" w:rsidP="00522127">
            <w:pPr>
              <w:pStyle w:val="CETBodytext"/>
              <w:ind w:right="-1"/>
              <w:rPr>
                <w:rFonts w:cs="Arial"/>
                <w:szCs w:val="18"/>
                <w:lang w:val="en-GB"/>
              </w:rPr>
            </w:pPr>
          </w:p>
          <w:p w14:paraId="3B48A2DE" w14:textId="77777777" w:rsidR="00D475C7" w:rsidRDefault="00D475C7" w:rsidP="00522127">
            <w:pPr>
              <w:pStyle w:val="CETBodytext"/>
              <w:ind w:right="-1"/>
              <w:rPr>
                <w:rFonts w:cs="Arial"/>
                <w:szCs w:val="18"/>
                <w:lang w:val="en-GB"/>
              </w:rPr>
            </w:pPr>
          </w:p>
          <w:p w14:paraId="6C9CEAFF" w14:textId="77777777" w:rsidR="00D475C7" w:rsidRDefault="00D475C7" w:rsidP="00522127">
            <w:pPr>
              <w:pStyle w:val="CETBodytext"/>
              <w:ind w:right="-1"/>
              <w:rPr>
                <w:rFonts w:cs="Arial"/>
                <w:szCs w:val="18"/>
                <w:lang w:val="en-GB"/>
              </w:rPr>
            </w:pPr>
          </w:p>
          <w:p w14:paraId="5AF03C5C" w14:textId="77777777" w:rsidR="00D475C7" w:rsidRDefault="00D475C7" w:rsidP="00522127">
            <w:pPr>
              <w:pStyle w:val="CETBodytext"/>
              <w:ind w:right="-1"/>
              <w:rPr>
                <w:rFonts w:cs="Arial"/>
                <w:szCs w:val="18"/>
                <w:lang w:val="en-GB"/>
              </w:rPr>
            </w:pPr>
          </w:p>
          <w:p w14:paraId="4D487BD9" w14:textId="77777777" w:rsidR="00D475C7" w:rsidRDefault="00D475C7" w:rsidP="00522127">
            <w:pPr>
              <w:pStyle w:val="CETBodytext"/>
              <w:ind w:right="-1"/>
              <w:rPr>
                <w:rFonts w:cs="Arial"/>
                <w:szCs w:val="18"/>
                <w:lang w:val="en-GB"/>
              </w:rPr>
            </w:pPr>
          </w:p>
          <w:p w14:paraId="70C41948" w14:textId="77777777" w:rsidR="00D475C7" w:rsidRDefault="00D475C7" w:rsidP="00522127">
            <w:pPr>
              <w:pStyle w:val="CETBodytext"/>
              <w:ind w:right="-1"/>
              <w:rPr>
                <w:rFonts w:cs="Arial"/>
                <w:szCs w:val="18"/>
                <w:lang w:val="en-GB"/>
              </w:rPr>
            </w:pPr>
          </w:p>
          <w:p w14:paraId="2E0ADD1D" w14:textId="77777777" w:rsidR="00D475C7" w:rsidRDefault="00D475C7" w:rsidP="00522127">
            <w:pPr>
              <w:pStyle w:val="CETBodytext"/>
              <w:ind w:right="-1"/>
              <w:rPr>
                <w:rFonts w:cs="Arial"/>
                <w:szCs w:val="18"/>
                <w:lang w:val="en-GB"/>
              </w:rPr>
            </w:pPr>
          </w:p>
          <w:p w14:paraId="71D1620C" w14:textId="77777777" w:rsidR="00D475C7" w:rsidRDefault="00D475C7" w:rsidP="00522127">
            <w:pPr>
              <w:pStyle w:val="CETBodytext"/>
              <w:ind w:right="-1"/>
              <w:rPr>
                <w:rFonts w:cs="Arial"/>
                <w:szCs w:val="18"/>
                <w:lang w:val="en-GB"/>
              </w:rPr>
            </w:pPr>
          </w:p>
          <w:p w14:paraId="08AB4F43" w14:textId="77777777" w:rsidR="00D475C7" w:rsidRDefault="00D475C7" w:rsidP="00522127">
            <w:pPr>
              <w:pStyle w:val="CETBodytext"/>
              <w:ind w:right="-1"/>
              <w:rPr>
                <w:rFonts w:cs="Arial"/>
                <w:szCs w:val="18"/>
                <w:lang w:val="en-GB"/>
              </w:rPr>
            </w:pPr>
          </w:p>
          <w:p w14:paraId="2F0C7C35" w14:textId="77777777" w:rsidR="00D475C7" w:rsidRDefault="00D475C7" w:rsidP="00522127">
            <w:pPr>
              <w:pStyle w:val="CETBodytext"/>
              <w:ind w:right="-1"/>
              <w:rPr>
                <w:rFonts w:cs="Arial"/>
                <w:szCs w:val="18"/>
                <w:lang w:val="en-GB"/>
              </w:rPr>
            </w:pPr>
          </w:p>
          <w:p w14:paraId="0D05BFF2" w14:textId="77777777" w:rsidR="00D475C7" w:rsidRPr="00B57B36" w:rsidRDefault="00D475C7" w:rsidP="00522127">
            <w:pPr>
              <w:pStyle w:val="CETBodytext"/>
              <w:ind w:right="-1"/>
              <w:rPr>
                <w:rFonts w:cs="Arial"/>
                <w:szCs w:val="18"/>
                <w:lang w:val="en-GB"/>
              </w:rPr>
            </w:pPr>
            <w:r w:rsidRPr="0070389A">
              <w:rPr>
                <w:rFonts w:eastAsia="Calibri"/>
                <w:i/>
              </w:rPr>
              <w:t>(.8</w:t>
            </w:r>
            <w:r>
              <w:rPr>
                <w:rFonts w:eastAsia="Calibri"/>
                <w:i/>
              </w:rPr>
              <w:t>7</w:t>
            </w:r>
            <w:r w:rsidRPr="0070389A">
              <w:rPr>
                <w:rFonts w:eastAsia="Calibri"/>
                <w:i/>
              </w:rPr>
              <w:t>)</w:t>
            </w:r>
          </w:p>
        </w:tc>
      </w:tr>
    </w:tbl>
    <w:p w14:paraId="4E5FDFED" w14:textId="289C4201" w:rsidR="00F51F45" w:rsidRPr="00F51F45" w:rsidRDefault="00182E2C" w:rsidP="00F51F45">
      <w:pPr>
        <w:spacing w:line="259" w:lineRule="auto"/>
        <w:rPr>
          <w:rFonts w:eastAsia="Calibri"/>
          <w:szCs w:val="18"/>
        </w:rPr>
      </w:pPr>
      <w:r>
        <w:rPr>
          <w:rFonts w:eastAsia="Calibri"/>
          <w:szCs w:val="18"/>
        </w:rPr>
        <w:t xml:space="preserve">Note: </w:t>
      </w:r>
      <w:r w:rsidR="00F51F45" w:rsidRPr="00F51F45">
        <w:rPr>
          <w:rFonts w:eastAsia="Calibri"/>
          <w:szCs w:val="18"/>
        </w:rPr>
        <w:t>*p &lt; .05; **p &lt; .01</w:t>
      </w:r>
    </w:p>
    <w:p w14:paraId="1CF05EF0" w14:textId="77777777" w:rsidR="00C04040" w:rsidRPr="008F09FB" w:rsidRDefault="00C04040" w:rsidP="00BB6656">
      <w:pPr>
        <w:pStyle w:val="CETBodytext"/>
        <w:rPr>
          <w:lang w:val="en-GB"/>
        </w:rPr>
      </w:pPr>
    </w:p>
    <w:p w14:paraId="66D46630" w14:textId="694FBD4C" w:rsidR="00BB6656" w:rsidRDefault="00BB6656" w:rsidP="00BB6656">
      <w:pPr>
        <w:pStyle w:val="CETBodytext"/>
      </w:pPr>
      <w:r w:rsidRPr="008F09FB">
        <w:rPr>
          <w:lang w:val="en-GB"/>
        </w:rPr>
        <w:t>SES positively influenced perceived responsibility (β = .24; p &lt; .001), while SMS influenced safety knowledge (β = .36; p &lt; .001) and perceived responsibility (β = .23; p &lt; .001). Perceived responsibility predicted promotive (β = .38; p &lt; .001) and preventive (β = .41; p &lt; .001) safety voice, whereas safety knowledge predicted prohibitive safety voice (β = .21; p &lt; .001) and housekeeping (β = .22; p &lt; .001).</w:t>
      </w:r>
      <w:r w:rsidR="00C04040">
        <w:rPr>
          <w:lang w:val="en-GB"/>
        </w:rPr>
        <w:t xml:space="preserve"> </w:t>
      </w:r>
      <w:r w:rsidR="00C04040" w:rsidRPr="002F2252">
        <w:t>S</w:t>
      </w:r>
      <w:r w:rsidR="00C04040" w:rsidRPr="005F0971">
        <w:t>tatistical analyses confirmed all our research hypotheses</w:t>
      </w:r>
      <w:r w:rsidR="00C04040">
        <w:t xml:space="preserve"> </w:t>
      </w:r>
      <w:r w:rsidR="00C04040" w:rsidRPr="005F0971">
        <w:t xml:space="preserve">(see Figure </w:t>
      </w:r>
      <w:r w:rsidR="00C04040">
        <w:t>1</w:t>
      </w:r>
      <w:r w:rsidR="00C04040" w:rsidRPr="005F0971">
        <w:t>).</w:t>
      </w:r>
    </w:p>
    <w:p w14:paraId="3CD982BC" w14:textId="1DFA87DD" w:rsidR="00C04040" w:rsidRDefault="00F51F45" w:rsidP="00BB6656">
      <w:pPr>
        <w:pStyle w:val="CETBodytext"/>
      </w:pPr>
      <w:r w:rsidRPr="00F51F45">
        <w:rPr>
          <w:noProof/>
          <w:lang w:val="en-GB" w:eastAsia="en-GB"/>
        </w:rPr>
        <w:drawing>
          <wp:inline distT="0" distB="0" distL="0" distR="0" wp14:anchorId="2F3AEF58" wp14:editId="2130A5D4">
            <wp:extent cx="5181600" cy="2895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6903" b="5658"/>
                    <a:stretch/>
                  </pic:blipFill>
                  <pic:spPr bwMode="auto">
                    <a:xfrm>
                      <a:off x="0" y="0"/>
                      <a:ext cx="5186778" cy="2898494"/>
                    </a:xfrm>
                    <a:prstGeom prst="rect">
                      <a:avLst/>
                    </a:prstGeom>
                    <a:ln>
                      <a:noFill/>
                    </a:ln>
                    <a:extLst>
                      <a:ext uri="{53640926-AAD7-44D8-BBD7-CCE9431645EC}">
                        <a14:shadowObscured xmlns:a14="http://schemas.microsoft.com/office/drawing/2010/main"/>
                      </a:ext>
                    </a:extLst>
                  </pic:spPr>
                </pic:pic>
              </a:graphicData>
            </a:graphic>
          </wp:inline>
        </w:drawing>
      </w:r>
    </w:p>
    <w:p w14:paraId="08ABC18E" w14:textId="77777777" w:rsidR="005140FB" w:rsidRDefault="00C04040" w:rsidP="00C04040">
      <w:pPr>
        <w:spacing w:line="240" w:lineRule="auto"/>
        <w:rPr>
          <w:lang w:eastAsia="en-AU"/>
        </w:rPr>
      </w:pPr>
      <w:r w:rsidRPr="002F2252">
        <w:rPr>
          <w:i/>
          <w:lang w:eastAsia="en-AU"/>
        </w:rPr>
        <w:t xml:space="preserve">Figure </w:t>
      </w:r>
      <w:r>
        <w:rPr>
          <w:i/>
          <w:lang w:eastAsia="en-AU"/>
        </w:rPr>
        <w:t>1</w:t>
      </w:r>
      <w:r>
        <w:rPr>
          <w:lang w:eastAsia="en-AU"/>
        </w:rPr>
        <w:t>:</w:t>
      </w:r>
      <w:r w:rsidRPr="002F2252">
        <w:rPr>
          <w:lang w:eastAsia="en-AU"/>
        </w:rPr>
        <w:t xml:space="preserve"> Verified model</w:t>
      </w:r>
      <w:r>
        <w:rPr>
          <w:lang w:eastAsia="en-AU"/>
        </w:rPr>
        <w:t>.</w:t>
      </w:r>
      <w:r w:rsidRPr="002F2252">
        <w:rPr>
          <w:lang w:eastAsia="en-AU"/>
        </w:rPr>
        <w:t xml:space="preserve"> Dashed arrows indicate an addition to the hypothesized model.</w:t>
      </w:r>
      <w:r>
        <w:rPr>
          <w:lang w:eastAsia="en-AU"/>
        </w:rPr>
        <w:t xml:space="preserve"> </w:t>
      </w:r>
    </w:p>
    <w:p w14:paraId="44F177CA" w14:textId="402D0C60" w:rsidR="00C04040" w:rsidRDefault="00C04040" w:rsidP="00C04040">
      <w:pPr>
        <w:spacing w:line="240" w:lineRule="auto"/>
        <w:rPr>
          <w:lang w:eastAsia="en-AU"/>
        </w:rPr>
      </w:pPr>
      <w:r w:rsidRPr="002F2252">
        <w:t>Only statistically significant regression paths are displayed in the figure</w:t>
      </w:r>
    </w:p>
    <w:p w14:paraId="0BC5E53E" w14:textId="77777777" w:rsidR="00C04040" w:rsidRPr="008F09FB" w:rsidRDefault="00C04040" w:rsidP="00C04040">
      <w:pPr>
        <w:jc w:val="center"/>
      </w:pPr>
    </w:p>
    <w:p w14:paraId="35F84EE4" w14:textId="77777777" w:rsidR="00C04040" w:rsidRDefault="00BB6656" w:rsidP="00C04040">
      <w:r w:rsidRPr="008F09FB">
        <w:lastRenderedPageBreak/>
        <w:t>Bootstrap analyses confirmed indirect effects of SES on promotive (effect = .21; 95% CI [.119; .336]) and preventive (effect = .11; 95% CI [.022; .221]) safety voice via perceived responsibility, as well as the indirect effect of SMS on prohibitive safety voice via safety knowledge (effect = .12; 95% CI [.031; .252]). A double-mediated effect of SMS on prohibitive safety voice via safety knowledge and perceived responsibility was also observed.</w:t>
      </w:r>
      <w:r w:rsidR="00C04040">
        <w:t xml:space="preserve"> </w:t>
      </w:r>
      <w:r w:rsidR="00C04040" w:rsidRPr="00731281">
        <w:t>The sums of indirect effects is reported in Table 2.</w:t>
      </w:r>
    </w:p>
    <w:p w14:paraId="201E4489" w14:textId="77777777" w:rsidR="00D475C7" w:rsidRDefault="00D475C7" w:rsidP="00C04040">
      <w:pPr>
        <w:rPr>
          <w:rFonts w:eastAsia="Calibri"/>
        </w:rPr>
      </w:pPr>
    </w:p>
    <w:p w14:paraId="14BF3380" w14:textId="77777777" w:rsidR="001F66BC" w:rsidRDefault="001F66BC" w:rsidP="00D475C7">
      <w:pPr>
        <w:pStyle w:val="CETReferencetext"/>
        <w:rPr>
          <w:i/>
          <w:iCs/>
        </w:rPr>
      </w:pPr>
    </w:p>
    <w:p w14:paraId="5BF3A4C2" w14:textId="77777777" w:rsidR="00D475C7" w:rsidRPr="007C2508" w:rsidRDefault="00D475C7" w:rsidP="00D475C7">
      <w:pPr>
        <w:pStyle w:val="CETReferencetext"/>
        <w:rPr>
          <w:i/>
          <w:iCs/>
        </w:rPr>
      </w:pPr>
      <w:r w:rsidRPr="007C2508">
        <w:rPr>
          <w:i/>
          <w:iCs/>
        </w:rPr>
        <w:t xml:space="preserve">Table </w:t>
      </w:r>
      <w:r>
        <w:rPr>
          <w:i/>
          <w:iCs/>
        </w:rPr>
        <w:t>2</w:t>
      </w:r>
      <w:r w:rsidRPr="007C2508">
        <w:rPr>
          <w:i/>
          <w:iCs/>
        </w:rPr>
        <w:t>: Descriptive and correlation statistics (N = 455)</w:t>
      </w:r>
    </w:p>
    <w:tbl>
      <w:tblPr>
        <w:tblW w:w="8789"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268"/>
        <w:gridCol w:w="1134"/>
        <w:gridCol w:w="993"/>
        <w:gridCol w:w="850"/>
        <w:gridCol w:w="1134"/>
        <w:gridCol w:w="1134"/>
        <w:gridCol w:w="1276"/>
      </w:tblGrid>
      <w:tr w:rsidR="00D842CC" w:rsidRPr="00B57B36" w14:paraId="4D651993" w14:textId="77777777" w:rsidTr="008D5C51">
        <w:tc>
          <w:tcPr>
            <w:tcW w:w="2268" w:type="dxa"/>
            <w:tcBorders>
              <w:top w:val="single" w:sz="12" w:space="0" w:color="008000"/>
              <w:bottom w:val="single" w:sz="4" w:space="0" w:color="auto"/>
            </w:tcBorders>
            <w:shd w:val="clear" w:color="auto" w:fill="FFFFFF"/>
          </w:tcPr>
          <w:p w14:paraId="5509CA85" w14:textId="77777777" w:rsidR="00D842CC" w:rsidRPr="00B57B36" w:rsidRDefault="00D842CC" w:rsidP="00522127">
            <w:pPr>
              <w:pStyle w:val="CETBodytext"/>
              <w:rPr>
                <w:lang w:val="en-GB"/>
              </w:rPr>
            </w:pPr>
          </w:p>
        </w:tc>
        <w:tc>
          <w:tcPr>
            <w:tcW w:w="1134" w:type="dxa"/>
            <w:tcBorders>
              <w:top w:val="single" w:sz="12" w:space="0" w:color="008000"/>
              <w:bottom w:val="single" w:sz="4" w:space="0" w:color="auto"/>
            </w:tcBorders>
            <w:shd w:val="clear" w:color="auto" w:fill="FFFFFF"/>
          </w:tcPr>
          <w:p w14:paraId="77E67D7F" w14:textId="2554049C" w:rsidR="00D842CC" w:rsidRPr="007C2508" w:rsidRDefault="008D5C51" w:rsidP="00522127">
            <w:pPr>
              <w:spacing w:line="240" w:lineRule="auto"/>
              <w:jc w:val="center"/>
              <w:rPr>
                <w:lang w:eastAsia="it-IT"/>
              </w:rPr>
            </w:pPr>
            <w:r>
              <w:rPr>
                <w:lang w:eastAsia="it-IT"/>
              </w:rPr>
              <w:t xml:space="preserve"> Felt responsibility</w:t>
            </w:r>
          </w:p>
        </w:tc>
        <w:tc>
          <w:tcPr>
            <w:tcW w:w="993" w:type="dxa"/>
            <w:tcBorders>
              <w:top w:val="single" w:sz="12" w:space="0" w:color="008000"/>
              <w:bottom w:val="single" w:sz="4" w:space="0" w:color="auto"/>
            </w:tcBorders>
            <w:shd w:val="clear" w:color="auto" w:fill="FFFFFF"/>
          </w:tcPr>
          <w:p w14:paraId="49D4756A" w14:textId="77777777" w:rsidR="00D842CC" w:rsidRDefault="00D842CC" w:rsidP="00522127">
            <w:pPr>
              <w:spacing w:line="240" w:lineRule="auto"/>
              <w:jc w:val="center"/>
              <w:rPr>
                <w:lang w:eastAsia="it-IT"/>
              </w:rPr>
            </w:pPr>
            <w:r w:rsidRPr="0070389A">
              <w:rPr>
                <w:lang w:eastAsia="it-IT"/>
              </w:rPr>
              <w:t>Safety</w:t>
            </w:r>
          </w:p>
          <w:p w14:paraId="76A952D9" w14:textId="77777777" w:rsidR="00D842CC" w:rsidRPr="00B57B36" w:rsidRDefault="00D842CC" w:rsidP="00522127">
            <w:pPr>
              <w:spacing w:line="240" w:lineRule="auto"/>
              <w:jc w:val="center"/>
              <w:rPr>
                <w:lang w:eastAsia="it-IT"/>
              </w:rPr>
            </w:pPr>
            <w:r>
              <w:rPr>
                <w:lang w:eastAsia="it-IT"/>
              </w:rPr>
              <w:t>Knowledge</w:t>
            </w:r>
          </w:p>
        </w:tc>
        <w:tc>
          <w:tcPr>
            <w:tcW w:w="850" w:type="dxa"/>
            <w:tcBorders>
              <w:top w:val="single" w:sz="12" w:space="0" w:color="008000"/>
              <w:bottom w:val="single" w:sz="4" w:space="0" w:color="auto"/>
            </w:tcBorders>
            <w:shd w:val="clear" w:color="auto" w:fill="FFFFFF"/>
          </w:tcPr>
          <w:p w14:paraId="16582373" w14:textId="0695873E" w:rsidR="00D842CC" w:rsidRDefault="00F51F45" w:rsidP="00522127">
            <w:pPr>
              <w:spacing w:line="240" w:lineRule="auto"/>
              <w:jc w:val="center"/>
              <w:rPr>
                <w:lang w:eastAsia="it-IT"/>
              </w:rPr>
            </w:pPr>
            <w:r>
              <w:rPr>
                <w:lang w:eastAsia="it-IT"/>
              </w:rPr>
              <w:t>Promotive</w:t>
            </w:r>
          </w:p>
          <w:p w14:paraId="4E54C067" w14:textId="77777777" w:rsidR="00D842CC" w:rsidRPr="007C2508" w:rsidRDefault="00D842CC" w:rsidP="00522127">
            <w:pPr>
              <w:spacing w:line="240" w:lineRule="auto"/>
              <w:jc w:val="center"/>
              <w:rPr>
                <w:lang w:eastAsia="it-IT"/>
              </w:rPr>
            </w:pPr>
            <w:r>
              <w:rPr>
                <w:lang w:eastAsia="it-IT"/>
              </w:rPr>
              <w:t>Voice</w:t>
            </w:r>
          </w:p>
        </w:tc>
        <w:tc>
          <w:tcPr>
            <w:tcW w:w="1134" w:type="dxa"/>
            <w:tcBorders>
              <w:top w:val="single" w:sz="12" w:space="0" w:color="008000"/>
              <w:bottom w:val="single" w:sz="4" w:space="0" w:color="auto"/>
            </w:tcBorders>
            <w:shd w:val="clear" w:color="auto" w:fill="FFFFFF"/>
          </w:tcPr>
          <w:p w14:paraId="7A866EBF" w14:textId="56E41CFF" w:rsidR="00D842CC" w:rsidRDefault="00F51F45" w:rsidP="00522127">
            <w:pPr>
              <w:spacing w:line="240" w:lineRule="auto"/>
              <w:jc w:val="center"/>
              <w:rPr>
                <w:lang w:eastAsia="it-IT"/>
              </w:rPr>
            </w:pPr>
            <w:r>
              <w:rPr>
                <w:lang w:eastAsia="it-IT"/>
              </w:rPr>
              <w:t>Preventive</w:t>
            </w:r>
          </w:p>
          <w:p w14:paraId="125399A3" w14:textId="77777777" w:rsidR="00D842CC" w:rsidRPr="007C2508" w:rsidRDefault="00D842CC" w:rsidP="00522127">
            <w:pPr>
              <w:spacing w:line="240" w:lineRule="auto"/>
              <w:jc w:val="center"/>
              <w:rPr>
                <w:lang w:eastAsia="it-IT"/>
              </w:rPr>
            </w:pPr>
            <w:r>
              <w:rPr>
                <w:lang w:eastAsia="it-IT"/>
              </w:rPr>
              <w:t>Voice</w:t>
            </w:r>
          </w:p>
        </w:tc>
        <w:tc>
          <w:tcPr>
            <w:tcW w:w="1134" w:type="dxa"/>
            <w:tcBorders>
              <w:top w:val="single" w:sz="12" w:space="0" w:color="008000"/>
              <w:bottom w:val="single" w:sz="4" w:space="0" w:color="auto"/>
            </w:tcBorders>
          </w:tcPr>
          <w:p w14:paraId="406BB166" w14:textId="77777777" w:rsidR="00D842CC" w:rsidRDefault="00D842CC" w:rsidP="00522127">
            <w:pPr>
              <w:spacing w:line="240" w:lineRule="auto"/>
              <w:jc w:val="center"/>
              <w:rPr>
                <w:lang w:eastAsia="it-IT"/>
              </w:rPr>
            </w:pPr>
            <w:r>
              <w:rPr>
                <w:lang w:eastAsia="it-IT"/>
              </w:rPr>
              <w:t>Proscriptive</w:t>
            </w:r>
          </w:p>
          <w:p w14:paraId="7E817463" w14:textId="77777777" w:rsidR="00D842CC" w:rsidRPr="007C2508" w:rsidRDefault="00D842CC" w:rsidP="00522127">
            <w:pPr>
              <w:spacing w:line="240" w:lineRule="auto"/>
              <w:jc w:val="center"/>
              <w:rPr>
                <w:lang w:eastAsia="it-IT"/>
              </w:rPr>
            </w:pPr>
            <w:r>
              <w:rPr>
                <w:lang w:eastAsia="it-IT"/>
              </w:rPr>
              <w:t>Voice</w:t>
            </w:r>
          </w:p>
        </w:tc>
        <w:tc>
          <w:tcPr>
            <w:tcW w:w="1276" w:type="dxa"/>
            <w:tcBorders>
              <w:top w:val="single" w:sz="12" w:space="0" w:color="008000"/>
              <w:bottom w:val="single" w:sz="4" w:space="0" w:color="auto"/>
            </w:tcBorders>
          </w:tcPr>
          <w:p w14:paraId="066D4A45" w14:textId="77777777" w:rsidR="00D842CC" w:rsidRPr="0070389A" w:rsidRDefault="00D842CC" w:rsidP="00522127">
            <w:pPr>
              <w:spacing w:line="240" w:lineRule="auto"/>
              <w:jc w:val="center"/>
              <w:rPr>
                <w:lang w:eastAsia="it-IT"/>
              </w:rPr>
            </w:pPr>
            <w:r w:rsidRPr="0070389A">
              <w:rPr>
                <w:lang w:eastAsia="it-IT"/>
              </w:rPr>
              <w:t>Housekeeping</w:t>
            </w:r>
          </w:p>
          <w:p w14:paraId="29C6DEFB" w14:textId="77777777" w:rsidR="00D842CC" w:rsidRDefault="00D842CC" w:rsidP="00522127">
            <w:pPr>
              <w:spacing w:line="240" w:lineRule="auto"/>
              <w:jc w:val="center"/>
              <w:rPr>
                <w:lang w:eastAsia="it-IT"/>
              </w:rPr>
            </w:pPr>
            <w:r>
              <w:rPr>
                <w:lang w:eastAsia="it-IT"/>
              </w:rPr>
              <w:t>Behaviour</w:t>
            </w:r>
          </w:p>
        </w:tc>
      </w:tr>
      <w:tr w:rsidR="008D5C51" w:rsidRPr="0070389A" w14:paraId="535FA402" w14:textId="77777777" w:rsidTr="008D5C51">
        <w:tc>
          <w:tcPr>
            <w:tcW w:w="2268" w:type="dxa"/>
            <w:tcBorders>
              <w:top w:val="single" w:sz="4" w:space="0" w:color="auto"/>
              <w:bottom w:val="nil"/>
            </w:tcBorders>
            <w:shd w:val="clear" w:color="auto" w:fill="FFFFFF"/>
          </w:tcPr>
          <w:p w14:paraId="39C2B646" w14:textId="77777777" w:rsidR="008D5C51" w:rsidRDefault="008D5C51" w:rsidP="008D5C51">
            <w:pPr>
              <w:pStyle w:val="CETBodytext"/>
              <w:jc w:val="left"/>
              <w:rPr>
                <w:i/>
                <w:lang w:val="en-GB"/>
              </w:rPr>
            </w:pPr>
          </w:p>
          <w:p w14:paraId="381BA188" w14:textId="7550D9DC" w:rsidR="008D5C51" w:rsidRPr="000D57CE" w:rsidRDefault="008D5C51" w:rsidP="008D5C51">
            <w:pPr>
              <w:pStyle w:val="CETBodytext"/>
              <w:jc w:val="left"/>
              <w:rPr>
                <w:iCs/>
                <w:lang w:val="en-GB"/>
              </w:rPr>
            </w:pPr>
            <w:r w:rsidRPr="000D57CE">
              <w:rPr>
                <w:iCs/>
                <w:lang w:val="en-GB"/>
              </w:rPr>
              <w:t>Direct effects</w:t>
            </w:r>
          </w:p>
        </w:tc>
        <w:tc>
          <w:tcPr>
            <w:tcW w:w="1134" w:type="dxa"/>
            <w:tcBorders>
              <w:top w:val="single" w:sz="4" w:space="0" w:color="auto"/>
              <w:bottom w:val="nil"/>
            </w:tcBorders>
            <w:shd w:val="clear" w:color="auto" w:fill="FFFFFF"/>
          </w:tcPr>
          <w:p w14:paraId="1710BE9E" w14:textId="77777777" w:rsidR="008D5C51" w:rsidRPr="0070389A" w:rsidRDefault="008D5C51" w:rsidP="008D5C51">
            <w:pPr>
              <w:spacing w:line="240" w:lineRule="auto"/>
              <w:jc w:val="center"/>
              <w:rPr>
                <w:lang w:eastAsia="it-IT"/>
              </w:rPr>
            </w:pPr>
          </w:p>
        </w:tc>
        <w:tc>
          <w:tcPr>
            <w:tcW w:w="993" w:type="dxa"/>
            <w:tcBorders>
              <w:top w:val="single" w:sz="4" w:space="0" w:color="auto"/>
              <w:bottom w:val="nil"/>
            </w:tcBorders>
            <w:shd w:val="clear" w:color="auto" w:fill="FFFFFF"/>
          </w:tcPr>
          <w:p w14:paraId="786D6F90" w14:textId="77777777" w:rsidR="008D5C51" w:rsidRPr="0070389A" w:rsidRDefault="008D5C51" w:rsidP="008D5C51">
            <w:pPr>
              <w:spacing w:line="240" w:lineRule="auto"/>
              <w:jc w:val="center"/>
              <w:rPr>
                <w:lang w:eastAsia="it-IT"/>
              </w:rPr>
            </w:pPr>
          </w:p>
        </w:tc>
        <w:tc>
          <w:tcPr>
            <w:tcW w:w="850" w:type="dxa"/>
            <w:tcBorders>
              <w:top w:val="single" w:sz="4" w:space="0" w:color="auto"/>
              <w:bottom w:val="nil"/>
            </w:tcBorders>
            <w:shd w:val="clear" w:color="auto" w:fill="FFFFFF"/>
          </w:tcPr>
          <w:p w14:paraId="195DE20C" w14:textId="77777777" w:rsidR="008D5C51" w:rsidRPr="0070389A" w:rsidRDefault="008D5C51" w:rsidP="008D5C51">
            <w:pPr>
              <w:spacing w:line="240" w:lineRule="auto"/>
              <w:jc w:val="center"/>
              <w:rPr>
                <w:lang w:eastAsia="it-IT"/>
              </w:rPr>
            </w:pPr>
          </w:p>
        </w:tc>
        <w:tc>
          <w:tcPr>
            <w:tcW w:w="1134" w:type="dxa"/>
            <w:tcBorders>
              <w:top w:val="single" w:sz="4" w:space="0" w:color="auto"/>
              <w:bottom w:val="nil"/>
            </w:tcBorders>
            <w:shd w:val="clear" w:color="auto" w:fill="FFFFFF"/>
          </w:tcPr>
          <w:p w14:paraId="41B5AE37" w14:textId="77777777" w:rsidR="008D5C51" w:rsidRPr="008D5C51" w:rsidRDefault="008D5C51" w:rsidP="008D5C51">
            <w:pPr>
              <w:pStyle w:val="CETBodytext"/>
              <w:ind w:right="-1"/>
              <w:rPr>
                <w:rFonts w:cs="Arial"/>
                <w:szCs w:val="18"/>
                <w:lang w:val="en-GB"/>
              </w:rPr>
            </w:pPr>
          </w:p>
        </w:tc>
        <w:tc>
          <w:tcPr>
            <w:tcW w:w="1134" w:type="dxa"/>
            <w:tcBorders>
              <w:top w:val="single" w:sz="4" w:space="0" w:color="auto"/>
              <w:bottom w:val="nil"/>
            </w:tcBorders>
          </w:tcPr>
          <w:p w14:paraId="71E9553C" w14:textId="77777777" w:rsidR="008D5C51" w:rsidRPr="0070389A" w:rsidRDefault="008D5C51" w:rsidP="008D5C51">
            <w:pPr>
              <w:spacing w:line="240" w:lineRule="auto"/>
              <w:jc w:val="center"/>
              <w:rPr>
                <w:lang w:eastAsia="it-IT"/>
              </w:rPr>
            </w:pPr>
          </w:p>
        </w:tc>
        <w:tc>
          <w:tcPr>
            <w:tcW w:w="1276" w:type="dxa"/>
            <w:tcBorders>
              <w:top w:val="single" w:sz="4" w:space="0" w:color="auto"/>
              <w:bottom w:val="nil"/>
            </w:tcBorders>
          </w:tcPr>
          <w:p w14:paraId="1F77D629" w14:textId="77777777" w:rsidR="008D5C51" w:rsidRPr="0070389A" w:rsidRDefault="008D5C51" w:rsidP="008D5C51">
            <w:pPr>
              <w:spacing w:line="240" w:lineRule="auto"/>
              <w:jc w:val="center"/>
              <w:rPr>
                <w:lang w:eastAsia="it-IT"/>
              </w:rPr>
            </w:pPr>
          </w:p>
        </w:tc>
      </w:tr>
      <w:tr w:rsidR="008D5C51" w:rsidRPr="0070389A" w14:paraId="1E1ADD61" w14:textId="77777777" w:rsidTr="008D5C51">
        <w:tc>
          <w:tcPr>
            <w:tcW w:w="2268" w:type="dxa"/>
            <w:tcBorders>
              <w:top w:val="nil"/>
              <w:bottom w:val="nil"/>
            </w:tcBorders>
            <w:shd w:val="clear" w:color="auto" w:fill="FFFFFF"/>
          </w:tcPr>
          <w:p w14:paraId="1723B4A6" w14:textId="0A9B19FE" w:rsidR="008D5C51" w:rsidRPr="008D5C51" w:rsidRDefault="008D5C51" w:rsidP="008D5C51">
            <w:pPr>
              <w:pStyle w:val="CETBodytext"/>
              <w:jc w:val="left"/>
              <w:rPr>
                <w:lang w:val="en-GB"/>
              </w:rPr>
            </w:pPr>
            <w:r>
              <w:rPr>
                <w:lang w:val="en-GB"/>
              </w:rPr>
              <w:t>Safety e</w:t>
            </w:r>
            <w:r w:rsidRPr="008D5C51">
              <w:rPr>
                <w:lang w:val="en-GB"/>
              </w:rPr>
              <w:t>mpowering</w:t>
            </w:r>
            <w:r>
              <w:rPr>
                <w:lang w:val="en-GB"/>
              </w:rPr>
              <w:t xml:space="preserve"> </w:t>
            </w:r>
            <w:r w:rsidRPr="008D5C51">
              <w:rPr>
                <w:lang w:val="en-GB"/>
              </w:rPr>
              <w:t xml:space="preserve">supervision </w:t>
            </w:r>
            <w:r>
              <w:rPr>
                <w:lang w:val="en-GB"/>
              </w:rPr>
              <w:t>(SES)</w:t>
            </w:r>
          </w:p>
        </w:tc>
        <w:tc>
          <w:tcPr>
            <w:tcW w:w="1134" w:type="dxa"/>
            <w:tcBorders>
              <w:top w:val="nil"/>
              <w:bottom w:val="nil"/>
            </w:tcBorders>
            <w:shd w:val="clear" w:color="auto" w:fill="FFFFFF"/>
          </w:tcPr>
          <w:p w14:paraId="4FD60890" w14:textId="77777777" w:rsidR="008D5C51" w:rsidRPr="0070389A" w:rsidRDefault="008D5C51" w:rsidP="001712C5">
            <w:pPr>
              <w:spacing w:line="240" w:lineRule="auto"/>
              <w:jc w:val="center"/>
              <w:rPr>
                <w:lang w:eastAsia="it-IT"/>
              </w:rPr>
            </w:pPr>
            <w:r w:rsidRPr="0070389A">
              <w:rPr>
                <w:lang w:eastAsia="it-IT"/>
              </w:rPr>
              <w:t>.24**</w:t>
            </w:r>
          </w:p>
        </w:tc>
        <w:tc>
          <w:tcPr>
            <w:tcW w:w="993" w:type="dxa"/>
            <w:tcBorders>
              <w:top w:val="nil"/>
              <w:bottom w:val="nil"/>
            </w:tcBorders>
            <w:shd w:val="clear" w:color="auto" w:fill="FFFFFF"/>
          </w:tcPr>
          <w:p w14:paraId="6113685B"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4097686A" w14:textId="77777777" w:rsidR="008D5C51" w:rsidRPr="0070389A" w:rsidRDefault="008D5C51" w:rsidP="001712C5">
            <w:pPr>
              <w:spacing w:line="240" w:lineRule="auto"/>
              <w:jc w:val="center"/>
              <w:rPr>
                <w:lang w:eastAsia="it-IT"/>
              </w:rPr>
            </w:pPr>
            <w:r w:rsidRPr="0070389A">
              <w:rPr>
                <w:lang w:eastAsia="it-IT"/>
              </w:rPr>
              <w:t>--</w:t>
            </w:r>
          </w:p>
        </w:tc>
        <w:tc>
          <w:tcPr>
            <w:tcW w:w="1134" w:type="dxa"/>
            <w:tcBorders>
              <w:top w:val="nil"/>
              <w:bottom w:val="nil"/>
            </w:tcBorders>
            <w:shd w:val="clear" w:color="auto" w:fill="FFFFFF"/>
          </w:tcPr>
          <w:p w14:paraId="0B8D7FEE" w14:textId="77777777" w:rsidR="008D5C51" w:rsidRPr="008D5C51" w:rsidRDefault="008D5C51" w:rsidP="008D5C51">
            <w:pPr>
              <w:pStyle w:val="CETBodytext"/>
              <w:ind w:right="-1"/>
              <w:rPr>
                <w:rFonts w:cs="Arial"/>
                <w:szCs w:val="18"/>
                <w:lang w:val="en-GB"/>
              </w:rPr>
            </w:pPr>
            <w:r w:rsidRPr="008D5C51">
              <w:rPr>
                <w:rFonts w:cs="Arial"/>
                <w:szCs w:val="18"/>
                <w:lang w:val="en-GB"/>
              </w:rPr>
              <w:t>--</w:t>
            </w:r>
          </w:p>
        </w:tc>
        <w:tc>
          <w:tcPr>
            <w:tcW w:w="1134" w:type="dxa"/>
            <w:tcBorders>
              <w:top w:val="nil"/>
              <w:bottom w:val="nil"/>
            </w:tcBorders>
          </w:tcPr>
          <w:p w14:paraId="4E7183A2" w14:textId="77777777" w:rsidR="008D5C51" w:rsidRPr="0070389A" w:rsidRDefault="008D5C51" w:rsidP="001712C5">
            <w:pPr>
              <w:spacing w:line="240" w:lineRule="auto"/>
              <w:jc w:val="center"/>
              <w:rPr>
                <w:lang w:eastAsia="it-IT"/>
              </w:rPr>
            </w:pPr>
            <w:r w:rsidRPr="0070389A">
              <w:rPr>
                <w:lang w:eastAsia="it-IT"/>
              </w:rPr>
              <w:t>--</w:t>
            </w:r>
          </w:p>
        </w:tc>
        <w:tc>
          <w:tcPr>
            <w:tcW w:w="1276" w:type="dxa"/>
            <w:tcBorders>
              <w:top w:val="nil"/>
              <w:bottom w:val="nil"/>
            </w:tcBorders>
          </w:tcPr>
          <w:p w14:paraId="73D3C433" w14:textId="77777777" w:rsidR="008D5C51" w:rsidRPr="0070389A" w:rsidRDefault="008D5C51" w:rsidP="001712C5">
            <w:pPr>
              <w:spacing w:line="240" w:lineRule="auto"/>
              <w:jc w:val="center"/>
              <w:rPr>
                <w:lang w:eastAsia="it-IT"/>
              </w:rPr>
            </w:pPr>
            <w:r w:rsidRPr="0070389A">
              <w:rPr>
                <w:lang w:eastAsia="it-IT"/>
              </w:rPr>
              <w:t>--</w:t>
            </w:r>
          </w:p>
        </w:tc>
      </w:tr>
      <w:tr w:rsidR="008D5C51" w:rsidRPr="0070389A" w14:paraId="335D2E6B" w14:textId="77777777" w:rsidTr="008D5C51">
        <w:tc>
          <w:tcPr>
            <w:tcW w:w="2268" w:type="dxa"/>
            <w:tcBorders>
              <w:top w:val="nil"/>
              <w:bottom w:val="nil"/>
            </w:tcBorders>
            <w:shd w:val="clear" w:color="auto" w:fill="FFFFFF"/>
          </w:tcPr>
          <w:p w14:paraId="07AB87AA" w14:textId="7BEA689B" w:rsidR="008D5C51" w:rsidRPr="008D5C51" w:rsidRDefault="008D5C51" w:rsidP="008D5C51">
            <w:pPr>
              <w:pStyle w:val="CETBodytext"/>
              <w:jc w:val="left"/>
              <w:rPr>
                <w:lang w:val="en-GB"/>
              </w:rPr>
            </w:pPr>
            <w:r>
              <w:rPr>
                <w:lang w:val="en-GB"/>
              </w:rPr>
              <w:t>Safety m</w:t>
            </w:r>
            <w:r w:rsidRPr="008D5C51">
              <w:rPr>
                <w:lang w:val="en-GB"/>
              </w:rPr>
              <w:t>onitoring supervision (SMS)</w:t>
            </w:r>
          </w:p>
        </w:tc>
        <w:tc>
          <w:tcPr>
            <w:tcW w:w="1134" w:type="dxa"/>
            <w:tcBorders>
              <w:top w:val="nil"/>
              <w:bottom w:val="nil"/>
            </w:tcBorders>
            <w:shd w:val="clear" w:color="auto" w:fill="FFFFFF"/>
          </w:tcPr>
          <w:p w14:paraId="5A804BCA" w14:textId="77777777" w:rsidR="008D5C51" w:rsidRPr="0070389A" w:rsidRDefault="008D5C51" w:rsidP="001712C5">
            <w:pPr>
              <w:spacing w:line="240" w:lineRule="auto"/>
              <w:jc w:val="center"/>
              <w:rPr>
                <w:lang w:eastAsia="it-IT"/>
              </w:rPr>
            </w:pPr>
            <w:r w:rsidRPr="0070389A">
              <w:rPr>
                <w:lang w:eastAsia="it-IT"/>
              </w:rPr>
              <w:t>.23**</w:t>
            </w:r>
          </w:p>
        </w:tc>
        <w:tc>
          <w:tcPr>
            <w:tcW w:w="993" w:type="dxa"/>
            <w:tcBorders>
              <w:top w:val="nil"/>
              <w:bottom w:val="nil"/>
            </w:tcBorders>
            <w:shd w:val="clear" w:color="auto" w:fill="FFFFFF"/>
          </w:tcPr>
          <w:p w14:paraId="06E865B8" w14:textId="77777777" w:rsidR="008D5C51" w:rsidRPr="0070389A" w:rsidRDefault="008D5C51" w:rsidP="001712C5">
            <w:pPr>
              <w:spacing w:line="240" w:lineRule="auto"/>
              <w:jc w:val="center"/>
              <w:rPr>
                <w:lang w:eastAsia="it-IT"/>
              </w:rPr>
            </w:pPr>
            <w:r w:rsidRPr="0070389A">
              <w:rPr>
                <w:lang w:eastAsia="it-IT"/>
              </w:rPr>
              <w:t>.36**</w:t>
            </w:r>
          </w:p>
        </w:tc>
        <w:tc>
          <w:tcPr>
            <w:tcW w:w="850" w:type="dxa"/>
            <w:tcBorders>
              <w:top w:val="nil"/>
              <w:bottom w:val="nil"/>
            </w:tcBorders>
            <w:shd w:val="clear" w:color="auto" w:fill="FFFFFF"/>
          </w:tcPr>
          <w:p w14:paraId="1C92F573" w14:textId="77777777" w:rsidR="008D5C51" w:rsidRPr="0070389A" w:rsidRDefault="008D5C51" w:rsidP="001712C5">
            <w:pPr>
              <w:spacing w:line="240" w:lineRule="auto"/>
              <w:jc w:val="center"/>
              <w:rPr>
                <w:lang w:eastAsia="it-IT"/>
              </w:rPr>
            </w:pPr>
            <w:r w:rsidRPr="0070389A">
              <w:rPr>
                <w:lang w:eastAsia="it-IT"/>
              </w:rPr>
              <w:t>--</w:t>
            </w:r>
          </w:p>
        </w:tc>
        <w:tc>
          <w:tcPr>
            <w:tcW w:w="1134" w:type="dxa"/>
            <w:tcBorders>
              <w:top w:val="nil"/>
              <w:bottom w:val="nil"/>
            </w:tcBorders>
            <w:shd w:val="clear" w:color="auto" w:fill="FFFFFF"/>
          </w:tcPr>
          <w:p w14:paraId="4CDEF9B2" w14:textId="77777777" w:rsidR="008D5C51" w:rsidRPr="008D5C51" w:rsidRDefault="008D5C51" w:rsidP="008D5C51">
            <w:pPr>
              <w:pStyle w:val="CETBodytext"/>
              <w:ind w:right="-1"/>
              <w:rPr>
                <w:rFonts w:cs="Arial"/>
                <w:szCs w:val="18"/>
                <w:lang w:val="en-GB"/>
              </w:rPr>
            </w:pPr>
            <w:r w:rsidRPr="008D5C51">
              <w:rPr>
                <w:rFonts w:cs="Arial"/>
                <w:szCs w:val="18"/>
                <w:lang w:val="en-GB"/>
              </w:rPr>
              <w:t>--</w:t>
            </w:r>
          </w:p>
        </w:tc>
        <w:tc>
          <w:tcPr>
            <w:tcW w:w="1134" w:type="dxa"/>
            <w:tcBorders>
              <w:top w:val="nil"/>
              <w:bottom w:val="nil"/>
            </w:tcBorders>
          </w:tcPr>
          <w:p w14:paraId="211DEEFE" w14:textId="77777777" w:rsidR="008D5C51" w:rsidRPr="0070389A" w:rsidRDefault="008D5C51" w:rsidP="001712C5">
            <w:pPr>
              <w:spacing w:line="240" w:lineRule="auto"/>
              <w:jc w:val="center"/>
              <w:rPr>
                <w:lang w:eastAsia="it-IT"/>
              </w:rPr>
            </w:pPr>
            <w:r w:rsidRPr="0070389A">
              <w:rPr>
                <w:lang w:eastAsia="it-IT"/>
              </w:rPr>
              <w:t>--</w:t>
            </w:r>
          </w:p>
        </w:tc>
        <w:tc>
          <w:tcPr>
            <w:tcW w:w="1276" w:type="dxa"/>
            <w:tcBorders>
              <w:top w:val="nil"/>
              <w:bottom w:val="nil"/>
            </w:tcBorders>
          </w:tcPr>
          <w:p w14:paraId="14664B23" w14:textId="77777777" w:rsidR="008D5C51" w:rsidRPr="0070389A" w:rsidRDefault="008D5C51" w:rsidP="001712C5">
            <w:pPr>
              <w:spacing w:line="240" w:lineRule="auto"/>
              <w:jc w:val="center"/>
              <w:rPr>
                <w:lang w:eastAsia="it-IT"/>
              </w:rPr>
            </w:pPr>
            <w:r w:rsidRPr="0070389A">
              <w:rPr>
                <w:lang w:eastAsia="it-IT"/>
              </w:rPr>
              <w:t>--</w:t>
            </w:r>
          </w:p>
        </w:tc>
      </w:tr>
      <w:tr w:rsidR="008D5C51" w:rsidRPr="0070389A" w14:paraId="1F34D228" w14:textId="77777777" w:rsidTr="008D5C51">
        <w:tc>
          <w:tcPr>
            <w:tcW w:w="2268" w:type="dxa"/>
            <w:tcBorders>
              <w:top w:val="nil"/>
              <w:bottom w:val="nil"/>
            </w:tcBorders>
            <w:shd w:val="clear" w:color="auto" w:fill="FFFFFF"/>
          </w:tcPr>
          <w:p w14:paraId="18CA9B43" w14:textId="6444934A" w:rsidR="008D5C51" w:rsidRPr="008D5C51" w:rsidRDefault="008D5C51" w:rsidP="008D5C51">
            <w:pPr>
              <w:pStyle w:val="CETBodytext"/>
              <w:jc w:val="left"/>
              <w:rPr>
                <w:lang w:val="en-GB"/>
              </w:rPr>
            </w:pPr>
            <w:r>
              <w:rPr>
                <w:lang w:val="en-GB"/>
              </w:rPr>
              <w:t>Felt responsibility</w:t>
            </w:r>
          </w:p>
        </w:tc>
        <w:tc>
          <w:tcPr>
            <w:tcW w:w="1134" w:type="dxa"/>
            <w:tcBorders>
              <w:top w:val="nil"/>
              <w:bottom w:val="nil"/>
            </w:tcBorders>
            <w:shd w:val="clear" w:color="auto" w:fill="FFFFFF"/>
          </w:tcPr>
          <w:p w14:paraId="2FB30B65"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02C8E20F"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6F950E0C" w14:textId="77777777" w:rsidR="008D5C51" w:rsidRPr="0070389A" w:rsidRDefault="008D5C51" w:rsidP="001712C5">
            <w:pPr>
              <w:spacing w:line="240" w:lineRule="auto"/>
              <w:jc w:val="center"/>
              <w:rPr>
                <w:lang w:eastAsia="it-IT"/>
              </w:rPr>
            </w:pPr>
            <w:r w:rsidRPr="0070389A">
              <w:rPr>
                <w:lang w:eastAsia="it-IT"/>
              </w:rPr>
              <w:t>.</w:t>
            </w:r>
            <w:r>
              <w:rPr>
                <w:lang w:eastAsia="it-IT"/>
              </w:rPr>
              <w:t>3</w:t>
            </w:r>
            <w:r w:rsidRPr="0070389A">
              <w:rPr>
                <w:lang w:eastAsia="it-IT"/>
              </w:rPr>
              <w:t>8**</w:t>
            </w:r>
          </w:p>
        </w:tc>
        <w:tc>
          <w:tcPr>
            <w:tcW w:w="1134" w:type="dxa"/>
            <w:tcBorders>
              <w:top w:val="nil"/>
              <w:bottom w:val="nil"/>
            </w:tcBorders>
            <w:shd w:val="clear" w:color="auto" w:fill="FFFFFF"/>
          </w:tcPr>
          <w:p w14:paraId="4448CFD5" w14:textId="77777777" w:rsidR="008D5C51" w:rsidRPr="008D5C51" w:rsidRDefault="008D5C51" w:rsidP="008D5C51">
            <w:pPr>
              <w:pStyle w:val="CETBodytext"/>
              <w:ind w:right="-1"/>
              <w:rPr>
                <w:rFonts w:cs="Arial"/>
                <w:szCs w:val="18"/>
                <w:lang w:val="en-GB"/>
              </w:rPr>
            </w:pPr>
            <w:r w:rsidRPr="008D5C51">
              <w:rPr>
                <w:rFonts w:cs="Arial"/>
                <w:szCs w:val="18"/>
                <w:lang w:val="en-GB"/>
              </w:rPr>
              <w:t>.41**</w:t>
            </w:r>
          </w:p>
        </w:tc>
        <w:tc>
          <w:tcPr>
            <w:tcW w:w="1134" w:type="dxa"/>
            <w:tcBorders>
              <w:top w:val="nil"/>
              <w:bottom w:val="nil"/>
            </w:tcBorders>
          </w:tcPr>
          <w:p w14:paraId="3859F752" w14:textId="77777777" w:rsidR="008D5C51" w:rsidRPr="0070389A" w:rsidRDefault="008D5C51" w:rsidP="001712C5">
            <w:pPr>
              <w:spacing w:line="240" w:lineRule="auto"/>
              <w:jc w:val="center"/>
              <w:rPr>
                <w:lang w:eastAsia="it-IT"/>
              </w:rPr>
            </w:pPr>
            <w:r w:rsidRPr="0070389A">
              <w:rPr>
                <w:lang w:eastAsia="it-IT"/>
              </w:rPr>
              <w:t>.</w:t>
            </w:r>
            <w:r>
              <w:rPr>
                <w:lang w:eastAsia="it-IT"/>
              </w:rPr>
              <w:t>35</w:t>
            </w:r>
            <w:r w:rsidRPr="0070389A">
              <w:rPr>
                <w:lang w:eastAsia="it-IT"/>
              </w:rPr>
              <w:t>**</w:t>
            </w:r>
          </w:p>
        </w:tc>
        <w:tc>
          <w:tcPr>
            <w:tcW w:w="1276" w:type="dxa"/>
            <w:tcBorders>
              <w:top w:val="nil"/>
              <w:bottom w:val="nil"/>
            </w:tcBorders>
          </w:tcPr>
          <w:p w14:paraId="6E71CF91" w14:textId="77777777" w:rsidR="008D5C51" w:rsidRPr="0070389A" w:rsidRDefault="008D5C51" w:rsidP="001712C5">
            <w:pPr>
              <w:spacing w:line="240" w:lineRule="auto"/>
              <w:jc w:val="center"/>
              <w:rPr>
                <w:lang w:eastAsia="it-IT"/>
              </w:rPr>
            </w:pPr>
            <w:r w:rsidRPr="0070389A">
              <w:rPr>
                <w:lang w:eastAsia="it-IT"/>
              </w:rPr>
              <w:t>.</w:t>
            </w:r>
            <w:r>
              <w:rPr>
                <w:lang w:eastAsia="it-IT"/>
              </w:rPr>
              <w:t>04ns</w:t>
            </w:r>
          </w:p>
        </w:tc>
      </w:tr>
      <w:tr w:rsidR="008D5C51" w:rsidRPr="0070389A" w14:paraId="3E0EC2BB" w14:textId="77777777" w:rsidTr="008D5C51">
        <w:tc>
          <w:tcPr>
            <w:tcW w:w="2268" w:type="dxa"/>
            <w:tcBorders>
              <w:top w:val="nil"/>
              <w:bottom w:val="nil"/>
            </w:tcBorders>
            <w:shd w:val="clear" w:color="auto" w:fill="FFFFFF"/>
          </w:tcPr>
          <w:p w14:paraId="486F1256" w14:textId="77777777" w:rsidR="008D5C51" w:rsidRPr="008D5C51" w:rsidRDefault="008D5C51" w:rsidP="008D5C51">
            <w:pPr>
              <w:pStyle w:val="CETBodytext"/>
              <w:jc w:val="left"/>
              <w:rPr>
                <w:lang w:val="en-GB"/>
              </w:rPr>
            </w:pPr>
            <w:r w:rsidRPr="008D5C51">
              <w:rPr>
                <w:lang w:val="en-GB"/>
              </w:rPr>
              <w:t>Safety knowledge</w:t>
            </w:r>
          </w:p>
        </w:tc>
        <w:tc>
          <w:tcPr>
            <w:tcW w:w="1134" w:type="dxa"/>
            <w:tcBorders>
              <w:top w:val="nil"/>
              <w:bottom w:val="nil"/>
            </w:tcBorders>
            <w:shd w:val="clear" w:color="auto" w:fill="FFFFFF"/>
          </w:tcPr>
          <w:p w14:paraId="681F43DB"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127B27DD"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19B51411" w14:textId="77777777" w:rsidR="008D5C51" w:rsidRPr="0070389A" w:rsidRDefault="008D5C51" w:rsidP="001712C5">
            <w:pPr>
              <w:spacing w:line="240" w:lineRule="auto"/>
              <w:jc w:val="center"/>
              <w:rPr>
                <w:lang w:eastAsia="it-IT"/>
              </w:rPr>
            </w:pPr>
            <w:r w:rsidRPr="0070389A">
              <w:rPr>
                <w:lang w:eastAsia="it-IT"/>
              </w:rPr>
              <w:t>--</w:t>
            </w:r>
          </w:p>
        </w:tc>
        <w:tc>
          <w:tcPr>
            <w:tcW w:w="1134" w:type="dxa"/>
            <w:tcBorders>
              <w:top w:val="nil"/>
              <w:bottom w:val="nil"/>
            </w:tcBorders>
            <w:shd w:val="clear" w:color="auto" w:fill="FFFFFF"/>
          </w:tcPr>
          <w:p w14:paraId="52CF8E4A" w14:textId="77777777" w:rsidR="008D5C51" w:rsidRPr="008D5C51" w:rsidRDefault="008D5C51" w:rsidP="008D5C51">
            <w:pPr>
              <w:pStyle w:val="CETBodytext"/>
              <w:ind w:right="-1"/>
              <w:rPr>
                <w:rFonts w:cs="Arial"/>
                <w:szCs w:val="18"/>
                <w:lang w:val="en-GB"/>
              </w:rPr>
            </w:pPr>
            <w:r w:rsidRPr="008D5C51">
              <w:rPr>
                <w:rFonts w:cs="Arial"/>
                <w:szCs w:val="18"/>
                <w:lang w:val="en-GB"/>
              </w:rPr>
              <w:t>--</w:t>
            </w:r>
          </w:p>
        </w:tc>
        <w:tc>
          <w:tcPr>
            <w:tcW w:w="1134" w:type="dxa"/>
            <w:tcBorders>
              <w:top w:val="nil"/>
              <w:bottom w:val="nil"/>
            </w:tcBorders>
          </w:tcPr>
          <w:p w14:paraId="7F929CF9" w14:textId="77777777" w:rsidR="008D5C51" w:rsidRPr="0070389A" w:rsidRDefault="008D5C51" w:rsidP="001712C5">
            <w:pPr>
              <w:spacing w:line="240" w:lineRule="auto"/>
              <w:jc w:val="center"/>
              <w:rPr>
                <w:lang w:eastAsia="it-IT"/>
              </w:rPr>
            </w:pPr>
            <w:r w:rsidRPr="0070389A">
              <w:rPr>
                <w:lang w:eastAsia="it-IT"/>
              </w:rPr>
              <w:t>.</w:t>
            </w:r>
            <w:r>
              <w:rPr>
                <w:lang w:eastAsia="it-IT"/>
              </w:rPr>
              <w:t>21</w:t>
            </w:r>
            <w:r w:rsidRPr="0070389A">
              <w:rPr>
                <w:lang w:eastAsia="it-IT"/>
              </w:rPr>
              <w:t>**</w:t>
            </w:r>
          </w:p>
        </w:tc>
        <w:tc>
          <w:tcPr>
            <w:tcW w:w="1276" w:type="dxa"/>
            <w:tcBorders>
              <w:top w:val="nil"/>
              <w:bottom w:val="nil"/>
            </w:tcBorders>
          </w:tcPr>
          <w:p w14:paraId="369CF278" w14:textId="77777777" w:rsidR="008D5C51" w:rsidRPr="0070389A" w:rsidRDefault="008D5C51" w:rsidP="001712C5">
            <w:pPr>
              <w:spacing w:line="240" w:lineRule="auto"/>
              <w:jc w:val="center"/>
              <w:rPr>
                <w:lang w:eastAsia="it-IT"/>
              </w:rPr>
            </w:pPr>
            <w:r w:rsidRPr="0070389A">
              <w:rPr>
                <w:lang w:eastAsia="it-IT"/>
              </w:rPr>
              <w:t>.</w:t>
            </w:r>
            <w:r>
              <w:rPr>
                <w:lang w:eastAsia="it-IT"/>
              </w:rPr>
              <w:t>22</w:t>
            </w:r>
            <w:r w:rsidRPr="0070389A">
              <w:rPr>
                <w:lang w:eastAsia="it-IT"/>
              </w:rPr>
              <w:t>**</w:t>
            </w:r>
          </w:p>
        </w:tc>
      </w:tr>
      <w:tr w:rsidR="008D5C51" w:rsidRPr="0070389A" w14:paraId="15655057" w14:textId="77777777" w:rsidTr="008D5C51">
        <w:tc>
          <w:tcPr>
            <w:tcW w:w="2268" w:type="dxa"/>
            <w:tcBorders>
              <w:top w:val="nil"/>
              <w:bottom w:val="nil"/>
            </w:tcBorders>
            <w:shd w:val="clear" w:color="auto" w:fill="FFFFFF"/>
          </w:tcPr>
          <w:p w14:paraId="7DD75DE3" w14:textId="77777777" w:rsidR="008D5C51" w:rsidRDefault="008D5C51" w:rsidP="008D5C51">
            <w:pPr>
              <w:pStyle w:val="CETBodytext"/>
              <w:jc w:val="left"/>
              <w:rPr>
                <w:i/>
                <w:lang w:val="en-GB"/>
              </w:rPr>
            </w:pPr>
          </w:p>
          <w:p w14:paraId="5751514E" w14:textId="77777777" w:rsidR="008D5C51" w:rsidRPr="000D57CE" w:rsidRDefault="008D5C51" w:rsidP="008D5C51">
            <w:pPr>
              <w:pStyle w:val="CETBodytext"/>
              <w:jc w:val="left"/>
              <w:rPr>
                <w:iCs/>
                <w:lang w:val="en-GB"/>
              </w:rPr>
            </w:pPr>
            <w:r w:rsidRPr="000D57CE">
              <w:rPr>
                <w:iCs/>
                <w:lang w:val="en-GB"/>
              </w:rPr>
              <w:t>Indirect effects</w:t>
            </w:r>
          </w:p>
        </w:tc>
        <w:tc>
          <w:tcPr>
            <w:tcW w:w="1134" w:type="dxa"/>
            <w:tcBorders>
              <w:top w:val="nil"/>
              <w:bottom w:val="nil"/>
            </w:tcBorders>
            <w:shd w:val="clear" w:color="auto" w:fill="FFFFFF"/>
          </w:tcPr>
          <w:p w14:paraId="65A90137" w14:textId="77777777" w:rsidR="008D5C51" w:rsidRPr="0070389A" w:rsidRDefault="008D5C51" w:rsidP="001712C5">
            <w:pPr>
              <w:spacing w:line="240" w:lineRule="auto"/>
              <w:jc w:val="center"/>
              <w:rPr>
                <w:lang w:eastAsia="it-IT"/>
              </w:rPr>
            </w:pPr>
          </w:p>
        </w:tc>
        <w:tc>
          <w:tcPr>
            <w:tcW w:w="993" w:type="dxa"/>
            <w:tcBorders>
              <w:top w:val="nil"/>
              <w:bottom w:val="nil"/>
            </w:tcBorders>
            <w:shd w:val="clear" w:color="auto" w:fill="FFFFFF"/>
          </w:tcPr>
          <w:p w14:paraId="1FA079B1" w14:textId="77777777" w:rsidR="008D5C51" w:rsidRPr="0070389A" w:rsidRDefault="008D5C51" w:rsidP="001712C5">
            <w:pPr>
              <w:spacing w:line="240" w:lineRule="auto"/>
              <w:jc w:val="center"/>
              <w:rPr>
                <w:lang w:eastAsia="it-IT"/>
              </w:rPr>
            </w:pPr>
          </w:p>
        </w:tc>
        <w:tc>
          <w:tcPr>
            <w:tcW w:w="850" w:type="dxa"/>
            <w:tcBorders>
              <w:top w:val="nil"/>
              <w:bottom w:val="nil"/>
            </w:tcBorders>
            <w:shd w:val="clear" w:color="auto" w:fill="FFFFFF"/>
          </w:tcPr>
          <w:p w14:paraId="6A69458D" w14:textId="77777777" w:rsidR="008D5C51" w:rsidRPr="0070389A" w:rsidRDefault="008D5C51" w:rsidP="001712C5">
            <w:pPr>
              <w:spacing w:line="240" w:lineRule="auto"/>
              <w:jc w:val="center"/>
              <w:rPr>
                <w:lang w:eastAsia="it-IT"/>
              </w:rPr>
            </w:pPr>
          </w:p>
        </w:tc>
        <w:tc>
          <w:tcPr>
            <w:tcW w:w="1134" w:type="dxa"/>
            <w:tcBorders>
              <w:top w:val="nil"/>
              <w:bottom w:val="nil"/>
            </w:tcBorders>
            <w:shd w:val="clear" w:color="auto" w:fill="FFFFFF"/>
          </w:tcPr>
          <w:p w14:paraId="639E32A6" w14:textId="77777777" w:rsidR="008D5C51" w:rsidRPr="008D5C51" w:rsidRDefault="008D5C51" w:rsidP="008D5C51">
            <w:pPr>
              <w:pStyle w:val="CETBodytext"/>
              <w:ind w:right="-1"/>
              <w:rPr>
                <w:rFonts w:cs="Arial"/>
                <w:szCs w:val="18"/>
                <w:lang w:val="en-GB"/>
              </w:rPr>
            </w:pPr>
          </w:p>
        </w:tc>
        <w:tc>
          <w:tcPr>
            <w:tcW w:w="1134" w:type="dxa"/>
            <w:tcBorders>
              <w:top w:val="nil"/>
              <w:bottom w:val="nil"/>
            </w:tcBorders>
          </w:tcPr>
          <w:p w14:paraId="4709F0E2" w14:textId="77777777" w:rsidR="008D5C51" w:rsidRPr="0070389A" w:rsidRDefault="008D5C51" w:rsidP="001712C5">
            <w:pPr>
              <w:spacing w:line="240" w:lineRule="auto"/>
              <w:jc w:val="center"/>
              <w:rPr>
                <w:lang w:eastAsia="it-IT"/>
              </w:rPr>
            </w:pPr>
          </w:p>
        </w:tc>
        <w:tc>
          <w:tcPr>
            <w:tcW w:w="1276" w:type="dxa"/>
            <w:tcBorders>
              <w:top w:val="nil"/>
              <w:bottom w:val="nil"/>
            </w:tcBorders>
          </w:tcPr>
          <w:p w14:paraId="636ADB20" w14:textId="77777777" w:rsidR="008D5C51" w:rsidRPr="0070389A" w:rsidRDefault="008D5C51" w:rsidP="001712C5">
            <w:pPr>
              <w:spacing w:line="240" w:lineRule="auto"/>
              <w:jc w:val="center"/>
              <w:rPr>
                <w:lang w:eastAsia="it-IT"/>
              </w:rPr>
            </w:pPr>
          </w:p>
        </w:tc>
      </w:tr>
      <w:tr w:rsidR="008D5C51" w:rsidRPr="0070389A" w14:paraId="1CB86694" w14:textId="77777777" w:rsidTr="008D5C51">
        <w:tc>
          <w:tcPr>
            <w:tcW w:w="2268" w:type="dxa"/>
            <w:tcBorders>
              <w:top w:val="nil"/>
              <w:bottom w:val="nil"/>
            </w:tcBorders>
            <w:shd w:val="clear" w:color="auto" w:fill="FFFFFF"/>
          </w:tcPr>
          <w:p w14:paraId="6AC7DACA" w14:textId="2B16BC4E" w:rsidR="008D5C51" w:rsidRPr="008D5C51" w:rsidRDefault="008D5C51" w:rsidP="008D5C51">
            <w:pPr>
              <w:pStyle w:val="CETBodytext"/>
              <w:jc w:val="left"/>
              <w:rPr>
                <w:lang w:val="en-GB"/>
              </w:rPr>
            </w:pPr>
            <w:r>
              <w:rPr>
                <w:lang w:val="en-GB"/>
              </w:rPr>
              <w:t>Safety e</w:t>
            </w:r>
            <w:r w:rsidRPr="008D5C51">
              <w:rPr>
                <w:lang w:val="en-GB"/>
              </w:rPr>
              <w:t xml:space="preserve">mpowering supervision (SES) </w:t>
            </w:r>
          </w:p>
        </w:tc>
        <w:tc>
          <w:tcPr>
            <w:tcW w:w="1134" w:type="dxa"/>
            <w:tcBorders>
              <w:top w:val="nil"/>
              <w:bottom w:val="nil"/>
            </w:tcBorders>
            <w:shd w:val="clear" w:color="auto" w:fill="FFFFFF"/>
          </w:tcPr>
          <w:p w14:paraId="102178A3"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6F1DC56D"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642BD9FC" w14:textId="77777777" w:rsidR="008D5C51" w:rsidRPr="008D5C51" w:rsidRDefault="008D5C51" w:rsidP="001712C5">
            <w:pPr>
              <w:spacing w:line="240" w:lineRule="auto"/>
              <w:jc w:val="center"/>
              <w:rPr>
                <w:lang w:eastAsia="it-IT"/>
              </w:rPr>
            </w:pPr>
            <w:r w:rsidRPr="008D5C51">
              <w:rPr>
                <w:lang w:eastAsia="it-IT"/>
              </w:rPr>
              <w:t>.21sign</w:t>
            </w:r>
          </w:p>
        </w:tc>
        <w:tc>
          <w:tcPr>
            <w:tcW w:w="1134" w:type="dxa"/>
            <w:tcBorders>
              <w:top w:val="nil"/>
              <w:bottom w:val="nil"/>
            </w:tcBorders>
            <w:shd w:val="clear" w:color="auto" w:fill="FFFFFF"/>
          </w:tcPr>
          <w:p w14:paraId="01568E43" w14:textId="77777777" w:rsidR="008D5C51" w:rsidRPr="008D5C51" w:rsidRDefault="008D5C51" w:rsidP="008D5C51">
            <w:pPr>
              <w:pStyle w:val="CETBodytext"/>
              <w:ind w:right="-1"/>
              <w:rPr>
                <w:rFonts w:cs="Arial"/>
                <w:szCs w:val="18"/>
                <w:lang w:val="en-GB"/>
              </w:rPr>
            </w:pPr>
            <w:r w:rsidRPr="008D5C51">
              <w:rPr>
                <w:rFonts w:cs="Arial"/>
                <w:szCs w:val="18"/>
                <w:lang w:val="en-GB"/>
              </w:rPr>
              <w:t>.11sign</w:t>
            </w:r>
          </w:p>
        </w:tc>
        <w:tc>
          <w:tcPr>
            <w:tcW w:w="1134" w:type="dxa"/>
            <w:tcBorders>
              <w:top w:val="nil"/>
              <w:bottom w:val="nil"/>
            </w:tcBorders>
          </w:tcPr>
          <w:p w14:paraId="709C6186" w14:textId="77777777" w:rsidR="008D5C51" w:rsidRPr="008D5C51" w:rsidRDefault="008D5C51" w:rsidP="001712C5">
            <w:pPr>
              <w:spacing w:line="240" w:lineRule="auto"/>
              <w:jc w:val="center"/>
              <w:rPr>
                <w:lang w:eastAsia="it-IT"/>
              </w:rPr>
            </w:pPr>
            <w:r w:rsidRPr="008D5C51">
              <w:rPr>
                <w:lang w:eastAsia="it-IT"/>
              </w:rPr>
              <w:t>.10sign</w:t>
            </w:r>
          </w:p>
        </w:tc>
        <w:tc>
          <w:tcPr>
            <w:tcW w:w="1276" w:type="dxa"/>
            <w:tcBorders>
              <w:top w:val="nil"/>
              <w:bottom w:val="nil"/>
            </w:tcBorders>
          </w:tcPr>
          <w:p w14:paraId="3A5652EF" w14:textId="77777777" w:rsidR="008D5C51" w:rsidRPr="0070389A" w:rsidRDefault="008D5C51" w:rsidP="001712C5">
            <w:pPr>
              <w:spacing w:line="240" w:lineRule="auto"/>
              <w:jc w:val="center"/>
              <w:rPr>
                <w:lang w:eastAsia="it-IT"/>
              </w:rPr>
            </w:pPr>
            <w:r w:rsidRPr="0070389A">
              <w:rPr>
                <w:lang w:eastAsia="it-IT"/>
              </w:rPr>
              <w:t>.0</w:t>
            </w:r>
            <w:r>
              <w:rPr>
                <w:lang w:eastAsia="it-IT"/>
              </w:rPr>
              <w:t>2ns</w:t>
            </w:r>
          </w:p>
        </w:tc>
      </w:tr>
      <w:tr w:rsidR="008D5C51" w:rsidRPr="0070389A" w14:paraId="615CD158" w14:textId="77777777" w:rsidTr="008D5C51">
        <w:tc>
          <w:tcPr>
            <w:tcW w:w="2268" w:type="dxa"/>
            <w:tcBorders>
              <w:top w:val="nil"/>
              <w:bottom w:val="nil"/>
            </w:tcBorders>
            <w:shd w:val="clear" w:color="auto" w:fill="FFFFFF"/>
          </w:tcPr>
          <w:p w14:paraId="694407BE" w14:textId="35903B55" w:rsidR="008D5C51" w:rsidRPr="008D5C51" w:rsidRDefault="008D5C51" w:rsidP="008D5C51">
            <w:pPr>
              <w:pStyle w:val="CETBodytext"/>
              <w:jc w:val="left"/>
              <w:rPr>
                <w:lang w:val="en-GB"/>
              </w:rPr>
            </w:pPr>
            <w:r>
              <w:rPr>
                <w:lang w:val="en-GB"/>
              </w:rPr>
              <w:t>Safety m</w:t>
            </w:r>
            <w:r w:rsidRPr="008D5C51">
              <w:rPr>
                <w:lang w:val="en-GB"/>
              </w:rPr>
              <w:t>onitoring supervision (SMS)</w:t>
            </w:r>
          </w:p>
        </w:tc>
        <w:tc>
          <w:tcPr>
            <w:tcW w:w="1134" w:type="dxa"/>
            <w:tcBorders>
              <w:top w:val="nil"/>
              <w:bottom w:val="nil"/>
            </w:tcBorders>
            <w:shd w:val="clear" w:color="auto" w:fill="FFFFFF"/>
          </w:tcPr>
          <w:p w14:paraId="71E9E4E7"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34FF6CCD"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45FDCA1E" w14:textId="77777777" w:rsidR="008D5C51" w:rsidRPr="008D5C51" w:rsidRDefault="008D5C51" w:rsidP="001712C5">
            <w:pPr>
              <w:spacing w:line="240" w:lineRule="auto"/>
              <w:jc w:val="center"/>
              <w:rPr>
                <w:lang w:eastAsia="it-IT"/>
              </w:rPr>
            </w:pPr>
            <w:r w:rsidRPr="008D5C51">
              <w:rPr>
                <w:lang w:eastAsia="it-IT"/>
              </w:rPr>
              <w:t xml:space="preserve">.04ns </w:t>
            </w:r>
          </w:p>
        </w:tc>
        <w:tc>
          <w:tcPr>
            <w:tcW w:w="1134" w:type="dxa"/>
            <w:tcBorders>
              <w:top w:val="nil"/>
              <w:bottom w:val="nil"/>
            </w:tcBorders>
            <w:shd w:val="clear" w:color="auto" w:fill="FFFFFF"/>
          </w:tcPr>
          <w:p w14:paraId="343FABFA" w14:textId="77777777" w:rsidR="008D5C51" w:rsidRPr="008D5C51" w:rsidRDefault="008D5C51" w:rsidP="008D5C51">
            <w:pPr>
              <w:pStyle w:val="CETBodytext"/>
              <w:ind w:right="-1"/>
              <w:rPr>
                <w:rFonts w:cs="Arial"/>
                <w:szCs w:val="18"/>
                <w:lang w:val="en-GB"/>
              </w:rPr>
            </w:pPr>
            <w:r w:rsidRPr="008D5C51">
              <w:rPr>
                <w:rFonts w:cs="Arial"/>
                <w:szCs w:val="18"/>
                <w:lang w:val="en-GB"/>
              </w:rPr>
              <w:t>.17sign</w:t>
            </w:r>
          </w:p>
        </w:tc>
        <w:tc>
          <w:tcPr>
            <w:tcW w:w="1134" w:type="dxa"/>
            <w:tcBorders>
              <w:top w:val="nil"/>
              <w:bottom w:val="nil"/>
            </w:tcBorders>
          </w:tcPr>
          <w:p w14:paraId="09B56FD0" w14:textId="77777777" w:rsidR="008D5C51" w:rsidRPr="008D5C51" w:rsidRDefault="008D5C51" w:rsidP="001712C5">
            <w:pPr>
              <w:spacing w:line="240" w:lineRule="auto"/>
              <w:jc w:val="center"/>
              <w:rPr>
                <w:lang w:eastAsia="it-IT"/>
              </w:rPr>
            </w:pPr>
            <w:r w:rsidRPr="008D5C51">
              <w:rPr>
                <w:lang w:eastAsia="it-IT"/>
              </w:rPr>
              <w:t>.26sign</w:t>
            </w:r>
          </w:p>
        </w:tc>
        <w:tc>
          <w:tcPr>
            <w:tcW w:w="1276" w:type="dxa"/>
            <w:tcBorders>
              <w:top w:val="nil"/>
              <w:bottom w:val="nil"/>
            </w:tcBorders>
          </w:tcPr>
          <w:p w14:paraId="108F37D0" w14:textId="77777777" w:rsidR="008D5C51" w:rsidRPr="0070389A" w:rsidRDefault="008D5C51" w:rsidP="001712C5">
            <w:pPr>
              <w:spacing w:line="240" w:lineRule="auto"/>
              <w:jc w:val="center"/>
              <w:rPr>
                <w:lang w:eastAsia="it-IT"/>
              </w:rPr>
            </w:pPr>
            <w:r w:rsidRPr="0070389A">
              <w:rPr>
                <w:lang w:eastAsia="it-IT"/>
              </w:rPr>
              <w:t>.1</w:t>
            </w:r>
            <w:r>
              <w:rPr>
                <w:lang w:eastAsia="it-IT"/>
              </w:rPr>
              <w:t>1sign</w:t>
            </w:r>
          </w:p>
        </w:tc>
      </w:tr>
      <w:tr w:rsidR="008D5C51" w:rsidRPr="0070389A" w14:paraId="7E16845D" w14:textId="77777777" w:rsidTr="008D5C51">
        <w:tc>
          <w:tcPr>
            <w:tcW w:w="2268" w:type="dxa"/>
            <w:tcBorders>
              <w:top w:val="nil"/>
              <w:bottom w:val="nil"/>
            </w:tcBorders>
            <w:shd w:val="clear" w:color="auto" w:fill="FFFFFF"/>
          </w:tcPr>
          <w:p w14:paraId="40D8124F" w14:textId="65201D2D" w:rsidR="008D5C51" w:rsidRPr="008D5C51" w:rsidRDefault="008D5C51" w:rsidP="008D5C51">
            <w:pPr>
              <w:pStyle w:val="CETBodytext"/>
              <w:jc w:val="left"/>
              <w:rPr>
                <w:lang w:val="en-GB"/>
              </w:rPr>
            </w:pPr>
            <w:r>
              <w:rPr>
                <w:lang w:val="en-GB"/>
              </w:rPr>
              <w:t>Felt responsibility</w:t>
            </w:r>
          </w:p>
        </w:tc>
        <w:tc>
          <w:tcPr>
            <w:tcW w:w="1134" w:type="dxa"/>
            <w:tcBorders>
              <w:top w:val="nil"/>
              <w:bottom w:val="nil"/>
            </w:tcBorders>
            <w:shd w:val="clear" w:color="auto" w:fill="FFFFFF"/>
          </w:tcPr>
          <w:p w14:paraId="3C432569"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76FEF646"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2E3AC00F" w14:textId="77777777" w:rsidR="008D5C51" w:rsidRPr="008D5C51" w:rsidRDefault="008D5C51" w:rsidP="001712C5">
            <w:pPr>
              <w:spacing w:line="240" w:lineRule="auto"/>
              <w:jc w:val="center"/>
              <w:rPr>
                <w:lang w:eastAsia="it-IT"/>
              </w:rPr>
            </w:pPr>
            <w:r w:rsidRPr="008D5C51">
              <w:rPr>
                <w:lang w:eastAsia="it-IT"/>
              </w:rPr>
              <w:t>--</w:t>
            </w:r>
          </w:p>
        </w:tc>
        <w:tc>
          <w:tcPr>
            <w:tcW w:w="1134" w:type="dxa"/>
            <w:tcBorders>
              <w:top w:val="nil"/>
              <w:bottom w:val="nil"/>
            </w:tcBorders>
            <w:shd w:val="clear" w:color="auto" w:fill="FFFFFF"/>
          </w:tcPr>
          <w:p w14:paraId="1EE6D731" w14:textId="77777777" w:rsidR="008D5C51" w:rsidRPr="008D5C51" w:rsidRDefault="008D5C51" w:rsidP="008D5C51">
            <w:pPr>
              <w:pStyle w:val="CETBodytext"/>
              <w:ind w:right="-1"/>
              <w:rPr>
                <w:rFonts w:cs="Arial"/>
                <w:szCs w:val="18"/>
                <w:lang w:val="en-GB"/>
              </w:rPr>
            </w:pPr>
            <w:r w:rsidRPr="008D5C51">
              <w:rPr>
                <w:rFonts w:cs="Arial"/>
                <w:szCs w:val="18"/>
                <w:lang w:val="en-GB"/>
              </w:rPr>
              <w:t>--</w:t>
            </w:r>
          </w:p>
        </w:tc>
        <w:tc>
          <w:tcPr>
            <w:tcW w:w="1134" w:type="dxa"/>
            <w:tcBorders>
              <w:top w:val="nil"/>
              <w:bottom w:val="nil"/>
            </w:tcBorders>
          </w:tcPr>
          <w:p w14:paraId="18DA412E" w14:textId="77777777" w:rsidR="008D5C51" w:rsidRPr="008D5C51" w:rsidRDefault="008D5C51" w:rsidP="001712C5">
            <w:pPr>
              <w:spacing w:line="240" w:lineRule="auto"/>
              <w:jc w:val="center"/>
              <w:rPr>
                <w:lang w:eastAsia="it-IT"/>
              </w:rPr>
            </w:pPr>
            <w:r w:rsidRPr="008D5C51">
              <w:rPr>
                <w:lang w:eastAsia="it-IT"/>
              </w:rPr>
              <w:t>--</w:t>
            </w:r>
          </w:p>
        </w:tc>
        <w:tc>
          <w:tcPr>
            <w:tcW w:w="1276" w:type="dxa"/>
            <w:tcBorders>
              <w:top w:val="nil"/>
              <w:bottom w:val="nil"/>
            </w:tcBorders>
          </w:tcPr>
          <w:p w14:paraId="0803350A" w14:textId="77777777" w:rsidR="008D5C51" w:rsidRPr="0070389A" w:rsidRDefault="008D5C51" w:rsidP="001712C5">
            <w:pPr>
              <w:spacing w:line="240" w:lineRule="auto"/>
              <w:jc w:val="center"/>
              <w:rPr>
                <w:lang w:eastAsia="it-IT"/>
              </w:rPr>
            </w:pPr>
            <w:r w:rsidRPr="0070389A">
              <w:rPr>
                <w:lang w:eastAsia="it-IT"/>
              </w:rPr>
              <w:t>--</w:t>
            </w:r>
          </w:p>
        </w:tc>
      </w:tr>
      <w:tr w:rsidR="008D5C51" w:rsidRPr="0070389A" w14:paraId="0FB3D431" w14:textId="77777777" w:rsidTr="008D5C51">
        <w:tc>
          <w:tcPr>
            <w:tcW w:w="2268" w:type="dxa"/>
            <w:tcBorders>
              <w:top w:val="nil"/>
              <w:bottom w:val="nil"/>
            </w:tcBorders>
            <w:shd w:val="clear" w:color="auto" w:fill="FFFFFF"/>
          </w:tcPr>
          <w:p w14:paraId="40E0EBC8" w14:textId="77777777" w:rsidR="008D5C51" w:rsidRPr="008D5C51" w:rsidRDefault="008D5C51" w:rsidP="008D5C51">
            <w:pPr>
              <w:pStyle w:val="CETBodytext"/>
              <w:jc w:val="left"/>
              <w:rPr>
                <w:lang w:val="en-GB"/>
              </w:rPr>
            </w:pPr>
            <w:r w:rsidRPr="008D5C51">
              <w:rPr>
                <w:lang w:val="en-GB"/>
              </w:rPr>
              <w:t>Safety knowledge</w:t>
            </w:r>
          </w:p>
        </w:tc>
        <w:tc>
          <w:tcPr>
            <w:tcW w:w="1134" w:type="dxa"/>
            <w:tcBorders>
              <w:top w:val="nil"/>
              <w:bottom w:val="nil"/>
            </w:tcBorders>
            <w:shd w:val="clear" w:color="auto" w:fill="FFFFFF"/>
          </w:tcPr>
          <w:p w14:paraId="0FC22536"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261A3C05"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577D5685" w14:textId="77777777" w:rsidR="008D5C51" w:rsidRPr="008D5C51" w:rsidRDefault="008D5C51" w:rsidP="001712C5">
            <w:pPr>
              <w:spacing w:line="240" w:lineRule="auto"/>
              <w:jc w:val="center"/>
              <w:rPr>
                <w:lang w:eastAsia="it-IT"/>
              </w:rPr>
            </w:pPr>
            <w:r w:rsidRPr="008D5C51">
              <w:rPr>
                <w:lang w:eastAsia="it-IT"/>
              </w:rPr>
              <w:t>--</w:t>
            </w:r>
          </w:p>
        </w:tc>
        <w:tc>
          <w:tcPr>
            <w:tcW w:w="1134" w:type="dxa"/>
            <w:tcBorders>
              <w:top w:val="nil"/>
              <w:bottom w:val="nil"/>
            </w:tcBorders>
            <w:shd w:val="clear" w:color="auto" w:fill="FFFFFF"/>
          </w:tcPr>
          <w:p w14:paraId="7E6D09D3" w14:textId="77777777" w:rsidR="008D5C51" w:rsidRPr="008D5C51" w:rsidRDefault="008D5C51" w:rsidP="008D5C51">
            <w:pPr>
              <w:pStyle w:val="CETBodytext"/>
              <w:ind w:right="-1"/>
              <w:rPr>
                <w:rFonts w:cs="Arial"/>
                <w:szCs w:val="18"/>
                <w:lang w:val="en-GB"/>
              </w:rPr>
            </w:pPr>
            <w:r w:rsidRPr="008D5C51">
              <w:rPr>
                <w:rFonts w:cs="Arial"/>
                <w:szCs w:val="18"/>
                <w:lang w:val="en-GB"/>
              </w:rPr>
              <w:t>--</w:t>
            </w:r>
          </w:p>
        </w:tc>
        <w:tc>
          <w:tcPr>
            <w:tcW w:w="1134" w:type="dxa"/>
            <w:tcBorders>
              <w:top w:val="nil"/>
              <w:bottom w:val="nil"/>
            </w:tcBorders>
          </w:tcPr>
          <w:p w14:paraId="381ED7DE" w14:textId="77777777" w:rsidR="008D5C51" w:rsidRPr="008D5C51" w:rsidRDefault="008D5C51" w:rsidP="001712C5">
            <w:pPr>
              <w:spacing w:line="240" w:lineRule="auto"/>
              <w:jc w:val="center"/>
              <w:rPr>
                <w:lang w:eastAsia="it-IT"/>
              </w:rPr>
            </w:pPr>
            <w:r w:rsidRPr="008D5C51">
              <w:rPr>
                <w:lang w:eastAsia="it-IT"/>
              </w:rPr>
              <w:t>--</w:t>
            </w:r>
          </w:p>
        </w:tc>
        <w:tc>
          <w:tcPr>
            <w:tcW w:w="1276" w:type="dxa"/>
            <w:tcBorders>
              <w:top w:val="nil"/>
              <w:bottom w:val="nil"/>
            </w:tcBorders>
          </w:tcPr>
          <w:p w14:paraId="124C2F00" w14:textId="77777777" w:rsidR="008D5C51" w:rsidRPr="0070389A" w:rsidRDefault="008D5C51" w:rsidP="001712C5">
            <w:pPr>
              <w:spacing w:line="240" w:lineRule="auto"/>
              <w:jc w:val="center"/>
              <w:rPr>
                <w:lang w:eastAsia="it-IT"/>
              </w:rPr>
            </w:pPr>
            <w:r w:rsidRPr="0070389A">
              <w:rPr>
                <w:lang w:eastAsia="it-IT"/>
              </w:rPr>
              <w:t>--</w:t>
            </w:r>
          </w:p>
        </w:tc>
      </w:tr>
      <w:tr w:rsidR="008D5C51" w:rsidRPr="0070389A" w14:paraId="6855F669" w14:textId="77777777" w:rsidTr="008D5C51">
        <w:tc>
          <w:tcPr>
            <w:tcW w:w="2268" w:type="dxa"/>
            <w:tcBorders>
              <w:top w:val="nil"/>
              <w:bottom w:val="nil"/>
            </w:tcBorders>
            <w:shd w:val="clear" w:color="auto" w:fill="FFFFFF"/>
          </w:tcPr>
          <w:p w14:paraId="4A39D216" w14:textId="77777777" w:rsidR="008D5C51" w:rsidRDefault="008D5C51" w:rsidP="008D5C51">
            <w:pPr>
              <w:pStyle w:val="CETBodytext"/>
              <w:jc w:val="left"/>
              <w:rPr>
                <w:i/>
                <w:lang w:val="en-GB"/>
              </w:rPr>
            </w:pPr>
          </w:p>
          <w:p w14:paraId="00E01054" w14:textId="77777777" w:rsidR="008D5C51" w:rsidRPr="000D57CE" w:rsidRDefault="008D5C51" w:rsidP="008D5C51">
            <w:pPr>
              <w:pStyle w:val="CETBodytext"/>
              <w:jc w:val="left"/>
              <w:rPr>
                <w:iCs/>
                <w:lang w:val="en-GB"/>
              </w:rPr>
            </w:pPr>
            <w:r w:rsidRPr="000D57CE">
              <w:rPr>
                <w:iCs/>
                <w:lang w:val="en-GB"/>
              </w:rPr>
              <w:t>Total effects</w:t>
            </w:r>
          </w:p>
        </w:tc>
        <w:tc>
          <w:tcPr>
            <w:tcW w:w="1134" w:type="dxa"/>
            <w:tcBorders>
              <w:top w:val="nil"/>
              <w:bottom w:val="nil"/>
            </w:tcBorders>
            <w:shd w:val="clear" w:color="auto" w:fill="FFFFFF"/>
          </w:tcPr>
          <w:p w14:paraId="2EDF26A8" w14:textId="77777777" w:rsidR="008D5C51" w:rsidRPr="0070389A" w:rsidRDefault="008D5C51" w:rsidP="001712C5">
            <w:pPr>
              <w:spacing w:line="240" w:lineRule="auto"/>
              <w:jc w:val="center"/>
              <w:rPr>
                <w:lang w:eastAsia="it-IT"/>
              </w:rPr>
            </w:pPr>
          </w:p>
        </w:tc>
        <w:tc>
          <w:tcPr>
            <w:tcW w:w="993" w:type="dxa"/>
            <w:tcBorders>
              <w:top w:val="nil"/>
              <w:bottom w:val="nil"/>
            </w:tcBorders>
            <w:shd w:val="clear" w:color="auto" w:fill="FFFFFF"/>
          </w:tcPr>
          <w:p w14:paraId="41DAC117" w14:textId="77777777" w:rsidR="008D5C51" w:rsidRPr="0070389A" w:rsidRDefault="008D5C51" w:rsidP="001712C5">
            <w:pPr>
              <w:spacing w:line="240" w:lineRule="auto"/>
              <w:jc w:val="center"/>
              <w:rPr>
                <w:lang w:eastAsia="it-IT"/>
              </w:rPr>
            </w:pPr>
          </w:p>
        </w:tc>
        <w:tc>
          <w:tcPr>
            <w:tcW w:w="850" w:type="dxa"/>
            <w:tcBorders>
              <w:top w:val="nil"/>
              <w:bottom w:val="nil"/>
            </w:tcBorders>
            <w:shd w:val="clear" w:color="auto" w:fill="FFFFFF"/>
          </w:tcPr>
          <w:p w14:paraId="002E6E55" w14:textId="77777777" w:rsidR="008D5C51" w:rsidRPr="0070389A" w:rsidRDefault="008D5C51" w:rsidP="001712C5">
            <w:pPr>
              <w:spacing w:line="240" w:lineRule="auto"/>
              <w:jc w:val="center"/>
              <w:rPr>
                <w:lang w:eastAsia="it-IT"/>
              </w:rPr>
            </w:pPr>
          </w:p>
        </w:tc>
        <w:tc>
          <w:tcPr>
            <w:tcW w:w="1134" w:type="dxa"/>
            <w:tcBorders>
              <w:top w:val="nil"/>
              <w:bottom w:val="nil"/>
            </w:tcBorders>
            <w:shd w:val="clear" w:color="auto" w:fill="FFFFFF"/>
          </w:tcPr>
          <w:p w14:paraId="104B5BF1" w14:textId="77777777" w:rsidR="008D5C51" w:rsidRPr="008D5C51" w:rsidRDefault="008D5C51" w:rsidP="008D5C51">
            <w:pPr>
              <w:pStyle w:val="CETBodytext"/>
              <w:ind w:right="-1"/>
              <w:rPr>
                <w:rFonts w:cs="Arial"/>
                <w:szCs w:val="18"/>
                <w:lang w:val="en-GB"/>
              </w:rPr>
            </w:pPr>
          </w:p>
        </w:tc>
        <w:tc>
          <w:tcPr>
            <w:tcW w:w="1134" w:type="dxa"/>
            <w:tcBorders>
              <w:top w:val="nil"/>
              <w:bottom w:val="nil"/>
            </w:tcBorders>
          </w:tcPr>
          <w:p w14:paraId="3612F4B6" w14:textId="77777777" w:rsidR="008D5C51" w:rsidRPr="0070389A" w:rsidRDefault="008D5C51" w:rsidP="001712C5">
            <w:pPr>
              <w:spacing w:line="240" w:lineRule="auto"/>
              <w:jc w:val="center"/>
              <w:rPr>
                <w:lang w:eastAsia="it-IT"/>
              </w:rPr>
            </w:pPr>
          </w:p>
        </w:tc>
        <w:tc>
          <w:tcPr>
            <w:tcW w:w="1276" w:type="dxa"/>
            <w:tcBorders>
              <w:top w:val="nil"/>
              <w:bottom w:val="nil"/>
            </w:tcBorders>
          </w:tcPr>
          <w:p w14:paraId="1042A8E4" w14:textId="77777777" w:rsidR="008D5C51" w:rsidRPr="0070389A" w:rsidRDefault="008D5C51" w:rsidP="001712C5">
            <w:pPr>
              <w:spacing w:line="240" w:lineRule="auto"/>
              <w:jc w:val="center"/>
              <w:rPr>
                <w:lang w:eastAsia="it-IT"/>
              </w:rPr>
            </w:pPr>
          </w:p>
        </w:tc>
      </w:tr>
      <w:tr w:rsidR="008D5C51" w:rsidRPr="0070389A" w14:paraId="7F856A02" w14:textId="77777777" w:rsidTr="008D5C51">
        <w:tc>
          <w:tcPr>
            <w:tcW w:w="2268" w:type="dxa"/>
            <w:tcBorders>
              <w:top w:val="nil"/>
              <w:bottom w:val="nil"/>
            </w:tcBorders>
            <w:shd w:val="clear" w:color="auto" w:fill="FFFFFF"/>
          </w:tcPr>
          <w:p w14:paraId="44DB1434" w14:textId="59466C1D" w:rsidR="008D5C51" w:rsidRPr="008D5C51" w:rsidRDefault="008D5C51" w:rsidP="008D5C51">
            <w:pPr>
              <w:pStyle w:val="CETBodytext"/>
              <w:jc w:val="left"/>
              <w:rPr>
                <w:lang w:val="en-GB"/>
              </w:rPr>
            </w:pPr>
            <w:r>
              <w:rPr>
                <w:lang w:val="en-GB"/>
              </w:rPr>
              <w:t>Safety e</w:t>
            </w:r>
            <w:r w:rsidRPr="008D5C51">
              <w:rPr>
                <w:lang w:val="en-GB"/>
              </w:rPr>
              <w:t>mpowering supervision</w:t>
            </w:r>
            <w:r>
              <w:rPr>
                <w:lang w:val="en-GB"/>
              </w:rPr>
              <w:t xml:space="preserve"> (SES)</w:t>
            </w:r>
            <w:r w:rsidRPr="008D5C51">
              <w:rPr>
                <w:lang w:val="en-GB"/>
              </w:rPr>
              <w:t xml:space="preserve"> </w:t>
            </w:r>
          </w:p>
        </w:tc>
        <w:tc>
          <w:tcPr>
            <w:tcW w:w="1134" w:type="dxa"/>
            <w:tcBorders>
              <w:top w:val="nil"/>
              <w:bottom w:val="nil"/>
            </w:tcBorders>
            <w:shd w:val="clear" w:color="auto" w:fill="FFFFFF"/>
          </w:tcPr>
          <w:p w14:paraId="23A2E49C" w14:textId="77777777" w:rsidR="008D5C51" w:rsidRPr="0070389A" w:rsidRDefault="008D5C51" w:rsidP="001712C5">
            <w:pPr>
              <w:spacing w:line="240" w:lineRule="auto"/>
              <w:jc w:val="center"/>
              <w:rPr>
                <w:lang w:eastAsia="it-IT"/>
              </w:rPr>
            </w:pPr>
            <w:r w:rsidRPr="0070389A">
              <w:rPr>
                <w:lang w:eastAsia="it-IT"/>
              </w:rPr>
              <w:t>.24**</w:t>
            </w:r>
          </w:p>
        </w:tc>
        <w:tc>
          <w:tcPr>
            <w:tcW w:w="993" w:type="dxa"/>
            <w:tcBorders>
              <w:top w:val="nil"/>
              <w:bottom w:val="nil"/>
            </w:tcBorders>
            <w:shd w:val="clear" w:color="auto" w:fill="FFFFFF"/>
          </w:tcPr>
          <w:p w14:paraId="3B2906B8"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2FF396B6" w14:textId="77777777" w:rsidR="008D5C51" w:rsidRPr="0070389A" w:rsidRDefault="008D5C51" w:rsidP="001712C5">
            <w:pPr>
              <w:spacing w:line="240" w:lineRule="auto"/>
              <w:jc w:val="center"/>
              <w:rPr>
                <w:lang w:eastAsia="it-IT"/>
              </w:rPr>
            </w:pPr>
            <w:r w:rsidRPr="0070389A">
              <w:rPr>
                <w:lang w:eastAsia="it-IT"/>
              </w:rPr>
              <w:t>.</w:t>
            </w:r>
            <w:r>
              <w:rPr>
                <w:lang w:eastAsia="it-IT"/>
              </w:rPr>
              <w:t>21sign</w:t>
            </w:r>
          </w:p>
        </w:tc>
        <w:tc>
          <w:tcPr>
            <w:tcW w:w="1134" w:type="dxa"/>
            <w:tcBorders>
              <w:top w:val="nil"/>
              <w:bottom w:val="nil"/>
            </w:tcBorders>
            <w:shd w:val="clear" w:color="auto" w:fill="FFFFFF"/>
          </w:tcPr>
          <w:p w14:paraId="2EE9A41A" w14:textId="77777777" w:rsidR="008D5C51" w:rsidRPr="008D5C51" w:rsidRDefault="008D5C51" w:rsidP="008D5C51">
            <w:pPr>
              <w:pStyle w:val="CETBodytext"/>
              <w:ind w:right="-1"/>
              <w:rPr>
                <w:rFonts w:cs="Arial"/>
                <w:szCs w:val="18"/>
                <w:lang w:val="en-GB"/>
              </w:rPr>
            </w:pPr>
            <w:r w:rsidRPr="008D5C51">
              <w:rPr>
                <w:rFonts w:cs="Arial"/>
                <w:szCs w:val="18"/>
                <w:lang w:val="en-GB"/>
              </w:rPr>
              <w:t>.10sign</w:t>
            </w:r>
          </w:p>
        </w:tc>
        <w:tc>
          <w:tcPr>
            <w:tcW w:w="1134" w:type="dxa"/>
            <w:tcBorders>
              <w:top w:val="nil"/>
              <w:bottom w:val="nil"/>
            </w:tcBorders>
          </w:tcPr>
          <w:p w14:paraId="54494712" w14:textId="77777777" w:rsidR="008D5C51" w:rsidRPr="0070389A" w:rsidRDefault="008D5C51" w:rsidP="001712C5">
            <w:pPr>
              <w:spacing w:line="240" w:lineRule="auto"/>
              <w:jc w:val="center"/>
              <w:rPr>
                <w:lang w:eastAsia="it-IT"/>
              </w:rPr>
            </w:pPr>
            <w:r w:rsidRPr="0070389A">
              <w:rPr>
                <w:lang w:eastAsia="it-IT"/>
              </w:rPr>
              <w:t>.</w:t>
            </w:r>
            <w:r>
              <w:rPr>
                <w:lang w:eastAsia="it-IT"/>
              </w:rPr>
              <w:t>11sign</w:t>
            </w:r>
          </w:p>
        </w:tc>
        <w:tc>
          <w:tcPr>
            <w:tcW w:w="1276" w:type="dxa"/>
            <w:tcBorders>
              <w:top w:val="nil"/>
              <w:bottom w:val="nil"/>
            </w:tcBorders>
          </w:tcPr>
          <w:p w14:paraId="1A385E46" w14:textId="77777777" w:rsidR="008D5C51" w:rsidRPr="0070389A" w:rsidRDefault="008D5C51" w:rsidP="001712C5">
            <w:pPr>
              <w:spacing w:line="240" w:lineRule="auto"/>
              <w:jc w:val="center"/>
              <w:rPr>
                <w:lang w:eastAsia="it-IT"/>
              </w:rPr>
            </w:pPr>
            <w:r w:rsidRPr="0070389A">
              <w:rPr>
                <w:lang w:eastAsia="it-IT"/>
              </w:rPr>
              <w:t>.04</w:t>
            </w:r>
            <w:r>
              <w:rPr>
                <w:lang w:eastAsia="it-IT"/>
              </w:rPr>
              <w:t>ns</w:t>
            </w:r>
          </w:p>
        </w:tc>
      </w:tr>
      <w:tr w:rsidR="008D5C51" w:rsidRPr="0070389A" w14:paraId="0D0F8696" w14:textId="77777777" w:rsidTr="008D5C51">
        <w:tc>
          <w:tcPr>
            <w:tcW w:w="2268" w:type="dxa"/>
            <w:tcBorders>
              <w:top w:val="nil"/>
              <w:bottom w:val="nil"/>
            </w:tcBorders>
            <w:shd w:val="clear" w:color="auto" w:fill="FFFFFF"/>
          </w:tcPr>
          <w:p w14:paraId="3C40D2FA" w14:textId="629053DC" w:rsidR="008D5C51" w:rsidRPr="008D5C51" w:rsidRDefault="008D5C51" w:rsidP="008D5C51">
            <w:pPr>
              <w:pStyle w:val="CETBodytext"/>
              <w:jc w:val="left"/>
              <w:rPr>
                <w:lang w:val="en-GB"/>
              </w:rPr>
            </w:pPr>
            <w:r>
              <w:rPr>
                <w:lang w:val="en-GB"/>
              </w:rPr>
              <w:t>Safety m</w:t>
            </w:r>
            <w:r w:rsidRPr="008D5C51">
              <w:rPr>
                <w:lang w:val="en-GB"/>
              </w:rPr>
              <w:t>onitoring supervision</w:t>
            </w:r>
            <w:r>
              <w:rPr>
                <w:lang w:val="en-GB"/>
              </w:rPr>
              <w:t xml:space="preserve"> (SMS)</w:t>
            </w:r>
          </w:p>
        </w:tc>
        <w:tc>
          <w:tcPr>
            <w:tcW w:w="1134" w:type="dxa"/>
            <w:tcBorders>
              <w:top w:val="nil"/>
              <w:bottom w:val="nil"/>
            </w:tcBorders>
            <w:shd w:val="clear" w:color="auto" w:fill="FFFFFF"/>
          </w:tcPr>
          <w:p w14:paraId="1DEA8B3A" w14:textId="77777777" w:rsidR="008D5C51" w:rsidRPr="0070389A" w:rsidRDefault="008D5C51" w:rsidP="001712C5">
            <w:pPr>
              <w:spacing w:line="240" w:lineRule="auto"/>
              <w:jc w:val="center"/>
              <w:rPr>
                <w:lang w:eastAsia="it-IT"/>
              </w:rPr>
            </w:pPr>
            <w:r w:rsidRPr="0070389A">
              <w:rPr>
                <w:lang w:eastAsia="it-IT"/>
              </w:rPr>
              <w:t>.23**</w:t>
            </w:r>
          </w:p>
        </w:tc>
        <w:tc>
          <w:tcPr>
            <w:tcW w:w="993" w:type="dxa"/>
            <w:tcBorders>
              <w:top w:val="nil"/>
              <w:bottom w:val="nil"/>
            </w:tcBorders>
            <w:shd w:val="clear" w:color="auto" w:fill="FFFFFF"/>
          </w:tcPr>
          <w:p w14:paraId="49EBF1B5" w14:textId="77777777" w:rsidR="008D5C51" w:rsidRPr="0070389A" w:rsidRDefault="008D5C51" w:rsidP="001712C5">
            <w:pPr>
              <w:spacing w:line="240" w:lineRule="auto"/>
              <w:jc w:val="center"/>
              <w:rPr>
                <w:lang w:eastAsia="it-IT"/>
              </w:rPr>
            </w:pPr>
            <w:r w:rsidRPr="0070389A">
              <w:rPr>
                <w:lang w:eastAsia="it-IT"/>
              </w:rPr>
              <w:t>.36**</w:t>
            </w:r>
          </w:p>
        </w:tc>
        <w:tc>
          <w:tcPr>
            <w:tcW w:w="850" w:type="dxa"/>
            <w:tcBorders>
              <w:top w:val="nil"/>
              <w:bottom w:val="nil"/>
            </w:tcBorders>
            <w:shd w:val="clear" w:color="auto" w:fill="FFFFFF"/>
          </w:tcPr>
          <w:p w14:paraId="7BA48B16" w14:textId="77777777" w:rsidR="008D5C51" w:rsidRPr="0070389A" w:rsidRDefault="008D5C51" w:rsidP="001712C5">
            <w:pPr>
              <w:spacing w:line="240" w:lineRule="auto"/>
              <w:jc w:val="center"/>
              <w:rPr>
                <w:lang w:eastAsia="it-IT"/>
              </w:rPr>
            </w:pPr>
            <w:r w:rsidRPr="0070389A">
              <w:rPr>
                <w:lang w:eastAsia="it-IT"/>
              </w:rPr>
              <w:t>.0</w:t>
            </w:r>
            <w:r>
              <w:rPr>
                <w:lang w:eastAsia="it-IT"/>
              </w:rPr>
              <w:t>4ns</w:t>
            </w:r>
            <w:r w:rsidRPr="0070389A">
              <w:rPr>
                <w:lang w:eastAsia="it-IT"/>
              </w:rPr>
              <w:t xml:space="preserve"> </w:t>
            </w:r>
          </w:p>
        </w:tc>
        <w:tc>
          <w:tcPr>
            <w:tcW w:w="1134" w:type="dxa"/>
            <w:tcBorders>
              <w:top w:val="nil"/>
              <w:bottom w:val="nil"/>
            </w:tcBorders>
            <w:shd w:val="clear" w:color="auto" w:fill="FFFFFF"/>
          </w:tcPr>
          <w:p w14:paraId="7278BF21" w14:textId="77777777" w:rsidR="008D5C51" w:rsidRPr="008D5C51" w:rsidRDefault="008D5C51" w:rsidP="008D5C51">
            <w:pPr>
              <w:pStyle w:val="CETBodytext"/>
              <w:ind w:right="-1"/>
              <w:rPr>
                <w:rFonts w:cs="Arial"/>
                <w:szCs w:val="18"/>
                <w:lang w:val="en-GB"/>
              </w:rPr>
            </w:pPr>
            <w:r w:rsidRPr="008D5C51">
              <w:rPr>
                <w:rFonts w:cs="Arial"/>
                <w:szCs w:val="18"/>
                <w:lang w:val="en-GB"/>
              </w:rPr>
              <w:t>.17sign</w:t>
            </w:r>
          </w:p>
        </w:tc>
        <w:tc>
          <w:tcPr>
            <w:tcW w:w="1134" w:type="dxa"/>
            <w:tcBorders>
              <w:top w:val="nil"/>
              <w:bottom w:val="nil"/>
            </w:tcBorders>
          </w:tcPr>
          <w:p w14:paraId="1D4943CF" w14:textId="77777777" w:rsidR="008D5C51" w:rsidRPr="0070389A" w:rsidRDefault="008D5C51" w:rsidP="001712C5">
            <w:pPr>
              <w:spacing w:line="240" w:lineRule="auto"/>
              <w:jc w:val="center"/>
              <w:rPr>
                <w:lang w:eastAsia="it-IT"/>
              </w:rPr>
            </w:pPr>
            <w:r w:rsidRPr="0070389A">
              <w:rPr>
                <w:lang w:eastAsia="it-IT"/>
              </w:rPr>
              <w:t>.</w:t>
            </w:r>
            <w:r>
              <w:rPr>
                <w:lang w:eastAsia="it-IT"/>
              </w:rPr>
              <w:t>26sign</w:t>
            </w:r>
          </w:p>
        </w:tc>
        <w:tc>
          <w:tcPr>
            <w:tcW w:w="1276" w:type="dxa"/>
            <w:tcBorders>
              <w:top w:val="nil"/>
              <w:bottom w:val="nil"/>
            </w:tcBorders>
          </w:tcPr>
          <w:p w14:paraId="1EBB288E" w14:textId="77777777" w:rsidR="008D5C51" w:rsidRPr="0070389A" w:rsidRDefault="008D5C51" w:rsidP="001712C5">
            <w:pPr>
              <w:spacing w:line="240" w:lineRule="auto"/>
              <w:jc w:val="center"/>
              <w:rPr>
                <w:lang w:eastAsia="it-IT"/>
              </w:rPr>
            </w:pPr>
            <w:r w:rsidRPr="0070389A">
              <w:rPr>
                <w:lang w:eastAsia="it-IT"/>
              </w:rPr>
              <w:t>.1</w:t>
            </w:r>
            <w:r>
              <w:rPr>
                <w:lang w:eastAsia="it-IT"/>
              </w:rPr>
              <w:t>2sign</w:t>
            </w:r>
          </w:p>
        </w:tc>
      </w:tr>
      <w:tr w:rsidR="008D5C51" w:rsidRPr="0070389A" w14:paraId="34FFE210" w14:textId="77777777" w:rsidTr="008D5C51">
        <w:tc>
          <w:tcPr>
            <w:tcW w:w="2268" w:type="dxa"/>
            <w:tcBorders>
              <w:top w:val="nil"/>
              <w:bottom w:val="nil"/>
            </w:tcBorders>
            <w:shd w:val="clear" w:color="auto" w:fill="FFFFFF"/>
          </w:tcPr>
          <w:p w14:paraId="27AAE868" w14:textId="6BBCA869" w:rsidR="008D5C51" w:rsidRPr="008D5C51" w:rsidRDefault="008D5C51" w:rsidP="008D5C51">
            <w:pPr>
              <w:pStyle w:val="CETBodytext"/>
              <w:jc w:val="left"/>
              <w:rPr>
                <w:lang w:val="en-GB"/>
              </w:rPr>
            </w:pPr>
            <w:r>
              <w:rPr>
                <w:lang w:val="en-GB"/>
              </w:rPr>
              <w:t>Felt responsibility</w:t>
            </w:r>
          </w:p>
        </w:tc>
        <w:tc>
          <w:tcPr>
            <w:tcW w:w="1134" w:type="dxa"/>
            <w:tcBorders>
              <w:top w:val="nil"/>
              <w:bottom w:val="nil"/>
            </w:tcBorders>
            <w:shd w:val="clear" w:color="auto" w:fill="FFFFFF"/>
          </w:tcPr>
          <w:p w14:paraId="62A2B54C"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17120472"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2941491B" w14:textId="77777777" w:rsidR="008D5C51" w:rsidRPr="0070389A" w:rsidRDefault="008D5C51" w:rsidP="001712C5">
            <w:pPr>
              <w:spacing w:line="240" w:lineRule="auto"/>
              <w:jc w:val="center"/>
              <w:rPr>
                <w:lang w:eastAsia="it-IT"/>
              </w:rPr>
            </w:pPr>
            <w:r w:rsidRPr="0070389A">
              <w:rPr>
                <w:lang w:eastAsia="it-IT"/>
              </w:rPr>
              <w:t>.</w:t>
            </w:r>
            <w:r>
              <w:rPr>
                <w:lang w:eastAsia="it-IT"/>
              </w:rPr>
              <w:t>3</w:t>
            </w:r>
            <w:r w:rsidRPr="0070389A">
              <w:rPr>
                <w:lang w:eastAsia="it-IT"/>
              </w:rPr>
              <w:t>8**</w:t>
            </w:r>
          </w:p>
        </w:tc>
        <w:tc>
          <w:tcPr>
            <w:tcW w:w="1134" w:type="dxa"/>
            <w:tcBorders>
              <w:top w:val="nil"/>
              <w:bottom w:val="nil"/>
            </w:tcBorders>
            <w:shd w:val="clear" w:color="auto" w:fill="FFFFFF"/>
          </w:tcPr>
          <w:p w14:paraId="489E536B" w14:textId="77777777" w:rsidR="008D5C51" w:rsidRPr="008D5C51" w:rsidRDefault="008D5C51" w:rsidP="008D5C51">
            <w:pPr>
              <w:pStyle w:val="CETBodytext"/>
              <w:ind w:right="-1"/>
              <w:rPr>
                <w:rFonts w:cs="Arial"/>
                <w:szCs w:val="18"/>
                <w:lang w:val="en-GB"/>
              </w:rPr>
            </w:pPr>
            <w:r w:rsidRPr="008D5C51">
              <w:rPr>
                <w:rFonts w:cs="Arial"/>
                <w:szCs w:val="18"/>
                <w:lang w:val="en-GB"/>
              </w:rPr>
              <w:t>.44**</w:t>
            </w:r>
          </w:p>
        </w:tc>
        <w:tc>
          <w:tcPr>
            <w:tcW w:w="1134" w:type="dxa"/>
            <w:tcBorders>
              <w:top w:val="nil"/>
              <w:bottom w:val="nil"/>
            </w:tcBorders>
          </w:tcPr>
          <w:p w14:paraId="7CF31C10" w14:textId="77777777" w:rsidR="008D5C51" w:rsidRPr="0070389A" w:rsidRDefault="008D5C51" w:rsidP="001712C5">
            <w:pPr>
              <w:spacing w:line="240" w:lineRule="auto"/>
              <w:jc w:val="center"/>
              <w:rPr>
                <w:lang w:eastAsia="it-IT"/>
              </w:rPr>
            </w:pPr>
            <w:r w:rsidRPr="0070389A">
              <w:rPr>
                <w:lang w:eastAsia="it-IT"/>
              </w:rPr>
              <w:t>.</w:t>
            </w:r>
            <w:r>
              <w:rPr>
                <w:lang w:eastAsia="it-IT"/>
              </w:rPr>
              <w:t>35</w:t>
            </w:r>
            <w:r w:rsidRPr="0070389A">
              <w:rPr>
                <w:lang w:eastAsia="it-IT"/>
              </w:rPr>
              <w:t>**</w:t>
            </w:r>
          </w:p>
        </w:tc>
        <w:tc>
          <w:tcPr>
            <w:tcW w:w="1276" w:type="dxa"/>
            <w:tcBorders>
              <w:top w:val="nil"/>
              <w:bottom w:val="nil"/>
            </w:tcBorders>
          </w:tcPr>
          <w:p w14:paraId="15889D1B" w14:textId="77777777" w:rsidR="008D5C51" w:rsidRPr="0070389A" w:rsidRDefault="008D5C51" w:rsidP="001712C5">
            <w:pPr>
              <w:spacing w:line="240" w:lineRule="auto"/>
              <w:jc w:val="center"/>
              <w:rPr>
                <w:lang w:eastAsia="it-IT"/>
              </w:rPr>
            </w:pPr>
            <w:r w:rsidRPr="0070389A">
              <w:rPr>
                <w:lang w:eastAsia="it-IT"/>
              </w:rPr>
              <w:t>.17**</w:t>
            </w:r>
          </w:p>
        </w:tc>
      </w:tr>
      <w:tr w:rsidR="008D5C51" w:rsidRPr="0070389A" w14:paraId="491B1CCA" w14:textId="77777777" w:rsidTr="008D5C51">
        <w:tc>
          <w:tcPr>
            <w:tcW w:w="2268" w:type="dxa"/>
            <w:tcBorders>
              <w:top w:val="nil"/>
              <w:bottom w:val="nil"/>
            </w:tcBorders>
            <w:shd w:val="clear" w:color="auto" w:fill="FFFFFF"/>
          </w:tcPr>
          <w:p w14:paraId="57903DB4" w14:textId="77777777" w:rsidR="008D5C51" w:rsidRPr="008D5C51" w:rsidRDefault="008D5C51" w:rsidP="008D5C51">
            <w:pPr>
              <w:pStyle w:val="CETBodytext"/>
              <w:jc w:val="left"/>
              <w:rPr>
                <w:lang w:val="en-GB"/>
              </w:rPr>
            </w:pPr>
            <w:r w:rsidRPr="008D5C51">
              <w:rPr>
                <w:lang w:val="en-GB"/>
              </w:rPr>
              <w:t>Safety knowledge</w:t>
            </w:r>
          </w:p>
        </w:tc>
        <w:tc>
          <w:tcPr>
            <w:tcW w:w="1134" w:type="dxa"/>
            <w:tcBorders>
              <w:top w:val="nil"/>
              <w:bottom w:val="nil"/>
            </w:tcBorders>
            <w:shd w:val="clear" w:color="auto" w:fill="FFFFFF"/>
          </w:tcPr>
          <w:p w14:paraId="539BFD94" w14:textId="77777777" w:rsidR="008D5C51" w:rsidRPr="0070389A" w:rsidRDefault="008D5C51" w:rsidP="001712C5">
            <w:pPr>
              <w:spacing w:line="240" w:lineRule="auto"/>
              <w:jc w:val="center"/>
              <w:rPr>
                <w:lang w:eastAsia="it-IT"/>
              </w:rPr>
            </w:pPr>
            <w:r w:rsidRPr="0070389A">
              <w:rPr>
                <w:lang w:eastAsia="it-IT"/>
              </w:rPr>
              <w:t>--</w:t>
            </w:r>
          </w:p>
        </w:tc>
        <w:tc>
          <w:tcPr>
            <w:tcW w:w="993" w:type="dxa"/>
            <w:tcBorders>
              <w:top w:val="nil"/>
              <w:bottom w:val="nil"/>
            </w:tcBorders>
            <w:shd w:val="clear" w:color="auto" w:fill="FFFFFF"/>
          </w:tcPr>
          <w:p w14:paraId="225BF2C8" w14:textId="77777777" w:rsidR="008D5C51" w:rsidRPr="0070389A" w:rsidRDefault="008D5C51" w:rsidP="001712C5">
            <w:pPr>
              <w:spacing w:line="240" w:lineRule="auto"/>
              <w:jc w:val="center"/>
              <w:rPr>
                <w:lang w:eastAsia="it-IT"/>
              </w:rPr>
            </w:pPr>
            <w:r w:rsidRPr="0070389A">
              <w:rPr>
                <w:lang w:eastAsia="it-IT"/>
              </w:rPr>
              <w:t>--</w:t>
            </w:r>
          </w:p>
        </w:tc>
        <w:tc>
          <w:tcPr>
            <w:tcW w:w="850" w:type="dxa"/>
            <w:tcBorders>
              <w:top w:val="nil"/>
              <w:bottom w:val="nil"/>
            </w:tcBorders>
            <w:shd w:val="clear" w:color="auto" w:fill="FFFFFF"/>
          </w:tcPr>
          <w:p w14:paraId="3C7D983B" w14:textId="77777777" w:rsidR="008D5C51" w:rsidRPr="0070389A" w:rsidRDefault="008D5C51" w:rsidP="001712C5">
            <w:pPr>
              <w:spacing w:line="240" w:lineRule="auto"/>
              <w:jc w:val="center"/>
              <w:rPr>
                <w:lang w:eastAsia="it-IT"/>
              </w:rPr>
            </w:pPr>
            <w:r w:rsidRPr="0070389A">
              <w:rPr>
                <w:lang w:eastAsia="it-IT"/>
              </w:rPr>
              <w:t>--</w:t>
            </w:r>
          </w:p>
        </w:tc>
        <w:tc>
          <w:tcPr>
            <w:tcW w:w="1134" w:type="dxa"/>
            <w:tcBorders>
              <w:top w:val="nil"/>
              <w:bottom w:val="nil"/>
            </w:tcBorders>
            <w:shd w:val="clear" w:color="auto" w:fill="FFFFFF"/>
          </w:tcPr>
          <w:p w14:paraId="3945E467" w14:textId="77777777" w:rsidR="008D5C51" w:rsidRPr="008D5C51" w:rsidRDefault="008D5C51" w:rsidP="008D5C51">
            <w:pPr>
              <w:pStyle w:val="CETBodytext"/>
              <w:ind w:right="-1"/>
              <w:rPr>
                <w:rFonts w:cs="Arial"/>
                <w:szCs w:val="18"/>
                <w:lang w:val="en-GB"/>
              </w:rPr>
            </w:pPr>
            <w:r w:rsidRPr="008D5C51">
              <w:rPr>
                <w:rFonts w:cs="Arial"/>
                <w:szCs w:val="18"/>
                <w:lang w:val="en-GB"/>
              </w:rPr>
              <w:t>--</w:t>
            </w:r>
          </w:p>
        </w:tc>
        <w:tc>
          <w:tcPr>
            <w:tcW w:w="1134" w:type="dxa"/>
            <w:tcBorders>
              <w:top w:val="nil"/>
              <w:bottom w:val="nil"/>
            </w:tcBorders>
          </w:tcPr>
          <w:p w14:paraId="49581C82" w14:textId="77777777" w:rsidR="008D5C51" w:rsidRPr="0070389A" w:rsidRDefault="008D5C51" w:rsidP="001712C5">
            <w:pPr>
              <w:spacing w:line="240" w:lineRule="auto"/>
              <w:jc w:val="center"/>
              <w:rPr>
                <w:lang w:eastAsia="it-IT"/>
              </w:rPr>
            </w:pPr>
            <w:r w:rsidRPr="0070389A">
              <w:rPr>
                <w:lang w:eastAsia="it-IT"/>
              </w:rPr>
              <w:t>.</w:t>
            </w:r>
            <w:r>
              <w:rPr>
                <w:lang w:eastAsia="it-IT"/>
              </w:rPr>
              <w:t>21</w:t>
            </w:r>
            <w:r w:rsidRPr="0070389A">
              <w:rPr>
                <w:lang w:eastAsia="it-IT"/>
              </w:rPr>
              <w:t>**</w:t>
            </w:r>
          </w:p>
        </w:tc>
        <w:tc>
          <w:tcPr>
            <w:tcW w:w="1276" w:type="dxa"/>
            <w:tcBorders>
              <w:top w:val="nil"/>
              <w:bottom w:val="nil"/>
            </w:tcBorders>
          </w:tcPr>
          <w:p w14:paraId="544A7FF1" w14:textId="77777777" w:rsidR="008D5C51" w:rsidRPr="0070389A" w:rsidRDefault="008D5C51" w:rsidP="001712C5">
            <w:pPr>
              <w:spacing w:line="240" w:lineRule="auto"/>
              <w:jc w:val="center"/>
              <w:rPr>
                <w:lang w:eastAsia="it-IT"/>
              </w:rPr>
            </w:pPr>
            <w:r w:rsidRPr="0070389A">
              <w:rPr>
                <w:lang w:eastAsia="it-IT"/>
              </w:rPr>
              <w:t>.36**</w:t>
            </w:r>
          </w:p>
        </w:tc>
      </w:tr>
      <w:tr w:rsidR="008D5C51" w:rsidRPr="0070389A" w14:paraId="1ABB76D9" w14:textId="77777777" w:rsidTr="008D5C51">
        <w:tc>
          <w:tcPr>
            <w:tcW w:w="2268" w:type="dxa"/>
            <w:tcBorders>
              <w:top w:val="nil"/>
              <w:bottom w:val="nil"/>
            </w:tcBorders>
            <w:shd w:val="clear" w:color="auto" w:fill="FFFFFF"/>
          </w:tcPr>
          <w:p w14:paraId="302C3BDD" w14:textId="77777777" w:rsidR="008D5C51" w:rsidRPr="008D5C51" w:rsidRDefault="008D5C51" w:rsidP="008D5C51">
            <w:pPr>
              <w:pStyle w:val="CETBodytext"/>
              <w:jc w:val="left"/>
              <w:rPr>
                <w:lang w:val="en-GB"/>
              </w:rPr>
            </w:pPr>
          </w:p>
        </w:tc>
        <w:tc>
          <w:tcPr>
            <w:tcW w:w="1134" w:type="dxa"/>
            <w:tcBorders>
              <w:top w:val="nil"/>
              <w:bottom w:val="nil"/>
            </w:tcBorders>
            <w:shd w:val="clear" w:color="auto" w:fill="FFFFFF"/>
          </w:tcPr>
          <w:p w14:paraId="2C0155E4" w14:textId="77777777" w:rsidR="008D5C51" w:rsidRPr="0070389A" w:rsidRDefault="008D5C51" w:rsidP="001712C5">
            <w:pPr>
              <w:spacing w:line="240" w:lineRule="auto"/>
              <w:jc w:val="center"/>
              <w:rPr>
                <w:lang w:eastAsia="it-IT"/>
              </w:rPr>
            </w:pPr>
          </w:p>
        </w:tc>
        <w:tc>
          <w:tcPr>
            <w:tcW w:w="993" w:type="dxa"/>
            <w:tcBorders>
              <w:top w:val="nil"/>
              <w:bottom w:val="nil"/>
            </w:tcBorders>
            <w:shd w:val="clear" w:color="auto" w:fill="FFFFFF"/>
          </w:tcPr>
          <w:p w14:paraId="4A48E60B" w14:textId="77777777" w:rsidR="008D5C51" w:rsidRPr="0070389A" w:rsidRDefault="008D5C51" w:rsidP="001712C5">
            <w:pPr>
              <w:spacing w:line="240" w:lineRule="auto"/>
              <w:jc w:val="center"/>
              <w:rPr>
                <w:lang w:eastAsia="it-IT"/>
              </w:rPr>
            </w:pPr>
          </w:p>
        </w:tc>
        <w:tc>
          <w:tcPr>
            <w:tcW w:w="850" w:type="dxa"/>
            <w:tcBorders>
              <w:top w:val="nil"/>
              <w:bottom w:val="nil"/>
            </w:tcBorders>
            <w:shd w:val="clear" w:color="auto" w:fill="FFFFFF"/>
          </w:tcPr>
          <w:p w14:paraId="69AE0225" w14:textId="77777777" w:rsidR="008D5C51" w:rsidRPr="0070389A" w:rsidRDefault="008D5C51" w:rsidP="001712C5">
            <w:pPr>
              <w:spacing w:line="240" w:lineRule="auto"/>
              <w:jc w:val="center"/>
              <w:rPr>
                <w:lang w:eastAsia="it-IT"/>
              </w:rPr>
            </w:pPr>
          </w:p>
        </w:tc>
        <w:tc>
          <w:tcPr>
            <w:tcW w:w="1134" w:type="dxa"/>
            <w:tcBorders>
              <w:top w:val="nil"/>
              <w:bottom w:val="nil"/>
            </w:tcBorders>
            <w:shd w:val="clear" w:color="auto" w:fill="FFFFFF"/>
          </w:tcPr>
          <w:p w14:paraId="53953097" w14:textId="77777777" w:rsidR="008D5C51" w:rsidRPr="008D5C51" w:rsidRDefault="008D5C51" w:rsidP="008D5C51">
            <w:pPr>
              <w:pStyle w:val="CETBodytext"/>
              <w:ind w:right="-1"/>
              <w:rPr>
                <w:rFonts w:cs="Arial"/>
                <w:szCs w:val="18"/>
                <w:lang w:val="en-GB"/>
              </w:rPr>
            </w:pPr>
          </w:p>
        </w:tc>
        <w:tc>
          <w:tcPr>
            <w:tcW w:w="1134" w:type="dxa"/>
            <w:tcBorders>
              <w:top w:val="nil"/>
              <w:bottom w:val="nil"/>
            </w:tcBorders>
          </w:tcPr>
          <w:p w14:paraId="1D75E0F5" w14:textId="77777777" w:rsidR="008D5C51" w:rsidRPr="0070389A" w:rsidRDefault="008D5C51" w:rsidP="001712C5">
            <w:pPr>
              <w:spacing w:line="240" w:lineRule="auto"/>
              <w:jc w:val="center"/>
              <w:rPr>
                <w:lang w:eastAsia="it-IT"/>
              </w:rPr>
            </w:pPr>
          </w:p>
        </w:tc>
        <w:tc>
          <w:tcPr>
            <w:tcW w:w="1276" w:type="dxa"/>
            <w:tcBorders>
              <w:top w:val="nil"/>
              <w:bottom w:val="nil"/>
            </w:tcBorders>
          </w:tcPr>
          <w:p w14:paraId="4E43D126" w14:textId="77777777" w:rsidR="008D5C51" w:rsidRPr="0070389A" w:rsidRDefault="008D5C51" w:rsidP="001712C5">
            <w:pPr>
              <w:spacing w:line="240" w:lineRule="auto"/>
              <w:jc w:val="center"/>
              <w:rPr>
                <w:lang w:eastAsia="it-IT"/>
              </w:rPr>
            </w:pPr>
          </w:p>
        </w:tc>
      </w:tr>
      <w:tr w:rsidR="008D5C51" w:rsidRPr="0070389A" w14:paraId="4127EED0" w14:textId="77777777" w:rsidTr="008D5C51">
        <w:tc>
          <w:tcPr>
            <w:tcW w:w="2268" w:type="dxa"/>
            <w:tcBorders>
              <w:top w:val="nil"/>
              <w:bottom w:val="single" w:sz="4" w:space="0" w:color="auto"/>
            </w:tcBorders>
            <w:shd w:val="clear" w:color="auto" w:fill="FFFFFF"/>
          </w:tcPr>
          <w:p w14:paraId="24CB26B8" w14:textId="77777777" w:rsidR="008D5C51" w:rsidRPr="008D5C51" w:rsidRDefault="008D5C51" w:rsidP="008D5C51">
            <w:pPr>
              <w:pStyle w:val="CETBodytext"/>
              <w:jc w:val="left"/>
              <w:rPr>
                <w:lang w:val="en-GB"/>
              </w:rPr>
            </w:pPr>
            <w:r w:rsidRPr="008D5C51">
              <w:rPr>
                <w:lang w:val="en-GB"/>
              </w:rPr>
              <w:t>Total explained variance</w:t>
            </w:r>
          </w:p>
          <w:p w14:paraId="20992A0D" w14:textId="1B7E4900" w:rsidR="008D5C51" w:rsidRPr="008D5C51" w:rsidRDefault="004E1855" w:rsidP="008D5C51">
            <w:pPr>
              <w:pStyle w:val="CETBodytext"/>
              <w:jc w:val="left"/>
              <w:rPr>
                <w:lang w:val="en-GB"/>
              </w:rPr>
            </w:pPr>
            <w:r w:rsidRPr="00AA68FF">
              <w:rPr>
                <w:lang w:eastAsia="it-IT"/>
              </w:rPr>
              <w:t>(Adjusted R</w:t>
            </w:r>
            <w:r w:rsidRPr="00AA68FF">
              <w:rPr>
                <w:vertAlign w:val="superscript"/>
                <w:lang w:val="en-GB" w:eastAsia="it-IT"/>
              </w:rPr>
              <w:t>2</w:t>
            </w:r>
            <w:r w:rsidRPr="00AA68FF">
              <w:rPr>
                <w:lang w:eastAsia="it-IT"/>
              </w:rPr>
              <w:t>)</w:t>
            </w:r>
          </w:p>
        </w:tc>
        <w:tc>
          <w:tcPr>
            <w:tcW w:w="1134" w:type="dxa"/>
            <w:tcBorders>
              <w:top w:val="nil"/>
              <w:bottom w:val="single" w:sz="4" w:space="0" w:color="auto"/>
            </w:tcBorders>
            <w:shd w:val="clear" w:color="auto" w:fill="FFFFFF"/>
          </w:tcPr>
          <w:p w14:paraId="2EEEF9F5" w14:textId="77777777" w:rsidR="008D5C51" w:rsidRPr="0070389A" w:rsidRDefault="008D5C51" w:rsidP="001712C5">
            <w:pPr>
              <w:spacing w:line="240" w:lineRule="auto"/>
              <w:jc w:val="center"/>
              <w:rPr>
                <w:lang w:eastAsia="it-IT"/>
              </w:rPr>
            </w:pPr>
          </w:p>
          <w:p w14:paraId="20F7FF8D" w14:textId="77777777" w:rsidR="008D5C51" w:rsidRPr="0070389A" w:rsidRDefault="008D5C51" w:rsidP="001712C5">
            <w:pPr>
              <w:spacing w:line="240" w:lineRule="auto"/>
              <w:jc w:val="center"/>
              <w:rPr>
                <w:lang w:eastAsia="it-IT"/>
              </w:rPr>
            </w:pPr>
            <w:r w:rsidRPr="0070389A">
              <w:rPr>
                <w:lang w:eastAsia="it-IT"/>
              </w:rPr>
              <w:t>.</w:t>
            </w:r>
            <w:r>
              <w:rPr>
                <w:lang w:eastAsia="it-IT"/>
              </w:rPr>
              <w:t>20</w:t>
            </w:r>
          </w:p>
        </w:tc>
        <w:tc>
          <w:tcPr>
            <w:tcW w:w="993" w:type="dxa"/>
            <w:tcBorders>
              <w:top w:val="nil"/>
              <w:bottom w:val="single" w:sz="4" w:space="0" w:color="auto"/>
            </w:tcBorders>
            <w:shd w:val="clear" w:color="auto" w:fill="FFFFFF"/>
          </w:tcPr>
          <w:p w14:paraId="65138C01" w14:textId="77777777" w:rsidR="008D5C51" w:rsidRPr="0070389A" w:rsidRDefault="008D5C51" w:rsidP="001712C5">
            <w:pPr>
              <w:spacing w:line="240" w:lineRule="auto"/>
              <w:jc w:val="center"/>
              <w:rPr>
                <w:lang w:eastAsia="it-IT"/>
              </w:rPr>
            </w:pPr>
          </w:p>
          <w:p w14:paraId="39EEDCA7" w14:textId="77777777" w:rsidR="008D5C51" w:rsidRPr="0070389A" w:rsidRDefault="008D5C51" w:rsidP="001712C5">
            <w:pPr>
              <w:spacing w:line="240" w:lineRule="auto"/>
              <w:jc w:val="center"/>
              <w:rPr>
                <w:lang w:eastAsia="it-IT"/>
              </w:rPr>
            </w:pPr>
            <w:r w:rsidRPr="0070389A">
              <w:rPr>
                <w:lang w:eastAsia="it-IT"/>
              </w:rPr>
              <w:t>.1</w:t>
            </w:r>
            <w:r>
              <w:rPr>
                <w:lang w:eastAsia="it-IT"/>
              </w:rPr>
              <w:t>4</w:t>
            </w:r>
          </w:p>
        </w:tc>
        <w:tc>
          <w:tcPr>
            <w:tcW w:w="850" w:type="dxa"/>
            <w:tcBorders>
              <w:top w:val="nil"/>
              <w:bottom w:val="single" w:sz="4" w:space="0" w:color="auto"/>
            </w:tcBorders>
            <w:shd w:val="clear" w:color="auto" w:fill="FFFFFF"/>
          </w:tcPr>
          <w:p w14:paraId="1B93C7CA" w14:textId="77777777" w:rsidR="008D5C51" w:rsidRPr="0070389A" w:rsidRDefault="008D5C51" w:rsidP="001712C5">
            <w:pPr>
              <w:spacing w:line="240" w:lineRule="auto"/>
              <w:jc w:val="center"/>
              <w:rPr>
                <w:lang w:eastAsia="it-IT"/>
              </w:rPr>
            </w:pPr>
          </w:p>
          <w:p w14:paraId="0F64510D" w14:textId="77777777" w:rsidR="008D5C51" w:rsidRPr="0070389A" w:rsidRDefault="008D5C51" w:rsidP="001712C5">
            <w:pPr>
              <w:spacing w:line="240" w:lineRule="auto"/>
              <w:jc w:val="center"/>
              <w:rPr>
                <w:lang w:eastAsia="it-IT"/>
              </w:rPr>
            </w:pPr>
            <w:r w:rsidRPr="0070389A">
              <w:rPr>
                <w:lang w:eastAsia="it-IT"/>
              </w:rPr>
              <w:t>.</w:t>
            </w:r>
            <w:r>
              <w:rPr>
                <w:lang w:eastAsia="it-IT"/>
              </w:rPr>
              <w:t>15</w:t>
            </w:r>
          </w:p>
        </w:tc>
        <w:tc>
          <w:tcPr>
            <w:tcW w:w="1134" w:type="dxa"/>
            <w:tcBorders>
              <w:top w:val="nil"/>
              <w:bottom w:val="single" w:sz="4" w:space="0" w:color="auto"/>
            </w:tcBorders>
            <w:shd w:val="clear" w:color="auto" w:fill="FFFFFF"/>
          </w:tcPr>
          <w:p w14:paraId="168609D6" w14:textId="77777777" w:rsidR="008D5C51" w:rsidRPr="008D5C51" w:rsidRDefault="008D5C51" w:rsidP="008D5C51">
            <w:pPr>
              <w:pStyle w:val="CETBodytext"/>
              <w:ind w:right="-1"/>
              <w:rPr>
                <w:rFonts w:cs="Arial"/>
                <w:szCs w:val="18"/>
                <w:lang w:val="en-GB"/>
              </w:rPr>
            </w:pPr>
          </w:p>
          <w:p w14:paraId="2F340D5E" w14:textId="77777777" w:rsidR="008D5C51" w:rsidRPr="008D5C51" w:rsidRDefault="008D5C51" w:rsidP="008D5C51">
            <w:pPr>
              <w:pStyle w:val="CETBodytext"/>
              <w:ind w:right="-1"/>
              <w:rPr>
                <w:rFonts w:cs="Arial"/>
                <w:szCs w:val="18"/>
                <w:lang w:val="en-GB"/>
              </w:rPr>
            </w:pPr>
            <w:r w:rsidRPr="008D5C51">
              <w:rPr>
                <w:rFonts w:cs="Arial"/>
                <w:szCs w:val="18"/>
                <w:lang w:val="en-GB"/>
              </w:rPr>
              <w:t>.17</w:t>
            </w:r>
          </w:p>
        </w:tc>
        <w:tc>
          <w:tcPr>
            <w:tcW w:w="1134" w:type="dxa"/>
            <w:tcBorders>
              <w:top w:val="nil"/>
              <w:bottom w:val="single" w:sz="4" w:space="0" w:color="auto"/>
            </w:tcBorders>
          </w:tcPr>
          <w:p w14:paraId="7AF19295" w14:textId="77777777" w:rsidR="008D5C51" w:rsidRPr="0070389A" w:rsidRDefault="008D5C51" w:rsidP="001712C5">
            <w:pPr>
              <w:spacing w:line="240" w:lineRule="auto"/>
              <w:jc w:val="center"/>
              <w:rPr>
                <w:lang w:eastAsia="it-IT"/>
              </w:rPr>
            </w:pPr>
          </w:p>
          <w:p w14:paraId="20914A41" w14:textId="77777777" w:rsidR="008D5C51" w:rsidRPr="0070389A" w:rsidRDefault="008D5C51" w:rsidP="001712C5">
            <w:pPr>
              <w:spacing w:line="240" w:lineRule="auto"/>
              <w:jc w:val="center"/>
              <w:rPr>
                <w:lang w:eastAsia="it-IT"/>
              </w:rPr>
            </w:pPr>
            <w:r w:rsidRPr="0070389A">
              <w:rPr>
                <w:lang w:eastAsia="it-IT"/>
              </w:rPr>
              <w:t>.31</w:t>
            </w:r>
          </w:p>
        </w:tc>
        <w:tc>
          <w:tcPr>
            <w:tcW w:w="1276" w:type="dxa"/>
            <w:tcBorders>
              <w:top w:val="nil"/>
              <w:bottom w:val="single" w:sz="4" w:space="0" w:color="auto"/>
            </w:tcBorders>
          </w:tcPr>
          <w:p w14:paraId="00DA574A" w14:textId="77777777" w:rsidR="008D5C51" w:rsidRPr="0070389A" w:rsidRDefault="008D5C51" w:rsidP="001712C5">
            <w:pPr>
              <w:spacing w:line="240" w:lineRule="auto"/>
              <w:jc w:val="center"/>
              <w:rPr>
                <w:lang w:eastAsia="it-IT"/>
              </w:rPr>
            </w:pPr>
          </w:p>
          <w:p w14:paraId="535363C9" w14:textId="77777777" w:rsidR="008D5C51" w:rsidRPr="0070389A" w:rsidRDefault="008D5C51" w:rsidP="001712C5">
            <w:pPr>
              <w:spacing w:line="240" w:lineRule="auto"/>
              <w:jc w:val="center"/>
              <w:rPr>
                <w:lang w:eastAsia="it-IT"/>
              </w:rPr>
            </w:pPr>
            <w:r w:rsidRPr="0070389A">
              <w:rPr>
                <w:lang w:eastAsia="it-IT"/>
              </w:rPr>
              <w:t>.</w:t>
            </w:r>
            <w:r>
              <w:rPr>
                <w:lang w:eastAsia="it-IT"/>
              </w:rPr>
              <w:t>19</w:t>
            </w:r>
          </w:p>
        </w:tc>
      </w:tr>
    </w:tbl>
    <w:p w14:paraId="6E2D9C4D" w14:textId="229F4B6E" w:rsidR="00F51F45" w:rsidRPr="00F51F45" w:rsidRDefault="00182E2C" w:rsidP="00F51F45">
      <w:pPr>
        <w:pStyle w:val="CETBodytext"/>
      </w:pPr>
      <w:r>
        <w:t xml:space="preserve">Note: </w:t>
      </w:r>
      <w:r w:rsidR="00F51F45" w:rsidRPr="00F51F45">
        <w:t>* p &lt; .05; ** p &lt; .01; sign = significant indirect effect; ns = not significant effect</w:t>
      </w:r>
    </w:p>
    <w:p w14:paraId="135B1037" w14:textId="77777777" w:rsidR="00BB6656" w:rsidRPr="00F51F45" w:rsidRDefault="00BB6656" w:rsidP="00BB6656">
      <w:pPr>
        <w:pStyle w:val="CETBodytext"/>
      </w:pPr>
    </w:p>
    <w:p w14:paraId="78191186" w14:textId="0A6EE749" w:rsidR="0020325B" w:rsidRPr="0020325B" w:rsidRDefault="00BB6656" w:rsidP="00C04040">
      <w:pPr>
        <w:pStyle w:val="CETHeading1"/>
        <w:rPr>
          <w:lang w:val="en-GB"/>
        </w:rPr>
      </w:pPr>
      <w:r w:rsidRPr="00B57B36">
        <w:rPr>
          <w:lang w:val="en-GB"/>
        </w:rPr>
        <w:t>Conclusions</w:t>
      </w:r>
    </w:p>
    <w:p w14:paraId="5B8834CF" w14:textId="46A9E8EB" w:rsidR="0020325B" w:rsidRPr="0020325B" w:rsidRDefault="001E6DB0" w:rsidP="0020325B">
      <w:pPr>
        <w:spacing w:line="240" w:lineRule="auto"/>
      </w:pPr>
      <w:r w:rsidRPr="00C04040">
        <w:rPr>
          <w:b/>
          <w:bCs/>
        </w:rPr>
        <w:t xml:space="preserve">4.1 </w:t>
      </w:r>
      <w:r>
        <w:rPr>
          <w:b/>
          <w:bCs/>
        </w:rPr>
        <w:t xml:space="preserve">Conceptual contributions. </w:t>
      </w:r>
      <w:r w:rsidR="0020325B" w:rsidRPr="0020325B">
        <w:t xml:space="preserve">The study explored the psychological mechanisms linking safety supervision styles to promotive, preventive, and prohibitive safety voice. Following safety </w:t>
      </w:r>
      <w:proofErr w:type="spellStart"/>
      <w:r w:rsidR="0020325B" w:rsidRPr="0020325B">
        <w:t>behavior</w:t>
      </w:r>
      <w:proofErr w:type="spellEnd"/>
      <w:r w:rsidR="0020325B" w:rsidRPr="0020325B">
        <w:t xml:space="preserve"> and leadership theories, it examined the mediating roles of perceived responsibility for constructive change and safety knowledge in connecting empowerment- and monitoring-oriented supervision to safety voice.</w:t>
      </w:r>
    </w:p>
    <w:p w14:paraId="135EBD7F" w14:textId="77777777" w:rsidR="0020325B" w:rsidRPr="0020325B" w:rsidRDefault="0020325B" w:rsidP="0020325B">
      <w:pPr>
        <w:spacing w:line="240" w:lineRule="auto"/>
      </w:pPr>
      <w:r w:rsidRPr="0020325B">
        <w:t>Results indicated that empowerment-oriented supervision fosters future-oriented safety voice (promotive and preventive) through proactive safety motivation, reflecting personal responsibility for constructive change. Monitoring-oriented supervision, in contrast, relates more to prohibitive safety voice via enhanced safety knowledge, enabling identification of violations and unsafe conditions.</w:t>
      </w:r>
    </w:p>
    <w:p w14:paraId="19843B49" w14:textId="5BABA074" w:rsidR="0020325B" w:rsidRDefault="0020325B" w:rsidP="0020325B">
      <w:pPr>
        <w:spacing w:line="240" w:lineRule="auto"/>
      </w:pPr>
      <w:r w:rsidRPr="0020325B">
        <w:t>Overall, the study shows that supervision styles influence safety voice through distinct but complementary psychological processes, supporting a multilevel view of safety leadership that integrates empowerment and monitoring to promote improvement and control critical deviations in high-risk workplaces.</w:t>
      </w:r>
    </w:p>
    <w:p w14:paraId="0171769E" w14:textId="77777777" w:rsidR="0020325B" w:rsidRPr="00C04040" w:rsidRDefault="0020325B" w:rsidP="0020325B">
      <w:pPr>
        <w:spacing w:line="240" w:lineRule="auto"/>
      </w:pPr>
    </w:p>
    <w:p w14:paraId="28D27D25" w14:textId="2373A526" w:rsidR="00BB6656" w:rsidRPr="00820B03" w:rsidRDefault="001E6DB0" w:rsidP="001E6DB0">
      <w:pPr>
        <w:spacing w:after="120" w:line="240" w:lineRule="auto"/>
      </w:pPr>
      <w:r>
        <w:rPr>
          <w:b/>
          <w:bCs/>
        </w:rPr>
        <w:t>4.2</w:t>
      </w:r>
      <w:r w:rsidR="00BB6656" w:rsidRPr="00C04040">
        <w:rPr>
          <w:b/>
          <w:bCs/>
        </w:rPr>
        <w:t xml:space="preserve"> Practical implications</w:t>
      </w:r>
      <w:r w:rsidR="00BB6656">
        <w:t xml:space="preserve">. </w:t>
      </w:r>
      <w:r w:rsidR="00BB6656" w:rsidRPr="00820B03">
        <w:t>The study provides actionable insights for workplace safety management. Results suggest that organizations can benefit from reporting and safety assessment systems that differentiate between types of safety voice, enabling more timely and a</w:t>
      </w:r>
      <w:r>
        <w:t xml:space="preserve">ppropriate managerial responses. </w:t>
      </w:r>
      <w:r w:rsidR="00BB6656" w:rsidRPr="00820B03">
        <w:t xml:space="preserve">Moreover, the findings highlight the importance of safety leadership training programs that help supervisors flexibly apply empowerment and monitoring </w:t>
      </w:r>
      <w:proofErr w:type="spellStart"/>
      <w:r w:rsidR="00BB6656" w:rsidRPr="00820B03">
        <w:t>behaviors</w:t>
      </w:r>
      <w:proofErr w:type="spellEnd"/>
      <w:r w:rsidR="00BB6656" w:rsidRPr="00820B03">
        <w:t>. Such programs should support leaders in recognizing specific operational needs and adopting the most appropriate supervision style, thereby fostering effective employee engagement in daily safety management and continuous improvement of prevention systems.</w:t>
      </w:r>
    </w:p>
    <w:p w14:paraId="42D6B007" w14:textId="2DD15FB8" w:rsidR="00411A06" w:rsidRDefault="001E6DB0" w:rsidP="00D842CC">
      <w:pPr>
        <w:pStyle w:val="CETReference"/>
        <w:spacing w:afterLines="120" w:after="288"/>
        <w:rPr>
          <w:b w:val="0"/>
        </w:rPr>
      </w:pPr>
      <w:r>
        <w:rPr>
          <w:bCs/>
        </w:rPr>
        <w:lastRenderedPageBreak/>
        <w:t>4.3</w:t>
      </w:r>
      <w:r w:rsidR="00BB6656" w:rsidRPr="00C04040">
        <w:rPr>
          <w:bCs/>
        </w:rPr>
        <w:t>. Limitations and future research</w:t>
      </w:r>
      <w:r w:rsidR="00BB6656" w:rsidRPr="005155B8">
        <w:rPr>
          <w:b w:val="0"/>
        </w:rPr>
        <w:t>.</w:t>
      </w:r>
      <w:r w:rsidR="00BB6656">
        <w:rPr>
          <w:b w:val="0"/>
        </w:rPr>
        <w:t xml:space="preserve"> </w:t>
      </w:r>
      <w:r w:rsidR="00BB6656" w:rsidRPr="005155B8">
        <w:rPr>
          <w:b w:val="0"/>
        </w:rPr>
        <w:t>The study relied on cross-sectional, self-reported data, limiting causal inference. Longitudinal and multi-method replications could clarify the dynamics between supervision and safety voice. Additionally, findings derive from a high-reliability chemical industrial context; future research should test generalizability in other sectors and organizational settings</w:t>
      </w:r>
      <w:r w:rsidR="00266909">
        <w:rPr>
          <w:b w:val="0"/>
        </w:rPr>
        <w:t>.</w:t>
      </w:r>
    </w:p>
    <w:p w14:paraId="26BA69E2" w14:textId="77777777" w:rsidR="00BB6656" w:rsidRDefault="00BB6656" w:rsidP="00BB6656">
      <w:pPr>
        <w:pStyle w:val="CETReference"/>
      </w:pPr>
      <w:r w:rsidRPr="00B57B36">
        <w:t>References</w:t>
      </w:r>
    </w:p>
    <w:p w14:paraId="7F8F9A72" w14:textId="77777777" w:rsidR="00B81D36" w:rsidRPr="00B81D36" w:rsidRDefault="00B81D36" w:rsidP="00B81D36">
      <w:pPr>
        <w:pStyle w:val="Bibliografia"/>
        <w:rPr>
          <w:rFonts w:cs="Arial"/>
        </w:rPr>
      </w:pPr>
      <w:r>
        <w:fldChar w:fldCharType="begin"/>
      </w:r>
      <w:r>
        <w:instrText xml:space="preserve"> ADDIN ZOTERO_BIBL {"uncited":[],"omitted":[],"custom":[]} CSL_BIBLIOGRAPHY </w:instrText>
      </w:r>
      <w:r>
        <w:fldChar w:fldCharType="separate"/>
      </w:r>
      <w:r w:rsidRPr="00B81D36">
        <w:rPr>
          <w:rFonts w:cs="Arial"/>
        </w:rPr>
        <w:t>Arnold, J.A., Arad, S., Rhoades, J.A., Drasgow, F., 2000. The empowering leadership questionnaire: The construction and validation of a new scale for measuring leader behaviors. Journal of organizational behavior 21, 249–269.</w:t>
      </w:r>
    </w:p>
    <w:p w14:paraId="43250179" w14:textId="77777777" w:rsidR="00B81D36" w:rsidRPr="00B81D36" w:rsidRDefault="00B81D36" w:rsidP="00B81D36">
      <w:pPr>
        <w:pStyle w:val="Bibliografia"/>
        <w:rPr>
          <w:rFonts w:cs="Arial"/>
        </w:rPr>
      </w:pPr>
      <w:r w:rsidRPr="00B81D36">
        <w:rPr>
          <w:rFonts w:cs="Arial"/>
        </w:rPr>
        <w:t>Bazzoli, A., Sommovigo, V., Finstad, G.L., Vinciarelli, V., Curcuruto, M., 2025. A Multidimensional Conceptualization of Employee Safety Voice. Safety 11, 110.</w:t>
      </w:r>
    </w:p>
    <w:p w14:paraId="7DB654BF" w14:textId="77777777" w:rsidR="00B81D36" w:rsidRPr="00B81D36" w:rsidRDefault="00B81D36" w:rsidP="00B81D36">
      <w:pPr>
        <w:pStyle w:val="Bibliografia"/>
        <w:rPr>
          <w:rFonts w:cs="Arial"/>
        </w:rPr>
      </w:pPr>
      <w:r w:rsidRPr="00B81D36">
        <w:rPr>
          <w:rFonts w:cs="Arial"/>
        </w:rPr>
        <w:t>Christian, M.S., Bradley, J.C., Wallace, J.C., Burke, M.J., 2009. Workplace safety: a meta-analysis of the roles of person and situation factors. Journal of applied psychology 94, 1103.</w:t>
      </w:r>
    </w:p>
    <w:p w14:paraId="56DE22C4" w14:textId="77777777" w:rsidR="00B81D36" w:rsidRPr="00B81D36" w:rsidRDefault="00B81D36" w:rsidP="00B81D36">
      <w:pPr>
        <w:pStyle w:val="Bibliografia"/>
        <w:rPr>
          <w:rFonts w:cs="Arial"/>
        </w:rPr>
      </w:pPr>
      <w:r w:rsidRPr="00B81D36">
        <w:rPr>
          <w:rFonts w:cs="Arial"/>
        </w:rPr>
        <w:t>Conchie, S.M., 2013. Transformational leadership, intrinsic motivation, and trust: A moderated-mediated model of workplace safety. Journal of occupational health psychology 18, 198.</w:t>
      </w:r>
    </w:p>
    <w:p w14:paraId="22E88AF4" w14:textId="77777777" w:rsidR="00B81D36" w:rsidRPr="00B81D36" w:rsidRDefault="00B81D36" w:rsidP="00B81D36">
      <w:pPr>
        <w:pStyle w:val="Bibliografia"/>
        <w:rPr>
          <w:rFonts w:cs="Arial"/>
        </w:rPr>
      </w:pPr>
      <w:r w:rsidRPr="00B81D36">
        <w:rPr>
          <w:rFonts w:cs="Arial"/>
        </w:rPr>
        <w:t>Curcuruto, M., Mearns, K.J., Mariani, M.G., 2016. Proactive role-orientation toward workplace safety: Psychological dimensions, nomological network and external validity. Safety science 87, 144–155.</w:t>
      </w:r>
    </w:p>
    <w:p w14:paraId="4E276CA2" w14:textId="77777777" w:rsidR="00B81D36" w:rsidRPr="00B81D36" w:rsidRDefault="00B81D36" w:rsidP="00B81D36">
      <w:pPr>
        <w:pStyle w:val="Bibliografia"/>
        <w:rPr>
          <w:rFonts w:cs="Arial"/>
        </w:rPr>
      </w:pPr>
      <w:r w:rsidRPr="00B81D36">
        <w:rPr>
          <w:rFonts w:cs="Arial"/>
        </w:rPr>
        <w:t>Flin, R., O’Connor, P., 2017. Safety at the sharp end: a guide to non-technical skills. CRC Press.</w:t>
      </w:r>
    </w:p>
    <w:p w14:paraId="597F7351" w14:textId="77777777" w:rsidR="00B81D36" w:rsidRPr="00B81D36" w:rsidRDefault="00B81D36" w:rsidP="00B81D36">
      <w:pPr>
        <w:pStyle w:val="Bibliografia"/>
        <w:rPr>
          <w:rFonts w:cs="Arial"/>
        </w:rPr>
      </w:pPr>
      <w:r w:rsidRPr="00B81D36">
        <w:rPr>
          <w:rFonts w:cs="Arial"/>
        </w:rPr>
        <w:t>Geller, E.S., 2002. Social influence principles. Professional Safety 25–31.</w:t>
      </w:r>
    </w:p>
    <w:p w14:paraId="0977DCEB" w14:textId="77777777" w:rsidR="00B81D36" w:rsidRPr="00B81D36" w:rsidRDefault="00B81D36" w:rsidP="00B81D36">
      <w:pPr>
        <w:pStyle w:val="Bibliografia"/>
        <w:rPr>
          <w:rFonts w:cs="Arial"/>
        </w:rPr>
      </w:pPr>
      <w:r w:rsidRPr="00B81D36">
        <w:rPr>
          <w:rFonts w:cs="Arial"/>
        </w:rPr>
        <w:t>Geller, E.S., Roberts, D.S., Gilmore, M.R., 1996. Predicting propensity to actively care for occupational safety. Journal of Safety Research 27, 1–8.</w:t>
      </w:r>
    </w:p>
    <w:p w14:paraId="5662EBD3" w14:textId="77777777" w:rsidR="00B81D36" w:rsidRPr="00B81D36" w:rsidRDefault="00B81D36" w:rsidP="00B81D36">
      <w:pPr>
        <w:pStyle w:val="Bibliografia"/>
        <w:rPr>
          <w:rFonts w:cs="Arial"/>
        </w:rPr>
      </w:pPr>
      <w:r w:rsidRPr="00B81D36">
        <w:rPr>
          <w:rFonts w:cs="Arial"/>
        </w:rPr>
        <w:t>Griffin, M.A., Hu, X., 2013. How leaders differentially motivate safety compliance and safety participation: The role of monitoring, inspiring, and learning. Safety science 60, 196–202.</w:t>
      </w:r>
    </w:p>
    <w:p w14:paraId="2BFDF04B" w14:textId="77777777" w:rsidR="00B81D36" w:rsidRPr="00B81D36" w:rsidRDefault="00B81D36" w:rsidP="00B81D36">
      <w:pPr>
        <w:pStyle w:val="Bibliografia"/>
        <w:rPr>
          <w:rFonts w:cs="Arial"/>
        </w:rPr>
      </w:pPr>
      <w:r w:rsidRPr="00B81D36">
        <w:rPr>
          <w:rFonts w:cs="Arial"/>
        </w:rPr>
        <w:t>Hofmann, D.A., Morgeson, F.P., Gerras, S.J., 2003. Climate as a moderator of the relationship between leader-member exchange and content specific citizenship: safety climate as an exemplar. Journal of applied psychology 88, 170.</w:t>
      </w:r>
    </w:p>
    <w:p w14:paraId="47F843A3" w14:textId="77777777" w:rsidR="00B81D36" w:rsidRPr="00B81D36" w:rsidRDefault="00B81D36" w:rsidP="00B81D36">
      <w:pPr>
        <w:pStyle w:val="Bibliografia"/>
        <w:rPr>
          <w:rFonts w:cs="Arial"/>
        </w:rPr>
      </w:pPr>
      <w:r w:rsidRPr="00B81D36">
        <w:rPr>
          <w:rFonts w:cs="Arial"/>
        </w:rPr>
        <w:t>Johnson, S.E., 2007. The predictive validity of safety climate. Journal of safety research 38, 511–521.</w:t>
      </w:r>
    </w:p>
    <w:p w14:paraId="1A47AE9E" w14:textId="77777777" w:rsidR="00B81D36" w:rsidRPr="00B81D36" w:rsidRDefault="00B81D36" w:rsidP="00B81D36">
      <w:pPr>
        <w:pStyle w:val="Bibliografia"/>
        <w:rPr>
          <w:rFonts w:cs="Arial"/>
        </w:rPr>
      </w:pPr>
      <w:r w:rsidRPr="00B81D36">
        <w:rPr>
          <w:rFonts w:cs="Arial"/>
        </w:rPr>
        <w:t>Morrison, E.W., 2014. Employee voice and silence. Annu. Rev. Organ. Psychol. Organ. Behav. 1, 173–197.</w:t>
      </w:r>
    </w:p>
    <w:p w14:paraId="4B02942D" w14:textId="77777777" w:rsidR="00B81D36" w:rsidRPr="00B81D36" w:rsidRDefault="00B81D36" w:rsidP="00B81D36">
      <w:pPr>
        <w:pStyle w:val="Bibliografia"/>
        <w:rPr>
          <w:rFonts w:cs="Arial"/>
        </w:rPr>
      </w:pPr>
      <w:r w:rsidRPr="00B81D36">
        <w:rPr>
          <w:rFonts w:cs="Arial"/>
        </w:rPr>
        <w:t>Mullen, J., 2005. Testing a model of employee willingness to raise safety issues. Canadian Journal of Behavioural Science/Revue canadienne des sciences du comportement 37, 273.</w:t>
      </w:r>
    </w:p>
    <w:p w14:paraId="3CFB65B4" w14:textId="77777777" w:rsidR="00B81D36" w:rsidRPr="00B81D36" w:rsidRDefault="00B81D36" w:rsidP="00B81D36">
      <w:pPr>
        <w:pStyle w:val="Bibliografia"/>
        <w:rPr>
          <w:rFonts w:cs="Arial"/>
        </w:rPr>
      </w:pPr>
      <w:r w:rsidRPr="00B81D36">
        <w:rPr>
          <w:rFonts w:cs="Arial"/>
        </w:rPr>
        <w:t>Musarat, M.A., Altaf, M., Hameed, N., Alaloul, W.S., Baarimah, A.O., Alzubi, K.M., 2021. Impact of communication on site accidents prevention: a review, in: 2021 International Conference on Decision Aid Sciences and Application (DASA). IEEE, pp. 562–566.</w:t>
      </w:r>
    </w:p>
    <w:p w14:paraId="13797EB0" w14:textId="77777777" w:rsidR="00B81D36" w:rsidRPr="00B81D36" w:rsidRDefault="00B81D36" w:rsidP="00B81D36">
      <w:pPr>
        <w:pStyle w:val="Bibliografia"/>
        <w:rPr>
          <w:rFonts w:cs="Arial"/>
        </w:rPr>
      </w:pPr>
      <w:r w:rsidRPr="00B81D36">
        <w:rPr>
          <w:rFonts w:cs="Arial"/>
        </w:rPr>
        <w:t>Neal, A., Griffin, M.A., Hart, P.M., 2000. The impact of organizational climate on safety climate and individual behavior. Safety science 34, 99–109.</w:t>
      </w:r>
    </w:p>
    <w:p w14:paraId="36FDE6AD" w14:textId="77777777" w:rsidR="00B81D36" w:rsidRPr="00B81D36" w:rsidRDefault="00B81D36" w:rsidP="00B81D36">
      <w:pPr>
        <w:pStyle w:val="Bibliografia"/>
        <w:rPr>
          <w:rFonts w:cs="Arial"/>
          <w:lang w:val="it-IT"/>
        </w:rPr>
      </w:pPr>
      <w:r w:rsidRPr="00B81D36">
        <w:rPr>
          <w:rFonts w:cs="Arial"/>
        </w:rPr>
        <w:t xml:space="preserve">Noort, M.C., Reader, T.W., Gillespie, A., 2021. Cockpit voice recorder transcript data: Capturing safety voice and safety listening during historic aviation accidents. </w:t>
      </w:r>
      <w:r w:rsidRPr="00B81D36">
        <w:rPr>
          <w:rFonts w:cs="Arial"/>
          <w:lang w:val="it-IT"/>
        </w:rPr>
        <w:t>Data in brief 39, 107602.</w:t>
      </w:r>
    </w:p>
    <w:p w14:paraId="4587524A" w14:textId="77777777" w:rsidR="00B81D36" w:rsidRPr="00B81D36" w:rsidRDefault="00B81D36" w:rsidP="00B81D36">
      <w:pPr>
        <w:pStyle w:val="Bibliografia"/>
        <w:rPr>
          <w:rFonts w:cs="Arial"/>
        </w:rPr>
      </w:pPr>
      <w:r w:rsidRPr="00B81D36">
        <w:rPr>
          <w:rFonts w:cs="Arial"/>
          <w:lang w:val="it-IT"/>
        </w:rPr>
        <w:t xml:space="preserve">Saracino, A., Spadoni, G., Curcuruto, M., Guglielmi, D., Bocci, V.M., Cimarelli, M., Dottori, E., Violante, F.S., others, 2012. </w:t>
      </w:r>
      <w:r w:rsidRPr="00B81D36">
        <w:rPr>
          <w:rFonts w:cs="Arial"/>
        </w:rPr>
        <w:t>A new model for evaluating occupational health and safety management systems (OHSMS). Chemical engineering transactions 26, 519–524.</w:t>
      </w:r>
    </w:p>
    <w:p w14:paraId="736CB9BF" w14:textId="77777777" w:rsidR="00B81D36" w:rsidRPr="00B81D36" w:rsidRDefault="00B81D36" w:rsidP="00B81D36">
      <w:pPr>
        <w:pStyle w:val="Bibliografia"/>
        <w:rPr>
          <w:rFonts w:cs="Arial"/>
        </w:rPr>
      </w:pPr>
      <w:r w:rsidRPr="00B81D36">
        <w:rPr>
          <w:rFonts w:cs="Arial"/>
        </w:rPr>
        <w:t>Simard, M., Marchand, A., 1995. A multilevel analysis of organisational factors related to the taking of safety initiatives by work groups. Safety Science 21, 113–129.</w:t>
      </w:r>
    </w:p>
    <w:p w14:paraId="2D1EBE90" w14:textId="77777777" w:rsidR="00B81D36" w:rsidRPr="00B81D36" w:rsidRDefault="00B81D36" w:rsidP="00B81D36">
      <w:pPr>
        <w:pStyle w:val="Bibliografia"/>
        <w:rPr>
          <w:rFonts w:cs="Arial"/>
        </w:rPr>
      </w:pPr>
      <w:r w:rsidRPr="00B81D36">
        <w:rPr>
          <w:rFonts w:cs="Arial"/>
        </w:rPr>
        <w:t>Willis, S., Clarke, S., O’Connor, E., 2021. Identifying the optimal safety leader: A person-centered approach. Journal of Managerial Psychology 36, 226–240.</w:t>
      </w:r>
    </w:p>
    <w:p w14:paraId="6128B6B5" w14:textId="3EF4A8D4" w:rsidR="008367D9" w:rsidRDefault="00B81D36" w:rsidP="00914B27">
      <w:r>
        <w:fldChar w:fldCharType="end"/>
      </w:r>
    </w:p>
    <w:sectPr w:rsidR="008367D9" w:rsidSect="00C04040">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2F02B" w14:textId="77777777" w:rsidR="00555371" w:rsidRDefault="00555371" w:rsidP="004F5E36">
      <w:r>
        <w:separator/>
      </w:r>
    </w:p>
  </w:endnote>
  <w:endnote w:type="continuationSeparator" w:id="0">
    <w:p w14:paraId="521B18C7" w14:textId="77777777" w:rsidR="00555371" w:rsidRDefault="0055537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2B6B6" w14:textId="77777777" w:rsidR="00555371" w:rsidRDefault="00555371" w:rsidP="004F5E36">
      <w:r>
        <w:separator/>
      </w:r>
    </w:p>
  </w:footnote>
  <w:footnote w:type="continuationSeparator" w:id="0">
    <w:p w14:paraId="152BFA54" w14:textId="77777777" w:rsidR="00555371" w:rsidRDefault="00555371"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10259B2"/>
    <w:multiLevelType w:val="hybridMultilevel"/>
    <w:tmpl w:val="BED0AA9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449F5C3D"/>
    <w:multiLevelType w:val="hybridMultilevel"/>
    <w:tmpl w:val="417CB6F2"/>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F843B12"/>
    <w:multiLevelType w:val="hybridMultilevel"/>
    <w:tmpl w:val="66B473C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13"/>
  </w:num>
  <w:num w:numId="14">
    <w:abstractNumId w:val="21"/>
  </w:num>
  <w:num w:numId="15">
    <w:abstractNumId w:val="23"/>
  </w:num>
  <w:num w:numId="16">
    <w:abstractNumId w:val="22"/>
  </w:num>
  <w:num w:numId="17">
    <w:abstractNumId w:val="12"/>
  </w:num>
  <w:num w:numId="18">
    <w:abstractNumId w:val="13"/>
    <w:lvlOverride w:ilvl="0">
      <w:startOverride w:val="1"/>
    </w:lvlOverride>
  </w:num>
  <w:num w:numId="19">
    <w:abstractNumId w:val="19"/>
  </w:num>
  <w:num w:numId="20">
    <w:abstractNumId w:val="18"/>
  </w:num>
  <w:num w:numId="21">
    <w:abstractNumId w:val="15"/>
  </w:num>
  <w:num w:numId="22">
    <w:abstractNumId w:val="14"/>
  </w:num>
  <w:num w:numId="23">
    <w:abstractNumId w:val="11"/>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51566"/>
    <w:rsid w:val="00054288"/>
    <w:rsid w:val="000562A9"/>
    <w:rsid w:val="00062A9A"/>
    <w:rsid w:val="00065058"/>
    <w:rsid w:val="00066950"/>
    <w:rsid w:val="00086C39"/>
    <w:rsid w:val="000A03B2"/>
    <w:rsid w:val="000D0268"/>
    <w:rsid w:val="000D34BE"/>
    <w:rsid w:val="000D57CE"/>
    <w:rsid w:val="000E102F"/>
    <w:rsid w:val="000E36F1"/>
    <w:rsid w:val="000E3A73"/>
    <w:rsid w:val="000E414A"/>
    <w:rsid w:val="000F093C"/>
    <w:rsid w:val="000F787B"/>
    <w:rsid w:val="0012091F"/>
    <w:rsid w:val="00126BC2"/>
    <w:rsid w:val="001308B6"/>
    <w:rsid w:val="0013121F"/>
    <w:rsid w:val="00131FE6"/>
    <w:rsid w:val="0013263F"/>
    <w:rsid w:val="001331DF"/>
    <w:rsid w:val="00134DE4"/>
    <w:rsid w:val="0014034D"/>
    <w:rsid w:val="00144D16"/>
    <w:rsid w:val="00150E59"/>
    <w:rsid w:val="00152DE3"/>
    <w:rsid w:val="00164CF9"/>
    <w:rsid w:val="001667A6"/>
    <w:rsid w:val="00182E2C"/>
    <w:rsid w:val="00184AD6"/>
    <w:rsid w:val="0019196C"/>
    <w:rsid w:val="00196ABE"/>
    <w:rsid w:val="001A3259"/>
    <w:rsid w:val="001A4AF7"/>
    <w:rsid w:val="001B0349"/>
    <w:rsid w:val="001B1E93"/>
    <w:rsid w:val="001B65C1"/>
    <w:rsid w:val="001C684B"/>
    <w:rsid w:val="001D0CFB"/>
    <w:rsid w:val="001D21AF"/>
    <w:rsid w:val="001D53FC"/>
    <w:rsid w:val="001D6828"/>
    <w:rsid w:val="001E6DB0"/>
    <w:rsid w:val="001F42A5"/>
    <w:rsid w:val="001F496B"/>
    <w:rsid w:val="001F66BC"/>
    <w:rsid w:val="001F7B9D"/>
    <w:rsid w:val="001F7F35"/>
    <w:rsid w:val="00201C93"/>
    <w:rsid w:val="0020325B"/>
    <w:rsid w:val="002224B4"/>
    <w:rsid w:val="002443D4"/>
    <w:rsid w:val="002447EF"/>
    <w:rsid w:val="002472D6"/>
    <w:rsid w:val="00251550"/>
    <w:rsid w:val="00263B05"/>
    <w:rsid w:val="00266909"/>
    <w:rsid w:val="0027221A"/>
    <w:rsid w:val="00275B61"/>
    <w:rsid w:val="00280FAF"/>
    <w:rsid w:val="00282656"/>
    <w:rsid w:val="00296B83"/>
    <w:rsid w:val="002B0DDC"/>
    <w:rsid w:val="002B4015"/>
    <w:rsid w:val="002B78CE"/>
    <w:rsid w:val="002C108C"/>
    <w:rsid w:val="002C2FB6"/>
    <w:rsid w:val="002E5FA7"/>
    <w:rsid w:val="002F2807"/>
    <w:rsid w:val="002F3309"/>
    <w:rsid w:val="003008CE"/>
    <w:rsid w:val="003009B7"/>
    <w:rsid w:val="00300E56"/>
    <w:rsid w:val="0030152C"/>
    <w:rsid w:val="0030469C"/>
    <w:rsid w:val="00321CA6"/>
    <w:rsid w:val="00323763"/>
    <w:rsid w:val="00323C5F"/>
    <w:rsid w:val="00334C09"/>
    <w:rsid w:val="0035009F"/>
    <w:rsid w:val="003723D4"/>
    <w:rsid w:val="00374F0E"/>
    <w:rsid w:val="00381905"/>
    <w:rsid w:val="00384CC8"/>
    <w:rsid w:val="003871FD"/>
    <w:rsid w:val="003A1E30"/>
    <w:rsid w:val="003A2829"/>
    <w:rsid w:val="003A7D1C"/>
    <w:rsid w:val="003B304B"/>
    <w:rsid w:val="003B3146"/>
    <w:rsid w:val="003D3346"/>
    <w:rsid w:val="003F015E"/>
    <w:rsid w:val="003F2161"/>
    <w:rsid w:val="00400414"/>
    <w:rsid w:val="00411A06"/>
    <w:rsid w:val="00413BDA"/>
    <w:rsid w:val="0041446B"/>
    <w:rsid w:val="00431D67"/>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A5E28"/>
    <w:rsid w:val="004C3D1D"/>
    <w:rsid w:val="004C3D84"/>
    <w:rsid w:val="004C7913"/>
    <w:rsid w:val="004D482F"/>
    <w:rsid w:val="004E1855"/>
    <w:rsid w:val="004E4DD6"/>
    <w:rsid w:val="004E7D7D"/>
    <w:rsid w:val="004F5E36"/>
    <w:rsid w:val="00507B47"/>
    <w:rsid w:val="00507BEF"/>
    <w:rsid w:val="00507CC9"/>
    <w:rsid w:val="005119A5"/>
    <w:rsid w:val="005140FB"/>
    <w:rsid w:val="00514BE4"/>
    <w:rsid w:val="005278B7"/>
    <w:rsid w:val="00532016"/>
    <w:rsid w:val="005346C8"/>
    <w:rsid w:val="00541049"/>
    <w:rsid w:val="00543E7D"/>
    <w:rsid w:val="00547A68"/>
    <w:rsid w:val="005531C9"/>
    <w:rsid w:val="00555371"/>
    <w:rsid w:val="00557E00"/>
    <w:rsid w:val="00570C43"/>
    <w:rsid w:val="005710A3"/>
    <w:rsid w:val="0057353E"/>
    <w:rsid w:val="005A270C"/>
    <w:rsid w:val="005B2110"/>
    <w:rsid w:val="005B2DF5"/>
    <w:rsid w:val="005B61E6"/>
    <w:rsid w:val="005C694E"/>
    <w:rsid w:val="005C77E1"/>
    <w:rsid w:val="005D668A"/>
    <w:rsid w:val="005D6A2F"/>
    <w:rsid w:val="005E1A82"/>
    <w:rsid w:val="005E794C"/>
    <w:rsid w:val="005F0A28"/>
    <w:rsid w:val="005F0E5E"/>
    <w:rsid w:val="00600535"/>
    <w:rsid w:val="00610CD6"/>
    <w:rsid w:val="00616462"/>
    <w:rsid w:val="00620DEE"/>
    <w:rsid w:val="00621F92"/>
    <w:rsid w:val="0062280A"/>
    <w:rsid w:val="00625639"/>
    <w:rsid w:val="00631B33"/>
    <w:rsid w:val="0064184D"/>
    <w:rsid w:val="006422CC"/>
    <w:rsid w:val="0065794F"/>
    <w:rsid w:val="00660E3E"/>
    <w:rsid w:val="00662E74"/>
    <w:rsid w:val="00672F2B"/>
    <w:rsid w:val="00680C23"/>
    <w:rsid w:val="00681460"/>
    <w:rsid w:val="006829E0"/>
    <w:rsid w:val="00693766"/>
    <w:rsid w:val="006A3281"/>
    <w:rsid w:val="006B4888"/>
    <w:rsid w:val="006C2E45"/>
    <w:rsid w:val="006C359C"/>
    <w:rsid w:val="006C478F"/>
    <w:rsid w:val="006C5579"/>
    <w:rsid w:val="006D6E8B"/>
    <w:rsid w:val="006E737D"/>
    <w:rsid w:val="00707DD1"/>
    <w:rsid w:val="00713973"/>
    <w:rsid w:val="00720A24"/>
    <w:rsid w:val="00723F9F"/>
    <w:rsid w:val="00732386"/>
    <w:rsid w:val="0073514D"/>
    <w:rsid w:val="007447F3"/>
    <w:rsid w:val="00752E4C"/>
    <w:rsid w:val="0075499F"/>
    <w:rsid w:val="007661C8"/>
    <w:rsid w:val="0077098D"/>
    <w:rsid w:val="007931FA"/>
    <w:rsid w:val="007A4861"/>
    <w:rsid w:val="007A7BBA"/>
    <w:rsid w:val="007B0C50"/>
    <w:rsid w:val="007B2D66"/>
    <w:rsid w:val="007B48F9"/>
    <w:rsid w:val="007C1A43"/>
    <w:rsid w:val="007D0951"/>
    <w:rsid w:val="007F7727"/>
    <w:rsid w:val="0080013E"/>
    <w:rsid w:val="00813288"/>
    <w:rsid w:val="008154D4"/>
    <w:rsid w:val="008168FC"/>
    <w:rsid w:val="00830996"/>
    <w:rsid w:val="008345F1"/>
    <w:rsid w:val="008367D9"/>
    <w:rsid w:val="008574AC"/>
    <w:rsid w:val="00865B07"/>
    <w:rsid w:val="008667EA"/>
    <w:rsid w:val="0087637F"/>
    <w:rsid w:val="00885392"/>
    <w:rsid w:val="00892AD5"/>
    <w:rsid w:val="008A1512"/>
    <w:rsid w:val="008B0582"/>
    <w:rsid w:val="008D32B9"/>
    <w:rsid w:val="008D433B"/>
    <w:rsid w:val="008D4A16"/>
    <w:rsid w:val="008D5C51"/>
    <w:rsid w:val="008D6425"/>
    <w:rsid w:val="008E566E"/>
    <w:rsid w:val="008E58F7"/>
    <w:rsid w:val="008F601F"/>
    <w:rsid w:val="008F6244"/>
    <w:rsid w:val="0090161A"/>
    <w:rsid w:val="00901EB6"/>
    <w:rsid w:val="00904C62"/>
    <w:rsid w:val="00914B27"/>
    <w:rsid w:val="00922BA8"/>
    <w:rsid w:val="00924DAC"/>
    <w:rsid w:val="0092566E"/>
    <w:rsid w:val="00927058"/>
    <w:rsid w:val="00942750"/>
    <w:rsid w:val="009450CE"/>
    <w:rsid w:val="009459BB"/>
    <w:rsid w:val="00947179"/>
    <w:rsid w:val="0095164B"/>
    <w:rsid w:val="00954090"/>
    <w:rsid w:val="009545F0"/>
    <w:rsid w:val="009573E7"/>
    <w:rsid w:val="0096262A"/>
    <w:rsid w:val="00963E05"/>
    <w:rsid w:val="00964A45"/>
    <w:rsid w:val="00967843"/>
    <w:rsid w:val="00967D54"/>
    <w:rsid w:val="00971028"/>
    <w:rsid w:val="00971151"/>
    <w:rsid w:val="00993B84"/>
    <w:rsid w:val="00996483"/>
    <w:rsid w:val="00996F5A"/>
    <w:rsid w:val="009A1C9A"/>
    <w:rsid w:val="009A5579"/>
    <w:rsid w:val="009B01BF"/>
    <w:rsid w:val="009B041A"/>
    <w:rsid w:val="009C37C3"/>
    <w:rsid w:val="009C67AC"/>
    <w:rsid w:val="009C7C86"/>
    <w:rsid w:val="009D2FF7"/>
    <w:rsid w:val="009E7884"/>
    <w:rsid w:val="009E788A"/>
    <w:rsid w:val="009F0E08"/>
    <w:rsid w:val="00A06CC1"/>
    <w:rsid w:val="00A1763D"/>
    <w:rsid w:val="00A17CEC"/>
    <w:rsid w:val="00A210ED"/>
    <w:rsid w:val="00A27EF0"/>
    <w:rsid w:val="00A31399"/>
    <w:rsid w:val="00A42361"/>
    <w:rsid w:val="00A50B20"/>
    <w:rsid w:val="00A51390"/>
    <w:rsid w:val="00A52B48"/>
    <w:rsid w:val="00A60D13"/>
    <w:rsid w:val="00A714EF"/>
    <w:rsid w:val="00A7223D"/>
    <w:rsid w:val="00A72745"/>
    <w:rsid w:val="00A76EFC"/>
    <w:rsid w:val="00A87D50"/>
    <w:rsid w:val="00A91010"/>
    <w:rsid w:val="00A9381E"/>
    <w:rsid w:val="00A97D9A"/>
    <w:rsid w:val="00A97F29"/>
    <w:rsid w:val="00AA702E"/>
    <w:rsid w:val="00AA7D26"/>
    <w:rsid w:val="00AB0964"/>
    <w:rsid w:val="00AB5011"/>
    <w:rsid w:val="00AC7368"/>
    <w:rsid w:val="00AD16B9"/>
    <w:rsid w:val="00AD27F1"/>
    <w:rsid w:val="00AD2E83"/>
    <w:rsid w:val="00AD6879"/>
    <w:rsid w:val="00AE377D"/>
    <w:rsid w:val="00AF0EBA"/>
    <w:rsid w:val="00AF4652"/>
    <w:rsid w:val="00AF46C8"/>
    <w:rsid w:val="00B02C8A"/>
    <w:rsid w:val="00B17FBD"/>
    <w:rsid w:val="00B23F35"/>
    <w:rsid w:val="00B241FA"/>
    <w:rsid w:val="00B2524A"/>
    <w:rsid w:val="00B25639"/>
    <w:rsid w:val="00B315A6"/>
    <w:rsid w:val="00B31813"/>
    <w:rsid w:val="00B33365"/>
    <w:rsid w:val="00B57B36"/>
    <w:rsid w:val="00B57E6F"/>
    <w:rsid w:val="00B6561F"/>
    <w:rsid w:val="00B72941"/>
    <w:rsid w:val="00B81D36"/>
    <w:rsid w:val="00B8686D"/>
    <w:rsid w:val="00B93F69"/>
    <w:rsid w:val="00BA396B"/>
    <w:rsid w:val="00BB1DDC"/>
    <w:rsid w:val="00BB6656"/>
    <w:rsid w:val="00BC30C9"/>
    <w:rsid w:val="00BD077D"/>
    <w:rsid w:val="00BE3E58"/>
    <w:rsid w:val="00BE561F"/>
    <w:rsid w:val="00C01616"/>
    <w:rsid w:val="00C0162B"/>
    <w:rsid w:val="00C04040"/>
    <w:rsid w:val="00C068ED"/>
    <w:rsid w:val="00C22E0C"/>
    <w:rsid w:val="00C24AF1"/>
    <w:rsid w:val="00C345B1"/>
    <w:rsid w:val="00C40142"/>
    <w:rsid w:val="00C52C3C"/>
    <w:rsid w:val="00C57182"/>
    <w:rsid w:val="00C57863"/>
    <w:rsid w:val="00C640AF"/>
    <w:rsid w:val="00C655FD"/>
    <w:rsid w:val="00C75407"/>
    <w:rsid w:val="00C77AE1"/>
    <w:rsid w:val="00C841C6"/>
    <w:rsid w:val="00C870A8"/>
    <w:rsid w:val="00C9293B"/>
    <w:rsid w:val="00C94434"/>
    <w:rsid w:val="00CA0D75"/>
    <w:rsid w:val="00CA1C95"/>
    <w:rsid w:val="00CA4FCC"/>
    <w:rsid w:val="00CA5A9C"/>
    <w:rsid w:val="00CC4C20"/>
    <w:rsid w:val="00CD2BE8"/>
    <w:rsid w:val="00CD3517"/>
    <w:rsid w:val="00CD5520"/>
    <w:rsid w:val="00CD5FE2"/>
    <w:rsid w:val="00CE7C68"/>
    <w:rsid w:val="00D02B4C"/>
    <w:rsid w:val="00D040C4"/>
    <w:rsid w:val="00D20AD1"/>
    <w:rsid w:val="00D23711"/>
    <w:rsid w:val="00D2582C"/>
    <w:rsid w:val="00D44C6D"/>
    <w:rsid w:val="00D46B7E"/>
    <w:rsid w:val="00D475C7"/>
    <w:rsid w:val="00D57C84"/>
    <w:rsid w:val="00D6057D"/>
    <w:rsid w:val="00D66D6D"/>
    <w:rsid w:val="00D71640"/>
    <w:rsid w:val="00D836C5"/>
    <w:rsid w:val="00D8407D"/>
    <w:rsid w:val="00D842CC"/>
    <w:rsid w:val="00D84576"/>
    <w:rsid w:val="00DA1399"/>
    <w:rsid w:val="00DA24C6"/>
    <w:rsid w:val="00DA4D7B"/>
    <w:rsid w:val="00DB664A"/>
    <w:rsid w:val="00DD271C"/>
    <w:rsid w:val="00DE264A"/>
    <w:rsid w:val="00DF5072"/>
    <w:rsid w:val="00E004D4"/>
    <w:rsid w:val="00E02D18"/>
    <w:rsid w:val="00E041E7"/>
    <w:rsid w:val="00E23CA1"/>
    <w:rsid w:val="00E409A8"/>
    <w:rsid w:val="00E448B0"/>
    <w:rsid w:val="00E45289"/>
    <w:rsid w:val="00E50C12"/>
    <w:rsid w:val="00E65B91"/>
    <w:rsid w:val="00E7209D"/>
    <w:rsid w:val="00E72EAD"/>
    <w:rsid w:val="00E77223"/>
    <w:rsid w:val="00E8528B"/>
    <w:rsid w:val="00E85B94"/>
    <w:rsid w:val="00E978D0"/>
    <w:rsid w:val="00EA4613"/>
    <w:rsid w:val="00EA7F91"/>
    <w:rsid w:val="00EB1523"/>
    <w:rsid w:val="00EC0E49"/>
    <w:rsid w:val="00EC101F"/>
    <w:rsid w:val="00EC1D9F"/>
    <w:rsid w:val="00EE0131"/>
    <w:rsid w:val="00EE17B0"/>
    <w:rsid w:val="00EE7A55"/>
    <w:rsid w:val="00EF06D9"/>
    <w:rsid w:val="00EF0965"/>
    <w:rsid w:val="00EF2E1F"/>
    <w:rsid w:val="00F159DD"/>
    <w:rsid w:val="00F259F4"/>
    <w:rsid w:val="00F265EE"/>
    <w:rsid w:val="00F3049E"/>
    <w:rsid w:val="00F30C64"/>
    <w:rsid w:val="00F32BA2"/>
    <w:rsid w:val="00F32CDB"/>
    <w:rsid w:val="00F32EFD"/>
    <w:rsid w:val="00F37BB3"/>
    <w:rsid w:val="00F51F45"/>
    <w:rsid w:val="00F565FE"/>
    <w:rsid w:val="00F61ED1"/>
    <w:rsid w:val="00F63A70"/>
    <w:rsid w:val="00F63D8C"/>
    <w:rsid w:val="00F66807"/>
    <w:rsid w:val="00F71C08"/>
    <w:rsid w:val="00F72431"/>
    <w:rsid w:val="00F7534E"/>
    <w:rsid w:val="00F92005"/>
    <w:rsid w:val="00F93EDF"/>
    <w:rsid w:val="00FA1802"/>
    <w:rsid w:val="00FA21D0"/>
    <w:rsid w:val="00FA5F5F"/>
    <w:rsid w:val="00FB730C"/>
    <w:rsid w:val="00FC2695"/>
    <w:rsid w:val="00FC3E03"/>
    <w:rsid w:val="00FC3FC1"/>
    <w:rsid w:val="00FE44E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p1">
    <w:name w:val="p1"/>
    <w:basedOn w:val="Normale"/>
    <w:rsid w:val="00BB6656"/>
    <w:pPr>
      <w:tabs>
        <w:tab w:val="clear" w:pos="7100"/>
      </w:tabs>
      <w:spacing w:before="100" w:beforeAutospacing="1" w:after="100" w:afterAutospacing="1" w:line="240" w:lineRule="auto"/>
      <w:jc w:val="left"/>
    </w:pPr>
    <w:rPr>
      <w:rFonts w:ascii="Times New Roman" w:hAnsi="Times New Roman"/>
      <w:sz w:val="24"/>
      <w:szCs w:val="24"/>
      <w:lang w:val="it-IT" w:eastAsia="it-IT"/>
    </w:rPr>
  </w:style>
  <w:style w:type="table" w:customStyle="1" w:styleId="TableGrid1">
    <w:name w:val="Table Grid1"/>
    <w:basedOn w:val="Tabellanormale"/>
    <w:next w:val="Grigliatabella"/>
    <w:uiPriority w:val="59"/>
    <w:rsid w:val="00C0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45289"/>
  </w:style>
  <w:style w:type="character" w:customStyle="1" w:styleId="s1">
    <w:name w:val="s1"/>
    <w:basedOn w:val="Carpredefinitoparagrafo"/>
    <w:rsid w:val="00B24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p1">
    <w:name w:val="p1"/>
    <w:basedOn w:val="Normale"/>
    <w:rsid w:val="00BB6656"/>
    <w:pPr>
      <w:tabs>
        <w:tab w:val="clear" w:pos="7100"/>
      </w:tabs>
      <w:spacing w:before="100" w:beforeAutospacing="1" w:after="100" w:afterAutospacing="1" w:line="240" w:lineRule="auto"/>
      <w:jc w:val="left"/>
    </w:pPr>
    <w:rPr>
      <w:rFonts w:ascii="Times New Roman" w:hAnsi="Times New Roman"/>
      <w:sz w:val="24"/>
      <w:szCs w:val="24"/>
      <w:lang w:val="it-IT" w:eastAsia="it-IT"/>
    </w:rPr>
  </w:style>
  <w:style w:type="table" w:customStyle="1" w:styleId="TableGrid1">
    <w:name w:val="Table Grid1"/>
    <w:basedOn w:val="Tabellanormale"/>
    <w:next w:val="Grigliatabella"/>
    <w:uiPriority w:val="59"/>
    <w:rsid w:val="00C0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45289"/>
  </w:style>
  <w:style w:type="character" w:customStyle="1" w:styleId="s1">
    <w:name w:val="s1"/>
    <w:basedOn w:val="Carpredefinitoparagrafo"/>
    <w:rsid w:val="00B2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A31A-1BDF-4C72-B663-BEEB3D7A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6377</Words>
  <Characters>36350</Characters>
  <Application>Microsoft Office Word</Application>
  <DocSecurity>0</DocSecurity>
  <Lines>302</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42642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Matteo Curcuruto</cp:lastModifiedBy>
  <cp:revision>3</cp:revision>
  <cp:lastPrinted>2015-05-12T18:31:00Z</cp:lastPrinted>
  <dcterms:created xsi:type="dcterms:W3CDTF">2026-05-12T12:30:00Z</dcterms:created>
  <dcterms:modified xsi:type="dcterms:W3CDTF">2026-05-12T12:32:00Z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id="mf2c124n"/&gt;&lt;style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ies>
</file>