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1E65CA">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1087A532"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35009F">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1E65CA">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1E65CA">
        <w:trPr>
          <w:trHeight w:val="68"/>
          <w:jc w:val="center"/>
        </w:trPr>
        <w:tc>
          <w:tcPr>
            <w:tcW w:w="8782" w:type="dxa"/>
            <w:gridSpan w:val="2"/>
          </w:tcPr>
          <w:p w14:paraId="1D8DD3C9" w14:textId="086598E2" w:rsidR="00AA7D26" w:rsidRPr="00F93EDF" w:rsidRDefault="00AA7D26" w:rsidP="00AA7D26">
            <w:pPr>
              <w:ind w:left="-107"/>
              <w:outlineLvl w:val="2"/>
              <w:rPr>
                <w:rFonts w:ascii="Tahoma" w:hAnsi="Tahoma" w:cs="Tahoma"/>
                <w:bCs/>
                <w:color w:val="000000"/>
                <w:sz w:val="14"/>
                <w:szCs w:val="14"/>
                <w:lang w:eastAsia="it-IT"/>
              </w:rPr>
            </w:pPr>
            <w:r w:rsidRPr="00F93EDF">
              <w:rPr>
                <w:rFonts w:ascii="Tahoma" w:hAnsi="Tahoma" w:cs="Tahoma"/>
                <w:iCs/>
                <w:color w:val="333333"/>
                <w:sz w:val="14"/>
                <w:szCs w:val="14"/>
                <w:lang w:eastAsia="it-IT"/>
              </w:rPr>
              <w:t>Guest Editors:</w:t>
            </w:r>
            <w:r w:rsidRPr="00F93EDF">
              <w:rPr>
                <w:rFonts w:ascii="Tahoma" w:hAnsi="Tahoma" w:cs="Tahoma"/>
                <w:color w:val="000000"/>
                <w:sz w:val="14"/>
                <w:szCs w:val="14"/>
                <w:shd w:val="clear" w:color="auto" w:fill="FFFFFF"/>
              </w:rPr>
              <w:t xml:space="preserve"> </w:t>
            </w:r>
          </w:p>
          <w:p w14:paraId="1B0F1814" w14:textId="57AA03EA"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C24AF1">
              <w:rPr>
                <w:rFonts w:ascii="Tahoma" w:hAnsi="Tahoma" w:cs="Tahoma"/>
                <w:iCs/>
                <w:color w:val="333333"/>
                <w:sz w:val="14"/>
                <w:szCs w:val="14"/>
                <w:lang w:eastAsia="it-IT"/>
              </w:rPr>
              <w:t>5</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557E00">
              <w:rPr>
                <w:rFonts w:ascii="Tahoma" w:hAnsi="Tahoma" w:cs="Tahoma"/>
                <w:sz w:val="14"/>
                <w:szCs w:val="14"/>
              </w:rPr>
              <w:t>XX</w:t>
            </w:r>
            <w:r w:rsidR="00D2582C">
              <w:rPr>
                <w:rFonts w:ascii="Tahoma" w:hAnsi="Tahoma" w:cs="Tahoma"/>
                <w:sz w:val="14"/>
                <w:szCs w:val="14"/>
              </w:rPr>
              <w:t>-</w:t>
            </w:r>
            <w:r w:rsidR="00557E00">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7D234661" w:rsidR="00E978D0" w:rsidRPr="00B57B36" w:rsidRDefault="001E65CA" w:rsidP="00E978D0">
      <w:pPr>
        <w:pStyle w:val="CETTitle"/>
      </w:pPr>
      <w:r w:rsidRPr="001E65CA">
        <w:t>Recursive Operability Analysis of an Offshore Separator Under Normal and Emergency Operating Conditions</w:t>
      </w:r>
    </w:p>
    <w:p w14:paraId="0488FED2" w14:textId="6C630D52" w:rsidR="00B57E6F" w:rsidRPr="00070D14" w:rsidRDefault="001E65CA" w:rsidP="00B57E6F">
      <w:pPr>
        <w:pStyle w:val="CETAuthors"/>
        <w:rPr>
          <w:lang w:val="it-IT"/>
        </w:rPr>
      </w:pPr>
      <w:r w:rsidRPr="00070D14">
        <w:rPr>
          <w:lang w:val="it-IT"/>
        </w:rPr>
        <w:t>Barozzi Marco</w:t>
      </w:r>
      <w:r w:rsidR="00B57E6F" w:rsidRPr="00070D14">
        <w:rPr>
          <w:vertAlign w:val="superscript"/>
          <w:lang w:val="it-IT"/>
        </w:rPr>
        <w:t>a</w:t>
      </w:r>
      <w:r w:rsidR="00B57E6F" w:rsidRPr="00070D14">
        <w:rPr>
          <w:lang w:val="it-IT"/>
        </w:rPr>
        <w:t xml:space="preserve">, </w:t>
      </w:r>
      <w:r w:rsidRPr="00070D14">
        <w:rPr>
          <w:lang w:val="it-IT"/>
        </w:rPr>
        <w:t>Copelli Sabrina</w:t>
      </w:r>
      <w:r w:rsidRPr="00070D14">
        <w:rPr>
          <w:vertAlign w:val="superscript"/>
          <w:lang w:val="it-IT"/>
        </w:rPr>
        <w:t>a</w:t>
      </w:r>
      <w:r w:rsidR="00B57E6F" w:rsidRPr="00070D14">
        <w:rPr>
          <w:vertAlign w:val="superscript"/>
          <w:lang w:val="it-IT"/>
        </w:rPr>
        <w:t>,</w:t>
      </w:r>
      <w:r w:rsidR="00B57E6F" w:rsidRPr="00070D14">
        <w:rPr>
          <w:lang w:val="it-IT"/>
        </w:rPr>
        <w:t>*</w:t>
      </w:r>
    </w:p>
    <w:p w14:paraId="7356F632" w14:textId="77777777" w:rsidR="001E65CA" w:rsidRDefault="00B57E6F" w:rsidP="001E65CA">
      <w:pPr>
        <w:pStyle w:val="CETAddress"/>
        <w:rPr>
          <w:lang w:val="it-IT"/>
        </w:rPr>
      </w:pPr>
      <w:r w:rsidRPr="001E65CA">
        <w:rPr>
          <w:vertAlign w:val="superscript"/>
          <w:lang w:val="it-IT"/>
        </w:rPr>
        <w:t>a</w:t>
      </w:r>
      <w:r w:rsidR="001E65CA" w:rsidRPr="001E65CA">
        <w:rPr>
          <w:lang w:val="it-IT"/>
        </w:rPr>
        <w:t xml:space="preserve"> Università degli Studi dell’Insubria - Dipartimento di Scienza e Alta Tecnologia - via Valleggio 11 – 22100 Como – Italy</w:t>
      </w:r>
    </w:p>
    <w:p w14:paraId="325C1225" w14:textId="40DFBC2F" w:rsidR="00681460" w:rsidRPr="001E65CA" w:rsidRDefault="001E65CA" w:rsidP="001E65CA">
      <w:pPr>
        <w:pStyle w:val="CETAddress"/>
        <w:rPr>
          <w:lang w:val="en-US"/>
        </w:rPr>
      </w:pPr>
      <w:r>
        <w:rPr>
          <w:lang w:val="en-US"/>
        </w:rPr>
        <w:t>sabrina</w:t>
      </w:r>
      <w:r w:rsidR="00681460" w:rsidRPr="001E65CA">
        <w:rPr>
          <w:lang w:val="en-US"/>
        </w:rPr>
        <w:t>.</w:t>
      </w:r>
      <w:r>
        <w:rPr>
          <w:lang w:val="en-US"/>
        </w:rPr>
        <w:t>copelli</w:t>
      </w:r>
      <w:r w:rsidR="00681460" w:rsidRPr="001E65CA">
        <w:rPr>
          <w:lang w:val="en-US"/>
        </w:rPr>
        <w:t>@</w:t>
      </w:r>
      <w:r>
        <w:rPr>
          <w:lang w:val="en-US"/>
        </w:rPr>
        <w:t>uninsubria</w:t>
      </w:r>
      <w:r w:rsidR="001A3DAC">
        <w:rPr>
          <w:lang w:val="en-US"/>
        </w:rPr>
        <w:t>.</w:t>
      </w:r>
      <w:r>
        <w:rPr>
          <w:lang w:val="en-US"/>
        </w:rPr>
        <w:t>it</w:t>
      </w:r>
    </w:p>
    <w:p w14:paraId="3FBBE8FB" w14:textId="77777777" w:rsidR="001E65CA" w:rsidRDefault="001E65CA" w:rsidP="00600535">
      <w:pPr>
        <w:pStyle w:val="CETBodytext"/>
      </w:pPr>
    </w:p>
    <w:p w14:paraId="44C6A304" w14:textId="27E670A5" w:rsidR="006C6A34" w:rsidRDefault="006C6A34" w:rsidP="006C6A34">
      <w:pPr>
        <w:pStyle w:val="CETBodytext"/>
      </w:pPr>
      <w:r w:rsidRPr="001E65CA">
        <w:rPr>
          <w:lang w:val="en-GB"/>
        </w:rPr>
        <w:t>Offshore oil and gas production platforms operate in complex and inherently hazardous environments, where process deviations may arise not only from equipment failures or operational errors, but also from emergency conditions induced by external events</w:t>
      </w:r>
      <w:r>
        <w:t>. This study applies Recursive Operability Analysis (</w:t>
      </w:r>
      <w:r w:rsidR="00C9103D">
        <w:t>ROA</w:t>
      </w:r>
      <w:r>
        <w:t xml:space="preserve">) to an offshore separator, providing a probability assessment of critical events </w:t>
      </w:r>
      <w:r w:rsidRPr="001E65CA">
        <w:rPr>
          <w:lang w:val="en-GB"/>
        </w:rPr>
        <w:t>with particular emphasis on emergency operating conditions</w:t>
      </w:r>
      <w:r>
        <w:t>. Moving beyond traditional H</w:t>
      </w:r>
      <w:r w:rsidR="00F46597">
        <w:t>az</w:t>
      </w:r>
      <w:r>
        <w:t>O</w:t>
      </w:r>
      <w:r w:rsidR="00F46597">
        <w:t>p</w:t>
      </w:r>
      <w:r>
        <w:t xml:space="preserve">, the analysis evaluates both standard operations and degraded states triggered by emergencies, such as </w:t>
      </w:r>
      <w:r w:rsidR="00432247" w:rsidRPr="001739F9">
        <w:rPr>
          <w:lang w:val="en-GB"/>
        </w:rPr>
        <w:t>Natural</w:t>
      </w:r>
      <w:r w:rsidR="00432247">
        <w:rPr>
          <w:lang w:val="en-GB"/>
        </w:rPr>
        <w:t xml:space="preserve"> H</w:t>
      </w:r>
      <w:r w:rsidR="00432247" w:rsidRPr="001739F9">
        <w:rPr>
          <w:lang w:val="en-GB"/>
        </w:rPr>
        <w:t xml:space="preserve">azard </w:t>
      </w:r>
      <w:r w:rsidR="00432247">
        <w:rPr>
          <w:lang w:val="en-GB"/>
        </w:rPr>
        <w:t xml:space="preserve">Triggering </w:t>
      </w:r>
      <w:r w:rsidR="00432247" w:rsidRPr="001739F9">
        <w:rPr>
          <w:lang w:val="en-GB"/>
        </w:rPr>
        <w:t xml:space="preserve">Technological </w:t>
      </w:r>
      <w:r w:rsidR="00432247">
        <w:rPr>
          <w:lang w:val="en-GB"/>
        </w:rPr>
        <w:t>Disasters</w:t>
      </w:r>
      <w:r w:rsidR="00432247">
        <w:t xml:space="preserve"> (</w:t>
      </w:r>
      <w:r>
        <w:t>NaTech</w:t>
      </w:r>
      <w:r w:rsidR="00432247">
        <w:t>)</w:t>
      </w:r>
      <w:r>
        <w:t xml:space="preserve"> related to power loss. </w:t>
      </w:r>
      <w:r>
        <w:rPr>
          <w:lang w:val="en-GB"/>
        </w:rPr>
        <w:t>From the analysis</w:t>
      </w:r>
      <w:r w:rsidRPr="001E65CA">
        <w:rPr>
          <w:lang w:val="en-GB"/>
        </w:rPr>
        <w:t>, critical top events such as separator overpressure, flooding, and hydrocarbon release</w:t>
      </w:r>
      <w:r>
        <w:rPr>
          <w:lang w:val="en-GB"/>
        </w:rPr>
        <w:t xml:space="preserve"> </w:t>
      </w:r>
      <w:r w:rsidR="00FF1843">
        <w:rPr>
          <w:lang w:val="en-GB"/>
        </w:rPr>
        <w:t>were</w:t>
      </w:r>
      <w:r>
        <w:rPr>
          <w:lang w:val="en-GB"/>
        </w:rPr>
        <w:t xml:space="preserve"> identified</w:t>
      </w:r>
      <w:r w:rsidRPr="001E65CA">
        <w:rPr>
          <w:lang w:val="en-GB"/>
        </w:rPr>
        <w:t>, as well as the assessment of the contribution of emergency conditions to their probability of occurrence.</w:t>
      </w:r>
      <w:r>
        <w:rPr>
          <w:lang w:val="en-GB"/>
        </w:rPr>
        <w:t xml:space="preserve"> C</w:t>
      </w:r>
      <w:r w:rsidRPr="001E65CA">
        <w:rPr>
          <w:lang w:val="en-GB"/>
        </w:rPr>
        <w:t>onsidering emergency-induced deviations significantly enhances hazard identification for offshore separators. This methodology supports improved decision-making for risk mitigation and offers a framework for safety assessments of critical process equipment exposed to extreme external events</w:t>
      </w:r>
      <w:r w:rsidRPr="00B60AE4">
        <w:t xml:space="preserve">. </w:t>
      </w:r>
    </w:p>
    <w:p w14:paraId="0F51FF61" w14:textId="77777777" w:rsidR="006C6A34" w:rsidRPr="001E65CA" w:rsidRDefault="006C6A34" w:rsidP="001E65CA">
      <w:pPr>
        <w:pStyle w:val="CETBodytext"/>
        <w:rPr>
          <w:lang w:val="en-GB"/>
        </w:rPr>
      </w:pPr>
    </w:p>
    <w:p w14:paraId="476B2F2E" w14:textId="77777777" w:rsidR="00600535" w:rsidRPr="00B57B36" w:rsidRDefault="00600535" w:rsidP="00600535">
      <w:pPr>
        <w:pStyle w:val="CETHeading1"/>
        <w:rPr>
          <w:lang w:val="en-GB"/>
        </w:rPr>
      </w:pPr>
      <w:r w:rsidRPr="00B57B36">
        <w:rPr>
          <w:lang w:val="en-GB"/>
        </w:rPr>
        <w:t>Introduction</w:t>
      </w:r>
    </w:p>
    <w:p w14:paraId="3C0BC079" w14:textId="0A12E274" w:rsidR="00B6154D" w:rsidRDefault="001739F9" w:rsidP="00B6154D">
      <w:pPr>
        <w:pStyle w:val="CETBodytext"/>
        <w:rPr>
          <w:lang w:val="en-GB"/>
        </w:rPr>
      </w:pPr>
      <w:r w:rsidRPr="001739F9">
        <w:rPr>
          <w:lang w:val="en-GB"/>
        </w:rPr>
        <w:t>The escalation of meteorological and climate-related hazards has led to a paradigm shift in industrial safety, marked by the concept of Na</w:t>
      </w:r>
      <w:r w:rsidR="00432247">
        <w:rPr>
          <w:lang w:val="en-GB"/>
        </w:rPr>
        <w:t>T</w:t>
      </w:r>
      <w:r w:rsidRPr="001739F9">
        <w:rPr>
          <w:lang w:val="en-GB"/>
        </w:rPr>
        <w:t>ech</w:t>
      </w:r>
      <w:r>
        <w:rPr>
          <w:lang w:val="en-GB"/>
        </w:rPr>
        <w:t xml:space="preserve"> (</w:t>
      </w:r>
      <w:r w:rsidRPr="001739F9">
        <w:rPr>
          <w:lang w:val="en-GB"/>
        </w:rPr>
        <w:t>Natural</w:t>
      </w:r>
      <w:r w:rsidR="00F06FDD">
        <w:rPr>
          <w:lang w:val="en-GB"/>
        </w:rPr>
        <w:t xml:space="preserve"> </w:t>
      </w:r>
      <w:r w:rsidR="00400730">
        <w:rPr>
          <w:lang w:val="en-GB"/>
        </w:rPr>
        <w:t>H</w:t>
      </w:r>
      <w:r w:rsidRPr="001739F9">
        <w:rPr>
          <w:lang w:val="en-GB"/>
        </w:rPr>
        <w:t xml:space="preserve">azard </w:t>
      </w:r>
      <w:r w:rsidR="00400730">
        <w:rPr>
          <w:lang w:val="en-GB"/>
        </w:rPr>
        <w:t>T</w:t>
      </w:r>
      <w:r w:rsidR="00F06FDD">
        <w:rPr>
          <w:lang w:val="en-GB"/>
        </w:rPr>
        <w:t xml:space="preserve">riggering </w:t>
      </w:r>
      <w:r w:rsidRPr="001739F9">
        <w:rPr>
          <w:lang w:val="en-GB"/>
        </w:rPr>
        <w:t xml:space="preserve">Technological </w:t>
      </w:r>
      <w:r w:rsidR="00432247">
        <w:rPr>
          <w:lang w:val="en-GB"/>
        </w:rPr>
        <w:t>D</w:t>
      </w:r>
      <w:r w:rsidR="003852ED">
        <w:rPr>
          <w:lang w:val="en-GB"/>
        </w:rPr>
        <w:t>isaster</w:t>
      </w:r>
      <w:r w:rsidR="00400730">
        <w:rPr>
          <w:lang w:val="en-GB"/>
        </w:rPr>
        <w:t>s</w:t>
      </w:r>
      <w:r>
        <w:rPr>
          <w:lang w:val="en-GB"/>
        </w:rPr>
        <w:t>)</w:t>
      </w:r>
      <w:r w:rsidR="00A21BC6">
        <w:rPr>
          <w:lang w:val="en-GB"/>
        </w:rPr>
        <w:t xml:space="preserve"> </w:t>
      </w:r>
      <w:r w:rsidR="00A21BC6">
        <w:rPr>
          <w:lang w:val="en-GB"/>
        </w:rPr>
        <w:fldChar w:fldCharType="begin"/>
      </w:r>
      <w:r w:rsidR="00A21BC6">
        <w:rPr>
          <w:lang w:val="en-GB"/>
        </w:rPr>
        <w:instrText xml:space="preserve"> ADDIN ZOTERO_ITEM CSL_CITATION {"citationID":"r2YdafRp","properties":{"unsorted":false,"formattedCitation":"(Santamato and Busini, 2025)","plainCitation":"(Santamato and Busini, 2025)","noteIndex":0},"citationItems":[{"id":274,"uris":["http://zotero.org/users/local/mDzd7GNh/items/BPFSLHYX"],"itemData":{"id":274,"type":"article-journal","abstract":"Natural catastrophic events, such as storms, earthquakes, flooding, and lightning; impacting industrial activities can trigger accidental scenarios, causing the release of hazardous substances from installations and storage, in events referred to as “Na-Tech” (Natural and Technological). Most of the attention in the literature has been devoted to accidents triggered by floods and earthquakes, while no specific analysis protocols aimed at determining the risk posed by tornadoes and strong gusts of wind on industrial facilities are available. Consequently, the purpose of this paper is to fill a gap in NaTech risk assessment, developing a qualitative methodology for the initial assessment of tornado-related Na-Tech risk for storage tanks, as previous works based on historical analysis have identified storages as the most critical asset, serving as a screening tool to determine which situations require a much more expensive Quantitative Risk Analysis (QRA). In the proposed methodology suitable Key Hazard Indicators (KHIs) were defined, requiring a limited amount of resources and information both on the intensity and frequency of the stormy event and on the plant and the characteristics of the assets in it, organizing them using the Analytical Hierarchy Process as a multi-criteria decision tool. In so doing, a specific Na-Tech risk level can be associated with a given situation (i.e., a process plant located in a given territory). The developed methodology was applied to a case study plant, and then a sensitivity analysis to both the locations and parameters was performed.","container-title":"Reliability Engineering &amp; System Safety","DOI":"10.1016/j.ress.2025.111419","ISSN":"0951-8320","journalAbbreviation":"Reliability Engineering &amp; System Safety","page":"111419","source":"ScienceDirect","title":"Definition of a NaTech risk analysis methodology for assessing tornado-related risk for storage tanks","volume":"264","author":[{"family":"Santamato","given":"Fabrizio"},{"family":"Busini","given":"Valentina"}],"issued":{"date-parts":[["2025",12,1]]}}}],"schema":"https://github.com/citation-style-language/schema/raw/master/csl-citation.json"} </w:instrText>
      </w:r>
      <w:r w:rsidR="00A21BC6">
        <w:rPr>
          <w:lang w:val="en-GB"/>
        </w:rPr>
        <w:fldChar w:fldCharType="separate"/>
      </w:r>
      <w:r w:rsidR="00A21BC6" w:rsidRPr="00A21BC6">
        <w:rPr>
          <w:rFonts w:cs="Arial"/>
          <w:lang w:val="en-GB"/>
        </w:rPr>
        <w:t>(Santamato and Busini, 2025)</w:t>
      </w:r>
      <w:r w:rsidR="00A21BC6">
        <w:rPr>
          <w:lang w:val="en-GB"/>
        </w:rPr>
        <w:fldChar w:fldCharType="end"/>
      </w:r>
      <w:r w:rsidRPr="001739F9">
        <w:rPr>
          <w:lang w:val="en-GB"/>
        </w:rPr>
        <w:t xml:space="preserve">. First identified in the early 1990s, this term describes the cascading disaster that occurs when an extreme natural event damages industrial facilities, often in the chemical sector, leading to fires, explosions, or toxic releases. While </w:t>
      </w:r>
      <w:r>
        <w:rPr>
          <w:lang w:val="en-GB"/>
        </w:rPr>
        <w:t>these hazards</w:t>
      </w:r>
      <w:r w:rsidRPr="001739F9">
        <w:rPr>
          <w:lang w:val="en-GB"/>
        </w:rPr>
        <w:t xml:space="preserve"> w</w:t>
      </w:r>
      <w:r>
        <w:rPr>
          <w:lang w:val="en-GB"/>
        </w:rPr>
        <w:t>ere</w:t>
      </w:r>
      <w:r w:rsidRPr="001739F9">
        <w:rPr>
          <w:lang w:val="en-GB"/>
        </w:rPr>
        <w:t xml:space="preserve"> recognized early in </w:t>
      </w:r>
      <w:r>
        <w:rPr>
          <w:lang w:val="en-GB"/>
        </w:rPr>
        <w:t>countries</w:t>
      </w:r>
      <w:r w:rsidRPr="001739F9">
        <w:rPr>
          <w:lang w:val="en-GB"/>
        </w:rPr>
        <w:t xml:space="preserve"> </w:t>
      </w:r>
      <w:r w:rsidR="00432247">
        <w:rPr>
          <w:lang w:val="en-GB"/>
        </w:rPr>
        <w:t>as</w:t>
      </w:r>
      <w:r w:rsidRPr="001739F9">
        <w:rPr>
          <w:lang w:val="en-GB"/>
        </w:rPr>
        <w:t xml:space="preserve"> United States</w:t>
      </w:r>
      <w:r w:rsidR="00C55E22">
        <w:rPr>
          <w:lang w:val="en-GB"/>
        </w:rPr>
        <w:t xml:space="preserve"> (with the development of databases from </w:t>
      </w:r>
      <w:r w:rsidR="00C55E22" w:rsidRPr="00C55E22">
        <w:rPr>
          <w:lang w:val="en-GB"/>
        </w:rPr>
        <w:t>Showalter and Myers</w:t>
      </w:r>
      <w:r w:rsidR="00C55E22">
        <w:rPr>
          <w:lang w:val="en-GB"/>
        </w:rPr>
        <w:t>)</w:t>
      </w:r>
      <w:r w:rsidRPr="001739F9">
        <w:rPr>
          <w:lang w:val="en-GB"/>
        </w:rPr>
        <w:t xml:space="preserve"> </w:t>
      </w:r>
      <w:r>
        <w:rPr>
          <w:lang w:val="en-GB"/>
        </w:rPr>
        <w:t>due to the history</w:t>
      </w:r>
      <w:r w:rsidRPr="001739F9">
        <w:rPr>
          <w:lang w:val="en-GB"/>
        </w:rPr>
        <w:t xml:space="preserve"> of hurricanes and tornadoes, recent increases in extreme events have brought significant attention to Na</w:t>
      </w:r>
      <w:r w:rsidR="009A107D">
        <w:rPr>
          <w:lang w:val="en-GB"/>
        </w:rPr>
        <w:t>T</w:t>
      </w:r>
      <w:r w:rsidRPr="001739F9">
        <w:rPr>
          <w:lang w:val="en-GB"/>
        </w:rPr>
        <w:t>ech in Europe</w:t>
      </w:r>
      <w:r w:rsidR="00A21BC6">
        <w:rPr>
          <w:lang w:val="en-GB"/>
        </w:rPr>
        <w:t xml:space="preserve"> </w:t>
      </w:r>
      <w:r w:rsidR="00A21BC6">
        <w:rPr>
          <w:lang w:val="en-GB"/>
        </w:rPr>
        <w:fldChar w:fldCharType="begin"/>
      </w:r>
      <w:r w:rsidR="00A21BC6">
        <w:rPr>
          <w:lang w:val="en-GB"/>
        </w:rPr>
        <w:instrText xml:space="preserve"> ADDIN ZOTERO_ITEM CSL_CITATION {"citationID":"cxg0XDhh","properties":{"unsorted":false,"formattedCitation":"(Amaducci et al., 2024)","plainCitation":"(Amaducci et al., 2024)","noteIndex":0},"citationItems":[{"id":277,"uris":["http://zotero.org/users/local/mDzd7GNh/items/EZZDP3IS"],"itemData":{"id":277,"type":"article-journal","abstract":"Earthquakes may cause severe damage to the technological infrastructure and to transport systems handling hazardous substances as oil, natural gas and flammable/toxic chemicals. Earthquake damage may trigger Natech scenarios involving the release of hazardous substances, resulting in major accidents including fires, explosions, and toxic releases. Most of the methodologies developed for the quantitative assessment of risk related to Natech scenarios only focus on stationary installations handling hazardous substances, as chemical and process plants. However, pipelines are widely used for the long-range bulk transport of hazardous materials. In the present study an innovative methodology was developed to address the Quantitative Risk Assessment (QRA) of Natech scenarios triggered by earthquakes involving pipelines handling hazardous substances. Specific vulnerability models are used to assess pipeline failure probability. A new specific procedure was developed to carry out the calculation of consequences and risk along the main dimension of the pipeline. The innovative methodology developed allows for the first time the calculation of local specific individual risk and societal risk due to Natech events along the route of the pipeline. Two different case studies are discussed to provide a notional application of the proposed methodology and to demonstrate the applicability of the approach to a real-scale pipeline risk assessment problem. The results obtained from the case studies show the relevance of risk due to Natech scenarios involving pipelines with respect to that deriving from possible conventional failures, as well as the potentialities of the proposed approach in considering different intensities of seismic hazard along the route of the pipeline. Thus, the methodology developed provides an important support to risk-informed decision making in the management and mitigation of major accidents involving pipelines.","container-title":"Reliability Engineering &amp; System Safety","DOI":"10.1016/j.ress.2024.109993","ISSN":"0951-8320","journalAbbreviation":"Reliability Engineering &amp; System Safety","page":"109993","source":"ScienceDirect","title":"Quantitative risk assessment of Natech scenarios triggered by earthquakes involving pipelines","volume":"245","author":[{"family":"Amaducci","given":"Fabiola"},{"family":"Misuri","given":"Alessio"},{"family":"Bonvicini","given":"Sarah"},{"family":"Salzano","given":"Ernesto"},{"family":"Cozzani","given":"Valerio"}],"issued":{"date-parts":[["2024",5,1]]}}}],"schema":"https://github.com/citation-style-language/schema/raw/master/csl-citation.json"} </w:instrText>
      </w:r>
      <w:r w:rsidR="00A21BC6">
        <w:rPr>
          <w:lang w:val="en-GB"/>
        </w:rPr>
        <w:fldChar w:fldCharType="separate"/>
      </w:r>
      <w:r w:rsidR="00A21BC6" w:rsidRPr="00A21BC6">
        <w:rPr>
          <w:rFonts w:cs="Arial"/>
          <w:lang w:val="en-GB"/>
        </w:rPr>
        <w:t>(Amaducci et al., 2024)</w:t>
      </w:r>
      <w:r w:rsidR="00A21BC6">
        <w:rPr>
          <w:lang w:val="en-GB"/>
        </w:rPr>
        <w:fldChar w:fldCharType="end"/>
      </w:r>
      <w:r w:rsidRPr="001739F9">
        <w:rPr>
          <w:lang w:val="en-GB"/>
        </w:rPr>
        <w:t xml:space="preserve">. </w:t>
      </w:r>
      <w:r w:rsidR="00C0449D" w:rsidRPr="00C0449D">
        <w:rPr>
          <w:lang w:val="en-GB"/>
        </w:rPr>
        <w:t>Today, a wide range of natural phenomena are documented as potential triggers in global databases such as eNaTech, underscoring the growing and critical relevance of the Na</w:t>
      </w:r>
      <w:r w:rsidR="00102A0E">
        <w:rPr>
          <w:lang w:val="en-GB"/>
        </w:rPr>
        <w:t>T</w:t>
      </w:r>
      <w:r w:rsidR="00C0449D" w:rsidRPr="00C0449D">
        <w:rPr>
          <w:lang w:val="en-GB"/>
        </w:rPr>
        <w:t>ech concept worldwide.</w:t>
      </w:r>
      <w:r>
        <w:rPr>
          <w:lang w:val="en-GB"/>
        </w:rPr>
        <w:t xml:space="preserve"> According to the European </w:t>
      </w:r>
      <w:r w:rsidR="00391860">
        <w:rPr>
          <w:lang w:val="en-GB"/>
        </w:rPr>
        <w:t>C</w:t>
      </w:r>
      <w:r>
        <w:rPr>
          <w:lang w:val="en-GB"/>
        </w:rPr>
        <w:t>ommission, this is the list of natural events associated with hazards for industries:</w:t>
      </w:r>
      <w:r w:rsidRPr="001739F9">
        <w:rPr>
          <w:lang w:val="en-GB"/>
        </w:rPr>
        <w:t xml:space="preserve"> </w:t>
      </w:r>
      <w:r>
        <w:rPr>
          <w:lang w:val="en-GB"/>
        </w:rPr>
        <w:t xml:space="preserve">debris flow, earthquake, extreme temperature variation, flash flooding, freeze, heat, heavy rainfall, high wind, ice storm, landslide, snow storm, soil erosion/scouring, storm, storm surge, submarine landslide, tornado, tropical cyclone, tsunami, volcanic eruption, wild fire, wind. </w:t>
      </w:r>
      <w:r w:rsidR="00B6154D">
        <w:rPr>
          <w:lang w:val="en-GB"/>
        </w:rPr>
        <w:t>Among the most tragic events, t</w:t>
      </w:r>
      <w:r w:rsidR="00B6154D" w:rsidRPr="001E65CA">
        <w:rPr>
          <w:lang w:val="en-GB"/>
        </w:rPr>
        <w:t>he Katrina and Rita hurricanes in 2005</w:t>
      </w:r>
      <w:r w:rsidR="00B6154D">
        <w:rPr>
          <w:lang w:val="en-GB"/>
        </w:rPr>
        <w:t xml:space="preserve"> are tragic examples of extreme natural phenomena</w:t>
      </w:r>
      <w:r w:rsidR="00A21BC6">
        <w:rPr>
          <w:lang w:val="en-GB"/>
        </w:rPr>
        <w:t xml:space="preserve"> </w:t>
      </w:r>
      <w:r w:rsidR="00A21BC6">
        <w:rPr>
          <w:lang w:val="en-GB"/>
        </w:rPr>
        <w:fldChar w:fldCharType="begin"/>
      </w:r>
      <w:r w:rsidR="00A21BC6">
        <w:rPr>
          <w:lang w:val="en-GB"/>
        </w:rPr>
        <w:instrText xml:space="preserve"> ADDIN ZOTERO_ITEM CSL_CITATION {"citationID":"cKqOczRZ","properties":{"unsorted":false,"formattedCitation":"(Santella et al., 2010)","plainCitation":"(Santella et al., 2010)","noteIndex":0},"citationItems":[{"id":282,"uris":["http://zotero.org/users/local/mDzd7GNh/items/RAMLJWXR"],"itemData":{"id":282,"type":"article-journal","abstract":"Hurricane Katrina struck an area dense with industry, causing numerous releases of petroleum and hazardous materials. This study integrates information from a number of sources to describe the frequency, causes, and effects of these releases in order to inform analysis of risk from future hurricanes. Over 200 onshore releases of hazardous chemicals, petroleum, or natural gas were reported. Storm surge was responsible for the majority of petroleum releases and failure of storage tanks was the most common mechanism of release. Of the smaller number of hazardous chemical releases reported, many were associated with flaring from plant startup, shutdown, or process upset. In areas impacted by storm surge, 10% of the facilities within the Risk Management Plan (RMP) and Toxic Release Inventory (TRI) databases and 28% of SIC 1311 facilities experienced accidental releases. In areas subject only to hurricane strength winds, a lower fraction (1% of RMP and TRI and 10% of SIC 1311 facilities) experienced a release while 1% of all facility types reported a release in areas that experienced tropical storm strength winds. Of industrial facilities surveyed, more experienced indirect disruptions such as displacement of workers, loss of electricity and communication systems, and difficulty acquiring supplies and contractors for operations or reconstruction (55%), than experienced releases. To reduce the risk of hazardous material releases and speed the return to normal operations under these difficult conditions, greater attention should be devoted to risk-based facility design and improved prevention and response planning.","container-title":"Risk Analysis: An Official Publication of the Society for Risk Analysis","DOI":"10.1111/j.1539-6924.2010.01390.x","ISSN":"1539-6924","issue":"4","journalAbbreviation":"Risk Anal","language":"eng","page":"635-649","PMID":"20345576","source":"PubMed","title":"Petroleum and hazardous material releases from industrial facilities associated with Hurricane Katrina","volume":"30","author":[{"family":"Santella","given":"Nicholas"},{"family":"Steinberg","given":"Laura J."},{"family":"Sengul","given":"Hatice"}],"issued":{"date-parts":[["2010",4]]}}}],"schema":"https://github.com/citation-style-language/schema/raw/master/csl-citation.json"} </w:instrText>
      </w:r>
      <w:r w:rsidR="00A21BC6">
        <w:rPr>
          <w:lang w:val="en-GB"/>
        </w:rPr>
        <w:fldChar w:fldCharType="separate"/>
      </w:r>
      <w:r w:rsidR="00A21BC6" w:rsidRPr="00A21BC6">
        <w:rPr>
          <w:rFonts w:cs="Arial"/>
          <w:lang w:val="en-GB"/>
        </w:rPr>
        <w:t>(Santella et al., 2010)</w:t>
      </w:r>
      <w:r w:rsidR="00A21BC6">
        <w:rPr>
          <w:lang w:val="en-GB"/>
        </w:rPr>
        <w:fldChar w:fldCharType="end"/>
      </w:r>
      <w:r w:rsidR="00B6154D">
        <w:rPr>
          <w:lang w:val="en-GB"/>
        </w:rPr>
        <w:t>. The industries hurt by these hurricanes suffered</w:t>
      </w:r>
      <w:r w:rsidR="00B6154D" w:rsidRPr="001E65CA">
        <w:rPr>
          <w:lang w:val="en-GB"/>
        </w:rPr>
        <w:t xml:space="preserve"> </w:t>
      </w:r>
      <w:r w:rsidR="00B6154D">
        <w:rPr>
          <w:lang w:val="en-GB"/>
        </w:rPr>
        <w:t xml:space="preserve">the </w:t>
      </w:r>
      <w:r w:rsidR="00B6154D" w:rsidRPr="001E65CA">
        <w:rPr>
          <w:lang w:val="en-GB"/>
        </w:rPr>
        <w:t>destruction of several offshore extraction platforms,</w:t>
      </w:r>
      <w:r w:rsidR="00B6154D">
        <w:rPr>
          <w:lang w:val="en-GB"/>
        </w:rPr>
        <w:t xml:space="preserve"> with</w:t>
      </w:r>
      <w:r w:rsidR="00B6154D" w:rsidRPr="001E65CA">
        <w:rPr>
          <w:lang w:val="en-GB"/>
        </w:rPr>
        <w:t xml:space="preserve"> the consequent release in the environment of hazardous materials (e.g., hydrogen sul</w:t>
      </w:r>
      <w:r w:rsidR="00A21BC6">
        <w:rPr>
          <w:lang w:val="en-GB"/>
        </w:rPr>
        <w:t>phi</w:t>
      </w:r>
      <w:r w:rsidR="00B6154D" w:rsidRPr="001E65CA">
        <w:rPr>
          <w:lang w:val="en-GB"/>
        </w:rPr>
        <w:t xml:space="preserve">de, nitrogen oxides, and volatile organic compounds) and loss of production because of long rebuilding times. </w:t>
      </w:r>
    </w:p>
    <w:p w14:paraId="09A8ED4F" w14:textId="702EC509" w:rsidR="00B6154D" w:rsidRPr="001E65CA" w:rsidRDefault="00B6154D" w:rsidP="00B6154D">
      <w:pPr>
        <w:pStyle w:val="CETBodytext"/>
        <w:rPr>
          <w:lang w:val="en-GB"/>
        </w:rPr>
      </w:pPr>
      <w:r>
        <w:rPr>
          <w:lang w:val="en-GB"/>
        </w:rPr>
        <w:t>In the</w:t>
      </w:r>
      <w:r w:rsidRPr="001E65CA">
        <w:rPr>
          <w:lang w:val="en-GB"/>
        </w:rPr>
        <w:t xml:space="preserve"> literature</w:t>
      </w:r>
      <w:r>
        <w:rPr>
          <w:lang w:val="en-GB"/>
        </w:rPr>
        <w:t xml:space="preserve">, </w:t>
      </w:r>
      <w:r w:rsidRPr="001E65CA">
        <w:rPr>
          <w:lang w:val="en-GB"/>
        </w:rPr>
        <w:t>NaTech events</w:t>
      </w:r>
      <w:r>
        <w:rPr>
          <w:lang w:val="en-GB"/>
        </w:rPr>
        <w:t xml:space="preserve"> reviews and database are available, providing a remarkable amount of case studies</w:t>
      </w:r>
      <w:r w:rsidRPr="001E65CA">
        <w:rPr>
          <w:lang w:val="en-GB"/>
        </w:rPr>
        <w:t xml:space="preserve">. </w:t>
      </w:r>
      <w:r>
        <w:rPr>
          <w:lang w:val="en-GB"/>
        </w:rPr>
        <w:t>W</w:t>
      </w:r>
      <w:r w:rsidRPr="001E65CA">
        <w:rPr>
          <w:lang w:val="en-GB"/>
        </w:rPr>
        <w:t>eather-related events represent more than 80% of all NaTech events in the United States</w:t>
      </w:r>
      <w:r w:rsidR="00A21BC6">
        <w:rPr>
          <w:lang w:val="en-GB"/>
        </w:rPr>
        <w:t xml:space="preserve"> </w:t>
      </w:r>
      <w:r w:rsidR="00A21BC6">
        <w:rPr>
          <w:lang w:val="en-GB"/>
        </w:rPr>
        <w:fldChar w:fldCharType="begin"/>
      </w:r>
      <w:r w:rsidR="00A21BC6">
        <w:rPr>
          <w:lang w:val="en-GB"/>
        </w:rPr>
        <w:instrText xml:space="preserve"> ADDIN ZOTERO_ITEM CSL_CITATION {"citationID":"HMtXXaUv","properties":{"unsorted":false,"formattedCitation":"(Ricci et al., 2021)","plainCitation":"(Ricci et al., 2021)","noteIndex":0},"citationItems":[{"id":281,"uris":["http://zotero.org/users/local/mDzd7GNh/items/FRQGGYCB"],"itemData":{"id":281,"type":"article-journal","abstract":"Natural events triggering technological scenarios (Natech events) are an increasing concern for regulatory authorities and industry, in particular in areas prone to natural disasters. A comprehensive analysis of the occurrence of Natech scenarios affecting the process industry is presented. A dataset of 9100 past accidents that took place in the last 70 years was compiled and analysed, with the aim of understanding the trend of Natech events, their geographical distribution, the final technological scenarios, and the associated consequences in terms of human losses and asset damages. Meteorological events, such as storms, extreme temperatures and lightning were found to be the main trigger of Natech scenarios (86 %). Despite the difficulty in collecting homogeneous data worldwide, an increasing number of Natech events over the time is observed. Moreover, specific increases in the occurrence of Natech events correspond to the occurrence of severe natural disasters as the devastating hurricanes that affected the Gulf of Mexico in recent years. The societal risk curve associated to Natechs was calculated, evidencing the relevance of extremely severe accidents (&gt; 100 deaths). The analysis of the dataset also allowed building quantified event trees for the evolution of Natech scenarios. Specific ignition probability values for Natech events were estimated.","container-title":"Process Safety and Environmental Protection","DOI":"10.1016/j.psep.2020.12.031","ISSN":"0957-5820","journalAbbreviation":"Process Safety and Environmental Protection","page":"703-713","source":"ScienceDirect","title":"A comprehensive analysis of the occurrence of Natech events in the process industry","volume":"147","author":[{"family":"Ricci","given":"Federica"},{"family":"Casson Moreno","given":"Valeria"},{"family":"Cozzani","given":"Valerio"}],"issued":{"date-parts":[["2021",3,1]]}}}],"schema":"https://github.com/citation-style-language/schema/raw/master/csl-citation.json"} </w:instrText>
      </w:r>
      <w:r w:rsidR="00A21BC6">
        <w:rPr>
          <w:lang w:val="en-GB"/>
        </w:rPr>
        <w:fldChar w:fldCharType="separate"/>
      </w:r>
      <w:r w:rsidR="00A21BC6" w:rsidRPr="00A21BC6">
        <w:rPr>
          <w:rFonts w:cs="Arial"/>
          <w:lang w:val="en-GB"/>
        </w:rPr>
        <w:t>(Ricci et al., 2021)</w:t>
      </w:r>
      <w:r w:rsidR="00A21BC6">
        <w:rPr>
          <w:lang w:val="en-GB"/>
        </w:rPr>
        <w:fldChar w:fldCharType="end"/>
      </w:r>
      <w:r w:rsidR="00A21BC6">
        <w:rPr>
          <w:lang w:val="en-GB"/>
        </w:rPr>
        <w:t xml:space="preserve">, </w:t>
      </w:r>
      <w:r>
        <w:rPr>
          <w:lang w:val="en-GB"/>
        </w:rPr>
        <w:t>with</w:t>
      </w:r>
      <w:r w:rsidRPr="001E65CA">
        <w:rPr>
          <w:lang w:val="en-GB"/>
        </w:rPr>
        <w:t xml:space="preserve"> hurricanes</w:t>
      </w:r>
      <w:r>
        <w:rPr>
          <w:lang w:val="en-GB"/>
        </w:rPr>
        <w:t xml:space="preserve"> </w:t>
      </w:r>
      <w:r w:rsidR="00266B15">
        <w:rPr>
          <w:lang w:val="en-GB"/>
        </w:rPr>
        <w:t>appearing as</w:t>
      </w:r>
      <w:r>
        <w:rPr>
          <w:lang w:val="en-GB"/>
        </w:rPr>
        <w:t xml:space="preserve"> the most frequent</w:t>
      </w:r>
      <w:r w:rsidR="00A21BC6">
        <w:rPr>
          <w:lang w:val="en-GB"/>
        </w:rPr>
        <w:t xml:space="preserve"> </w:t>
      </w:r>
      <w:r w:rsidR="00A21BC6">
        <w:rPr>
          <w:lang w:val="en-GB"/>
        </w:rPr>
        <w:fldChar w:fldCharType="begin"/>
      </w:r>
      <w:r w:rsidR="00A21BC6">
        <w:rPr>
          <w:lang w:val="en-GB"/>
        </w:rPr>
        <w:instrText xml:space="preserve"> ADDIN ZOTERO_ITEM CSL_CITATION {"citationID":"bPDIOvxE","properties":{"unsorted":false,"formattedCitation":"(Sengul et al., 2012)","plainCitation":"(Sengul et al., 2012)","noteIndex":0},"citationItems":[{"id":279,"uris":["http://zotero.org/users/local/mDzd7GNh/items/924BY6Y9"],"itemData":{"id":279,"type":"article-journal","abstract":"Natural hazards were the cause of approximately 16,600 hazardous material (hazmat) releases reported to the National Response Center (NRC) between 1990 and 2008-three per cent of all reported hazmat releases. Rain-induced releases were most numerous (26 per cent of the total), followed by those associated with hurricanes (20 per cent), many of which resulted from major episodes in 2005 and 2008. Winds, storms or other weather-related phenomena were responsible for another 25 per cent of hazmat releases. Large releases were most frequently due to major natural disasters. For instance, hurricane-induced releases of petroleum from storage tanks account for a large fraction of the total volume of petroleum released during 'natechs' (understood here as a natural hazard and the hazardous materials release that results). Among the most commonly released chemicals were nitrogen oxides, benzene, and polychlorinated biphenyls. Three deaths, 52 injuries, and the evacuation of at least 5,000 persons were recorded as a consequence of natech events. Overall, results suggest that the number of natechs increased over the study period (1990-2008) with potential for serious human and environmental impacts.","container-title":"Disasters","DOI":"10.1111/j.1467-7717.2012.01272.x","ISSN":"1467-7717","issue":"4","journalAbbreviation":"Disasters","language":"eng","page":"723-743","PMID":"22329456","source":"PubMed","title":"Analysis of hazardous material releases due to natural hazards in the United States","volume":"36","author":[{"family":"Sengul","given":"Hatice"},{"family":"Santella","given":"Nicholas"},{"family":"Steinberg","given":"Laura J."},{"family":"Cruz","given":"Ana Maria"}],"issued":{"date-parts":[["2012",10]]}}}],"schema":"https://github.com/citation-style-language/schema/raw/master/csl-citation.json"} </w:instrText>
      </w:r>
      <w:r w:rsidR="00A21BC6">
        <w:rPr>
          <w:lang w:val="en-GB"/>
        </w:rPr>
        <w:fldChar w:fldCharType="separate"/>
      </w:r>
      <w:r w:rsidR="00A21BC6" w:rsidRPr="00A21BC6">
        <w:rPr>
          <w:rFonts w:cs="Arial"/>
          <w:lang w:val="en-GB"/>
        </w:rPr>
        <w:t>(Sengul et al., 2012)</w:t>
      </w:r>
      <w:r w:rsidR="00A21BC6">
        <w:rPr>
          <w:lang w:val="en-GB"/>
        </w:rPr>
        <w:fldChar w:fldCharType="end"/>
      </w:r>
      <w:r w:rsidRPr="001E65CA">
        <w:rPr>
          <w:lang w:val="en-GB"/>
        </w:rPr>
        <w:t xml:space="preserve">. Additionally, this kind of events is growing in terms of frequency due to climate change. North America is the area where the most NaTech events happen with an average of 3.5 accidents every natural event (compared to an average of 0.5 in Europe) </w:t>
      </w:r>
      <w:r w:rsidR="002A63D5">
        <w:rPr>
          <w:lang w:val="en-GB"/>
        </w:rPr>
        <w:t>(</w:t>
      </w:r>
      <w:r w:rsidRPr="001E65CA">
        <w:rPr>
          <w:lang w:val="en-GB"/>
        </w:rPr>
        <w:t>Ricci et al., 2021</w:t>
      </w:r>
      <w:r w:rsidR="002A63D5">
        <w:rPr>
          <w:lang w:val="en-GB"/>
        </w:rPr>
        <w:t>)</w:t>
      </w:r>
      <w:r w:rsidRPr="001E65CA">
        <w:rPr>
          <w:lang w:val="en-GB"/>
        </w:rPr>
        <w:t>. 14% of all NaTech events affects oil extraction platforms, leading mainly to vessel</w:t>
      </w:r>
      <w:r w:rsidR="00266B15">
        <w:rPr>
          <w:lang w:val="en-GB"/>
        </w:rPr>
        <w:t>s</w:t>
      </w:r>
      <w:r w:rsidRPr="001E65CA">
        <w:rPr>
          <w:lang w:val="en-GB"/>
        </w:rPr>
        <w:t xml:space="preserve"> overflow and piping ruptures, eventually causing dispersion of pollutants. Loss</w:t>
      </w:r>
      <w:r w:rsidR="00F46597">
        <w:rPr>
          <w:lang w:val="en-GB"/>
        </w:rPr>
        <w:t xml:space="preserve"> </w:t>
      </w:r>
      <w:r w:rsidRPr="001E65CA">
        <w:rPr>
          <w:lang w:val="en-GB"/>
        </w:rPr>
        <w:t>of</w:t>
      </w:r>
      <w:r w:rsidR="00F46597">
        <w:rPr>
          <w:lang w:val="en-GB"/>
        </w:rPr>
        <w:t xml:space="preserve"> </w:t>
      </w:r>
      <w:r w:rsidRPr="001E65CA">
        <w:rPr>
          <w:lang w:val="en-GB"/>
        </w:rPr>
        <w:t xml:space="preserve">containment events increased by 15 times in 2005 for the Katrina and Rita hurricanes mainly during start-up and emergency shut-down of the </w:t>
      </w:r>
      <w:r w:rsidRPr="001E65CA">
        <w:rPr>
          <w:lang w:val="en-GB"/>
        </w:rPr>
        <w:lastRenderedPageBreak/>
        <w:t>platforms</w:t>
      </w:r>
      <w:r w:rsidR="00F46597">
        <w:rPr>
          <w:lang w:val="en-GB"/>
        </w:rPr>
        <w:t xml:space="preserve"> </w:t>
      </w:r>
      <w:r w:rsidR="00A21BC6">
        <w:rPr>
          <w:lang w:val="en-GB"/>
        </w:rPr>
        <w:fldChar w:fldCharType="begin"/>
      </w:r>
      <w:r w:rsidR="00A21BC6">
        <w:rPr>
          <w:lang w:val="en-GB"/>
        </w:rPr>
        <w:instrText xml:space="preserve"> ADDIN ZOTERO_ITEM CSL_CITATION {"citationID":"JMTJ4ltx","properties":{"unsorted":false,"formattedCitation":"(Santella et al., 2010)","plainCitation":"(Santella et al., 2010)","noteIndex":0},"citationItems":[{"id":282,"uris":["http://zotero.org/users/local/mDzd7GNh/items/RAMLJWXR"],"itemData":{"id":282,"type":"article-journal","abstract":"Hurricane Katrina struck an area dense with industry, causing numerous releases of petroleum and hazardous materials. This study integrates information from a number of sources to describe the frequency, causes, and effects of these releases in order to inform analysis of risk from future hurricanes. Over 200 onshore releases of hazardous chemicals, petroleum, or natural gas were reported. Storm surge was responsible for the majority of petroleum releases and failure of storage tanks was the most common mechanism of release. Of the smaller number of hazardous chemical releases reported, many were associated with flaring from plant startup, shutdown, or process upset. In areas impacted by storm surge, 10% of the facilities within the Risk Management Plan (RMP) and Toxic Release Inventory (TRI) databases and 28% of SIC 1311 facilities experienced accidental releases. In areas subject only to hurricane strength winds, a lower fraction (1% of RMP and TRI and 10% of SIC 1311 facilities) experienced a release while 1% of all facility types reported a release in areas that experienced tropical storm strength winds. Of industrial facilities surveyed, more experienced indirect disruptions such as displacement of workers, loss of electricity and communication systems, and difficulty acquiring supplies and contractors for operations or reconstruction (55%), than experienced releases. To reduce the risk of hazardous material releases and speed the return to normal operations under these difficult conditions, greater attention should be devoted to risk-based facility design and improved prevention and response planning.","container-title":"Risk Analysis: An Official Publication of the Society for Risk Analysis","DOI":"10.1111/j.1539-6924.2010.01390.x","ISSN":"1539-6924","issue":"4","journalAbbreviation":"Risk Anal","language":"eng","page":"635-649","PMID":"20345576","source":"PubMed","title":"Petroleum and hazardous material releases from industrial facilities associated with Hurricane Katrina","volume":"30","author":[{"family":"Santella","given":"Nicholas"},{"family":"Steinberg","given":"Laura J."},{"family":"Sengul","given":"Hatice"}],"issued":{"date-parts":[["2010",4]]}}}],"schema":"https://github.com/citation-style-language/schema/raw/master/csl-citation.json"} </w:instrText>
      </w:r>
      <w:r w:rsidR="00A21BC6">
        <w:rPr>
          <w:lang w:val="en-GB"/>
        </w:rPr>
        <w:fldChar w:fldCharType="separate"/>
      </w:r>
      <w:r w:rsidR="00A21BC6" w:rsidRPr="00A21BC6">
        <w:rPr>
          <w:rFonts w:cs="Arial"/>
          <w:lang w:val="en-GB"/>
        </w:rPr>
        <w:t>(Santella et al., 2010)</w:t>
      </w:r>
      <w:r w:rsidR="00A21BC6">
        <w:rPr>
          <w:lang w:val="en-GB"/>
        </w:rPr>
        <w:fldChar w:fldCharType="end"/>
      </w:r>
      <w:r w:rsidRPr="001E65CA">
        <w:rPr>
          <w:lang w:val="en-GB"/>
        </w:rPr>
        <w:t>. Therefore, oil platforms pose a major environmental problem during NaTech events, which should be considered in risk assessments.</w:t>
      </w:r>
    </w:p>
    <w:p w14:paraId="109DAA52" w14:textId="6FF47674" w:rsidR="00266B15" w:rsidRDefault="00266B15" w:rsidP="001E65CA">
      <w:pPr>
        <w:pStyle w:val="CETBodytext"/>
        <w:rPr>
          <w:lang w:val="en-GB"/>
        </w:rPr>
      </w:pPr>
      <w:r>
        <w:rPr>
          <w:lang w:val="en-GB"/>
        </w:rPr>
        <w:t>S</w:t>
      </w:r>
      <w:r w:rsidR="001E65CA" w:rsidRPr="001E65CA">
        <w:rPr>
          <w:lang w:val="en-GB"/>
        </w:rPr>
        <w:t>uch events are generally not included in standard risk assessments</w:t>
      </w:r>
      <w:r>
        <w:rPr>
          <w:lang w:val="en-GB"/>
        </w:rPr>
        <w:t>,</w:t>
      </w:r>
      <w:r w:rsidR="001E65CA" w:rsidRPr="001E65CA">
        <w:rPr>
          <w:lang w:val="en-GB"/>
        </w:rPr>
        <w:t xml:space="preserve"> mainly because of misconceptions on the relation between the rarity of natural events and their consequences</w:t>
      </w:r>
      <w:r w:rsidR="00A21BC6">
        <w:rPr>
          <w:lang w:val="en-GB"/>
        </w:rPr>
        <w:t xml:space="preserve"> </w:t>
      </w:r>
      <w:r w:rsidR="00A21BC6">
        <w:rPr>
          <w:lang w:val="en-GB"/>
        </w:rPr>
        <w:fldChar w:fldCharType="begin"/>
      </w:r>
      <w:r w:rsidR="00A21BC6">
        <w:rPr>
          <w:lang w:val="en-GB"/>
        </w:rPr>
        <w:instrText xml:space="preserve"> ADDIN ZOTERO_ITEM CSL_CITATION {"citationID":"zPmODMTb","properties":{"unsorted":false,"formattedCitation":"(Castro Rodriguez et al., 2024)","plainCitation":"(Castro Rodriguez et al., 2024)","noteIndex":0},"citationItems":[{"id":275,"uris":["http://zotero.org/users/local/mDzd7GNh/items/NRJQP9QH"],"itemData":{"id":275,"type":"article-journal","abstract":"Lightning strikes, a prominent meteorological event, pose a significant risk of triggering technological disruptions within the process industry. To better understand this phenomenon, an analysis focused on past lightning-triggered events was carried out, examining open-source industrial-accident databases to compile a new NaTech-driven dataset of 689 records. First, an overall quantitative analysis revealed that over 80 % of these events involved incidents or loss of containment. Notably, 83.3 % of them occurred during the spring and summer, indicating a seasonal pattern. Based on the frequency of functional attributes, the chemical and petrochemical macro-sector was the most vulnerable, followed by storage and warehousing. About 40 % of all classifiable events happened on storage equipment, while 21 % happened on electric and electronic devices. Given the lack of valuable information for the principal source of data (NRC), the technological scenarios triggered were characterized using a refined subset of 127 observations, obtained considering the “other sources” of data. Fire scenarios predominated at 56 %; coincidentally, roughly 70 % of all scenarios involved hazardous substances classified as physical hazards. Estimated losses for the available information underscored the adverse consequences of lightning-triggered NaTech events, highlighting their major impact on both safety and the environment. An analysis of the event tree showed the logical path from the lightning strike to the final ignition scenarios (considering a subset of 107 records). This path accounted for 36 % of the classifiable records that directly affected the structure, while more than 50 % of them did not. Bayesian network structures made it possible to get conditional probabilities from the event tree and improved the model by adding attributes for vulnerable equipment and macro-sectors. In order to deal with the uncertain data, algorithms were used to generalize the models that were obtained from smaller subsets of data with more accurate information to the whole dataset. It provides an important additional view of unclassifiable data that otherwise remained in the dark. This novel insight contributes to increase the vulnerability awareness of industrial assets against lightning strikes.","container-title":"Heliyon","DOI":"10.1016/j.heliyon.2024.e31610","ISSN":"2405-8440","issue":"11","journalAbbreviation":"Heliyon","page":"e31610","source":"ScienceDirect","title":"NaTech triggered by lightning: Novel insights from past events in the process industry","title-short":"NaTech triggered by lightning","volume":"10","author":[{"family":"Castro Rodriguez","given":"David Javier"},{"family":"Mietkiewicz","given":"Joseph"},{"family":"Vitale","given":"Morena"},{"family":"Baldissone","given":"Gabriele"},{"family":"Barresi","given":"Antonello A."},{"family":"Demichela","given":"Micaela"}],"issued":{"date-parts":[["2024",6,15]]}}}],"schema":"https://github.com/citation-style-language/schema/raw/master/csl-citation.json"} </w:instrText>
      </w:r>
      <w:r w:rsidR="00A21BC6">
        <w:rPr>
          <w:lang w:val="en-GB"/>
        </w:rPr>
        <w:fldChar w:fldCharType="separate"/>
      </w:r>
      <w:r w:rsidR="00A21BC6" w:rsidRPr="00A21BC6">
        <w:rPr>
          <w:rFonts w:cs="Arial"/>
          <w:lang w:val="en-GB"/>
        </w:rPr>
        <w:t>(Castro Rodriguez et al., 2024)</w:t>
      </w:r>
      <w:r w:rsidR="00A21BC6">
        <w:rPr>
          <w:lang w:val="en-GB"/>
        </w:rPr>
        <w:fldChar w:fldCharType="end"/>
      </w:r>
      <w:r w:rsidR="001E65CA" w:rsidRPr="001E65CA">
        <w:rPr>
          <w:lang w:val="en-GB"/>
        </w:rPr>
        <w:t xml:space="preserve">. Quantitative risk </w:t>
      </w:r>
      <w:r w:rsidRPr="001E65CA">
        <w:rPr>
          <w:lang w:val="en-GB"/>
        </w:rPr>
        <w:t>assessmen</w:t>
      </w:r>
      <w:r>
        <w:rPr>
          <w:lang w:val="en-GB"/>
        </w:rPr>
        <w:t>t</w:t>
      </w:r>
      <w:r w:rsidR="001E65CA" w:rsidRPr="001E65CA">
        <w:rPr>
          <w:lang w:val="en-GB"/>
        </w:rPr>
        <w:t xml:space="preserve"> </w:t>
      </w:r>
      <w:r>
        <w:rPr>
          <w:lang w:val="en-GB"/>
        </w:rPr>
        <w:t>is the most reliable tool for</w:t>
      </w:r>
      <w:r w:rsidR="001E65CA" w:rsidRPr="001E65CA">
        <w:rPr>
          <w:lang w:val="en-GB"/>
        </w:rPr>
        <w:t xml:space="preserve"> NaTech accidental scenarios</w:t>
      </w:r>
      <w:r>
        <w:rPr>
          <w:lang w:val="en-GB"/>
        </w:rPr>
        <w:t xml:space="preserve"> assessment but</w:t>
      </w:r>
      <w:r w:rsidR="00F46597">
        <w:rPr>
          <w:lang w:val="en-GB"/>
        </w:rPr>
        <w:t>,</w:t>
      </w:r>
      <w:r>
        <w:rPr>
          <w:lang w:val="en-GB"/>
        </w:rPr>
        <w:t xml:space="preserve"> up to today, no general approaches are </w:t>
      </w:r>
      <w:r w:rsidR="00F46597">
        <w:rPr>
          <w:lang w:val="en-GB"/>
        </w:rPr>
        <w:t xml:space="preserve">either </w:t>
      </w:r>
      <w:r>
        <w:rPr>
          <w:lang w:val="en-GB"/>
        </w:rPr>
        <w:t>available or recommended to accomplish such tasks</w:t>
      </w:r>
      <w:r w:rsidR="00164F43">
        <w:rPr>
          <w:lang w:val="en-GB"/>
        </w:rPr>
        <w:t xml:space="preserve"> </w:t>
      </w:r>
      <w:r w:rsidR="00164F43">
        <w:rPr>
          <w:lang w:val="en-GB"/>
        </w:rPr>
        <w:fldChar w:fldCharType="begin"/>
      </w:r>
      <w:r w:rsidR="00164F43">
        <w:rPr>
          <w:lang w:val="en-GB"/>
        </w:rPr>
        <w:instrText xml:space="preserve"> ADDIN ZOTERO_ITEM CSL_CITATION {"citationID":"PzJ5kdBd","properties":{"unsorted":false,"formattedCitation":"(Muratore et al., 2025)","plainCitation":"(Muratore et al., 2025)","noteIndex":0},"citationItems":[{"id":284,"uris":["http://zotero.org/users/local/mDzd7GNh/items/H9CF4AEN"],"itemData":{"id":284,"type":"article-journal","abstract":"Climate change has an impact on both urban and industrial environments. In the industrial environment, the plants that require the most attention are those that handle hazardous chemicals.In this work we consider the effects of meteorological climate changes such as storms, with their accompanying (Necci et al., 2022):Heavy precipitation, which can lead to flash floodsStorm surgesStrong windsLightningSuch effects can cause, in industrial plants with the presence of hazardous substances: fires, explosions, releases of hazardous substances into the environment which often lead to plant and production shutdowns for a long time. According to the recent approach of the IPCC (Intergovernmental Panel on Climate Change of the United Nations) the concept of risk associated with climate change is based on three fundamental components: hazard, exposure and vulnerability. There is a risk if in a certain place and at a certain time a vulnerable receptor is exposed to a source of danger of a climatic nature (IPCC, 2022).The aim of this work is to introduce, for the Italian production reality, a simplified index method for determining the level of natech risk from storms in industrial activities with presence of dangerous substances. The level of storm natech risk is identified through the index IRns which depends on: the storm hazard index IHs (function of lightning, floods, strong wind); the storm vulnerability index, IVs and the storm exposure index, IEs. After having calculated the level of risk natech from storms IRns it is possible to predict the main adaptation actions with the aim of increasing the resilience of the plant containing hazardous substances against storms.","container-title":"Chemical Engineering Transactions","DOI":"10.3303/CET25119074","ISSN":"2283-9216","language":"en","license":"Copyright (c) 2025 AIDIC Servizi Srl","page":"439-444","source":"www.cetjournal.it","title":"Index Method for the Assessment of Natech Risk from Storms","volume":"119","author":[{"family":"Muratore","given":"Antonino"},{"family":"Grillone","given":"Giovanni"},{"family":"Bellissimo","given":"Maurilio"},{"family":"Giannelli","given":"Giuseppe"},{"family":"Nastasi","given":"Vincenzo"}],"issued":{"date-parts":[["2025",11,15]]}}}],"schema":"https://github.com/citation-style-language/schema/raw/master/csl-citation.json"} </w:instrText>
      </w:r>
      <w:r w:rsidR="00164F43">
        <w:rPr>
          <w:lang w:val="en-GB"/>
        </w:rPr>
        <w:fldChar w:fldCharType="separate"/>
      </w:r>
      <w:r w:rsidR="00164F43" w:rsidRPr="00164F43">
        <w:rPr>
          <w:rFonts w:cs="Arial"/>
        </w:rPr>
        <w:t>(Muratore et al., 2025)</w:t>
      </w:r>
      <w:r w:rsidR="00164F43">
        <w:rPr>
          <w:lang w:val="en-GB"/>
        </w:rPr>
        <w:fldChar w:fldCharType="end"/>
      </w:r>
      <w:r w:rsidR="001E65CA" w:rsidRPr="001E65CA">
        <w:rPr>
          <w:lang w:val="en-GB"/>
        </w:rPr>
        <w:t>.</w:t>
      </w:r>
    </w:p>
    <w:p w14:paraId="1AED3853" w14:textId="42D787A9" w:rsidR="00600535" w:rsidRPr="00351846" w:rsidRDefault="001E65CA" w:rsidP="001E65CA">
      <w:pPr>
        <w:pStyle w:val="CETBodytext"/>
        <w:rPr>
          <w:lang w:val="en-GB"/>
        </w:rPr>
      </w:pPr>
      <w:r w:rsidRPr="001E65CA">
        <w:rPr>
          <w:lang w:val="en-GB"/>
        </w:rPr>
        <w:t xml:space="preserve">The </w:t>
      </w:r>
      <w:r w:rsidR="00E0537E">
        <w:rPr>
          <w:lang w:val="en-GB"/>
        </w:rPr>
        <w:t>aim of</w:t>
      </w:r>
      <w:r w:rsidRPr="001E65CA">
        <w:rPr>
          <w:lang w:val="en-GB"/>
        </w:rPr>
        <w:t xml:space="preserve"> this work is to propose a structured </w:t>
      </w:r>
      <w:r w:rsidR="004D3805">
        <w:rPr>
          <w:lang w:val="en-GB"/>
        </w:rPr>
        <w:t xml:space="preserve">risk assessment </w:t>
      </w:r>
      <w:r w:rsidR="00266B15">
        <w:rPr>
          <w:lang w:val="en-GB"/>
        </w:rPr>
        <w:t xml:space="preserve">analysis </w:t>
      </w:r>
      <w:r w:rsidR="00E0537E">
        <w:rPr>
          <w:lang w:val="en-GB"/>
        </w:rPr>
        <w:t>which</w:t>
      </w:r>
      <w:r w:rsidRPr="001E65CA">
        <w:rPr>
          <w:lang w:val="en-GB"/>
        </w:rPr>
        <w:t xml:space="preserve"> include</w:t>
      </w:r>
      <w:r w:rsidR="00E0537E">
        <w:rPr>
          <w:lang w:val="en-GB"/>
        </w:rPr>
        <w:t>s</w:t>
      </w:r>
      <w:r w:rsidRPr="001E65CA">
        <w:rPr>
          <w:lang w:val="en-GB"/>
        </w:rPr>
        <w:t xml:space="preserve"> </w:t>
      </w:r>
      <w:r w:rsidR="00266B15">
        <w:rPr>
          <w:lang w:val="en-GB"/>
        </w:rPr>
        <w:t>the possible impacts of NaTech on critical scenarios</w:t>
      </w:r>
      <w:r w:rsidRPr="001E65CA">
        <w:rPr>
          <w:lang w:val="en-GB"/>
        </w:rPr>
        <w:t>. The method is based on the Recursive Operability Analysis (ROA)</w:t>
      </w:r>
      <w:r w:rsidR="00F46597">
        <w:rPr>
          <w:lang w:val="en-GB"/>
        </w:rPr>
        <w:t xml:space="preserve"> </w:t>
      </w:r>
      <w:r w:rsidR="00A21BC6">
        <w:rPr>
          <w:lang w:val="en-GB"/>
        </w:rPr>
        <w:fldChar w:fldCharType="begin"/>
      </w:r>
      <w:r w:rsidR="00A21BC6">
        <w:rPr>
          <w:lang w:val="en-GB"/>
        </w:rPr>
        <w:instrText xml:space="preserve"> ADDIN ZOTERO_ITEM CSL_CITATION {"citationID":"saURh1RB","properties":{"unsorted":false,"formattedCitation":"(Barozzi et al., 2021; Demichela et al., 2002)","plainCitation":"(Barozzi et al., 2021; Demichela et al., 2002)","noteIndex":0},"citationItems":[{"id":70,"uris":["http://zotero.org/users/local/mDzd7GNh/items/REHIGEB2"],"itemData":{"id":70,"type":"article-journal","abstract":"With more than 350 GWh per year and thousands of installations around the world, biogas is an appealing strategy in the field of energy production and industrial waste optimization. In this sense, it is of paramount importance to address the risk associated with such plants, as an increasing trend of accidents have been recorded in the last 20 years. In this work, a representative biogas production plant was considered, and a risk assessment was carried out through the combination of Recursive Operability Analysis and Failure Mode and Effects Criticality Analysis. The methodology is rigorous and allows for both the identification and the quantification of accidental scenarios due to procedural errors and equipment failures, which miss in the literature for the case of biogas. The analysis allows the automatic generation of the Fault Trees for the identified Top Events, which can be numerically solved. Results show that the most critical accidental scenario in the biogas plant here considered is the formation of an explosive air-biogas mixture, which can occur in both anaerobic digester and condensate trap. The calculated probabilities agree with the results available in literature on similar plants. Pumps and Distributed Control System were found to be the most critical components.","container-title":"Journal of Loss Prevention in the Process Industries","DOI":"10.1016/j.jlp.2021.104468","ISSN":"0950-4230","journalAbbreviation":"Journal of Loss Prevention in the Process Industries","language":"en","page":"104468","source":"ScienceDirect","title":"Integration of Recursive Operability Analysis, FMECA and FTA for the Quantitative Risk Assessment in biogas plants: Role of procedural errors and components failures","title-short":"Integration of Recursive Operability Analysis, FMECA and FTA for the Quantitative Risk Assessment in biogas plants","volume":"71","author":[{"family":"Barozzi","given":"Marco"},{"family":"Contini","given":"Sergio"},{"family":"Raboni","given":"Massimo"},{"family":"Torretta","given":"Vincenzo"},{"family":"Casson Moreno","given":"Valeria"},{"family":"Copelli","given":"Sabrina"}],"issued":{"date-parts":[["2021",7,1]]}}},{"id":77,"uris":["http://zotero.org/users/local/mDzd7GNh/items/Z2HQSJI3"],"itemData":{"id":77,"type":"article-journal","abstract":"Recursive operability analysis (ROA) is a powerful hazard evaluation method that is particularly suitable for the safety analysis of plants with multiple protection levels activated by the same process variable. The propagation of deviations of the variable along the process lines can be readily determined with this method, and hence the correct sequence in which the protection means must intervene can be appropriately followed. This paper illustrates the versatility of a ROA through its application to a 900kg/h liquid chlorinated waste furnace. The following process variable deviations were assessed: primary air flow rate, flow rate and lower calorific power of the treated wastes and furnace temperature. It has been shown that the analysis requires a precise determination of how the variables evolve, especially when they are correlated, as is the case with the temperature and oxygen concentration. The ways in which deviations can develop in quantitative terms and the correct sequence in which the protection means must intervene are deduced from a correct study of the process thermodynamics.","container-title":"Reliability Engineering &amp; System Safety","DOI":"10.1016/S0951-8320(02)00063-7","ISSN":"0951-8320","issue":"3","journalAbbreviation":"Reliability Engineering &amp; System Safety","language":"en","page":"301-308","source":"ScienceDirect","title":"Recursive operability analysis of a complex plant with multiple protection devices","volume":"77","author":[{"family":"Demichela","given":"M"},{"family":"Marmo","given":"L"},{"family":"Piccinini","given":"N"}],"issued":{"date-parts":[["2002",9,1]]}}}],"schema":"https://github.com/citation-style-language/schema/raw/master/csl-citation.json"} </w:instrText>
      </w:r>
      <w:r w:rsidR="00A21BC6">
        <w:rPr>
          <w:lang w:val="en-GB"/>
        </w:rPr>
        <w:fldChar w:fldCharType="separate"/>
      </w:r>
      <w:r w:rsidR="00A21BC6" w:rsidRPr="00A21BC6">
        <w:rPr>
          <w:rFonts w:cs="Arial"/>
          <w:lang w:val="en-GB"/>
        </w:rPr>
        <w:t>(Barozzi et al., 2021; Demichela et al., 2002)</w:t>
      </w:r>
      <w:r w:rsidR="00A21BC6">
        <w:rPr>
          <w:lang w:val="en-GB"/>
        </w:rPr>
        <w:fldChar w:fldCharType="end"/>
      </w:r>
      <w:r w:rsidRPr="001E65CA">
        <w:rPr>
          <w:lang w:val="en-GB"/>
        </w:rPr>
        <w:t>, an Haz</w:t>
      </w:r>
      <w:r w:rsidR="00F46597">
        <w:rPr>
          <w:lang w:val="en-GB"/>
        </w:rPr>
        <w:t>O</w:t>
      </w:r>
      <w:r w:rsidRPr="001E65CA">
        <w:rPr>
          <w:lang w:val="en-GB"/>
        </w:rPr>
        <w:t xml:space="preserve">p-like </w:t>
      </w:r>
      <w:r w:rsidR="00266B15">
        <w:rPr>
          <w:lang w:val="en-GB"/>
        </w:rPr>
        <w:t>tool</w:t>
      </w:r>
      <w:r w:rsidRPr="001E65CA">
        <w:rPr>
          <w:lang w:val="en-GB"/>
        </w:rPr>
        <w:t>.</w:t>
      </w:r>
      <w:r w:rsidR="00266B15">
        <w:rPr>
          <w:lang w:val="en-GB"/>
        </w:rPr>
        <w:t xml:space="preserve"> </w:t>
      </w:r>
      <w:r w:rsidR="00F46597">
        <w:rPr>
          <w:lang w:val="en-GB"/>
        </w:rPr>
        <w:t>Conversely to</w:t>
      </w:r>
      <w:r w:rsidR="00266B15">
        <w:rPr>
          <w:lang w:val="en-GB"/>
        </w:rPr>
        <w:t xml:space="preserve"> HazOp, a properly executed ROA can lead to an automatic generation of Fault Trees (FTs), with fast</w:t>
      </w:r>
      <w:r w:rsidR="007E6653">
        <w:rPr>
          <w:lang w:val="en-GB"/>
        </w:rPr>
        <w:t>er</w:t>
      </w:r>
      <w:r w:rsidR="00266B15">
        <w:rPr>
          <w:lang w:val="en-GB"/>
        </w:rPr>
        <w:t xml:space="preserve"> estimation of Top Events probabilities. </w:t>
      </w:r>
      <w:r w:rsidRPr="001E65CA">
        <w:rPr>
          <w:lang w:val="en-GB"/>
        </w:rPr>
        <w:t xml:space="preserve">This is the most interesting aspect of the work, </w:t>
      </w:r>
      <w:r w:rsidR="007E6653">
        <w:rPr>
          <w:lang w:val="en-GB"/>
        </w:rPr>
        <w:t>as</w:t>
      </w:r>
      <w:r w:rsidRPr="001E65CA">
        <w:rPr>
          <w:lang w:val="en-GB"/>
        </w:rPr>
        <w:t xml:space="preserve"> most of the risk</w:t>
      </w:r>
      <w:r w:rsidR="007E6653">
        <w:rPr>
          <w:lang w:val="en-GB"/>
        </w:rPr>
        <w:t xml:space="preserve"> </w:t>
      </w:r>
      <w:r w:rsidRPr="001E65CA">
        <w:rPr>
          <w:lang w:val="en-GB"/>
        </w:rPr>
        <w:t xml:space="preserve">analysis tools proposed in the literature are mostly focused on providing a correct estimation of </w:t>
      </w:r>
      <w:r w:rsidR="007C7122">
        <w:rPr>
          <w:lang w:val="en-GB"/>
        </w:rPr>
        <w:t>an accident</w:t>
      </w:r>
      <w:r w:rsidRPr="001E65CA">
        <w:rPr>
          <w:lang w:val="en-GB"/>
        </w:rPr>
        <w:t xml:space="preserve"> magnitude, while ROA </w:t>
      </w:r>
      <w:r w:rsidR="007E6653">
        <w:rPr>
          <w:lang w:val="en-GB"/>
        </w:rPr>
        <w:t>and</w:t>
      </w:r>
      <w:r w:rsidRPr="001E65CA">
        <w:rPr>
          <w:lang w:val="en-GB"/>
        </w:rPr>
        <w:t xml:space="preserve"> FT</w:t>
      </w:r>
      <w:r w:rsidR="007E6653">
        <w:rPr>
          <w:lang w:val="en-GB"/>
        </w:rPr>
        <w:t>s</w:t>
      </w:r>
      <w:r w:rsidRPr="001E65CA">
        <w:rPr>
          <w:lang w:val="en-GB"/>
        </w:rPr>
        <w:t xml:space="preserve"> can provide a good probability assessment</w:t>
      </w:r>
      <w:r w:rsidR="00A21BC6">
        <w:rPr>
          <w:lang w:val="en-GB"/>
        </w:rPr>
        <w:t xml:space="preserve"> </w:t>
      </w:r>
      <w:r w:rsidR="00A21BC6">
        <w:rPr>
          <w:lang w:val="en-GB"/>
        </w:rPr>
        <w:fldChar w:fldCharType="begin"/>
      </w:r>
      <w:r w:rsidR="00A21BC6">
        <w:rPr>
          <w:lang w:val="en-GB"/>
        </w:rPr>
        <w:instrText xml:space="preserve"> ADDIN ZOTERO_ITEM CSL_CITATION {"citationID":"2oplqdKi","properties":{"unsorted":false,"formattedCitation":"(Barozzi et al., 2020)","plainCitation":"(Barozzi et al., 2020)","noteIndex":0},"citationItems":[{"id":99,"uris":["http://zotero.org/users/local/mDzd7GNh/items/UQCVQQFN"],"itemData":{"id":99,"type":"article-journal","abstract":"Organic dust explosions were and are still today a critical issue in the food, pharmaceutical, and fine chemical industry. Materials such as flour, corn starch, sugar and APIs represent a cause of severe accidents. In this framework, we investigated a modified version of Recursive Operability Analysis-Incidental Sequence Diagrams (ROA-ISD), called ROA Plus-ISD, specifically tailored to describe industrial processes involving organic combustible dusts. Compared to more classical techniques such as Hazard and Operability (HazOp), ROA-ISD allows for a direct generation of fault trees, providing a useful tool to connect Qualitative with Quantitative Risk Analysis (QRA). ROA Plus-ISD is very similar to ROA-Cause Consequence Diagrams (CCD), which has already proven to be an effective tool to perform both risk assessment on existing plants and reconstructing already occurred accidents, given its logical structure and width of the application fields. In this work, we modified specific parts of the standard ROA-CCD method: (1) the Failure Mode and Operability Analysis (FMEA) database has been structured in order to retrieve the well-known explosion pentagon (for dusts) and all the instruments, devices, apparatuses and controllers typical of industries which process organic dusts; (2) a new comprehensive list of process variables has been compiled. In this way, it is possible to tailor the information required for the generation of the fault trees concerning top events involving mainly dust explosions and fires. This method has been implemented in order to reconstruct the dynamics of the February 2008 Imperial Sugar refinery plant accident (Port Wentworth, GA, USA). Results demonstrated the applicability of the enhanced method by highlighting the criticalities of the process already showed by a previously detailed reconstruction performed by the Chemical Safety Board.","container-title":"International Journal of Environmental Research and Public Health","DOI":"10.3390/ijerph17093078","ISSN":"1660-4601","issue":"9","journalAbbreviation":"Int J Environ Res Public Health","language":"eng","page":"3078","PMID":"32354158","PMCID":"PMC7246804","source":"PubMed","title":"Application of an Enhanced Version of Recursive Operability Analysis for Combustible Dusts Risk Assessment","volume":"17","author":[{"family":"Barozzi","given":"Marco"},{"family":"Copelli","given":"Sabrina"},{"family":"Scotton","given":"Martina Silvia"},{"family":"Torretta","given":"Vincenzo"}],"issued":{"date-parts":[["2020",4,28]]}}}],"schema":"https://github.com/citation-style-language/schema/raw/master/csl-citation.json"} </w:instrText>
      </w:r>
      <w:r w:rsidR="00A21BC6">
        <w:rPr>
          <w:lang w:val="en-GB"/>
        </w:rPr>
        <w:fldChar w:fldCharType="separate"/>
      </w:r>
      <w:r w:rsidR="00A21BC6" w:rsidRPr="00A21BC6">
        <w:rPr>
          <w:rFonts w:cs="Arial"/>
          <w:lang w:val="en-GB"/>
        </w:rPr>
        <w:t>(Barozzi et al., 2020)</w:t>
      </w:r>
      <w:r w:rsidR="00A21BC6">
        <w:rPr>
          <w:lang w:val="en-GB"/>
        </w:rPr>
        <w:fldChar w:fldCharType="end"/>
      </w:r>
      <w:r w:rsidRPr="001E65CA">
        <w:rPr>
          <w:lang w:val="en-GB"/>
        </w:rPr>
        <w:t xml:space="preserve">. </w:t>
      </w:r>
      <w:r w:rsidR="00DF7F25">
        <w:rPr>
          <w:lang w:val="en-GB"/>
        </w:rPr>
        <w:t xml:space="preserve">The </w:t>
      </w:r>
      <w:r w:rsidR="00557833">
        <w:rPr>
          <w:lang w:val="en-GB"/>
        </w:rPr>
        <w:t>most innovative element of</w:t>
      </w:r>
      <w:r w:rsidR="00DF7F25">
        <w:rPr>
          <w:lang w:val="en-GB"/>
        </w:rPr>
        <w:t xml:space="preserve"> the work is to consider the system state</w:t>
      </w:r>
      <w:r w:rsidR="003C410E">
        <w:rPr>
          <w:lang w:val="en-GB"/>
        </w:rPr>
        <w:t xml:space="preserve"> </w:t>
      </w:r>
      <w:r w:rsidR="00557833">
        <w:rPr>
          <w:lang w:val="en-GB"/>
        </w:rPr>
        <w:t xml:space="preserve">both </w:t>
      </w:r>
      <w:r w:rsidR="003C410E">
        <w:rPr>
          <w:lang w:val="en-GB"/>
        </w:rPr>
        <w:t>normally and under the potential effect of an extreme event which changes the unavailability of components</w:t>
      </w:r>
      <w:r w:rsidRPr="001E65CA">
        <w:rPr>
          <w:lang w:val="en-GB"/>
        </w:rPr>
        <w:t>.</w:t>
      </w:r>
      <w:r w:rsidR="00DF7F25">
        <w:rPr>
          <w:lang w:val="en-GB"/>
        </w:rPr>
        <w:t xml:space="preserve"> This allows</w:t>
      </w:r>
      <w:r w:rsidR="003C410E">
        <w:rPr>
          <w:lang w:val="en-GB"/>
        </w:rPr>
        <w:t xml:space="preserve"> to neglect the estimation of the extreme event probability (which is often the most crucial part of the analysis),</w:t>
      </w:r>
      <w:r w:rsidR="00DF7F25">
        <w:rPr>
          <w:lang w:val="en-GB"/>
        </w:rPr>
        <w:t xml:space="preserve"> but make</w:t>
      </w:r>
      <w:r w:rsidR="003C410E">
        <w:rPr>
          <w:lang w:val="en-GB"/>
        </w:rPr>
        <w:t>s</w:t>
      </w:r>
      <w:r w:rsidR="00DF7F25">
        <w:rPr>
          <w:lang w:val="en-GB"/>
        </w:rPr>
        <w:t xml:space="preserve"> Top Events probability estimation a conditioned probability</w:t>
      </w:r>
      <w:r w:rsidR="003C410E">
        <w:rPr>
          <w:lang w:val="en-GB"/>
        </w:rPr>
        <w:t>, allowing to highlight the criticalities posed by the event</w:t>
      </w:r>
      <w:r w:rsidR="00DF7F25">
        <w:rPr>
          <w:lang w:val="en-GB"/>
        </w:rPr>
        <w:t>.</w:t>
      </w:r>
      <w:r w:rsidRPr="001E65CA">
        <w:rPr>
          <w:lang w:val="en-GB"/>
        </w:rPr>
        <w:t xml:space="preserve"> The proposed method </w:t>
      </w:r>
      <w:r w:rsidR="00557833">
        <w:rPr>
          <w:lang w:val="en-GB"/>
        </w:rPr>
        <w:t>was</w:t>
      </w:r>
      <w:r w:rsidRPr="001E65CA">
        <w:rPr>
          <w:lang w:val="en-GB"/>
        </w:rPr>
        <w:t xml:space="preserve"> applied to a part of an offshore oil extraction platform</w:t>
      </w:r>
      <w:r w:rsidR="003C410E">
        <w:rPr>
          <w:lang w:val="en-GB"/>
        </w:rPr>
        <w:t xml:space="preserve"> (namely, a heat exchanger attached to a separator)</w:t>
      </w:r>
      <w:r w:rsidR="00266B15">
        <w:rPr>
          <w:lang w:val="en-GB"/>
        </w:rPr>
        <w:t>, identifying</w:t>
      </w:r>
      <w:r w:rsidRPr="001E65CA">
        <w:rPr>
          <w:lang w:val="en-GB"/>
        </w:rPr>
        <w:t xml:space="preserve"> </w:t>
      </w:r>
      <w:r w:rsidR="00266B15">
        <w:rPr>
          <w:lang w:val="en-GB"/>
        </w:rPr>
        <w:t>c</w:t>
      </w:r>
      <w:r w:rsidRPr="001E65CA">
        <w:rPr>
          <w:lang w:val="en-GB"/>
        </w:rPr>
        <w:t xml:space="preserve">ritical components and new </w:t>
      </w:r>
      <w:r w:rsidR="00557833">
        <w:rPr>
          <w:lang w:val="en-GB"/>
        </w:rPr>
        <w:t xml:space="preserve">accidental </w:t>
      </w:r>
      <w:r w:rsidRPr="001E65CA">
        <w:rPr>
          <w:lang w:val="en-GB"/>
        </w:rPr>
        <w:t>scenario</w:t>
      </w:r>
      <w:r w:rsidR="00266B15">
        <w:rPr>
          <w:lang w:val="en-GB"/>
        </w:rPr>
        <w:t>s</w:t>
      </w:r>
      <w:r w:rsidRPr="001E65CA">
        <w:rPr>
          <w:lang w:val="en-GB"/>
        </w:rPr>
        <w:t xml:space="preserve">. </w:t>
      </w:r>
    </w:p>
    <w:p w14:paraId="5741900F" w14:textId="5002B78C" w:rsidR="00453E24" w:rsidRDefault="00266B15" w:rsidP="00453E24">
      <w:pPr>
        <w:pStyle w:val="CETHeading1"/>
      </w:pPr>
      <w:r>
        <w:t>Material and methods</w:t>
      </w:r>
    </w:p>
    <w:p w14:paraId="6FF99A2D" w14:textId="528BC030" w:rsidR="00A81E7A" w:rsidRDefault="00A81E7A" w:rsidP="00A81E7A">
      <w:pPr>
        <w:pStyle w:val="CETBodytext"/>
      </w:pPr>
      <w:r>
        <w:t xml:space="preserve">The plant used in the analysis is a typical offshore installation for extracting crude oil from underwater fields, </w:t>
      </w:r>
      <w:r w:rsidR="003C410E">
        <w:t>located</w:t>
      </w:r>
      <w:r>
        <w:t xml:space="preserve"> 50-100 km from the coast. For deep filed extractions (up to 80 meters below sea level), a jack-up is conveniently employed to extract oil and natural gas, as well as water from underground formations. A jack-up has a lifting system that allows </w:t>
      </w:r>
      <w:r w:rsidR="00617ABD">
        <w:t>the legs to lower</w:t>
      </w:r>
      <w:r>
        <w:t xml:space="preserve"> until reach</w:t>
      </w:r>
      <w:r w:rsidR="00557833">
        <w:t>ing</w:t>
      </w:r>
      <w:r>
        <w:t xml:space="preserve"> the seabed and, subsequently, raises the hull above the surface of the water, guaranteeing the structure adequate stability to counteract environmental and working loads. Once its purpose has been completed, the structure can be moved to another location easily, until the end of its life cycle, which normally </w:t>
      </w:r>
      <w:r w:rsidR="00351846">
        <w:t>extends</w:t>
      </w:r>
      <w:r>
        <w:t xml:space="preserve"> to 25 years. The connection between the reservoir and the platform is ensured by the presence of </w:t>
      </w:r>
      <w:r w:rsidR="00A21BC6">
        <w:t>multiple</w:t>
      </w:r>
      <w:r>
        <w:t xml:space="preserve"> wellheads equipped with automatic safety valves designed to stop the flow of hydrocarbons in the event of an emergency, closing in the event of a lack of input signal from the control systems (typically temperature or pressure). Each wellhead is equipped with an electric submersible pump, which serves to lift the crude oil to the surface, where it is added with suitable corrosion inhibitors and emulsion separators before being routed, via a manual throttle valve, to the collection system. Before entering the first separation stage, consisting of a high-pressure separator, the crude oil is preheated in a shell and tube heat exchanger by means of low-pressure steam (6 barg) produced directly on the platform. The first stage of separation consists of a three-phase high pressure separator which, with an adequate retention time, separates the crude oil from the associated natural gas and water originally present in the reservoir. In particular, the liquid phase (collected at the bottom) is passed through a perforated plate baffle and an inclined plate coalescer in order to separate the water, which is discharged from the lower section of the vessel. In case of high flows, downstream of the second separation stage (consisting of a low-pressure three-phase separator) the crude is conveyed to an electrostatic dehydrator by means of special pumps. However, this is not usual in the initial stages of the exploitation of a field: in this case, after separation, the crude oil is routed directly to the export plants, where it is </w:t>
      </w:r>
      <w:r w:rsidR="00D46551">
        <w:t>further</w:t>
      </w:r>
      <w:r>
        <w:t xml:space="preserve"> heated to reduce the risk of wax formation along the sealine which connects the platform to the Floating Storage Vessel (FSO).</w:t>
      </w:r>
      <w:r w:rsidR="003C410E">
        <w:t xml:space="preserve"> </w:t>
      </w:r>
      <w:r>
        <w:t xml:space="preserve">The energy demand of the plant is satisfied by </w:t>
      </w:r>
      <w:r w:rsidR="003C410E">
        <w:t>both</w:t>
      </w:r>
      <w:r>
        <w:t xml:space="preserve"> diesel-powered current generators, </w:t>
      </w:r>
      <w:r w:rsidR="003C410E">
        <w:t>with</w:t>
      </w:r>
      <w:r>
        <w:t xml:space="preserve"> </w:t>
      </w:r>
      <w:r w:rsidR="003C410E">
        <w:t>capacity up to 1 M</w:t>
      </w:r>
      <w:r>
        <w:t xml:space="preserve">W, and </w:t>
      </w:r>
      <w:r w:rsidR="003C410E">
        <w:t>gas</w:t>
      </w:r>
      <w:r w:rsidR="001F2612">
        <w:t xml:space="preserve"> </w:t>
      </w:r>
      <w:r>
        <w:t>turbine</w:t>
      </w:r>
      <w:r w:rsidR="003C410E">
        <w:t>s</w:t>
      </w:r>
      <w:r>
        <w:t xml:space="preserve"> capable of delivering </w:t>
      </w:r>
      <w:r w:rsidR="003C410E">
        <w:t>power up to 5-10</w:t>
      </w:r>
      <w:r>
        <w:t xml:space="preserve"> MW, as well as producing steam thanks to </w:t>
      </w:r>
      <w:r w:rsidR="003C410E">
        <w:t>a</w:t>
      </w:r>
      <w:r>
        <w:t xml:space="preserve"> boiler, which recovers heat from the engine exhaust gases.</w:t>
      </w:r>
    </w:p>
    <w:p w14:paraId="74ACDFBB" w14:textId="32775DAE" w:rsidR="00A81E7A" w:rsidRDefault="00A81E7A" w:rsidP="00A81E7A">
      <w:pPr>
        <w:pStyle w:val="CETBodytext"/>
      </w:pPr>
      <w:r>
        <w:t xml:space="preserve">In </w:t>
      </w:r>
      <w:r w:rsidR="003C410E">
        <w:t>case</w:t>
      </w:r>
      <w:r>
        <w:t xml:space="preserve"> of failure of the main electricity generation system, power is </w:t>
      </w:r>
      <w:r w:rsidR="003C410E">
        <w:t xml:space="preserve">normally </w:t>
      </w:r>
      <w:r>
        <w:t>supplied by a diesel emergency generator</w:t>
      </w:r>
      <w:r w:rsidR="003C410E">
        <w:t>,</w:t>
      </w:r>
      <w:r>
        <w:t xml:space="preserve"> designed to guarantee at least 24 hours of full load operation.</w:t>
      </w:r>
      <w:r w:rsidR="003C410E">
        <w:t xml:space="preserve"> To</w:t>
      </w:r>
      <w:r>
        <w:t xml:space="preserve"> safeguard the operating personnel and the installed equipment, among other measures, safeguard systems are foreseen such as the Emergency Shutdown (ESD) and the fire prevention system, aimed at minimizing the aftermaths of uncontrolled flooding of process media, hydrocarbon releases and/or fire outbreaks. The main idea behind those </w:t>
      </w:r>
      <w:r w:rsidR="00F845C8">
        <w:t xml:space="preserve">ones </w:t>
      </w:r>
      <w:r>
        <w:t>is to depressurize the equipment by means of blowdowns and torches.</w:t>
      </w:r>
    </w:p>
    <w:p w14:paraId="55C63755" w14:textId="3C90FF1D" w:rsidR="00A81E7A" w:rsidRDefault="00A81E7A" w:rsidP="00A81E7A">
      <w:pPr>
        <w:pStyle w:val="CETBodytext"/>
      </w:pPr>
      <w:r>
        <w:t>The</w:t>
      </w:r>
      <w:r w:rsidR="003C410E">
        <w:t xml:space="preserve"> analysis focuses on the heat exchanger </w:t>
      </w:r>
      <w:r>
        <w:t>shown in</w:t>
      </w:r>
      <w:r w:rsidR="003C410E">
        <w:t xml:space="preserve"> Figure 1, which s</w:t>
      </w:r>
      <w:r>
        <w:t xml:space="preserve">hows the </w:t>
      </w:r>
      <w:r w:rsidR="003C410E">
        <w:t>components and the connections to other parts of the plant</w:t>
      </w:r>
      <w:r>
        <w:t>.</w:t>
      </w:r>
      <w:r w:rsidR="00617ABD">
        <w:t xml:space="preserve"> </w:t>
      </w:r>
      <w:r w:rsidR="00617ABD" w:rsidRPr="00617ABD">
        <w:t xml:space="preserve">Heat exchangers are critical components in offshore oil extraction, serving both to cool compressed gases and pre-heat crude oil to ensure adequate volatility, </w:t>
      </w:r>
      <w:r w:rsidR="00C876CB">
        <w:t>with the latter</w:t>
      </w:r>
      <w:r w:rsidR="00617ABD" w:rsidRPr="00617ABD">
        <w:t xml:space="preserve"> </w:t>
      </w:r>
      <w:r w:rsidR="00C876CB">
        <w:t>being</w:t>
      </w:r>
      <w:r w:rsidR="00617ABD" w:rsidRPr="00617ABD">
        <w:t xml:space="preserve"> the focus of the present study</w:t>
      </w:r>
      <w:r w:rsidR="00617ABD">
        <w:t>.</w:t>
      </w:r>
    </w:p>
    <w:p w14:paraId="755FDC87" w14:textId="5FEB848D" w:rsidR="00390B65" w:rsidRPr="00BD077D" w:rsidRDefault="00113F4E" w:rsidP="00113F4E">
      <w:pPr>
        <w:pStyle w:val="CETBodytext"/>
      </w:pPr>
      <w:r w:rsidRPr="00113F4E">
        <w:rPr>
          <w:noProof/>
        </w:rPr>
        <w:lastRenderedPageBreak/>
        <w:drawing>
          <wp:inline distT="0" distB="0" distL="0" distR="0" wp14:anchorId="282E2592" wp14:editId="18A40806">
            <wp:extent cx="5579745" cy="3524885"/>
            <wp:effectExtent l="0" t="0" r="1905" b="0"/>
            <wp:docPr id="103716524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9745" cy="3524885"/>
                    </a:xfrm>
                    <a:prstGeom prst="rect">
                      <a:avLst/>
                    </a:prstGeom>
                    <a:noFill/>
                    <a:ln>
                      <a:noFill/>
                    </a:ln>
                  </pic:spPr>
                </pic:pic>
              </a:graphicData>
            </a:graphic>
          </wp:inline>
        </w:drawing>
      </w:r>
      <w:r w:rsidR="00390B65" w:rsidRPr="00BD077D">
        <w:rPr>
          <w:rStyle w:val="CETCaptionCarattere"/>
        </w:rPr>
        <w:t xml:space="preserve">Figure 1: </w:t>
      </w:r>
      <w:r w:rsidR="009E6DF6">
        <w:rPr>
          <w:rStyle w:val="CETCaptionCarattere"/>
        </w:rPr>
        <w:t>Diagram of the heat exchanger</w:t>
      </w:r>
      <w:r w:rsidR="007D32D5">
        <w:rPr>
          <w:rStyle w:val="CETCaptionCarattere"/>
          <w:i w:val="0"/>
        </w:rPr>
        <w:t xml:space="preserve"> H-01</w:t>
      </w:r>
      <w:r w:rsidR="009E6DF6">
        <w:rPr>
          <w:rStyle w:val="CETCaptionCarattere"/>
        </w:rPr>
        <w:t xml:space="preserve"> considered in the analysis</w:t>
      </w:r>
      <w:r w:rsidR="00390B65" w:rsidRPr="00BD077D">
        <w:t xml:space="preserve"> </w:t>
      </w:r>
    </w:p>
    <w:p w14:paraId="0636B784" w14:textId="5497CC96" w:rsidR="00453E24" w:rsidRDefault="00DA12CF" w:rsidP="00453E24">
      <w:pPr>
        <w:pStyle w:val="CETheadingx"/>
      </w:pPr>
      <w:r>
        <w:t>Components involved</w:t>
      </w:r>
    </w:p>
    <w:p w14:paraId="7C2B0064" w14:textId="48D28DBD" w:rsidR="00453E24" w:rsidRDefault="004E7914" w:rsidP="00453E24">
      <w:pPr>
        <w:pStyle w:val="CETBodytext"/>
      </w:pPr>
      <w:r>
        <w:t xml:space="preserve">Table </w:t>
      </w:r>
      <w:r w:rsidR="007634A8">
        <w:t xml:space="preserve">1 </w:t>
      </w:r>
      <w:r>
        <w:t>provides a complete list and description of the components present on the heat exchanger line</w:t>
      </w:r>
      <w:r w:rsidR="00F845C8">
        <w:t>.</w:t>
      </w:r>
    </w:p>
    <w:p w14:paraId="0511ED0B" w14:textId="4B03963E" w:rsidR="004E7914" w:rsidRPr="00B57B36" w:rsidRDefault="004E7914" w:rsidP="004E7914">
      <w:pPr>
        <w:pStyle w:val="CETTabletitle"/>
      </w:pPr>
      <w:r w:rsidRPr="00B57B36">
        <w:t xml:space="preserve">Table 1: </w:t>
      </w:r>
      <w:r>
        <w:t>List of components attached to the heat exchanger</w:t>
      </w:r>
      <w:r w:rsidR="00F028C5">
        <w:t>.</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053"/>
        <w:gridCol w:w="1958"/>
        <w:gridCol w:w="1053"/>
        <w:gridCol w:w="1835"/>
        <w:gridCol w:w="1053"/>
        <w:gridCol w:w="1835"/>
      </w:tblGrid>
      <w:tr w:rsidR="00DA12CF" w:rsidRPr="00B57B36" w14:paraId="0C6B751A" w14:textId="176F63F0" w:rsidTr="00334F60">
        <w:tc>
          <w:tcPr>
            <w:tcW w:w="599" w:type="pct"/>
            <w:tcBorders>
              <w:top w:val="single" w:sz="12" w:space="0" w:color="008000"/>
              <w:bottom w:val="single" w:sz="6" w:space="0" w:color="008000"/>
            </w:tcBorders>
            <w:shd w:val="clear" w:color="auto" w:fill="FFFFFF"/>
          </w:tcPr>
          <w:p w14:paraId="195FBFF9" w14:textId="3EDD338A" w:rsidR="00DA12CF" w:rsidRPr="007320D3" w:rsidRDefault="00DA12CF" w:rsidP="00C023F1">
            <w:pPr>
              <w:pStyle w:val="CETBodytext"/>
              <w:rPr>
                <w:b/>
                <w:bCs/>
                <w:lang w:val="en-GB"/>
              </w:rPr>
            </w:pPr>
            <w:r w:rsidRPr="007320D3">
              <w:rPr>
                <w:b/>
                <w:bCs/>
                <w:lang w:val="en-GB"/>
              </w:rPr>
              <w:t xml:space="preserve">Component </w:t>
            </w:r>
          </w:p>
        </w:tc>
        <w:tc>
          <w:tcPr>
            <w:tcW w:w="1114" w:type="pct"/>
            <w:tcBorders>
              <w:top w:val="single" w:sz="12" w:space="0" w:color="008000"/>
              <w:bottom w:val="single" w:sz="6" w:space="0" w:color="008000"/>
            </w:tcBorders>
            <w:shd w:val="clear" w:color="auto" w:fill="FFFFFF"/>
          </w:tcPr>
          <w:p w14:paraId="09546FEE" w14:textId="08BA43E4" w:rsidR="00DA12CF" w:rsidRPr="007320D3" w:rsidRDefault="00DA12CF" w:rsidP="00C023F1">
            <w:pPr>
              <w:pStyle w:val="CETBodytext"/>
              <w:rPr>
                <w:b/>
                <w:bCs/>
                <w:lang w:val="en-GB"/>
              </w:rPr>
            </w:pPr>
            <w:r w:rsidRPr="007320D3">
              <w:rPr>
                <w:b/>
                <w:bCs/>
                <w:lang w:val="en-GB"/>
              </w:rPr>
              <w:t>Description</w:t>
            </w:r>
          </w:p>
        </w:tc>
        <w:tc>
          <w:tcPr>
            <w:tcW w:w="599" w:type="pct"/>
            <w:tcBorders>
              <w:top w:val="single" w:sz="12" w:space="0" w:color="008000"/>
              <w:bottom w:val="single" w:sz="6" w:space="0" w:color="008000"/>
            </w:tcBorders>
            <w:shd w:val="clear" w:color="auto" w:fill="FFFFFF"/>
          </w:tcPr>
          <w:p w14:paraId="0756A0FB" w14:textId="7B28BEDB" w:rsidR="00DA12CF" w:rsidRPr="007320D3" w:rsidRDefault="00DA12CF" w:rsidP="00C023F1">
            <w:pPr>
              <w:pStyle w:val="CETBodytext"/>
              <w:rPr>
                <w:b/>
                <w:bCs/>
                <w:lang w:val="en-GB"/>
              </w:rPr>
            </w:pPr>
            <w:r w:rsidRPr="007320D3">
              <w:rPr>
                <w:b/>
                <w:bCs/>
                <w:lang w:val="en-GB"/>
              </w:rPr>
              <w:t>Component</w:t>
            </w:r>
          </w:p>
        </w:tc>
        <w:tc>
          <w:tcPr>
            <w:tcW w:w="1044" w:type="pct"/>
            <w:tcBorders>
              <w:top w:val="single" w:sz="12" w:space="0" w:color="008000"/>
              <w:bottom w:val="single" w:sz="6" w:space="0" w:color="008000"/>
            </w:tcBorders>
            <w:shd w:val="clear" w:color="auto" w:fill="FFFFFF"/>
          </w:tcPr>
          <w:p w14:paraId="216A7468" w14:textId="3E6A5BD6" w:rsidR="00DA12CF" w:rsidRPr="007320D3" w:rsidRDefault="00DA12CF" w:rsidP="00C023F1">
            <w:pPr>
              <w:pStyle w:val="CETBodytext"/>
              <w:ind w:right="-1"/>
              <w:rPr>
                <w:rFonts w:cs="Arial"/>
                <w:b/>
                <w:bCs/>
                <w:szCs w:val="18"/>
                <w:lang w:val="en-GB"/>
              </w:rPr>
            </w:pPr>
            <w:r w:rsidRPr="007320D3">
              <w:rPr>
                <w:rFonts w:cs="Arial"/>
                <w:b/>
                <w:bCs/>
                <w:szCs w:val="18"/>
                <w:lang w:val="en-GB"/>
              </w:rPr>
              <w:t>Description</w:t>
            </w:r>
          </w:p>
        </w:tc>
        <w:tc>
          <w:tcPr>
            <w:tcW w:w="599" w:type="pct"/>
            <w:tcBorders>
              <w:top w:val="single" w:sz="12" w:space="0" w:color="008000"/>
              <w:bottom w:val="single" w:sz="6" w:space="0" w:color="008000"/>
            </w:tcBorders>
            <w:shd w:val="clear" w:color="auto" w:fill="FFFFFF"/>
          </w:tcPr>
          <w:p w14:paraId="0C008E9B" w14:textId="06347834" w:rsidR="00DA12CF" w:rsidRPr="007320D3" w:rsidRDefault="00DA12CF" w:rsidP="00C023F1">
            <w:pPr>
              <w:pStyle w:val="CETBodytext"/>
              <w:ind w:right="-1"/>
              <w:rPr>
                <w:rFonts w:cs="Arial"/>
                <w:b/>
                <w:bCs/>
                <w:szCs w:val="18"/>
                <w:lang w:val="en-GB"/>
              </w:rPr>
            </w:pPr>
            <w:r w:rsidRPr="007320D3">
              <w:rPr>
                <w:rFonts w:cs="Arial"/>
                <w:b/>
                <w:bCs/>
                <w:szCs w:val="18"/>
                <w:lang w:val="en-GB"/>
              </w:rPr>
              <w:t>Component</w:t>
            </w:r>
          </w:p>
        </w:tc>
        <w:tc>
          <w:tcPr>
            <w:tcW w:w="1044" w:type="pct"/>
            <w:tcBorders>
              <w:top w:val="single" w:sz="12" w:space="0" w:color="008000"/>
              <w:bottom w:val="single" w:sz="6" w:space="0" w:color="008000"/>
            </w:tcBorders>
            <w:shd w:val="clear" w:color="auto" w:fill="FFFFFF"/>
          </w:tcPr>
          <w:p w14:paraId="2759B7EB" w14:textId="05789812" w:rsidR="00DA12CF" w:rsidRPr="007320D3" w:rsidRDefault="00DA12CF" w:rsidP="00C023F1">
            <w:pPr>
              <w:pStyle w:val="CETBodytext"/>
              <w:ind w:right="-1"/>
              <w:rPr>
                <w:rFonts w:cs="Arial"/>
                <w:b/>
                <w:bCs/>
                <w:szCs w:val="18"/>
                <w:lang w:val="en-GB"/>
              </w:rPr>
            </w:pPr>
            <w:r w:rsidRPr="007320D3">
              <w:rPr>
                <w:rFonts w:cs="Arial"/>
                <w:b/>
                <w:bCs/>
                <w:szCs w:val="18"/>
                <w:lang w:val="en-GB"/>
              </w:rPr>
              <w:t>Description</w:t>
            </w:r>
          </w:p>
        </w:tc>
      </w:tr>
      <w:tr w:rsidR="00DA12CF" w:rsidRPr="00B57B36" w14:paraId="24F0189A" w14:textId="37F18205" w:rsidTr="00334F60">
        <w:tc>
          <w:tcPr>
            <w:tcW w:w="599" w:type="pct"/>
            <w:shd w:val="clear" w:color="auto" w:fill="FFFFFF"/>
          </w:tcPr>
          <w:p w14:paraId="1178210B" w14:textId="0C886824" w:rsidR="00DA12CF" w:rsidRPr="00B57B36" w:rsidRDefault="00DA12CF" w:rsidP="00F028C5">
            <w:pPr>
              <w:pStyle w:val="CETBodytext"/>
              <w:jc w:val="center"/>
              <w:rPr>
                <w:lang w:val="en-GB"/>
              </w:rPr>
            </w:pPr>
            <w:r>
              <w:rPr>
                <w:lang w:val="en-GB"/>
              </w:rPr>
              <w:t>AI002</w:t>
            </w:r>
          </w:p>
        </w:tc>
        <w:tc>
          <w:tcPr>
            <w:tcW w:w="1114" w:type="pct"/>
            <w:shd w:val="clear" w:color="auto" w:fill="FFFFFF"/>
          </w:tcPr>
          <w:p w14:paraId="4898581F" w14:textId="09BDD96F" w:rsidR="00DA12CF" w:rsidRPr="00B57B36" w:rsidRDefault="00DA12CF" w:rsidP="00F028C5">
            <w:pPr>
              <w:pStyle w:val="CETBodytext"/>
              <w:jc w:val="center"/>
              <w:rPr>
                <w:lang w:val="en-GB"/>
              </w:rPr>
            </w:pPr>
            <w:r>
              <w:rPr>
                <w:lang w:val="en-GB"/>
              </w:rPr>
              <w:t xml:space="preserve">Composition </w:t>
            </w:r>
            <w:r w:rsidR="002522C2">
              <w:rPr>
                <w:lang w:val="en-GB"/>
              </w:rPr>
              <w:t>I</w:t>
            </w:r>
            <w:r>
              <w:rPr>
                <w:lang w:val="en-GB"/>
              </w:rPr>
              <w:t>ndicator</w:t>
            </w:r>
          </w:p>
        </w:tc>
        <w:tc>
          <w:tcPr>
            <w:tcW w:w="599" w:type="pct"/>
            <w:shd w:val="clear" w:color="auto" w:fill="FFFFFF"/>
          </w:tcPr>
          <w:p w14:paraId="17796EC9" w14:textId="60F31423" w:rsidR="00DA12CF" w:rsidRPr="00B57B36" w:rsidRDefault="00C24F10" w:rsidP="00F028C5">
            <w:pPr>
              <w:pStyle w:val="CETBodytext"/>
              <w:jc w:val="center"/>
              <w:rPr>
                <w:lang w:val="en-GB"/>
              </w:rPr>
            </w:pPr>
            <w:r>
              <w:rPr>
                <w:lang w:val="en-GB"/>
              </w:rPr>
              <w:t>AX 002</w:t>
            </w:r>
          </w:p>
        </w:tc>
        <w:tc>
          <w:tcPr>
            <w:tcW w:w="1044" w:type="pct"/>
            <w:shd w:val="clear" w:color="auto" w:fill="FFFFFF"/>
          </w:tcPr>
          <w:p w14:paraId="289BE079" w14:textId="119EEC44" w:rsidR="00DA12CF" w:rsidRPr="00B57B36" w:rsidRDefault="00C24F10" w:rsidP="00F028C5">
            <w:pPr>
              <w:pStyle w:val="CETBodytext"/>
              <w:ind w:right="-1"/>
              <w:jc w:val="center"/>
              <w:rPr>
                <w:rFonts w:cs="Arial"/>
                <w:szCs w:val="18"/>
                <w:lang w:val="en-GB"/>
              </w:rPr>
            </w:pPr>
            <w:r>
              <w:rPr>
                <w:rFonts w:cs="Arial"/>
                <w:szCs w:val="18"/>
                <w:lang w:val="en-GB"/>
              </w:rPr>
              <w:t xml:space="preserve">Composition </w:t>
            </w:r>
            <w:r w:rsidR="00F028C5">
              <w:rPr>
                <w:rFonts w:cs="Arial"/>
                <w:szCs w:val="18"/>
                <w:lang w:val="en-GB"/>
              </w:rPr>
              <w:t>A</w:t>
            </w:r>
            <w:r>
              <w:rPr>
                <w:rFonts w:cs="Arial"/>
                <w:szCs w:val="18"/>
                <w:lang w:val="en-GB"/>
              </w:rPr>
              <w:t>nalyzer</w:t>
            </w:r>
          </w:p>
        </w:tc>
        <w:tc>
          <w:tcPr>
            <w:tcW w:w="599" w:type="pct"/>
            <w:shd w:val="clear" w:color="auto" w:fill="FFFFFF"/>
          </w:tcPr>
          <w:p w14:paraId="7EFF586C" w14:textId="78BC4ACC" w:rsidR="00DA12CF" w:rsidRPr="00B57B36" w:rsidRDefault="00334F60" w:rsidP="00F028C5">
            <w:pPr>
              <w:pStyle w:val="CETBodytext"/>
              <w:ind w:right="-1"/>
              <w:jc w:val="center"/>
              <w:rPr>
                <w:rFonts w:cs="Arial"/>
                <w:szCs w:val="18"/>
                <w:lang w:val="en-GB"/>
              </w:rPr>
            </w:pPr>
            <w:r>
              <w:rPr>
                <w:rFonts w:cs="Arial"/>
                <w:szCs w:val="18"/>
                <w:lang w:val="en-GB"/>
              </w:rPr>
              <w:t>HL00</w:t>
            </w:r>
            <w:r w:rsidR="00113F4E">
              <w:rPr>
                <w:rFonts w:cs="Arial"/>
                <w:szCs w:val="18"/>
                <w:lang w:val="en-GB"/>
              </w:rPr>
              <w:t>2</w:t>
            </w:r>
          </w:p>
        </w:tc>
        <w:tc>
          <w:tcPr>
            <w:tcW w:w="1044" w:type="pct"/>
            <w:shd w:val="clear" w:color="auto" w:fill="FFFFFF"/>
          </w:tcPr>
          <w:p w14:paraId="4715D6E1" w14:textId="1779284A" w:rsidR="00DA12CF" w:rsidRDefault="00334F60" w:rsidP="00F028C5">
            <w:pPr>
              <w:pStyle w:val="CETBodytext"/>
              <w:ind w:right="-1"/>
              <w:jc w:val="center"/>
              <w:rPr>
                <w:rFonts w:cs="Arial"/>
                <w:szCs w:val="18"/>
                <w:lang w:val="en-GB"/>
              </w:rPr>
            </w:pPr>
            <w:r>
              <w:rPr>
                <w:rFonts w:cs="Arial"/>
                <w:szCs w:val="18"/>
                <w:lang w:val="en-GB"/>
              </w:rPr>
              <w:t xml:space="preserve">Visual </w:t>
            </w:r>
            <w:r w:rsidR="00F028C5">
              <w:rPr>
                <w:rFonts w:cs="Arial"/>
                <w:szCs w:val="18"/>
                <w:lang w:val="en-GB"/>
              </w:rPr>
              <w:t>A</w:t>
            </w:r>
            <w:r>
              <w:rPr>
                <w:rFonts w:cs="Arial"/>
                <w:szCs w:val="18"/>
                <w:lang w:val="en-GB"/>
              </w:rPr>
              <w:t>larm</w:t>
            </w:r>
          </w:p>
        </w:tc>
      </w:tr>
      <w:tr w:rsidR="00C24F10" w:rsidRPr="00B57B36" w14:paraId="3C233DDC" w14:textId="77777777" w:rsidTr="00334F60">
        <w:tc>
          <w:tcPr>
            <w:tcW w:w="599" w:type="pct"/>
            <w:shd w:val="clear" w:color="auto" w:fill="FFFFFF"/>
          </w:tcPr>
          <w:p w14:paraId="1336264D" w14:textId="163CC365" w:rsidR="00C24F10" w:rsidRDefault="00C24F10" w:rsidP="00F028C5">
            <w:pPr>
              <w:pStyle w:val="CETBodytext"/>
              <w:jc w:val="center"/>
              <w:rPr>
                <w:lang w:val="en-GB"/>
              </w:rPr>
            </w:pPr>
            <w:r>
              <w:rPr>
                <w:lang w:val="en-GB"/>
              </w:rPr>
              <w:t>FO012</w:t>
            </w:r>
          </w:p>
        </w:tc>
        <w:tc>
          <w:tcPr>
            <w:tcW w:w="1114" w:type="pct"/>
            <w:shd w:val="clear" w:color="auto" w:fill="FFFFFF"/>
          </w:tcPr>
          <w:p w14:paraId="1F680A40" w14:textId="0850AE25" w:rsidR="00C24F10" w:rsidRDefault="00C24F10" w:rsidP="00F028C5">
            <w:pPr>
              <w:pStyle w:val="CETBodytext"/>
              <w:jc w:val="center"/>
              <w:rPr>
                <w:lang w:val="en-GB"/>
              </w:rPr>
            </w:pPr>
            <w:r>
              <w:rPr>
                <w:rFonts w:cs="Arial"/>
                <w:szCs w:val="18"/>
                <w:lang w:val="en-GB"/>
              </w:rPr>
              <w:t xml:space="preserve">Restriction </w:t>
            </w:r>
            <w:r w:rsidR="002522C2">
              <w:rPr>
                <w:rFonts w:cs="Arial"/>
                <w:szCs w:val="18"/>
                <w:lang w:val="en-GB"/>
              </w:rPr>
              <w:t>O</w:t>
            </w:r>
            <w:r>
              <w:rPr>
                <w:rFonts w:cs="Arial"/>
                <w:szCs w:val="18"/>
                <w:lang w:val="en-GB"/>
              </w:rPr>
              <w:t>rifice</w:t>
            </w:r>
          </w:p>
        </w:tc>
        <w:tc>
          <w:tcPr>
            <w:tcW w:w="599" w:type="pct"/>
            <w:shd w:val="clear" w:color="auto" w:fill="FFFFFF"/>
          </w:tcPr>
          <w:p w14:paraId="755E0E84" w14:textId="1417E743" w:rsidR="00C24F10" w:rsidRDefault="00C24F10" w:rsidP="00F028C5">
            <w:pPr>
              <w:pStyle w:val="CETBodytext"/>
              <w:jc w:val="center"/>
              <w:rPr>
                <w:lang w:val="en-GB"/>
              </w:rPr>
            </w:pPr>
            <w:r>
              <w:rPr>
                <w:lang w:val="en-GB"/>
              </w:rPr>
              <w:t>CAH</w:t>
            </w:r>
          </w:p>
        </w:tc>
        <w:tc>
          <w:tcPr>
            <w:tcW w:w="1044" w:type="pct"/>
            <w:shd w:val="clear" w:color="auto" w:fill="FFFFFF"/>
          </w:tcPr>
          <w:p w14:paraId="345FD2EB" w14:textId="18D24B48" w:rsidR="00C24F10" w:rsidRDefault="00C24F10" w:rsidP="00F028C5">
            <w:pPr>
              <w:pStyle w:val="CETBodytext"/>
              <w:ind w:right="-1"/>
              <w:jc w:val="center"/>
              <w:rPr>
                <w:rFonts w:cs="Arial"/>
                <w:szCs w:val="18"/>
                <w:lang w:val="en-GB"/>
              </w:rPr>
            </w:pPr>
            <w:r>
              <w:rPr>
                <w:rFonts w:cs="Arial"/>
                <w:szCs w:val="18"/>
                <w:lang w:val="en-GB"/>
              </w:rPr>
              <w:t>High concentration alarm</w:t>
            </w:r>
          </w:p>
        </w:tc>
        <w:tc>
          <w:tcPr>
            <w:tcW w:w="599" w:type="pct"/>
            <w:shd w:val="clear" w:color="auto" w:fill="FFFFFF"/>
          </w:tcPr>
          <w:p w14:paraId="5B2B49AD" w14:textId="3FAADE02" w:rsidR="00C24F10" w:rsidRDefault="00113F4E" w:rsidP="00F028C5">
            <w:pPr>
              <w:pStyle w:val="CETBodytext"/>
              <w:ind w:right="-1"/>
              <w:jc w:val="center"/>
              <w:rPr>
                <w:rFonts w:cs="Arial"/>
                <w:szCs w:val="18"/>
                <w:lang w:val="en-GB"/>
              </w:rPr>
            </w:pPr>
            <w:r>
              <w:rPr>
                <w:rFonts w:cs="Arial"/>
                <w:szCs w:val="18"/>
                <w:lang w:val="en-GB"/>
              </w:rPr>
              <w:t>TV011</w:t>
            </w:r>
          </w:p>
        </w:tc>
        <w:tc>
          <w:tcPr>
            <w:tcW w:w="1044" w:type="pct"/>
            <w:shd w:val="clear" w:color="auto" w:fill="FFFFFF"/>
          </w:tcPr>
          <w:p w14:paraId="26B6568E" w14:textId="1573BEF3" w:rsidR="00C24F10" w:rsidRDefault="00113F4E" w:rsidP="00F028C5">
            <w:pPr>
              <w:pStyle w:val="CETBodytext"/>
              <w:ind w:right="-1"/>
              <w:jc w:val="center"/>
              <w:rPr>
                <w:rFonts w:cs="Arial"/>
                <w:szCs w:val="18"/>
                <w:lang w:val="en-GB"/>
              </w:rPr>
            </w:pPr>
            <w:r>
              <w:rPr>
                <w:rFonts w:cs="Arial"/>
                <w:szCs w:val="18"/>
                <w:lang w:val="en-GB"/>
              </w:rPr>
              <w:t>Valve</w:t>
            </w:r>
          </w:p>
        </w:tc>
      </w:tr>
      <w:tr w:rsidR="00C24F10" w:rsidRPr="00B57B36" w14:paraId="2921F08D" w14:textId="2BE14025" w:rsidTr="00334F60">
        <w:tc>
          <w:tcPr>
            <w:tcW w:w="599" w:type="pct"/>
            <w:shd w:val="clear" w:color="auto" w:fill="FFFFFF"/>
          </w:tcPr>
          <w:p w14:paraId="29EC9F0B" w14:textId="2D19B320" w:rsidR="00C24F10" w:rsidRPr="00B57B36" w:rsidRDefault="00C24F10" w:rsidP="00F028C5">
            <w:pPr>
              <w:pStyle w:val="CETBodytext"/>
              <w:ind w:right="-1"/>
              <w:jc w:val="center"/>
              <w:rPr>
                <w:rFonts w:cs="Arial"/>
                <w:szCs w:val="18"/>
                <w:lang w:val="en-GB"/>
              </w:rPr>
            </w:pPr>
            <w:r>
              <w:rPr>
                <w:rFonts w:cs="Arial"/>
                <w:szCs w:val="18"/>
                <w:lang w:val="en-GB"/>
              </w:rPr>
              <w:t>PT023</w:t>
            </w:r>
          </w:p>
        </w:tc>
        <w:tc>
          <w:tcPr>
            <w:tcW w:w="1114" w:type="pct"/>
            <w:shd w:val="clear" w:color="auto" w:fill="FFFFFF"/>
          </w:tcPr>
          <w:p w14:paraId="759E2D54" w14:textId="23B86004" w:rsidR="00C24F10" w:rsidRPr="00B57B36" w:rsidRDefault="00C24F10" w:rsidP="00F028C5">
            <w:pPr>
              <w:pStyle w:val="CETBodytext"/>
              <w:ind w:right="-1"/>
              <w:jc w:val="center"/>
              <w:rPr>
                <w:rFonts w:cs="Arial"/>
                <w:szCs w:val="18"/>
                <w:lang w:val="en-GB"/>
              </w:rPr>
            </w:pPr>
            <w:r>
              <w:rPr>
                <w:rFonts w:cs="Arial"/>
                <w:szCs w:val="18"/>
                <w:lang w:val="en-GB"/>
              </w:rPr>
              <w:t xml:space="preserve">Pressure </w:t>
            </w:r>
            <w:r w:rsidR="00F028C5">
              <w:rPr>
                <w:rFonts w:cs="Arial"/>
                <w:szCs w:val="18"/>
                <w:lang w:val="en-GB"/>
              </w:rPr>
              <w:t>T</w:t>
            </w:r>
            <w:r>
              <w:rPr>
                <w:rFonts w:cs="Arial"/>
                <w:szCs w:val="18"/>
                <w:lang w:val="en-GB"/>
              </w:rPr>
              <w:t>ransmitter</w:t>
            </w:r>
          </w:p>
        </w:tc>
        <w:tc>
          <w:tcPr>
            <w:tcW w:w="599" w:type="pct"/>
            <w:shd w:val="clear" w:color="auto" w:fill="FFFFFF"/>
          </w:tcPr>
          <w:p w14:paraId="503DE288" w14:textId="5928777B" w:rsidR="00C24F10" w:rsidRPr="00B57B36" w:rsidRDefault="00C24F10" w:rsidP="00F028C5">
            <w:pPr>
              <w:pStyle w:val="CETBodytext"/>
              <w:ind w:right="-1"/>
              <w:jc w:val="center"/>
              <w:rPr>
                <w:rFonts w:cs="Arial"/>
                <w:szCs w:val="18"/>
                <w:lang w:val="en-GB"/>
              </w:rPr>
            </w:pPr>
            <w:r>
              <w:rPr>
                <w:rFonts w:cs="Arial"/>
                <w:szCs w:val="18"/>
                <w:lang w:val="en-GB"/>
              </w:rPr>
              <w:t>PT01A</w:t>
            </w:r>
          </w:p>
        </w:tc>
        <w:tc>
          <w:tcPr>
            <w:tcW w:w="1044" w:type="pct"/>
            <w:shd w:val="clear" w:color="auto" w:fill="FFFFFF"/>
          </w:tcPr>
          <w:p w14:paraId="71284E59" w14:textId="42255764" w:rsidR="00C24F10" w:rsidRPr="00B57B36" w:rsidRDefault="00C24F10" w:rsidP="00F028C5">
            <w:pPr>
              <w:pStyle w:val="CETBodytext"/>
              <w:ind w:right="-1"/>
              <w:jc w:val="center"/>
              <w:rPr>
                <w:rFonts w:cs="Arial"/>
                <w:szCs w:val="18"/>
                <w:lang w:val="en-GB"/>
              </w:rPr>
            </w:pPr>
            <w:r>
              <w:rPr>
                <w:rFonts w:cs="Arial"/>
                <w:szCs w:val="18"/>
                <w:lang w:val="en-GB"/>
              </w:rPr>
              <w:t>Pressure transmitter</w:t>
            </w:r>
          </w:p>
        </w:tc>
        <w:tc>
          <w:tcPr>
            <w:tcW w:w="599" w:type="pct"/>
            <w:shd w:val="clear" w:color="auto" w:fill="FFFFFF"/>
          </w:tcPr>
          <w:p w14:paraId="3252AF75" w14:textId="007C9AE8" w:rsidR="00C24F10" w:rsidRPr="00B57B36" w:rsidRDefault="00C24F10" w:rsidP="00F028C5">
            <w:pPr>
              <w:pStyle w:val="CETBodytext"/>
              <w:ind w:right="-1"/>
              <w:jc w:val="center"/>
              <w:rPr>
                <w:rFonts w:cs="Arial"/>
                <w:szCs w:val="18"/>
                <w:lang w:val="en-GB"/>
              </w:rPr>
            </w:pPr>
            <w:r>
              <w:rPr>
                <w:rFonts w:cs="Arial"/>
                <w:szCs w:val="18"/>
                <w:lang w:val="en-GB"/>
              </w:rPr>
              <w:t>PT01B</w:t>
            </w:r>
          </w:p>
        </w:tc>
        <w:tc>
          <w:tcPr>
            <w:tcW w:w="1044" w:type="pct"/>
            <w:shd w:val="clear" w:color="auto" w:fill="FFFFFF"/>
          </w:tcPr>
          <w:p w14:paraId="7B668D13" w14:textId="34FE729A" w:rsidR="00C24F10" w:rsidRPr="00B57B36" w:rsidRDefault="00C24F10" w:rsidP="00F028C5">
            <w:pPr>
              <w:pStyle w:val="CETBodytext"/>
              <w:ind w:right="-1"/>
              <w:jc w:val="center"/>
              <w:rPr>
                <w:rFonts w:cs="Arial"/>
                <w:szCs w:val="18"/>
                <w:lang w:val="en-GB"/>
              </w:rPr>
            </w:pPr>
            <w:r>
              <w:rPr>
                <w:rFonts w:cs="Arial"/>
                <w:szCs w:val="18"/>
                <w:lang w:val="en-GB"/>
              </w:rPr>
              <w:t xml:space="preserve">Pressure </w:t>
            </w:r>
            <w:r w:rsidR="00F028C5">
              <w:rPr>
                <w:rFonts w:cs="Arial"/>
                <w:szCs w:val="18"/>
                <w:lang w:val="en-GB"/>
              </w:rPr>
              <w:t>T</w:t>
            </w:r>
            <w:r>
              <w:rPr>
                <w:rFonts w:cs="Arial"/>
                <w:szCs w:val="18"/>
                <w:lang w:val="en-GB"/>
              </w:rPr>
              <w:t>ransmitter</w:t>
            </w:r>
          </w:p>
        </w:tc>
      </w:tr>
      <w:tr w:rsidR="00C24F10" w:rsidRPr="00B57B36" w14:paraId="09F67437" w14:textId="77777777" w:rsidTr="00334F60">
        <w:tc>
          <w:tcPr>
            <w:tcW w:w="599" w:type="pct"/>
            <w:shd w:val="clear" w:color="auto" w:fill="FFFFFF"/>
          </w:tcPr>
          <w:p w14:paraId="0BDF0E28" w14:textId="0AA8D495" w:rsidR="00C24F10" w:rsidRDefault="00C24F10" w:rsidP="00F028C5">
            <w:pPr>
              <w:pStyle w:val="CETBodytext"/>
              <w:ind w:right="-1"/>
              <w:jc w:val="center"/>
              <w:rPr>
                <w:rFonts w:cs="Arial"/>
                <w:szCs w:val="18"/>
                <w:lang w:val="en-GB"/>
              </w:rPr>
            </w:pPr>
            <w:r>
              <w:rPr>
                <w:rFonts w:cs="Arial"/>
                <w:szCs w:val="18"/>
                <w:lang w:val="en-GB"/>
              </w:rPr>
              <w:t>PI023</w:t>
            </w:r>
          </w:p>
        </w:tc>
        <w:tc>
          <w:tcPr>
            <w:tcW w:w="1114" w:type="pct"/>
            <w:shd w:val="clear" w:color="auto" w:fill="FFFFFF"/>
          </w:tcPr>
          <w:p w14:paraId="072EC085" w14:textId="37B3414D" w:rsidR="00C24F10" w:rsidRDefault="00C24F10" w:rsidP="00F028C5">
            <w:pPr>
              <w:pStyle w:val="CETBodytext"/>
              <w:ind w:right="-1"/>
              <w:jc w:val="center"/>
              <w:rPr>
                <w:rFonts w:cs="Arial"/>
                <w:szCs w:val="18"/>
                <w:lang w:val="en-GB"/>
              </w:rPr>
            </w:pPr>
            <w:r>
              <w:rPr>
                <w:rFonts w:cs="Arial"/>
                <w:szCs w:val="18"/>
                <w:lang w:val="en-GB"/>
              </w:rPr>
              <w:t xml:space="preserve">Pressure </w:t>
            </w:r>
            <w:r w:rsidR="00F028C5">
              <w:rPr>
                <w:rFonts w:cs="Arial"/>
                <w:szCs w:val="18"/>
                <w:lang w:val="en-GB"/>
              </w:rPr>
              <w:t>I</w:t>
            </w:r>
            <w:r>
              <w:rPr>
                <w:rFonts w:cs="Arial"/>
                <w:szCs w:val="18"/>
                <w:lang w:val="en-GB"/>
              </w:rPr>
              <w:t>ndicator</w:t>
            </w:r>
          </w:p>
        </w:tc>
        <w:tc>
          <w:tcPr>
            <w:tcW w:w="599" w:type="pct"/>
            <w:shd w:val="clear" w:color="auto" w:fill="FFFFFF"/>
          </w:tcPr>
          <w:p w14:paraId="279C5355" w14:textId="497CCCF9" w:rsidR="00C24F10" w:rsidRPr="00B57B36" w:rsidRDefault="00C24F10" w:rsidP="00F028C5">
            <w:pPr>
              <w:pStyle w:val="CETBodytext"/>
              <w:ind w:right="-1"/>
              <w:jc w:val="center"/>
              <w:rPr>
                <w:rFonts w:cs="Arial"/>
                <w:szCs w:val="18"/>
                <w:lang w:val="en-GB"/>
              </w:rPr>
            </w:pPr>
            <w:r>
              <w:rPr>
                <w:rFonts w:cs="Arial"/>
                <w:szCs w:val="18"/>
                <w:lang w:val="en-GB"/>
              </w:rPr>
              <w:t>PI01A</w:t>
            </w:r>
          </w:p>
        </w:tc>
        <w:tc>
          <w:tcPr>
            <w:tcW w:w="1044" w:type="pct"/>
            <w:shd w:val="clear" w:color="auto" w:fill="FFFFFF"/>
          </w:tcPr>
          <w:p w14:paraId="3335B361" w14:textId="39392F41" w:rsidR="00C24F10" w:rsidRPr="00B57B36" w:rsidRDefault="00C24F10" w:rsidP="00F028C5">
            <w:pPr>
              <w:pStyle w:val="CETBodytext"/>
              <w:ind w:right="-1"/>
              <w:jc w:val="center"/>
              <w:rPr>
                <w:rFonts w:cs="Arial"/>
                <w:szCs w:val="18"/>
                <w:lang w:val="en-GB"/>
              </w:rPr>
            </w:pPr>
            <w:r>
              <w:rPr>
                <w:rFonts w:cs="Arial"/>
                <w:szCs w:val="18"/>
                <w:lang w:val="en-GB"/>
              </w:rPr>
              <w:t>Pressure transmitter</w:t>
            </w:r>
          </w:p>
        </w:tc>
        <w:tc>
          <w:tcPr>
            <w:tcW w:w="599" w:type="pct"/>
            <w:shd w:val="clear" w:color="auto" w:fill="FFFFFF"/>
          </w:tcPr>
          <w:p w14:paraId="2E2F5F5D" w14:textId="474F5500" w:rsidR="00C24F10" w:rsidRDefault="00C24F10" w:rsidP="00F028C5">
            <w:pPr>
              <w:pStyle w:val="CETBodytext"/>
              <w:ind w:right="-1"/>
              <w:jc w:val="center"/>
              <w:rPr>
                <w:rFonts w:cs="Arial"/>
                <w:szCs w:val="18"/>
                <w:lang w:val="en-GB"/>
              </w:rPr>
            </w:pPr>
            <w:r>
              <w:rPr>
                <w:rFonts w:cs="Arial"/>
                <w:szCs w:val="18"/>
                <w:lang w:val="en-GB"/>
              </w:rPr>
              <w:t>PI01B</w:t>
            </w:r>
          </w:p>
        </w:tc>
        <w:tc>
          <w:tcPr>
            <w:tcW w:w="1044" w:type="pct"/>
            <w:shd w:val="clear" w:color="auto" w:fill="FFFFFF"/>
          </w:tcPr>
          <w:p w14:paraId="6A6A456E" w14:textId="4E328464" w:rsidR="00C24F10" w:rsidRDefault="00C24F10" w:rsidP="00F028C5">
            <w:pPr>
              <w:pStyle w:val="CETBodytext"/>
              <w:ind w:right="-1"/>
              <w:jc w:val="center"/>
              <w:rPr>
                <w:rFonts w:cs="Arial"/>
                <w:szCs w:val="18"/>
                <w:lang w:val="en-GB"/>
              </w:rPr>
            </w:pPr>
            <w:r>
              <w:rPr>
                <w:rFonts w:cs="Arial"/>
                <w:szCs w:val="18"/>
                <w:lang w:val="en-GB"/>
              </w:rPr>
              <w:t xml:space="preserve">Pressure </w:t>
            </w:r>
            <w:r w:rsidR="00F028C5">
              <w:rPr>
                <w:rFonts w:cs="Arial"/>
                <w:szCs w:val="18"/>
                <w:lang w:val="en-GB"/>
              </w:rPr>
              <w:t>T</w:t>
            </w:r>
            <w:r>
              <w:rPr>
                <w:rFonts w:cs="Arial"/>
                <w:szCs w:val="18"/>
                <w:lang w:val="en-GB"/>
              </w:rPr>
              <w:t>ransmitter</w:t>
            </w:r>
          </w:p>
        </w:tc>
      </w:tr>
      <w:tr w:rsidR="00C24F10" w:rsidRPr="00B57B36" w14:paraId="3401945B" w14:textId="77777777" w:rsidTr="00334F60">
        <w:tc>
          <w:tcPr>
            <w:tcW w:w="599" w:type="pct"/>
            <w:shd w:val="clear" w:color="auto" w:fill="FFFFFF"/>
          </w:tcPr>
          <w:p w14:paraId="6C55D3F5" w14:textId="50600BF5" w:rsidR="00C24F10" w:rsidRDefault="00C24F10" w:rsidP="00F028C5">
            <w:pPr>
              <w:pStyle w:val="CETBodytext"/>
              <w:ind w:right="-1"/>
              <w:jc w:val="center"/>
              <w:rPr>
                <w:rFonts w:cs="Arial"/>
                <w:szCs w:val="18"/>
                <w:lang w:val="en-GB"/>
              </w:rPr>
            </w:pPr>
            <w:r>
              <w:rPr>
                <w:rFonts w:cs="Arial"/>
                <w:szCs w:val="18"/>
                <w:lang w:val="en-GB"/>
              </w:rPr>
              <w:t>PDT012</w:t>
            </w:r>
          </w:p>
        </w:tc>
        <w:tc>
          <w:tcPr>
            <w:tcW w:w="1114" w:type="pct"/>
            <w:shd w:val="clear" w:color="auto" w:fill="FFFFFF"/>
          </w:tcPr>
          <w:p w14:paraId="33B14D50" w14:textId="6E63C315" w:rsidR="00C24F10" w:rsidRDefault="00C24F10" w:rsidP="00F028C5">
            <w:pPr>
              <w:pStyle w:val="CETBodytext"/>
              <w:ind w:right="-1"/>
              <w:jc w:val="center"/>
              <w:rPr>
                <w:rFonts w:cs="Arial"/>
                <w:szCs w:val="18"/>
                <w:lang w:val="en-GB"/>
              </w:rPr>
            </w:pPr>
            <w:r>
              <w:rPr>
                <w:rFonts w:cs="Arial"/>
                <w:szCs w:val="18"/>
                <w:lang w:val="en-GB"/>
              </w:rPr>
              <w:t xml:space="preserve">Differential </w:t>
            </w:r>
            <w:r w:rsidR="002522C2">
              <w:rPr>
                <w:rFonts w:cs="Arial"/>
                <w:szCs w:val="18"/>
                <w:lang w:val="en-GB"/>
              </w:rPr>
              <w:t>P</w:t>
            </w:r>
            <w:r>
              <w:rPr>
                <w:rFonts w:cs="Arial"/>
                <w:szCs w:val="18"/>
                <w:lang w:val="en-GB"/>
              </w:rPr>
              <w:t xml:space="preserve">ressure </w:t>
            </w:r>
            <w:r w:rsidR="002522C2">
              <w:rPr>
                <w:rFonts w:cs="Arial"/>
                <w:szCs w:val="18"/>
                <w:lang w:val="en-GB"/>
              </w:rPr>
              <w:t>T</w:t>
            </w:r>
            <w:r>
              <w:rPr>
                <w:rFonts w:cs="Arial"/>
                <w:szCs w:val="18"/>
                <w:lang w:val="en-GB"/>
              </w:rPr>
              <w:t>ransmitter</w:t>
            </w:r>
          </w:p>
        </w:tc>
        <w:tc>
          <w:tcPr>
            <w:tcW w:w="599" w:type="pct"/>
            <w:shd w:val="clear" w:color="auto" w:fill="FFFFFF"/>
          </w:tcPr>
          <w:p w14:paraId="33EFB621" w14:textId="39073BDD" w:rsidR="00C24F10" w:rsidRPr="00B57B36" w:rsidRDefault="00C24F10" w:rsidP="00F028C5">
            <w:pPr>
              <w:pStyle w:val="CETBodytext"/>
              <w:ind w:right="-1"/>
              <w:jc w:val="center"/>
              <w:rPr>
                <w:rFonts w:cs="Arial"/>
                <w:szCs w:val="18"/>
                <w:lang w:val="en-GB"/>
              </w:rPr>
            </w:pPr>
            <w:r>
              <w:rPr>
                <w:rFonts w:cs="Arial"/>
                <w:szCs w:val="18"/>
                <w:lang w:val="en-GB"/>
              </w:rPr>
              <w:t>PDAHH</w:t>
            </w:r>
          </w:p>
        </w:tc>
        <w:tc>
          <w:tcPr>
            <w:tcW w:w="1044" w:type="pct"/>
            <w:shd w:val="clear" w:color="auto" w:fill="FFFFFF"/>
          </w:tcPr>
          <w:p w14:paraId="0E2ACF15" w14:textId="702E92B1" w:rsidR="00C24F10" w:rsidRPr="00B57B36" w:rsidRDefault="00C24F10" w:rsidP="00F028C5">
            <w:pPr>
              <w:pStyle w:val="CETBodytext"/>
              <w:ind w:right="-1"/>
              <w:jc w:val="center"/>
              <w:rPr>
                <w:rFonts w:cs="Arial"/>
                <w:szCs w:val="18"/>
                <w:lang w:val="en-GB"/>
              </w:rPr>
            </w:pPr>
            <w:r>
              <w:rPr>
                <w:rFonts w:cs="Arial"/>
                <w:szCs w:val="18"/>
                <w:lang w:val="en-GB"/>
              </w:rPr>
              <w:t>High Differential pressure alarm</w:t>
            </w:r>
          </w:p>
        </w:tc>
        <w:tc>
          <w:tcPr>
            <w:tcW w:w="599" w:type="pct"/>
            <w:shd w:val="clear" w:color="auto" w:fill="FFFFFF"/>
          </w:tcPr>
          <w:p w14:paraId="1B5709DC" w14:textId="0C77C318" w:rsidR="00C24F10" w:rsidRDefault="00C24F10" w:rsidP="00F028C5">
            <w:pPr>
              <w:pStyle w:val="CETBodytext"/>
              <w:ind w:right="-1"/>
              <w:jc w:val="center"/>
              <w:rPr>
                <w:rFonts w:cs="Arial"/>
                <w:szCs w:val="18"/>
                <w:lang w:val="en-GB"/>
              </w:rPr>
            </w:pPr>
            <w:r>
              <w:rPr>
                <w:rFonts w:cs="Arial"/>
                <w:szCs w:val="18"/>
                <w:lang w:val="en-GB"/>
              </w:rPr>
              <w:t>SDV 011</w:t>
            </w:r>
          </w:p>
        </w:tc>
        <w:tc>
          <w:tcPr>
            <w:tcW w:w="1044" w:type="pct"/>
            <w:shd w:val="clear" w:color="auto" w:fill="FFFFFF"/>
          </w:tcPr>
          <w:p w14:paraId="7521FD5B" w14:textId="45FA23CC" w:rsidR="00C24F10" w:rsidRDefault="00C24F10" w:rsidP="00F028C5">
            <w:pPr>
              <w:pStyle w:val="CETBodytext"/>
              <w:ind w:right="-1"/>
              <w:jc w:val="center"/>
              <w:rPr>
                <w:rFonts w:cs="Arial"/>
                <w:szCs w:val="18"/>
                <w:lang w:val="en-GB"/>
              </w:rPr>
            </w:pPr>
            <w:r>
              <w:rPr>
                <w:rFonts w:cs="Arial"/>
                <w:szCs w:val="18"/>
                <w:lang w:val="en-GB"/>
              </w:rPr>
              <w:t xml:space="preserve">Shutdown </w:t>
            </w:r>
            <w:r w:rsidR="00F028C5">
              <w:rPr>
                <w:rFonts w:cs="Arial"/>
                <w:szCs w:val="18"/>
                <w:lang w:val="en-GB"/>
              </w:rPr>
              <w:t>V</w:t>
            </w:r>
            <w:r>
              <w:rPr>
                <w:rFonts w:cs="Arial"/>
                <w:szCs w:val="18"/>
                <w:lang w:val="en-GB"/>
              </w:rPr>
              <w:t>alve</w:t>
            </w:r>
          </w:p>
        </w:tc>
      </w:tr>
      <w:tr w:rsidR="00C24F10" w:rsidRPr="00B57B36" w14:paraId="76A4C9BA" w14:textId="77777777" w:rsidTr="00334F60">
        <w:tc>
          <w:tcPr>
            <w:tcW w:w="599" w:type="pct"/>
            <w:shd w:val="clear" w:color="auto" w:fill="FFFFFF"/>
          </w:tcPr>
          <w:p w14:paraId="1A8DEFA0" w14:textId="13953771" w:rsidR="00C24F10" w:rsidRDefault="00C24F10" w:rsidP="00F028C5">
            <w:pPr>
              <w:pStyle w:val="CETBodytext"/>
              <w:ind w:right="-1"/>
              <w:jc w:val="center"/>
              <w:rPr>
                <w:rFonts w:cs="Arial"/>
                <w:szCs w:val="18"/>
                <w:lang w:val="en-GB"/>
              </w:rPr>
            </w:pPr>
            <w:r>
              <w:rPr>
                <w:rFonts w:cs="Arial"/>
                <w:szCs w:val="18"/>
                <w:lang w:val="en-GB"/>
              </w:rPr>
              <w:t>SDV 012</w:t>
            </w:r>
          </w:p>
        </w:tc>
        <w:tc>
          <w:tcPr>
            <w:tcW w:w="1114" w:type="pct"/>
            <w:shd w:val="clear" w:color="auto" w:fill="FFFFFF"/>
          </w:tcPr>
          <w:p w14:paraId="522E8BB0" w14:textId="2304A976" w:rsidR="00C24F10" w:rsidRDefault="00C24F10" w:rsidP="00F028C5">
            <w:pPr>
              <w:pStyle w:val="CETBodytext"/>
              <w:ind w:right="-1"/>
              <w:jc w:val="center"/>
              <w:rPr>
                <w:rFonts w:cs="Arial"/>
                <w:szCs w:val="18"/>
                <w:lang w:val="en-GB"/>
              </w:rPr>
            </w:pPr>
            <w:r>
              <w:rPr>
                <w:rFonts w:cs="Arial"/>
                <w:szCs w:val="18"/>
                <w:lang w:val="en-GB"/>
              </w:rPr>
              <w:t xml:space="preserve">Shutdown </w:t>
            </w:r>
            <w:r w:rsidR="002522C2">
              <w:rPr>
                <w:rFonts w:cs="Arial"/>
                <w:szCs w:val="18"/>
                <w:lang w:val="en-GB"/>
              </w:rPr>
              <w:t>V</w:t>
            </w:r>
            <w:r>
              <w:rPr>
                <w:rFonts w:cs="Arial"/>
                <w:szCs w:val="18"/>
                <w:lang w:val="en-GB"/>
              </w:rPr>
              <w:t>alve</w:t>
            </w:r>
          </w:p>
        </w:tc>
        <w:tc>
          <w:tcPr>
            <w:tcW w:w="599" w:type="pct"/>
            <w:shd w:val="clear" w:color="auto" w:fill="FFFFFF"/>
          </w:tcPr>
          <w:p w14:paraId="5EB1D27A" w14:textId="2BEF4DBD" w:rsidR="00C24F10" w:rsidRPr="00B57B36" w:rsidRDefault="00C24F10" w:rsidP="00F028C5">
            <w:pPr>
              <w:pStyle w:val="CETBodytext"/>
              <w:ind w:right="-1"/>
              <w:jc w:val="center"/>
              <w:rPr>
                <w:rFonts w:cs="Arial"/>
                <w:szCs w:val="18"/>
                <w:lang w:val="en-GB"/>
              </w:rPr>
            </w:pPr>
            <w:r>
              <w:rPr>
                <w:rFonts w:cs="Arial"/>
                <w:szCs w:val="18"/>
                <w:lang w:val="en-GB"/>
              </w:rPr>
              <w:t xml:space="preserve">SDV </w:t>
            </w:r>
            <w:r w:rsidR="00113F4E">
              <w:rPr>
                <w:rFonts w:cs="Arial"/>
                <w:szCs w:val="18"/>
                <w:lang w:val="en-GB"/>
              </w:rPr>
              <w:t>020</w:t>
            </w:r>
          </w:p>
        </w:tc>
        <w:tc>
          <w:tcPr>
            <w:tcW w:w="1044" w:type="pct"/>
            <w:shd w:val="clear" w:color="auto" w:fill="FFFFFF"/>
          </w:tcPr>
          <w:p w14:paraId="66E46F9B" w14:textId="72F4A2F5" w:rsidR="00C24F10" w:rsidRPr="00B57B36" w:rsidRDefault="00C24F10" w:rsidP="00F028C5">
            <w:pPr>
              <w:pStyle w:val="CETBodytext"/>
              <w:ind w:right="-1"/>
              <w:jc w:val="center"/>
              <w:rPr>
                <w:rFonts w:cs="Arial"/>
                <w:szCs w:val="18"/>
                <w:lang w:val="en-GB"/>
              </w:rPr>
            </w:pPr>
            <w:r>
              <w:rPr>
                <w:rFonts w:cs="Arial"/>
                <w:szCs w:val="18"/>
                <w:lang w:val="en-GB"/>
              </w:rPr>
              <w:t>Shutdown valve</w:t>
            </w:r>
          </w:p>
        </w:tc>
        <w:tc>
          <w:tcPr>
            <w:tcW w:w="599" w:type="pct"/>
            <w:shd w:val="clear" w:color="auto" w:fill="FFFFFF"/>
          </w:tcPr>
          <w:p w14:paraId="649A6C9E" w14:textId="7B28B811" w:rsidR="00C24F10" w:rsidRDefault="00C24F10" w:rsidP="00F028C5">
            <w:pPr>
              <w:pStyle w:val="CETBodytext"/>
              <w:ind w:right="-1"/>
              <w:jc w:val="center"/>
              <w:rPr>
                <w:rFonts w:cs="Arial"/>
                <w:szCs w:val="18"/>
                <w:lang w:val="en-GB"/>
              </w:rPr>
            </w:pPr>
            <w:r>
              <w:rPr>
                <w:rFonts w:cs="Arial"/>
                <w:szCs w:val="18"/>
                <w:lang w:val="en-GB"/>
              </w:rPr>
              <w:t>TY 040</w:t>
            </w:r>
          </w:p>
        </w:tc>
        <w:tc>
          <w:tcPr>
            <w:tcW w:w="1044" w:type="pct"/>
            <w:shd w:val="clear" w:color="auto" w:fill="FFFFFF"/>
          </w:tcPr>
          <w:p w14:paraId="1345C50A" w14:textId="270A01F6" w:rsidR="00C24F10" w:rsidRDefault="00C24F10" w:rsidP="00F028C5">
            <w:pPr>
              <w:pStyle w:val="CETBodytext"/>
              <w:ind w:right="-1"/>
              <w:jc w:val="center"/>
              <w:rPr>
                <w:rFonts w:cs="Arial"/>
                <w:szCs w:val="18"/>
                <w:lang w:val="en-GB"/>
              </w:rPr>
            </w:pPr>
            <w:r>
              <w:rPr>
                <w:rFonts w:cs="Arial"/>
                <w:szCs w:val="18"/>
                <w:lang w:val="en-GB"/>
              </w:rPr>
              <w:t xml:space="preserve">Temperature </w:t>
            </w:r>
            <w:r w:rsidR="00F028C5">
              <w:rPr>
                <w:rFonts w:cs="Arial"/>
                <w:szCs w:val="18"/>
                <w:lang w:val="en-GB"/>
              </w:rPr>
              <w:t>T</w:t>
            </w:r>
            <w:r>
              <w:rPr>
                <w:rFonts w:cs="Arial"/>
                <w:szCs w:val="18"/>
                <w:lang w:val="en-GB"/>
              </w:rPr>
              <w:t>ransducer</w:t>
            </w:r>
          </w:p>
        </w:tc>
      </w:tr>
      <w:tr w:rsidR="00C24F10" w:rsidRPr="00B57B36" w14:paraId="49C6F048" w14:textId="77777777" w:rsidTr="00334F60">
        <w:tc>
          <w:tcPr>
            <w:tcW w:w="599" w:type="pct"/>
            <w:shd w:val="clear" w:color="auto" w:fill="FFFFFF"/>
          </w:tcPr>
          <w:p w14:paraId="5E63CAE6" w14:textId="7C174AEF" w:rsidR="00C24F10" w:rsidRDefault="00C24F10" w:rsidP="00F028C5">
            <w:pPr>
              <w:pStyle w:val="CETBodytext"/>
              <w:ind w:right="-1"/>
              <w:jc w:val="center"/>
              <w:rPr>
                <w:rFonts w:cs="Arial"/>
                <w:szCs w:val="18"/>
                <w:lang w:val="en-GB"/>
              </w:rPr>
            </w:pPr>
            <w:r>
              <w:rPr>
                <w:rFonts w:cs="Arial"/>
                <w:szCs w:val="18"/>
                <w:lang w:val="en-GB"/>
              </w:rPr>
              <w:t>TT</w:t>
            </w:r>
          </w:p>
        </w:tc>
        <w:tc>
          <w:tcPr>
            <w:tcW w:w="1114" w:type="pct"/>
            <w:shd w:val="clear" w:color="auto" w:fill="FFFFFF"/>
          </w:tcPr>
          <w:p w14:paraId="356BC9A6" w14:textId="01408094" w:rsidR="00C24F10" w:rsidRDefault="00C24F10" w:rsidP="00F028C5">
            <w:pPr>
              <w:pStyle w:val="CETBodytext"/>
              <w:ind w:right="-1"/>
              <w:jc w:val="center"/>
              <w:rPr>
                <w:rFonts w:cs="Arial"/>
                <w:szCs w:val="18"/>
                <w:lang w:val="en-GB"/>
              </w:rPr>
            </w:pPr>
            <w:r>
              <w:rPr>
                <w:rFonts w:cs="Arial"/>
                <w:szCs w:val="18"/>
                <w:lang w:val="en-GB"/>
              </w:rPr>
              <w:t xml:space="preserve">Temperature </w:t>
            </w:r>
            <w:r w:rsidR="00F028C5">
              <w:rPr>
                <w:rFonts w:cs="Arial"/>
                <w:szCs w:val="18"/>
                <w:lang w:val="en-GB"/>
              </w:rPr>
              <w:t>T</w:t>
            </w:r>
            <w:r>
              <w:rPr>
                <w:rFonts w:cs="Arial"/>
                <w:szCs w:val="18"/>
                <w:lang w:val="en-GB"/>
              </w:rPr>
              <w:t>ransmitter</w:t>
            </w:r>
          </w:p>
        </w:tc>
        <w:tc>
          <w:tcPr>
            <w:tcW w:w="599" w:type="pct"/>
            <w:shd w:val="clear" w:color="auto" w:fill="FFFFFF"/>
          </w:tcPr>
          <w:p w14:paraId="0323C2D2" w14:textId="038416D8" w:rsidR="00C24F10" w:rsidRDefault="00C24F10" w:rsidP="00F028C5">
            <w:pPr>
              <w:pStyle w:val="CETBodytext"/>
              <w:ind w:right="-1"/>
              <w:jc w:val="center"/>
              <w:rPr>
                <w:rFonts w:cs="Arial"/>
                <w:szCs w:val="18"/>
                <w:lang w:val="en-GB"/>
              </w:rPr>
            </w:pPr>
            <w:r>
              <w:rPr>
                <w:rFonts w:cs="Arial"/>
                <w:szCs w:val="18"/>
                <w:lang w:val="en-GB"/>
              </w:rPr>
              <w:t>TAHH</w:t>
            </w:r>
          </w:p>
        </w:tc>
        <w:tc>
          <w:tcPr>
            <w:tcW w:w="1044" w:type="pct"/>
            <w:shd w:val="clear" w:color="auto" w:fill="FFFFFF"/>
          </w:tcPr>
          <w:p w14:paraId="0DF599C8" w14:textId="3B5C51C7" w:rsidR="00C24F10" w:rsidRDefault="00F028C5" w:rsidP="00F028C5">
            <w:pPr>
              <w:pStyle w:val="CETBodytext"/>
              <w:ind w:right="-1"/>
              <w:jc w:val="center"/>
              <w:rPr>
                <w:rFonts w:cs="Arial"/>
                <w:szCs w:val="18"/>
                <w:lang w:val="en-GB"/>
              </w:rPr>
            </w:pPr>
            <w:r>
              <w:rPr>
                <w:rFonts w:cs="Arial"/>
                <w:szCs w:val="18"/>
                <w:lang w:val="en-GB"/>
              </w:rPr>
              <w:t xml:space="preserve">Very </w:t>
            </w:r>
            <w:r w:rsidR="00C24F10">
              <w:rPr>
                <w:rFonts w:cs="Arial"/>
                <w:szCs w:val="18"/>
                <w:lang w:val="en-GB"/>
              </w:rPr>
              <w:t xml:space="preserve">High </w:t>
            </w:r>
            <w:r>
              <w:rPr>
                <w:rFonts w:cs="Arial"/>
                <w:szCs w:val="18"/>
                <w:lang w:val="en-GB"/>
              </w:rPr>
              <w:t>T</w:t>
            </w:r>
            <w:r w:rsidR="00C24F10">
              <w:rPr>
                <w:rFonts w:cs="Arial"/>
                <w:szCs w:val="18"/>
                <w:lang w:val="en-GB"/>
              </w:rPr>
              <w:t xml:space="preserve">emperature </w:t>
            </w:r>
            <w:r>
              <w:rPr>
                <w:rFonts w:cs="Arial"/>
                <w:szCs w:val="18"/>
                <w:lang w:val="en-GB"/>
              </w:rPr>
              <w:t>A</w:t>
            </w:r>
            <w:r w:rsidR="00C24F10">
              <w:rPr>
                <w:rFonts w:cs="Arial"/>
                <w:szCs w:val="18"/>
                <w:lang w:val="en-GB"/>
              </w:rPr>
              <w:t>larm</w:t>
            </w:r>
          </w:p>
        </w:tc>
        <w:tc>
          <w:tcPr>
            <w:tcW w:w="599" w:type="pct"/>
            <w:shd w:val="clear" w:color="auto" w:fill="FFFFFF"/>
          </w:tcPr>
          <w:p w14:paraId="22193692" w14:textId="109A5732" w:rsidR="00C24F10" w:rsidRDefault="00C24F10" w:rsidP="00F028C5">
            <w:pPr>
              <w:pStyle w:val="CETBodytext"/>
              <w:ind w:right="-1"/>
              <w:jc w:val="center"/>
              <w:rPr>
                <w:rFonts w:cs="Arial"/>
                <w:szCs w:val="18"/>
                <w:lang w:val="en-GB"/>
              </w:rPr>
            </w:pPr>
            <w:r>
              <w:rPr>
                <w:rFonts w:cs="Arial"/>
                <w:szCs w:val="18"/>
                <w:lang w:val="en-GB"/>
              </w:rPr>
              <w:t>T</w:t>
            </w:r>
            <w:r>
              <w:rPr>
                <w:rFonts w:cs="Arial"/>
                <w:szCs w:val="18"/>
              </w:rPr>
              <w:t>AH</w:t>
            </w:r>
          </w:p>
        </w:tc>
        <w:tc>
          <w:tcPr>
            <w:tcW w:w="1044" w:type="pct"/>
            <w:shd w:val="clear" w:color="auto" w:fill="FFFFFF"/>
          </w:tcPr>
          <w:p w14:paraId="3C4F5043" w14:textId="1C169F1D" w:rsidR="00C24F10" w:rsidRDefault="00C24F10" w:rsidP="00F028C5">
            <w:pPr>
              <w:pStyle w:val="CETBodytext"/>
              <w:ind w:right="-1"/>
              <w:jc w:val="center"/>
              <w:rPr>
                <w:rFonts w:cs="Arial"/>
                <w:szCs w:val="18"/>
                <w:lang w:val="en-GB"/>
              </w:rPr>
            </w:pPr>
            <w:r>
              <w:rPr>
                <w:rFonts w:cs="Arial"/>
                <w:szCs w:val="18"/>
                <w:lang w:val="en-GB"/>
              </w:rPr>
              <w:t>H</w:t>
            </w:r>
            <w:r>
              <w:rPr>
                <w:rFonts w:cs="Arial"/>
                <w:szCs w:val="18"/>
              </w:rPr>
              <w:t xml:space="preserve">igh </w:t>
            </w:r>
            <w:r w:rsidR="00F028C5">
              <w:rPr>
                <w:rFonts w:cs="Arial"/>
                <w:szCs w:val="18"/>
              </w:rPr>
              <w:t>T</w:t>
            </w:r>
            <w:r>
              <w:rPr>
                <w:rFonts w:cs="Arial"/>
                <w:szCs w:val="18"/>
              </w:rPr>
              <w:t xml:space="preserve">emperature </w:t>
            </w:r>
            <w:r w:rsidR="00F028C5">
              <w:rPr>
                <w:rFonts w:cs="Arial"/>
                <w:szCs w:val="18"/>
              </w:rPr>
              <w:t>A</w:t>
            </w:r>
            <w:r>
              <w:rPr>
                <w:rFonts w:cs="Arial"/>
                <w:szCs w:val="18"/>
              </w:rPr>
              <w:t>larm</w:t>
            </w:r>
          </w:p>
        </w:tc>
      </w:tr>
      <w:tr w:rsidR="00C24F10" w:rsidRPr="00B57B36" w14:paraId="1D65EE04" w14:textId="77777777" w:rsidTr="00334F60">
        <w:tc>
          <w:tcPr>
            <w:tcW w:w="599" w:type="pct"/>
            <w:shd w:val="clear" w:color="auto" w:fill="FFFFFF"/>
          </w:tcPr>
          <w:p w14:paraId="3137B1E6" w14:textId="7430B161" w:rsidR="00C24F10" w:rsidRDefault="00C24F10" w:rsidP="00F028C5">
            <w:pPr>
              <w:pStyle w:val="CETBodytext"/>
              <w:ind w:right="-1"/>
              <w:jc w:val="center"/>
              <w:rPr>
                <w:rFonts w:cs="Arial"/>
                <w:szCs w:val="18"/>
                <w:lang w:val="en-GB"/>
              </w:rPr>
            </w:pPr>
            <w:r>
              <w:rPr>
                <w:rFonts w:cs="Arial"/>
                <w:szCs w:val="18"/>
                <w:lang w:val="en-GB"/>
              </w:rPr>
              <w:t>PAH</w:t>
            </w:r>
          </w:p>
        </w:tc>
        <w:tc>
          <w:tcPr>
            <w:tcW w:w="1114" w:type="pct"/>
            <w:shd w:val="clear" w:color="auto" w:fill="FFFFFF"/>
          </w:tcPr>
          <w:p w14:paraId="40B0885D" w14:textId="7B244AC9" w:rsidR="00C24F10" w:rsidRDefault="00C24F10" w:rsidP="00F028C5">
            <w:pPr>
              <w:pStyle w:val="CETBodytext"/>
              <w:ind w:right="-1"/>
              <w:jc w:val="center"/>
              <w:rPr>
                <w:rFonts w:cs="Arial"/>
                <w:szCs w:val="18"/>
                <w:lang w:val="en-GB"/>
              </w:rPr>
            </w:pPr>
            <w:r>
              <w:rPr>
                <w:rFonts w:cs="Arial"/>
                <w:szCs w:val="18"/>
                <w:lang w:val="en-GB"/>
              </w:rPr>
              <w:t>H</w:t>
            </w:r>
            <w:r>
              <w:rPr>
                <w:rFonts w:cs="Arial"/>
                <w:szCs w:val="18"/>
              </w:rPr>
              <w:t xml:space="preserve">igh </w:t>
            </w:r>
            <w:r w:rsidR="00F028C5">
              <w:rPr>
                <w:rFonts w:cs="Arial"/>
                <w:szCs w:val="18"/>
              </w:rPr>
              <w:t>P</w:t>
            </w:r>
            <w:r>
              <w:rPr>
                <w:rFonts w:cs="Arial"/>
                <w:szCs w:val="18"/>
              </w:rPr>
              <w:t xml:space="preserve">ressure </w:t>
            </w:r>
            <w:r w:rsidR="00F028C5">
              <w:rPr>
                <w:rFonts w:cs="Arial"/>
                <w:szCs w:val="18"/>
              </w:rPr>
              <w:t>A</w:t>
            </w:r>
            <w:r>
              <w:rPr>
                <w:rFonts w:cs="Arial"/>
                <w:szCs w:val="18"/>
              </w:rPr>
              <w:t>larm</w:t>
            </w:r>
          </w:p>
        </w:tc>
        <w:tc>
          <w:tcPr>
            <w:tcW w:w="599" w:type="pct"/>
            <w:shd w:val="clear" w:color="auto" w:fill="FFFFFF"/>
          </w:tcPr>
          <w:p w14:paraId="4F6C4062" w14:textId="39F3A6AD" w:rsidR="00C24F10" w:rsidRDefault="00C24F10" w:rsidP="00F028C5">
            <w:pPr>
              <w:pStyle w:val="CETBodytext"/>
              <w:ind w:right="-1"/>
              <w:jc w:val="center"/>
              <w:rPr>
                <w:rFonts w:cs="Arial"/>
                <w:szCs w:val="18"/>
                <w:lang w:val="en-GB"/>
              </w:rPr>
            </w:pPr>
            <w:r>
              <w:rPr>
                <w:rFonts w:cs="Arial"/>
                <w:szCs w:val="18"/>
                <w:lang w:val="en-GB"/>
              </w:rPr>
              <w:t>TAL</w:t>
            </w:r>
          </w:p>
        </w:tc>
        <w:tc>
          <w:tcPr>
            <w:tcW w:w="1044" w:type="pct"/>
            <w:shd w:val="clear" w:color="auto" w:fill="FFFFFF"/>
          </w:tcPr>
          <w:p w14:paraId="06EEDF53" w14:textId="36ED2F09" w:rsidR="00C24F10" w:rsidRDefault="00C24F10" w:rsidP="00F028C5">
            <w:pPr>
              <w:pStyle w:val="CETBodytext"/>
              <w:ind w:right="-1"/>
              <w:jc w:val="center"/>
              <w:rPr>
                <w:rFonts w:cs="Arial"/>
                <w:szCs w:val="18"/>
                <w:lang w:val="en-GB"/>
              </w:rPr>
            </w:pPr>
            <w:r>
              <w:rPr>
                <w:rFonts w:cs="Arial"/>
                <w:szCs w:val="18"/>
                <w:lang w:val="en-GB"/>
              </w:rPr>
              <w:t>Low</w:t>
            </w:r>
            <w:r>
              <w:rPr>
                <w:rFonts w:cs="Arial"/>
                <w:szCs w:val="18"/>
              </w:rPr>
              <w:t xml:space="preserve"> </w:t>
            </w:r>
            <w:r w:rsidR="00F028C5">
              <w:rPr>
                <w:rFonts w:cs="Arial"/>
                <w:szCs w:val="18"/>
              </w:rPr>
              <w:t>T</w:t>
            </w:r>
            <w:r>
              <w:rPr>
                <w:rFonts w:cs="Arial"/>
                <w:szCs w:val="18"/>
              </w:rPr>
              <w:t xml:space="preserve">emperature </w:t>
            </w:r>
            <w:r w:rsidR="00F028C5">
              <w:rPr>
                <w:rFonts w:cs="Arial"/>
                <w:szCs w:val="18"/>
              </w:rPr>
              <w:t>A</w:t>
            </w:r>
            <w:r>
              <w:rPr>
                <w:rFonts w:cs="Arial"/>
                <w:szCs w:val="18"/>
              </w:rPr>
              <w:t>larm</w:t>
            </w:r>
          </w:p>
        </w:tc>
        <w:tc>
          <w:tcPr>
            <w:tcW w:w="599" w:type="pct"/>
            <w:shd w:val="clear" w:color="auto" w:fill="FFFFFF"/>
          </w:tcPr>
          <w:p w14:paraId="14FA1FF6" w14:textId="15C31A87" w:rsidR="00C24F10" w:rsidRDefault="00C24F10" w:rsidP="00F028C5">
            <w:pPr>
              <w:pStyle w:val="CETBodytext"/>
              <w:ind w:right="-1"/>
              <w:jc w:val="center"/>
              <w:rPr>
                <w:rFonts w:cs="Arial"/>
                <w:szCs w:val="18"/>
                <w:lang w:val="en-GB"/>
              </w:rPr>
            </w:pPr>
            <w:r>
              <w:rPr>
                <w:rFonts w:cs="Arial"/>
                <w:szCs w:val="18"/>
                <w:lang w:val="en-GB"/>
              </w:rPr>
              <w:t>PAL</w:t>
            </w:r>
          </w:p>
        </w:tc>
        <w:tc>
          <w:tcPr>
            <w:tcW w:w="1044" w:type="pct"/>
            <w:shd w:val="clear" w:color="auto" w:fill="FFFFFF"/>
          </w:tcPr>
          <w:p w14:paraId="5AA8EBAB" w14:textId="4369F898" w:rsidR="00C24F10" w:rsidRDefault="00C24F10" w:rsidP="00F028C5">
            <w:pPr>
              <w:pStyle w:val="CETBodytext"/>
              <w:ind w:right="-1"/>
              <w:jc w:val="center"/>
              <w:rPr>
                <w:rFonts w:cs="Arial"/>
                <w:szCs w:val="18"/>
                <w:lang w:val="en-GB"/>
              </w:rPr>
            </w:pPr>
            <w:r>
              <w:rPr>
                <w:rFonts w:cs="Arial"/>
                <w:szCs w:val="18"/>
                <w:lang w:val="en-GB"/>
              </w:rPr>
              <w:t>Low</w:t>
            </w:r>
            <w:r>
              <w:rPr>
                <w:rFonts w:cs="Arial"/>
                <w:szCs w:val="18"/>
              </w:rPr>
              <w:t xml:space="preserve"> </w:t>
            </w:r>
            <w:r w:rsidR="00F028C5">
              <w:rPr>
                <w:rFonts w:cs="Arial"/>
                <w:szCs w:val="18"/>
              </w:rPr>
              <w:t>P</w:t>
            </w:r>
            <w:r>
              <w:rPr>
                <w:rFonts w:cs="Arial"/>
                <w:szCs w:val="18"/>
              </w:rPr>
              <w:t xml:space="preserve">ressure </w:t>
            </w:r>
            <w:r w:rsidR="00F028C5">
              <w:rPr>
                <w:rFonts w:cs="Arial"/>
                <w:szCs w:val="18"/>
              </w:rPr>
              <w:t>A</w:t>
            </w:r>
            <w:r>
              <w:rPr>
                <w:rFonts w:cs="Arial"/>
                <w:szCs w:val="18"/>
              </w:rPr>
              <w:t>larm</w:t>
            </w:r>
          </w:p>
        </w:tc>
      </w:tr>
    </w:tbl>
    <w:p w14:paraId="5CECC051" w14:textId="6F42C508" w:rsidR="004E7914" w:rsidRPr="00B57B36" w:rsidRDefault="001510D0" w:rsidP="004E7914">
      <w:pPr>
        <w:pStyle w:val="CETheadingx"/>
      </w:pPr>
      <w:r>
        <w:t xml:space="preserve">Plant </w:t>
      </w:r>
      <w:r w:rsidR="004E7914">
        <w:t>Nodes</w:t>
      </w:r>
    </w:p>
    <w:p w14:paraId="4C2C3F8F" w14:textId="0B921A7F" w:rsidR="004E7914" w:rsidRDefault="007634A8" w:rsidP="004E7914">
      <w:pPr>
        <w:pStyle w:val="CETBodytext"/>
      </w:pPr>
      <w:r>
        <w:t>5</w:t>
      </w:r>
      <w:r w:rsidR="004E7914">
        <w:t xml:space="preserve"> nodes have been identified</w:t>
      </w:r>
      <w:r w:rsidR="009E6DF6">
        <w:t>. Node 1 is the wellhead for crude oil extraction (not shown). Node 2</w:t>
      </w:r>
      <w:r w:rsidR="004E7914">
        <w:t xml:space="preserve"> includes the line from the skid manifold to the heat exchanger upstream of the high-pressure separator. Flow is only permitted after opening the stop valves SDV-01</w:t>
      </w:r>
      <w:r w:rsidR="00A354DF">
        <w:t>1</w:t>
      </w:r>
      <w:r w:rsidR="004E7914">
        <w:t xml:space="preserve"> (upstream of the heat exchanger) and SDV-101 (in the skid manifold) by applying the operating pressure to their actuator. In case of unwanted events, the aforementioned valves are automatically closed by the ESD system and remain closed up to the system reset.</w:t>
      </w:r>
    </w:p>
    <w:p w14:paraId="4D26EEF9" w14:textId="48BDD100" w:rsidR="004E7914" w:rsidRDefault="004E7914" w:rsidP="004E7914">
      <w:pPr>
        <w:pStyle w:val="CETBodytext"/>
      </w:pPr>
      <w:r>
        <w:t xml:space="preserve">Node </w:t>
      </w:r>
      <w:r w:rsidR="00C24F10">
        <w:t>3</w:t>
      </w:r>
      <w:r>
        <w:t xml:space="preserve"> includes the line which conveys the steam to the shell and tube heat exchanger upstream of the high</w:t>
      </w:r>
      <w:r w:rsidR="009E6DF6">
        <w:t>-</w:t>
      </w:r>
      <w:r>
        <w:t>pressure separator. Flow is only permitted after opening the stop valve SDV-020 by applying operating pressure to the valve actuator. The valve is automatically closed by the ESD system of the plant if unwanted events occur and remains stationary in its position until the causes that led to the plant stop are eliminated.</w:t>
      </w:r>
    </w:p>
    <w:p w14:paraId="5B0B4780" w14:textId="5F83E82F" w:rsidR="004E7914" w:rsidRDefault="004E7914" w:rsidP="004E7914">
      <w:pPr>
        <w:pStyle w:val="CETBodytext"/>
      </w:pPr>
      <w:r>
        <w:t xml:space="preserve">Node </w:t>
      </w:r>
      <w:r w:rsidR="00C24F10">
        <w:t>4</w:t>
      </w:r>
      <w:r>
        <w:t xml:space="preserve"> includes the line which connects the heat exchanger with the </w:t>
      </w:r>
      <w:r w:rsidR="009E6DF6">
        <w:t>high-pressure</w:t>
      </w:r>
      <w:r>
        <w:t xml:space="preserve"> separator downstream of the same.</w:t>
      </w:r>
      <w:r w:rsidR="009E6DF6">
        <w:t xml:space="preserve"> </w:t>
      </w:r>
      <w:r>
        <w:t xml:space="preserve">On the other hand, the temperature of the heat exchanger is monitored by means of a control loop </w:t>
      </w:r>
      <w:r>
        <w:lastRenderedPageBreak/>
        <w:t>consisting of the TT-0</w:t>
      </w:r>
      <w:r w:rsidR="00A354DF">
        <w:t>1</w:t>
      </w:r>
      <w:r>
        <w:t>1 transmitter, the TIC-0</w:t>
      </w:r>
      <w:r w:rsidR="00A354DF">
        <w:t>1</w:t>
      </w:r>
      <w:r>
        <w:t>1 controller indicator and the TY-0</w:t>
      </w:r>
      <w:r w:rsidR="00A354DF">
        <w:t>1</w:t>
      </w:r>
      <w:r>
        <w:t>1 electro-pneumatic converter, which regulates the closing of the TV- 0</w:t>
      </w:r>
      <w:r w:rsidR="00A354DF">
        <w:t>1</w:t>
      </w:r>
      <w:r>
        <w:t xml:space="preserve">1 placed on the steam inlet line if the temperature exceeds the set point of 30 °C. Node </w:t>
      </w:r>
      <w:r w:rsidR="00C24F10">
        <w:t>5</w:t>
      </w:r>
      <w:r>
        <w:t xml:space="preserve"> includes the heat exchanger condensate drain line</w:t>
      </w:r>
      <w:r w:rsidR="00041356">
        <w:t xml:space="preserve"> where</w:t>
      </w:r>
      <w:r>
        <w:t xml:space="preserve"> there is a control ring appointed to monitor the quality of the auxiliary fluid discharged from the equipment thanks to the AX-002 concentration analyzer. Since in the event of breakage of the exchanger pipes, crude oil infiltrations can occur in the condensate, a visual alarm (HL-002) is set at 100 ppm to alert the operators of the failure.</w:t>
      </w:r>
    </w:p>
    <w:p w14:paraId="18BAFA6F" w14:textId="2F58E0D3" w:rsidR="00453E24" w:rsidRPr="00B57B36" w:rsidRDefault="00DA12CF" w:rsidP="00453E24">
      <w:pPr>
        <w:pStyle w:val="CETheadingx"/>
      </w:pPr>
      <w:r>
        <w:t xml:space="preserve">Emergency </w:t>
      </w:r>
      <w:r w:rsidR="00041356">
        <w:t>S</w:t>
      </w:r>
      <w:r>
        <w:t xml:space="preserve">hutdown </w:t>
      </w:r>
      <w:r w:rsidR="00041356">
        <w:t>P</w:t>
      </w:r>
      <w:r>
        <w:t>rocedures</w:t>
      </w:r>
    </w:p>
    <w:p w14:paraId="02FACCFB" w14:textId="120BCC4A" w:rsidR="004E7914" w:rsidRDefault="004E7914" w:rsidP="00453E24">
      <w:pPr>
        <w:pStyle w:val="CETBodytext"/>
        <w:rPr>
          <w:lang w:val="en-GB"/>
        </w:rPr>
      </w:pPr>
      <w:r>
        <w:rPr>
          <w:lang w:val="en-GB"/>
        </w:rPr>
        <w:t xml:space="preserve">The emergency shutdown (ESD) provides a certain </w:t>
      </w:r>
      <w:r w:rsidR="000367BD">
        <w:rPr>
          <w:lang w:val="en-GB"/>
        </w:rPr>
        <w:t>degree</w:t>
      </w:r>
      <w:r>
        <w:rPr>
          <w:lang w:val="en-GB"/>
        </w:rPr>
        <w:t xml:space="preserve"> of protection in case of anomalies.</w:t>
      </w:r>
    </w:p>
    <w:p w14:paraId="6A9662C4" w14:textId="020E96FD" w:rsidR="004E7914" w:rsidRDefault="004E7914" w:rsidP="004E7914">
      <w:pPr>
        <w:pStyle w:val="CETBodytext"/>
      </w:pPr>
      <w:r>
        <w:t>The stop valve SDV-01</w:t>
      </w:r>
      <w:r w:rsidR="00A354DF">
        <w:t>1</w:t>
      </w:r>
      <w:r>
        <w:t xml:space="preserve"> is equipped with the pressurization valve SDV-01</w:t>
      </w:r>
      <w:r w:rsidR="00A354DF">
        <w:t>2</w:t>
      </w:r>
      <w:r>
        <w:t xml:space="preserve"> (opened only during the start-up operations), and with the calibrated orifice FO-01</w:t>
      </w:r>
      <w:r w:rsidR="00A354DF">
        <w:t>2</w:t>
      </w:r>
      <w:r>
        <w:t>. The pressure difference at the stop valve SDV-01</w:t>
      </w:r>
      <w:r w:rsidR="00A354DF">
        <w:t>1</w:t>
      </w:r>
      <w:r>
        <w:t xml:space="preserve"> is monitored by the transmitter PDT-01</w:t>
      </w:r>
      <w:r w:rsidR="00A354DF">
        <w:t>2</w:t>
      </w:r>
      <w:r>
        <w:t xml:space="preserve"> which, via ESD, closes the valve if the critical level of 3 barg is exceeded.</w:t>
      </w:r>
    </w:p>
    <w:p w14:paraId="2657F224" w14:textId="1BB40121" w:rsidR="004E7914" w:rsidRDefault="004E7914" w:rsidP="004E7914">
      <w:pPr>
        <w:pStyle w:val="CETBodytext"/>
      </w:pPr>
      <w:r>
        <w:t xml:space="preserve">The ESD is also triggered </w:t>
      </w:r>
      <w:r w:rsidR="00A354DF">
        <w:t>in case of</w:t>
      </w:r>
      <w:r>
        <w:t xml:space="preserve"> </w:t>
      </w:r>
      <w:r w:rsidR="00A354DF">
        <w:t xml:space="preserve">steam </w:t>
      </w:r>
      <w:r>
        <w:t xml:space="preserve">pressures either below 1 barg or above 8.5 barg. In the first case, </w:t>
      </w:r>
      <w:r w:rsidR="00A354DF">
        <w:t>a</w:t>
      </w:r>
      <w:r>
        <w:t xml:space="preserve"> very </w:t>
      </w:r>
      <w:r w:rsidR="007634A8">
        <w:t>low-pressure</w:t>
      </w:r>
      <w:r>
        <w:t xml:space="preserve"> alarm is activated, along with the closure of valves SDV-01</w:t>
      </w:r>
      <w:r w:rsidR="00A354DF">
        <w:t>1</w:t>
      </w:r>
      <w:r>
        <w:t>, SDV-01</w:t>
      </w:r>
      <w:r w:rsidR="00A354DF">
        <w:t>2</w:t>
      </w:r>
      <w:r>
        <w:t xml:space="preserve">, SDV-020. In case of very high pressures, </w:t>
      </w:r>
      <w:r w:rsidR="00A354DF">
        <w:t xml:space="preserve">a </w:t>
      </w:r>
      <w:r w:rsidR="00C24F10">
        <w:t>high-pressure</w:t>
      </w:r>
      <w:r w:rsidR="00A354DF">
        <w:t xml:space="preserve"> alarm</w:t>
      </w:r>
      <w:r>
        <w:t xml:space="preserve"> is activated, with closure of the valve SDV -020</w:t>
      </w:r>
      <w:r w:rsidR="00A354DF">
        <w:t xml:space="preserve"> </w:t>
      </w:r>
      <w:r>
        <w:t xml:space="preserve">and the automatic opening of </w:t>
      </w:r>
      <w:r w:rsidR="00A354DF">
        <w:t>a</w:t>
      </w:r>
      <w:r>
        <w:t xml:space="preserve"> normally closed purge valve. If the pressure in the line exceeds 10 barg, </w:t>
      </w:r>
      <w:r w:rsidR="00A3193F">
        <w:t>a</w:t>
      </w:r>
      <w:r>
        <w:t xml:space="preserve"> pressure relief valve opens mechanically. Note that the aforementioned stop valves can be </w:t>
      </w:r>
      <w:r w:rsidR="00132C1B">
        <w:t xml:space="preserve">also </w:t>
      </w:r>
      <w:r>
        <w:t>closed in the event of very high pressure of the crude oil leaving the heat exchanger, or for very high oil levels or abnormal pressures in the high-pressure separator.</w:t>
      </w:r>
    </w:p>
    <w:p w14:paraId="437E8E2D" w14:textId="6A2066A7" w:rsidR="004E7914" w:rsidRDefault="004E7914" w:rsidP="004E7914">
      <w:pPr>
        <w:pStyle w:val="CETBodytext"/>
      </w:pPr>
      <w:r>
        <w:t>As mentioned, the ESD intervenes by closing the stop valve SDV-020 in the event of abnormal pressures in node 2, but also in the event of very high pressure or temperature at the outlet of the heat exchanger upstream of the high pressure separator, as well as if there is a very high oil level or anomalous pressures in the latter. If the pressure in the line exceeds 9 barg, the pressure relief valve PSV-0</w:t>
      </w:r>
      <w:r w:rsidR="00A3193F">
        <w:t>1</w:t>
      </w:r>
      <w:r>
        <w:t xml:space="preserve"> opens mechanically.</w:t>
      </w:r>
    </w:p>
    <w:p w14:paraId="3B965AD9" w14:textId="6421D3F0" w:rsidR="004E7914" w:rsidRDefault="004E7914" w:rsidP="004E7914">
      <w:pPr>
        <w:pStyle w:val="CETBodytext"/>
      </w:pPr>
      <w:r>
        <w:t>The ESD is triggered when the TT-01A and TT-01B transmitters both detect temperatures above 45 °C or the PT-01A and PT-01B transmitters both detect pressures above 8.5 barg: in the first case we have the activation of the TAHH-01 alarm and the closure of the SDV-020 stop valve, while in the second one there is the activation of the PAHH-001 alarm and the closure of the SDV-01</w:t>
      </w:r>
      <w:r w:rsidR="00A354DF">
        <w:t>1</w:t>
      </w:r>
      <w:r>
        <w:t>, SDV-01</w:t>
      </w:r>
      <w:r w:rsidR="00A354DF">
        <w:t>2</w:t>
      </w:r>
      <w:r>
        <w:t>,</w:t>
      </w:r>
      <w:r w:rsidR="00A354DF">
        <w:t xml:space="preserve"> and</w:t>
      </w:r>
      <w:r>
        <w:t xml:space="preserve"> </w:t>
      </w:r>
      <w:r w:rsidR="00A354DF">
        <w:t>SDV</w:t>
      </w:r>
      <w:r>
        <w:t>-020.</w:t>
      </w:r>
    </w:p>
    <w:p w14:paraId="677EBFF0" w14:textId="4A1350A0" w:rsidR="00600535" w:rsidRDefault="007B6CE2" w:rsidP="00600535">
      <w:pPr>
        <w:pStyle w:val="CETHeading1"/>
        <w:tabs>
          <w:tab w:val="clear" w:pos="360"/>
          <w:tab w:val="right" w:pos="7100"/>
        </w:tabs>
        <w:jc w:val="both"/>
        <w:rPr>
          <w:lang w:val="en-GB"/>
        </w:rPr>
      </w:pPr>
      <w:r>
        <w:rPr>
          <w:lang w:val="en-GB"/>
        </w:rPr>
        <w:t>Results</w:t>
      </w:r>
    </w:p>
    <w:p w14:paraId="08627B69" w14:textId="0338C109" w:rsidR="00E25FBC" w:rsidRPr="00E25FBC" w:rsidRDefault="00E25FBC" w:rsidP="00E25FBC">
      <w:pPr>
        <w:pStyle w:val="CETBodytext"/>
        <w:rPr>
          <w:lang w:val="en-GB"/>
        </w:rPr>
      </w:pPr>
      <w:r>
        <w:rPr>
          <w:lang w:val="en-GB"/>
        </w:rPr>
        <w:t xml:space="preserve">The </w:t>
      </w:r>
      <w:r w:rsidR="00BD27E0">
        <w:rPr>
          <w:lang w:val="en-GB"/>
        </w:rPr>
        <w:t>variables</w:t>
      </w:r>
      <w:r>
        <w:rPr>
          <w:lang w:val="en-GB"/>
        </w:rPr>
        <w:t xml:space="preserve"> involved in the </w:t>
      </w:r>
      <w:r w:rsidR="00BD27E0">
        <w:rPr>
          <w:lang w:val="en-GB"/>
        </w:rPr>
        <w:t xml:space="preserve">analysis </w:t>
      </w:r>
      <w:r>
        <w:rPr>
          <w:lang w:val="en-GB"/>
        </w:rPr>
        <w:t>are Temperatur</w:t>
      </w:r>
      <w:r w:rsidR="00BD27E0">
        <w:rPr>
          <w:lang w:val="en-GB"/>
        </w:rPr>
        <w:t>e</w:t>
      </w:r>
      <w:r>
        <w:rPr>
          <w:lang w:val="en-GB"/>
        </w:rPr>
        <w:t xml:space="preserve"> (T), Flowrate (F), Pressure (P)</w:t>
      </w:r>
      <w:r w:rsidR="00BD27E0">
        <w:rPr>
          <w:lang w:val="en-GB"/>
        </w:rPr>
        <w:t xml:space="preserve">, </w:t>
      </w:r>
      <w:r w:rsidR="00132C1B">
        <w:rPr>
          <w:lang w:val="en-GB"/>
        </w:rPr>
        <w:t xml:space="preserve">and </w:t>
      </w:r>
      <w:r w:rsidR="00BD27E0">
        <w:rPr>
          <w:lang w:val="en-GB"/>
        </w:rPr>
        <w:t>Level (L).</w:t>
      </w:r>
    </w:p>
    <w:p w14:paraId="04963A06" w14:textId="67ED4FC4" w:rsidR="00600535" w:rsidRPr="00B57B36" w:rsidRDefault="00C9103D" w:rsidP="00FA5F5F">
      <w:pPr>
        <w:pStyle w:val="CETheadingx"/>
      </w:pPr>
      <w:r>
        <w:t>Recursive</w:t>
      </w:r>
      <w:r w:rsidR="007B6CE2">
        <w:t xml:space="preserve"> </w:t>
      </w:r>
      <w:r>
        <w:t>Operability A</w:t>
      </w:r>
      <w:r w:rsidR="007B6CE2">
        <w:t>nalysis</w:t>
      </w:r>
      <w:r>
        <w:t xml:space="preserve"> (ROA)</w:t>
      </w:r>
    </w:p>
    <w:p w14:paraId="0C86E6F0" w14:textId="48BAF9B0" w:rsidR="00600535" w:rsidRDefault="004E7914" w:rsidP="004E7914">
      <w:pPr>
        <w:pStyle w:val="CETListbullets"/>
        <w:ind w:left="0" w:firstLine="0"/>
      </w:pPr>
      <w:r>
        <w:t xml:space="preserve">Table 2 reports the </w:t>
      </w:r>
      <w:r w:rsidR="00132C1B">
        <w:t>ROA</w:t>
      </w:r>
      <w:r>
        <w:t xml:space="preserve"> applied to the heat exchanger</w:t>
      </w:r>
      <w:r w:rsidR="00C9103D">
        <w:t>.</w:t>
      </w:r>
    </w:p>
    <w:p w14:paraId="20B2E7A6" w14:textId="315BAC25" w:rsidR="004E7914" w:rsidRDefault="007320D3" w:rsidP="007320D3">
      <w:pPr>
        <w:pStyle w:val="CETTabletitle"/>
      </w:pPr>
      <w:r w:rsidRPr="00B57B36">
        <w:t xml:space="preserve">Table </w:t>
      </w:r>
      <w:r>
        <w:t>2</w:t>
      </w:r>
      <w:r w:rsidRPr="00B57B36">
        <w:t xml:space="preserve">: </w:t>
      </w:r>
      <w:r w:rsidR="00D135EA">
        <w:t>ROA table</w:t>
      </w:r>
      <w:r>
        <w:t xml:space="preserve"> </w:t>
      </w:r>
      <w:r w:rsidR="00D135EA">
        <w:t>for</w:t>
      </w:r>
      <w:r>
        <w:t xml:space="preserve"> the heat exchanger</w:t>
      </w:r>
      <w:r w:rsidR="00D135EA">
        <w:t>.</w:t>
      </w:r>
    </w:p>
    <w:tbl>
      <w:tblPr>
        <w:tblW w:w="5000" w:type="pct"/>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415"/>
        <w:gridCol w:w="579"/>
        <w:gridCol w:w="1113"/>
        <w:gridCol w:w="1253"/>
        <w:gridCol w:w="1253"/>
        <w:gridCol w:w="975"/>
        <w:gridCol w:w="1114"/>
        <w:gridCol w:w="973"/>
        <w:gridCol w:w="696"/>
        <w:gridCol w:w="416"/>
      </w:tblGrid>
      <w:tr w:rsidR="004E7914" w:rsidRPr="00C67ABB" w14:paraId="4F121F73" w14:textId="77777777" w:rsidTr="00C67ABB">
        <w:trPr>
          <w:jc w:val="center"/>
        </w:trPr>
        <w:tc>
          <w:tcPr>
            <w:tcW w:w="238" w:type="pct"/>
            <w:vMerge w:val="restart"/>
            <w:tcBorders>
              <w:top w:val="single" w:sz="12" w:space="0" w:color="008000"/>
            </w:tcBorders>
            <w:shd w:val="clear" w:color="auto" w:fill="FFFFFF"/>
          </w:tcPr>
          <w:p w14:paraId="1622D71B" w14:textId="77777777" w:rsidR="004E7914" w:rsidRPr="00C67ABB" w:rsidRDefault="004E7914" w:rsidP="009F0B15">
            <w:pPr>
              <w:pStyle w:val="CETBodytext"/>
              <w:jc w:val="center"/>
              <w:rPr>
                <w:b/>
                <w:bCs/>
                <w:sz w:val="16"/>
                <w:szCs w:val="16"/>
              </w:rPr>
            </w:pPr>
            <w:r w:rsidRPr="00C67ABB">
              <w:rPr>
                <w:b/>
                <w:bCs/>
                <w:sz w:val="16"/>
                <w:szCs w:val="16"/>
              </w:rPr>
              <w:t>Rec</w:t>
            </w:r>
          </w:p>
        </w:tc>
        <w:tc>
          <w:tcPr>
            <w:tcW w:w="317" w:type="pct"/>
            <w:vMerge w:val="restart"/>
            <w:tcBorders>
              <w:top w:val="single" w:sz="12" w:space="0" w:color="008000"/>
            </w:tcBorders>
            <w:shd w:val="clear" w:color="auto" w:fill="FFFFFF"/>
          </w:tcPr>
          <w:p w14:paraId="51A2F256" w14:textId="77777777" w:rsidR="004E7914" w:rsidRPr="00C67ABB" w:rsidRDefault="004E7914" w:rsidP="009F0B15">
            <w:pPr>
              <w:pStyle w:val="CETBodytext"/>
              <w:jc w:val="center"/>
              <w:rPr>
                <w:b/>
                <w:bCs/>
                <w:sz w:val="16"/>
                <w:szCs w:val="16"/>
              </w:rPr>
            </w:pPr>
            <w:r w:rsidRPr="00C67ABB">
              <w:rPr>
                <w:b/>
                <w:bCs/>
                <w:sz w:val="16"/>
                <w:szCs w:val="16"/>
              </w:rPr>
              <w:t>NDV</w:t>
            </w:r>
          </w:p>
        </w:tc>
        <w:tc>
          <w:tcPr>
            <w:tcW w:w="635" w:type="pct"/>
            <w:vMerge w:val="restart"/>
            <w:tcBorders>
              <w:top w:val="single" w:sz="12" w:space="0" w:color="008000"/>
            </w:tcBorders>
            <w:shd w:val="clear" w:color="auto" w:fill="FFFFFF"/>
          </w:tcPr>
          <w:p w14:paraId="7337AAAD" w14:textId="77777777" w:rsidR="004E7914" w:rsidRPr="00C67ABB" w:rsidRDefault="004E7914" w:rsidP="009F0B15">
            <w:pPr>
              <w:pStyle w:val="CETBodytext"/>
              <w:jc w:val="center"/>
              <w:rPr>
                <w:b/>
                <w:bCs/>
                <w:sz w:val="16"/>
                <w:szCs w:val="16"/>
              </w:rPr>
            </w:pPr>
            <w:r w:rsidRPr="00C67ABB">
              <w:rPr>
                <w:b/>
                <w:bCs/>
                <w:sz w:val="16"/>
                <w:szCs w:val="16"/>
              </w:rPr>
              <w:t>Causes</w:t>
            </w:r>
          </w:p>
        </w:tc>
        <w:tc>
          <w:tcPr>
            <w:tcW w:w="714" w:type="pct"/>
            <w:vMerge w:val="restart"/>
            <w:tcBorders>
              <w:top w:val="single" w:sz="12" w:space="0" w:color="008000"/>
            </w:tcBorders>
            <w:shd w:val="clear" w:color="auto" w:fill="FFFFFF"/>
          </w:tcPr>
          <w:p w14:paraId="399B9C18" w14:textId="77777777" w:rsidR="004E7914" w:rsidRPr="00C67ABB" w:rsidRDefault="004E7914" w:rsidP="009F0B15">
            <w:pPr>
              <w:pStyle w:val="CETBodytext"/>
              <w:ind w:right="-1"/>
              <w:jc w:val="center"/>
              <w:rPr>
                <w:rFonts w:cs="Arial"/>
                <w:b/>
                <w:bCs/>
                <w:sz w:val="16"/>
                <w:szCs w:val="16"/>
              </w:rPr>
            </w:pPr>
            <w:r w:rsidRPr="00C67ABB">
              <w:rPr>
                <w:b/>
                <w:bCs/>
                <w:sz w:val="16"/>
                <w:szCs w:val="16"/>
              </w:rPr>
              <w:t>Consequences due to protections failure</w:t>
            </w:r>
          </w:p>
        </w:tc>
        <w:tc>
          <w:tcPr>
            <w:tcW w:w="714" w:type="pct"/>
            <w:vMerge w:val="restart"/>
            <w:tcBorders>
              <w:top w:val="single" w:sz="12" w:space="0" w:color="008000"/>
              <w:right w:val="single" w:sz="12" w:space="0" w:color="FFFFFF" w:themeColor="background1"/>
            </w:tcBorders>
            <w:shd w:val="clear" w:color="auto" w:fill="FFFFFF"/>
          </w:tcPr>
          <w:p w14:paraId="21C01844" w14:textId="77777777" w:rsidR="004E7914" w:rsidRPr="00C67ABB" w:rsidRDefault="004E7914" w:rsidP="009F0B15">
            <w:pPr>
              <w:pStyle w:val="CETBodytext"/>
              <w:ind w:right="-1"/>
              <w:jc w:val="center"/>
              <w:rPr>
                <w:rFonts w:cs="Arial"/>
                <w:b/>
                <w:bCs/>
                <w:sz w:val="16"/>
                <w:szCs w:val="16"/>
              </w:rPr>
            </w:pPr>
            <w:r w:rsidRPr="00C67ABB">
              <w:rPr>
                <w:b/>
                <w:bCs/>
                <w:sz w:val="16"/>
                <w:szCs w:val="16"/>
              </w:rPr>
              <w:t>Plant state with protections working correctly</w:t>
            </w:r>
          </w:p>
        </w:tc>
        <w:tc>
          <w:tcPr>
            <w:tcW w:w="1746" w:type="pct"/>
            <w:gridSpan w:val="3"/>
            <w:tcBorders>
              <w:top w:val="single" w:sz="12" w:space="0" w:color="008000"/>
              <w:left w:val="single" w:sz="12" w:space="0" w:color="FFFFFF" w:themeColor="background1"/>
              <w:bottom w:val="single" w:sz="4" w:space="0" w:color="9BBB59"/>
            </w:tcBorders>
            <w:shd w:val="clear" w:color="auto" w:fill="FFFFFF"/>
          </w:tcPr>
          <w:p w14:paraId="616FB07C" w14:textId="77777777" w:rsidR="004E7914" w:rsidRPr="00C67ABB" w:rsidRDefault="004E7914" w:rsidP="009F0B15">
            <w:pPr>
              <w:pStyle w:val="CETBodytext"/>
              <w:ind w:right="-1"/>
              <w:jc w:val="center"/>
              <w:rPr>
                <w:rFonts w:cs="Arial"/>
                <w:b/>
                <w:bCs/>
                <w:sz w:val="16"/>
                <w:szCs w:val="16"/>
              </w:rPr>
            </w:pPr>
            <w:r w:rsidRPr="00C67ABB">
              <w:rPr>
                <w:b/>
                <w:bCs/>
                <w:sz w:val="16"/>
                <w:szCs w:val="16"/>
              </w:rPr>
              <w:t>Protections</w:t>
            </w:r>
          </w:p>
        </w:tc>
        <w:tc>
          <w:tcPr>
            <w:tcW w:w="397" w:type="pct"/>
            <w:tcBorders>
              <w:top w:val="single" w:sz="12" w:space="0" w:color="008000"/>
              <w:bottom w:val="nil"/>
            </w:tcBorders>
            <w:shd w:val="clear" w:color="auto" w:fill="FFFFFF"/>
          </w:tcPr>
          <w:p w14:paraId="14D25F57" w14:textId="77777777" w:rsidR="004E7914" w:rsidRPr="00C67ABB" w:rsidRDefault="004E7914" w:rsidP="009F0B15">
            <w:pPr>
              <w:pStyle w:val="CETBodytext"/>
              <w:ind w:right="-1"/>
              <w:jc w:val="center"/>
              <w:rPr>
                <w:rFonts w:cs="Arial"/>
                <w:b/>
                <w:bCs/>
                <w:sz w:val="16"/>
                <w:szCs w:val="16"/>
              </w:rPr>
            </w:pPr>
            <w:r w:rsidRPr="00C67ABB">
              <w:rPr>
                <w:b/>
                <w:bCs/>
                <w:sz w:val="16"/>
                <w:szCs w:val="16"/>
              </w:rPr>
              <w:t>Notes</w:t>
            </w:r>
          </w:p>
        </w:tc>
        <w:tc>
          <w:tcPr>
            <w:tcW w:w="237" w:type="pct"/>
            <w:tcBorders>
              <w:top w:val="single" w:sz="12" w:space="0" w:color="008000"/>
              <w:bottom w:val="nil"/>
            </w:tcBorders>
            <w:shd w:val="clear" w:color="auto" w:fill="FFFFFF"/>
          </w:tcPr>
          <w:p w14:paraId="65A03B5C" w14:textId="77777777" w:rsidR="004E7914" w:rsidRPr="00C67ABB" w:rsidRDefault="004E7914" w:rsidP="009F0B15">
            <w:pPr>
              <w:pStyle w:val="CETBodytext"/>
              <w:ind w:right="-1"/>
              <w:jc w:val="center"/>
              <w:rPr>
                <w:rFonts w:cs="Arial"/>
                <w:b/>
                <w:bCs/>
                <w:sz w:val="16"/>
                <w:szCs w:val="16"/>
              </w:rPr>
            </w:pPr>
            <w:r w:rsidRPr="00C67ABB">
              <w:rPr>
                <w:b/>
                <w:bCs/>
                <w:sz w:val="16"/>
                <w:szCs w:val="16"/>
              </w:rPr>
              <w:t>TE</w:t>
            </w:r>
          </w:p>
        </w:tc>
      </w:tr>
      <w:tr w:rsidR="004E7914" w:rsidRPr="00C67ABB" w14:paraId="04E8E159" w14:textId="77777777" w:rsidTr="00C67ABB">
        <w:trPr>
          <w:jc w:val="center"/>
        </w:trPr>
        <w:tc>
          <w:tcPr>
            <w:tcW w:w="238" w:type="pct"/>
            <w:vMerge/>
            <w:shd w:val="clear" w:color="auto" w:fill="FFFFFF"/>
          </w:tcPr>
          <w:p w14:paraId="054D4F41" w14:textId="77777777" w:rsidR="004E7914" w:rsidRPr="00C67ABB" w:rsidRDefault="004E7914" w:rsidP="009F0B15">
            <w:pPr>
              <w:pStyle w:val="CETBodytext"/>
              <w:jc w:val="center"/>
              <w:rPr>
                <w:b/>
                <w:bCs/>
                <w:sz w:val="16"/>
                <w:szCs w:val="16"/>
              </w:rPr>
            </w:pPr>
          </w:p>
        </w:tc>
        <w:tc>
          <w:tcPr>
            <w:tcW w:w="317" w:type="pct"/>
            <w:vMerge/>
            <w:shd w:val="clear" w:color="auto" w:fill="FFFFFF"/>
          </w:tcPr>
          <w:p w14:paraId="01E6273D" w14:textId="77777777" w:rsidR="004E7914" w:rsidRPr="00C67ABB" w:rsidRDefault="004E7914" w:rsidP="009F0B15">
            <w:pPr>
              <w:pStyle w:val="CETBodytext"/>
              <w:jc w:val="center"/>
              <w:rPr>
                <w:b/>
                <w:bCs/>
                <w:sz w:val="16"/>
                <w:szCs w:val="16"/>
              </w:rPr>
            </w:pPr>
          </w:p>
        </w:tc>
        <w:tc>
          <w:tcPr>
            <w:tcW w:w="635" w:type="pct"/>
            <w:vMerge/>
            <w:shd w:val="clear" w:color="auto" w:fill="FFFFFF"/>
          </w:tcPr>
          <w:p w14:paraId="757C1298" w14:textId="77777777" w:rsidR="004E7914" w:rsidRPr="00C67ABB" w:rsidRDefault="004E7914" w:rsidP="009F0B15">
            <w:pPr>
              <w:pStyle w:val="CETBodytext"/>
              <w:jc w:val="center"/>
              <w:rPr>
                <w:b/>
                <w:bCs/>
                <w:sz w:val="16"/>
                <w:szCs w:val="16"/>
              </w:rPr>
            </w:pPr>
          </w:p>
        </w:tc>
        <w:tc>
          <w:tcPr>
            <w:tcW w:w="714" w:type="pct"/>
            <w:vMerge/>
            <w:shd w:val="clear" w:color="auto" w:fill="FFFFFF"/>
          </w:tcPr>
          <w:p w14:paraId="33E23D58" w14:textId="77777777" w:rsidR="004E7914" w:rsidRPr="00C67ABB" w:rsidRDefault="004E7914" w:rsidP="009F0B15">
            <w:pPr>
              <w:pStyle w:val="CETBodytext"/>
              <w:ind w:right="-1"/>
              <w:jc w:val="center"/>
              <w:rPr>
                <w:b/>
                <w:bCs/>
                <w:sz w:val="16"/>
                <w:szCs w:val="16"/>
              </w:rPr>
            </w:pPr>
          </w:p>
        </w:tc>
        <w:tc>
          <w:tcPr>
            <w:tcW w:w="714" w:type="pct"/>
            <w:vMerge/>
            <w:tcBorders>
              <w:right w:val="single" w:sz="12" w:space="0" w:color="FFFFFF" w:themeColor="background1"/>
            </w:tcBorders>
            <w:shd w:val="clear" w:color="auto" w:fill="FFFFFF"/>
          </w:tcPr>
          <w:p w14:paraId="09582792" w14:textId="77777777" w:rsidR="004E7914" w:rsidRPr="00C67ABB" w:rsidRDefault="004E7914" w:rsidP="009F0B15">
            <w:pPr>
              <w:pStyle w:val="CETBodytext"/>
              <w:ind w:right="-1"/>
              <w:jc w:val="center"/>
              <w:rPr>
                <w:b/>
                <w:bCs/>
                <w:sz w:val="16"/>
                <w:szCs w:val="16"/>
              </w:rPr>
            </w:pPr>
          </w:p>
        </w:tc>
        <w:tc>
          <w:tcPr>
            <w:tcW w:w="1191" w:type="pct"/>
            <w:gridSpan w:val="2"/>
            <w:tcBorders>
              <w:top w:val="single" w:sz="4" w:space="0" w:color="00B050"/>
              <w:left w:val="single" w:sz="12" w:space="0" w:color="FFFFFF" w:themeColor="background1"/>
              <w:bottom w:val="single" w:sz="4" w:space="0" w:color="9BBB59"/>
            </w:tcBorders>
            <w:shd w:val="clear" w:color="auto" w:fill="FFFFFF"/>
          </w:tcPr>
          <w:p w14:paraId="15F2D446" w14:textId="77777777" w:rsidR="004E7914" w:rsidRPr="00C67ABB" w:rsidRDefault="004E7914" w:rsidP="009F0B15">
            <w:pPr>
              <w:pStyle w:val="CETBodytext"/>
              <w:ind w:right="-1"/>
              <w:jc w:val="center"/>
              <w:rPr>
                <w:b/>
                <w:bCs/>
                <w:sz w:val="16"/>
                <w:szCs w:val="16"/>
              </w:rPr>
            </w:pPr>
            <w:r w:rsidRPr="00C67ABB">
              <w:rPr>
                <w:b/>
                <w:bCs/>
                <w:sz w:val="16"/>
                <w:szCs w:val="16"/>
              </w:rPr>
              <w:t>Manual</w:t>
            </w:r>
          </w:p>
        </w:tc>
        <w:tc>
          <w:tcPr>
            <w:tcW w:w="555" w:type="pct"/>
            <w:vMerge w:val="restart"/>
            <w:tcBorders>
              <w:top w:val="single" w:sz="4" w:space="0" w:color="00B050"/>
            </w:tcBorders>
            <w:shd w:val="clear" w:color="auto" w:fill="FFFFFF"/>
          </w:tcPr>
          <w:p w14:paraId="1FC638CE" w14:textId="77777777" w:rsidR="004E7914" w:rsidRPr="00C67ABB" w:rsidRDefault="004E7914" w:rsidP="009F0B15">
            <w:pPr>
              <w:pStyle w:val="CETBodytext"/>
              <w:ind w:right="-1"/>
              <w:jc w:val="center"/>
              <w:rPr>
                <w:b/>
                <w:bCs/>
                <w:sz w:val="16"/>
                <w:szCs w:val="16"/>
              </w:rPr>
            </w:pPr>
            <w:r w:rsidRPr="00C67ABB">
              <w:rPr>
                <w:b/>
                <w:bCs/>
                <w:sz w:val="16"/>
                <w:szCs w:val="16"/>
              </w:rPr>
              <w:t>Automatic safety systems actions</w:t>
            </w:r>
          </w:p>
        </w:tc>
        <w:tc>
          <w:tcPr>
            <w:tcW w:w="635" w:type="pct"/>
            <w:gridSpan w:val="2"/>
            <w:vMerge w:val="restart"/>
            <w:tcBorders>
              <w:top w:val="nil"/>
              <w:bottom w:val="single" w:sz="4" w:space="0" w:color="auto"/>
            </w:tcBorders>
            <w:shd w:val="clear" w:color="auto" w:fill="FFFFFF"/>
          </w:tcPr>
          <w:p w14:paraId="127DF33B" w14:textId="77777777" w:rsidR="004E7914" w:rsidRPr="00C67ABB" w:rsidRDefault="004E7914" w:rsidP="009F0B15">
            <w:pPr>
              <w:pStyle w:val="CETBodytext"/>
              <w:ind w:right="-1"/>
              <w:jc w:val="center"/>
              <w:rPr>
                <w:b/>
                <w:bCs/>
                <w:sz w:val="16"/>
                <w:szCs w:val="16"/>
              </w:rPr>
            </w:pPr>
          </w:p>
        </w:tc>
      </w:tr>
      <w:tr w:rsidR="004E7914" w:rsidRPr="00C67ABB" w14:paraId="5750671B" w14:textId="77777777" w:rsidTr="00C67ABB">
        <w:trPr>
          <w:jc w:val="center"/>
        </w:trPr>
        <w:tc>
          <w:tcPr>
            <w:tcW w:w="238" w:type="pct"/>
            <w:vMerge/>
            <w:tcBorders>
              <w:bottom w:val="single" w:sz="4" w:space="0" w:color="008000"/>
            </w:tcBorders>
            <w:shd w:val="clear" w:color="auto" w:fill="FFFFFF"/>
          </w:tcPr>
          <w:p w14:paraId="7519CEAC" w14:textId="77777777" w:rsidR="004E7914" w:rsidRPr="00C67ABB" w:rsidRDefault="004E7914" w:rsidP="009F0B15">
            <w:pPr>
              <w:pStyle w:val="CETBodytext"/>
              <w:jc w:val="center"/>
              <w:rPr>
                <w:sz w:val="16"/>
                <w:szCs w:val="16"/>
              </w:rPr>
            </w:pPr>
          </w:p>
        </w:tc>
        <w:tc>
          <w:tcPr>
            <w:tcW w:w="317" w:type="pct"/>
            <w:vMerge/>
            <w:tcBorders>
              <w:bottom w:val="single" w:sz="4" w:space="0" w:color="008000"/>
            </w:tcBorders>
            <w:shd w:val="clear" w:color="auto" w:fill="FFFFFF"/>
          </w:tcPr>
          <w:p w14:paraId="7A1A974A" w14:textId="77777777" w:rsidR="004E7914" w:rsidRPr="00C67ABB" w:rsidRDefault="004E7914" w:rsidP="009F0B15">
            <w:pPr>
              <w:pStyle w:val="CETBodytext"/>
              <w:jc w:val="center"/>
              <w:rPr>
                <w:sz w:val="16"/>
                <w:szCs w:val="16"/>
              </w:rPr>
            </w:pPr>
          </w:p>
        </w:tc>
        <w:tc>
          <w:tcPr>
            <w:tcW w:w="635" w:type="pct"/>
            <w:vMerge/>
            <w:tcBorders>
              <w:bottom w:val="single" w:sz="4" w:space="0" w:color="008000"/>
            </w:tcBorders>
            <w:shd w:val="clear" w:color="auto" w:fill="FFFFFF"/>
          </w:tcPr>
          <w:p w14:paraId="692AE6FE" w14:textId="77777777" w:rsidR="004E7914" w:rsidRPr="00C67ABB" w:rsidRDefault="004E7914" w:rsidP="009F0B15">
            <w:pPr>
              <w:pStyle w:val="CETBodytext"/>
              <w:jc w:val="center"/>
              <w:rPr>
                <w:sz w:val="16"/>
                <w:szCs w:val="16"/>
              </w:rPr>
            </w:pPr>
          </w:p>
        </w:tc>
        <w:tc>
          <w:tcPr>
            <w:tcW w:w="714" w:type="pct"/>
            <w:vMerge/>
            <w:tcBorders>
              <w:bottom w:val="single" w:sz="4" w:space="0" w:color="008000"/>
            </w:tcBorders>
            <w:shd w:val="clear" w:color="auto" w:fill="FFFFFF"/>
          </w:tcPr>
          <w:p w14:paraId="2DEC9AE1" w14:textId="77777777" w:rsidR="004E7914" w:rsidRPr="00C67ABB" w:rsidRDefault="004E7914" w:rsidP="009F0B15">
            <w:pPr>
              <w:pStyle w:val="CETBodytext"/>
              <w:ind w:right="-1"/>
              <w:jc w:val="center"/>
              <w:rPr>
                <w:sz w:val="16"/>
                <w:szCs w:val="16"/>
              </w:rPr>
            </w:pPr>
          </w:p>
        </w:tc>
        <w:tc>
          <w:tcPr>
            <w:tcW w:w="714" w:type="pct"/>
            <w:vMerge/>
            <w:tcBorders>
              <w:bottom w:val="single" w:sz="4" w:space="0" w:color="008000"/>
              <w:right w:val="single" w:sz="12" w:space="0" w:color="FFFFFF" w:themeColor="background1"/>
            </w:tcBorders>
            <w:shd w:val="clear" w:color="auto" w:fill="FFFFFF"/>
          </w:tcPr>
          <w:p w14:paraId="68FE8633" w14:textId="77777777" w:rsidR="004E7914" w:rsidRPr="00C67ABB" w:rsidRDefault="004E7914" w:rsidP="009F0B15">
            <w:pPr>
              <w:pStyle w:val="CETBodytext"/>
              <w:ind w:right="-1"/>
              <w:jc w:val="center"/>
              <w:rPr>
                <w:sz w:val="16"/>
                <w:szCs w:val="16"/>
              </w:rPr>
            </w:pPr>
          </w:p>
        </w:tc>
        <w:tc>
          <w:tcPr>
            <w:tcW w:w="556" w:type="pct"/>
            <w:tcBorders>
              <w:top w:val="single" w:sz="4" w:space="0" w:color="00B050"/>
              <w:left w:val="single" w:sz="12" w:space="0" w:color="FFFFFF" w:themeColor="background1"/>
              <w:bottom w:val="single" w:sz="4" w:space="0" w:color="008000"/>
            </w:tcBorders>
            <w:shd w:val="clear" w:color="auto" w:fill="FFFFFF"/>
          </w:tcPr>
          <w:p w14:paraId="076F31EA" w14:textId="77777777" w:rsidR="004E7914" w:rsidRPr="00C67ABB" w:rsidRDefault="004E7914" w:rsidP="009F0B15">
            <w:pPr>
              <w:pStyle w:val="CETBodytext"/>
              <w:ind w:right="-1"/>
              <w:jc w:val="center"/>
              <w:rPr>
                <w:sz w:val="16"/>
                <w:szCs w:val="16"/>
              </w:rPr>
            </w:pPr>
            <w:r w:rsidRPr="00C67ABB">
              <w:rPr>
                <w:sz w:val="16"/>
                <w:szCs w:val="16"/>
              </w:rPr>
              <w:t>Alarm (optical/</w:t>
            </w:r>
          </w:p>
          <w:p w14:paraId="4FDA9A40" w14:textId="77777777" w:rsidR="004E7914" w:rsidRPr="00C67ABB" w:rsidRDefault="004E7914" w:rsidP="009F0B15">
            <w:pPr>
              <w:pStyle w:val="CETBodytext"/>
              <w:ind w:right="-1"/>
              <w:jc w:val="center"/>
              <w:rPr>
                <w:sz w:val="16"/>
                <w:szCs w:val="16"/>
              </w:rPr>
            </w:pPr>
            <w:r w:rsidRPr="00C67ABB">
              <w:rPr>
                <w:sz w:val="16"/>
                <w:szCs w:val="16"/>
              </w:rPr>
              <w:t>acoustic)</w:t>
            </w:r>
          </w:p>
        </w:tc>
        <w:tc>
          <w:tcPr>
            <w:tcW w:w="635" w:type="pct"/>
            <w:tcBorders>
              <w:top w:val="single" w:sz="4" w:space="0" w:color="00B050"/>
              <w:bottom w:val="single" w:sz="4" w:space="0" w:color="008000"/>
            </w:tcBorders>
            <w:shd w:val="clear" w:color="auto" w:fill="FFFFFF"/>
          </w:tcPr>
          <w:p w14:paraId="105C6497" w14:textId="77777777" w:rsidR="004E7914" w:rsidRPr="00C67ABB" w:rsidRDefault="004E7914" w:rsidP="009F0B15">
            <w:pPr>
              <w:pStyle w:val="CETBodytext"/>
              <w:ind w:right="-1"/>
              <w:jc w:val="center"/>
              <w:rPr>
                <w:sz w:val="16"/>
                <w:szCs w:val="16"/>
              </w:rPr>
            </w:pPr>
            <w:r w:rsidRPr="00C67ABB">
              <w:rPr>
                <w:sz w:val="16"/>
                <w:szCs w:val="16"/>
              </w:rPr>
              <w:t>Operator actions on components</w:t>
            </w:r>
          </w:p>
        </w:tc>
        <w:tc>
          <w:tcPr>
            <w:tcW w:w="555" w:type="pct"/>
            <w:vMerge/>
            <w:tcBorders>
              <w:bottom w:val="single" w:sz="4" w:space="0" w:color="008000"/>
            </w:tcBorders>
            <w:shd w:val="clear" w:color="auto" w:fill="FFFFFF"/>
          </w:tcPr>
          <w:p w14:paraId="438BB871" w14:textId="77777777" w:rsidR="004E7914" w:rsidRPr="00C67ABB" w:rsidRDefault="004E7914" w:rsidP="009F0B15">
            <w:pPr>
              <w:pStyle w:val="CETBodytext"/>
              <w:ind w:right="-1"/>
              <w:jc w:val="center"/>
              <w:rPr>
                <w:sz w:val="16"/>
                <w:szCs w:val="16"/>
              </w:rPr>
            </w:pPr>
          </w:p>
        </w:tc>
        <w:tc>
          <w:tcPr>
            <w:tcW w:w="635" w:type="pct"/>
            <w:gridSpan w:val="2"/>
            <w:vMerge/>
            <w:tcBorders>
              <w:top w:val="nil"/>
              <w:bottom w:val="single" w:sz="4" w:space="0" w:color="008000"/>
            </w:tcBorders>
            <w:shd w:val="clear" w:color="auto" w:fill="FFFFFF"/>
          </w:tcPr>
          <w:p w14:paraId="622F9ABE" w14:textId="77777777" w:rsidR="004E7914" w:rsidRPr="00C67ABB" w:rsidRDefault="004E7914" w:rsidP="009F0B15">
            <w:pPr>
              <w:pStyle w:val="CETBodytext"/>
              <w:ind w:right="-1"/>
              <w:jc w:val="center"/>
              <w:rPr>
                <w:sz w:val="16"/>
                <w:szCs w:val="16"/>
              </w:rPr>
            </w:pPr>
          </w:p>
        </w:tc>
      </w:tr>
      <w:tr w:rsidR="004E7914" w:rsidRPr="00C67ABB" w14:paraId="2011C17B" w14:textId="77777777" w:rsidTr="00C67ABB">
        <w:trPr>
          <w:jc w:val="center"/>
        </w:trPr>
        <w:tc>
          <w:tcPr>
            <w:tcW w:w="238" w:type="pct"/>
            <w:tcBorders>
              <w:top w:val="single" w:sz="4" w:space="0" w:color="008000"/>
              <w:bottom w:val="single" w:sz="4" w:space="0" w:color="008000"/>
            </w:tcBorders>
            <w:shd w:val="clear" w:color="auto" w:fill="FFFFFF"/>
            <w:vAlign w:val="center"/>
          </w:tcPr>
          <w:p w14:paraId="429048DB" w14:textId="11FCB9D9" w:rsidR="004E7914" w:rsidRPr="00C67ABB" w:rsidRDefault="004E7914" w:rsidP="00A7316B">
            <w:pPr>
              <w:pStyle w:val="Nessunaspaziatura"/>
              <w:jc w:val="center"/>
              <w:rPr>
                <w:rFonts w:cs="Arial"/>
                <w:sz w:val="16"/>
                <w:szCs w:val="16"/>
                <w:lang w:val="it-IT"/>
              </w:rPr>
            </w:pPr>
            <w:r w:rsidRPr="00C67ABB">
              <w:rPr>
                <w:sz w:val="16"/>
                <w:szCs w:val="16"/>
              </w:rPr>
              <w:t>1</w:t>
            </w:r>
          </w:p>
        </w:tc>
        <w:tc>
          <w:tcPr>
            <w:tcW w:w="317" w:type="pct"/>
            <w:tcBorders>
              <w:top w:val="single" w:sz="4" w:space="0" w:color="008000"/>
              <w:bottom w:val="single" w:sz="4" w:space="0" w:color="008000"/>
            </w:tcBorders>
            <w:shd w:val="clear" w:color="auto" w:fill="FFFFFF"/>
            <w:vAlign w:val="center"/>
          </w:tcPr>
          <w:p w14:paraId="3447CF6D" w14:textId="560E596A" w:rsidR="004E7914" w:rsidRPr="00C67ABB" w:rsidRDefault="004E7914" w:rsidP="00A7316B">
            <w:pPr>
              <w:pStyle w:val="Nessunaspaziatura"/>
              <w:jc w:val="center"/>
              <w:rPr>
                <w:rFonts w:cs="Arial"/>
                <w:sz w:val="16"/>
                <w:szCs w:val="16"/>
                <w:lang w:val="it-IT"/>
              </w:rPr>
            </w:pPr>
            <w:r w:rsidRPr="00C67ABB">
              <w:rPr>
                <w:sz w:val="16"/>
                <w:szCs w:val="16"/>
              </w:rPr>
              <w:t>2</w:t>
            </w:r>
            <w:r w:rsidR="008C27E4">
              <w:rPr>
                <w:sz w:val="16"/>
                <w:szCs w:val="16"/>
              </w:rPr>
              <w:t>.</w:t>
            </w:r>
            <w:r w:rsidRPr="00C67ABB">
              <w:rPr>
                <w:sz w:val="16"/>
                <w:szCs w:val="16"/>
              </w:rPr>
              <w:t>h</w:t>
            </w:r>
            <w:r w:rsidR="008C27E4">
              <w:rPr>
                <w:sz w:val="16"/>
                <w:szCs w:val="16"/>
              </w:rPr>
              <w:t>.</w:t>
            </w:r>
            <w:r w:rsidRPr="00C67ABB">
              <w:rPr>
                <w:sz w:val="16"/>
                <w:szCs w:val="16"/>
              </w:rPr>
              <w:t>F</w:t>
            </w:r>
          </w:p>
        </w:tc>
        <w:tc>
          <w:tcPr>
            <w:tcW w:w="635" w:type="pct"/>
            <w:tcBorders>
              <w:top w:val="single" w:sz="4" w:space="0" w:color="008000"/>
              <w:bottom w:val="single" w:sz="4" w:space="0" w:color="008000"/>
            </w:tcBorders>
            <w:shd w:val="clear" w:color="auto" w:fill="FFFFFF"/>
            <w:vAlign w:val="center"/>
          </w:tcPr>
          <w:p w14:paraId="1B41B865" w14:textId="720003B5" w:rsidR="004E7914" w:rsidRPr="00C67ABB" w:rsidRDefault="00AC37F8" w:rsidP="00A7316B">
            <w:pPr>
              <w:pStyle w:val="Nessunaspaziatura"/>
              <w:jc w:val="center"/>
              <w:rPr>
                <w:rFonts w:cs="Arial"/>
                <w:sz w:val="16"/>
                <w:szCs w:val="16"/>
                <w:lang w:val="it-IT"/>
              </w:rPr>
            </w:pPr>
            <w:r w:rsidRPr="00C67ABB">
              <w:rPr>
                <w:sz w:val="16"/>
                <w:szCs w:val="16"/>
              </w:rPr>
              <w:t>Pumps fault</w:t>
            </w:r>
          </w:p>
        </w:tc>
        <w:tc>
          <w:tcPr>
            <w:tcW w:w="714" w:type="pct"/>
            <w:tcBorders>
              <w:top w:val="single" w:sz="4" w:space="0" w:color="008000"/>
              <w:bottom w:val="single" w:sz="4" w:space="0" w:color="008000"/>
            </w:tcBorders>
            <w:shd w:val="clear" w:color="auto" w:fill="FFFFFF"/>
            <w:vAlign w:val="center"/>
          </w:tcPr>
          <w:p w14:paraId="434BC505" w14:textId="7BF26448" w:rsidR="004E7914" w:rsidRPr="00C67ABB" w:rsidRDefault="004E7914" w:rsidP="00A7316B">
            <w:pPr>
              <w:pStyle w:val="Nessunaspaziatura"/>
              <w:jc w:val="center"/>
              <w:rPr>
                <w:rFonts w:cs="Arial"/>
                <w:sz w:val="16"/>
                <w:szCs w:val="16"/>
                <w:lang w:val="it-IT"/>
              </w:rPr>
            </w:pPr>
            <w:r w:rsidRPr="00C67ABB">
              <w:rPr>
                <w:sz w:val="16"/>
                <w:szCs w:val="16"/>
              </w:rPr>
              <w:t>(</w:t>
            </w:r>
            <w:r w:rsidR="00C24F10">
              <w:rPr>
                <w:sz w:val="16"/>
                <w:szCs w:val="16"/>
              </w:rPr>
              <w:t>5</w:t>
            </w:r>
            <w:r w:rsidR="008C27E4">
              <w:rPr>
                <w:sz w:val="16"/>
                <w:szCs w:val="16"/>
              </w:rPr>
              <w:t>.</w:t>
            </w:r>
            <w:r w:rsidRPr="00C67ABB">
              <w:rPr>
                <w:sz w:val="16"/>
                <w:szCs w:val="16"/>
              </w:rPr>
              <w:t>l</w:t>
            </w:r>
            <w:r w:rsidR="008C27E4">
              <w:rPr>
                <w:sz w:val="16"/>
                <w:szCs w:val="16"/>
              </w:rPr>
              <w:t>.</w:t>
            </w:r>
            <w:r w:rsidRPr="00C67ABB">
              <w:rPr>
                <w:sz w:val="16"/>
                <w:szCs w:val="16"/>
              </w:rPr>
              <w:t>F)</w:t>
            </w:r>
            <w:r w:rsidRPr="00C67ABB">
              <w:rPr>
                <w:sz w:val="16"/>
                <w:szCs w:val="16"/>
              </w:rPr>
              <w:br/>
            </w:r>
            <w:r w:rsidR="00C24F10">
              <w:rPr>
                <w:sz w:val="16"/>
                <w:szCs w:val="16"/>
              </w:rPr>
              <w:t>4</w:t>
            </w:r>
            <w:r w:rsidR="008C27E4">
              <w:rPr>
                <w:sz w:val="16"/>
                <w:szCs w:val="16"/>
              </w:rPr>
              <w:t>.</w:t>
            </w:r>
            <w:r w:rsidRPr="00C67ABB">
              <w:rPr>
                <w:sz w:val="16"/>
                <w:szCs w:val="16"/>
              </w:rPr>
              <w:t>h</w:t>
            </w:r>
            <w:r w:rsidR="008C27E4">
              <w:rPr>
                <w:sz w:val="16"/>
                <w:szCs w:val="16"/>
              </w:rPr>
              <w:t>.</w:t>
            </w:r>
            <w:r w:rsidRPr="00C67ABB">
              <w:rPr>
                <w:sz w:val="16"/>
                <w:szCs w:val="16"/>
              </w:rPr>
              <w:t>F</w:t>
            </w:r>
          </w:p>
        </w:tc>
        <w:tc>
          <w:tcPr>
            <w:tcW w:w="714" w:type="pct"/>
            <w:tcBorders>
              <w:top w:val="single" w:sz="4" w:space="0" w:color="008000"/>
              <w:bottom w:val="single" w:sz="4" w:space="0" w:color="008000"/>
            </w:tcBorders>
            <w:shd w:val="clear" w:color="auto" w:fill="FFFFFF"/>
            <w:vAlign w:val="center"/>
          </w:tcPr>
          <w:p w14:paraId="4CD231D9" w14:textId="695201AC" w:rsidR="004E7914" w:rsidRPr="00C67ABB" w:rsidRDefault="004E7914" w:rsidP="00A7316B">
            <w:pPr>
              <w:pStyle w:val="Nessunaspaziatura"/>
              <w:jc w:val="center"/>
              <w:rPr>
                <w:rFonts w:cs="Arial"/>
                <w:sz w:val="16"/>
                <w:szCs w:val="16"/>
                <w:lang w:val="it-IT"/>
              </w:rPr>
            </w:pPr>
            <w:r w:rsidRPr="00C67ABB">
              <w:rPr>
                <w:sz w:val="16"/>
                <w:szCs w:val="16"/>
              </w:rPr>
              <w:t>(</w:t>
            </w:r>
            <w:r w:rsidR="00C24F10">
              <w:rPr>
                <w:sz w:val="16"/>
                <w:szCs w:val="16"/>
              </w:rPr>
              <w:t>5</w:t>
            </w:r>
            <w:r w:rsidR="008C27E4">
              <w:rPr>
                <w:sz w:val="16"/>
                <w:szCs w:val="16"/>
              </w:rPr>
              <w:t>.</w:t>
            </w:r>
            <w:r w:rsidRPr="00C67ABB">
              <w:rPr>
                <w:sz w:val="16"/>
                <w:szCs w:val="16"/>
              </w:rPr>
              <w:t>l</w:t>
            </w:r>
            <w:r w:rsidR="008C27E4">
              <w:rPr>
                <w:sz w:val="16"/>
                <w:szCs w:val="16"/>
              </w:rPr>
              <w:t>.</w:t>
            </w:r>
            <w:r w:rsidRPr="00C67ABB">
              <w:rPr>
                <w:sz w:val="16"/>
                <w:szCs w:val="16"/>
              </w:rPr>
              <w:t>F)</w:t>
            </w:r>
            <w:r w:rsidRPr="00C67ABB">
              <w:rPr>
                <w:sz w:val="16"/>
                <w:szCs w:val="16"/>
              </w:rPr>
              <w:br/>
            </w:r>
            <w:r w:rsidR="00C24F10">
              <w:rPr>
                <w:sz w:val="16"/>
                <w:szCs w:val="16"/>
              </w:rPr>
              <w:t>4</w:t>
            </w:r>
            <w:r w:rsidR="008C27E4">
              <w:rPr>
                <w:sz w:val="16"/>
                <w:szCs w:val="16"/>
              </w:rPr>
              <w:t>.</w:t>
            </w:r>
            <w:r w:rsidRPr="00C67ABB">
              <w:rPr>
                <w:sz w:val="16"/>
                <w:szCs w:val="16"/>
              </w:rPr>
              <w:t>h</w:t>
            </w:r>
            <w:r w:rsidR="008C27E4">
              <w:rPr>
                <w:sz w:val="16"/>
                <w:szCs w:val="16"/>
              </w:rPr>
              <w:t>.</w:t>
            </w:r>
            <w:r w:rsidRPr="00C67ABB">
              <w:rPr>
                <w:sz w:val="16"/>
                <w:szCs w:val="16"/>
              </w:rPr>
              <w:t>F</w:t>
            </w:r>
          </w:p>
        </w:tc>
        <w:tc>
          <w:tcPr>
            <w:tcW w:w="556" w:type="pct"/>
            <w:tcBorders>
              <w:top w:val="single" w:sz="4" w:space="0" w:color="008000"/>
              <w:bottom w:val="single" w:sz="4" w:space="0" w:color="008000"/>
            </w:tcBorders>
            <w:shd w:val="clear" w:color="auto" w:fill="FFFFFF"/>
            <w:vAlign w:val="center"/>
          </w:tcPr>
          <w:p w14:paraId="36CF344A" w14:textId="3676A402" w:rsidR="004E7914" w:rsidRPr="00C67ABB" w:rsidRDefault="004E7914" w:rsidP="00A7316B">
            <w:pPr>
              <w:pStyle w:val="Nessunaspaziatura"/>
              <w:jc w:val="center"/>
              <w:rPr>
                <w:rFonts w:cs="Arial"/>
                <w:sz w:val="16"/>
                <w:szCs w:val="16"/>
                <w:lang w:val="it-IT"/>
              </w:rPr>
            </w:pPr>
            <w:r w:rsidRPr="00C67ABB">
              <w:rPr>
                <w:sz w:val="16"/>
                <w:szCs w:val="16"/>
              </w:rPr>
              <w:t>-</w:t>
            </w:r>
          </w:p>
        </w:tc>
        <w:tc>
          <w:tcPr>
            <w:tcW w:w="635" w:type="pct"/>
            <w:tcBorders>
              <w:top w:val="single" w:sz="4" w:space="0" w:color="008000"/>
              <w:bottom w:val="single" w:sz="4" w:space="0" w:color="008000"/>
              <w:right w:val="single" w:sz="12" w:space="0" w:color="FFFFFF" w:themeColor="background1"/>
            </w:tcBorders>
            <w:shd w:val="clear" w:color="auto" w:fill="FFFFFF"/>
            <w:vAlign w:val="center"/>
          </w:tcPr>
          <w:p w14:paraId="4615C849" w14:textId="007EB5A0" w:rsidR="004E7914" w:rsidRPr="00C67ABB" w:rsidRDefault="004E7914" w:rsidP="00A7316B">
            <w:pPr>
              <w:pStyle w:val="Nessunaspaziatura"/>
              <w:jc w:val="center"/>
              <w:rPr>
                <w:rFonts w:cs="Arial"/>
                <w:sz w:val="16"/>
                <w:szCs w:val="16"/>
                <w:lang w:val="it-IT"/>
              </w:rPr>
            </w:pPr>
            <w:r w:rsidRPr="00C67ABB">
              <w:rPr>
                <w:sz w:val="16"/>
                <w:szCs w:val="16"/>
              </w:rPr>
              <w:t>-</w:t>
            </w:r>
          </w:p>
        </w:tc>
        <w:tc>
          <w:tcPr>
            <w:tcW w:w="555" w:type="pct"/>
            <w:tcBorders>
              <w:top w:val="single" w:sz="4" w:space="0" w:color="008000"/>
              <w:left w:val="single" w:sz="12" w:space="0" w:color="FFFFFF" w:themeColor="background1"/>
              <w:bottom w:val="single" w:sz="4" w:space="0" w:color="008000"/>
            </w:tcBorders>
            <w:shd w:val="clear" w:color="auto" w:fill="FFFFFF"/>
            <w:vAlign w:val="center"/>
          </w:tcPr>
          <w:p w14:paraId="4CB16459" w14:textId="180A66E3" w:rsidR="004E7914" w:rsidRPr="00C67ABB" w:rsidRDefault="004E7914" w:rsidP="00A7316B">
            <w:pPr>
              <w:pStyle w:val="Nessunaspaziatura"/>
              <w:jc w:val="center"/>
              <w:rPr>
                <w:rFonts w:cs="Arial"/>
                <w:sz w:val="16"/>
                <w:szCs w:val="16"/>
                <w:lang w:val="it-IT"/>
              </w:rPr>
            </w:pPr>
            <w:r w:rsidRPr="00C67ABB">
              <w:rPr>
                <w:sz w:val="16"/>
                <w:szCs w:val="16"/>
              </w:rPr>
              <w:t>-</w:t>
            </w:r>
          </w:p>
        </w:tc>
        <w:tc>
          <w:tcPr>
            <w:tcW w:w="397" w:type="pct"/>
            <w:tcBorders>
              <w:top w:val="single" w:sz="4" w:space="0" w:color="008000"/>
              <w:bottom w:val="single" w:sz="4" w:space="0" w:color="008000"/>
            </w:tcBorders>
            <w:shd w:val="clear" w:color="auto" w:fill="FFFFFF"/>
            <w:vAlign w:val="center"/>
          </w:tcPr>
          <w:p w14:paraId="4C637D47" w14:textId="08F51532" w:rsidR="004E7914" w:rsidRPr="00C67ABB" w:rsidRDefault="00C67ABB" w:rsidP="00A7316B">
            <w:pPr>
              <w:pStyle w:val="Nessunaspaziatura"/>
              <w:jc w:val="center"/>
              <w:rPr>
                <w:rFonts w:cs="Arial"/>
                <w:sz w:val="16"/>
                <w:szCs w:val="16"/>
                <w:lang w:val="it-IT"/>
              </w:rPr>
            </w:pPr>
            <w:r w:rsidRPr="00C67ABB">
              <w:rPr>
                <w:rFonts w:cs="Arial"/>
                <w:sz w:val="16"/>
                <w:szCs w:val="16"/>
                <w:lang w:val="it-IT"/>
              </w:rPr>
              <w:t>-</w:t>
            </w:r>
          </w:p>
        </w:tc>
        <w:tc>
          <w:tcPr>
            <w:tcW w:w="237" w:type="pct"/>
            <w:tcBorders>
              <w:top w:val="single" w:sz="4" w:space="0" w:color="008000"/>
              <w:bottom w:val="single" w:sz="4" w:space="0" w:color="008000"/>
            </w:tcBorders>
            <w:shd w:val="clear" w:color="auto" w:fill="FFFFFF"/>
            <w:vAlign w:val="center"/>
          </w:tcPr>
          <w:p w14:paraId="1FC9E98E" w14:textId="3D3AE4D9" w:rsidR="004E7914" w:rsidRPr="00C67ABB" w:rsidRDefault="00C67ABB" w:rsidP="00A7316B">
            <w:pPr>
              <w:pStyle w:val="Nessunaspaziatura"/>
              <w:jc w:val="center"/>
              <w:rPr>
                <w:rFonts w:cs="Arial"/>
                <w:sz w:val="16"/>
                <w:szCs w:val="16"/>
                <w:lang w:val="it-IT"/>
              </w:rPr>
            </w:pPr>
            <w:r w:rsidRPr="00C67ABB">
              <w:rPr>
                <w:rFonts w:cs="Arial"/>
                <w:sz w:val="16"/>
                <w:szCs w:val="16"/>
                <w:lang w:val="it-IT"/>
              </w:rPr>
              <w:t>-</w:t>
            </w:r>
          </w:p>
        </w:tc>
      </w:tr>
      <w:tr w:rsidR="004E7914" w:rsidRPr="00C67ABB" w14:paraId="45974C43" w14:textId="77777777" w:rsidTr="00A7316B">
        <w:trPr>
          <w:trHeight w:val="854"/>
          <w:jc w:val="center"/>
        </w:trPr>
        <w:tc>
          <w:tcPr>
            <w:tcW w:w="238" w:type="pct"/>
            <w:tcBorders>
              <w:top w:val="single" w:sz="4" w:space="0" w:color="008000"/>
              <w:bottom w:val="single" w:sz="4" w:space="0" w:color="008000"/>
            </w:tcBorders>
            <w:shd w:val="clear" w:color="auto" w:fill="FFFFFF"/>
            <w:vAlign w:val="center"/>
          </w:tcPr>
          <w:p w14:paraId="64385DCE" w14:textId="6219C8F0" w:rsidR="004E7914" w:rsidRPr="00C67ABB" w:rsidRDefault="004E7914" w:rsidP="00A7316B">
            <w:pPr>
              <w:pStyle w:val="Nessunaspaziatura"/>
              <w:jc w:val="center"/>
              <w:rPr>
                <w:rFonts w:cs="Arial"/>
                <w:sz w:val="16"/>
                <w:szCs w:val="16"/>
                <w:lang w:val="it-IT"/>
              </w:rPr>
            </w:pPr>
            <w:r w:rsidRPr="00C67ABB">
              <w:rPr>
                <w:b/>
                <w:bCs/>
                <w:sz w:val="16"/>
                <w:szCs w:val="16"/>
              </w:rPr>
              <w:t>2</w:t>
            </w:r>
          </w:p>
        </w:tc>
        <w:tc>
          <w:tcPr>
            <w:tcW w:w="317" w:type="pct"/>
            <w:tcBorders>
              <w:top w:val="single" w:sz="4" w:space="0" w:color="008000"/>
              <w:bottom w:val="single" w:sz="4" w:space="0" w:color="008000"/>
            </w:tcBorders>
            <w:shd w:val="clear" w:color="auto" w:fill="FFFFFF"/>
            <w:vAlign w:val="center"/>
          </w:tcPr>
          <w:p w14:paraId="617384AC" w14:textId="32A1A10E" w:rsidR="004E7914" w:rsidRPr="00C67ABB" w:rsidRDefault="004E7914" w:rsidP="00A7316B">
            <w:pPr>
              <w:pStyle w:val="Nessunaspaziatura"/>
              <w:jc w:val="center"/>
              <w:rPr>
                <w:rFonts w:cs="Arial"/>
                <w:sz w:val="16"/>
                <w:szCs w:val="16"/>
                <w:lang w:val="it-IT"/>
              </w:rPr>
            </w:pPr>
            <w:r w:rsidRPr="00C67ABB">
              <w:rPr>
                <w:sz w:val="16"/>
                <w:szCs w:val="16"/>
                <w:lang w:val="it-IT"/>
              </w:rPr>
              <w:t>2</w:t>
            </w:r>
            <w:r w:rsidR="008C27E4">
              <w:rPr>
                <w:sz w:val="16"/>
                <w:szCs w:val="16"/>
                <w:lang w:val="it-IT"/>
              </w:rPr>
              <w:t>.</w:t>
            </w:r>
            <w:r w:rsidRPr="00C67ABB">
              <w:rPr>
                <w:sz w:val="16"/>
                <w:szCs w:val="16"/>
                <w:lang w:val="it-IT"/>
              </w:rPr>
              <w:t>hh</w:t>
            </w:r>
            <w:r w:rsidR="008C27E4">
              <w:rPr>
                <w:sz w:val="16"/>
                <w:szCs w:val="16"/>
                <w:lang w:val="it-IT"/>
              </w:rPr>
              <w:t>.</w:t>
            </w:r>
            <w:r w:rsidRPr="00C67ABB">
              <w:rPr>
                <w:sz w:val="16"/>
                <w:szCs w:val="16"/>
                <w:lang w:val="it-IT"/>
              </w:rPr>
              <w:t>DP</w:t>
            </w:r>
          </w:p>
        </w:tc>
        <w:tc>
          <w:tcPr>
            <w:tcW w:w="635" w:type="pct"/>
            <w:tcBorders>
              <w:top w:val="single" w:sz="4" w:space="0" w:color="008000"/>
              <w:bottom w:val="single" w:sz="4" w:space="0" w:color="008000"/>
            </w:tcBorders>
            <w:shd w:val="clear" w:color="auto" w:fill="FFFFFF"/>
            <w:vAlign w:val="center"/>
          </w:tcPr>
          <w:p w14:paraId="4916827F" w14:textId="499A39C9" w:rsidR="004E7914" w:rsidRPr="00C67ABB" w:rsidRDefault="00AC37F8" w:rsidP="00A7316B">
            <w:pPr>
              <w:pStyle w:val="Nessunaspaziatura"/>
              <w:jc w:val="center"/>
              <w:rPr>
                <w:rFonts w:cs="Arial"/>
                <w:sz w:val="16"/>
                <w:szCs w:val="16"/>
                <w:lang w:val="it-IT"/>
              </w:rPr>
            </w:pPr>
            <w:r w:rsidRPr="00C67ABB">
              <w:rPr>
                <w:sz w:val="16"/>
                <w:szCs w:val="16"/>
              </w:rPr>
              <w:t>Clogged line</w:t>
            </w:r>
          </w:p>
        </w:tc>
        <w:tc>
          <w:tcPr>
            <w:tcW w:w="714" w:type="pct"/>
            <w:tcBorders>
              <w:top w:val="single" w:sz="4" w:space="0" w:color="008000"/>
              <w:bottom w:val="single" w:sz="4" w:space="0" w:color="008000"/>
            </w:tcBorders>
            <w:shd w:val="clear" w:color="auto" w:fill="FFFFFF"/>
            <w:vAlign w:val="center"/>
          </w:tcPr>
          <w:p w14:paraId="7F992843" w14:textId="573B37B7" w:rsidR="004E7914" w:rsidRPr="00C67ABB" w:rsidRDefault="004E7914" w:rsidP="00A7316B">
            <w:pPr>
              <w:pStyle w:val="Nessunaspaziatura"/>
              <w:jc w:val="center"/>
              <w:rPr>
                <w:rFonts w:cs="Arial"/>
                <w:sz w:val="16"/>
                <w:szCs w:val="16"/>
                <w:lang w:val="it-IT"/>
              </w:rPr>
            </w:pPr>
            <w:r w:rsidRPr="00C67ABB">
              <w:rPr>
                <w:sz w:val="16"/>
                <w:szCs w:val="16"/>
              </w:rPr>
              <w:t>2</w:t>
            </w:r>
            <w:r w:rsidR="008C27E4">
              <w:rPr>
                <w:sz w:val="16"/>
                <w:szCs w:val="16"/>
              </w:rPr>
              <w:t>.</w:t>
            </w:r>
            <w:r w:rsidRPr="00C67ABB">
              <w:rPr>
                <w:sz w:val="16"/>
                <w:szCs w:val="16"/>
              </w:rPr>
              <w:t>l</w:t>
            </w:r>
            <w:r w:rsidR="008C27E4">
              <w:rPr>
                <w:sz w:val="16"/>
                <w:szCs w:val="16"/>
              </w:rPr>
              <w:t>.</w:t>
            </w:r>
            <w:r w:rsidRPr="00C67ABB">
              <w:rPr>
                <w:sz w:val="16"/>
                <w:szCs w:val="16"/>
              </w:rPr>
              <w:t>F</w:t>
            </w:r>
          </w:p>
        </w:tc>
        <w:tc>
          <w:tcPr>
            <w:tcW w:w="714" w:type="pct"/>
            <w:tcBorders>
              <w:top w:val="single" w:sz="4" w:space="0" w:color="008000"/>
              <w:bottom w:val="single" w:sz="4" w:space="0" w:color="008000"/>
            </w:tcBorders>
            <w:shd w:val="clear" w:color="auto" w:fill="FFFFFF"/>
            <w:vAlign w:val="center"/>
          </w:tcPr>
          <w:p w14:paraId="0D52A819" w14:textId="15D540B9" w:rsidR="00C67ABB" w:rsidRDefault="004E7914" w:rsidP="00A7316B">
            <w:pPr>
              <w:pStyle w:val="Nessunaspaziatura"/>
              <w:jc w:val="center"/>
              <w:rPr>
                <w:sz w:val="16"/>
                <w:szCs w:val="16"/>
              </w:rPr>
            </w:pPr>
            <w:r w:rsidRPr="00C67ABB">
              <w:rPr>
                <w:sz w:val="16"/>
                <w:szCs w:val="16"/>
              </w:rPr>
              <w:t>2.No</w:t>
            </w:r>
            <w:r w:rsidR="008C27E4">
              <w:rPr>
                <w:sz w:val="16"/>
                <w:szCs w:val="16"/>
              </w:rPr>
              <w:t>.</w:t>
            </w:r>
            <w:r w:rsidRPr="00C67ABB">
              <w:rPr>
                <w:sz w:val="16"/>
                <w:szCs w:val="16"/>
              </w:rPr>
              <w:t>F</w:t>
            </w:r>
          </w:p>
          <w:p w14:paraId="31AA8249" w14:textId="0F0D53C0" w:rsidR="004E7914" w:rsidRPr="00C67ABB" w:rsidRDefault="004E7914" w:rsidP="00A7316B">
            <w:pPr>
              <w:pStyle w:val="Nessunaspaziatura"/>
              <w:jc w:val="center"/>
              <w:rPr>
                <w:rFonts w:cs="Arial"/>
                <w:sz w:val="16"/>
                <w:szCs w:val="16"/>
                <w:lang w:val="en-US"/>
              </w:rPr>
            </w:pPr>
            <w:r w:rsidRPr="00C67ABB">
              <w:rPr>
                <w:sz w:val="16"/>
                <w:szCs w:val="16"/>
              </w:rPr>
              <w:t xml:space="preserve">(warning </w:t>
            </w:r>
            <w:r w:rsidR="00AC37F8" w:rsidRPr="00C67ABB">
              <w:rPr>
                <w:sz w:val="16"/>
                <w:szCs w:val="16"/>
              </w:rPr>
              <w:t>well head</w:t>
            </w:r>
            <w:r w:rsidRPr="00C67ABB">
              <w:rPr>
                <w:sz w:val="16"/>
                <w:szCs w:val="16"/>
              </w:rPr>
              <w:t>)</w:t>
            </w:r>
          </w:p>
        </w:tc>
        <w:tc>
          <w:tcPr>
            <w:tcW w:w="556" w:type="pct"/>
            <w:tcBorders>
              <w:top w:val="single" w:sz="4" w:space="0" w:color="008000"/>
              <w:bottom w:val="single" w:sz="4" w:space="0" w:color="008000"/>
            </w:tcBorders>
            <w:shd w:val="clear" w:color="auto" w:fill="FFFFFF"/>
            <w:vAlign w:val="center"/>
          </w:tcPr>
          <w:p w14:paraId="7554EC61" w14:textId="3120B97F" w:rsidR="004E7914" w:rsidRPr="00C67ABB" w:rsidRDefault="004E7914" w:rsidP="00A7316B">
            <w:pPr>
              <w:pStyle w:val="Nessunaspaziatura"/>
              <w:jc w:val="center"/>
              <w:rPr>
                <w:rFonts w:cs="Arial"/>
                <w:sz w:val="16"/>
                <w:szCs w:val="16"/>
                <w:lang w:val="it-IT"/>
              </w:rPr>
            </w:pPr>
            <w:r w:rsidRPr="00C67ABB">
              <w:rPr>
                <w:sz w:val="16"/>
                <w:szCs w:val="16"/>
              </w:rPr>
              <w:t>PDAHH</w:t>
            </w:r>
            <w:r w:rsidR="008C27E4">
              <w:rPr>
                <w:sz w:val="16"/>
                <w:szCs w:val="16"/>
              </w:rPr>
              <w:t>-</w:t>
            </w:r>
            <w:r w:rsidRPr="00C67ABB">
              <w:rPr>
                <w:sz w:val="16"/>
                <w:szCs w:val="16"/>
              </w:rPr>
              <w:t>01</w:t>
            </w:r>
            <w:r w:rsidR="00A354DF">
              <w:rPr>
                <w:sz w:val="16"/>
                <w:szCs w:val="16"/>
              </w:rPr>
              <w:t>2</w:t>
            </w:r>
          </w:p>
        </w:tc>
        <w:tc>
          <w:tcPr>
            <w:tcW w:w="635" w:type="pct"/>
            <w:tcBorders>
              <w:top w:val="single" w:sz="4" w:space="0" w:color="008000"/>
              <w:bottom w:val="single" w:sz="4" w:space="0" w:color="008000"/>
              <w:right w:val="single" w:sz="12" w:space="0" w:color="FFFFFF" w:themeColor="background1"/>
            </w:tcBorders>
            <w:shd w:val="clear" w:color="auto" w:fill="FFFFFF"/>
            <w:vAlign w:val="center"/>
          </w:tcPr>
          <w:p w14:paraId="55FD387A" w14:textId="34A4A53B" w:rsidR="004E7914" w:rsidRPr="00C67ABB" w:rsidRDefault="004E7914" w:rsidP="00A7316B">
            <w:pPr>
              <w:pStyle w:val="Nessunaspaziatura"/>
              <w:jc w:val="center"/>
              <w:rPr>
                <w:rFonts w:cs="Arial"/>
                <w:sz w:val="16"/>
                <w:szCs w:val="16"/>
                <w:lang w:val="it-IT"/>
              </w:rPr>
            </w:pPr>
            <w:r w:rsidRPr="00C67ABB">
              <w:rPr>
                <w:sz w:val="16"/>
                <w:szCs w:val="16"/>
              </w:rPr>
              <w:t>-</w:t>
            </w:r>
          </w:p>
        </w:tc>
        <w:tc>
          <w:tcPr>
            <w:tcW w:w="555" w:type="pct"/>
            <w:tcBorders>
              <w:top w:val="single" w:sz="4" w:space="0" w:color="008000"/>
              <w:left w:val="single" w:sz="12" w:space="0" w:color="FFFFFF" w:themeColor="background1"/>
              <w:bottom w:val="single" w:sz="4" w:space="0" w:color="008000"/>
            </w:tcBorders>
            <w:shd w:val="clear" w:color="auto" w:fill="FFFFFF"/>
            <w:vAlign w:val="bottom"/>
          </w:tcPr>
          <w:p w14:paraId="6E6C883E" w14:textId="4F791121" w:rsidR="004E7914" w:rsidRPr="00C67ABB" w:rsidRDefault="004E7914" w:rsidP="00A7316B">
            <w:pPr>
              <w:pStyle w:val="Nessunaspaziatura"/>
              <w:jc w:val="center"/>
              <w:rPr>
                <w:rFonts w:cs="Arial"/>
                <w:sz w:val="16"/>
                <w:szCs w:val="16"/>
                <w:lang w:val="it-IT"/>
              </w:rPr>
            </w:pPr>
            <w:r w:rsidRPr="00C67ABB">
              <w:rPr>
                <w:sz w:val="16"/>
                <w:szCs w:val="16"/>
              </w:rPr>
              <w:t>ESD c</w:t>
            </w:r>
            <w:r w:rsidR="00AC37F8" w:rsidRPr="00C67ABB">
              <w:rPr>
                <w:sz w:val="16"/>
                <w:szCs w:val="16"/>
              </w:rPr>
              <w:t xml:space="preserve">loses </w:t>
            </w:r>
            <w:r w:rsidRPr="00C67ABB">
              <w:rPr>
                <w:sz w:val="16"/>
                <w:szCs w:val="16"/>
              </w:rPr>
              <w:t>SDV</w:t>
            </w:r>
            <w:r w:rsidR="008C27E4">
              <w:rPr>
                <w:sz w:val="16"/>
                <w:szCs w:val="16"/>
              </w:rPr>
              <w:t>-</w:t>
            </w:r>
            <w:r w:rsidRPr="00C67ABB">
              <w:rPr>
                <w:sz w:val="16"/>
                <w:szCs w:val="16"/>
              </w:rPr>
              <w:t>01</w:t>
            </w:r>
            <w:r w:rsidR="00A354DF">
              <w:rPr>
                <w:sz w:val="16"/>
                <w:szCs w:val="16"/>
              </w:rPr>
              <w:t>1</w:t>
            </w:r>
          </w:p>
        </w:tc>
        <w:tc>
          <w:tcPr>
            <w:tcW w:w="397" w:type="pct"/>
            <w:tcBorders>
              <w:top w:val="single" w:sz="4" w:space="0" w:color="008000"/>
              <w:bottom w:val="single" w:sz="4" w:space="0" w:color="008000"/>
            </w:tcBorders>
            <w:shd w:val="clear" w:color="auto" w:fill="FFFFFF"/>
            <w:vAlign w:val="center"/>
          </w:tcPr>
          <w:p w14:paraId="54B3B041" w14:textId="5FB98712" w:rsidR="004E7914" w:rsidRPr="00C67ABB" w:rsidRDefault="00C67ABB" w:rsidP="00A7316B">
            <w:pPr>
              <w:pStyle w:val="Nessunaspaziatura"/>
              <w:jc w:val="center"/>
              <w:rPr>
                <w:rFonts w:cs="Arial"/>
                <w:sz w:val="16"/>
                <w:szCs w:val="16"/>
                <w:lang w:val="it-IT"/>
              </w:rPr>
            </w:pPr>
            <w:r w:rsidRPr="00C67ABB">
              <w:rPr>
                <w:rFonts w:cs="Arial"/>
                <w:sz w:val="16"/>
                <w:szCs w:val="16"/>
                <w:lang w:val="it-IT"/>
              </w:rPr>
              <w:t>-</w:t>
            </w:r>
          </w:p>
        </w:tc>
        <w:tc>
          <w:tcPr>
            <w:tcW w:w="237" w:type="pct"/>
            <w:tcBorders>
              <w:top w:val="single" w:sz="4" w:space="0" w:color="008000"/>
              <w:bottom w:val="single" w:sz="4" w:space="0" w:color="008000"/>
            </w:tcBorders>
            <w:shd w:val="clear" w:color="auto" w:fill="FFFFFF"/>
            <w:vAlign w:val="center"/>
          </w:tcPr>
          <w:p w14:paraId="0C7D7FAA" w14:textId="176A2FD4" w:rsidR="004E7914" w:rsidRPr="00C67ABB" w:rsidRDefault="00C67ABB" w:rsidP="00A7316B">
            <w:pPr>
              <w:pStyle w:val="Nessunaspaziatura"/>
              <w:jc w:val="center"/>
              <w:rPr>
                <w:rFonts w:cs="Arial"/>
                <w:sz w:val="16"/>
                <w:szCs w:val="16"/>
                <w:lang w:val="it-IT"/>
              </w:rPr>
            </w:pPr>
            <w:r w:rsidRPr="00C67ABB">
              <w:rPr>
                <w:rFonts w:cs="Arial"/>
                <w:sz w:val="16"/>
                <w:szCs w:val="16"/>
                <w:lang w:val="it-IT"/>
              </w:rPr>
              <w:t>-</w:t>
            </w:r>
          </w:p>
        </w:tc>
      </w:tr>
      <w:tr w:rsidR="004E7914" w:rsidRPr="00C67ABB" w14:paraId="13DEF245" w14:textId="77777777" w:rsidTr="00A81F2F">
        <w:trPr>
          <w:trHeight w:val="296"/>
          <w:jc w:val="center"/>
        </w:trPr>
        <w:tc>
          <w:tcPr>
            <w:tcW w:w="238" w:type="pct"/>
            <w:tcBorders>
              <w:top w:val="single" w:sz="4" w:space="0" w:color="008000"/>
              <w:bottom w:val="single" w:sz="4" w:space="0" w:color="008000"/>
            </w:tcBorders>
            <w:shd w:val="clear" w:color="auto" w:fill="FFFFFF"/>
            <w:vAlign w:val="center"/>
          </w:tcPr>
          <w:p w14:paraId="23608C55" w14:textId="26CB5AD2" w:rsidR="004E7914" w:rsidRPr="00C67ABB" w:rsidRDefault="004E7914" w:rsidP="00A7316B">
            <w:pPr>
              <w:pStyle w:val="Nessunaspaziatura"/>
              <w:jc w:val="center"/>
              <w:rPr>
                <w:rFonts w:cs="Arial"/>
                <w:sz w:val="16"/>
                <w:szCs w:val="16"/>
                <w:lang w:val="it-IT"/>
              </w:rPr>
            </w:pPr>
            <w:r w:rsidRPr="00C67ABB">
              <w:rPr>
                <w:sz w:val="16"/>
                <w:szCs w:val="16"/>
              </w:rPr>
              <w:t>3</w:t>
            </w:r>
          </w:p>
        </w:tc>
        <w:tc>
          <w:tcPr>
            <w:tcW w:w="317" w:type="pct"/>
            <w:tcBorders>
              <w:top w:val="single" w:sz="4" w:space="0" w:color="008000"/>
              <w:bottom w:val="single" w:sz="4" w:space="0" w:color="008000"/>
            </w:tcBorders>
            <w:shd w:val="clear" w:color="auto" w:fill="FFFFFF"/>
            <w:vAlign w:val="center"/>
          </w:tcPr>
          <w:p w14:paraId="49F45233" w14:textId="01AFE7E4" w:rsidR="004E7914" w:rsidRPr="00C67ABB" w:rsidRDefault="004E7914" w:rsidP="00A7316B">
            <w:pPr>
              <w:pStyle w:val="Nessunaspaziatura"/>
              <w:jc w:val="center"/>
              <w:rPr>
                <w:rFonts w:cs="Arial"/>
                <w:sz w:val="16"/>
                <w:szCs w:val="16"/>
                <w:lang w:val="it-IT"/>
              </w:rPr>
            </w:pPr>
            <w:r w:rsidRPr="00C67ABB">
              <w:rPr>
                <w:sz w:val="16"/>
                <w:szCs w:val="16"/>
              </w:rPr>
              <w:t>2</w:t>
            </w:r>
            <w:r w:rsidR="008C27E4">
              <w:rPr>
                <w:sz w:val="16"/>
                <w:szCs w:val="16"/>
              </w:rPr>
              <w:t>.</w:t>
            </w:r>
            <w:r w:rsidRPr="00C67ABB">
              <w:rPr>
                <w:sz w:val="16"/>
                <w:szCs w:val="16"/>
              </w:rPr>
              <w:t>No</w:t>
            </w:r>
            <w:r w:rsidR="008C27E4">
              <w:rPr>
                <w:sz w:val="16"/>
                <w:szCs w:val="16"/>
              </w:rPr>
              <w:t>.</w:t>
            </w:r>
            <w:r w:rsidRPr="00C67ABB">
              <w:rPr>
                <w:sz w:val="16"/>
                <w:szCs w:val="16"/>
              </w:rPr>
              <w:t>F</w:t>
            </w:r>
          </w:p>
        </w:tc>
        <w:tc>
          <w:tcPr>
            <w:tcW w:w="635" w:type="pct"/>
            <w:tcBorders>
              <w:top w:val="single" w:sz="4" w:space="0" w:color="008000"/>
              <w:bottom w:val="single" w:sz="4" w:space="0" w:color="008000"/>
            </w:tcBorders>
            <w:shd w:val="clear" w:color="auto" w:fill="FFFFFF"/>
            <w:vAlign w:val="center"/>
          </w:tcPr>
          <w:p w14:paraId="3D0246A5" w14:textId="6BCA5FF6" w:rsidR="004E7914" w:rsidRPr="00C67ABB" w:rsidRDefault="00C67ABB" w:rsidP="00A7316B">
            <w:pPr>
              <w:pStyle w:val="Nessunaspaziatura"/>
              <w:jc w:val="center"/>
              <w:rPr>
                <w:rFonts w:cs="Arial"/>
                <w:sz w:val="16"/>
                <w:szCs w:val="16"/>
                <w:lang w:val="it-IT"/>
              </w:rPr>
            </w:pPr>
            <w:r>
              <w:rPr>
                <w:b/>
                <w:bCs/>
                <w:sz w:val="16"/>
                <w:szCs w:val="16"/>
              </w:rPr>
              <w:t xml:space="preserve">Rec. </w:t>
            </w:r>
            <w:r w:rsidR="004E7914" w:rsidRPr="00C67ABB">
              <w:rPr>
                <w:b/>
                <w:bCs/>
                <w:sz w:val="16"/>
                <w:szCs w:val="16"/>
              </w:rPr>
              <w:t>2</w:t>
            </w:r>
          </w:p>
        </w:tc>
        <w:tc>
          <w:tcPr>
            <w:tcW w:w="714" w:type="pct"/>
            <w:tcBorders>
              <w:top w:val="single" w:sz="4" w:space="0" w:color="008000"/>
              <w:bottom w:val="single" w:sz="4" w:space="0" w:color="008000"/>
            </w:tcBorders>
            <w:shd w:val="clear" w:color="auto" w:fill="FFFFFF"/>
            <w:vAlign w:val="center"/>
          </w:tcPr>
          <w:p w14:paraId="1B5CF2CC" w14:textId="1FDC3284" w:rsidR="004E7914" w:rsidRPr="00C67ABB" w:rsidRDefault="004E7914" w:rsidP="00A7316B">
            <w:pPr>
              <w:pStyle w:val="Nessunaspaziatura"/>
              <w:jc w:val="center"/>
              <w:rPr>
                <w:rFonts w:cs="Arial"/>
                <w:sz w:val="16"/>
                <w:szCs w:val="16"/>
                <w:lang w:val="it-IT"/>
              </w:rPr>
            </w:pPr>
            <w:r w:rsidRPr="00C67ABB">
              <w:rPr>
                <w:sz w:val="16"/>
                <w:szCs w:val="16"/>
              </w:rPr>
              <w:t xml:space="preserve">No </w:t>
            </w:r>
            <w:r w:rsidR="00AC37F8" w:rsidRPr="00C67ABB">
              <w:rPr>
                <w:sz w:val="16"/>
                <w:szCs w:val="16"/>
              </w:rPr>
              <w:t>crude</w:t>
            </w:r>
          </w:p>
        </w:tc>
        <w:tc>
          <w:tcPr>
            <w:tcW w:w="714" w:type="pct"/>
            <w:tcBorders>
              <w:top w:val="single" w:sz="4" w:space="0" w:color="008000"/>
              <w:bottom w:val="single" w:sz="4" w:space="0" w:color="008000"/>
            </w:tcBorders>
            <w:shd w:val="clear" w:color="auto" w:fill="FFFFFF"/>
            <w:vAlign w:val="center"/>
          </w:tcPr>
          <w:p w14:paraId="57DB4131" w14:textId="0E230C6B" w:rsidR="004E7914" w:rsidRPr="00C67ABB" w:rsidRDefault="004E7914" w:rsidP="00A7316B">
            <w:pPr>
              <w:pStyle w:val="Nessunaspaziatura"/>
              <w:jc w:val="center"/>
              <w:rPr>
                <w:rFonts w:cs="Arial"/>
                <w:sz w:val="16"/>
                <w:szCs w:val="16"/>
                <w:lang w:val="it-IT"/>
              </w:rPr>
            </w:pPr>
            <w:r w:rsidRPr="00C67ABB">
              <w:rPr>
                <w:sz w:val="16"/>
                <w:szCs w:val="16"/>
              </w:rPr>
              <w:t xml:space="preserve">No </w:t>
            </w:r>
            <w:r w:rsidR="00AC37F8" w:rsidRPr="00C67ABB">
              <w:rPr>
                <w:sz w:val="16"/>
                <w:szCs w:val="16"/>
              </w:rPr>
              <w:t>crude</w:t>
            </w:r>
          </w:p>
        </w:tc>
        <w:tc>
          <w:tcPr>
            <w:tcW w:w="556" w:type="pct"/>
            <w:tcBorders>
              <w:top w:val="single" w:sz="4" w:space="0" w:color="008000"/>
              <w:bottom w:val="single" w:sz="4" w:space="0" w:color="008000"/>
            </w:tcBorders>
            <w:shd w:val="clear" w:color="auto" w:fill="FFFFFF"/>
            <w:vAlign w:val="center"/>
          </w:tcPr>
          <w:p w14:paraId="1160E0C7" w14:textId="14A9EBED" w:rsidR="004E7914" w:rsidRPr="00C67ABB" w:rsidRDefault="004E7914" w:rsidP="00A7316B">
            <w:pPr>
              <w:pStyle w:val="Nessunaspaziatura"/>
              <w:jc w:val="center"/>
              <w:rPr>
                <w:rFonts w:cs="Arial"/>
                <w:sz w:val="16"/>
                <w:szCs w:val="16"/>
                <w:lang w:val="it-IT"/>
              </w:rPr>
            </w:pPr>
            <w:r w:rsidRPr="00C67ABB">
              <w:rPr>
                <w:sz w:val="16"/>
                <w:szCs w:val="16"/>
              </w:rPr>
              <w:t>-</w:t>
            </w:r>
          </w:p>
        </w:tc>
        <w:tc>
          <w:tcPr>
            <w:tcW w:w="635" w:type="pct"/>
            <w:tcBorders>
              <w:top w:val="single" w:sz="4" w:space="0" w:color="008000"/>
              <w:bottom w:val="single" w:sz="4" w:space="0" w:color="008000"/>
              <w:right w:val="single" w:sz="12" w:space="0" w:color="FFFFFF" w:themeColor="background1"/>
            </w:tcBorders>
            <w:shd w:val="clear" w:color="auto" w:fill="FFFFFF"/>
            <w:vAlign w:val="center"/>
          </w:tcPr>
          <w:p w14:paraId="4C9BDBF4" w14:textId="55CC8CAF" w:rsidR="004E7914" w:rsidRPr="00C67ABB" w:rsidRDefault="004E7914" w:rsidP="00A7316B">
            <w:pPr>
              <w:pStyle w:val="Nessunaspaziatura"/>
              <w:jc w:val="center"/>
              <w:rPr>
                <w:rFonts w:cs="Arial"/>
                <w:sz w:val="16"/>
                <w:szCs w:val="16"/>
                <w:lang w:val="it-IT"/>
              </w:rPr>
            </w:pPr>
            <w:r w:rsidRPr="00C67ABB">
              <w:rPr>
                <w:sz w:val="16"/>
                <w:szCs w:val="16"/>
              </w:rPr>
              <w:t>-</w:t>
            </w:r>
          </w:p>
        </w:tc>
        <w:tc>
          <w:tcPr>
            <w:tcW w:w="555" w:type="pct"/>
            <w:tcBorders>
              <w:top w:val="single" w:sz="4" w:space="0" w:color="008000"/>
              <w:left w:val="single" w:sz="12" w:space="0" w:color="FFFFFF" w:themeColor="background1"/>
              <w:bottom w:val="single" w:sz="4" w:space="0" w:color="008000"/>
            </w:tcBorders>
            <w:shd w:val="clear" w:color="auto" w:fill="FFFFFF"/>
            <w:vAlign w:val="center"/>
          </w:tcPr>
          <w:p w14:paraId="1251F92F" w14:textId="233DE826" w:rsidR="004E7914" w:rsidRPr="00C67ABB" w:rsidRDefault="004E7914" w:rsidP="00A7316B">
            <w:pPr>
              <w:pStyle w:val="Nessunaspaziatura"/>
              <w:jc w:val="center"/>
              <w:rPr>
                <w:rFonts w:cs="Arial"/>
                <w:sz w:val="16"/>
                <w:szCs w:val="16"/>
                <w:lang w:val="it-IT"/>
              </w:rPr>
            </w:pPr>
            <w:r w:rsidRPr="00C67ABB">
              <w:rPr>
                <w:sz w:val="16"/>
                <w:szCs w:val="16"/>
              </w:rPr>
              <w:t>-</w:t>
            </w:r>
          </w:p>
        </w:tc>
        <w:tc>
          <w:tcPr>
            <w:tcW w:w="397" w:type="pct"/>
            <w:tcBorders>
              <w:top w:val="single" w:sz="4" w:space="0" w:color="008000"/>
              <w:bottom w:val="single" w:sz="4" w:space="0" w:color="008000"/>
            </w:tcBorders>
            <w:shd w:val="clear" w:color="auto" w:fill="FFFFFF"/>
            <w:vAlign w:val="center"/>
          </w:tcPr>
          <w:p w14:paraId="6DD135DF" w14:textId="77777777" w:rsidR="004E7914" w:rsidRPr="00C67ABB" w:rsidRDefault="004E7914" w:rsidP="00A7316B">
            <w:pPr>
              <w:pStyle w:val="Nessunaspaziatura"/>
              <w:jc w:val="center"/>
              <w:rPr>
                <w:rFonts w:cs="Arial"/>
                <w:sz w:val="16"/>
                <w:szCs w:val="16"/>
                <w:lang w:val="it-IT"/>
              </w:rPr>
            </w:pPr>
          </w:p>
        </w:tc>
        <w:tc>
          <w:tcPr>
            <w:tcW w:w="237" w:type="pct"/>
            <w:tcBorders>
              <w:top w:val="single" w:sz="4" w:space="0" w:color="008000"/>
              <w:bottom w:val="single" w:sz="4" w:space="0" w:color="008000"/>
            </w:tcBorders>
            <w:shd w:val="clear" w:color="auto" w:fill="FFFFFF"/>
            <w:vAlign w:val="center"/>
          </w:tcPr>
          <w:p w14:paraId="0E0C95E4" w14:textId="18FFB3BA" w:rsidR="004E7914" w:rsidRPr="00C67ABB" w:rsidRDefault="004E7914" w:rsidP="00A7316B">
            <w:pPr>
              <w:pStyle w:val="Nessunaspaziatura"/>
              <w:jc w:val="center"/>
              <w:rPr>
                <w:rFonts w:cs="Arial"/>
                <w:sz w:val="16"/>
                <w:szCs w:val="16"/>
                <w:lang w:val="it-IT"/>
              </w:rPr>
            </w:pPr>
            <w:r w:rsidRPr="00C67ABB">
              <w:rPr>
                <w:sz w:val="16"/>
                <w:szCs w:val="16"/>
              </w:rPr>
              <w:t>TE1</w:t>
            </w:r>
          </w:p>
        </w:tc>
      </w:tr>
      <w:tr w:rsidR="004E7914" w:rsidRPr="00C67ABB" w14:paraId="28F58FA2" w14:textId="77777777" w:rsidTr="00A81F2F">
        <w:trPr>
          <w:trHeight w:val="620"/>
          <w:jc w:val="center"/>
        </w:trPr>
        <w:tc>
          <w:tcPr>
            <w:tcW w:w="238" w:type="pct"/>
            <w:tcBorders>
              <w:top w:val="single" w:sz="4" w:space="0" w:color="008000"/>
              <w:bottom w:val="single" w:sz="4" w:space="0" w:color="008000"/>
            </w:tcBorders>
            <w:shd w:val="clear" w:color="auto" w:fill="FFFFFF"/>
            <w:vAlign w:val="center"/>
          </w:tcPr>
          <w:p w14:paraId="446350E3" w14:textId="249EA9B5" w:rsidR="004E7914" w:rsidRPr="00C67ABB" w:rsidRDefault="004E7914" w:rsidP="00A7316B">
            <w:pPr>
              <w:pStyle w:val="Nessunaspaziatura"/>
              <w:jc w:val="center"/>
              <w:rPr>
                <w:rFonts w:cs="Arial"/>
                <w:sz w:val="16"/>
                <w:szCs w:val="16"/>
                <w:lang w:val="it-IT"/>
              </w:rPr>
            </w:pPr>
            <w:r w:rsidRPr="00C67ABB">
              <w:rPr>
                <w:sz w:val="16"/>
                <w:szCs w:val="16"/>
              </w:rPr>
              <w:t>4</w:t>
            </w:r>
          </w:p>
        </w:tc>
        <w:tc>
          <w:tcPr>
            <w:tcW w:w="317" w:type="pct"/>
            <w:tcBorders>
              <w:top w:val="single" w:sz="4" w:space="0" w:color="008000"/>
              <w:bottom w:val="single" w:sz="4" w:space="0" w:color="008000"/>
            </w:tcBorders>
            <w:shd w:val="clear" w:color="auto" w:fill="FFFFFF"/>
            <w:vAlign w:val="center"/>
          </w:tcPr>
          <w:p w14:paraId="3122DDAC" w14:textId="7C2D2AD0" w:rsidR="004E7914" w:rsidRPr="00C67ABB" w:rsidRDefault="004E7914" w:rsidP="00A7316B">
            <w:pPr>
              <w:pStyle w:val="Nessunaspaziatura"/>
              <w:jc w:val="center"/>
              <w:rPr>
                <w:rFonts w:cs="Arial"/>
                <w:sz w:val="16"/>
                <w:szCs w:val="16"/>
                <w:lang w:val="it-IT"/>
              </w:rPr>
            </w:pPr>
            <w:r w:rsidRPr="00C67ABB">
              <w:rPr>
                <w:sz w:val="16"/>
                <w:szCs w:val="16"/>
                <w:lang w:val="it-IT"/>
              </w:rPr>
              <w:t>2</w:t>
            </w:r>
            <w:r w:rsidR="008C27E4">
              <w:rPr>
                <w:sz w:val="16"/>
                <w:szCs w:val="16"/>
                <w:lang w:val="it-IT"/>
              </w:rPr>
              <w:t>.</w:t>
            </w:r>
            <w:r w:rsidRPr="00C67ABB">
              <w:rPr>
                <w:sz w:val="16"/>
                <w:szCs w:val="16"/>
                <w:lang w:val="it-IT"/>
              </w:rPr>
              <w:t>l</w:t>
            </w:r>
            <w:r w:rsidR="008C27E4">
              <w:rPr>
                <w:sz w:val="16"/>
                <w:szCs w:val="16"/>
                <w:lang w:val="it-IT"/>
              </w:rPr>
              <w:t>.</w:t>
            </w:r>
            <w:r w:rsidRPr="00C67ABB">
              <w:rPr>
                <w:sz w:val="16"/>
                <w:szCs w:val="16"/>
                <w:lang w:val="it-IT"/>
              </w:rPr>
              <w:t>F</w:t>
            </w:r>
          </w:p>
        </w:tc>
        <w:tc>
          <w:tcPr>
            <w:tcW w:w="635" w:type="pct"/>
            <w:tcBorders>
              <w:top w:val="single" w:sz="4" w:space="0" w:color="008000"/>
              <w:bottom w:val="single" w:sz="4" w:space="0" w:color="008000"/>
            </w:tcBorders>
            <w:shd w:val="clear" w:color="auto" w:fill="FFFFFF"/>
            <w:vAlign w:val="center"/>
          </w:tcPr>
          <w:p w14:paraId="219ED4B8" w14:textId="60EDCA34" w:rsidR="004E7914" w:rsidRPr="00C67ABB" w:rsidRDefault="00AC37F8" w:rsidP="00A7316B">
            <w:pPr>
              <w:pStyle w:val="Nessunaspaziatura"/>
              <w:jc w:val="center"/>
              <w:rPr>
                <w:rFonts w:cs="Arial"/>
                <w:sz w:val="16"/>
                <w:szCs w:val="16"/>
                <w:lang w:val="en-US"/>
              </w:rPr>
            </w:pPr>
            <w:r w:rsidRPr="00C67ABB">
              <w:rPr>
                <w:sz w:val="16"/>
                <w:szCs w:val="16"/>
              </w:rPr>
              <w:t>Pumps fault</w:t>
            </w:r>
            <w:r w:rsidR="004E7914" w:rsidRPr="00C67ABB">
              <w:rPr>
                <w:sz w:val="16"/>
                <w:szCs w:val="16"/>
                <w:lang w:val="en-US"/>
              </w:rPr>
              <w:br/>
              <w:t>OR</w:t>
            </w:r>
            <w:r w:rsidR="004E7914" w:rsidRPr="00C67ABB">
              <w:rPr>
                <w:sz w:val="16"/>
                <w:szCs w:val="16"/>
                <w:lang w:val="en-US"/>
              </w:rPr>
              <w:br/>
              <w:t>2.hh.DP</w:t>
            </w:r>
          </w:p>
        </w:tc>
        <w:tc>
          <w:tcPr>
            <w:tcW w:w="714" w:type="pct"/>
            <w:tcBorders>
              <w:top w:val="single" w:sz="4" w:space="0" w:color="008000"/>
              <w:bottom w:val="single" w:sz="4" w:space="0" w:color="008000"/>
            </w:tcBorders>
            <w:shd w:val="clear" w:color="auto" w:fill="FFFFFF"/>
            <w:vAlign w:val="center"/>
          </w:tcPr>
          <w:p w14:paraId="65536A63" w14:textId="211BB14C" w:rsidR="004E7914" w:rsidRPr="00C67ABB" w:rsidRDefault="00C24F10" w:rsidP="00A7316B">
            <w:pPr>
              <w:pStyle w:val="Nessunaspaziatura"/>
              <w:jc w:val="center"/>
              <w:rPr>
                <w:rFonts w:cs="Arial"/>
                <w:sz w:val="16"/>
                <w:szCs w:val="16"/>
                <w:lang w:val="it-IT"/>
              </w:rPr>
            </w:pPr>
            <w:r>
              <w:rPr>
                <w:sz w:val="16"/>
                <w:szCs w:val="16"/>
              </w:rPr>
              <w:t>4</w:t>
            </w:r>
            <w:r w:rsidR="00B844E4">
              <w:rPr>
                <w:sz w:val="16"/>
                <w:szCs w:val="16"/>
              </w:rPr>
              <w:t>.</w:t>
            </w:r>
            <w:r w:rsidR="004E7914" w:rsidRPr="00C67ABB">
              <w:rPr>
                <w:sz w:val="16"/>
                <w:szCs w:val="16"/>
              </w:rPr>
              <w:t>h</w:t>
            </w:r>
            <w:r w:rsidR="00B844E4">
              <w:rPr>
                <w:sz w:val="16"/>
                <w:szCs w:val="16"/>
              </w:rPr>
              <w:t>.</w:t>
            </w:r>
            <w:r w:rsidR="004E7914" w:rsidRPr="00C67ABB">
              <w:rPr>
                <w:sz w:val="16"/>
                <w:szCs w:val="16"/>
              </w:rPr>
              <w:t>T</w:t>
            </w:r>
          </w:p>
        </w:tc>
        <w:tc>
          <w:tcPr>
            <w:tcW w:w="714" w:type="pct"/>
            <w:tcBorders>
              <w:top w:val="single" w:sz="4" w:space="0" w:color="008000"/>
              <w:bottom w:val="single" w:sz="4" w:space="0" w:color="008000"/>
            </w:tcBorders>
            <w:shd w:val="clear" w:color="auto" w:fill="FFFFFF"/>
            <w:vAlign w:val="center"/>
          </w:tcPr>
          <w:p w14:paraId="4C25461C" w14:textId="098804EC" w:rsidR="004E7914" w:rsidRPr="00C67ABB" w:rsidRDefault="00C24F10" w:rsidP="00A7316B">
            <w:pPr>
              <w:pStyle w:val="Nessunaspaziatura"/>
              <w:jc w:val="center"/>
              <w:rPr>
                <w:rFonts w:cs="Arial"/>
                <w:sz w:val="16"/>
                <w:szCs w:val="16"/>
                <w:lang w:val="it-IT"/>
              </w:rPr>
            </w:pPr>
            <w:r>
              <w:rPr>
                <w:sz w:val="16"/>
                <w:szCs w:val="16"/>
              </w:rPr>
              <w:t>4</w:t>
            </w:r>
            <w:r w:rsidR="00B844E4">
              <w:rPr>
                <w:sz w:val="16"/>
                <w:szCs w:val="16"/>
              </w:rPr>
              <w:t>.</w:t>
            </w:r>
            <w:r w:rsidR="004E7914" w:rsidRPr="00C67ABB">
              <w:rPr>
                <w:sz w:val="16"/>
                <w:szCs w:val="16"/>
              </w:rPr>
              <w:t>h</w:t>
            </w:r>
            <w:r w:rsidR="00B844E4">
              <w:rPr>
                <w:sz w:val="16"/>
                <w:szCs w:val="16"/>
              </w:rPr>
              <w:t>.</w:t>
            </w:r>
            <w:r w:rsidR="004E7914" w:rsidRPr="00C67ABB">
              <w:rPr>
                <w:sz w:val="16"/>
                <w:szCs w:val="16"/>
              </w:rPr>
              <w:t>T</w:t>
            </w:r>
          </w:p>
        </w:tc>
        <w:tc>
          <w:tcPr>
            <w:tcW w:w="556" w:type="pct"/>
            <w:tcBorders>
              <w:top w:val="single" w:sz="4" w:space="0" w:color="008000"/>
              <w:bottom w:val="single" w:sz="4" w:space="0" w:color="008000"/>
            </w:tcBorders>
            <w:shd w:val="clear" w:color="auto" w:fill="FFFFFF"/>
            <w:vAlign w:val="center"/>
          </w:tcPr>
          <w:p w14:paraId="4CFF7A76" w14:textId="7582D557" w:rsidR="004E7914" w:rsidRPr="00C67ABB" w:rsidRDefault="004E7914" w:rsidP="00A7316B">
            <w:pPr>
              <w:pStyle w:val="Nessunaspaziatura"/>
              <w:jc w:val="center"/>
              <w:rPr>
                <w:rFonts w:cs="Arial"/>
                <w:sz w:val="16"/>
                <w:szCs w:val="16"/>
                <w:lang w:val="it-IT"/>
              </w:rPr>
            </w:pPr>
            <w:r w:rsidRPr="00C67ABB">
              <w:rPr>
                <w:sz w:val="16"/>
                <w:szCs w:val="16"/>
              </w:rPr>
              <w:t>-</w:t>
            </w:r>
          </w:p>
        </w:tc>
        <w:tc>
          <w:tcPr>
            <w:tcW w:w="635" w:type="pct"/>
            <w:tcBorders>
              <w:top w:val="single" w:sz="4" w:space="0" w:color="008000"/>
              <w:bottom w:val="single" w:sz="4" w:space="0" w:color="008000"/>
              <w:right w:val="single" w:sz="12" w:space="0" w:color="FFFFFF" w:themeColor="background1"/>
            </w:tcBorders>
            <w:shd w:val="clear" w:color="auto" w:fill="FFFFFF"/>
            <w:vAlign w:val="center"/>
          </w:tcPr>
          <w:p w14:paraId="0009D5FD" w14:textId="373F541B" w:rsidR="004E7914" w:rsidRPr="00C67ABB" w:rsidRDefault="004E7914" w:rsidP="00A7316B">
            <w:pPr>
              <w:pStyle w:val="Nessunaspaziatura"/>
              <w:jc w:val="center"/>
              <w:rPr>
                <w:rFonts w:cs="Arial"/>
                <w:sz w:val="16"/>
                <w:szCs w:val="16"/>
                <w:lang w:val="it-IT"/>
              </w:rPr>
            </w:pPr>
            <w:r w:rsidRPr="00C67ABB">
              <w:rPr>
                <w:sz w:val="16"/>
                <w:szCs w:val="16"/>
              </w:rPr>
              <w:t>-</w:t>
            </w:r>
          </w:p>
        </w:tc>
        <w:tc>
          <w:tcPr>
            <w:tcW w:w="555" w:type="pct"/>
            <w:tcBorders>
              <w:top w:val="single" w:sz="4" w:space="0" w:color="008000"/>
              <w:left w:val="single" w:sz="12" w:space="0" w:color="FFFFFF" w:themeColor="background1"/>
              <w:bottom w:val="single" w:sz="4" w:space="0" w:color="008000"/>
            </w:tcBorders>
            <w:shd w:val="clear" w:color="auto" w:fill="FFFFFF"/>
            <w:vAlign w:val="center"/>
          </w:tcPr>
          <w:p w14:paraId="14630B94" w14:textId="138A600F" w:rsidR="004E7914" w:rsidRPr="00C67ABB" w:rsidRDefault="004E7914" w:rsidP="00A7316B">
            <w:pPr>
              <w:pStyle w:val="Nessunaspaziatura"/>
              <w:jc w:val="center"/>
              <w:rPr>
                <w:rFonts w:cs="Arial"/>
                <w:sz w:val="16"/>
                <w:szCs w:val="16"/>
                <w:lang w:val="it-IT"/>
              </w:rPr>
            </w:pPr>
            <w:r w:rsidRPr="00C67ABB">
              <w:rPr>
                <w:sz w:val="16"/>
                <w:szCs w:val="16"/>
              </w:rPr>
              <w:t>-</w:t>
            </w:r>
          </w:p>
        </w:tc>
        <w:tc>
          <w:tcPr>
            <w:tcW w:w="397" w:type="pct"/>
            <w:tcBorders>
              <w:top w:val="single" w:sz="4" w:space="0" w:color="008000"/>
              <w:bottom w:val="single" w:sz="4" w:space="0" w:color="008000"/>
            </w:tcBorders>
            <w:shd w:val="clear" w:color="auto" w:fill="FFFFFF"/>
            <w:vAlign w:val="center"/>
          </w:tcPr>
          <w:p w14:paraId="36BFD6E1" w14:textId="6B7F9A13" w:rsidR="004E7914" w:rsidRPr="00C67ABB" w:rsidRDefault="00C67ABB" w:rsidP="00A7316B">
            <w:pPr>
              <w:pStyle w:val="Nessunaspaziatura"/>
              <w:jc w:val="center"/>
              <w:rPr>
                <w:rFonts w:cs="Arial"/>
                <w:sz w:val="16"/>
                <w:szCs w:val="16"/>
                <w:lang w:val="it-IT"/>
              </w:rPr>
            </w:pPr>
            <w:r w:rsidRPr="00C67ABB">
              <w:rPr>
                <w:rFonts w:cs="Arial"/>
                <w:sz w:val="16"/>
                <w:szCs w:val="16"/>
                <w:lang w:val="it-IT"/>
              </w:rPr>
              <w:t>-</w:t>
            </w:r>
          </w:p>
        </w:tc>
        <w:tc>
          <w:tcPr>
            <w:tcW w:w="237" w:type="pct"/>
            <w:tcBorders>
              <w:top w:val="single" w:sz="4" w:space="0" w:color="008000"/>
              <w:bottom w:val="single" w:sz="4" w:space="0" w:color="008000"/>
            </w:tcBorders>
            <w:shd w:val="clear" w:color="auto" w:fill="FFFFFF"/>
            <w:vAlign w:val="center"/>
          </w:tcPr>
          <w:p w14:paraId="78A33A03" w14:textId="1946B142" w:rsidR="004E7914" w:rsidRPr="00C67ABB" w:rsidRDefault="00C67ABB" w:rsidP="00A7316B">
            <w:pPr>
              <w:pStyle w:val="Nessunaspaziatura"/>
              <w:jc w:val="center"/>
              <w:rPr>
                <w:rFonts w:cs="Arial"/>
                <w:sz w:val="16"/>
                <w:szCs w:val="16"/>
                <w:lang w:val="it-IT"/>
              </w:rPr>
            </w:pPr>
            <w:r w:rsidRPr="00C67ABB">
              <w:rPr>
                <w:rFonts w:cs="Arial"/>
                <w:sz w:val="16"/>
                <w:szCs w:val="16"/>
                <w:lang w:val="it-IT"/>
              </w:rPr>
              <w:t>-</w:t>
            </w:r>
          </w:p>
        </w:tc>
      </w:tr>
      <w:tr w:rsidR="004E7914" w:rsidRPr="00C67ABB" w14:paraId="226ABCCB" w14:textId="77777777" w:rsidTr="00A81F2F">
        <w:trPr>
          <w:trHeight w:val="890"/>
          <w:jc w:val="center"/>
        </w:trPr>
        <w:tc>
          <w:tcPr>
            <w:tcW w:w="238" w:type="pct"/>
            <w:tcBorders>
              <w:top w:val="single" w:sz="4" w:space="0" w:color="008000"/>
              <w:bottom w:val="single" w:sz="4" w:space="0" w:color="008000"/>
            </w:tcBorders>
            <w:shd w:val="clear" w:color="auto" w:fill="FFFFFF"/>
            <w:vAlign w:val="center"/>
          </w:tcPr>
          <w:p w14:paraId="1250A6FC" w14:textId="3E93E788" w:rsidR="004E7914" w:rsidRPr="00C67ABB" w:rsidRDefault="004E7914" w:rsidP="00A7316B">
            <w:pPr>
              <w:pStyle w:val="Nessunaspaziatura"/>
              <w:jc w:val="center"/>
              <w:rPr>
                <w:rFonts w:cs="Arial"/>
                <w:sz w:val="16"/>
                <w:szCs w:val="16"/>
                <w:lang w:val="it-IT"/>
              </w:rPr>
            </w:pPr>
            <w:r w:rsidRPr="00C67ABB">
              <w:rPr>
                <w:sz w:val="16"/>
                <w:szCs w:val="16"/>
              </w:rPr>
              <w:t>5</w:t>
            </w:r>
          </w:p>
        </w:tc>
        <w:tc>
          <w:tcPr>
            <w:tcW w:w="317" w:type="pct"/>
            <w:tcBorders>
              <w:top w:val="single" w:sz="4" w:space="0" w:color="008000"/>
              <w:bottom w:val="single" w:sz="4" w:space="0" w:color="008000"/>
            </w:tcBorders>
            <w:shd w:val="clear" w:color="auto" w:fill="FFFFFF"/>
            <w:vAlign w:val="center"/>
          </w:tcPr>
          <w:p w14:paraId="3B22BD75" w14:textId="42317E51" w:rsidR="004E7914" w:rsidRPr="00C67ABB" w:rsidRDefault="00C24F10" w:rsidP="00A7316B">
            <w:pPr>
              <w:pStyle w:val="Nessunaspaziatura"/>
              <w:jc w:val="center"/>
              <w:rPr>
                <w:rFonts w:cs="Arial"/>
                <w:sz w:val="16"/>
                <w:szCs w:val="16"/>
                <w:lang w:val="it-IT"/>
              </w:rPr>
            </w:pPr>
            <w:r>
              <w:rPr>
                <w:sz w:val="16"/>
                <w:szCs w:val="16"/>
              </w:rPr>
              <w:t>3</w:t>
            </w:r>
            <w:r w:rsidR="00B844E4">
              <w:rPr>
                <w:sz w:val="16"/>
                <w:szCs w:val="16"/>
              </w:rPr>
              <w:t>.</w:t>
            </w:r>
            <w:r w:rsidR="004E7914" w:rsidRPr="00C67ABB">
              <w:rPr>
                <w:sz w:val="16"/>
                <w:szCs w:val="16"/>
              </w:rPr>
              <w:t>l.F</w:t>
            </w:r>
          </w:p>
        </w:tc>
        <w:tc>
          <w:tcPr>
            <w:tcW w:w="635" w:type="pct"/>
            <w:tcBorders>
              <w:top w:val="single" w:sz="4" w:space="0" w:color="008000"/>
              <w:bottom w:val="single" w:sz="4" w:space="0" w:color="008000"/>
            </w:tcBorders>
            <w:shd w:val="clear" w:color="auto" w:fill="FFFFFF"/>
            <w:vAlign w:val="center"/>
          </w:tcPr>
          <w:p w14:paraId="3ECAF5EA" w14:textId="7FC7C62F" w:rsidR="004E7914" w:rsidRPr="00C67ABB" w:rsidRDefault="00AC37F8" w:rsidP="00A7316B">
            <w:pPr>
              <w:pStyle w:val="Nessunaspaziatura"/>
              <w:jc w:val="center"/>
              <w:rPr>
                <w:rFonts w:cs="Arial"/>
                <w:sz w:val="16"/>
                <w:szCs w:val="16"/>
                <w:lang w:val="en-US"/>
              </w:rPr>
            </w:pPr>
            <w:r w:rsidRPr="00C67ABB">
              <w:rPr>
                <w:sz w:val="16"/>
                <w:szCs w:val="16"/>
              </w:rPr>
              <w:t>Fault in steam production</w:t>
            </w:r>
            <w:r w:rsidR="004E7914" w:rsidRPr="00C67ABB">
              <w:rPr>
                <w:sz w:val="16"/>
                <w:szCs w:val="16"/>
              </w:rPr>
              <w:br/>
              <w:t>OR</w:t>
            </w:r>
            <w:r w:rsidR="004E7914" w:rsidRPr="00C67ABB">
              <w:rPr>
                <w:sz w:val="16"/>
                <w:szCs w:val="16"/>
              </w:rPr>
              <w:br/>
              <w:t>TIC</w:t>
            </w:r>
            <w:r w:rsidR="00B844E4">
              <w:rPr>
                <w:sz w:val="16"/>
                <w:szCs w:val="16"/>
              </w:rPr>
              <w:t>-</w:t>
            </w:r>
            <w:r w:rsidR="004E7914" w:rsidRPr="00C67ABB">
              <w:rPr>
                <w:sz w:val="16"/>
                <w:szCs w:val="16"/>
              </w:rPr>
              <w:t>0</w:t>
            </w:r>
            <w:r w:rsidR="00A354DF">
              <w:rPr>
                <w:sz w:val="16"/>
                <w:szCs w:val="16"/>
              </w:rPr>
              <w:t>1</w:t>
            </w:r>
            <w:r w:rsidR="004E7914" w:rsidRPr="00C67ABB">
              <w:rPr>
                <w:sz w:val="16"/>
                <w:szCs w:val="16"/>
              </w:rPr>
              <w:t>1 (fail high)</w:t>
            </w:r>
          </w:p>
        </w:tc>
        <w:tc>
          <w:tcPr>
            <w:tcW w:w="714" w:type="pct"/>
            <w:tcBorders>
              <w:top w:val="single" w:sz="4" w:space="0" w:color="008000"/>
              <w:bottom w:val="single" w:sz="4" w:space="0" w:color="008000"/>
            </w:tcBorders>
            <w:shd w:val="clear" w:color="auto" w:fill="FFFFFF"/>
            <w:vAlign w:val="center"/>
          </w:tcPr>
          <w:p w14:paraId="0B48E5A2" w14:textId="754C3313" w:rsidR="004E7914" w:rsidRPr="00C67ABB" w:rsidRDefault="00C24F10" w:rsidP="00A7316B">
            <w:pPr>
              <w:pStyle w:val="Nessunaspaziatura"/>
              <w:jc w:val="center"/>
              <w:rPr>
                <w:rFonts w:cs="Arial"/>
                <w:sz w:val="16"/>
                <w:szCs w:val="16"/>
                <w:lang w:val="it-IT"/>
              </w:rPr>
            </w:pPr>
            <w:r>
              <w:rPr>
                <w:sz w:val="16"/>
                <w:szCs w:val="16"/>
              </w:rPr>
              <w:t>4</w:t>
            </w:r>
            <w:r w:rsidR="00B844E4">
              <w:rPr>
                <w:sz w:val="16"/>
                <w:szCs w:val="16"/>
              </w:rPr>
              <w:t>.</w:t>
            </w:r>
            <w:r w:rsidR="004E7914" w:rsidRPr="00C67ABB">
              <w:rPr>
                <w:sz w:val="16"/>
                <w:szCs w:val="16"/>
              </w:rPr>
              <w:t>l</w:t>
            </w:r>
            <w:r w:rsidR="00B844E4">
              <w:rPr>
                <w:sz w:val="16"/>
                <w:szCs w:val="16"/>
              </w:rPr>
              <w:t>.</w:t>
            </w:r>
            <w:r w:rsidR="004E7914" w:rsidRPr="00C67ABB">
              <w:rPr>
                <w:sz w:val="16"/>
                <w:szCs w:val="16"/>
              </w:rPr>
              <w:t>T</w:t>
            </w:r>
          </w:p>
        </w:tc>
        <w:tc>
          <w:tcPr>
            <w:tcW w:w="714" w:type="pct"/>
            <w:tcBorders>
              <w:top w:val="single" w:sz="4" w:space="0" w:color="008000"/>
              <w:bottom w:val="single" w:sz="4" w:space="0" w:color="008000"/>
            </w:tcBorders>
            <w:shd w:val="clear" w:color="auto" w:fill="FFFFFF"/>
            <w:vAlign w:val="center"/>
          </w:tcPr>
          <w:p w14:paraId="069E203E" w14:textId="2D424E7F" w:rsidR="004E7914" w:rsidRPr="00C67ABB" w:rsidRDefault="00C24F10" w:rsidP="00A7316B">
            <w:pPr>
              <w:pStyle w:val="Nessunaspaziatura"/>
              <w:jc w:val="center"/>
              <w:rPr>
                <w:rFonts w:cs="Arial"/>
                <w:sz w:val="16"/>
                <w:szCs w:val="16"/>
                <w:lang w:val="it-IT"/>
              </w:rPr>
            </w:pPr>
            <w:r>
              <w:rPr>
                <w:sz w:val="16"/>
                <w:szCs w:val="16"/>
              </w:rPr>
              <w:t>4</w:t>
            </w:r>
            <w:r w:rsidR="00B844E4">
              <w:rPr>
                <w:sz w:val="16"/>
                <w:szCs w:val="16"/>
              </w:rPr>
              <w:t>.</w:t>
            </w:r>
            <w:r w:rsidR="004E7914" w:rsidRPr="00C67ABB">
              <w:rPr>
                <w:sz w:val="16"/>
                <w:szCs w:val="16"/>
              </w:rPr>
              <w:t>l</w:t>
            </w:r>
            <w:r w:rsidR="00B844E4">
              <w:rPr>
                <w:sz w:val="16"/>
                <w:szCs w:val="16"/>
              </w:rPr>
              <w:t>.</w:t>
            </w:r>
            <w:r w:rsidR="004E7914" w:rsidRPr="00C67ABB">
              <w:rPr>
                <w:sz w:val="16"/>
                <w:szCs w:val="16"/>
              </w:rPr>
              <w:t>T</w:t>
            </w:r>
          </w:p>
        </w:tc>
        <w:tc>
          <w:tcPr>
            <w:tcW w:w="556" w:type="pct"/>
            <w:tcBorders>
              <w:top w:val="single" w:sz="4" w:space="0" w:color="008000"/>
              <w:bottom w:val="single" w:sz="4" w:space="0" w:color="008000"/>
            </w:tcBorders>
            <w:shd w:val="clear" w:color="auto" w:fill="FFFFFF"/>
            <w:vAlign w:val="center"/>
          </w:tcPr>
          <w:p w14:paraId="7B479A53" w14:textId="2B0C25B0" w:rsidR="004E7914" w:rsidRPr="00C67ABB" w:rsidRDefault="004E7914" w:rsidP="00A7316B">
            <w:pPr>
              <w:pStyle w:val="Nessunaspaziatura"/>
              <w:jc w:val="center"/>
              <w:rPr>
                <w:rFonts w:cs="Arial"/>
                <w:sz w:val="16"/>
                <w:szCs w:val="16"/>
                <w:lang w:val="it-IT"/>
              </w:rPr>
            </w:pPr>
            <w:r w:rsidRPr="00C67ABB">
              <w:rPr>
                <w:sz w:val="16"/>
                <w:szCs w:val="16"/>
              </w:rPr>
              <w:t>-</w:t>
            </w:r>
          </w:p>
        </w:tc>
        <w:tc>
          <w:tcPr>
            <w:tcW w:w="635" w:type="pct"/>
            <w:tcBorders>
              <w:top w:val="single" w:sz="4" w:space="0" w:color="008000"/>
              <w:bottom w:val="single" w:sz="4" w:space="0" w:color="008000"/>
              <w:right w:val="single" w:sz="12" w:space="0" w:color="FFFFFF" w:themeColor="background1"/>
            </w:tcBorders>
            <w:shd w:val="clear" w:color="auto" w:fill="FFFFFF"/>
            <w:vAlign w:val="center"/>
          </w:tcPr>
          <w:p w14:paraId="04F85E03" w14:textId="0C0E9BDF" w:rsidR="004E7914" w:rsidRPr="00C67ABB" w:rsidRDefault="004E7914" w:rsidP="00A7316B">
            <w:pPr>
              <w:pStyle w:val="Nessunaspaziatura"/>
              <w:jc w:val="center"/>
              <w:rPr>
                <w:rFonts w:cs="Arial"/>
                <w:sz w:val="16"/>
                <w:szCs w:val="16"/>
                <w:lang w:val="it-IT"/>
              </w:rPr>
            </w:pPr>
            <w:r w:rsidRPr="00C67ABB">
              <w:rPr>
                <w:sz w:val="16"/>
                <w:szCs w:val="16"/>
              </w:rPr>
              <w:t>-</w:t>
            </w:r>
          </w:p>
        </w:tc>
        <w:tc>
          <w:tcPr>
            <w:tcW w:w="555" w:type="pct"/>
            <w:tcBorders>
              <w:top w:val="single" w:sz="4" w:space="0" w:color="008000"/>
              <w:left w:val="single" w:sz="12" w:space="0" w:color="FFFFFF" w:themeColor="background1"/>
              <w:bottom w:val="single" w:sz="4" w:space="0" w:color="008000"/>
            </w:tcBorders>
            <w:shd w:val="clear" w:color="auto" w:fill="FFFFFF"/>
            <w:vAlign w:val="center"/>
          </w:tcPr>
          <w:p w14:paraId="473B564E" w14:textId="277E5FB4" w:rsidR="004E7914" w:rsidRPr="00C67ABB" w:rsidRDefault="004E7914" w:rsidP="00A7316B">
            <w:pPr>
              <w:pStyle w:val="Nessunaspaziatura"/>
              <w:jc w:val="center"/>
              <w:rPr>
                <w:rFonts w:cs="Arial"/>
                <w:sz w:val="16"/>
                <w:szCs w:val="16"/>
                <w:lang w:val="it-IT"/>
              </w:rPr>
            </w:pPr>
            <w:r w:rsidRPr="00C67ABB">
              <w:rPr>
                <w:sz w:val="16"/>
                <w:szCs w:val="16"/>
              </w:rPr>
              <w:t>-</w:t>
            </w:r>
          </w:p>
        </w:tc>
        <w:tc>
          <w:tcPr>
            <w:tcW w:w="397" w:type="pct"/>
            <w:tcBorders>
              <w:top w:val="single" w:sz="4" w:space="0" w:color="008000"/>
              <w:bottom w:val="single" w:sz="4" w:space="0" w:color="008000"/>
            </w:tcBorders>
            <w:shd w:val="clear" w:color="auto" w:fill="FFFFFF"/>
            <w:vAlign w:val="center"/>
          </w:tcPr>
          <w:p w14:paraId="4A6AD789" w14:textId="4F8E5ED8" w:rsidR="004E7914" w:rsidRPr="00C67ABB" w:rsidRDefault="00C67ABB" w:rsidP="00A7316B">
            <w:pPr>
              <w:pStyle w:val="Nessunaspaziatura"/>
              <w:jc w:val="center"/>
              <w:rPr>
                <w:rFonts w:cs="Arial"/>
                <w:sz w:val="16"/>
                <w:szCs w:val="16"/>
                <w:lang w:val="it-IT"/>
              </w:rPr>
            </w:pPr>
            <w:r w:rsidRPr="00C67ABB">
              <w:rPr>
                <w:rFonts w:cs="Arial"/>
                <w:sz w:val="16"/>
                <w:szCs w:val="16"/>
                <w:lang w:val="it-IT"/>
              </w:rPr>
              <w:t>-</w:t>
            </w:r>
          </w:p>
        </w:tc>
        <w:tc>
          <w:tcPr>
            <w:tcW w:w="237" w:type="pct"/>
            <w:tcBorders>
              <w:top w:val="single" w:sz="4" w:space="0" w:color="008000"/>
              <w:bottom w:val="single" w:sz="4" w:space="0" w:color="008000"/>
            </w:tcBorders>
            <w:shd w:val="clear" w:color="auto" w:fill="FFFFFF"/>
            <w:vAlign w:val="center"/>
          </w:tcPr>
          <w:p w14:paraId="7FDB7D81" w14:textId="393208F5" w:rsidR="004E7914" w:rsidRPr="00C67ABB" w:rsidRDefault="00C67ABB" w:rsidP="00A7316B">
            <w:pPr>
              <w:pStyle w:val="Nessunaspaziatura"/>
              <w:jc w:val="center"/>
              <w:rPr>
                <w:rFonts w:cs="Arial"/>
                <w:sz w:val="16"/>
                <w:szCs w:val="16"/>
                <w:lang w:val="it-IT"/>
              </w:rPr>
            </w:pPr>
            <w:r w:rsidRPr="00C67ABB">
              <w:rPr>
                <w:rFonts w:cs="Arial"/>
                <w:sz w:val="16"/>
                <w:szCs w:val="16"/>
                <w:lang w:val="it-IT"/>
              </w:rPr>
              <w:t>-</w:t>
            </w:r>
          </w:p>
        </w:tc>
      </w:tr>
      <w:tr w:rsidR="004E7914" w:rsidRPr="00C67ABB" w14:paraId="32624528" w14:textId="77777777" w:rsidTr="00C67ABB">
        <w:trPr>
          <w:trHeight w:val="1188"/>
          <w:jc w:val="center"/>
        </w:trPr>
        <w:tc>
          <w:tcPr>
            <w:tcW w:w="238" w:type="pct"/>
            <w:tcBorders>
              <w:top w:val="single" w:sz="4" w:space="0" w:color="008000"/>
              <w:bottom w:val="single" w:sz="4" w:space="0" w:color="008000"/>
            </w:tcBorders>
            <w:shd w:val="clear" w:color="auto" w:fill="FFFFFF"/>
            <w:vAlign w:val="center"/>
          </w:tcPr>
          <w:p w14:paraId="4182C340" w14:textId="362A3DE1" w:rsidR="004E7914" w:rsidRPr="00C67ABB" w:rsidRDefault="004E7914" w:rsidP="00A7316B">
            <w:pPr>
              <w:pStyle w:val="Nessunaspaziatura"/>
              <w:jc w:val="center"/>
              <w:rPr>
                <w:rFonts w:cs="Arial"/>
                <w:sz w:val="16"/>
                <w:szCs w:val="16"/>
                <w:lang w:val="it-IT"/>
              </w:rPr>
            </w:pPr>
            <w:r w:rsidRPr="00C67ABB">
              <w:rPr>
                <w:sz w:val="16"/>
                <w:szCs w:val="16"/>
              </w:rPr>
              <w:lastRenderedPageBreak/>
              <w:t>6</w:t>
            </w:r>
          </w:p>
        </w:tc>
        <w:tc>
          <w:tcPr>
            <w:tcW w:w="317" w:type="pct"/>
            <w:tcBorders>
              <w:top w:val="single" w:sz="4" w:space="0" w:color="008000"/>
              <w:bottom w:val="single" w:sz="4" w:space="0" w:color="008000"/>
            </w:tcBorders>
            <w:shd w:val="clear" w:color="auto" w:fill="FFFFFF"/>
            <w:vAlign w:val="center"/>
          </w:tcPr>
          <w:p w14:paraId="50894338" w14:textId="5E1A7747" w:rsidR="004E7914" w:rsidRPr="00C67ABB" w:rsidRDefault="00C24F10" w:rsidP="00A7316B">
            <w:pPr>
              <w:pStyle w:val="Nessunaspaziatura"/>
              <w:jc w:val="center"/>
              <w:rPr>
                <w:rFonts w:cs="Arial"/>
                <w:sz w:val="16"/>
                <w:szCs w:val="16"/>
                <w:lang w:val="it-IT"/>
              </w:rPr>
            </w:pPr>
            <w:r>
              <w:rPr>
                <w:sz w:val="16"/>
                <w:szCs w:val="16"/>
              </w:rPr>
              <w:t>3</w:t>
            </w:r>
            <w:r w:rsidR="00B844E4">
              <w:rPr>
                <w:sz w:val="16"/>
                <w:szCs w:val="16"/>
              </w:rPr>
              <w:t>.</w:t>
            </w:r>
            <w:r w:rsidR="004E7914" w:rsidRPr="00C67ABB">
              <w:rPr>
                <w:sz w:val="16"/>
                <w:szCs w:val="16"/>
              </w:rPr>
              <w:t>No</w:t>
            </w:r>
            <w:r w:rsidR="00B844E4">
              <w:rPr>
                <w:sz w:val="16"/>
                <w:szCs w:val="16"/>
              </w:rPr>
              <w:t>.</w:t>
            </w:r>
            <w:r w:rsidR="004E7914" w:rsidRPr="00C67ABB">
              <w:rPr>
                <w:sz w:val="16"/>
                <w:szCs w:val="16"/>
              </w:rPr>
              <w:t>F</w:t>
            </w:r>
          </w:p>
        </w:tc>
        <w:tc>
          <w:tcPr>
            <w:tcW w:w="635" w:type="pct"/>
            <w:tcBorders>
              <w:top w:val="single" w:sz="4" w:space="0" w:color="008000"/>
              <w:bottom w:val="single" w:sz="4" w:space="0" w:color="008000"/>
            </w:tcBorders>
            <w:shd w:val="clear" w:color="auto" w:fill="FFFFFF"/>
            <w:vAlign w:val="center"/>
          </w:tcPr>
          <w:p w14:paraId="3CE4946F" w14:textId="274DB476" w:rsidR="004E7914" w:rsidRPr="00C67ABB" w:rsidRDefault="00AC37F8" w:rsidP="00A7316B">
            <w:pPr>
              <w:pStyle w:val="Nessunaspaziatura"/>
              <w:jc w:val="center"/>
              <w:rPr>
                <w:rFonts w:cs="Arial"/>
                <w:sz w:val="16"/>
                <w:szCs w:val="16"/>
                <w:lang w:val="en-US"/>
              </w:rPr>
            </w:pPr>
            <w:r w:rsidRPr="00C67ABB">
              <w:rPr>
                <w:sz w:val="16"/>
                <w:szCs w:val="16"/>
              </w:rPr>
              <w:t>Fault in steam production</w:t>
            </w:r>
            <w:r w:rsidR="004E7914" w:rsidRPr="00C67ABB">
              <w:rPr>
                <w:sz w:val="16"/>
                <w:szCs w:val="16"/>
              </w:rPr>
              <w:br/>
              <w:t>OR</w:t>
            </w:r>
            <w:r w:rsidR="004E7914" w:rsidRPr="00C67ABB">
              <w:rPr>
                <w:sz w:val="16"/>
                <w:szCs w:val="16"/>
              </w:rPr>
              <w:br/>
              <w:t>TIC</w:t>
            </w:r>
            <w:r w:rsidR="00B844E4">
              <w:rPr>
                <w:sz w:val="16"/>
                <w:szCs w:val="16"/>
              </w:rPr>
              <w:t>-</w:t>
            </w:r>
            <w:r w:rsidR="004E7914" w:rsidRPr="00C67ABB">
              <w:rPr>
                <w:sz w:val="16"/>
                <w:szCs w:val="16"/>
              </w:rPr>
              <w:t>0</w:t>
            </w:r>
            <w:r w:rsidR="00A354DF">
              <w:rPr>
                <w:sz w:val="16"/>
                <w:szCs w:val="16"/>
              </w:rPr>
              <w:t>1</w:t>
            </w:r>
            <w:r w:rsidR="004E7914" w:rsidRPr="00C67ABB">
              <w:rPr>
                <w:sz w:val="16"/>
                <w:szCs w:val="16"/>
              </w:rPr>
              <w:t>1 (fail high)</w:t>
            </w:r>
            <w:r w:rsidR="004E7914" w:rsidRPr="00C67ABB">
              <w:rPr>
                <w:sz w:val="16"/>
                <w:szCs w:val="16"/>
              </w:rPr>
              <w:br/>
              <w:t>OR</w:t>
            </w:r>
            <w:r w:rsidR="004E7914" w:rsidRPr="00C67ABB">
              <w:rPr>
                <w:sz w:val="16"/>
                <w:szCs w:val="16"/>
              </w:rPr>
              <w:br/>
              <w:t>TV</w:t>
            </w:r>
            <w:r w:rsidR="00B844E4">
              <w:rPr>
                <w:sz w:val="16"/>
                <w:szCs w:val="16"/>
              </w:rPr>
              <w:t>-</w:t>
            </w:r>
            <w:r w:rsidR="004E7914" w:rsidRPr="00C67ABB">
              <w:rPr>
                <w:sz w:val="16"/>
                <w:szCs w:val="16"/>
              </w:rPr>
              <w:t>0</w:t>
            </w:r>
            <w:r w:rsidR="00A354DF">
              <w:rPr>
                <w:sz w:val="16"/>
                <w:szCs w:val="16"/>
              </w:rPr>
              <w:t>1</w:t>
            </w:r>
            <w:r w:rsidR="004E7914" w:rsidRPr="00C67ABB">
              <w:rPr>
                <w:sz w:val="16"/>
                <w:szCs w:val="16"/>
              </w:rPr>
              <w:t>1 (fail closed)</w:t>
            </w:r>
          </w:p>
        </w:tc>
        <w:tc>
          <w:tcPr>
            <w:tcW w:w="714" w:type="pct"/>
            <w:tcBorders>
              <w:top w:val="single" w:sz="4" w:space="0" w:color="008000"/>
              <w:bottom w:val="single" w:sz="4" w:space="0" w:color="008000"/>
            </w:tcBorders>
            <w:shd w:val="clear" w:color="auto" w:fill="FFFFFF"/>
            <w:vAlign w:val="center"/>
          </w:tcPr>
          <w:p w14:paraId="281F3F0B" w14:textId="017B62C5" w:rsidR="004E7914" w:rsidRPr="00C67ABB" w:rsidRDefault="00C24F10" w:rsidP="00A7316B">
            <w:pPr>
              <w:pStyle w:val="Nessunaspaziatura"/>
              <w:jc w:val="center"/>
              <w:rPr>
                <w:rFonts w:cs="Arial"/>
                <w:sz w:val="16"/>
                <w:szCs w:val="16"/>
                <w:lang w:val="it-IT"/>
              </w:rPr>
            </w:pPr>
            <w:r>
              <w:rPr>
                <w:sz w:val="16"/>
                <w:szCs w:val="16"/>
              </w:rPr>
              <w:t>4</w:t>
            </w:r>
            <w:r w:rsidR="00B844E4">
              <w:rPr>
                <w:sz w:val="16"/>
                <w:szCs w:val="16"/>
              </w:rPr>
              <w:t>.</w:t>
            </w:r>
            <w:r w:rsidR="004E7914" w:rsidRPr="00C67ABB">
              <w:rPr>
                <w:sz w:val="16"/>
                <w:szCs w:val="16"/>
              </w:rPr>
              <w:t>l</w:t>
            </w:r>
            <w:r w:rsidR="00B844E4">
              <w:rPr>
                <w:sz w:val="16"/>
                <w:szCs w:val="16"/>
              </w:rPr>
              <w:t>.</w:t>
            </w:r>
            <w:r w:rsidR="004E7914" w:rsidRPr="00C67ABB">
              <w:rPr>
                <w:sz w:val="16"/>
                <w:szCs w:val="16"/>
              </w:rPr>
              <w:t>T</w:t>
            </w:r>
          </w:p>
        </w:tc>
        <w:tc>
          <w:tcPr>
            <w:tcW w:w="714" w:type="pct"/>
            <w:tcBorders>
              <w:top w:val="single" w:sz="4" w:space="0" w:color="008000"/>
              <w:bottom w:val="single" w:sz="4" w:space="0" w:color="008000"/>
            </w:tcBorders>
            <w:shd w:val="clear" w:color="auto" w:fill="FFFFFF"/>
            <w:vAlign w:val="center"/>
          </w:tcPr>
          <w:p w14:paraId="51C23EDE" w14:textId="1B71718E" w:rsidR="004E7914" w:rsidRPr="00C67ABB" w:rsidRDefault="00C24F10" w:rsidP="00A7316B">
            <w:pPr>
              <w:pStyle w:val="Nessunaspaziatura"/>
              <w:jc w:val="center"/>
              <w:rPr>
                <w:rFonts w:cs="Arial"/>
                <w:sz w:val="16"/>
                <w:szCs w:val="16"/>
                <w:lang w:val="it-IT"/>
              </w:rPr>
            </w:pPr>
            <w:r>
              <w:rPr>
                <w:sz w:val="16"/>
                <w:szCs w:val="16"/>
              </w:rPr>
              <w:t>4</w:t>
            </w:r>
            <w:r w:rsidR="00B844E4">
              <w:rPr>
                <w:sz w:val="16"/>
                <w:szCs w:val="16"/>
              </w:rPr>
              <w:t>.</w:t>
            </w:r>
            <w:r w:rsidR="004E7914" w:rsidRPr="00C67ABB">
              <w:rPr>
                <w:sz w:val="16"/>
                <w:szCs w:val="16"/>
              </w:rPr>
              <w:t>l</w:t>
            </w:r>
            <w:r w:rsidR="00B844E4">
              <w:rPr>
                <w:sz w:val="16"/>
                <w:szCs w:val="16"/>
              </w:rPr>
              <w:t>.</w:t>
            </w:r>
            <w:r w:rsidR="004E7914" w:rsidRPr="00C67ABB">
              <w:rPr>
                <w:sz w:val="16"/>
                <w:szCs w:val="16"/>
              </w:rPr>
              <w:t>T</w:t>
            </w:r>
          </w:p>
        </w:tc>
        <w:tc>
          <w:tcPr>
            <w:tcW w:w="556" w:type="pct"/>
            <w:tcBorders>
              <w:top w:val="single" w:sz="4" w:space="0" w:color="008000"/>
              <w:bottom w:val="single" w:sz="4" w:space="0" w:color="008000"/>
            </w:tcBorders>
            <w:shd w:val="clear" w:color="auto" w:fill="FFFFFF"/>
            <w:vAlign w:val="center"/>
          </w:tcPr>
          <w:p w14:paraId="23F2BB7E" w14:textId="47282D08" w:rsidR="004E7914" w:rsidRPr="00C67ABB" w:rsidRDefault="004E7914" w:rsidP="00A7316B">
            <w:pPr>
              <w:pStyle w:val="Nessunaspaziatura"/>
              <w:jc w:val="center"/>
              <w:rPr>
                <w:rFonts w:cs="Arial"/>
                <w:sz w:val="16"/>
                <w:szCs w:val="16"/>
                <w:lang w:val="it-IT"/>
              </w:rPr>
            </w:pPr>
            <w:r w:rsidRPr="00C67ABB">
              <w:rPr>
                <w:sz w:val="16"/>
                <w:szCs w:val="16"/>
              </w:rPr>
              <w:t>-</w:t>
            </w:r>
          </w:p>
        </w:tc>
        <w:tc>
          <w:tcPr>
            <w:tcW w:w="635" w:type="pct"/>
            <w:tcBorders>
              <w:top w:val="single" w:sz="4" w:space="0" w:color="008000"/>
              <w:bottom w:val="single" w:sz="4" w:space="0" w:color="008000"/>
              <w:right w:val="single" w:sz="12" w:space="0" w:color="FFFFFF" w:themeColor="background1"/>
            </w:tcBorders>
            <w:shd w:val="clear" w:color="auto" w:fill="FFFFFF"/>
            <w:vAlign w:val="center"/>
          </w:tcPr>
          <w:p w14:paraId="320F9961" w14:textId="6B5471CE" w:rsidR="004E7914" w:rsidRPr="00C67ABB" w:rsidRDefault="004E7914" w:rsidP="00A7316B">
            <w:pPr>
              <w:pStyle w:val="Nessunaspaziatura"/>
              <w:jc w:val="center"/>
              <w:rPr>
                <w:rFonts w:cs="Arial"/>
                <w:sz w:val="16"/>
                <w:szCs w:val="16"/>
                <w:lang w:val="it-IT"/>
              </w:rPr>
            </w:pPr>
            <w:r w:rsidRPr="00C67ABB">
              <w:rPr>
                <w:sz w:val="16"/>
                <w:szCs w:val="16"/>
              </w:rPr>
              <w:t>-</w:t>
            </w:r>
          </w:p>
        </w:tc>
        <w:tc>
          <w:tcPr>
            <w:tcW w:w="555" w:type="pct"/>
            <w:tcBorders>
              <w:top w:val="single" w:sz="4" w:space="0" w:color="008000"/>
              <w:left w:val="single" w:sz="12" w:space="0" w:color="FFFFFF" w:themeColor="background1"/>
              <w:bottom w:val="single" w:sz="4" w:space="0" w:color="008000"/>
            </w:tcBorders>
            <w:shd w:val="clear" w:color="auto" w:fill="FFFFFF"/>
            <w:vAlign w:val="center"/>
          </w:tcPr>
          <w:p w14:paraId="1B7BF874" w14:textId="219EED3D" w:rsidR="004E7914" w:rsidRPr="00C67ABB" w:rsidRDefault="004E7914" w:rsidP="00A7316B">
            <w:pPr>
              <w:pStyle w:val="Nessunaspaziatura"/>
              <w:jc w:val="center"/>
              <w:rPr>
                <w:rFonts w:cs="Arial"/>
                <w:sz w:val="16"/>
                <w:szCs w:val="16"/>
                <w:lang w:val="it-IT"/>
              </w:rPr>
            </w:pPr>
            <w:r w:rsidRPr="00C67ABB">
              <w:rPr>
                <w:sz w:val="16"/>
                <w:szCs w:val="16"/>
              </w:rPr>
              <w:t>-</w:t>
            </w:r>
          </w:p>
        </w:tc>
        <w:tc>
          <w:tcPr>
            <w:tcW w:w="397" w:type="pct"/>
            <w:tcBorders>
              <w:top w:val="single" w:sz="4" w:space="0" w:color="008000"/>
              <w:bottom w:val="single" w:sz="4" w:space="0" w:color="008000"/>
            </w:tcBorders>
            <w:shd w:val="clear" w:color="auto" w:fill="FFFFFF"/>
            <w:vAlign w:val="center"/>
          </w:tcPr>
          <w:p w14:paraId="7DF7484A" w14:textId="23D95505" w:rsidR="004E7914" w:rsidRPr="00C67ABB" w:rsidRDefault="00C67ABB" w:rsidP="00A7316B">
            <w:pPr>
              <w:pStyle w:val="Nessunaspaziatura"/>
              <w:jc w:val="center"/>
              <w:rPr>
                <w:rFonts w:cs="Arial"/>
                <w:sz w:val="16"/>
                <w:szCs w:val="16"/>
                <w:lang w:val="it-IT"/>
              </w:rPr>
            </w:pPr>
            <w:r w:rsidRPr="00C67ABB">
              <w:rPr>
                <w:rFonts w:cs="Arial"/>
                <w:sz w:val="16"/>
                <w:szCs w:val="16"/>
                <w:lang w:val="it-IT"/>
              </w:rPr>
              <w:t>-</w:t>
            </w:r>
          </w:p>
        </w:tc>
        <w:tc>
          <w:tcPr>
            <w:tcW w:w="237" w:type="pct"/>
            <w:tcBorders>
              <w:top w:val="single" w:sz="4" w:space="0" w:color="008000"/>
              <w:bottom w:val="single" w:sz="4" w:space="0" w:color="008000"/>
            </w:tcBorders>
            <w:shd w:val="clear" w:color="auto" w:fill="FFFFFF"/>
            <w:vAlign w:val="center"/>
          </w:tcPr>
          <w:p w14:paraId="129D2A09" w14:textId="639F5E68" w:rsidR="004E7914" w:rsidRPr="00C67ABB" w:rsidRDefault="00C67ABB" w:rsidP="00A7316B">
            <w:pPr>
              <w:pStyle w:val="Nessunaspaziatura"/>
              <w:jc w:val="center"/>
              <w:rPr>
                <w:rFonts w:cs="Arial"/>
                <w:sz w:val="16"/>
                <w:szCs w:val="16"/>
                <w:lang w:val="it-IT"/>
              </w:rPr>
            </w:pPr>
            <w:r w:rsidRPr="00C67ABB">
              <w:rPr>
                <w:rFonts w:cs="Arial"/>
                <w:sz w:val="16"/>
                <w:szCs w:val="16"/>
                <w:lang w:val="it-IT"/>
              </w:rPr>
              <w:t>-</w:t>
            </w:r>
          </w:p>
        </w:tc>
      </w:tr>
      <w:tr w:rsidR="00AC37F8" w:rsidRPr="00C67ABB" w14:paraId="21179180" w14:textId="77777777" w:rsidTr="00C67ABB">
        <w:trPr>
          <w:trHeight w:val="1188"/>
          <w:jc w:val="center"/>
        </w:trPr>
        <w:tc>
          <w:tcPr>
            <w:tcW w:w="238" w:type="pct"/>
            <w:tcBorders>
              <w:top w:val="single" w:sz="4" w:space="0" w:color="008000"/>
              <w:bottom w:val="single" w:sz="4" w:space="0" w:color="008000"/>
            </w:tcBorders>
            <w:shd w:val="clear" w:color="auto" w:fill="FFFFFF"/>
          </w:tcPr>
          <w:p w14:paraId="6BD435D3" w14:textId="7BAF0018" w:rsidR="00AC37F8" w:rsidRPr="00C67ABB" w:rsidRDefault="00AC37F8" w:rsidP="00A7316B">
            <w:pPr>
              <w:pStyle w:val="Nessunaspaziatura"/>
              <w:jc w:val="center"/>
              <w:rPr>
                <w:sz w:val="16"/>
                <w:szCs w:val="16"/>
              </w:rPr>
            </w:pPr>
            <w:r w:rsidRPr="00C67ABB">
              <w:rPr>
                <w:sz w:val="16"/>
                <w:szCs w:val="16"/>
              </w:rPr>
              <w:t>7</w:t>
            </w:r>
          </w:p>
        </w:tc>
        <w:tc>
          <w:tcPr>
            <w:tcW w:w="317" w:type="pct"/>
            <w:tcBorders>
              <w:top w:val="single" w:sz="4" w:space="0" w:color="008000"/>
              <w:bottom w:val="single" w:sz="4" w:space="0" w:color="008000"/>
            </w:tcBorders>
            <w:shd w:val="clear" w:color="auto" w:fill="FFFFFF"/>
          </w:tcPr>
          <w:p w14:paraId="4721C0C2" w14:textId="1CFFE14C" w:rsidR="00AC37F8" w:rsidRPr="00C67ABB" w:rsidRDefault="00C24F10" w:rsidP="00A7316B">
            <w:pPr>
              <w:pStyle w:val="Nessunaspaziatura"/>
              <w:jc w:val="center"/>
              <w:rPr>
                <w:sz w:val="16"/>
                <w:szCs w:val="16"/>
              </w:rPr>
            </w:pPr>
            <w:r>
              <w:rPr>
                <w:sz w:val="16"/>
                <w:szCs w:val="16"/>
              </w:rPr>
              <w:t>3</w:t>
            </w:r>
            <w:r w:rsidR="00B844E4">
              <w:rPr>
                <w:sz w:val="16"/>
                <w:szCs w:val="16"/>
              </w:rPr>
              <w:t>.</w:t>
            </w:r>
            <w:r w:rsidR="00AC37F8" w:rsidRPr="00C67ABB">
              <w:rPr>
                <w:sz w:val="16"/>
                <w:szCs w:val="16"/>
              </w:rPr>
              <w:t>l</w:t>
            </w:r>
            <w:r w:rsidR="00B844E4">
              <w:rPr>
                <w:sz w:val="16"/>
                <w:szCs w:val="16"/>
              </w:rPr>
              <w:t>.</w:t>
            </w:r>
            <w:r w:rsidR="00AC37F8" w:rsidRPr="00C67ABB">
              <w:rPr>
                <w:sz w:val="16"/>
                <w:szCs w:val="16"/>
              </w:rPr>
              <w:t>T</w:t>
            </w:r>
          </w:p>
        </w:tc>
        <w:tc>
          <w:tcPr>
            <w:tcW w:w="635" w:type="pct"/>
            <w:tcBorders>
              <w:top w:val="single" w:sz="4" w:space="0" w:color="008000"/>
              <w:bottom w:val="single" w:sz="4" w:space="0" w:color="008000"/>
            </w:tcBorders>
            <w:shd w:val="clear" w:color="auto" w:fill="FFFFFF"/>
          </w:tcPr>
          <w:p w14:paraId="74ECBBE6" w14:textId="60189018" w:rsidR="00AC37F8" w:rsidRPr="00C67ABB" w:rsidRDefault="00AC37F8" w:rsidP="00A7316B">
            <w:pPr>
              <w:pStyle w:val="Nessunaspaziatura"/>
              <w:jc w:val="center"/>
              <w:rPr>
                <w:sz w:val="16"/>
                <w:szCs w:val="16"/>
                <w:lang w:val="it-IT"/>
              </w:rPr>
            </w:pPr>
            <w:r w:rsidRPr="00C67ABB">
              <w:rPr>
                <w:sz w:val="16"/>
                <w:szCs w:val="16"/>
              </w:rPr>
              <w:t>Fault in steam production</w:t>
            </w:r>
          </w:p>
        </w:tc>
        <w:tc>
          <w:tcPr>
            <w:tcW w:w="714" w:type="pct"/>
            <w:tcBorders>
              <w:top w:val="single" w:sz="4" w:space="0" w:color="008000"/>
              <w:bottom w:val="single" w:sz="4" w:space="0" w:color="008000"/>
            </w:tcBorders>
            <w:shd w:val="clear" w:color="auto" w:fill="FFFFFF"/>
          </w:tcPr>
          <w:p w14:paraId="38F15633" w14:textId="16138114" w:rsidR="00AC37F8" w:rsidRPr="00C67ABB" w:rsidRDefault="00C24F10" w:rsidP="00A7316B">
            <w:pPr>
              <w:pStyle w:val="Nessunaspaziatura"/>
              <w:jc w:val="center"/>
              <w:rPr>
                <w:sz w:val="16"/>
                <w:szCs w:val="16"/>
              </w:rPr>
            </w:pPr>
            <w:r>
              <w:rPr>
                <w:sz w:val="16"/>
                <w:szCs w:val="16"/>
              </w:rPr>
              <w:t>4</w:t>
            </w:r>
            <w:r w:rsidR="00B844E4">
              <w:rPr>
                <w:sz w:val="16"/>
                <w:szCs w:val="16"/>
              </w:rPr>
              <w:t>.</w:t>
            </w:r>
            <w:r w:rsidR="00AC37F8" w:rsidRPr="00C67ABB">
              <w:rPr>
                <w:sz w:val="16"/>
                <w:szCs w:val="16"/>
              </w:rPr>
              <w:t>l</w:t>
            </w:r>
            <w:r w:rsidR="00B844E4">
              <w:rPr>
                <w:sz w:val="16"/>
                <w:szCs w:val="16"/>
              </w:rPr>
              <w:t>.</w:t>
            </w:r>
            <w:r w:rsidR="00AC37F8" w:rsidRPr="00C67ABB">
              <w:rPr>
                <w:sz w:val="16"/>
                <w:szCs w:val="16"/>
              </w:rPr>
              <w:t>T</w:t>
            </w:r>
          </w:p>
        </w:tc>
        <w:tc>
          <w:tcPr>
            <w:tcW w:w="714" w:type="pct"/>
            <w:tcBorders>
              <w:top w:val="single" w:sz="4" w:space="0" w:color="008000"/>
              <w:bottom w:val="single" w:sz="4" w:space="0" w:color="008000"/>
            </w:tcBorders>
            <w:shd w:val="clear" w:color="auto" w:fill="FFFFFF"/>
          </w:tcPr>
          <w:p w14:paraId="1D84AEE2" w14:textId="3E5D8321" w:rsidR="00AC37F8" w:rsidRPr="00C67ABB" w:rsidRDefault="00C24F10" w:rsidP="00A7316B">
            <w:pPr>
              <w:pStyle w:val="Nessunaspaziatura"/>
              <w:jc w:val="center"/>
              <w:rPr>
                <w:sz w:val="16"/>
                <w:szCs w:val="16"/>
              </w:rPr>
            </w:pPr>
            <w:r>
              <w:rPr>
                <w:sz w:val="16"/>
                <w:szCs w:val="16"/>
              </w:rPr>
              <w:t>4</w:t>
            </w:r>
            <w:r w:rsidR="00B844E4">
              <w:rPr>
                <w:sz w:val="16"/>
                <w:szCs w:val="16"/>
              </w:rPr>
              <w:t>.</w:t>
            </w:r>
            <w:r w:rsidR="00AC37F8" w:rsidRPr="00C67ABB">
              <w:rPr>
                <w:sz w:val="16"/>
                <w:szCs w:val="16"/>
              </w:rPr>
              <w:t>l</w:t>
            </w:r>
            <w:r w:rsidR="00B844E4">
              <w:rPr>
                <w:sz w:val="16"/>
                <w:szCs w:val="16"/>
              </w:rPr>
              <w:t>.</w:t>
            </w:r>
            <w:r w:rsidR="00AC37F8" w:rsidRPr="00C67ABB">
              <w:rPr>
                <w:sz w:val="16"/>
                <w:szCs w:val="16"/>
              </w:rPr>
              <w:t>T</w:t>
            </w:r>
          </w:p>
        </w:tc>
        <w:tc>
          <w:tcPr>
            <w:tcW w:w="556" w:type="pct"/>
            <w:tcBorders>
              <w:top w:val="single" w:sz="4" w:space="0" w:color="008000"/>
              <w:bottom w:val="single" w:sz="4" w:space="0" w:color="008000"/>
            </w:tcBorders>
            <w:shd w:val="clear" w:color="auto" w:fill="FFFFFF"/>
          </w:tcPr>
          <w:p w14:paraId="0635CB1A" w14:textId="639E3E75" w:rsidR="00AC37F8" w:rsidRPr="00C67ABB" w:rsidRDefault="00AC37F8" w:rsidP="00A7316B">
            <w:pPr>
              <w:pStyle w:val="Nessunaspaziatura"/>
              <w:jc w:val="center"/>
              <w:rPr>
                <w:sz w:val="16"/>
                <w:szCs w:val="16"/>
              </w:rPr>
            </w:pPr>
            <w:r w:rsidRPr="00C67ABB">
              <w:rPr>
                <w:sz w:val="16"/>
                <w:szCs w:val="16"/>
              </w:rPr>
              <w:t>-</w:t>
            </w:r>
          </w:p>
        </w:tc>
        <w:tc>
          <w:tcPr>
            <w:tcW w:w="635" w:type="pct"/>
            <w:tcBorders>
              <w:top w:val="single" w:sz="4" w:space="0" w:color="008000"/>
              <w:bottom w:val="single" w:sz="4" w:space="0" w:color="008000"/>
              <w:right w:val="single" w:sz="12" w:space="0" w:color="FFFFFF" w:themeColor="background1"/>
            </w:tcBorders>
            <w:shd w:val="clear" w:color="auto" w:fill="FFFFFF"/>
          </w:tcPr>
          <w:p w14:paraId="58BD645C" w14:textId="48CEFAC6" w:rsidR="00AC37F8" w:rsidRPr="00C67ABB" w:rsidRDefault="00AC37F8" w:rsidP="00A7316B">
            <w:pPr>
              <w:pStyle w:val="Nessunaspaziatura"/>
              <w:jc w:val="center"/>
              <w:rPr>
                <w:sz w:val="16"/>
                <w:szCs w:val="16"/>
              </w:rPr>
            </w:pPr>
            <w:r w:rsidRPr="00C67ABB">
              <w:rPr>
                <w:sz w:val="16"/>
                <w:szCs w:val="16"/>
              </w:rPr>
              <w:t>-</w:t>
            </w:r>
          </w:p>
        </w:tc>
        <w:tc>
          <w:tcPr>
            <w:tcW w:w="555" w:type="pct"/>
            <w:tcBorders>
              <w:top w:val="single" w:sz="4" w:space="0" w:color="008000"/>
              <w:left w:val="single" w:sz="12" w:space="0" w:color="FFFFFF" w:themeColor="background1"/>
              <w:bottom w:val="single" w:sz="4" w:space="0" w:color="008000"/>
            </w:tcBorders>
            <w:shd w:val="clear" w:color="auto" w:fill="FFFFFF"/>
          </w:tcPr>
          <w:p w14:paraId="74BFF4EF" w14:textId="477769D4" w:rsidR="00AC37F8" w:rsidRPr="00C67ABB" w:rsidRDefault="00AC37F8" w:rsidP="00A7316B">
            <w:pPr>
              <w:pStyle w:val="Nessunaspaziatura"/>
              <w:jc w:val="center"/>
              <w:rPr>
                <w:sz w:val="16"/>
                <w:szCs w:val="16"/>
              </w:rPr>
            </w:pPr>
            <w:r w:rsidRPr="00C67ABB">
              <w:rPr>
                <w:sz w:val="16"/>
                <w:szCs w:val="16"/>
              </w:rPr>
              <w:t>-</w:t>
            </w:r>
          </w:p>
        </w:tc>
        <w:tc>
          <w:tcPr>
            <w:tcW w:w="397" w:type="pct"/>
            <w:tcBorders>
              <w:top w:val="single" w:sz="4" w:space="0" w:color="008000"/>
              <w:bottom w:val="single" w:sz="4" w:space="0" w:color="008000"/>
            </w:tcBorders>
            <w:shd w:val="clear" w:color="auto" w:fill="FFFFFF"/>
          </w:tcPr>
          <w:p w14:paraId="03247B06" w14:textId="1DAB5AF6" w:rsidR="00AC37F8" w:rsidRPr="00C67ABB" w:rsidRDefault="00C67ABB" w:rsidP="00A7316B">
            <w:pPr>
              <w:pStyle w:val="Nessunaspaziatura"/>
              <w:jc w:val="center"/>
              <w:rPr>
                <w:rFonts w:cs="Arial"/>
                <w:sz w:val="16"/>
                <w:szCs w:val="16"/>
                <w:lang w:val="it-IT"/>
              </w:rPr>
            </w:pPr>
            <w:r w:rsidRPr="00C67ABB">
              <w:rPr>
                <w:rFonts w:cs="Arial"/>
                <w:sz w:val="16"/>
                <w:szCs w:val="16"/>
                <w:lang w:val="it-IT"/>
              </w:rPr>
              <w:t>-</w:t>
            </w:r>
          </w:p>
        </w:tc>
        <w:tc>
          <w:tcPr>
            <w:tcW w:w="237" w:type="pct"/>
            <w:tcBorders>
              <w:top w:val="single" w:sz="4" w:space="0" w:color="008000"/>
              <w:bottom w:val="single" w:sz="4" w:space="0" w:color="008000"/>
            </w:tcBorders>
            <w:shd w:val="clear" w:color="auto" w:fill="FFFFFF"/>
          </w:tcPr>
          <w:p w14:paraId="299054F2" w14:textId="51CD4829" w:rsidR="00AC37F8" w:rsidRPr="00C67ABB" w:rsidRDefault="00C67ABB" w:rsidP="00A7316B">
            <w:pPr>
              <w:pStyle w:val="Nessunaspaziatura"/>
              <w:jc w:val="center"/>
              <w:rPr>
                <w:rFonts w:cs="Arial"/>
                <w:sz w:val="16"/>
                <w:szCs w:val="16"/>
                <w:lang w:val="it-IT"/>
              </w:rPr>
            </w:pPr>
            <w:r w:rsidRPr="00C67ABB">
              <w:rPr>
                <w:rFonts w:cs="Arial"/>
                <w:sz w:val="16"/>
                <w:szCs w:val="16"/>
                <w:lang w:val="it-IT"/>
              </w:rPr>
              <w:t>-</w:t>
            </w:r>
          </w:p>
        </w:tc>
      </w:tr>
      <w:tr w:rsidR="00AC37F8" w:rsidRPr="00C67ABB" w14:paraId="7047031E" w14:textId="77777777" w:rsidTr="00A81F2F">
        <w:trPr>
          <w:trHeight w:val="1070"/>
          <w:jc w:val="center"/>
        </w:trPr>
        <w:tc>
          <w:tcPr>
            <w:tcW w:w="238" w:type="pct"/>
            <w:tcBorders>
              <w:top w:val="single" w:sz="4" w:space="0" w:color="008000"/>
              <w:bottom w:val="single" w:sz="4" w:space="0" w:color="008000"/>
            </w:tcBorders>
            <w:shd w:val="clear" w:color="auto" w:fill="FFFFFF"/>
          </w:tcPr>
          <w:p w14:paraId="3E58A6C4" w14:textId="4B23B312" w:rsidR="00AC37F8" w:rsidRPr="00C67ABB" w:rsidRDefault="00AC37F8" w:rsidP="00A7316B">
            <w:pPr>
              <w:pStyle w:val="Nessunaspaziatura"/>
              <w:jc w:val="center"/>
              <w:rPr>
                <w:sz w:val="16"/>
                <w:szCs w:val="16"/>
              </w:rPr>
            </w:pPr>
            <w:r w:rsidRPr="00C67ABB">
              <w:rPr>
                <w:sz w:val="16"/>
                <w:szCs w:val="16"/>
              </w:rPr>
              <w:t>8</w:t>
            </w:r>
          </w:p>
        </w:tc>
        <w:tc>
          <w:tcPr>
            <w:tcW w:w="317" w:type="pct"/>
            <w:tcBorders>
              <w:top w:val="single" w:sz="4" w:space="0" w:color="008000"/>
              <w:bottom w:val="single" w:sz="4" w:space="0" w:color="008000"/>
            </w:tcBorders>
            <w:shd w:val="clear" w:color="auto" w:fill="FFFFFF"/>
          </w:tcPr>
          <w:p w14:paraId="6A027655" w14:textId="523C95D5" w:rsidR="00AC37F8" w:rsidRPr="00C67ABB" w:rsidRDefault="00C24F10" w:rsidP="00A7316B">
            <w:pPr>
              <w:pStyle w:val="Nessunaspaziatura"/>
              <w:jc w:val="center"/>
              <w:rPr>
                <w:sz w:val="16"/>
                <w:szCs w:val="16"/>
                <w:lang w:val="it-IT"/>
              </w:rPr>
            </w:pPr>
            <w:r>
              <w:rPr>
                <w:sz w:val="16"/>
                <w:szCs w:val="16"/>
                <w:lang w:val="it-IT"/>
              </w:rPr>
              <w:t>3</w:t>
            </w:r>
            <w:r w:rsidR="00B844E4">
              <w:rPr>
                <w:sz w:val="16"/>
                <w:szCs w:val="16"/>
                <w:lang w:val="it-IT"/>
              </w:rPr>
              <w:t>.</w:t>
            </w:r>
            <w:r w:rsidR="00AC37F8" w:rsidRPr="00C67ABB">
              <w:rPr>
                <w:sz w:val="16"/>
                <w:szCs w:val="16"/>
                <w:lang w:val="it-IT"/>
              </w:rPr>
              <w:t>h</w:t>
            </w:r>
            <w:r w:rsidR="00B844E4">
              <w:rPr>
                <w:sz w:val="16"/>
                <w:szCs w:val="16"/>
                <w:lang w:val="it-IT"/>
              </w:rPr>
              <w:t>.</w:t>
            </w:r>
            <w:r w:rsidR="00AC37F8" w:rsidRPr="00C67ABB">
              <w:rPr>
                <w:sz w:val="16"/>
                <w:szCs w:val="16"/>
                <w:lang w:val="it-IT"/>
              </w:rPr>
              <w:t>F</w:t>
            </w:r>
          </w:p>
        </w:tc>
        <w:tc>
          <w:tcPr>
            <w:tcW w:w="635" w:type="pct"/>
            <w:tcBorders>
              <w:top w:val="single" w:sz="4" w:space="0" w:color="008000"/>
              <w:bottom w:val="single" w:sz="4" w:space="0" w:color="008000"/>
            </w:tcBorders>
            <w:shd w:val="clear" w:color="auto" w:fill="FFFFFF"/>
          </w:tcPr>
          <w:p w14:paraId="311283A4" w14:textId="42B205EE" w:rsidR="00AC37F8" w:rsidRPr="00C67ABB" w:rsidRDefault="00AC37F8" w:rsidP="00A7316B">
            <w:pPr>
              <w:pStyle w:val="Nessunaspaziatura"/>
              <w:jc w:val="center"/>
              <w:rPr>
                <w:sz w:val="16"/>
                <w:szCs w:val="16"/>
              </w:rPr>
            </w:pPr>
            <w:r w:rsidRPr="00C67ABB">
              <w:rPr>
                <w:sz w:val="16"/>
                <w:szCs w:val="16"/>
              </w:rPr>
              <w:t>Fault in steam production</w:t>
            </w:r>
          </w:p>
          <w:p w14:paraId="13AE101F" w14:textId="10E31548" w:rsidR="00EA0D67" w:rsidRPr="00C67ABB" w:rsidRDefault="00EA0D67" w:rsidP="00A7316B">
            <w:pPr>
              <w:pStyle w:val="Nessunaspaziatura"/>
              <w:jc w:val="center"/>
              <w:rPr>
                <w:sz w:val="16"/>
                <w:szCs w:val="16"/>
              </w:rPr>
            </w:pPr>
            <w:r w:rsidRPr="00C67ABB">
              <w:rPr>
                <w:sz w:val="16"/>
                <w:szCs w:val="16"/>
              </w:rPr>
              <w:t>OR</w:t>
            </w:r>
          </w:p>
          <w:p w14:paraId="02E2A035" w14:textId="794CEB4F" w:rsidR="00EA0D67" w:rsidRPr="00C67ABB" w:rsidRDefault="00EA0D67" w:rsidP="00A7316B">
            <w:pPr>
              <w:pStyle w:val="Nessunaspaziatura"/>
              <w:jc w:val="center"/>
              <w:rPr>
                <w:sz w:val="16"/>
                <w:szCs w:val="16"/>
              </w:rPr>
            </w:pPr>
            <w:r w:rsidRPr="00C67ABB">
              <w:rPr>
                <w:sz w:val="16"/>
                <w:szCs w:val="16"/>
              </w:rPr>
              <w:t>TIC</w:t>
            </w:r>
            <w:r w:rsidR="00B844E4">
              <w:rPr>
                <w:sz w:val="16"/>
                <w:szCs w:val="16"/>
              </w:rPr>
              <w:t>-</w:t>
            </w:r>
            <w:r w:rsidRPr="00C67ABB">
              <w:rPr>
                <w:sz w:val="16"/>
                <w:szCs w:val="16"/>
              </w:rPr>
              <w:t>0</w:t>
            </w:r>
            <w:r w:rsidR="00A354DF">
              <w:rPr>
                <w:sz w:val="16"/>
                <w:szCs w:val="16"/>
              </w:rPr>
              <w:t>1</w:t>
            </w:r>
            <w:r w:rsidRPr="00C67ABB">
              <w:rPr>
                <w:sz w:val="16"/>
                <w:szCs w:val="16"/>
              </w:rPr>
              <w:t>1</w:t>
            </w:r>
          </w:p>
          <w:p w14:paraId="2DD1FF06" w14:textId="3C7A1675" w:rsidR="00EA0D67" w:rsidRPr="00C67ABB" w:rsidRDefault="00EA0D67" w:rsidP="00A7316B">
            <w:pPr>
              <w:pStyle w:val="Nessunaspaziatura"/>
              <w:jc w:val="center"/>
              <w:rPr>
                <w:sz w:val="16"/>
                <w:szCs w:val="16"/>
              </w:rPr>
            </w:pPr>
            <w:r w:rsidRPr="00C67ABB">
              <w:rPr>
                <w:sz w:val="16"/>
                <w:szCs w:val="16"/>
              </w:rPr>
              <w:t>OR</w:t>
            </w:r>
          </w:p>
          <w:p w14:paraId="7B829682" w14:textId="16EC3B39" w:rsidR="00EA0D67" w:rsidRPr="00A81F2F" w:rsidRDefault="00EA0D67" w:rsidP="00A7316B">
            <w:pPr>
              <w:pStyle w:val="Nessunaspaziatura"/>
              <w:jc w:val="center"/>
              <w:rPr>
                <w:sz w:val="16"/>
                <w:szCs w:val="16"/>
              </w:rPr>
            </w:pPr>
            <w:r w:rsidRPr="00C67ABB">
              <w:rPr>
                <w:sz w:val="16"/>
                <w:szCs w:val="16"/>
              </w:rPr>
              <w:t>TV</w:t>
            </w:r>
            <w:r w:rsidR="00B844E4">
              <w:rPr>
                <w:sz w:val="16"/>
                <w:szCs w:val="16"/>
              </w:rPr>
              <w:t>-</w:t>
            </w:r>
            <w:r w:rsidRPr="00C67ABB">
              <w:rPr>
                <w:sz w:val="16"/>
                <w:szCs w:val="16"/>
              </w:rPr>
              <w:t>0</w:t>
            </w:r>
            <w:r w:rsidR="00A354DF">
              <w:rPr>
                <w:sz w:val="16"/>
                <w:szCs w:val="16"/>
              </w:rPr>
              <w:t>1</w:t>
            </w:r>
            <w:r w:rsidRPr="00C67ABB">
              <w:rPr>
                <w:sz w:val="16"/>
                <w:szCs w:val="16"/>
              </w:rPr>
              <w:t>1</w:t>
            </w:r>
          </w:p>
        </w:tc>
        <w:tc>
          <w:tcPr>
            <w:tcW w:w="714" w:type="pct"/>
            <w:tcBorders>
              <w:top w:val="single" w:sz="4" w:space="0" w:color="008000"/>
              <w:bottom w:val="single" w:sz="4" w:space="0" w:color="008000"/>
            </w:tcBorders>
            <w:shd w:val="clear" w:color="auto" w:fill="FFFFFF"/>
          </w:tcPr>
          <w:p w14:paraId="77ECF945" w14:textId="08FC883A" w:rsidR="00AC37F8" w:rsidRDefault="00C24F10" w:rsidP="00A7316B">
            <w:pPr>
              <w:pStyle w:val="Nessunaspaziatura"/>
              <w:jc w:val="center"/>
              <w:rPr>
                <w:sz w:val="16"/>
                <w:szCs w:val="16"/>
                <w:lang w:val="it-IT"/>
              </w:rPr>
            </w:pPr>
            <w:r>
              <w:rPr>
                <w:sz w:val="16"/>
                <w:szCs w:val="16"/>
                <w:lang w:val="it-IT"/>
              </w:rPr>
              <w:t>4</w:t>
            </w:r>
            <w:r w:rsidR="00B844E4">
              <w:rPr>
                <w:sz w:val="16"/>
                <w:szCs w:val="16"/>
                <w:lang w:val="it-IT"/>
              </w:rPr>
              <w:t>.</w:t>
            </w:r>
            <w:r w:rsidR="00EA0D67" w:rsidRPr="00C67ABB">
              <w:rPr>
                <w:sz w:val="16"/>
                <w:szCs w:val="16"/>
                <w:lang w:val="it-IT"/>
              </w:rPr>
              <w:t>h</w:t>
            </w:r>
            <w:r w:rsidR="00B844E4">
              <w:rPr>
                <w:sz w:val="16"/>
                <w:szCs w:val="16"/>
                <w:lang w:val="it-IT"/>
              </w:rPr>
              <w:t>.</w:t>
            </w:r>
            <w:r w:rsidR="00EA0D67" w:rsidRPr="00C67ABB">
              <w:rPr>
                <w:sz w:val="16"/>
                <w:szCs w:val="16"/>
                <w:lang w:val="it-IT"/>
              </w:rPr>
              <w:t>T</w:t>
            </w:r>
          </w:p>
          <w:p w14:paraId="59D40895" w14:textId="77777777" w:rsidR="00C67ABB" w:rsidRPr="00C67ABB" w:rsidRDefault="00C67ABB" w:rsidP="00A7316B">
            <w:pPr>
              <w:pStyle w:val="Nessunaspaziatura"/>
              <w:jc w:val="center"/>
              <w:rPr>
                <w:sz w:val="16"/>
                <w:szCs w:val="16"/>
                <w:lang w:val="it-IT"/>
              </w:rPr>
            </w:pPr>
          </w:p>
          <w:p w14:paraId="5BD4EE30" w14:textId="16765CA3" w:rsidR="00EA0D67" w:rsidRPr="00C67ABB" w:rsidRDefault="00C24F10" w:rsidP="00A7316B">
            <w:pPr>
              <w:pStyle w:val="Nessunaspaziatura"/>
              <w:jc w:val="center"/>
              <w:rPr>
                <w:sz w:val="16"/>
                <w:szCs w:val="16"/>
                <w:lang w:val="it-IT"/>
              </w:rPr>
            </w:pPr>
            <w:r>
              <w:rPr>
                <w:sz w:val="16"/>
                <w:szCs w:val="16"/>
                <w:lang w:val="it-IT"/>
              </w:rPr>
              <w:t>3</w:t>
            </w:r>
            <w:r w:rsidR="00B844E4">
              <w:rPr>
                <w:sz w:val="16"/>
                <w:szCs w:val="16"/>
                <w:lang w:val="it-IT"/>
              </w:rPr>
              <w:t>.</w:t>
            </w:r>
            <w:r w:rsidR="00EA0D67" w:rsidRPr="00C67ABB">
              <w:rPr>
                <w:sz w:val="16"/>
                <w:szCs w:val="16"/>
                <w:lang w:val="it-IT"/>
              </w:rPr>
              <w:t>h</w:t>
            </w:r>
            <w:r w:rsidR="00B844E4">
              <w:rPr>
                <w:sz w:val="16"/>
                <w:szCs w:val="16"/>
                <w:lang w:val="it-IT"/>
              </w:rPr>
              <w:t>.</w:t>
            </w:r>
            <w:r w:rsidR="00EA0D67" w:rsidRPr="00C67ABB">
              <w:rPr>
                <w:sz w:val="16"/>
                <w:szCs w:val="16"/>
                <w:lang w:val="it-IT"/>
              </w:rPr>
              <w:t>P</w:t>
            </w:r>
          </w:p>
        </w:tc>
        <w:tc>
          <w:tcPr>
            <w:tcW w:w="714" w:type="pct"/>
            <w:tcBorders>
              <w:top w:val="single" w:sz="4" w:space="0" w:color="008000"/>
              <w:bottom w:val="single" w:sz="4" w:space="0" w:color="008000"/>
            </w:tcBorders>
            <w:shd w:val="clear" w:color="auto" w:fill="FFFFFF"/>
          </w:tcPr>
          <w:p w14:paraId="491E8A6D" w14:textId="500851CB" w:rsidR="00AC37F8" w:rsidRDefault="00C24F10" w:rsidP="00A7316B">
            <w:pPr>
              <w:pStyle w:val="Nessunaspaziatura"/>
              <w:jc w:val="center"/>
              <w:rPr>
                <w:sz w:val="16"/>
                <w:szCs w:val="16"/>
                <w:lang w:val="it-IT"/>
              </w:rPr>
            </w:pPr>
            <w:r>
              <w:rPr>
                <w:sz w:val="16"/>
                <w:szCs w:val="16"/>
                <w:lang w:val="it-IT"/>
              </w:rPr>
              <w:t>4</w:t>
            </w:r>
            <w:r w:rsidR="00B844E4">
              <w:rPr>
                <w:sz w:val="16"/>
                <w:szCs w:val="16"/>
                <w:lang w:val="it-IT"/>
              </w:rPr>
              <w:t>.</w:t>
            </w:r>
            <w:r w:rsidR="00EA0D67" w:rsidRPr="00C67ABB">
              <w:rPr>
                <w:sz w:val="16"/>
                <w:szCs w:val="16"/>
                <w:lang w:val="it-IT"/>
              </w:rPr>
              <w:t>h</w:t>
            </w:r>
            <w:r w:rsidR="00B844E4">
              <w:rPr>
                <w:sz w:val="16"/>
                <w:szCs w:val="16"/>
                <w:lang w:val="it-IT"/>
              </w:rPr>
              <w:t>.</w:t>
            </w:r>
            <w:r w:rsidR="00EA0D67" w:rsidRPr="00C67ABB">
              <w:rPr>
                <w:sz w:val="16"/>
                <w:szCs w:val="16"/>
                <w:lang w:val="it-IT"/>
              </w:rPr>
              <w:t>T</w:t>
            </w:r>
          </w:p>
          <w:p w14:paraId="3D50CB7E" w14:textId="77777777" w:rsidR="00C67ABB" w:rsidRPr="00C67ABB" w:rsidRDefault="00C67ABB" w:rsidP="00A7316B">
            <w:pPr>
              <w:pStyle w:val="Nessunaspaziatura"/>
              <w:jc w:val="center"/>
              <w:rPr>
                <w:sz w:val="16"/>
                <w:szCs w:val="16"/>
                <w:lang w:val="it-IT"/>
              </w:rPr>
            </w:pPr>
          </w:p>
          <w:p w14:paraId="12C2961C" w14:textId="23D96CFE" w:rsidR="00EA0D67" w:rsidRPr="00C67ABB" w:rsidRDefault="00C24F10" w:rsidP="00A7316B">
            <w:pPr>
              <w:pStyle w:val="Nessunaspaziatura"/>
              <w:jc w:val="center"/>
              <w:rPr>
                <w:sz w:val="16"/>
                <w:szCs w:val="16"/>
                <w:lang w:val="it-IT"/>
              </w:rPr>
            </w:pPr>
            <w:r>
              <w:rPr>
                <w:sz w:val="16"/>
                <w:szCs w:val="16"/>
                <w:lang w:val="it-IT"/>
              </w:rPr>
              <w:t>3</w:t>
            </w:r>
            <w:r w:rsidR="00B844E4">
              <w:rPr>
                <w:sz w:val="16"/>
                <w:szCs w:val="16"/>
                <w:lang w:val="it-IT"/>
              </w:rPr>
              <w:t>.</w:t>
            </w:r>
            <w:r w:rsidR="00EA0D67" w:rsidRPr="00C67ABB">
              <w:rPr>
                <w:sz w:val="16"/>
                <w:szCs w:val="16"/>
                <w:lang w:val="it-IT"/>
              </w:rPr>
              <w:t>h</w:t>
            </w:r>
            <w:r w:rsidR="00B844E4">
              <w:rPr>
                <w:sz w:val="16"/>
                <w:szCs w:val="16"/>
                <w:lang w:val="it-IT"/>
              </w:rPr>
              <w:t>.</w:t>
            </w:r>
            <w:r w:rsidR="00EA0D67" w:rsidRPr="00C67ABB">
              <w:rPr>
                <w:sz w:val="16"/>
                <w:szCs w:val="16"/>
                <w:lang w:val="it-IT"/>
              </w:rPr>
              <w:t>P</w:t>
            </w:r>
          </w:p>
        </w:tc>
        <w:tc>
          <w:tcPr>
            <w:tcW w:w="556" w:type="pct"/>
            <w:tcBorders>
              <w:top w:val="single" w:sz="4" w:space="0" w:color="008000"/>
              <w:bottom w:val="single" w:sz="4" w:space="0" w:color="008000"/>
            </w:tcBorders>
            <w:shd w:val="clear" w:color="auto" w:fill="FFFFFF"/>
          </w:tcPr>
          <w:p w14:paraId="4E056E83" w14:textId="73F5A175" w:rsidR="00AC37F8" w:rsidRPr="00C67ABB" w:rsidRDefault="00C67ABB" w:rsidP="00A7316B">
            <w:pPr>
              <w:pStyle w:val="Nessunaspaziatura"/>
              <w:jc w:val="center"/>
              <w:rPr>
                <w:sz w:val="16"/>
                <w:szCs w:val="16"/>
                <w:lang w:val="it-IT"/>
              </w:rPr>
            </w:pPr>
            <w:r w:rsidRPr="00C67ABB">
              <w:rPr>
                <w:sz w:val="16"/>
                <w:szCs w:val="16"/>
                <w:lang w:val="it-IT"/>
              </w:rPr>
              <w:t>-</w:t>
            </w:r>
          </w:p>
        </w:tc>
        <w:tc>
          <w:tcPr>
            <w:tcW w:w="635" w:type="pct"/>
            <w:tcBorders>
              <w:top w:val="single" w:sz="4" w:space="0" w:color="008000"/>
              <w:bottom w:val="single" w:sz="4" w:space="0" w:color="008000"/>
              <w:right w:val="single" w:sz="12" w:space="0" w:color="FFFFFF" w:themeColor="background1"/>
            </w:tcBorders>
            <w:shd w:val="clear" w:color="auto" w:fill="FFFFFF"/>
          </w:tcPr>
          <w:p w14:paraId="416D7639" w14:textId="313FF200" w:rsidR="00AC37F8" w:rsidRPr="00C67ABB" w:rsidRDefault="00C67ABB" w:rsidP="00A7316B">
            <w:pPr>
              <w:pStyle w:val="Nessunaspaziatura"/>
              <w:jc w:val="center"/>
              <w:rPr>
                <w:sz w:val="16"/>
                <w:szCs w:val="16"/>
                <w:lang w:val="it-IT"/>
              </w:rPr>
            </w:pPr>
            <w:r w:rsidRPr="00C67ABB">
              <w:rPr>
                <w:sz w:val="16"/>
                <w:szCs w:val="16"/>
                <w:lang w:val="it-IT"/>
              </w:rPr>
              <w:t>-</w:t>
            </w:r>
          </w:p>
        </w:tc>
        <w:tc>
          <w:tcPr>
            <w:tcW w:w="555" w:type="pct"/>
            <w:tcBorders>
              <w:top w:val="single" w:sz="4" w:space="0" w:color="008000"/>
              <w:left w:val="single" w:sz="12" w:space="0" w:color="FFFFFF" w:themeColor="background1"/>
              <w:bottom w:val="single" w:sz="4" w:space="0" w:color="008000"/>
            </w:tcBorders>
            <w:shd w:val="clear" w:color="auto" w:fill="FFFFFF"/>
          </w:tcPr>
          <w:p w14:paraId="1F5D525C" w14:textId="7D33C46F" w:rsidR="00AC37F8" w:rsidRPr="00C67ABB" w:rsidRDefault="00C67ABB" w:rsidP="00A7316B">
            <w:pPr>
              <w:pStyle w:val="Nessunaspaziatura"/>
              <w:jc w:val="center"/>
              <w:rPr>
                <w:sz w:val="16"/>
                <w:szCs w:val="16"/>
                <w:lang w:val="it-IT"/>
              </w:rPr>
            </w:pPr>
            <w:r w:rsidRPr="00C67ABB">
              <w:rPr>
                <w:sz w:val="16"/>
                <w:szCs w:val="16"/>
                <w:lang w:val="it-IT"/>
              </w:rPr>
              <w:t>-</w:t>
            </w:r>
          </w:p>
        </w:tc>
        <w:tc>
          <w:tcPr>
            <w:tcW w:w="397" w:type="pct"/>
            <w:tcBorders>
              <w:top w:val="single" w:sz="4" w:space="0" w:color="008000"/>
              <w:bottom w:val="single" w:sz="4" w:space="0" w:color="008000"/>
            </w:tcBorders>
            <w:shd w:val="clear" w:color="auto" w:fill="FFFFFF"/>
          </w:tcPr>
          <w:p w14:paraId="5A2D4B3E" w14:textId="4603DFBE" w:rsidR="00AC37F8" w:rsidRPr="00C67ABB" w:rsidRDefault="00C67ABB" w:rsidP="00A7316B">
            <w:pPr>
              <w:pStyle w:val="CETBodytext"/>
              <w:jc w:val="center"/>
              <w:rPr>
                <w:sz w:val="16"/>
                <w:szCs w:val="16"/>
                <w:lang w:val="it-IT"/>
              </w:rPr>
            </w:pPr>
            <w:r w:rsidRPr="00C67ABB">
              <w:rPr>
                <w:sz w:val="16"/>
                <w:szCs w:val="16"/>
                <w:lang w:val="it-IT"/>
              </w:rPr>
              <w:t>-</w:t>
            </w:r>
          </w:p>
        </w:tc>
        <w:tc>
          <w:tcPr>
            <w:tcW w:w="237" w:type="pct"/>
            <w:tcBorders>
              <w:top w:val="single" w:sz="4" w:space="0" w:color="008000"/>
              <w:bottom w:val="single" w:sz="4" w:space="0" w:color="008000"/>
            </w:tcBorders>
            <w:shd w:val="clear" w:color="auto" w:fill="FFFFFF"/>
          </w:tcPr>
          <w:p w14:paraId="16AC6FBA" w14:textId="4B5640F5" w:rsidR="00AC37F8" w:rsidRPr="00C67ABB" w:rsidRDefault="00C67ABB" w:rsidP="00A7316B">
            <w:pPr>
              <w:pStyle w:val="Nessunaspaziatura"/>
              <w:jc w:val="center"/>
              <w:rPr>
                <w:rFonts w:cs="Arial"/>
                <w:sz w:val="16"/>
                <w:szCs w:val="16"/>
                <w:lang w:val="it-IT"/>
              </w:rPr>
            </w:pPr>
            <w:r w:rsidRPr="00C67ABB">
              <w:rPr>
                <w:rFonts w:cs="Arial"/>
                <w:sz w:val="16"/>
                <w:szCs w:val="16"/>
                <w:lang w:val="it-IT"/>
              </w:rPr>
              <w:t>-</w:t>
            </w:r>
          </w:p>
        </w:tc>
      </w:tr>
      <w:tr w:rsidR="00AC37F8" w:rsidRPr="00C67ABB" w14:paraId="3AB511C5" w14:textId="77777777" w:rsidTr="00C67ABB">
        <w:trPr>
          <w:trHeight w:val="548"/>
          <w:jc w:val="center"/>
        </w:trPr>
        <w:tc>
          <w:tcPr>
            <w:tcW w:w="238" w:type="pct"/>
            <w:tcBorders>
              <w:top w:val="single" w:sz="4" w:space="0" w:color="008000"/>
              <w:bottom w:val="single" w:sz="4" w:space="0" w:color="008000"/>
            </w:tcBorders>
            <w:shd w:val="clear" w:color="auto" w:fill="FFFFFF"/>
          </w:tcPr>
          <w:p w14:paraId="6E47A86D" w14:textId="4C41D1AE" w:rsidR="00AC37F8" w:rsidRPr="00C67ABB" w:rsidRDefault="00AC37F8" w:rsidP="00A7316B">
            <w:pPr>
              <w:pStyle w:val="Nessunaspaziatura"/>
              <w:jc w:val="center"/>
              <w:rPr>
                <w:sz w:val="16"/>
                <w:szCs w:val="16"/>
              </w:rPr>
            </w:pPr>
            <w:r w:rsidRPr="00C67ABB">
              <w:rPr>
                <w:sz w:val="16"/>
                <w:szCs w:val="16"/>
              </w:rPr>
              <w:t>9</w:t>
            </w:r>
          </w:p>
        </w:tc>
        <w:tc>
          <w:tcPr>
            <w:tcW w:w="317" w:type="pct"/>
            <w:tcBorders>
              <w:top w:val="single" w:sz="4" w:space="0" w:color="008000"/>
              <w:bottom w:val="single" w:sz="4" w:space="0" w:color="008000"/>
            </w:tcBorders>
            <w:shd w:val="clear" w:color="auto" w:fill="FFFFFF"/>
          </w:tcPr>
          <w:p w14:paraId="4E15527C" w14:textId="45122E02" w:rsidR="00AC37F8" w:rsidRPr="00C67ABB" w:rsidRDefault="00C24F10" w:rsidP="00A7316B">
            <w:pPr>
              <w:pStyle w:val="Nessunaspaziatura"/>
              <w:jc w:val="center"/>
              <w:rPr>
                <w:sz w:val="16"/>
                <w:szCs w:val="16"/>
                <w:lang w:val="it-IT"/>
              </w:rPr>
            </w:pPr>
            <w:r>
              <w:rPr>
                <w:sz w:val="16"/>
                <w:szCs w:val="16"/>
                <w:lang w:val="it-IT"/>
              </w:rPr>
              <w:t>3</w:t>
            </w:r>
            <w:r w:rsidR="00B844E4">
              <w:rPr>
                <w:sz w:val="16"/>
                <w:szCs w:val="16"/>
                <w:lang w:val="it-IT"/>
              </w:rPr>
              <w:t>.</w:t>
            </w:r>
            <w:r w:rsidR="00AC37F8" w:rsidRPr="00C67ABB">
              <w:rPr>
                <w:sz w:val="16"/>
                <w:szCs w:val="16"/>
                <w:lang w:val="it-IT"/>
              </w:rPr>
              <w:t>h</w:t>
            </w:r>
            <w:r w:rsidR="00B844E4">
              <w:rPr>
                <w:sz w:val="16"/>
                <w:szCs w:val="16"/>
                <w:lang w:val="it-IT"/>
              </w:rPr>
              <w:t>.</w:t>
            </w:r>
            <w:r w:rsidR="00AC37F8" w:rsidRPr="00C67ABB">
              <w:rPr>
                <w:sz w:val="16"/>
                <w:szCs w:val="16"/>
                <w:lang w:val="it-IT"/>
              </w:rPr>
              <w:t>T</w:t>
            </w:r>
          </w:p>
        </w:tc>
        <w:tc>
          <w:tcPr>
            <w:tcW w:w="635" w:type="pct"/>
            <w:tcBorders>
              <w:top w:val="single" w:sz="4" w:space="0" w:color="008000"/>
              <w:bottom w:val="single" w:sz="4" w:space="0" w:color="008000"/>
            </w:tcBorders>
            <w:shd w:val="clear" w:color="auto" w:fill="FFFFFF"/>
          </w:tcPr>
          <w:p w14:paraId="34996A3A" w14:textId="77777777" w:rsidR="00EA0D67" w:rsidRPr="00C67ABB" w:rsidRDefault="00EA0D67" w:rsidP="00A7316B">
            <w:pPr>
              <w:pStyle w:val="Nessunaspaziatura"/>
              <w:jc w:val="center"/>
              <w:rPr>
                <w:sz w:val="16"/>
                <w:szCs w:val="16"/>
              </w:rPr>
            </w:pPr>
            <w:r w:rsidRPr="00C67ABB">
              <w:rPr>
                <w:sz w:val="16"/>
                <w:szCs w:val="16"/>
              </w:rPr>
              <w:t>Fault in steam production</w:t>
            </w:r>
          </w:p>
          <w:p w14:paraId="230A46AD" w14:textId="020233A5" w:rsidR="00AC37F8" w:rsidRPr="00C67ABB" w:rsidRDefault="00AC37F8" w:rsidP="00A7316B">
            <w:pPr>
              <w:pStyle w:val="Nessunaspaziatura"/>
              <w:jc w:val="center"/>
              <w:rPr>
                <w:sz w:val="16"/>
                <w:szCs w:val="16"/>
                <w:lang w:val="it-IT"/>
              </w:rPr>
            </w:pPr>
          </w:p>
        </w:tc>
        <w:tc>
          <w:tcPr>
            <w:tcW w:w="714" w:type="pct"/>
            <w:tcBorders>
              <w:top w:val="single" w:sz="4" w:space="0" w:color="008000"/>
              <w:bottom w:val="single" w:sz="4" w:space="0" w:color="008000"/>
            </w:tcBorders>
            <w:shd w:val="clear" w:color="auto" w:fill="FFFFFF"/>
          </w:tcPr>
          <w:p w14:paraId="2753846D" w14:textId="59EC4DD1" w:rsidR="00AC37F8" w:rsidRPr="00C67ABB" w:rsidRDefault="00C24F10" w:rsidP="00A7316B">
            <w:pPr>
              <w:pStyle w:val="Nessunaspaziatura"/>
              <w:jc w:val="center"/>
              <w:rPr>
                <w:sz w:val="16"/>
                <w:szCs w:val="16"/>
                <w:lang w:val="it-IT"/>
              </w:rPr>
            </w:pPr>
            <w:r>
              <w:rPr>
                <w:sz w:val="16"/>
                <w:szCs w:val="16"/>
                <w:lang w:val="it-IT"/>
              </w:rPr>
              <w:t>4</w:t>
            </w:r>
            <w:r w:rsidR="00B844E4">
              <w:rPr>
                <w:sz w:val="16"/>
                <w:szCs w:val="16"/>
                <w:lang w:val="it-IT"/>
              </w:rPr>
              <w:t>.</w:t>
            </w:r>
            <w:r w:rsidR="00EA0D67" w:rsidRPr="00C67ABB">
              <w:rPr>
                <w:sz w:val="16"/>
                <w:szCs w:val="16"/>
                <w:lang w:val="it-IT"/>
              </w:rPr>
              <w:t>h</w:t>
            </w:r>
            <w:r w:rsidR="00B844E4">
              <w:rPr>
                <w:sz w:val="16"/>
                <w:szCs w:val="16"/>
                <w:lang w:val="it-IT"/>
              </w:rPr>
              <w:t>.</w:t>
            </w:r>
            <w:r w:rsidR="00EA0D67" w:rsidRPr="00C67ABB">
              <w:rPr>
                <w:sz w:val="16"/>
                <w:szCs w:val="16"/>
                <w:lang w:val="it-IT"/>
              </w:rPr>
              <w:t>T</w:t>
            </w:r>
          </w:p>
          <w:p w14:paraId="0B6A6CE1" w14:textId="09F0D0C7" w:rsidR="00EA0D67" w:rsidRPr="00C67ABB" w:rsidRDefault="00C24F10" w:rsidP="00A7316B">
            <w:pPr>
              <w:pStyle w:val="Nessunaspaziatura"/>
              <w:jc w:val="center"/>
              <w:rPr>
                <w:sz w:val="16"/>
                <w:szCs w:val="16"/>
                <w:lang w:val="it-IT"/>
              </w:rPr>
            </w:pPr>
            <w:r>
              <w:rPr>
                <w:sz w:val="16"/>
                <w:szCs w:val="16"/>
                <w:lang w:val="it-IT"/>
              </w:rPr>
              <w:t>3</w:t>
            </w:r>
            <w:r w:rsidR="00B844E4">
              <w:rPr>
                <w:sz w:val="16"/>
                <w:szCs w:val="16"/>
                <w:lang w:val="it-IT"/>
              </w:rPr>
              <w:t>.</w:t>
            </w:r>
            <w:r w:rsidR="00EA0D67" w:rsidRPr="00C67ABB">
              <w:rPr>
                <w:sz w:val="16"/>
                <w:szCs w:val="16"/>
                <w:lang w:val="it-IT"/>
              </w:rPr>
              <w:t>h</w:t>
            </w:r>
            <w:r w:rsidR="00B844E4">
              <w:rPr>
                <w:sz w:val="16"/>
                <w:szCs w:val="16"/>
                <w:lang w:val="it-IT"/>
              </w:rPr>
              <w:t>.</w:t>
            </w:r>
            <w:r w:rsidR="00EA0D67" w:rsidRPr="00C67ABB">
              <w:rPr>
                <w:sz w:val="16"/>
                <w:szCs w:val="16"/>
                <w:lang w:val="it-IT"/>
              </w:rPr>
              <w:t>P</w:t>
            </w:r>
          </w:p>
          <w:p w14:paraId="5C461657" w14:textId="104040C7" w:rsidR="00EA0D67" w:rsidRPr="00C67ABB" w:rsidRDefault="00C24F10" w:rsidP="00A7316B">
            <w:pPr>
              <w:pStyle w:val="Nessunaspaziatura"/>
              <w:jc w:val="center"/>
              <w:rPr>
                <w:sz w:val="16"/>
                <w:szCs w:val="16"/>
                <w:lang w:val="it-IT"/>
              </w:rPr>
            </w:pPr>
            <w:r>
              <w:rPr>
                <w:sz w:val="16"/>
                <w:szCs w:val="16"/>
                <w:lang w:val="it-IT"/>
              </w:rPr>
              <w:t>5</w:t>
            </w:r>
            <w:r w:rsidR="00B844E4">
              <w:rPr>
                <w:sz w:val="16"/>
                <w:szCs w:val="16"/>
                <w:lang w:val="it-IT"/>
              </w:rPr>
              <w:t>.</w:t>
            </w:r>
            <w:r w:rsidR="00EA0D67" w:rsidRPr="00C67ABB">
              <w:rPr>
                <w:sz w:val="16"/>
                <w:szCs w:val="16"/>
                <w:lang w:val="it-IT"/>
              </w:rPr>
              <w:t>l</w:t>
            </w:r>
            <w:r w:rsidR="00B844E4">
              <w:rPr>
                <w:sz w:val="16"/>
                <w:szCs w:val="16"/>
                <w:lang w:val="it-IT"/>
              </w:rPr>
              <w:t>.</w:t>
            </w:r>
            <w:r w:rsidR="00EA0D67" w:rsidRPr="00C67ABB">
              <w:rPr>
                <w:sz w:val="16"/>
                <w:szCs w:val="16"/>
                <w:lang w:val="it-IT"/>
              </w:rPr>
              <w:t>F</w:t>
            </w:r>
          </w:p>
        </w:tc>
        <w:tc>
          <w:tcPr>
            <w:tcW w:w="714" w:type="pct"/>
            <w:tcBorders>
              <w:top w:val="single" w:sz="4" w:space="0" w:color="008000"/>
              <w:bottom w:val="single" w:sz="4" w:space="0" w:color="008000"/>
            </w:tcBorders>
            <w:shd w:val="clear" w:color="auto" w:fill="FFFFFF"/>
          </w:tcPr>
          <w:p w14:paraId="278663E7" w14:textId="3B7FE311" w:rsidR="00AC37F8" w:rsidRPr="00C67ABB" w:rsidRDefault="00C24F10" w:rsidP="00A7316B">
            <w:pPr>
              <w:pStyle w:val="Nessunaspaziatura"/>
              <w:jc w:val="center"/>
              <w:rPr>
                <w:sz w:val="16"/>
                <w:szCs w:val="16"/>
                <w:lang w:val="it-IT"/>
              </w:rPr>
            </w:pPr>
            <w:r>
              <w:rPr>
                <w:sz w:val="16"/>
                <w:szCs w:val="16"/>
                <w:lang w:val="it-IT"/>
              </w:rPr>
              <w:t>4</w:t>
            </w:r>
            <w:r w:rsidR="00B844E4">
              <w:rPr>
                <w:sz w:val="16"/>
                <w:szCs w:val="16"/>
                <w:lang w:val="it-IT"/>
              </w:rPr>
              <w:t>.</w:t>
            </w:r>
            <w:r w:rsidR="00EA0D67" w:rsidRPr="00C67ABB">
              <w:rPr>
                <w:sz w:val="16"/>
                <w:szCs w:val="16"/>
                <w:lang w:val="it-IT"/>
              </w:rPr>
              <w:t>h</w:t>
            </w:r>
            <w:r w:rsidR="00B844E4">
              <w:rPr>
                <w:sz w:val="16"/>
                <w:szCs w:val="16"/>
                <w:lang w:val="it-IT"/>
              </w:rPr>
              <w:t>.</w:t>
            </w:r>
            <w:r w:rsidR="00EA0D67" w:rsidRPr="00C67ABB">
              <w:rPr>
                <w:sz w:val="16"/>
                <w:szCs w:val="16"/>
                <w:lang w:val="it-IT"/>
              </w:rPr>
              <w:t>T</w:t>
            </w:r>
          </w:p>
          <w:p w14:paraId="7A6A9281" w14:textId="3603888F" w:rsidR="00EA0D67" w:rsidRPr="00C67ABB" w:rsidRDefault="00C24F10" w:rsidP="00A7316B">
            <w:pPr>
              <w:pStyle w:val="Nessunaspaziatura"/>
              <w:jc w:val="center"/>
              <w:rPr>
                <w:sz w:val="16"/>
                <w:szCs w:val="16"/>
                <w:lang w:val="it-IT"/>
              </w:rPr>
            </w:pPr>
            <w:r>
              <w:rPr>
                <w:sz w:val="16"/>
                <w:szCs w:val="16"/>
                <w:lang w:val="it-IT"/>
              </w:rPr>
              <w:t>3</w:t>
            </w:r>
            <w:r w:rsidR="00B844E4">
              <w:rPr>
                <w:sz w:val="16"/>
                <w:szCs w:val="16"/>
                <w:lang w:val="it-IT"/>
              </w:rPr>
              <w:t>.</w:t>
            </w:r>
            <w:r w:rsidR="00EA0D67" w:rsidRPr="00C67ABB">
              <w:rPr>
                <w:sz w:val="16"/>
                <w:szCs w:val="16"/>
                <w:lang w:val="it-IT"/>
              </w:rPr>
              <w:t>h</w:t>
            </w:r>
            <w:r w:rsidR="00B844E4">
              <w:rPr>
                <w:sz w:val="16"/>
                <w:szCs w:val="16"/>
                <w:lang w:val="it-IT"/>
              </w:rPr>
              <w:t>.</w:t>
            </w:r>
            <w:r w:rsidR="00EA0D67" w:rsidRPr="00C67ABB">
              <w:rPr>
                <w:sz w:val="16"/>
                <w:szCs w:val="16"/>
                <w:lang w:val="it-IT"/>
              </w:rPr>
              <w:t>P</w:t>
            </w:r>
          </w:p>
          <w:p w14:paraId="07D3E9FD" w14:textId="091D2CA5" w:rsidR="00EA0D67" w:rsidRPr="00C67ABB" w:rsidRDefault="00C24F10" w:rsidP="00A7316B">
            <w:pPr>
              <w:pStyle w:val="Nessunaspaziatura"/>
              <w:jc w:val="center"/>
              <w:rPr>
                <w:sz w:val="16"/>
                <w:szCs w:val="16"/>
                <w:lang w:val="it-IT"/>
              </w:rPr>
            </w:pPr>
            <w:r>
              <w:rPr>
                <w:sz w:val="16"/>
                <w:szCs w:val="16"/>
                <w:lang w:val="it-IT"/>
              </w:rPr>
              <w:t>5</w:t>
            </w:r>
            <w:r w:rsidR="00B844E4">
              <w:rPr>
                <w:sz w:val="16"/>
                <w:szCs w:val="16"/>
                <w:lang w:val="it-IT"/>
              </w:rPr>
              <w:t>.</w:t>
            </w:r>
            <w:r w:rsidR="00EA0D67" w:rsidRPr="00C67ABB">
              <w:rPr>
                <w:sz w:val="16"/>
                <w:szCs w:val="16"/>
                <w:lang w:val="it-IT"/>
              </w:rPr>
              <w:t>l</w:t>
            </w:r>
            <w:r w:rsidR="00B844E4">
              <w:rPr>
                <w:sz w:val="16"/>
                <w:szCs w:val="16"/>
                <w:lang w:val="it-IT"/>
              </w:rPr>
              <w:t>.</w:t>
            </w:r>
            <w:r w:rsidR="00EA0D67" w:rsidRPr="00C67ABB">
              <w:rPr>
                <w:sz w:val="16"/>
                <w:szCs w:val="16"/>
                <w:lang w:val="it-IT"/>
              </w:rPr>
              <w:t>F</w:t>
            </w:r>
          </w:p>
        </w:tc>
        <w:tc>
          <w:tcPr>
            <w:tcW w:w="556" w:type="pct"/>
            <w:tcBorders>
              <w:top w:val="single" w:sz="4" w:space="0" w:color="008000"/>
              <w:bottom w:val="single" w:sz="4" w:space="0" w:color="008000"/>
            </w:tcBorders>
            <w:shd w:val="clear" w:color="auto" w:fill="FFFFFF"/>
          </w:tcPr>
          <w:p w14:paraId="67C45557" w14:textId="3F466EAA" w:rsidR="00AC37F8" w:rsidRPr="00C67ABB" w:rsidRDefault="00EA0D67" w:rsidP="00A7316B">
            <w:pPr>
              <w:pStyle w:val="Nessunaspaziatura"/>
              <w:jc w:val="center"/>
              <w:rPr>
                <w:sz w:val="16"/>
                <w:szCs w:val="16"/>
                <w:lang w:val="it-IT"/>
              </w:rPr>
            </w:pPr>
            <w:r w:rsidRPr="00C67ABB">
              <w:rPr>
                <w:sz w:val="16"/>
                <w:szCs w:val="16"/>
                <w:lang w:val="it-IT"/>
              </w:rPr>
              <w:t>TI</w:t>
            </w:r>
            <w:r w:rsidR="00B844E4">
              <w:rPr>
                <w:sz w:val="16"/>
                <w:szCs w:val="16"/>
                <w:lang w:val="it-IT"/>
              </w:rPr>
              <w:t>-</w:t>
            </w:r>
            <w:r w:rsidRPr="00C67ABB">
              <w:rPr>
                <w:sz w:val="16"/>
                <w:szCs w:val="16"/>
                <w:lang w:val="it-IT"/>
              </w:rPr>
              <w:t>009 (TAH)</w:t>
            </w:r>
          </w:p>
        </w:tc>
        <w:tc>
          <w:tcPr>
            <w:tcW w:w="635" w:type="pct"/>
            <w:tcBorders>
              <w:top w:val="single" w:sz="4" w:space="0" w:color="008000"/>
              <w:bottom w:val="single" w:sz="4" w:space="0" w:color="008000"/>
              <w:right w:val="single" w:sz="12" w:space="0" w:color="FFFFFF" w:themeColor="background1"/>
            </w:tcBorders>
            <w:shd w:val="clear" w:color="auto" w:fill="FFFFFF"/>
          </w:tcPr>
          <w:p w14:paraId="720AE0EA" w14:textId="194D1A73" w:rsidR="00AC37F8" w:rsidRPr="00C67ABB" w:rsidRDefault="00C67ABB" w:rsidP="00A7316B">
            <w:pPr>
              <w:pStyle w:val="Nessunaspaziatura"/>
              <w:jc w:val="center"/>
              <w:rPr>
                <w:sz w:val="16"/>
                <w:szCs w:val="16"/>
                <w:lang w:val="it-IT"/>
              </w:rPr>
            </w:pPr>
            <w:r w:rsidRPr="00C67ABB">
              <w:rPr>
                <w:sz w:val="16"/>
                <w:szCs w:val="16"/>
                <w:lang w:val="it-IT"/>
              </w:rPr>
              <w:t>-</w:t>
            </w:r>
          </w:p>
        </w:tc>
        <w:tc>
          <w:tcPr>
            <w:tcW w:w="555" w:type="pct"/>
            <w:tcBorders>
              <w:top w:val="single" w:sz="4" w:space="0" w:color="008000"/>
              <w:left w:val="single" w:sz="12" w:space="0" w:color="FFFFFF" w:themeColor="background1"/>
              <w:bottom w:val="single" w:sz="4" w:space="0" w:color="008000"/>
            </w:tcBorders>
            <w:shd w:val="clear" w:color="auto" w:fill="FFFFFF"/>
          </w:tcPr>
          <w:p w14:paraId="266369F2" w14:textId="6C2D1A0B" w:rsidR="00AC37F8" w:rsidRPr="00C67ABB" w:rsidRDefault="00C67ABB" w:rsidP="00A7316B">
            <w:pPr>
              <w:pStyle w:val="Nessunaspaziatura"/>
              <w:jc w:val="center"/>
              <w:rPr>
                <w:sz w:val="16"/>
                <w:szCs w:val="16"/>
                <w:lang w:val="it-IT"/>
              </w:rPr>
            </w:pPr>
            <w:r w:rsidRPr="00C67ABB">
              <w:rPr>
                <w:sz w:val="16"/>
                <w:szCs w:val="16"/>
                <w:lang w:val="it-IT"/>
              </w:rPr>
              <w:t>-</w:t>
            </w:r>
          </w:p>
        </w:tc>
        <w:tc>
          <w:tcPr>
            <w:tcW w:w="397" w:type="pct"/>
            <w:tcBorders>
              <w:top w:val="single" w:sz="4" w:space="0" w:color="008000"/>
              <w:bottom w:val="single" w:sz="4" w:space="0" w:color="008000"/>
            </w:tcBorders>
            <w:shd w:val="clear" w:color="auto" w:fill="FFFFFF"/>
          </w:tcPr>
          <w:p w14:paraId="4EE422FC" w14:textId="30A6057B" w:rsidR="00AC37F8" w:rsidRPr="00C67ABB" w:rsidRDefault="00C67ABB" w:rsidP="00A7316B">
            <w:pPr>
              <w:pStyle w:val="Nessunaspaziatura"/>
              <w:jc w:val="center"/>
              <w:rPr>
                <w:rFonts w:cs="Arial"/>
                <w:sz w:val="16"/>
                <w:szCs w:val="16"/>
                <w:lang w:val="it-IT"/>
              </w:rPr>
            </w:pPr>
            <w:r w:rsidRPr="00C67ABB">
              <w:rPr>
                <w:rFonts w:cs="Arial"/>
                <w:sz w:val="16"/>
                <w:szCs w:val="16"/>
                <w:lang w:val="it-IT"/>
              </w:rPr>
              <w:t>-</w:t>
            </w:r>
          </w:p>
        </w:tc>
        <w:tc>
          <w:tcPr>
            <w:tcW w:w="237" w:type="pct"/>
            <w:tcBorders>
              <w:top w:val="single" w:sz="4" w:space="0" w:color="008000"/>
              <w:bottom w:val="single" w:sz="4" w:space="0" w:color="008000"/>
            </w:tcBorders>
            <w:shd w:val="clear" w:color="auto" w:fill="FFFFFF"/>
          </w:tcPr>
          <w:p w14:paraId="211EEE9F" w14:textId="5C68843D" w:rsidR="00AC37F8" w:rsidRPr="00C67ABB" w:rsidRDefault="00C67ABB" w:rsidP="00A7316B">
            <w:pPr>
              <w:pStyle w:val="Nessunaspaziatura"/>
              <w:jc w:val="center"/>
              <w:rPr>
                <w:rFonts w:cs="Arial"/>
                <w:sz w:val="16"/>
                <w:szCs w:val="16"/>
                <w:lang w:val="it-IT"/>
              </w:rPr>
            </w:pPr>
            <w:r w:rsidRPr="00C67ABB">
              <w:rPr>
                <w:rFonts w:cs="Arial"/>
                <w:sz w:val="16"/>
                <w:szCs w:val="16"/>
                <w:lang w:val="it-IT"/>
              </w:rPr>
              <w:t>-</w:t>
            </w:r>
          </w:p>
        </w:tc>
      </w:tr>
      <w:tr w:rsidR="00AC37F8" w:rsidRPr="00C67ABB" w14:paraId="220DF7FA" w14:textId="77777777" w:rsidTr="00113F4E">
        <w:trPr>
          <w:trHeight w:val="557"/>
          <w:jc w:val="center"/>
        </w:trPr>
        <w:tc>
          <w:tcPr>
            <w:tcW w:w="238" w:type="pct"/>
            <w:tcBorders>
              <w:top w:val="single" w:sz="4" w:space="0" w:color="008000"/>
              <w:bottom w:val="single" w:sz="4" w:space="0" w:color="008000"/>
            </w:tcBorders>
            <w:shd w:val="clear" w:color="auto" w:fill="FFFFFF"/>
          </w:tcPr>
          <w:p w14:paraId="25A5C72A" w14:textId="269CE7E9" w:rsidR="00AC37F8" w:rsidRPr="00C67ABB" w:rsidRDefault="00AC37F8" w:rsidP="00A7316B">
            <w:pPr>
              <w:pStyle w:val="Nessunaspaziatura"/>
              <w:jc w:val="center"/>
              <w:rPr>
                <w:sz w:val="16"/>
                <w:szCs w:val="16"/>
              </w:rPr>
            </w:pPr>
            <w:r w:rsidRPr="00C67ABB">
              <w:rPr>
                <w:sz w:val="16"/>
                <w:szCs w:val="16"/>
              </w:rPr>
              <w:t>10</w:t>
            </w:r>
          </w:p>
        </w:tc>
        <w:tc>
          <w:tcPr>
            <w:tcW w:w="317" w:type="pct"/>
            <w:tcBorders>
              <w:top w:val="single" w:sz="4" w:space="0" w:color="008000"/>
              <w:bottom w:val="single" w:sz="4" w:space="0" w:color="008000"/>
            </w:tcBorders>
            <w:shd w:val="clear" w:color="auto" w:fill="FFFFFF"/>
          </w:tcPr>
          <w:p w14:paraId="63D660CF" w14:textId="62F7D0E2" w:rsidR="00AC37F8" w:rsidRPr="00C67ABB" w:rsidRDefault="00C24F10" w:rsidP="00A7316B">
            <w:pPr>
              <w:pStyle w:val="Nessunaspaziatura"/>
              <w:jc w:val="center"/>
              <w:rPr>
                <w:sz w:val="16"/>
                <w:szCs w:val="16"/>
                <w:lang w:val="it-IT"/>
              </w:rPr>
            </w:pPr>
            <w:r>
              <w:rPr>
                <w:sz w:val="16"/>
                <w:szCs w:val="16"/>
                <w:lang w:val="it-IT"/>
              </w:rPr>
              <w:t>3</w:t>
            </w:r>
            <w:r w:rsidR="00B844E4">
              <w:rPr>
                <w:sz w:val="16"/>
                <w:szCs w:val="16"/>
                <w:lang w:val="it-IT"/>
              </w:rPr>
              <w:t>.</w:t>
            </w:r>
            <w:r w:rsidR="00AC37F8" w:rsidRPr="00C67ABB">
              <w:rPr>
                <w:sz w:val="16"/>
                <w:szCs w:val="16"/>
                <w:lang w:val="it-IT"/>
              </w:rPr>
              <w:t>h</w:t>
            </w:r>
            <w:r w:rsidR="00B844E4">
              <w:rPr>
                <w:sz w:val="16"/>
                <w:szCs w:val="16"/>
                <w:lang w:val="it-IT"/>
              </w:rPr>
              <w:t>.</w:t>
            </w:r>
            <w:r w:rsidR="00AC37F8" w:rsidRPr="00C67ABB">
              <w:rPr>
                <w:sz w:val="16"/>
                <w:szCs w:val="16"/>
                <w:lang w:val="it-IT"/>
              </w:rPr>
              <w:t>P</w:t>
            </w:r>
          </w:p>
        </w:tc>
        <w:tc>
          <w:tcPr>
            <w:tcW w:w="635" w:type="pct"/>
            <w:tcBorders>
              <w:top w:val="single" w:sz="4" w:space="0" w:color="008000"/>
              <w:bottom w:val="single" w:sz="4" w:space="0" w:color="008000"/>
            </w:tcBorders>
            <w:shd w:val="clear" w:color="auto" w:fill="FFFFFF"/>
          </w:tcPr>
          <w:p w14:paraId="31F88670" w14:textId="44A66C84" w:rsidR="00AC37F8" w:rsidRPr="00C67ABB" w:rsidRDefault="00C24F10" w:rsidP="00A7316B">
            <w:pPr>
              <w:pStyle w:val="Nessunaspaziatura"/>
              <w:jc w:val="center"/>
              <w:rPr>
                <w:sz w:val="16"/>
                <w:szCs w:val="16"/>
                <w:lang w:val="it-IT"/>
              </w:rPr>
            </w:pPr>
            <w:r>
              <w:rPr>
                <w:sz w:val="16"/>
                <w:szCs w:val="16"/>
                <w:lang w:val="it-IT"/>
              </w:rPr>
              <w:t>3</w:t>
            </w:r>
            <w:r w:rsidR="00B844E4">
              <w:rPr>
                <w:sz w:val="16"/>
                <w:szCs w:val="16"/>
                <w:lang w:val="it-IT"/>
              </w:rPr>
              <w:t>.</w:t>
            </w:r>
            <w:r w:rsidR="00EA0D67" w:rsidRPr="00C67ABB">
              <w:rPr>
                <w:sz w:val="16"/>
                <w:szCs w:val="16"/>
                <w:lang w:val="it-IT"/>
              </w:rPr>
              <w:t>h</w:t>
            </w:r>
            <w:r w:rsidR="00B844E4">
              <w:rPr>
                <w:sz w:val="16"/>
                <w:szCs w:val="16"/>
                <w:lang w:val="it-IT"/>
              </w:rPr>
              <w:t>.</w:t>
            </w:r>
            <w:r w:rsidR="00EA0D67" w:rsidRPr="00C67ABB">
              <w:rPr>
                <w:sz w:val="16"/>
                <w:szCs w:val="16"/>
                <w:lang w:val="it-IT"/>
              </w:rPr>
              <w:t>T</w:t>
            </w:r>
          </w:p>
          <w:p w14:paraId="44A59CEE" w14:textId="77777777" w:rsidR="00EA0D67" w:rsidRPr="00C67ABB" w:rsidRDefault="00EA0D67" w:rsidP="00A7316B">
            <w:pPr>
              <w:pStyle w:val="Nessunaspaziatura"/>
              <w:jc w:val="center"/>
              <w:rPr>
                <w:sz w:val="16"/>
                <w:szCs w:val="16"/>
                <w:lang w:val="it-IT"/>
              </w:rPr>
            </w:pPr>
            <w:r w:rsidRPr="00C67ABB">
              <w:rPr>
                <w:sz w:val="16"/>
                <w:szCs w:val="16"/>
                <w:lang w:val="it-IT"/>
              </w:rPr>
              <w:t>OR</w:t>
            </w:r>
          </w:p>
          <w:p w14:paraId="324CDB23" w14:textId="240820CD" w:rsidR="00EA0D67" w:rsidRPr="00C67ABB" w:rsidRDefault="00C24F10" w:rsidP="00A7316B">
            <w:pPr>
              <w:pStyle w:val="Nessunaspaziatura"/>
              <w:jc w:val="center"/>
              <w:rPr>
                <w:sz w:val="16"/>
                <w:szCs w:val="16"/>
                <w:lang w:val="it-IT"/>
              </w:rPr>
            </w:pPr>
            <w:r>
              <w:rPr>
                <w:sz w:val="16"/>
                <w:szCs w:val="16"/>
                <w:lang w:val="it-IT"/>
              </w:rPr>
              <w:t>3</w:t>
            </w:r>
            <w:r w:rsidR="00B844E4">
              <w:rPr>
                <w:sz w:val="16"/>
                <w:szCs w:val="16"/>
                <w:lang w:val="it-IT"/>
              </w:rPr>
              <w:t>.</w:t>
            </w:r>
            <w:r w:rsidR="00EA0D67" w:rsidRPr="00C67ABB">
              <w:rPr>
                <w:sz w:val="16"/>
                <w:szCs w:val="16"/>
                <w:lang w:val="it-IT"/>
              </w:rPr>
              <w:t>h</w:t>
            </w:r>
            <w:r w:rsidR="00B844E4">
              <w:rPr>
                <w:sz w:val="16"/>
                <w:szCs w:val="16"/>
                <w:lang w:val="it-IT"/>
              </w:rPr>
              <w:t>.</w:t>
            </w:r>
            <w:r w:rsidR="00EA0D67" w:rsidRPr="00C67ABB">
              <w:rPr>
                <w:sz w:val="16"/>
                <w:szCs w:val="16"/>
                <w:lang w:val="it-IT"/>
              </w:rPr>
              <w:t>F</w:t>
            </w:r>
          </w:p>
        </w:tc>
        <w:tc>
          <w:tcPr>
            <w:tcW w:w="714" w:type="pct"/>
            <w:tcBorders>
              <w:top w:val="single" w:sz="4" w:space="0" w:color="008000"/>
              <w:bottom w:val="single" w:sz="4" w:space="0" w:color="008000"/>
            </w:tcBorders>
            <w:shd w:val="clear" w:color="auto" w:fill="FFFFFF"/>
          </w:tcPr>
          <w:p w14:paraId="497FA3CF" w14:textId="1B0A3F34" w:rsidR="00AC37F8" w:rsidRPr="00C67ABB" w:rsidRDefault="00C24F10" w:rsidP="00A7316B">
            <w:pPr>
              <w:pStyle w:val="Nessunaspaziatura"/>
              <w:jc w:val="center"/>
              <w:rPr>
                <w:sz w:val="16"/>
                <w:szCs w:val="16"/>
                <w:lang w:val="it-IT"/>
              </w:rPr>
            </w:pPr>
            <w:r>
              <w:rPr>
                <w:sz w:val="16"/>
                <w:szCs w:val="16"/>
                <w:lang w:val="it-IT"/>
              </w:rPr>
              <w:t>3</w:t>
            </w:r>
            <w:r w:rsidR="00B844E4">
              <w:rPr>
                <w:sz w:val="16"/>
                <w:szCs w:val="16"/>
                <w:lang w:val="it-IT"/>
              </w:rPr>
              <w:t>.</w:t>
            </w:r>
            <w:r w:rsidR="00EA0D67" w:rsidRPr="00C67ABB">
              <w:rPr>
                <w:sz w:val="16"/>
                <w:szCs w:val="16"/>
                <w:lang w:val="it-IT"/>
              </w:rPr>
              <w:t>hh</w:t>
            </w:r>
            <w:r w:rsidR="00B844E4">
              <w:rPr>
                <w:sz w:val="16"/>
                <w:szCs w:val="16"/>
                <w:lang w:val="it-IT"/>
              </w:rPr>
              <w:t>.</w:t>
            </w:r>
            <w:r w:rsidR="00EA0D67" w:rsidRPr="00C67ABB">
              <w:rPr>
                <w:sz w:val="16"/>
                <w:szCs w:val="16"/>
                <w:lang w:val="it-IT"/>
              </w:rPr>
              <w:t>P</w:t>
            </w:r>
          </w:p>
        </w:tc>
        <w:tc>
          <w:tcPr>
            <w:tcW w:w="714" w:type="pct"/>
            <w:tcBorders>
              <w:top w:val="single" w:sz="4" w:space="0" w:color="008000"/>
              <w:bottom w:val="single" w:sz="4" w:space="0" w:color="008000"/>
            </w:tcBorders>
            <w:shd w:val="clear" w:color="auto" w:fill="FFFFFF"/>
          </w:tcPr>
          <w:p w14:paraId="40BC0AB9" w14:textId="4AE00D06" w:rsidR="00AC37F8" w:rsidRPr="00C67ABB" w:rsidRDefault="00C24F10" w:rsidP="00A7316B">
            <w:pPr>
              <w:pStyle w:val="Nessunaspaziatura"/>
              <w:jc w:val="center"/>
              <w:rPr>
                <w:sz w:val="16"/>
                <w:szCs w:val="16"/>
                <w:lang w:val="it-IT"/>
              </w:rPr>
            </w:pPr>
            <w:r>
              <w:rPr>
                <w:sz w:val="16"/>
                <w:szCs w:val="16"/>
              </w:rPr>
              <w:t>3</w:t>
            </w:r>
            <w:r w:rsidR="00B844E4">
              <w:rPr>
                <w:sz w:val="16"/>
                <w:szCs w:val="16"/>
              </w:rPr>
              <w:t>.</w:t>
            </w:r>
            <w:r w:rsidR="00EA0D67" w:rsidRPr="00C67ABB">
              <w:rPr>
                <w:sz w:val="16"/>
                <w:szCs w:val="16"/>
              </w:rPr>
              <w:t>hh</w:t>
            </w:r>
            <w:r w:rsidR="00B844E4">
              <w:rPr>
                <w:sz w:val="16"/>
                <w:szCs w:val="16"/>
              </w:rPr>
              <w:t>.</w:t>
            </w:r>
            <w:r w:rsidR="00EA0D67" w:rsidRPr="00C67ABB">
              <w:rPr>
                <w:sz w:val="16"/>
                <w:szCs w:val="16"/>
              </w:rPr>
              <w:t>P</w:t>
            </w:r>
          </w:p>
        </w:tc>
        <w:tc>
          <w:tcPr>
            <w:tcW w:w="556" w:type="pct"/>
            <w:tcBorders>
              <w:top w:val="single" w:sz="4" w:space="0" w:color="008000"/>
              <w:bottom w:val="single" w:sz="4" w:space="0" w:color="008000"/>
            </w:tcBorders>
            <w:shd w:val="clear" w:color="auto" w:fill="FFFFFF"/>
          </w:tcPr>
          <w:p w14:paraId="08F442D6" w14:textId="0C10367E" w:rsidR="00AC37F8" w:rsidRPr="00C67ABB" w:rsidRDefault="00EA0D67" w:rsidP="00A7316B">
            <w:pPr>
              <w:pStyle w:val="Nessunaspaziatura"/>
              <w:jc w:val="center"/>
              <w:rPr>
                <w:sz w:val="16"/>
                <w:szCs w:val="16"/>
                <w:lang w:val="it-IT"/>
              </w:rPr>
            </w:pPr>
            <w:r w:rsidRPr="00C67ABB">
              <w:rPr>
                <w:sz w:val="16"/>
                <w:szCs w:val="16"/>
                <w:lang w:val="it-IT"/>
              </w:rPr>
              <w:t>PI</w:t>
            </w:r>
            <w:r w:rsidR="00B844E4">
              <w:rPr>
                <w:sz w:val="16"/>
                <w:szCs w:val="16"/>
                <w:lang w:val="it-IT"/>
              </w:rPr>
              <w:t>-</w:t>
            </w:r>
            <w:r w:rsidRPr="00C67ABB">
              <w:rPr>
                <w:sz w:val="16"/>
                <w:szCs w:val="16"/>
                <w:lang w:val="it-IT"/>
              </w:rPr>
              <w:t>029(PAH)</w:t>
            </w:r>
          </w:p>
        </w:tc>
        <w:tc>
          <w:tcPr>
            <w:tcW w:w="635" w:type="pct"/>
            <w:tcBorders>
              <w:top w:val="single" w:sz="4" w:space="0" w:color="008000"/>
              <w:bottom w:val="single" w:sz="4" w:space="0" w:color="008000"/>
              <w:right w:val="single" w:sz="12" w:space="0" w:color="FFFFFF" w:themeColor="background1"/>
            </w:tcBorders>
            <w:shd w:val="clear" w:color="auto" w:fill="FFFFFF"/>
          </w:tcPr>
          <w:p w14:paraId="1DB4C73D" w14:textId="3DFC6A65" w:rsidR="00AC37F8" w:rsidRPr="00C67ABB" w:rsidRDefault="00C67ABB" w:rsidP="00A7316B">
            <w:pPr>
              <w:pStyle w:val="Nessunaspaziatura"/>
              <w:jc w:val="center"/>
              <w:rPr>
                <w:sz w:val="16"/>
                <w:szCs w:val="16"/>
                <w:lang w:val="it-IT"/>
              </w:rPr>
            </w:pPr>
            <w:r w:rsidRPr="00C67ABB">
              <w:rPr>
                <w:sz w:val="16"/>
                <w:szCs w:val="16"/>
                <w:lang w:val="it-IT"/>
              </w:rPr>
              <w:t>-</w:t>
            </w:r>
          </w:p>
        </w:tc>
        <w:tc>
          <w:tcPr>
            <w:tcW w:w="555" w:type="pct"/>
            <w:tcBorders>
              <w:top w:val="single" w:sz="4" w:space="0" w:color="008000"/>
              <w:left w:val="single" w:sz="12" w:space="0" w:color="FFFFFF" w:themeColor="background1"/>
              <w:bottom w:val="single" w:sz="4" w:space="0" w:color="008000"/>
            </w:tcBorders>
            <w:shd w:val="clear" w:color="auto" w:fill="FFFFFF"/>
          </w:tcPr>
          <w:p w14:paraId="3B4C2B2E" w14:textId="178A7C83" w:rsidR="00AC37F8" w:rsidRPr="00C67ABB" w:rsidRDefault="00C67ABB" w:rsidP="00A7316B">
            <w:pPr>
              <w:pStyle w:val="Nessunaspaziatura"/>
              <w:jc w:val="center"/>
              <w:rPr>
                <w:sz w:val="16"/>
                <w:szCs w:val="16"/>
                <w:lang w:val="it-IT"/>
              </w:rPr>
            </w:pPr>
            <w:r w:rsidRPr="00C67ABB">
              <w:rPr>
                <w:sz w:val="16"/>
                <w:szCs w:val="16"/>
                <w:lang w:val="it-IT"/>
              </w:rPr>
              <w:t>-</w:t>
            </w:r>
          </w:p>
        </w:tc>
        <w:tc>
          <w:tcPr>
            <w:tcW w:w="397" w:type="pct"/>
            <w:tcBorders>
              <w:top w:val="single" w:sz="4" w:space="0" w:color="008000"/>
              <w:bottom w:val="single" w:sz="4" w:space="0" w:color="008000"/>
            </w:tcBorders>
            <w:shd w:val="clear" w:color="auto" w:fill="FFFFFF"/>
          </w:tcPr>
          <w:p w14:paraId="74214A24" w14:textId="36D75C92" w:rsidR="00AC37F8" w:rsidRPr="00C67ABB" w:rsidRDefault="00C67ABB" w:rsidP="00A7316B">
            <w:pPr>
              <w:pStyle w:val="Nessunaspaziatura"/>
              <w:jc w:val="center"/>
              <w:rPr>
                <w:rFonts w:cs="Arial"/>
                <w:sz w:val="16"/>
                <w:szCs w:val="16"/>
                <w:lang w:val="it-IT"/>
              </w:rPr>
            </w:pPr>
            <w:r w:rsidRPr="00C67ABB">
              <w:rPr>
                <w:rFonts w:cs="Arial"/>
                <w:sz w:val="16"/>
                <w:szCs w:val="16"/>
                <w:lang w:val="it-IT"/>
              </w:rPr>
              <w:t>-</w:t>
            </w:r>
          </w:p>
        </w:tc>
        <w:tc>
          <w:tcPr>
            <w:tcW w:w="237" w:type="pct"/>
            <w:tcBorders>
              <w:top w:val="single" w:sz="4" w:space="0" w:color="008000"/>
              <w:bottom w:val="single" w:sz="4" w:space="0" w:color="008000"/>
            </w:tcBorders>
            <w:shd w:val="clear" w:color="auto" w:fill="FFFFFF"/>
          </w:tcPr>
          <w:p w14:paraId="3C263D64" w14:textId="7F07229B" w:rsidR="00AC37F8" w:rsidRPr="00C67ABB" w:rsidRDefault="00C67ABB" w:rsidP="00A7316B">
            <w:pPr>
              <w:pStyle w:val="Nessunaspaziatura"/>
              <w:jc w:val="center"/>
              <w:rPr>
                <w:rFonts w:cs="Arial"/>
                <w:sz w:val="16"/>
                <w:szCs w:val="16"/>
                <w:lang w:val="it-IT"/>
              </w:rPr>
            </w:pPr>
            <w:r w:rsidRPr="00C67ABB">
              <w:rPr>
                <w:rFonts w:cs="Arial"/>
                <w:sz w:val="16"/>
                <w:szCs w:val="16"/>
                <w:lang w:val="it-IT"/>
              </w:rPr>
              <w:t>-</w:t>
            </w:r>
          </w:p>
        </w:tc>
      </w:tr>
      <w:tr w:rsidR="00AC37F8" w:rsidRPr="00C67ABB" w14:paraId="3BA19104" w14:textId="77777777" w:rsidTr="00C67ABB">
        <w:trPr>
          <w:trHeight w:val="431"/>
          <w:jc w:val="center"/>
        </w:trPr>
        <w:tc>
          <w:tcPr>
            <w:tcW w:w="238" w:type="pct"/>
            <w:tcBorders>
              <w:top w:val="single" w:sz="4" w:space="0" w:color="008000"/>
              <w:bottom w:val="single" w:sz="4" w:space="0" w:color="008000"/>
            </w:tcBorders>
            <w:shd w:val="clear" w:color="auto" w:fill="FFFFFF"/>
          </w:tcPr>
          <w:p w14:paraId="4E00F195" w14:textId="130EBC91" w:rsidR="00AC37F8" w:rsidRPr="00C67ABB" w:rsidRDefault="00AC37F8" w:rsidP="00A7316B">
            <w:pPr>
              <w:pStyle w:val="Nessunaspaziatura"/>
              <w:jc w:val="center"/>
              <w:rPr>
                <w:sz w:val="16"/>
                <w:szCs w:val="16"/>
              </w:rPr>
            </w:pPr>
            <w:r w:rsidRPr="00C67ABB">
              <w:rPr>
                <w:sz w:val="16"/>
                <w:szCs w:val="16"/>
              </w:rPr>
              <w:t>11</w:t>
            </w:r>
          </w:p>
        </w:tc>
        <w:tc>
          <w:tcPr>
            <w:tcW w:w="317" w:type="pct"/>
            <w:tcBorders>
              <w:top w:val="single" w:sz="4" w:space="0" w:color="008000"/>
              <w:bottom w:val="single" w:sz="4" w:space="0" w:color="008000"/>
            </w:tcBorders>
            <w:shd w:val="clear" w:color="auto" w:fill="FFFFFF"/>
          </w:tcPr>
          <w:p w14:paraId="1540B068" w14:textId="21365226" w:rsidR="00AC37F8" w:rsidRPr="00C67ABB" w:rsidRDefault="00C24F10" w:rsidP="00A7316B">
            <w:pPr>
              <w:pStyle w:val="Nessunaspaziatura"/>
              <w:jc w:val="center"/>
              <w:rPr>
                <w:sz w:val="16"/>
                <w:szCs w:val="16"/>
              </w:rPr>
            </w:pPr>
            <w:r>
              <w:rPr>
                <w:sz w:val="16"/>
                <w:szCs w:val="16"/>
              </w:rPr>
              <w:t>3</w:t>
            </w:r>
            <w:r w:rsidR="00A16476">
              <w:rPr>
                <w:sz w:val="16"/>
                <w:szCs w:val="16"/>
              </w:rPr>
              <w:t>.</w:t>
            </w:r>
            <w:r w:rsidR="00AC37F8" w:rsidRPr="00C67ABB">
              <w:rPr>
                <w:sz w:val="16"/>
                <w:szCs w:val="16"/>
              </w:rPr>
              <w:t>hh</w:t>
            </w:r>
            <w:r w:rsidR="00A16476">
              <w:rPr>
                <w:sz w:val="16"/>
                <w:szCs w:val="16"/>
              </w:rPr>
              <w:t>.</w:t>
            </w:r>
            <w:r w:rsidR="00AC37F8" w:rsidRPr="00C67ABB">
              <w:rPr>
                <w:sz w:val="16"/>
                <w:szCs w:val="16"/>
              </w:rPr>
              <w:t>P</w:t>
            </w:r>
          </w:p>
        </w:tc>
        <w:tc>
          <w:tcPr>
            <w:tcW w:w="635" w:type="pct"/>
            <w:tcBorders>
              <w:top w:val="single" w:sz="4" w:space="0" w:color="008000"/>
              <w:bottom w:val="single" w:sz="4" w:space="0" w:color="008000"/>
            </w:tcBorders>
            <w:shd w:val="clear" w:color="auto" w:fill="FFFFFF"/>
          </w:tcPr>
          <w:p w14:paraId="6DBC4000" w14:textId="08732924" w:rsidR="00AC37F8" w:rsidRPr="00C67ABB" w:rsidRDefault="00C24F10" w:rsidP="00A7316B">
            <w:pPr>
              <w:pStyle w:val="Nessunaspaziatura"/>
              <w:jc w:val="center"/>
              <w:rPr>
                <w:sz w:val="16"/>
                <w:szCs w:val="16"/>
              </w:rPr>
            </w:pPr>
            <w:r>
              <w:rPr>
                <w:sz w:val="16"/>
                <w:szCs w:val="16"/>
              </w:rPr>
              <w:t>3</w:t>
            </w:r>
            <w:r w:rsidR="00A16476">
              <w:rPr>
                <w:sz w:val="16"/>
                <w:szCs w:val="16"/>
              </w:rPr>
              <w:t>.</w:t>
            </w:r>
            <w:r w:rsidR="00EA0D67" w:rsidRPr="00C67ABB">
              <w:rPr>
                <w:sz w:val="16"/>
                <w:szCs w:val="16"/>
              </w:rPr>
              <w:t>h</w:t>
            </w:r>
            <w:r w:rsidR="00A16476">
              <w:rPr>
                <w:sz w:val="16"/>
                <w:szCs w:val="16"/>
              </w:rPr>
              <w:t>.</w:t>
            </w:r>
            <w:r w:rsidR="00EA0D67" w:rsidRPr="00C67ABB">
              <w:rPr>
                <w:sz w:val="16"/>
                <w:szCs w:val="16"/>
              </w:rPr>
              <w:t>P</w:t>
            </w:r>
          </w:p>
        </w:tc>
        <w:tc>
          <w:tcPr>
            <w:tcW w:w="714" w:type="pct"/>
            <w:tcBorders>
              <w:top w:val="single" w:sz="4" w:space="0" w:color="008000"/>
              <w:bottom w:val="single" w:sz="4" w:space="0" w:color="008000"/>
            </w:tcBorders>
            <w:shd w:val="clear" w:color="auto" w:fill="FFFFFF"/>
          </w:tcPr>
          <w:p w14:paraId="69F01F02" w14:textId="6411E43D" w:rsidR="00AC37F8" w:rsidRPr="00C67ABB" w:rsidRDefault="00EA0D67" w:rsidP="00A7316B">
            <w:pPr>
              <w:pStyle w:val="Nessunaspaziatura"/>
              <w:jc w:val="center"/>
              <w:rPr>
                <w:sz w:val="16"/>
                <w:szCs w:val="16"/>
              </w:rPr>
            </w:pPr>
            <w:r w:rsidRPr="00C67ABB">
              <w:rPr>
                <w:sz w:val="16"/>
                <w:szCs w:val="16"/>
              </w:rPr>
              <w:t>H-01 explosion</w:t>
            </w:r>
          </w:p>
        </w:tc>
        <w:tc>
          <w:tcPr>
            <w:tcW w:w="714" w:type="pct"/>
            <w:tcBorders>
              <w:top w:val="single" w:sz="4" w:space="0" w:color="008000"/>
              <w:bottom w:val="single" w:sz="4" w:space="0" w:color="008000"/>
            </w:tcBorders>
            <w:shd w:val="clear" w:color="auto" w:fill="FFFFFF"/>
          </w:tcPr>
          <w:p w14:paraId="3BE275DB" w14:textId="63699B6F" w:rsidR="00AC37F8" w:rsidRPr="00C67ABB" w:rsidRDefault="00EA0D67" w:rsidP="00A7316B">
            <w:pPr>
              <w:pStyle w:val="Nessunaspaziatura"/>
              <w:jc w:val="center"/>
              <w:rPr>
                <w:sz w:val="16"/>
                <w:szCs w:val="16"/>
              </w:rPr>
            </w:pPr>
            <w:r w:rsidRPr="00C67ABB">
              <w:rPr>
                <w:sz w:val="16"/>
                <w:szCs w:val="16"/>
              </w:rPr>
              <w:t>Torch blowdown</w:t>
            </w:r>
          </w:p>
        </w:tc>
        <w:tc>
          <w:tcPr>
            <w:tcW w:w="556" w:type="pct"/>
            <w:tcBorders>
              <w:top w:val="single" w:sz="4" w:space="0" w:color="008000"/>
              <w:bottom w:val="single" w:sz="4" w:space="0" w:color="008000"/>
            </w:tcBorders>
            <w:shd w:val="clear" w:color="auto" w:fill="FFFFFF"/>
          </w:tcPr>
          <w:p w14:paraId="79D01C23" w14:textId="0EE60940" w:rsidR="00AC37F8" w:rsidRPr="00C67ABB" w:rsidRDefault="00C67ABB" w:rsidP="00A7316B">
            <w:pPr>
              <w:pStyle w:val="Nessunaspaziatura"/>
              <w:jc w:val="center"/>
              <w:rPr>
                <w:sz w:val="16"/>
                <w:szCs w:val="16"/>
              </w:rPr>
            </w:pPr>
            <w:r w:rsidRPr="00C67ABB">
              <w:rPr>
                <w:sz w:val="16"/>
                <w:szCs w:val="16"/>
              </w:rPr>
              <w:t>-</w:t>
            </w:r>
          </w:p>
        </w:tc>
        <w:tc>
          <w:tcPr>
            <w:tcW w:w="635" w:type="pct"/>
            <w:tcBorders>
              <w:top w:val="single" w:sz="4" w:space="0" w:color="008000"/>
              <w:bottom w:val="single" w:sz="4" w:space="0" w:color="008000"/>
              <w:right w:val="single" w:sz="12" w:space="0" w:color="FFFFFF" w:themeColor="background1"/>
            </w:tcBorders>
            <w:shd w:val="clear" w:color="auto" w:fill="FFFFFF"/>
          </w:tcPr>
          <w:p w14:paraId="3FD452CA" w14:textId="05EE8F28" w:rsidR="00AC37F8" w:rsidRPr="00C67ABB" w:rsidRDefault="00C67ABB" w:rsidP="00A7316B">
            <w:pPr>
              <w:pStyle w:val="Nessunaspaziatura"/>
              <w:jc w:val="center"/>
              <w:rPr>
                <w:sz w:val="16"/>
                <w:szCs w:val="16"/>
              </w:rPr>
            </w:pPr>
            <w:r w:rsidRPr="00C67ABB">
              <w:rPr>
                <w:sz w:val="16"/>
                <w:szCs w:val="16"/>
              </w:rPr>
              <w:t>-</w:t>
            </w:r>
          </w:p>
        </w:tc>
        <w:tc>
          <w:tcPr>
            <w:tcW w:w="555" w:type="pct"/>
            <w:tcBorders>
              <w:top w:val="single" w:sz="4" w:space="0" w:color="008000"/>
              <w:left w:val="single" w:sz="12" w:space="0" w:color="FFFFFF" w:themeColor="background1"/>
              <w:bottom w:val="single" w:sz="4" w:space="0" w:color="008000"/>
            </w:tcBorders>
            <w:shd w:val="clear" w:color="auto" w:fill="FFFFFF"/>
          </w:tcPr>
          <w:p w14:paraId="4F78F4C3" w14:textId="2BF6A59C" w:rsidR="00AC37F8" w:rsidRPr="00C67ABB" w:rsidRDefault="00C67ABB" w:rsidP="00A7316B">
            <w:pPr>
              <w:pStyle w:val="Nessunaspaziatura"/>
              <w:jc w:val="center"/>
              <w:rPr>
                <w:sz w:val="16"/>
                <w:szCs w:val="16"/>
              </w:rPr>
            </w:pPr>
            <w:r w:rsidRPr="00C67ABB">
              <w:rPr>
                <w:sz w:val="16"/>
                <w:szCs w:val="16"/>
              </w:rPr>
              <w:t>-</w:t>
            </w:r>
          </w:p>
        </w:tc>
        <w:tc>
          <w:tcPr>
            <w:tcW w:w="397" w:type="pct"/>
            <w:tcBorders>
              <w:top w:val="single" w:sz="4" w:space="0" w:color="008000"/>
              <w:bottom w:val="single" w:sz="4" w:space="0" w:color="008000"/>
            </w:tcBorders>
            <w:shd w:val="clear" w:color="auto" w:fill="FFFFFF"/>
          </w:tcPr>
          <w:p w14:paraId="6E52AD76" w14:textId="4328CA4F" w:rsidR="00AC37F8" w:rsidRPr="00C67ABB" w:rsidRDefault="00C67ABB" w:rsidP="00A7316B">
            <w:pPr>
              <w:pStyle w:val="Nessunaspaziatura"/>
              <w:jc w:val="center"/>
              <w:rPr>
                <w:rFonts w:cs="Arial"/>
                <w:sz w:val="16"/>
                <w:szCs w:val="16"/>
                <w:lang w:val="it-IT"/>
              </w:rPr>
            </w:pPr>
            <w:r w:rsidRPr="00C67ABB">
              <w:rPr>
                <w:rFonts w:cs="Arial"/>
                <w:sz w:val="16"/>
                <w:szCs w:val="16"/>
                <w:lang w:val="it-IT"/>
              </w:rPr>
              <w:t>-</w:t>
            </w:r>
          </w:p>
        </w:tc>
        <w:tc>
          <w:tcPr>
            <w:tcW w:w="237" w:type="pct"/>
            <w:tcBorders>
              <w:top w:val="single" w:sz="4" w:space="0" w:color="008000"/>
              <w:bottom w:val="single" w:sz="4" w:space="0" w:color="008000"/>
            </w:tcBorders>
            <w:shd w:val="clear" w:color="auto" w:fill="FFFFFF"/>
          </w:tcPr>
          <w:p w14:paraId="59B887E3" w14:textId="77777777" w:rsidR="00AC37F8" w:rsidRPr="00C67ABB" w:rsidRDefault="00EA0D67" w:rsidP="00A7316B">
            <w:pPr>
              <w:pStyle w:val="Nessunaspaziatura"/>
              <w:jc w:val="center"/>
              <w:rPr>
                <w:rFonts w:cs="Arial"/>
                <w:sz w:val="16"/>
                <w:szCs w:val="16"/>
                <w:lang w:val="it-IT"/>
              </w:rPr>
            </w:pPr>
            <w:r w:rsidRPr="00C67ABB">
              <w:rPr>
                <w:rFonts w:cs="Arial"/>
                <w:sz w:val="16"/>
                <w:szCs w:val="16"/>
                <w:lang w:val="it-IT"/>
              </w:rPr>
              <w:t>TE2</w:t>
            </w:r>
          </w:p>
          <w:p w14:paraId="74D572C9" w14:textId="52507AF9" w:rsidR="00EA0D67" w:rsidRPr="00C67ABB" w:rsidRDefault="00EA0D67" w:rsidP="00A7316B">
            <w:pPr>
              <w:pStyle w:val="Nessunaspaziatura"/>
              <w:jc w:val="center"/>
              <w:rPr>
                <w:rFonts w:cs="Arial"/>
                <w:sz w:val="16"/>
                <w:szCs w:val="16"/>
                <w:lang w:val="it-IT"/>
              </w:rPr>
            </w:pPr>
            <w:r w:rsidRPr="00C67ABB">
              <w:rPr>
                <w:rFonts w:cs="Arial"/>
                <w:sz w:val="16"/>
                <w:szCs w:val="16"/>
                <w:lang w:val="it-IT"/>
              </w:rPr>
              <w:t>TE3*</w:t>
            </w:r>
          </w:p>
        </w:tc>
      </w:tr>
      <w:tr w:rsidR="00AC37F8" w:rsidRPr="00C67ABB" w14:paraId="3F8AD4EF" w14:textId="77777777" w:rsidTr="00C67ABB">
        <w:trPr>
          <w:trHeight w:val="1188"/>
          <w:jc w:val="center"/>
        </w:trPr>
        <w:tc>
          <w:tcPr>
            <w:tcW w:w="238" w:type="pct"/>
            <w:tcBorders>
              <w:top w:val="single" w:sz="4" w:space="0" w:color="008000"/>
              <w:bottom w:val="single" w:sz="4" w:space="0" w:color="008000"/>
            </w:tcBorders>
            <w:shd w:val="clear" w:color="auto" w:fill="FFFFFF"/>
          </w:tcPr>
          <w:p w14:paraId="0347B598" w14:textId="304BA490" w:rsidR="00AC37F8" w:rsidRPr="00C67ABB" w:rsidRDefault="00AC37F8" w:rsidP="00A7316B">
            <w:pPr>
              <w:pStyle w:val="Nessunaspaziatura"/>
              <w:jc w:val="center"/>
              <w:rPr>
                <w:sz w:val="16"/>
                <w:szCs w:val="16"/>
              </w:rPr>
            </w:pPr>
            <w:r w:rsidRPr="00C67ABB">
              <w:rPr>
                <w:sz w:val="16"/>
                <w:szCs w:val="16"/>
              </w:rPr>
              <w:t>12</w:t>
            </w:r>
          </w:p>
        </w:tc>
        <w:tc>
          <w:tcPr>
            <w:tcW w:w="317" w:type="pct"/>
            <w:tcBorders>
              <w:top w:val="single" w:sz="4" w:space="0" w:color="008000"/>
              <w:bottom w:val="single" w:sz="4" w:space="0" w:color="008000"/>
            </w:tcBorders>
            <w:shd w:val="clear" w:color="auto" w:fill="FFFFFF"/>
          </w:tcPr>
          <w:p w14:paraId="710E473B" w14:textId="607630ED" w:rsidR="00AC37F8" w:rsidRPr="00C67ABB" w:rsidRDefault="00C24F10" w:rsidP="00A7316B">
            <w:pPr>
              <w:pStyle w:val="Nessunaspaziatura"/>
              <w:jc w:val="center"/>
              <w:rPr>
                <w:sz w:val="16"/>
                <w:szCs w:val="16"/>
              </w:rPr>
            </w:pPr>
            <w:r>
              <w:rPr>
                <w:sz w:val="16"/>
                <w:szCs w:val="16"/>
              </w:rPr>
              <w:t>4</w:t>
            </w:r>
            <w:r w:rsidR="00A16476">
              <w:rPr>
                <w:sz w:val="16"/>
                <w:szCs w:val="16"/>
              </w:rPr>
              <w:t>.</w:t>
            </w:r>
            <w:r w:rsidR="00AC37F8" w:rsidRPr="00C67ABB">
              <w:rPr>
                <w:sz w:val="16"/>
                <w:szCs w:val="16"/>
              </w:rPr>
              <w:t>l</w:t>
            </w:r>
            <w:r w:rsidR="00A16476">
              <w:rPr>
                <w:sz w:val="16"/>
                <w:szCs w:val="16"/>
              </w:rPr>
              <w:t>.</w:t>
            </w:r>
            <w:r w:rsidR="00AC37F8" w:rsidRPr="00C67ABB">
              <w:rPr>
                <w:sz w:val="16"/>
                <w:szCs w:val="16"/>
              </w:rPr>
              <w:t>F</w:t>
            </w:r>
          </w:p>
        </w:tc>
        <w:tc>
          <w:tcPr>
            <w:tcW w:w="635" w:type="pct"/>
            <w:tcBorders>
              <w:top w:val="single" w:sz="4" w:space="0" w:color="008000"/>
              <w:bottom w:val="single" w:sz="4" w:space="0" w:color="008000"/>
            </w:tcBorders>
            <w:shd w:val="clear" w:color="auto" w:fill="FFFFFF"/>
          </w:tcPr>
          <w:p w14:paraId="57290710" w14:textId="688A6C9C" w:rsidR="00AC37F8" w:rsidRPr="00C67ABB" w:rsidRDefault="00EA0D67" w:rsidP="00A7316B">
            <w:pPr>
              <w:pStyle w:val="Nessunaspaziatura"/>
              <w:jc w:val="center"/>
              <w:rPr>
                <w:sz w:val="16"/>
                <w:szCs w:val="16"/>
              </w:rPr>
            </w:pPr>
            <w:r w:rsidRPr="00C67ABB">
              <w:rPr>
                <w:sz w:val="16"/>
                <w:szCs w:val="16"/>
              </w:rPr>
              <w:t>Rec.15</w:t>
            </w:r>
          </w:p>
          <w:p w14:paraId="0BAB17DA" w14:textId="77777777" w:rsidR="00EA0D67" w:rsidRPr="00C67ABB" w:rsidRDefault="00EA0D67" w:rsidP="00A7316B">
            <w:pPr>
              <w:pStyle w:val="Nessunaspaziatura"/>
              <w:jc w:val="center"/>
              <w:rPr>
                <w:sz w:val="16"/>
                <w:szCs w:val="16"/>
              </w:rPr>
            </w:pPr>
            <w:r w:rsidRPr="00C67ABB">
              <w:rPr>
                <w:sz w:val="16"/>
                <w:szCs w:val="16"/>
              </w:rPr>
              <w:t>OR</w:t>
            </w:r>
          </w:p>
          <w:p w14:paraId="61841077" w14:textId="7B361A8A" w:rsidR="00EA0D67" w:rsidRPr="00C67ABB" w:rsidRDefault="00C24F10" w:rsidP="00A7316B">
            <w:pPr>
              <w:pStyle w:val="Nessunaspaziatura"/>
              <w:jc w:val="center"/>
              <w:rPr>
                <w:sz w:val="16"/>
                <w:szCs w:val="16"/>
              </w:rPr>
            </w:pPr>
            <w:r>
              <w:rPr>
                <w:sz w:val="16"/>
                <w:szCs w:val="16"/>
              </w:rPr>
              <w:t>3</w:t>
            </w:r>
            <w:r w:rsidR="00A16476">
              <w:rPr>
                <w:sz w:val="16"/>
                <w:szCs w:val="16"/>
              </w:rPr>
              <w:t>.</w:t>
            </w:r>
            <w:r w:rsidR="00EA0D67" w:rsidRPr="00C67ABB">
              <w:rPr>
                <w:sz w:val="16"/>
                <w:szCs w:val="16"/>
              </w:rPr>
              <w:t>l</w:t>
            </w:r>
            <w:r w:rsidR="00A16476">
              <w:rPr>
                <w:sz w:val="16"/>
                <w:szCs w:val="16"/>
              </w:rPr>
              <w:t>.</w:t>
            </w:r>
            <w:r w:rsidR="00EA0D67" w:rsidRPr="00C67ABB">
              <w:rPr>
                <w:sz w:val="16"/>
                <w:szCs w:val="16"/>
              </w:rPr>
              <w:t>T</w:t>
            </w:r>
          </w:p>
          <w:p w14:paraId="0347E292" w14:textId="77777777" w:rsidR="00EA0D67" w:rsidRPr="00C67ABB" w:rsidRDefault="00EA0D67" w:rsidP="00A7316B">
            <w:pPr>
              <w:pStyle w:val="Nessunaspaziatura"/>
              <w:jc w:val="center"/>
              <w:rPr>
                <w:sz w:val="16"/>
                <w:szCs w:val="16"/>
              </w:rPr>
            </w:pPr>
            <w:r w:rsidRPr="00C67ABB">
              <w:rPr>
                <w:sz w:val="16"/>
                <w:szCs w:val="16"/>
              </w:rPr>
              <w:t>OR</w:t>
            </w:r>
          </w:p>
          <w:p w14:paraId="49B32DA1" w14:textId="0CBEFF02" w:rsidR="00EA0D67" w:rsidRPr="00C67ABB" w:rsidRDefault="00C24F10" w:rsidP="00A7316B">
            <w:pPr>
              <w:pStyle w:val="Nessunaspaziatura"/>
              <w:jc w:val="center"/>
              <w:rPr>
                <w:sz w:val="16"/>
                <w:szCs w:val="16"/>
              </w:rPr>
            </w:pPr>
            <w:r>
              <w:rPr>
                <w:sz w:val="16"/>
                <w:szCs w:val="16"/>
              </w:rPr>
              <w:t>3</w:t>
            </w:r>
            <w:r w:rsidR="00A16476">
              <w:rPr>
                <w:sz w:val="16"/>
                <w:szCs w:val="16"/>
              </w:rPr>
              <w:t>.</w:t>
            </w:r>
            <w:r w:rsidR="00EA0D67" w:rsidRPr="00C67ABB">
              <w:rPr>
                <w:sz w:val="16"/>
                <w:szCs w:val="16"/>
              </w:rPr>
              <w:t>l</w:t>
            </w:r>
            <w:r w:rsidR="00A16476">
              <w:rPr>
                <w:sz w:val="16"/>
                <w:szCs w:val="16"/>
              </w:rPr>
              <w:t>.</w:t>
            </w:r>
            <w:r w:rsidR="00EA0D67" w:rsidRPr="00C67ABB">
              <w:rPr>
                <w:sz w:val="16"/>
                <w:szCs w:val="16"/>
              </w:rPr>
              <w:t>F</w:t>
            </w:r>
          </w:p>
          <w:p w14:paraId="09DEA080" w14:textId="77777777" w:rsidR="00EA0D67" w:rsidRPr="00C67ABB" w:rsidRDefault="00EA0D67" w:rsidP="00A7316B">
            <w:pPr>
              <w:pStyle w:val="Nessunaspaziatura"/>
              <w:jc w:val="center"/>
              <w:rPr>
                <w:sz w:val="16"/>
                <w:szCs w:val="16"/>
              </w:rPr>
            </w:pPr>
            <w:r w:rsidRPr="00C67ABB">
              <w:rPr>
                <w:sz w:val="16"/>
                <w:szCs w:val="16"/>
              </w:rPr>
              <w:t>OR</w:t>
            </w:r>
          </w:p>
          <w:p w14:paraId="672AA945" w14:textId="217FB9A5" w:rsidR="00EA0D67" w:rsidRPr="00C67ABB" w:rsidRDefault="00C24F10" w:rsidP="00A7316B">
            <w:pPr>
              <w:pStyle w:val="Nessunaspaziatura"/>
              <w:jc w:val="center"/>
              <w:rPr>
                <w:sz w:val="16"/>
                <w:szCs w:val="16"/>
              </w:rPr>
            </w:pPr>
            <w:r>
              <w:rPr>
                <w:sz w:val="16"/>
                <w:szCs w:val="16"/>
              </w:rPr>
              <w:t>3</w:t>
            </w:r>
            <w:r w:rsidR="00A16476">
              <w:rPr>
                <w:sz w:val="16"/>
                <w:szCs w:val="16"/>
              </w:rPr>
              <w:t>.</w:t>
            </w:r>
            <w:r w:rsidR="00EA0D67" w:rsidRPr="00C67ABB">
              <w:rPr>
                <w:sz w:val="16"/>
                <w:szCs w:val="16"/>
              </w:rPr>
              <w:t>No</w:t>
            </w:r>
            <w:r w:rsidR="00A16476">
              <w:rPr>
                <w:sz w:val="16"/>
                <w:szCs w:val="16"/>
              </w:rPr>
              <w:t>.</w:t>
            </w:r>
            <w:r w:rsidR="00EA0D67" w:rsidRPr="00C67ABB">
              <w:rPr>
                <w:sz w:val="16"/>
                <w:szCs w:val="16"/>
              </w:rPr>
              <w:t>F</w:t>
            </w:r>
          </w:p>
          <w:p w14:paraId="5BA22391" w14:textId="77777777" w:rsidR="00EA0D67" w:rsidRPr="00C67ABB" w:rsidRDefault="00EA0D67" w:rsidP="00A7316B">
            <w:pPr>
              <w:pStyle w:val="Nessunaspaziatura"/>
              <w:jc w:val="center"/>
              <w:rPr>
                <w:sz w:val="16"/>
                <w:szCs w:val="16"/>
              </w:rPr>
            </w:pPr>
            <w:r w:rsidRPr="00C67ABB">
              <w:rPr>
                <w:sz w:val="16"/>
                <w:szCs w:val="16"/>
              </w:rPr>
              <w:t>OR</w:t>
            </w:r>
          </w:p>
          <w:p w14:paraId="4BCF996C" w14:textId="3C01A3D7" w:rsidR="00EA0D67" w:rsidRPr="00C67ABB" w:rsidRDefault="00EA0D67" w:rsidP="00A7316B">
            <w:pPr>
              <w:pStyle w:val="Nessunaspaziatura"/>
              <w:jc w:val="center"/>
              <w:rPr>
                <w:sz w:val="16"/>
                <w:szCs w:val="16"/>
              </w:rPr>
            </w:pPr>
            <w:r w:rsidRPr="00C67ABB">
              <w:rPr>
                <w:sz w:val="16"/>
                <w:szCs w:val="16"/>
              </w:rPr>
              <w:t>TIC</w:t>
            </w:r>
            <w:r w:rsidR="00A16476">
              <w:rPr>
                <w:sz w:val="16"/>
                <w:szCs w:val="16"/>
              </w:rPr>
              <w:t>-</w:t>
            </w:r>
            <w:r w:rsidRPr="00C67ABB">
              <w:rPr>
                <w:sz w:val="16"/>
                <w:szCs w:val="16"/>
              </w:rPr>
              <w:t>0</w:t>
            </w:r>
            <w:r w:rsidR="00A354DF">
              <w:rPr>
                <w:sz w:val="16"/>
                <w:szCs w:val="16"/>
              </w:rPr>
              <w:t>1</w:t>
            </w:r>
            <w:r w:rsidRPr="00C67ABB">
              <w:rPr>
                <w:sz w:val="16"/>
                <w:szCs w:val="16"/>
              </w:rPr>
              <w:t>1</w:t>
            </w:r>
          </w:p>
        </w:tc>
        <w:tc>
          <w:tcPr>
            <w:tcW w:w="714" w:type="pct"/>
            <w:tcBorders>
              <w:top w:val="single" w:sz="4" w:space="0" w:color="008000"/>
              <w:bottom w:val="single" w:sz="4" w:space="0" w:color="008000"/>
            </w:tcBorders>
            <w:shd w:val="clear" w:color="auto" w:fill="FFFFFF"/>
          </w:tcPr>
          <w:p w14:paraId="763D9FDE" w14:textId="77777777" w:rsidR="00AC37F8" w:rsidRPr="00C67ABB" w:rsidRDefault="00AC37F8" w:rsidP="00A7316B">
            <w:pPr>
              <w:pStyle w:val="Nessunaspaziatura"/>
              <w:jc w:val="center"/>
              <w:rPr>
                <w:sz w:val="16"/>
                <w:szCs w:val="16"/>
              </w:rPr>
            </w:pPr>
          </w:p>
        </w:tc>
        <w:tc>
          <w:tcPr>
            <w:tcW w:w="714" w:type="pct"/>
            <w:tcBorders>
              <w:top w:val="single" w:sz="4" w:space="0" w:color="008000"/>
              <w:bottom w:val="single" w:sz="4" w:space="0" w:color="008000"/>
            </w:tcBorders>
            <w:shd w:val="clear" w:color="auto" w:fill="FFFFFF"/>
          </w:tcPr>
          <w:p w14:paraId="352B0D79" w14:textId="303C19DD" w:rsidR="00AC37F8" w:rsidRPr="00C67ABB" w:rsidRDefault="00C67ABB" w:rsidP="00A7316B">
            <w:pPr>
              <w:pStyle w:val="Nessunaspaziatura"/>
              <w:jc w:val="center"/>
              <w:rPr>
                <w:sz w:val="16"/>
                <w:szCs w:val="16"/>
              </w:rPr>
            </w:pPr>
            <w:r w:rsidRPr="00C67ABB">
              <w:rPr>
                <w:sz w:val="16"/>
                <w:szCs w:val="16"/>
              </w:rPr>
              <w:t>-</w:t>
            </w:r>
          </w:p>
        </w:tc>
        <w:tc>
          <w:tcPr>
            <w:tcW w:w="556" w:type="pct"/>
            <w:tcBorders>
              <w:top w:val="single" w:sz="4" w:space="0" w:color="008000"/>
              <w:bottom w:val="single" w:sz="4" w:space="0" w:color="008000"/>
            </w:tcBorders>
            <w:shd w:val="clear" w:color="auto" w:fill="FFFFFF"/>
          </w:tcPr>
          <w:p w14:paraId="4FB09E51" w14:textId="0CB8F2B7" w:rsidR="00AC37F8" w:rsidRPr="00C67ABB" w:rsidRDefault="00C67ABB" w:rsidP="00A7316B">
            <w:pPr>
              <w:pStyle w:val="Nessunaspaziatura"/>
              <w:jc w:val="center"/>
              <w:rPr>
                <w:sz w:val="16"/>
                <w:szCs w:val="16"/>
              </w:rPr>
            </w:pPr>
            <w:r w:rsidRPr="00C67ABB">
              <w:rPr>
                <w:sz w:val="16"/>
                <w:szCs w:val="16"/>
              </w:rPr>
              <w:t>-</w:t>
            </w:r>
          </w:p>
        </w:tc>
        <w:tc>
          <w:tcPr>
            <w:tcW w:w="635" w:type="pct"/>
            <w:tcBorders>
              <w:top w:val="single" w:sz="4" w:space="0" w:color="008000"/>
              <w:bottom w:val="single" w:sz="4" w:space="0" w:color="008000"/>
              <w:right w:val="single" w:sz="12" w:space="0" w:color="FFFFFF" w:themeColor="background1"/>
            </w:tcBorders>
            <w:shd w:val="clear" w:color="auto" w:fill="FFFFFF"/>
          </w:tcPr>
          <w:p w14:paraId="45B66E94" w14:textId="2E4413E3" w:rsidR="00AC37F8" w:rsidRPr="00C67ABB" w:rsidRDefault="00C67ABB" w:rsidP="00A7316B">
            <w:pPr>
              <w:pStyle w:val="Nessunaspaziatura"/>
              <w:jc w:val="center"/>
              <w:rPr>
                <w:sz w:val="16"/>
                <w:szCs w:val="16"/>
              </w:rPr>
            </w:pPr>
            <w:r w:rsidRPr="00C67ABB">
              <w:rPr>
                <w:sz w:val="16"/>
                <w:szCs w:val="16"/>
              </w:rPr>
              <w:t>-</w:t>
            </w:r>
          </w:p>
        </w:tc>
        <w:tc>
          <w:tcPr>
            <w:tcW w:w="555" w:type="pct"/>
            <w:tcBorders>
              <w:top w:val="single" w:sz="4" w:space="0" w:color="008000"/>
              <w:left w:val="single" w:sz="12" w:space="0" w:color="FFFFFF" w:themeColor="background1"/>
              <w:bottom w:val="single" w:sz="4" w:space="0" w:color="008000"/>
            </w:tcBorders>
            <w:shd w:val="clear" w:color="auto" w:fill="FFFFFF"/>
          </w:tcPr>
          <w:p w14:paraId="02BD05DA" w14:textId="04BBAC8B" w:rsidR="00AC37F8" w:rsidRPr="00C67ABB" w:rsidRDefault="00C67ABB" w:rsidP="00A7316B">
            <w:pPr>
              <w:pStyle w:val="Nessunaspaziatura"/>
              <w:jc w:val="center"/>
              <w:rPr>
                <w:sz w:val="16"/>
                <w:szCs w:val="16"/>
              </w:rPr>
            </w:pPr>
            <w:r w:rsidRPr="00C67ABB">
              <w:rPr>
                <w:sz w:val="16"/>
                <w:szCs w:val="16"/>
              </w:rPr>
              <w:t>-</w:t>
            </w:r>
          </w:p>
        </w:tc>
        <w:tc>
          <w:tcPr>
            <w:tcW w:w="397" w:type="pct"/>
            <w:tcBorders>
              <w:top w:val="single" w:sz="4" w:space="0" w:color="008000"/>
              <w:bottom w:val="single" w:sz="4" w:space="0" w:color="008000"/>
            </w:tcBorders>
            <w:shd w:val="clear" w:color="auto" w:fill="FFFFFF"/>
          </w:tcPr>
          <w:p w14:paraId="289626C2" w14:textId="2ED70DC0" w:rsidR="00AC37F8" w:rsidRPr="00C67ABB" w:rsidRDefault="00C67ABB" w:rsidP="00A7316B">
            <w:pPr>
              <w:pStyle w:val="Nessunaspaziatura"/>
              <w:jc w:val="center"/>
              <w:rPr>
                <w:rFonts w:cs="Arial"/>
                <w:sz w:val="16"/>
                <w:szCs w:val="16"/>
                <w:lang w:val="it-IT"/>
              </w:rPr>
            </w:pPr>
            <w:r w:rsidRPr="00C67ABB">
              <w:rPr>
                <w:rFonts w:cs="Arial"/>
                <w:sz w:val="16"/>
                <w:szCs w:val="16"/>
                <w:lang w:val="it-IT"/>
              </w:rPr>
              <w:t>-</w:t>
            </w:r>
          </w:p>
        </w:tc>
        <w:tc>
          <w:tcPr>
            <w:tcW w:w="237" w:type="pct"/>
            <w:tcBorders>
              <w:top w:val="single" w:sz="4" w:space="0" w:color="008000"/>
              <w:bottom w:val="single" w:sz="4" w:space="0" w:color="008000"/>
            </w:tcBorders>
            <w:shd w:val="clear" w:color="auto" w:fill="FFFFFF"/>
          </w:tcPr>
          <w:p w14:paraId="23599A8D" w14:textId="0B375841" w:rsidR="00AC37F8" w:rsidRPr="00C67ABB" w:rsidRDefault="00C67ABB" w:rsidP="00A7316B">
            <w:pPr>
              <w:pStyle w:val="Nessunaspaziatura"/>
              <w:jc w:val="center"/>
              <w:rPr>
                <w:rFonts w:cs="Arial"/>
                <w:sz w:val="16"/>
                <w:szCs w:val="16"/>
                <w:lang w:val="it-IT"/>
              </w:rPr>
            </w:pPr>
            <w:r w:rsidRPr="00C67ABB">
              <w:rPr>
                <w:rFonts w:cs="Arial"/>
                <w:sz w:val="16"/>
                <w:szCs w:val="16"/>
                <w:lang w:val="it-IT"/>
              </w:rPr>
              <w:t>-</w:t>
            </w:r>
          </w:p>
        </w:tc>
      </w:tr>
      <w:tr w:rsidR="00AC37F8" w:rsidRPr="00C67ABB" w14:paraId="771CE154" w14:textId="77777777" w:rsidTr="00C67ABB">
        <w:trPr>
          <w:trHeight w:val="485"/>
          <w:jc w:val="center"/>
        </w:trPr>
        <w:tc>
          <w:tcPr>
            <w:tcW w:w="238" w:type="pct"/>
            <w:tcBorders>
              <w:top w:val="single" w:sz="4" w:space="0" w:color="008000"/>
              <w:bottom w:val="single" w:sz="4" w:space="0" w:color="008000"/>
            </w:tcBorders>
            <w:shd w:val="clear" w:color="auto" w:fill="FFFFFF"/>
          </w:tcPr>
          <w:p w14:paraId="35C57E81" w14:textId="3060BADC" w:rsidR="00AC37F8" w:rsidRPr="00C67ABB" w:rsidRDefault="00AC37F8" w:rsidP="00A7316B">
            <w:pPr>
              <w:pStyle w:val="Nessunaspaziatura"/>
              <w:jc w:val="center"/>
              <w:rPr>
                <w:sz w:val="16"/>
                <w:szCs w:val="16"/>
              </w:rPr>
            </w:pPr>
            <w:r w:rsidRPr="00C67ABB">
              <w:rPr>
                <w:sz w:val="16"/>
                <w:szCs w:val="16"/>
              </w:rPr>
              <w:t>13</w:t>
            </w:r>
          </w:p>
        </w:tc>
        <w:tc>
          <w:tcPr>
            <w:tcW w:w="317" w:type="pct"/>
            <w:tcBorders>
              <w:top w:val="single" w:sz="4" w:space="0" w:color="008000"/>
              <w:bottom w:val="single" w:sz="4" w:space="0" w:color="008000"/>
            </w:tcBorders>
            <w:shd w:val="clear" w:color="auto" w:fill="FFFFFF"/>
          </w:tcPr>
          <w:p w14:paraId="7492E976" w14:textId="43784129" w:rsidR="00AC37F8" w:rsidRPr="00C67ABB" w:rsidRDefault="00C24F10" w:rsidP="00A7316B">
            <w:pPr>
              <w:pStyle w:val="Nessunaspaziatura"/>
              <w:jc w:val="center"/>
              <w:rPr>
                <w:sz w:val="16"/>
                <w:szCs w:val="16"/>
              </w:rPr>
            </w:pPr>
            <w:r>
              <w:rPr>
                <w:sz w:val="16"/>
                <w:szCs w:val="16"/>
              </w:rPr>
              <w:t>4</w:t>
            </w:r>
            <w:r w:rsidR="00874798">
              <w:rPr>
                <w:sz w:val="16"/>
                <w:szCs w:val="16"/>
              </w:rPr>
              <w:t>.</w:t>
            </w:r>
            <w:r w:rsidR="00AC37F8" w:rsidRPr="00C67ABB">
              <w:rPr>
                <w:sz w:val="16"/>
                <w:szCs w:val="16"/>
              </w:rPr>
              <w:t>l</w:t>
            </w:r>
            <w:r w:rsidR="00874798">
              <w:rPr>
                <w:sz w:val="16"/>
                <w:szCs w:val="16"/>
              </w:rPr>
              <w:t>.</w:t>
            </w:r>
            <w:r w:rsidR="00AC37F8" w:rsidRPr="00C67ABB">
              <w:rPr>
                <w:sz w:val="16"/>
                <w:szCs w:val="16"/>
              </w:rPr>
              <w:t>T</w:t>
            </w:r>
          </w:p>
        </w:tc>
        <w:tc>
          <w:tcPr>
            <w:tcW w:w="635" w:type="pct"/>
            <w:tcBorders>
              <w:top w:val="single" w:sz="4" w:space="0" w:color="008000"/>
              <w:bottom w:val="single" w:sz="4" w:space="0" w:color="008000"/>
            </w:tcBorders>
            <w:shd w:val="clear" w:color="auto" w:fill="FFFFFF"/>
          </w:tcPr>
          <w:p w14:paraId="43134276" w14:textId="0541F4EB" w:rsidR="00AC37F8" w:rsidRPr="00C67ABB" w:rsidRDefault="00C24F10" w:rsidP="00A7316B">
            <w:pPr>
              <w:pStyle w:val="Nessunaspaziatura"/>
              <w:jc w:val="center"/>
              <w:rPr>
                <w:sz w:val="16"/>
                <w:szCs w:val="16"/>
              </w:rPr>
            </w:pPr>
            <w:r>
              <w:rPr>
                <w:sz w:val="16"/>
                <w:szCs w:val="16"/>
              </w:rPr>
              <w:t>3</w:t>
            </w:r>
            <w:r w:rsidR="00874798">
              <w:rPr>
                <w:sz w:val="16"/>
                <w:szCs w:val="16"/>
              </w:rPr>
              <w:t>.</w:t>
            </w:r>
            <w:r w:rsidR="00EA0D67" w:rsidRPr="00C67ABB">
              <w:rPr>
                <w:sz w:val="16"/>
                <w:szCs w:val="16"/>
              </w:rPr>
              <w:t>l</w:t>
            </w:r>
            <w:r w:rsidR="00874798">
              <w:rPr>
                <w:sz w:val="16"/>
                <w:szCs w:val="16"/>
              </w:rPr>
              <w:t>.</w:t>
            </w:r>
            <w:r w:rsidR="00EA0D67" w:rsidRPr="00C67ABB">
              <w:rPr>
                <w:sz w:val="16"/>
                <w:szCs w:val="16"/>
              </w:rPr>
              <w:t>T</w:t>
            </w:r>
          </w:p>
        </w:tc>
        <w:tc>
          <w:tcPr>
            <w:tcW w:w="714" w:type="pct"/>
            <w:tcBorders>
              <w:top w:val="single" w:sz="4" w:space="0" w:color="008000"/>
              <w:bottom w:val="single" w:sz="4" w:space="0" w:color="008000"/>
            </w:tcBorders>
            <w:shd w:val="clear" w:color="auto" w:fill="FFFFFF"/>
          </w:tcPr>
          <w:p w14:paraId="54E9869A" w14:textId="0B30FBEE" w:rsidR="00EA0D67" w:rsidRPr="00C67ABB" w:rsidRDefault="00EA0D67" w:rsidP="00A7316B">
            <w:pPr>
              <w:pStyle w:val="Nessunaspaziatura"/>
              <w:jc w:val="center"/>
              <w:rPr>
                <w:sz w:val="16"/>
                <w:szCs w:val="16"/>
              </w:rPr>
            </w:pPr>
            <w:r w:rsidRPr="00C67ABB">
              <w:rPr>
                <w:sz w:val="16"/>
                <w:szCs w:val="16"/>
              </w:rPr>
              <w:t>Low temperature in separators</w:t>
            </w:r>
          </w:p>
        </w:tc>
        <w:tc>
          <w:tcPr>
            <w:tcW w:w="714" w:type="pct"/>
            <w:tcBorders>
              <w:top w:val="single" w:sz="4" w:space="0" w:color="008000"/>
              <w:bottom w:val="single" w:sz="4" w:space="0" w:color="008000"/>
            </w:tcBorders>
            <w:shd w:val="clear" w:color="auto" w:fill="FFFFFF"/>
          </w:tcPr>
          <w:p w14:paraId="1DDDA4B4" w14:textId="47BC62EA" w:rsidR="00AC37F8" w:rsidRPr="00C67ABB" w:rsidRDefault="00EA0D67" w:rsidP="00A7316B">
            <w:pPr>
              <w:pStyle w:val="Nessunaspaziatura"/>
              <w:jc w:val="center"/>
              <w:rPr>
                <w:sz w:val="16"/>
                <w:szCs w:val="16"/>
              </w:rPr>
            </w:pPr>
            <w:r w:rsidRPr="00C67ABB">
              <w:rPr>
                <w:sz w:val="16"/>
                <w:szCs w:val="16"/>
              </w:rPr>
              <w:t>Low temperature in separators</w:t>
            </w:r>
          </w:p>
        </w:tc>
        <w:tc>
          <w:tcPr>
            <w:tcW w:w="556" w:type="pct"/>
            <w:tcBorders>
              <w:top w:val="single" w:sz="4" w:space="0" w:color="008000"/>
              <w:bottom w:val="single" w:sz="4" w:space="0" w:color="008000"/>
            </w:tcBorders>
            <w:shd w:val="clear" w:color="auto" w:fill="FFFFFF"/>
          </w:tcPr>
          <w:p w14:paraId="5B04504D" w14:textId="4E5D8F25" w:rsidR="00AC37F8" w:rsidRPr="00C67ABB" w:rsidRDefault="00EA0D67" w:rsidP="00A7316B">
            <w:pPr>
              <w:pStyle w:val="Nessunaspaziatura"/>
              <w:jc w:val="center"/>
              <w:rPr>
                <w:sz w:val="16"/>
                <w:szCs w:val="16"/>
              </w:rPr>
            </w:pPr>
            <w:r w:rsidRPr="00C67ABB">
              <w:rPr>
                <w:sz w:val="16"/>
                <w:szCs w:val="16"/>
              </w:rPr>
              <w:t>TI</w:t>
            </w:r>
            <w:r w:rsidR="00874798">
              <w:rPr>
                <w:sz w:val="16"/>
                <w:szCs w:val="16"/>
              </w:rPr>
              <w:t>-</w:t>
            </w:r>
            <w:r w:rsidRPr="00C67ABB">
              <w:rPr>
                <w:sz w:val="16"/>
                <w:szCs w:val="16"/>
              </w:rPr>
              <w:t>01A/B (TAL)</w:t>
            </w:r>
          </w:p>
        </w:tc>
        <w:tc>
          <w:tcPr>
            <w:tcW w:w="635" w:type="pct"/>
            <w:tcBorders>
              <w:top w:val="single" w:sz="4" w:space="0" w:color="008000"/>
              <w:bottom w:val="single" w:sz="4" w:space="0" w:color="008000"/>
              <w:right w:val="single" w:sz="12" w:space="0" w:color="FFFFFF" w:themeColor="background1"/>
            </w:tcBorders>
            <w:shd w:val="clear" w:color="auto" w:fill="FFFFFF"/>
          </w:tcPr>
          <w:p w14:paraId="4F897BAE" w14:textId="65417B1B" w:rsidR="00AC37F8" w:rsidRPr="00C67ABB" w:rsidRDefault="00C67ABB" w:rsidP="00A7316B">
            <w:pPr>
              <w:pStyle w:val="Nessunaspaziatura"/>
              <w:jc w:val="center"/>
              <w:rPr>
                <w:sz w:val="16"/>
                <w:szCs w:val="16"/>
              </w:rPr>
            </w:pPr>
            <w:r w:rsidRPr="00C67ABB">
              <w:rPr>
                <w:sz w:val="16"/>
                <w:szCs w:val="16"/>
              </w:rPr>
              <w:t>-</w:t>
            </w:r>
          </w:p>
        </w:tc>
        <w:tc>
          <w:tcPr>
            <w:tcW w:w="555" w:type="pct"/>
            <w:tcBorders>
              <w:top w:val="single" w:sz="4" w:space="0" w:color="008000"/>
              <w:left w:val="single" w:sz="12" w:space="0" w:color="FFFFFF" w:themeColor="background1"/>
              <w:bottom w:val="single" w:sz="4" w:space="0" w:color="008000"/>
            </w:tcBorders>
            <w:shd w:val="clear" w:color="auto" w:fill="FFFFFF"/>
          </w:tcPr>
          <w:p w14:paraId="685A96A7" w14:textId="1C1CB9ED" w:rsidR="00AC37F8" w:rsidRPr="00C67ABB" w:rsidRDefault="00C67ABB" w:rsidP="00A7316B">
            <w:pPr>
              <w:pStyle w:val="Nessunaspaziatura"/>
              <w:jc w:val="center"/>
              <w:rPr>
                <w:sz w:val="16"/>
                <w:szCs w:val="16"/>
              </w:rPr>
            </w:pPr>
            <w:r w:rsidRPr="00C67ABB">
              <w:rPr>
                <w:sz w:val="16"/>
                <w:szCs w:val="16"/>
              </w:rPr>
              <w:t>-</w:t>
            </w:r>
          </w:p>
        </w:tc>
        <w:tc>
          <w:tcPr>
            <w:tcW w:w="397" w:type="pct"/>
            <w:tcBorders>
              <w:top w:val="single" w:sz="4" w:space="0" w:color="008000"/>
              <w:bottom w:val="single" w:sz="4" w:space="0" w:color="008000"/>
            </w:tcBorders>
            <w:shd w:val="clear" w:color="auto" w:fill="FFFFFF"/>
          </w:tcPr>
          <w:p w14:paraId="765279B4" w14:textId="151585AD" w:rsidR="00AC37F8" w:rsidRPr="00C67ABB" w:rsidRDefault="00C67ABB" w:rsidP="00A7316B">
            <w:pPr>
              <w:pStyle w:val="Nessunaspaziatura"/>
              <w:jc w:val="center"/>
              <w:rPr>
                <w:rFonts w:cs="Arial"/>
                <w:sz w:val="16"/>
                <w:szCs w:val="16"/>
                <w:lang w:val="it-IT"/>
              </w:rPr>
            </w:pPr>
            <w:r w:rsidRPr="00C67ABB">
              <w:rPr>
                <w:rFonts w:cs="Arial"/>
                <w:sz w:val="16"/>
                <w:szCs w:val="16"/>
                <w:lang w:val="it-IT"/>
              </w:rPr>
              <w:t>-</w:t>
            </w:r>
          </w:p>
        </w:tc>
        <w:tc>
          <w:tcPr>
            <w:tcW w:w="237" w:type="pct"/>
            <w:tcBorders>
              <w:top w:val="single" w:sz="4" w:space="0" w:color="008000"/>
              <w:bottom w:val="single" w:sz="4" w:space="0" w:color="008000"/>
            </w:tcBorders>
            <w:shd w:val="clear" w:color="auto" w:fill="FFFFFF"/>
          </w:tcPr>
          <w:p w14:paraId="5513E3F4" w14:textId="3F79C9E3" w:rsidR="00AC37F8" w:rsidRPr="00C67ABB" w:rsidRDefault="00EA0D67" w:rsidP="00A7316B">
            <w:pPr>
              <w:pStyle w:val="Nessunaspaziatura"/>
              <w:jc w:val="center"/>
              <w:rPr>
                <w:rFonts w:cs="Arial"/>
                <w:sz w:val="16"/>
                <w:szCs w:val="16"/>
                <w:lang w:val="it-IT"/>
              </w:rPr>
            </w:pPr>
            <w:r w:rsidRPr="00C67ABB">
              <w:rPr>
                <w:rFonts w:cs="Arial"/>
                <w:sz w:val="16"/>
                <w:szCs w:val="16"/>
                <w:lang w:val="it-IT"/>
              </w:rPr>
              <w:t>TE4</w:t>
            </w:r>
          </w:p>
        </w:tc>
      </w:tr>
      <w:tr w:rsidR="00AC37F8" w:rsidRPr="00C67ABB" w14:paraId="6481B4B5" w14:textId="77777777" w:rsidTr="00C67ABB">
        <w:trPr>
          <w:trHeight w:val="539"/>
          <w:jc w:val="center"/>
        </w:trPr>
        <w:tc>
          <w:tcPr>
            <w:tcW w:w="238" w:type="pct"/>
            <w:tcBorders>
              <w:top w:val="single" w:sz="4" w:space="0" w:color="008000"/>
              <w:bottom w:val="single" w:sz="4" w:space="0" w:color="008000"/>
            </w:tcBorders>
            <w:shd w:val="clear" w:color="auto" w:fill="FFFFFF"/>
          </w:tcPr>
          <w:p w14:paraId="3336126A" w14:textId="73B9FA44" w:rsidR="00AC37F8" w:rsidRPr="00C67ABB" w:rsidRDefault="00AC37F8" w:rsidP="00A7316B">
            <w:pPr>
              <w:pStyle w:val="Nessunaspaziatura"/>
              <w:jc w:val="center"/>
              <w:rPr>
                <w:sz w:val="16"/>
                <w:szCs w:val="16"/>
              </w:rPr>
            </w:pPr>
            <w:r w:rsidRPr="00C67ABB">
              <w:rPr>
                <w:sz w:val="16"/>
                <w:szCs w:val="16"/>
              </w:rPr>
              <w:t>14</w:t>
            </w:r>
          </w:p>
        </w:tc>
        <w:tc>
          <w:tcPr>
            <w:tcW w:w="317" w:type="pct"/>
            <w:tcBorders>
              <w:top w:val="single" w:sz="4" w:space="0" w:color="008000"/>
              <w:bottom w:val="single" w:sz="4" w:space="0" w:color="008000"/>
            </w:tcBorders>
            <w:shd w:val="clear" w:color="auto" w:fill="FFFFFF"/>
          </w:tcPr>
          <w:p w14:paraId="3C6D4BD1" w14:textId="79C091D0" w:rsidR="00AC37F8" w:rsidRPr="00C67ABB" w:rsidRDefault="00C24F10" w:rsidP="00A7316B">
            <w:pPr>
              <w:pStyle w:val="Nessunaspaziatura"/>
              <w:jc w:val="center"/>
              <w:rPr>
                <w:sz w:val="16"/>
                <w:szCs w:val="16"/>
              </w:rPr>
            </w:pPr>
            <w:r>
              <w:rPr>
                <w:sz w:val="16"/>
                <w:szCs w:val="16"/>
              </w:rPr>
              <w:t>4</w:t>
            </w:r>
            <w:r w:rsidR="00874798">
              <w:rPr>
                <w:sz w:val="16"/>
                <w:szCs w:val="16"/>
              </w:rPr>
              <w:t>.</w:t>
            </w:r>
            <w:r w:rsidR="00AC37F8" w:rsidRPr="00C67ABB">
              <w:rPr>
                <w:sz w:val="16"/>
                <w:szCs w:val="16"/>
              </w:rPr>
              <w:t>h</w:t>
            </w:r>
            <w:r w:rsidR="00874798">
              <w:rPr>
                <w:sz w:val="16"/>
                <w:szCs w:val="16"/>
              </w:rPr>
              <w:t>.</w:t>
            </w:r>
            <w:r w:rsidR="00AC37F8" w:rsidRPr="00C67ABB">
              <w:rPr>
                <w:sz w:val="16"/>
                <w:szCs w:val="16"/>
              </w:rPr>
              <w:t>F</w:t>
            </w:r>
          </w:p>
        </w:tc>
        <w:tc>
          <w:tcPr>
            <w:tcW w:w="635" w:type="pct"/>
            <w:tcBorders>
              <w:top w:val="single" w:sz="4" w:space="0" w:color="008000"/>
              <w:bottom w:val="single" w:sz="4" w:space="0" w:color="008000"/>
            </w:tcBorders>
            <w:shd w:val="clear" w:color="auto" w:fill="FFFFFF"/>
          </w:tcPr>
          <w:p w14:paraId="48026C90" w14:textId="79557A47" w:rsidR="00AC37F8" w:rsidRPr="00C67ABB" w:rsidRDefault="00EA0D67" w:rsidP="00A7316B">
            <w:pPr>
              <w:pStyle w:val="Nessunaspaziatura"/>
              <w:jc w:val="center"/>
              <w:rPr>
                <w:sz w:val="16"/>
                <w:szCs w:val="16"/>
              </w:rPr>
            </w:pPr>
            <w:r w:rsidRPr="00C67ABB">
              <w:rPr>
                <w:sz w:val="16"/>
                <w:szCs w:val="16"/>
              </w:rPr>
              <w:t>2</w:t>
            </w:r>
            <w:r w:rsidR="00874798">
              <w:rPr>
                <w:sz w:val="16"/>
                <w:szCs w:val="16"/>
              </w:rPr>
              <w:t>.</w:t>
            </w:r>
            <w:r w:rsidRPr="00C67ABB">
              <w:rPr>
                <w:sz w:val="16"/>
                <w:szCs w:val="16"/>
              </w:rPr>
              <w:t>h</w:t>
            </w:r>
            <w:r w:rsidR="00874798">
              <w:rPr>
                <w:sz w:val="16"/>
                <w:szCs w:val="16"/>
              </w:rPr>
              <w:t>.</w:t>
            </w:r>
            <w:r w:rsidRPr="00C67ABB">
              <w:rPr>
                <w:sz w:val="16"/>
                <w:szCs w:val="16"/>
              </w:rPr>
              <w:t>F</w:t>
            </w:r>
          </w:p>
        </w:tc>
        <w:tc>
          <w:tcPr>
            <w:tcW w:w="714" w:type="pct"/>
            <w:tcBorders>
              <w:top w:val="single" w:sz="4" w:space="0" w:color="008000"/>
              <w:bottom w:val="single" w:sz="4" w:space="0" w:color="008000"/>
            </w:tcBorders>
            <w:shd w:val="clear" w:color="auto" w:fill="FFFFFF"/>
          </w:tcPr>
          <w:p w14:paraId="200BAFC6" w14:textId="2F976B9F" w:rsidR="00AC37F8" w:rsidRPr="00C67ABB" w:rsidRDefault="00EA0D67" w:rsidP="00A7316B">
            <w:pPr>
              <w:pStyle w:val="Nessunaspaziatura"/>
              <w:jc w:val="center"/>
              <w:rPr>
                <w:sz w:val="16"/>
                <w:szCs w:val="16"/>
              </w:rPr>
            </w:pPr>
            <w:r w:rsidRPr="00C67ABB">
              <w:rPr>
                <w:sz w:val="16"/>
                <w:szCs w:val="16"/>
              </w:rPr>
              <w:t>High level in separators</w:t>
            </w:r>
          </w:p>
        </w:tc>
        <w:tc>
          <w:tcPr>
            <w:tcW w:w="714" w:type="pct"/>
            <w:tcBorders>
              <w:top w:val="single" w:sz="4" w:space="0" w:color="008000"/>
              <w:bottom w:val="single" w:sz="4" w:space="0" w:color="008000"/>
            </w:tcBorders>
            <w:shd w:val="clear" w:color="auto" w:fill="FFFFFF"/>
          </w:tcPr>
          <w:p w14:paraId="7B630223" w14:textId="55E2F0A0" w:rsidR="00AC37F8" w:rsidRPr="00C67ABB" w:rsidRDefault="00EA0D67" w:rsidP="00A7316B">
            <w:pPr>
              <w:pStyle w:val="Nessunaspaziatura"/>
              <w:jc w:val="center"/>
              <w:rPr>
                <w:sz w:val="16"/>
                <w:szCs w:val="16"/>
              </w:rPr>
            </w:pPr>
            <w:r w:rsidRPr="00C67ABB">
              <w:rPr>
                <w:sz w:val="16"/>
                <w:szCs w:val="16"/>
              </w:rPr>
              <w:t>High level in separators</w:t>
            </w:r>
          </w:p>
        </w:tc>
        <w:tc>
          <w:tcPr>
            <w:tcW w:w="556" w:type="pct"/>
            <w:tcBorders>
              <w:top w:val="single" w:sz="4" w:space="0" w:color="008000"/>
              <w:bottom w:val="single" w:sz="4" w:space="0" w:color="008000"/>
            </w:tcBorders>
            <w:shd w:val="clear" w:color="auto" w:fill="FFFFFF"/>
          </w:tcPr>
          <w:p w14:paraId="2055F64C" w14:textId="77777777" w:rsidR="00AC37F8" w:rsidRPr="00C67ABB" w:rsidRDefault="00AC37F8" w:rsidP="00A7316B">
            <w:pPr>
              <w:pStyle w:val="Nessunaspaziatura"/>
              <w:jc w:val="center"/>
              <w:rPr>
                <w:sz w:val="16"/>
                <w:szCs w:val="16"/>
              </w:rPr>
            </w:pPr>
          </w:p>
        </w:tc>
        <w:tc>
          <w:tcPr>
            <w:tcW w:w="635" w:type="pct"/>
            <w:tcBorders>
              <w:top w:val="single" w:sz="4" w:space="0" w:color="008000"/>
              <w:bottom w:val="single" w:sz="4" w:space="0" w:color="008000"/>
              <w:right w:val="single" w:sz="12" w:space="0" w:color="FFFFFF" w:themeColor="background1"/>
            </w:tcBorders>
            <w:shd w:val="clear" w:color="auto" w:fill="FFFFFF"/>
          </w:tcPr>
          <w:p w14:paraId="1CD68592" w14:textId="2E712666" w:rsidR="00AC37F8" w:rsidRPr="00C67ABB" w:rsidRDefault="00C67ABB" w:rsidP="00A7316B">
            <w:pPr>
              <w:pStyle w:val="Nessunaspaziatura"/>
              <w:jc w:val="center"/>
              <w:rPr>
                <w:sz w:val="16"/>
                <w:szCs w:val="16"/>
              </w:rPr>
            </w:pPr>
            <w:r w:rsidRPr="00C67ABB">
              <w:rPr>
                <w:sz w:val="16"/>
                <w:szCs w:val="16"/>
              </w:rPr>
              <w:t>-</w:t>
            </w:r>
          </w:p>
        </w:tc>
        <w:tc>
          <w:tcPr>
            <w:tcW w:w="555" w:type="pct"/>
            <w:tcBorders>
              <w:top w:val="single" w:sz="4" w:space="0" w:color="008000"/>
              <w:left w:val="single" w:sz="12" w:space="0" w:color="FFFFFF" w:themeColor="background1"/>
              <w:bottom w:val="single" w:sz="4" w:space="0" w:color="008000"/>
            </w:tcBorders>
            <w:shd w:val="clear" w:color="auto" w:fill="FFFFFF"/>
          </w:tcPr>
          <w:p w14:paraId="6CCF0236" w14:textId="45DAEC53" w:rsidR="00AC37F8" w:rsidRPr="00C67ABB" w:rsidRDefault="00C67ABB" w:rsidP="00A7316B">
            <w:pPr>
              <w:pStyle w:val="Nessunaspaziatura"/>
              <w:jc w:val="center"/>
              <w:rPr>
                <w:sz w:val="16"/>
                <w:szCs w:val="16"/>
              </w:rPr>
            </w:pPr>
            <w:r w:rsidRPr="00C67ABB">
              <w:rPr>
                <w:sz w:val="16"/>
                <w:szCs w:val="16"/>
              </w:rPr>
              <w:t>-</w:t>
            </w:r>
          </w:p>
        </w:tc>
        <w:tc>
          <w:tcPr>
            <w:tcW w:w="397" w:type="pct"/>
            <w:tcBorders>
              <w:top w:val="single" w:sz="4" w:space="0" w:color="008000"/>
              <w:bottom w:val="single" w:sz="4" w:space="0" w:color="008000"/>
            </w:tcBorders>
            <w:shd w:val="clear" w:color="auto" w:fill="FFFFFF"/>
          </w:tcPr>
          <w:p w14:paraId="5C94B917" w14:textId="7AA8FAC0" w:rsidR="00AC37F8" w:rsidRPr="00C67ABB" w:rsidRDefault="00C67ABB" w:rsidP="00A7316B">
            <w:pPr>
              <w:pStyle w:val="Nessunaspaziatura"/>
              <w:jc w:val="center"/>
              <w:rPr>
                <w:rFonts w:cs="Arial"/>
                <w:sz w:val="16"/>
                <w:szCs w:val="16"/>
                <w:lang w:val="it-IT"/>
              </w:rPr>
            </w:pPr>
            <w:r w:rsidRPr="00C67ABB">
              <w:rPr>
                <w:rFonts w:cs="Arial"/>
                <w:sz w:val="16"/>
                <w:szCs w:val="16"/>
                <w:lang w:val="it-IT"/>
              </w:rPr>
              <w:t>-</w:t>
            </w:r>
          </w:p>
        </w:tc>
        <w:tc>
          <w:tcPr>
            <w:tcW w:w="237" w:type="pct"/>
            <w:tcBorders>
              <w:top w:val="single" w:sz="4" w:space="0" w:color="008000"/>
              <w:bottom w:val="single" w:sz="4" w:space="0" w:color="008000"/>
            </w:tcBorders>
            <w:shd w:val="clear" w:color="auto" w:fill="FFFFFF"/>
          </w:tcPr>
          <w:p w14:paraId="508DA1B6" w14:textId="2A0B5EAC" w:rsidR="00AC37F8" w:rsidRPr="00C67ABB" w:rsidRDefault="00EA0D67" w:rsidP="00A7316B">
            <w:pPr>
              <w:pStyle w:val="Nessunaspaziatura"/>
              <w:jc w:val="center"/>
              <w:rPr>
                <w:rFonts w:cs="Arial"/>
                <w:sz w:val="16"/>
                <w:szCs w:val="16"/>
                <w:lang w:val="it-IT"/>
              </w:rPr>
            </w:pPr>
            <w:r w:rsidRPr="00C67ABB">
              <w:rPr>
                <w:rFonts w:cs="Arial"/>
                <w:sz w:val="16"/>
                <w:szCs w:val="16"/>
                <w:lang w:val="it-IT"/>
              </w:rPr>
              <w:t>TE5</w:t>
            </w:r>
          </w:p>
        </w:tc>
      </w:tr>
      <w:tr w:rsidR="00AC37F8" w:rsidRPr="00C67ABB" w14:paraId="184D7E0E" w14:textId="77777777" w:rsidTr="00C67ABB">
        <w:trPr>
          <w:trHeight w:val="1188"/>
          <w:jc w:val="center"/>
        </w:trPr>
        <w:tc>
          <w:tcPr>
            <w:tcW w:w="238" w:type="pct"/>
            <w:tcBorders>
              <w:top w:val="single" w:sz="4" w:space="0" w:color="008000"/>
              <w:bottom w:val="single" w:sz="4" w:space="0" w:color="008000"/>
            </w:tcBorders>
            <w:shd w:val="clear" w:color="auto" w:fill="FFFFFF"/>
          </w:tcPr>
          <w:p w14:paraId="4D10A38A" w14:textId="142B11D7" w:rsidR="00AC37F8" w:rsidRPr="00C67ABB" w:rsidRDefault="00AC37F8" w:rsidP="00A7316B">
            <w:pPr>
              <w:pStyle w:val="Nessunaspaziatura"/>
              <w:jc w:val="center"/>
              <w:rPr>
                <w:sz w:val="16"/>
                <w:szCs w:val="16"/>
              </w:rPr>
            </w:pPr>
            <w:r w:rsidRPr="00C67ABB">
              <w:rPr>
                <w:sz w:val="16"/>
                <w:szCs w:val="16"/>
              </w:rPr>
              <w:t>15</w:t>
            </w:r>
          </w:p>
        </w:tc>
        <w:tc>
          <w:tcPr>
            <w:tcW w:w="317" w:type="pct"/>
            <w:tcBorders>
              <w:top w:val="single" w:sz="4" w:space="0" w:color="008000"/>
              <w:bottom w:val="single" w:sz="4" w:space="0" w:color="008000"/>
            </w:tcBorders>
            <w:shd w:val="clear" w:color="auto" w:fill="FFFFFF"/>
          </w:tcPr>
          <w:p w14:paraId="125EB17D" w14:textId="57ABE618" w:rsidR="00AC37F8" w:rsidRPr="00C67ABB" w:rsidRDefault="00C24F10" w:rsidP="00A7316B">
            <w:pPr>
              <w:pStyle w:val="Nessunaspaziatura"/>
              <w:jc w:val="center"/>
              <w:rPr>
                <w:sz w:val="16"/>
                <w:szCs w:val="16"/>
                <w:lang w:val="it-IT"/>
              </w:rPr>
            </w:pPr>
            <w:r>
              <w:rPr>
                <w:sz w:val="16"/>
                <w:szCs w:val="16"/>
                <w:lang w:val="it-IT"/>
              </w:rPr>
              <w:t>4</w:t>
            </w:r>
            <w:r w:rsidR="00874798">
              <w:rPr>
                <w:sz w:val="16"/>
                <w:szCs w:val="16"/>
                <w:lang w:val="it-IT"/>
              </w:rPr>
              <w:t>.</w:t>
            </w:r>
            <w:r w:rsidR="00AC37F8" w:rsidRPr="00C67ABB">
              <w:rPr>
                <w:sz w:val="16"/>
                <w:szCs w:val="16"/>
                <w:lang w:val="it-IT"/>
              </w:rPr>
              <w:t>h</w:t>
            </w:r>
            <w:r w:rsidR="00874798">
              <w:rPr>
                <w:sz w:val="16"/>
                <w:szCs w:val="16"/>
                <w:lang w:val="it-IT"/>
              </w:rPr>
              <w:t>.</w:t>
            </w:r>
            <w:r w:rsidR="00AC37F8" w:rsidRPr="00C67ABB">
              <w:rPr>
                <w:sz w:val="16"/>
                <w:szCs w:val="16"/>
                <w:lang w:val="it-IT"/>
              </w:rPr>
              <w:t>T</w:t>
            </w:r>
          </w:p>
        </w:tc>
        <w:tc>
          <w:tcPr>
            <w:tcW w:w="635" w:type="pct"/>
            <w:tcBorders>
              <w:top w:val="single" w:sz="4" w:space="0" w:color="008000"/>
              <w:bottom w:val="single" w:sz="4" w:space="0" w:color="008000"/>
            </w:tcBorders>
            <w:shd w:val="clear" w:color="auto" w:fill="FFFFFF"/>
          </w:tcPr>
          <w:p w14:paraId="06E27FA5" w14:textId="39E71E75" w:rsidR="00AC37F8" w:rsidRPr="00A21BC6" w:rsidRDefault="00C24F10" w:rsidP="00A7316B">
            <w:pPr>
              <w:pStyle w:val="Nessunaspaziatura"/>
              <w:jc w:val="center"/>
              <w:rPr>
                <w:sz w:val="16"/>
                <w:szCs w:val="16"/>
                <w:lang w:val="en-US"/>
              </w:rPr>
            </w:pPr>
            <w:r>
              <w:rPr>
                <w:sz w:val="16"/>
                <w:szCs w:val="16"/>
                <w:lang w:val="en-US"/>
              </w:rPr>
              <w:t>3</w:t>
            </w:r>
            <w:r w:rsidR="00874798">
              <w:rPr>
                <w:sz w:val="16"/>
                <w:szCs w:val="16"/>
                <w:lang w:val="en-US"/>
              </w:rPr>
              <w:t>.</w:t>
            </w:r>
            <w:r w:rsidR="00EA0D67" w:rsidRPr="00A21BC6">
              <w:rPr>
                <w:sz w:val="16"/>
                <w:szCs w:val="16"/>
                <w:lang w:val="en-US"/>
              </w:rPr>
              <w:t>h</w:t>
            </w:r>
            <w:r w:rsidR="00874798">
              <w:rPr>
                <w:sz w:val="16"/>
                <w:szCs w:val="16"/>
                <w:lang w:val="en-US"/>
              </w:rPr>
              <w:t>.</w:t>
            </w:r>
            <w:r w:rsidR="00EA0D67" w:rsidRPr="00A21BC6">
              <w:rPr>
                <w:sz w:val="16"/>
                <w:szCs w:val="16"/>
                <w:lang w:val="en-US"/>
              </w:rPr>
              <w:t>F</w:t>
            </w:r>
          </w:p>
          <w:p w14:paraId="5AA28BCF" w14:textId="77777777" w:rsidR="00EA0D67" w:rsidRPr="00A21BC6" w:rsidRDefault="00EA0D67" w:rsidP="00A7316B">
            <w:pPr>
              <w:pStyle w:val="Nessunaspaziatura"/>
              <w:jc w:val="center"/>
              <w:rPr>
                <w:sz w:val="16"/>
                <w:szCs w:val="16"/>
                <w:lang w:val="en-US"/>
              </w:rPr>
            </w:pPr>
            <w:r w:rsidRPr="00A21BC6">
              <w:rPr>
                <w:sz w:val="16"/>
                <w:szCs w:val="16"/>
                <w:lang w:val="en-US"/>
              </w:rPr>
              <w:t>OR</w:t>
            </w:r>
          </w:p>
          <w:p w14:paraId="0552A1B7" w14:textId="716EA816" w:rsidR="00EA0D67" w:rsidRPr="00A21BC6" w:rsidRDefault="00C24F10" w:rsidP="00A7316B">
            <w:pPr>
              <w:pStyle w:val="Nessunaspaziatura"/>
              <w:jc w:val="center"/>
              <w:rPr>
                <w:sz w:val="16"/>
                <w:szCs w:val="16"/>
                <w:lang w:val="en-US"/>
              </w:rPr>
            </w:pPr>
            <w:r>
              <w:rPr>
                <w:sz w:val="16"/>
                <w:szCs w:val="16"/>
                <w:lang w:val="en-US"/>
              </w:rPr>
              <w:t>2</w:t>
            </w:r>
            <w:r w:rsidR="00874798">
              <w:rPr>
                <w:sz w:val="16"/>
                <w:szCs w:val="16"/>
                <w:lang w:val="en-US"/>
              </w:rPr>
              <w:t>.</w:t>
            </w:r>
            <w:r w:rsidR="00EA0D67" w:rsidRPr="00A21BC6">
              <w:rPr>
                <w:sz w:val="16"/>
                <w:szCs w:val="16"/>
                <w:lang w:val="en-US"/>
              </w:rPr>
              <w:t>h</w:t>
            </w:r>
            <w:r w:rsidR="00874798">
              <w:rPr>
                <w:sz w:val="16"/>
                <w:szCs w:val="16"/>
                <w:lang w:val="en-US"/>
              </w:rPr>
              <w:t>.</w:t>
            </w:r>
            <w:r w:rsidR="00EA0D67" w:rsidRPr="00A21BC6">
              <w:rPr>
                <w:sz w:val="16"/>
                <w:szCs w:val="16"/>
                <w:lang w:val="en-US"/>
              </w:rPr>
              <w:t>T</w:t>
            </w:r>
          </w:p>
          <w:p w14:paraId="0BDEB1E6" w14:textId="77777777" w:rsidR="00EA0D67" w:rsidRPr="00A21BC6" w:rsidRDefault="00EA0D67" w:rsidP="00A7316B">
            <w:pPr>
              <w:pStyle w:val="Nessunaspaziatura"/>
              <w:jc w:val="center"/>
              <w:rPr>
                <w:sz w:val="16"/>
                <w:szCs w:val="16"/>
                <w:lang w:val="en-US"/>
              </w:rPr>
            </w:pPr>
            <w:r w:rsidRPr="00A21BC6">
              <w:rPr>
                <w:sz w:val="16"/>
                <w:szCs w:val="16"/>
                <w:lang w:val="en-US"/>
              </w:rPr>
              <w:t>OR</w:t>
            </w:r>
          </w:p>
          <w:p w14:paraId="25AB64CF" w14:textId="737CE791" w:rsidR="00EA0D67" w:rsidRPr="00A21BC6" w:rsidRDefault="00EA0D67" w:rsidP="00A7316B">
            <w:pPr>
              <w:pStyle w:val="Nessunaspaziatura"/>
              <w:jc w:val="center"/>
              <w:rPr>
                <w:sz w:val="16"/>
                <w:szCs w:val="16"/>
                <w:lang w:val="en-US"/>
              </w:rPr>
            </w:pPr>
            <w:r w:rsidRPr="00A21BC6">
              <w:rPr>
                <w:sz w:val="16"/>
                <w:szCs w:val="16"/>
                <w:lang w:val="en-US"/>
              </w:rPr>
              <w:t>2</w:t>
            </w:r>
            <w:r w:rsidR="00874798">
              <w:rPr>
                <w:sz w:val="16"/>
                <w:szCs w:val="16"/>
                <w:lang w:val="en-US"/>
              </w:rPr>
              <w:t>.</w:t>
            </w:r>
            <w:r w:rsidRPr="00A21BC6">
              <w:rPr>
                <w:sz w:val="16"/>
                <w:szCs w:val="16"/>
                <w:lang w:val="en-US"/>
              </w:rPr>
              <w:t>l</w:t>
            </w:r>
            <w:r w:rsidR="00874798">
              <w:rPr>
                <w:sz w:val="16"/>
                <w:szCs w:val="16"/>
                <w:lang w:val="en-US"/>
              </w:rPr>
              <w:t>.</w:t>
            </w:r>
            <w:r w:rsidRPr="00A21BC6">
              <w:rPr>
                <w:sz w:val="16"/>
                <w:szCs w:val="16"/>
                <w:lang w:val="en-US"/>
              </w:rPr>
              <w:t>F</w:t>
            </w:r>
          </w:p>
          <w:p w14:paraId="7E3AA0A3" w14:textId="77777777" w:rsidR="00EA0D67" w:rsidRPr="00A21BC6" w:rsidRDefault="00EA0D67" w:rsidP="00A7316B">
            <w:pPr>
              <w:pStyle w:val="Nessunaspaziatura"/>
              <w:jc w:val="center"/>
              <w:rPr>
                <w:sz w:val="16"/>
                <w:szCs w:val="16"/>
                <w:lang w:val="en-US"/>
              </w:rPr>
            </w:pPr>
            <w:r w:rsidRPr="00A21BC6">
              <w:rPr>
                <w:sz w:val="16"/>
                <w:szCs w:val="16"/>
                <w:lang w:val="en-US"/>
              </w:rPr>
              <w:t>OR</w:t>
            </w:r>
          </w:p>
          <w:p w14:paraId="55CBBF68" w14:textId="19CC92A0" w:rsidR="00EA0D67" w:rsidRPr="00C67ABB" w:rsidRDefault="00EA0D67" w:rsidP="00A7316B">
            <w:pPr>
              <w:pStyle w:val="Nessunaspaziatura"/>
              <w:jc w:val="center"/>
              <w:rPr>
                <w:sz w:val="16"/>
                <w:szCs w:val="16"/>
                <w:lang w:val="it-IT"/>
              </w:rPr>
            </w:pPr>
            <w:r w:rsidRPr="00C67ABB">
              <w:rPr>
                <w:sz w:val="16"/>
                <w:szCs w:val="16"/>
                <w:lang w:val="it-IT"/>
              </w:rPr>
              <w:t>TIC</w:t>
            </w:r>
            <w:r w:rsidR="00874798">
              <w:rPr>
                <w:sz w:val="16"/>
                <w:szCs w:val="16"/>
                <w:lang w:val="it-IT"/>
              </w:rPr>
              <w:t>-</w:t>
            </w:r>
            <w:r w:rsidRPr="00C67ABB">
              <w:rPr>
                <w:sz w:val="16"/>
                <w:szCs w:val="16"/>
                <w:lang w:val="it-IT"/>
              </w:rPr>
              <w:t>0</w:t>
            </w:r>
            <w:r w:rsidR="00A354DF">
              <w:rPr>
                <w:sz w:val="16"/>
                <w:szCs w:val="16"/>
                <w:lang w:val="it-IT"/>
              </w:rPr>
              <w:t>1</w:t>
            </w:r>
            <w:r w:rsidRPr="00C67ABB">
              <w:rPr>
                <w:sz w:val="16"/>
                <w:szCs w:val="16"/>
                <w:lang w:val="it-IT"/>
              </w:rPr>
              <w:t>1</w:t>
            </w:r>
          </w:p>
        </w:tc>
        <w:tc>
          <w:tcPr>
            <w:tcW w:w="714" w:type="pct"/>
            <w:tcBorders>
              <w:top w:val="single" w:sz="4" w:space="0" w:color="008000"/>
              <w:bottom w:val="single" w:sz="4" w:space="0" w:color="008000"/>
            </w:tcBorders>
            <w:shd w:val="clear" w:color="auto" w:fill="FFFFFF"/>
          </w:tcPr>
          <w:p w14:paraId="25ADC764" w14:textId="212E5961" w:rsidR="00AC37F8" w:rsidRPr="00A21BC6" w:rsidRDefault="00C24F10" w:rsidP="00A7316B">
            <w:pPr>
              <w:pStyle w:val="Nessunaspaziatura"/>
              <w:jc w:val="center"/>
              <w:rPr>
                <w:sz w:val="16"/>
                <w:szCs w:val="16"/>
                <w:lang w:val="en-US"/>
              </w:rPr>
            </w:pPr>
            <w:r>
              <w:rPr>
                <w:sz w:val="16"/>
                <w:szCs w:val="16"/>
                <w:lang w:val="en-US"/>
              </w:rPr>
              <w:t>4</w:t>
            </w:r>
            <w:r w:rsidR="00874798">
              <w:rPr>
                <w:sz w:val="16"/>
                <w:szCs w:val="16"/>
                <w:lang w:val="en-US"/>
              </w:rPr>
              <w:t>.</w:t>
            </w:r>
            <w:r w:rsidR="00EA0D67" w:rsidRPr="00A21BC6">
              <w:rPr>
                <w:sz w:val="16"/>
                <w:szCs w:val="16"/>
                <w:lang w:val="en-US"/>
              </w:rPr>
              <w:t>hh</w:t>
            </w:r>
            <w:r w:rsidR="00874798">
              <w:rPr>
                <w:sz w:val="16"/>
                <w:szCs w:val="16"/>
                <w:lang w:val="en-US"/>
              </w:rPr>
              <w:t>.</w:t>
            </w:r>
            <w:r w:rsidR="00EA0D67" w:rsidRPr="00A21BC6">
              <w:rPr>
                <w:sz w:val="16"/>
                <w:szCs w:val="16"/>
                <w:lang w:val="en-US"/>
              </w:rPr>
              <w:t>T</w:t>
            </w:r>
          </w:p>
          <w:p w14:paraId="047ADF10" w14:textId="22C9CE86" w:rsidR="00EA0D67" w:rsidRPr="00A21BC6" w:rsidRDefault="00EA0D67" w:rsidP="00A7316B">
            <w:pPr>
              <w:pStyle w:val="Nessunaspaziatura"/>
              <w:jc w:val="center"/>
              <w:rPr>
                <w:sz w:val="16"/>
                <w:szCs w:val="16"/>
                <w:lang w:val="en-US"/>
              </w:rPr>
            </w:pPr>
            <w:r w:rsidRPr="00A21BC6">
              <w:rPr>
                <w:sz w:val="16"/>
                <w:szCs w:val="16"/>
                <w:lang w:val="en-US"/>
              </w:rPr>
              <w:t>High temperature in separators</w:t>
            </w:r>
          </w:p>
        </w:tc>
        <w:tc>
          <w:tcPr>
            <w:tcW w:w="714" w:type="pct"/>
            <w:tcBorders>
              <w:top w:val="single" w:sz="4" w:space="0" w:color="008000"/>
              <w:bottom w:val="single" w:sz="4" w:space="0" w:color="008000"/>
            </w:tcBorders>
            <w:shd w:val="clear" w:color="auto" w:fill="FFFFFF"/>
          </w:tcPr>
          <w:p w14:paraId="78CC19F6" w14:textId="2AE5ACF7" w:rsidR="00AC37F8" w:rsidRPr="00C67ABB" w:rsidRDefault="00C24F10" w:rsidP="00A7316B">
            <w:pPr>
              <w:pStyle w:val="Nessunaspaziatura"/>
              <w:jc w:val="center"/>
              <w:rPr>
                <w:sz w:val="16"/>
                <w:szCs w:val="16"/>
                <w:lang w:val="it-IT"/>
              </w:rPr>
            </w:pPr>
            <w:r>
              <w:rPr>
                <w:sz w:val="16"/>
                <w:szCs w:val="16"/>
                <w:lang w:val="it-IT"/>
              </w:rPr>
              <w:t>4</w:t>
            </w:r>
            <w:r w:rsidR="00874798">
              <w:rPr>
                <w:sz w:val="16"/>
                <w:szCs w:val="16"/>
                <w:lang w:val="it-IT"/>
              </w:rPr>
              <w:t>.</w:t>
            </w:r>
            <w:r w:rsidR="00EA0D67" w:rsidRPr="00C67ABB">
              <w:rPr>
                <w:sz w:val="16"/>
                <w:szCs w:val="16"/>
                <w:lang w:val="it-IT"/>
              </w:rPr>
              <w:t>l</w:t>
            </w:r>
            <w:r w:rsidR="00874798">
              <w:rPr>
                <w:sz w:val="16"/>
                <w:szCs w:val="16"/>
                <w:lang w:val="it-IT"/>
              </w:rPr>
              <w:t>.</w:t>
            </w:r>
            <w:r w:rsidR="00EA0D67" w:rsidRPr="00C67ABB">
              <w:rPr>
                <w:sz w:val="16"/>
                <w:szCs w:val="16"/>
                <w:lang w:val="it-IT"/>
              </w:rPr>
              <w:t>T</w:t>
            </w:r>
          </w:p>
        </w:tc>
        <w:tc>
          <w:tcPr>
            <w:tcW w:w="556" w:type="pct"/>
            <w:tcBorders>
              <w:top w:val="single" w:sz="4" w:space="0" w:color="008000"/>
              <w:bottom w:val="single" w:sz="4" w:space="0" w:color="008000"/>
            </w:tcBorders>
            <w:shd w:val="clear" w:color="auto" w:fill="FFFFFF"/>
          </w:tcPr>
          <w:p w14:paraId="490CF890" w14:textId="48294617" w:rsidR="00AC37F8" w:rsidRPr="00C67ABB" w:rsidRDefault="00EA0D67" w:rsidP="00A7316B">
            <w:pPr>
              <w:pStyle w:val="Nessunaspaziatura"/>
              <w:jc w:val="center"/>
              <w:rPr>
                <w:sz w:val="16"/>
                <w:szCs w:val="16"/>
                <w:lang w:val="it-IT"/>
              </w:rPr>
            </w:pPr>
            <w:r w:rsidRPr="00C67ABB">
              <w:rPr>
                <w:sz w:val="16"/>
                <w:szCs w:val="16"/>
                <w:lang w:val="it-IT"/>
              </w:rPr>
              <w:t>TI</w:t>
            </w:r>
            <w:r w:rsidR="00874798">
              <w:rPr>
                <w:sz w:val="16"/>
                <w:szCs w:val="16"/>
                <w:lang w:val="it-IT"/>
              </w:rPr>
              <w:t>-</w:t>
            </w:r>
            <w:r w:rsidRPr="00C67ABB">
              <w:rPr>
                <w:sz w:val="16"/>
                <w:szCs w:val="16"/>
                <w:lang w:val="it-IT"/>
              </w:rPr>
              <w:t>01A/B (TAH)</w:t>
            </w:r>
          </w:p>
        </w:tc>
        <w:tc>
          <w:tcPr>
            <w:tcW w:w="635" w:type="pct"/>
            <w:tcBorders>
              <w:top w:val="single" w:sz="4" w:space="0" w:color="008000"/>
              <w:bottom w:val="single" w:sz="4" w:space="0" w:color="008000"/>
              <w:right w:val="single" w:sz="12" w:space="0" w:color="FFFFFF" w:themeColor="background1"/>
            </w:tcBorders>
            <w:shd w:val="clear" w:color="auto" w:fill="FFFFFF"/>
          </w:tcPr>
          <w:p w14:paraId="11A89271" w14:textId="7272A955" w:rsidR="00AC37F8" w:rsidRPr="00C67ABB" w:rsidRDefault="00EA0D67" w:rsidP="00A7316B">
            <w:pPr>
              <w:pStyle w:val="Nessunaspaziatura"/>
              <w:jc w:val="center"/>
              <w:rPr>
                <w:sz w:val="16"/>
                <w:szCs w:val="16"/>
                <w:lang w:val="it-IT"/>
              </w:rPr>
            </w:pPr>
            <w:r w:rsidRPr="00C67ABB">
              <w:rPr>
                <w:sz w:val="16"/>
                <w:szCs w:val="16"/>
                <w:lang w:val="it-IT"/>
              </w:rPr>
              <w:t>Manual closure of SDV</w:t>
            </w:r>
            <w:r w:rsidR="00874798">
              <w:rPr>
                <w:sz w:val="16"/>
                <w:szCs w:val="16"/>
                <w:lang w:val="it-IT"/>
              </w:rPr>
              <w:t>-</w:t>
            </w:r>
            <w:r w:rsidRPr="00C67ABB">
              <w:rPr>
                <w:sz w:val="16"/>
                <w:szCs w:val="16"/>
                <w:lang w:val="it-IT"/>
              </w:rPr>
              <w:t>020</w:t>
            </w:r>
          </w:p>
        </w:tc>
        <w:tc>
          <w:tcPr>
            <w:tcW w:w="555" w:type="pct"/>
            <w:tcBorders>
              <w:top w:val="single" w:sz="4" w:space="0" w:color="008000"/>
              <w:left w:val="single" w:sz="12" w:space="0" w:color="FFFFFF" w:themeColor="background1"/>
              <w:bottom w:val="single" w:sz="4" w:space="0" w:color="008000"/>
            </w:tcBorders>
            <w:shd w:val="clear" w:color="auto" w:fill="FFFFFF"/>
          </w:tcPr>
          <w:p w14:paraId="0B06C2A2" w14:textId="3F36BBB4" w:rsidR="00AC37F8" w:rsidRPr="00C67ABB" w:rsidRDefault="00C67ABB" w:rsidP="00A7316B">
            <w:pPr>
              <w:pStyle w:val="Nessunaspaziatura"/>
              <w:jc w:val="center"/>
              <w:rPr>
                <w:sz w:val="16"/>
                <w:szCs w:val="16"/>
                <w:lang w:val="it-IT"/>
              </w:rPr>
            </w:pPr>
            <w:r w:rsidRPr="00C67ABB">
              <w:rPr>
                <w:sz w:val="16"/>
                <w:szCs w:val="16"/>
                <w:lang w:val="it-IT"/>
              </w:rPr>
              <w:t>-</w:t>
            </w:r>
          </w:p>
        </w:tc>
        <w:tc>
          <w:tcPr>
            <w:tcW w:w="397" w:type="pct"/>
            <w:tcBorders>
              <w:top w:val="single" w:sz="4" w:space="0" w:color="008000"/>
              <w:bottom w:val="single" w:sz="4" w:space="0" w:color="008000"/>
            </w:tcBorders>
            <w:shd w:val="clear" w:color="auto" w:fill="FFFFFF"/>
          </w:tcPr>
          <w:p w14:paraId="1D658291" w14:textId="3FA88658" w:rsidR="00AC37F8" w:rsidRPr="00C67ABB" w:rsidRDefault="00C67ABB" w:rsidP="00A7316B">
            <w:pPr>
              <w:pStyle w:val="Nessunaspaziatura"/>
              <w:jc w:val="center"/>
              <w:rPr>
                <w:rFonts w:cs="Arial"/>
                <w:sz w:val="16"/>
                <w:szCs w:val="16"/>
                <w:lang w:val="it-IT"/>
              </w:rPr>
            </w:pPr>
            <w:r w:rsidRPr="00C67ABB">
              <w:rPr>
                <w:rFonts w:cs="Arial"/>
                <w:sz w:val="16"/>
                <w:szCs w:val="16"/>
                <w:lang w:val="it-IT"/>
              </w:rPr>
              <w:t>-</w:t>
            </w:r>
          </w:p>
        </w:tc>
        <w:tc>
          <w:tcPr>
            <w:tcW w:w="237" w:type="pct"/>
            <w:tcBorders>
              <w:top w:val="single" w:sz="4" w:space="0" w:color="008000"/>
              <w:bottom w:val="single" w:sz="4" w:space="0" w:color="008000"/>
            </w:tcBorders>
            <w:shd w:val="clear" w:color="auto" w:fill="FFFFFF"/>
          </w:tcPr>
          <w:p w14:paraId="5A4EB39D" w14:textId="288FCFCB" w:rsidR="00AC37F8" w:rsidRPr="00C67ABB" w:rsidRDefault="00EA0D67" w:rsidP="00A7316B">
            <w:pPr>
              <w:pStyle w:val="Nessunaspaziatura"/>
              <w:jc w:val="center"/>
              <w:rPr>
                <w:rFonts w:cs="Arial"/>
                <w:sz w:val="16"/>
                <w:szCs w:val="16"/>
                <w:lang w:val="it-IT"/>
              </w:rPr>
            </w:pPr>
            <w:r w:rsidRPr="00C67ABB">
              <w:rPr>
                <w:rFonts w:cs="Arial"/>
                <w:sz w:val="16"/>
                <w:szCs w:val="16"/>
                <w:lang w:val="it-IT"/>
              </w:rPr>
              <w:t>TE6</w:t>
            </w:r>
          </w:p>
        </w:tc>
      </w:tr>
      <w:tr w:rsidR="00AC37F8" w:rsidRPr="00C67ABB" w14:paraId="291959D4" w14:textId="77777777" w:rsidTr="00C67ABB">
        <w:trPr>
          <w:trHeight w:val="206"/>
          <w:jc w:val="center"/>
        </w:trPr>
        <w:tc>
          <w:tcPr>
            <w:tcW w:w="238" w:type="pct"/>
            <w:tcBorders>
              <w:top w:val="single" w:sz="4" w:space="0" w:color="008000"/>
              <w:bottom w:val="single" w:sz="4" w:space="0" w:color="008000"/>
            </w:tcBorders>
            <w:shd w:val="clear" w:color="auto" w:fill="FFFFFF"/>
          </w:tcPr>
          <w:p w14:paraId="283F0F6F" w14:textId="64A5D8EF" w:rsidR="00AC37F8" w:rsidRPr="00C67ABB" w:rsidRDefault="00AC37F8" w:rsidP="00A7316B">
            <w:pPr>
              <w:pStyle w:val="Nessunaspaziatura"/>
              <w:jc w:val="center"/>
              <w:rPr>
                <w:sz w:val="16"/>
                <w:szCs w:val="16"/>
                <w:lang w:val="it-IT"/>
              </w:rPr>
            </w:pPr>
            <w:r w:rsidRPr="00C67ABB">
              <w:rPr>
                <w:sz w:val="16"/>
                <w:szCs w:val="16"/>
              </w:rPr>
              <w:t>16</w:t>
            </w:r>
          </w:p>
        </w:tc>
        <w:tc>
          <w:tcPr>
            <w:tcW w:w="317" w:type="pct"/>
            <w:tcBorders>
              <w:top w:val="single" w:sz="4" w:space="0" w:color="008000"/>
              <w:bottom w:val="single" w:sz="4" w:space="0" w:color="008000"/>
            </w:tcBorders>
            <w:shd w:val="clear" w:color="auto" w:fill="FFFFFF"/>
          </w:tcPr>
          <w:p w14:paraId="163FE919" w14:textId="5ECA96CE" w:rsidR="00AC37F8" w:rsidRPr="00C67ABB" w:rsidRDefault="00C24F10" w:rsidP="00A7316B">
            <w:pPr>
              <w:pStyle w:val="Nessunaspaziatura"/>
              <w:jc w:val="center"/>
              <w:rPr>
                <w:sz w:val="16"/>
                <w:szCs w:val="16"/>
                <w:lang w:val="it-IT"/>
              </w:rPr>
            </w:pPr>
            <w:r>
              <w:rPr>
                <w:sz w:val="16"/>
                <w:szCs w:val="16"/>
              </w:rPr>
              <w:t>4</w:t>
            </w:r>
            <w:r w:rsidR="00874798">
              <w:rPr>
                <w:sz w:val="16"/>
                <w:szCs w:val="16"/>
              </w:rPr>
              <w:t>.</w:t>
            </w:r>
            <w:r w:rsidR="00AC37F8" w:rsidRPr="00C67ABB">
              <w:rPr>
                <w:sz w:val="16"/>
                <w:szCs w:val="16"/>
              </w:rPr>
              <w:t>hh</w:t>
            </w:r>
            <w:r w:rsidR="00874798">
              <w:rPr>
                <w:sz w:val="16"/>
                <w:szCs w:val="16"/>
              </w:rPr>
              <w:t>.</w:t>
            </w:r>
            <w:r w:rsidR="00AC37F8" w:rsidRPr="00C67ABB">
              <w:rPr>
                <w:sz w:val="16"/>
                <w:szCs w:val="16"/>
              </w:rPr>
              <w:t>T</w:t>
            </w:r>
          </w:p>
        </w:tc>
        <w:tc>
          <w:tcPr>
            <w:tcW w:w="635" w:type="pct"/>
            <w:tcBorders>
              <w:top w:val="single" w:sz="4" w:space="0" w:color="008000"/>
              <w:bottom w:val="single" w:sz="4" w:space="0" w:color="008000"/>
            </w:tcBorders>
            <w:shd w:val="clear" w:color="auto" w:fill="FFFFFF"/>
          </w:tcPr>
          <w:p w14:paraId="2CDE1A68" w14:textId="63118F62" w:rsidR="00AC37F8" w:rsidRPr="00C67ABB" w:rsidRDefault="00C24F10" w:rsidP="00A7316B">
            <w:pPr>
              <w:pStyle w:val="Nessunaspaziatura"/>
              <w:jc w:val="center"/>
              <w:rPr>
                <w:sz w:val="16"/>
                <w:szCs w:val="16"/>
                <w:lang w:val="it-IT"/>
              </w:rPr>
            </w:pPr>
            <w:r>
              <w:rPr>
                <w:sz w:val="16"/>
                <w:szCs w:val="16"/>
                <w:lang w:val="it-IT"/>
              </w:rPr>
              <w:t>4</w:t>
            </w:r>
            <w:r w:rsidR="00874798">
              <w:rPr>
                <w:sz w:val="16"/>
                <w:szCs w:val="16"/>
                <w:lang w:val="it-IT"/>
              </w:rPr>
              <w:t>.</w:t>
            </w:r>
            <w:r w:rsidR="00EA0D67" w:rsidRPr="00C67ABB">
              <w:rPr>
                <w:sz w:val="16"/>
                <w:szCs w:val="16"/>
                <w:lang w:val="it-IT"/>
              </w:rPr>
              <w:t>h</w:t>
            </w:r>
            <w:r w:rsidR="00874798">
              <w:rPr>
                <w:sz w:val="16"/>
                <w:szCs w:val="16"/>
                <w:lang w:val="it-IT"/>
              </w:rPr>
              <w:t>.</w:t>
            </w:r>
            <w:r w:rsidR="00EA0D67" w:rsidRPr="00C67ABB">
              <w:rPr>
                <w:sz w:val="16"/>
                <w:szCs w:val="16"/>
                <w:lang w:val="it-IT"/>
              </w:rPr>
              <w:t>T</w:t>
            </w:r>
          </w:p>
        </w:tc>
        <w:tc>
          <w:tcPr>
            <w:tcW w:w="714" w:type="pct"/>
            <w:tcBorders>
              <w:top w:val="single" w:sz="4" w:space="0" w:color="008000"/>
              <w:bottom w:val="single" w:sz="4" w:space="0" w:color="008000"/>
            </w:tcBorders>
            <w:shd w:val="clear" w:color="auto" w:fill="FFFFFF"/>
          </w:tcPr>
          <w:p w14:paraId="5FA7D5B4" w14:textId="3D47D310" w:rsidR="00AC37F8" w:rsidRPr="00C67ABB" w:rsidRDefault="00EA0D67" w:rsidP="00A7316B">
            <w:pPr>
              <w:pStyle w:val="Nessunaspaziatura"/>
              <w:jc w:val="center"/>
              <w:rPr>
                <w:sz w:val="16"/>
                <w:szCs w:val="16"/>
                <w:lang w:val="it-IT"/>
              </w:rPr>
            </w:pPr>
            <w:r w:rsidRPr="00C67ABB">
              <w:rPr>
                <w:sz w:val="16"/>
                <w:szCs w:val="16"/>
                <w:lang w:val="it-IT"/>
              </w:rPr>
              <w:t>High temperature in separators</w:t>
            </w:r>
          </w:p>
        </w:tc>
        <w:tc>
          <w:tcPr>
            <w:tcW w:w="714" w:type="pct"/>
            <w:tcBorders>
              <w:top w:val="single" w:sz="4" w:space="0" w:color="008000"/>
              <w:bottom w:val="single" w:sz="4" w:space="0" w:color="008000"/>
            </w:tcBorders>
            <w:shd w:val="clear" w:color="auto" w:fill="FFFFFF"/>
          </w:tcPr>
          <w:p w14:paraId="44BE56FF" w14:textId="241F7066" w:rsidR="00AC37F8" w:rsidRPr="00C67ABB" w:rsidRDefault="00EA0D67" w:rsidP="00A7316B">
            <w:pPr>
              <w:pStyle w:val="Nessunaspaziatura"/>
              <w:jc w:val="center"/>
              <w:rPr>
                <w:sz w:val="16"/>
                <w:szCs w:val="16"/>
                <w:lang w:val="it-IT"/>
              </w:rPr>
            </w:pPr>
            <w:r w:rsidRPr="00C67ABB">
              <w:rPr>
                <w:sz w:val="16"/>
                <w:szCs w:val="16"/>
                <w:lang w:val="it-IT"/>
              </w:rPr>
              <w:t>N.O.</w:t>
            </w:r>
          </w:p>
        </w:tc>
        <w:tc>
          <w:tcPr>
            <w:tcW w:w="556" w:type="pct"/>
            <w:tcBorders>
              <w:top w:val="single" w:sz="4" w:space="0" w:color="008000"/>
              <w:bottom w:val="single" w:sz="4" w:space="0" w:color="008000"/>
            </w:tcBorders>
            <w:shd w:val="clear" w:color="auto" w:fill="FFFFFF"/>
          </w:tcPr>
          <w:p w14:paraId="551C5119" w14:textId="33B68F8C" w:rsidR="00AC37F8" w:rsidRPr="00C67ABB" w:rsidRDefault="00EA0D67" w:rsidP="00A7316B">
            <w:pPr>
              <w:pStyle w:val="Nessunaspaziatura"/>
              <w:jc w:val="center"/>
              <w:rPr>
                <w:sz w:val="16"/>
                <w:szCs w:val="16"/>
                <w:lang w:val="it-IT"/>
              </w:rPr>
            </w:pPr>
            <w:r w:rsidRPr="00C67ABB">
              <w:rPr>
                <w:sz w:val="16"/>
                <w:szCs w:val="16"/>
                <w:lang w:val="it-IT"/>
              </w:rPr>
              <w:t>TAHH</w:t>
            </w:r>
            <w:r w:rsidR="00874798">
              <w:rPr>
                <w:sz w:val="16"/>
                <w:szCs w:val="16"/>
                <w:lang w:val="it-IT"/>
              </w:rPr>
              <w:t>-</w:t>
            </w:r>
            <w:r w:rsidRPr="00C67ABB">
              <w:rPr>
                <w:sz w:val="16"/>
                <w:szCs w:val="16"/>
                <w:lang w:val="it-IT"/>
              </w:rPr>
              <w:t>01</w:t>
            </w:r>
          </w:p>
        </w:tc>
        <w:tc>
          <w:tcPr>
            <w:tcW w:w="635" w:type="pct"/>
            <w:tcBorders>
              <w:top w:val="single" w:sz="4" w:space="0" w:color="008000"/>
              <w:bottom w:val="single" w:sz="4" w:space="0" w:color="008000"/>
              <w:right w:val="single" w:sz="12" w:space="0" w:color="FFFFFF" w:themeColor="background1"/>
            </w:tcBorders>
            <w:shd w:val="clear" w:color="auto" w:fill="FFFFFF"/>
          </w:tcPr>
          <w:p w14:paraId="3A600B77" w14:textId="31CBCB26" w:rsidR="00AC37F8" w:rsidRPr="00C67ABB" w:rsidRDefault="00C67ABB" w:rsidP="00A7316B">
            <w:pPr>
              <w:pStyle w:val="Nessunaspaziatura"/>
              <w:jc w:val="center"/>
              <w:rPr>
                <w:sz w:val="16"/>
                <w:szCs w:val="16"/>
                <w:lang w:val="it-IT"/>
              </w:rPr>
            </w:pPr>
            <w:r w:rsidRPr="00C67ABB">
              <w:rPr>
                <w:sz w:val="16"/>
                <w:szCs w:val="16"/>
                <w:lang w:val="it-IT"/>
              </w:rPr>
              <w:t>-</w:t>
            </w:r>
          </w:p>
        </w:tc>
        <w:tc>
          <w:tcPr>
            <w:tcW w:w="555" w:type="pct"/>
            <w:tcBorders>
              <w:top w:val="single" w:sz="4" w:space="0" w:color="008000"/>
              <w:left w:val="single" w:sz="12" w:space="0" w:color="FFFFFF" w:themeColor="background1"/>
              <w:bottom w:val="single" w:sz="4" w:space="0" w:color="008000"/>
            </w:tcBorders>
            <w:shd w:val="clear" w:color="auto" w:fill="FFFFFF"/>
          </w:tcPr>
          <w:p w14:paraId="11A4B6D7" w14:textId="7DADCBBE" w:rsidR="00AC37F8" w:rsidRPr="00C67ABB" w:rsidRDefault="00EA0D67" w:rsidP="00A7316B">
            <w:pPr>
              <w:pStyle w:val="Nessunaspaziatura"/>
              <w:jc w:val="center"/>
              <w:rPr>
                <w:sz w:val="16"/>
                <w:szCs w:val="16"/>
                <w:lang w:val="it-IT"/>
              </w:rPr>
            </w:pPr>
            <w:r w:rsidRPr="00C67ABB">
              <w:rPr>
                <w:sz w:val="16"/>
                <w:szCs w:val="16"/>
                <w:lang w:val="it-IT"/>
              </w:rPr>
              <w:t>ESD closes SDV</w:t>
            </w:r>
            <w:r w:rsidR="00874798">
              <w:rPr>
                <w:sz w:val="16"/>
                <w:szCs w:val="16"/>
                <w:lang w:val="it-IT"/>
              </w:rPr>
              <w:t>-</w:t>
            </w:r>
            <w:r w:rsidRPr="00C67ABB">
              <w:rPr>
                <w:sz w:val="16"/>
                <w:szCs w:val="16"/>
                <w:lang w:val="it-IT"/>
              </w:rPr>
              <w:t>020</w:t>
            </w:r>
          </w:p>
        </w:tc>
        <w:tc>
          <w:tcPr>
            <w:tcW w:w="397" w:type="pct"/>
            <w:tcBorders>
              <w:top w:val="single" w:sz="4" w:space="0" w:color="008000"/>
              <w:bottom w:val="single" w:sz="4" w:space="0" w:color="008000"/>
            </w:tcBorders>
            <w:shd w:val="clear" w:color="auto" w:fill="FFFFFF"/>
          </w:tcPr>
          <w:p w14:paraId="77070B14" w14:textId="77777777" w:rsidR="00AC37F8" w:rsidRPr="00C67ABB" w:rsidRDefault="00AC37F8" w:rsidP="00A7316B">
            <w:pPr>
              <w:pStyle w:val="Nessunaspaziatura"/>
              <w:jc w:val="center"/>
              <w:rPr>
                <w:rFonts w:cs="Arial"/>
                <w:sz w:val="16"/>
                <w:szCs w:val="16"/>
                <w:lang w:val="it-IT"/>
              </w:rPr>
            </w:pPr>
          </w:p>
        </w:tc>
        <w:tc>
          <w:tcPr>
            <w:tcW w:w="237" w:type="pct"/>
            <w:tcBorders>
              <w:top w:val="single" w:sz="4" w:space="0" w:color="008000"/>
              <w:bottom w:val="single" w:sz="4" w:space="0" w:color="008000"/>
            </w:tcBorders>
            <w:shd w:val="clear" w:color="auto" w:fill="FFFFFF"/>
          </w:tcPr>
          <w:p w14:paraId="6440E836" w14:textId="5C42C7BA" w:rsidR="00AC37F8" w:rsidRPr="00C67ABB" w:rsidRDefault="00C67ABB" w:rsidP="00A7316B">
            <w:pPr>
              <w:pStyle w:val="Nessunaspaziatura"/>
              <w:jc w:val="center"/>
              <w:rPr>
                <w:rFonts w:cs="Arial"/>
                <w:sz w:val="16"/>
                <w:szCs w:val="16"/>
                <w:lang w:val="it-IT"/>
              </w:rPr>
            </w:pPr>
            <w:r w:rsidRPr="00C67ABB">
              <w:rPr>
                <w:rFonts w:cs="Arial"/>
                <w:sz w:val="16"/>
                <w:szCs w:val="16"/>
                <w:lang w:val="it-IT"/>
              </w:rPr>
              <w:t>TE6</w:t>
            </w:r>
          </w:p>
        </w:tc>
      </w:tr>
    </w:tbl>
    <w:p w14:paraId="1F96CA21" w14:textId="74D307A6" w:rsidR="00600535" w:rsidRPr="00B57B36" w:rsidRDefault="007B6CE2" w:rsidP="00FA5F5F">
      <w:pPr>
        <w:pStyle w:val="CETheadingx"/>
      </w:pPr>
      <w:r>
        <w:t>Top Events and probability estimation</w:t>
      </w:r>
    </w:p>
    <w:p w14:paraId="7FD42486" w14:textId="3F531FC0" w:rsidR="00600535" w:rsidRDefault="00A81F2F" w:rsidP="00A81F2F">
      <w:pPr>
        <w:pStyle w:val="CETListbullets"/>
        <w:ind w:left="0" w:firstLine="0"/>
      </w:pPr>
      <w:r>
        <w:t xml:space="preserve">From the analysis on the heat exchanger, the following Top Events </w:t>
      </w:r>
      <w:r w:rsidR="00874798">
        <w:t>were</w:t>
      </w:r>
      <w:r>
        <w:t xml:space="preserve"> identified: no crude available (TE1), explosion of the heat exchanger (TE2), blowdown to the torch (if protections work effectively, TE3*), Low temperature in separators (TE4), High level in separators (TE5), High temperature in separators (TE6). From this, the probability of occurrence of TE2 was identified (as it represents the most critical scenario, and it </w:t>
      </w:r>
      <w:r w:rsidR="00B34EFE">
        <w:t>involves intervention of ESD</w:t>
      </w:r>
      <w:r>
        <w:t xml:space="preserve">), and compared to </w:t>
      </w:r>
      <w:r w:rsidR="00FD2627">
        <w:t xml:space="preserve">both </w:t>
      </w:r>
      <w:r>
        <w:t>standard and under emergency events.</w:t>
      </w:r>
      <w:r w:rsidR="00EA3781">
        <w:t xml:space="preserve"> The unavailability U of a i-th component was found according to </w:t>
      </w:r>
      <w:r w:rsidR="00164F43">
        <w:t>a</w:t>
      </w:r>
      <w:r w:rsidR="00EA3781">
        <w:t xml:space="preserve"> Poisson distribution, with </w:t>
      </w:r>
      <w:r w:rsidR="00EA3781">
        <w:rPr>
          <w:rFonts w:cs="Arial"/>
        </w:rPr>
        <w:t>λ</w:t>
      </w:r>
      <w:r w:rsidR="00EA3781">
        <w:t xml:space="preserve"> being the failure rate and t the mission time (one year is used). This means that the system does not account for repairability of components, and the system operativity is completely restored at the beginning of a yearly cycle.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gridCol w:w="947"/>
      </w:tblGrid>
      <w:tr w:rsidR="00EA3781" w14:paraId="24708C28" w14:textId="77777777" w:rsidTr="00EA3781">
        <w:tc>
          <w:tcPr>
            <w:tcW w:w="7830" w:type="dxa"/>
          </w:tcPr>
          <w:p w14:paraId="22E3063C" w14:textId="321814E6" w:rsidR="00EA3781" w:rsidRDefault="00000000" w:rsidP="00A81F2F">
            <w:pPr>
              <w:pStyle w:val="CETListbullets"/>
              <w:ind w:left="0" w:firstLine="0"/>
            </w:pPr>
            <m:oMathPara>
              <m:oMath>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hAnsi="Cambria Math"/>
                  </w:rPr>
                  <m:t>=1-</m:t>
                </m:r>
                <m:func>
                  <m:funcPr>
                    <m:ctrlPr>
                      <w:rPr>
                        <w:rFonts w:ascii="Cambria Math" w:hAnsi="Cambria Math"/>
                        <w:i/>
                      </w:rPr>
                    </m:ctrlPr>
                  </m:funcPr>
                  <m:fName>
                    <m:r>
                      <m:rPr>
                        <m:sty m:val="p"/>
                      </m:rPr>
                      <w:rPr>
                        <w:rFonts w:ascii="Cambria Math" w:hAnsi="Cambria Math"/>
                      </w:rPr>
                      <m:t>exp</m:t>
                    </m:r>
                  </m:fName>
                  <m:e>
                    <m:r>
                      <w:rPr>
                        <w:rFonts w:ascii="Cambria Math" w:hAnsi="Cambria Math"/>
                      </w:rPr>
                      <m:t>(-λt)</m:t>
                    </m:r>
                  </m:e>
                </m:func>
              </m:oMath>
            </m:oMathPara>
          </w:p>
        </w:tc>
        <w:tc>
          <w:tcPr>
            <w:tcW w:w="947" w:type="dxa"/>
          </w:tcPr>
          <w:p w14:paraId="7A72E2B7" w14:textId="5F3274D2" w:rsidR="00EA3781" w:rsidRDefault="00EA3781" w:rsidP="00A81F2F">
            <w:pPr>
              <w:pStyle w:val="CETListbullets"/>
              <w:ind w:left="0" w:firstLine="0"/>
            </w:pPr>
            <w:r>
              <w:t>(1)</w:t>
            </w:r>
          </w:p>
        </w:tc>
      </w:tr>
    </w:tbl>
    <w:p w14:paraId="6A248DF3" w14:textId="4DC30B33" w:rsidR="00EA3781" w:rsidRDefault="00164F43" w:rsidP="00164F43">
      <w:pPr>
        <w:pStyle w:val="CETListbullets"/>
        <w:spacing w:line="240" w:lineRule="auto"/>
        <w:ind w:left="0" w:firstLine="0"/>
      </w:pPr>
      <w:r>
        <w:t>All</w:t>
      </w:r>
      <w:r w:rsidR="00EA3781">
        <w:t xml:space="preserve"> the failures of components </w:t>
      </w:r>
      <w:r w:rsidR="00FD2627">
        <w:t>were</w:t>
      </w:r>
      <w:r w:rsidR="00EA3781">
        <w:t xml:space="preserve"> recovered from Lees’ failure rate database</w:t>
      </w:r>
      <w:r w:rsidR="00114AE3">
        <w:t xml:space="preserve"> </w:t>
      </w:r>
      <w:r w:rsidR="00114AE3">
        <w:fldChar w:fldCharType="begin"/>
      </w:r>
      <w:r w:rsidR="00114AE3">
        <w:instrText xml:space="preserve"> ADDIN ZOTERO_ITEM CSL_CITATION {"citationID":"FtOVodfS","properties":{"unsorted":false,"formattedCitation":"(Mannan, 2005)","plainCitation":"(Mannan, 2005)","noteIndex":0},"citationItems":[{"id":92,"uris":["http://zotero.org/users/local/mDzd7GNh/items/ZWWA25DG"],"itemData":{"id":92,"type":"book","edition":"3rd","number-of-volumes":"3","publisher":"Butterworth-Heinemann","title":"Lees' Loss Prevention in the Process Industry","URL":"https://app.knovel.com/kn/resources/kpLLPPIVH2/toc","volume":"3","author":[{"family":"Mannan","given":"Sam"}],"accessed":{"date-parts":[["2023",5,8]]},"issued":{"date-parts":[["2005"]]}}}],"schema":"https://github.com/citation-style-language/schema/raw/master/csl-citation.json"} </w:instrText>
      </w:r>
      <w:r w:rsidR="00114AE3">
        <w:fldChar w:fldCharType="separate"/>
      </w:r>
      <w:r w:rsidR="00114AE3" w:rsidRPr="00114AE3">
        <w:rPr>
          <w:rFonts w:cs="Arial"/>
        </w:rPr>
        <w:t>(Mannan, 2005)</w:t>
      </w:r>
      <w:r w:rsidR="00114AE3">
        <w:fldChar w:fldCharType="end"/>
      </w:r>
      <w:r w:rsidR="00EA3781">
        <w:t>. Table 3 report the results used for the Top Event identification. In case of plant stroke by an extreme event</w:t>
      </w:r>
      <w:r w:rsidR="00A21BC6">
        <w:t>, components that require power or instrument air have been associated with un updated unavailability equal to 1</w:t>
      </w:r>
      <w:r w:rsidR="00EA3781">
        <w:t>.</w:t>
      </w:r>
      <w:r>
        <w:t xml:space="preserve"> This value of unavailability reflects the loss of power inside the facility due to negative effects on the external event.</w:t>
      </w:r>
      <w:r w:rsidR="00EA3781">
        <w:t xml:space="preserve"> </w:t>
      </w:r>
      <w:r w:rsidR="00BD27E0">
        <w:t xml:space="preserve">PSV are </w:t>
      </w:r>
      <w:r w:rsidR="00BD27E0">
        <w:lastRenderedPageBreak/>
        <w:t xml:space="preserve">supposed to be unaffected by the event, since </w:t>
      </w:r>
      <w:r w:rsidR="00C34A95">
        <w:t>they are</w:t>
      </w:r>
      <w:r w:rsidR="00BD27E0">
        <w:t xml:space="preserve"> mechanical component</w:t>
      </w:r>
      <w:r w:rsidR="00C34A95">
        <w:t>s</w:t>
      </w:r>
      <w:r w:rsidR="00BD27E0">
        <w:t xml:space="preserve">, </w:t>
      </w:r>
      <w:r>
        <w:t>and</w:t>
      </w:r>
      <w:r w:rsidR="00BD27E0">
        <w:t xml:space="preserve"> do not require </w:t>
      </w:r>
      <w:r w:rsidR="00361838">
        <w:t xml:space="preserve">either </w:t>
      </w:r>
      <w:r w:rsidR="00BD27E0">
        <w:t>electricity or instrument</w:t>
      </w:r>
      <w:r w:rsidR="00361838">
        <w:t>al</w:t>
      </w:r>
      <w:r w:rsidR="00BD27E0">
        <w:t xml:space="preserve"> air. </w:t>
      </w:r>
    </w:p>
    <w:p w14:paraId="33299389" w14:textId="6FF695F0" w:rsidR="00A81F2F" w:rsidRDefault="007320D3" w:rsidP="00164F43">
      <w:pPr>
        <w:pStyle w:val="CETTabletitle"/>
        <w:spacing w:line="240" w:lineRule="auto"/>
      </w:pPr>
      <w:r w:rsidRPr="00B57B36">
        <w:t xml:space="preserve">Table </w:t>
      </w:r>
      <w:r>
        <w:t>3</w:t>
      </w:r>
      <w:r w:rsidRPr="00B57B36">
        <w:t xml:space="preserve">: </w:t>
      </w:r>
      <w:r>
        <w:t xml:space="preserve">List of basic event probabilities under </w:t>
      </w:r>
      <w:r w:rsidR="00361838">
        <w:t xml:space="preserve">both </w:t>
      </w:r>
      <w:r>
        <w:t>normal and extreme</w:t>
      </w:r>
      <w:r w:rsidR="00361838">
        <w:t>-</w:t>
      </w:r>
      <w:r>
        <w:t>events operating conditions</w:t>
      </w:r>
      <w:r w:rsidR="00361838">
        <w:t>.</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462"/>
        <w:gridCol w:w="569"/>
        <w:gridCol w:w="1053"/>
        <w:gridCol w:w="3146"/>
        <w:gridCol w:w="569"/>
        <w:gridCol w:w="988"/>
      </w:tblGrid>
      <w:tr w:rsidR="007320D3" w:rsidRPr="007320D3" w14:paraId="1C5D4281" w14:textId="77777777" w:rsidTr="007320D3">
        <w:tc>
          <w:tcPr>
            <w:tcW w:w="1401" w:type="pct"/>
            <w:tcBorders>
              <w:top w:val="single" w:sz="12" w:space="0" w:color="008000"/>
              <w:bottom w:val="single" w:sz="6" w:space="0" w:color="008000"/>
            </w:tcBorders>
            <w:shd w:val="clear" w:color="auto" w:fill="FFFFFF"/>
          </w:tcPr>
          <w:p w14:paraId="30DAC5C1" w14:textId="51DF7D3A" w:rsidR="007320D3" w:rsidRPr="007320D3" w:rsidRDefault="007320D3" w:rsidP="00164F43">
            <w:pPr>
              <w:pStyle w:val="CETBodytext"/>
              <w:spacing w:line="240" w:lineRule="auto"/>
              <w:rPr>
                <w:b/>
                <w:bCs/>
                <w:lang w:val="en-GB"/>
              </w:rPr>
            </w:pPr>
            <w:r w:rsidRPr="007320D3">
              <w:rPr>
                <w:b/>
                <w:bCs/>
                <w:lang w:val="en-GB"/>
              </w:rPr>
              <w:t xml:space="preserve">Base event </w:t>
            </w:r>
          </w:p>
        </w:tc>
        <w:tc>
          <w:tcPr>
            <w:tcW w:w="324" w:type="pct"/>
            <w:tcBorders>
              <w:top w:val="single" w:sz="12" w:space="0" w:color="008000"/>
              <w:bottom w:val="single" w:sz="6" w:space="0" w:color="008000"/>
            </w:tcBorders>
            <w:shd w:val="clear" w:color="auto" w:fill="FFFFFF"/>
          </w:tcPr>
          <w:p w14:paraId="53E14A83" w14:textId="3F9432B4" w:rsidR="007320D3" w:rsidRPr="007320D3" w:rsidRDefault="00E25FBC" w:rsidP="00164F43">
            <w:pPr>
              <w:pStyle w:val="CETBodytext"/>
              <w:spacing w:line="240" w:lineRule="auto"/>
              <w:rPr>
                <w:b/>
                <w:bCs/>
                <w:lang w:val="en-GB"/>
              </w:rPr>
            </w:pPr>
            <w:r>
              <w:rPr>
                <w:b/>
                <w:bCs/>
                <w:lang w:val="en-GB"/>
              </w:rPr>
              <w:t>U</w:t>
            </w:r>
            <w:r w:rsidR="007320D3" w:rsidRPr="007320D3">
              <w:rPr>
                <w:b/>
                <w:bCs/>
                <w:lang w:val="en-GB"/>
              </w:rPr>
              <w:t xml:space="preserve"> [1/y]</w:t>
            </w:r>
          </w:p>
        </w:tc>
        <w:tc>
          <w:tcPr>
            <w:tcW w:w="599" w:type="pct"/>
            <w:tcBorders>
              <w:top w:val="single" w:sz="12" w:space="0" w:color="008000"/>
              <w:bottom w:val="single" w:sz="6" w:space="0" w:color="008000"/>
            </w:tcBorders>
            <w:shd w:val="clear" w:color="auto" w:fill="FFFFFF"/>
          </w:tcPr>
          <w:p w14:paraId="04F475C9" w14:textId="305CFF60" w:rsidR="007320D3" w:rsidRPr="007320D3" w:rsidRDefault="00E25FBC" w:rsidP="00164F43">
            <w:pPr>
              <w:pStyle w:val="CETBodytext"/>
              <w:spacing w:line="240" w:lineRule="auto"/>
              <w:rPr>
                <w:b/>
                <w:bCs/>
                <w:lang w:val="en-GB"/>
              </w:rPr>
            </w:pPr>
            <w:r>
              <w:rPr>
                <w:b/>
                <w:bCs/>
                <w:lang w:val="en-GB"/>
              </w:rPr>
              <w:t>U</w:t>
            </w:r>
            <w:r w:rsidR="007320D3" w:rsidRPr="007320D3">
              <w:rPr>
                <w:b/>
                <w:bCs/>
                <w:vertAlign w:val="subscript"/>
                <w:lang w:val="en-GB"/>
              </w:rPr>
              <w:t>Na</w:t>
            </w:r>
            <w:r w:rsidR="00BA0AFD">
              <w:rPr>
                <w:b/>
                <w:bCs/>
                <w:vertAlign w:val="subscript"/>
                <w:lang w:val="en-GB"/>
              </w:rPr>
              <w:t>T</w:t>
            </w:r>
            <w:r w:rsidR="007320D3" w:rsidRPr="007320D3">
              <w:rPr>
                <w:b/>
                <w:bCs/>
                <w:vertAlign w:val="subscript"/>
                <w:lang w:val="en-GB"/>
              </w:rPr>
              <w:t>ech</w:t>
            </w:r>
            <w:r w:rsidR="007320D3" w:rsidRPr="007320D3">
              <w:rPr>
                <w:b/>
                <w:bCs/>
                <w:lang w:val="en-GB"/>
              </w:rPr>
              <w:t xml:space="preserve"> [1/y]] </w:t>
            </w:r>
          </w:p>
        </w:tc>
        <w:tc>
          <w:tcPr>
            <w:tcW w:w="1790" w:type="pct"/>
            <w:tcBorders>
              <w:top w:val="single" w:sz="12" w:space="0" w:color="008000"/>
              <w:bottom w:val="single" w:sz="6" w:space="0" w:color="008000"/>
            </w:tcBorders>
            <w:shd w:val="clear" w:color="auto" w:fill="FFFFFF"/>
          </w:tcPr>
          <w:p w14:paraId="31574C9A" w14:textId="7EFACB57" w:rsidR="007320D3" w:rsidRPr="007320D3" w:rsidRDefault="007320D3" w:rsidP="00164F43">
            <w:pPr>
              <w:pStyle w:val="CETBodytext"/>
              <w:spacing w:line="240" w:lineRule="auto"/>
              <w:ind w:right="-1"/>
              <w:rPr>
                <w:rFonts w:cs="Arial"/>
                <w:b/>
                <w:bCs/>
                <w:lang w:val="en-GB"/>
              </w:rPr>
            </w:pPr>
            <w:r w:rsidRPr="007320D3">
              <w:rPr>
                <w:b/>
                <w:bCs/>
                <w:lang w:val="en-GB"/>
              </w:rPr>
              <w:t xml:space="preserve">Base event </w:t>
            </w:r>
          </w:p>
        </w:tc>
        <w:tc>
          <w:tcPr>
            <w:tcW w:w="324" w:type="pct"/>
            <w:tcBorders>
              <w:top w:val="single" w:sz="12" w:space="0" w:color="008000"/>
              <w:bottom w:val="single" w:sz="6" w:space="0" w:color="008000"/>
            </w:tcBorders>
            <w:shd w:val="clear" w:color="auto" w:fill="FFFFFF"/>
          </w:tcPr>
          <w:p w14:paraId="7D228CB4" w14:textId="333FB728" w:rsidR="007320D3" w:rsidRPr="007320D3" w:rsidRDefault="00E25FBC" w:rsidP="00164F43">
            <w:pPr>
              <w:pStyle w:val="CETBodytext"/>
              <w:spacing w:line="240" w:lineRule="auto"/>
              <w:ind w:right="-1"/>
              <w:rPr>
                <w:rFonts w:cs="Arial"/>
                <w:b/>
                <w:bCs/>
                <w:lang w:val="en-GB"/>
              </w:rPr>
            </w:pPr>
            <w:r>
              <w:rPr>
                <w:b/>
                <w:bCs/>
                <w:lang w:val="en-GB"/>
              </w:rPr>
              <w:t>U</w:t>
            </w:r>
            <w:r w:rsidR="007320D3" w:rsidRPr="007320D3">
              <w:rPr>
                <w:b/>
                <w:bCs/>
                <w:lang w:val="en-GB"/>
              </w:rPr>
              <w:t xml:space="preserve"> [1/y]</w:t>
            </w:r>
          </w:p>
        </w:tc>
        <w:tc>
          <w:tcPr>
            <w:tcW w:w="563" w:type="pct"/>
            <w:tcBorders>
              <w:top w:val="single" w:sz="12" w:space="0" w:color="008000"/>
              <w:bottom w:val="single" w:sz="6" w:space="0" w:color="008000"/>
            </w:tcBorders>
            <w:shd w:val="clear" w:color="auto" w:fill="FFFFFF"/>
          </w:tcPr>
          <w:p w14:paraId="317CD0A6" w14:textId="605C0B3D" w:rsidR="007320D3" w:rsidRPr="007320D3" w:rsidRDefault="00E25FBC" w:rsidP="00164F43">
            <w:pPr>
              <w:pStyle w:val="CETBodytext"/>
              <w:spacing w:line="240" w:lineRule="auto"/>
              <w:ind w:right="-1"/>
              <w:rPr>
                <w:rFonts w:cs="Arial"/>
                <w:b/>
                <w:bCs/>
                <w:lang w:val="en-GB"/>
              </w:rPr>
            </w:pPr>
            <w:r>
              <w:rPr>
                <w:b/>
                <w:bCs/>
                <w:lang w:val="en-GB"/>
              </w:rPr>
              <w:t>U</w:t>
            </w:r>
            <w:r w:rsidR="007320D3" w:rsidRPr="007320D3">
              <w:rPr>
                <w:b/>
                <w:bCs/>
                <w:vertAlign w:val="subscript"/>
                <w:lang w:val="en-GB"/>
              </w:rPr>
              <w:t>Na</w:t>
            </w:r>
            <w:r w:rsidR="00BA0AFD">
              <w:rPr>
                <w:b/>
                <w:bCs/>
                <w:vertAlign w:val="subscript"/>
                <w:lang w:val="en-GB"/>
              </w:rPr>
              <w:t>T</w:t>
            </w:r>
            <w:r w:rsidR="007320D3" w:rsidRPr="007320D3">
              <w:rPr>
                <w:b/>
                <w:bCs/>
                <w:vertAlign w:val="subscript"/>
                <w:lang w:val="en-GB"/>
              </w:rPr>
              <w:t>ech</w:t>
            </w:r>
            <w:r w:rsidR="007320D3" w:rsidRPr="007320D3">
              <w:rPr>
                <w:b/>
                <w:bCs/>
                <w:lang w:val="en-GB"/>
              </w:rPr>
              <w:t xml:space="preserve"> [1/y]</w:t>
            </w:r>
          </w:p>
        </w:tc>
      </w:tr>
      <w:tr w:rsidR="007320D3" w:rsidRPr="007320D3" w14:paraId="0EB9C74A" w14:textId="77777777" w:rsidTr="007320D3">
        <w:tc>
          <w:tcPr>
            <w:tcW w:w="1401" w:type="pct"/>
            <w:shd w:val="clear" w:color="auto" w:fill="FFFFFF"/>
          </w:tcPr>
          <w:p w14:paraId="40CD0C4E" w14:textId="3AF67BAE" w:rsidR="007320D3" w:rsidRPr="007320D3" w:rsidRDefault="007320D3" w:rsidP="007320D3">
            <w:pPr>
              <w:pStyle w:val="CETBodytext"/>
              <w:rPr>
                <w:lang w:val="en-GB"/>
              </w:rPr>
            </w:pPr>
            <w:r w:rsidRPr="007320D3">
              <w:rPr>
                <w:lang w:val="en-GB"/>
              </w:rPr>
              <w:t>ESD-failure</w:t>
            </w:r>
          </w:p>
        </w:tc>
        <w:tc>
          <w:tcPr>
            <w:tcW w:w="324" w:type="pct"/>
            <w:shd w:val="clear" w:color="auto" w:fill="FFFFFF"/>
          </w:tcPr>
          <w:p w14:paraId="155DE414" w14:textId="38A17C79" w:rsidR="007320D3" w:rsidRPr="007320D3" w:rsidRDefault="007320D3" w:rsidP="007320D3">
            <w:pPr>
              <w:pStyle w:val="CETBodytext"/>
              <w:rPr>
                <w:lang w:val="en-GB"/>
              </w:rPr>
            </w:pPr>
            <w:r w:rsidRPr="007320D3">
              <w:rPr>
                <w:lang w:val="en-GB"/>
              </w:rPr>
              <w:t>0.365</w:t>
            </w:r>
          </w:p>
        </w:tc>
        <w:tc>
          <w:tcPr>
            <w:tcW w:w="599" w:type="pct"/>
            <w:shd w:val="clear" w:color="auto" w:fill="FFFFFF"/>
          </w:tcPr>
          <w:p w14:paraId="4E03A1A4" w14:textId="6BE7BC09" w:rsidR="007320D3" w:rsidRPr="007320D3" w:rsidRDefault="00A21BC6" w:rsidP="007320D3">
            <w:pPr>
              <w:pStyle w:val="CETBodytext"/>
              <w:rPr>
                <w:lang w:val="en-GB"/>
              </w:rPr>
            </w:pPr>
            <w:r>
              <w:rPr>
                <w:lang w:val="en-GB"/>
              </w:rPr>
              <w:t>1</w:t>
            </w:r>
          </w:p>
        </w:tc>
        <w:tc>
          <w:tcPr>
            <w:tcW w:w="1790" w:type="pct"/>
            <w:shd w:val="clear" w:color="auto" w:fill="FFFFFF"/>
          </w:tcPr>
          <w:p w14:paraId="7C5CEA44" w14:textId="6A5C8A95" w:rsidR="007320D3" w:rsidRPr="007320D3" w:rsidRDefault="007320D3" w:rsidP="007320D3">
            <w:pPr>
              <w:pStyle w:val="CETBodytext"/>
              <w:ind w:right="-1"/>
              <w:rPr>
                <w:rFonts w:cs="Arial"/>
                <w:lang w:val="en-GB"/>
              </w:rPr>
            </w:pPr>
            <w:r w:rsidRPr="007320D3">
              <w:rPr>
                <w:lang w:val="en-GB"/>
              </w:rPr>
              <w:t>Controller failure in steam production</w:t>
            </w:r>
          </w:p>
        </w:tc>
        <w:tc>
          <w:tcPr>
            <w:tcW w:w="324" w:type="pct"/>
            <w:shd w:val="clear" w:color="auto" w:fill="FFFFFF"/>
          </w:tcPr>
          <w:p w14:paraId="13941CCE" w14:textId="7B3D62D9" w:rsidR="007320D3" w:rsidRPr="007320D3" w:rsidRDefault="007320D3" w:rsidP="007320D3">
            <w:pPr>
              <w:pStyle w:val="CETBodytext"/>
              <w:ind w:right="-1"/>
              <w:rPr>
                <w:rFonts w:cs="Arial"/>
                <w:lang w:val="en-GB"/>
              </w:rPr>
            </w:pPr>
            <w:r w:rsidRPr="007320D3">
              <w:rPr>
                <w:rFonts w:cs="Arial"/>
                <w:lang w:val="en-GB"/>
              </w:rPr>
              <w:t>0.088</w:t>
            </w:r>
          </w:p>
        </w:tc>
        <w:tc>
          <w:tcPr>
            <w:tcW w:w="563" w:type="pct"/>
            <w:shd w:val="clear" w:color="auto" w:fill="FFFFFF"/>
          </w:tcPr>
          <w:p w14:paraId="3421C61B" w14:textId="7A5F23AE" w:rsidR="007320D3" w:rsidRPr="007320D3" w:rsidRDefault="00A21BC6" w:rsidP="007320D3">
            <w:pPr>
              <w:pStyle w:val="CETBodytext"/>
              <w:ind w:right="-1"/>
              <w:rPr>
                <w:rFonts w:cs="Arial"/>
                <w:lang w:val="en-GB"/>
              </w:rPr>
            </w:pPr>
            <w:r>
              <w:rPr>
                <w:lang w:val="en-GB"/>
              </w:rPr>
              <w:t>1</w:t>
            </w:r>
          </w:p>
        </w:tc>
      </w:tr>
      <w:tr w:rsidR="007320D3" w:rsidRPr="007320D3" w14:paraId="6F672F94" w14:textId="77777777" w:rsidTr="007320D3">
        <w:tc>
          <w:tcPr>
            <w:tcW w:w="1401" w:type="pct"/>
            <w:shd w:val="clear" w:color="auto" w:fill="FFFFFF"/>
          </w:tcPr>
          <w:p w14:paraId="081F0E52" w14:textId="4C86DC9F" w:rsidR="007320D3" w:rsidRPr="007320D3" w:rsidRDefault="007320D3" w:rsidP="007320D3">
            <w:pPr>
              <w:pStyle w:val="CETBodytext"/>
              <w:ind w:right="-1"/>
              <w:rPr>
                <w:rFonts w:cs="Arial"/>
                <w:lang w:val="en-GB"/>
              </w:rPr>
            </w:pPr>
            <w:r w:rsidRPr="007320D3">
              <w:rPr>
                <w:rFonts w:cs="Arial"/>
                <w:lang w:val="en-GB"/>
              </w:rPr>
              <w:t>Level controller alarm failure</w:t>
            </w:r>
          </w:p>
        </w:tc>
        <w:tc>
          <w:tcPr>
            <w:tcW w:w="324" w:type="pct"/>
            <w:shd w:val="clear" w:color="auto" w:fill="FFFFFF"/>
          </w:tcPr>
          <w:p w14:paraId="2A750841" w14:textId="3263DDA4" w:rsidR="007320D3" w:rsidRPr="007320D3" w:rsidRDefault="007320D3" w:rsidP="007320D3">
            <w:pPr>
              <w:pStyle w:val="CETBodytext"/>
              <w:ind w:right="-1"/>
              <w:rPr>
                <w:rFonts w:cs="Arial"/>
                <w:lang w:val="en-GB"/>
              </w:rPr>
            </w:pPr>
            <w:r w:rsidRPr="007320D3">
              <w:rPr>
                <w:rFonts w:cs="Arial"/>
                <w:lang w:val="en-GB"/>
              </w:rPr>
              <w:t>0.365</w:t>
            </w:r>
          </w:p>
        </w:tc>
        <w:tc>
          <w:tcPr>
            <w:tcW w:w="599" w:type="pct"/>
            <w:shd w:val="clear" w:color="auto" w:fill="FFFFFF"/>
          </w:tcPr>
          <w:p w14:paraId="66CA5C62" w14:textId="7C4616DB" w:rsidR="007320D3" w:rsidRPr="007320D3" w:rsidRDefault="00A21BC6" w:rsidP="007320D3">
            <w:pPr>
              <w:pStyle w:val="CETBodytext"/>
              <w:ind w:right="-1"/>
              <w:rPr>
                <w:rFonts w:cs="Arial"/>
                <w:lang w:val="en-GB"/>
              </w:rPr>
            </w:pPr>
            <w:r>
              <w:rPr>
                <w:lang w:val="en-GB"/>
              </w:rPr>
              <w:t>1</w:t>
            </w:r>
          </w:p>
        </w:tc>
        <w:tc>
          <w:tcPr>
            <w:tcW w:w="1790" w:type="pct"/>
            <w:shd w:val="clear" w:color="auto" w:fill="FFFFFF"/>
          </w:tcPr>
          <w:p w14:paraId="7C471355" w14:textId="6C5AAB30" w:rsidR="007320D3" w:rsidRPr="007320D3" w:rsidRDefault="007320D3" w:rsidP="007320D3">
            <w:pPr>
              <w:pStyle w:val="CETBodytext"/>
              <w:ind w:right="-1"/>
              <w:rPr>
                <w:rFonts w:cs="Arial"/>
                <w:lang w:val="en-GB"/>
              </w:rPr>
            </w:pPr>
            <w:r w:rsidRPr="007320D3">
              <w:rPr>
                <w:rFonts w:cs="Arial"/>
                <w:lang w:val="en-GB"/>
              </w:rPr>
              <w:t>Pressure or temperature alarm failure</w:t>
            </w:r>
          </w:p>
        </w:tc>
        <w:tc>
          <w:tcPr>
            <w:tcW w:w="324" w:type="pct"/>
            <w:shd w:val="clear" w:color="auto" w:fill="FFFFFF"/>
          </w:tcPr>
          <w:p w14:paraId="4DBDAE1F" w14:textId="6D663E5B" w:rsidR="007320D3" w:rsidRPr="007320D3" w:rsidRDefault="007320D3" w:rsidP="007320D3">
            <w:pPr>
              <w:pStyle w:val="CETBodytext"/>
              <w:ind w:right="-1"/>
              <w:rPr>
                <w:rFonts w:cs="Arial"/>
                <w:lang w:val="en-GB"/>
              </w:rPr>
            </w:pPr>
            <w:r w:rsidRPr="007320D3">
              <w:rPr>
                <w:rFonts w:cs="Arial"/>
                <w:lang w:val="en-GB"/>
              </w:rPr>
              <w:t>0.009</w:t>
            </w:r>
          </w:p>
        </w:tc>
        <w:tc>
          <w:tcPr>
            <w:tcW w:w="563" w:type="pct"/>
            <w:shd w:val="clear" w:color="auto" w:fill="FFFFFF"/>
          </w:tcPr>
          <w:p w14:paraId="00CDBA0D" w14:textId="12F13BD0" w:rsidR="007320D3" w:rsidRPr="007320D3" w:rsidRDefault="00A21BC6" w:rsidP="007320D3">
            <w:pPr>
              <w:pStyle w:val="CETBodytext"/>
              <w:ind w:right="-1"/>
              <w:rPr>
                <w:rFonts w:cs="Arial"/>
                <w:lang w:val="en-GB"/>
              </w:rPr>
            </w:pPr>
            <w:r>
              <w:rPr>
                <w:lang w:val="en-GB"/>
              </w:rPr>
              <w:t>1</w:t>
            </w:r>
          </w:p>
        </w:tc>
      </w:tr>
      <w:tr w:rsidR="007320D3" w:rsidRPr="007320D3" w14:paraId="3A1F5B02" w14:textId="77777777" w:rsidTr="007320D3">
        <w:tc>
          <w:tcPr>
            <w:tcW w:w="1401" w:type="pct"/>
            <w:shd w:val="clear" w:color="auto" w:fill="FFFFFF"/>
          </w:tcPr>
          <w:p w14:paraId="64993D12" w14:textId="269BD245" w:rsidR="007320D3" w:rsidRPr="007320D3" w:rsidRDefault="007320D3" w:rsidP="007320D3">
            <w:pPr>
              <w:pStyle w:val="CETBodytext"/>
              <w:ind w:right="-1"/>
              <w:rPr>
                <w:rFonts w:cs="Arial"/>
                <w:lang w:val="en-GB"/>
              </w:rPr>
            </w:pPr>
            <w:r w:rsidRPr="007320D3">
              <w:rPr>
                <w:rFonts w:cs="Arial"/>
                <w:lang w:val="en-GB"/>
              </w:rPr>
              <w:t>Pump failure</w:t>
            </w:r>
          </w:p>
        </w:tc>
        <w:tc>
          <w:tcPr>
            <w:tcW w:w="324" w:type="pct"/>
            <w:shd w:val="clear" w:color="auto" w:fill="FFFFFF"/>
          </w:tcPr>
          <w:p w14:paraId="65C8CE1A" w14:textId="4B1C4192" w:rsidR="007320D3" w:rsidRPr="007320D3" w:rsidRDefault="007320D3" w:rsidP="007320D3">
            <w:pPr>
              <w:pStyle w:val="CETBodytext"/>
              <w:ind w:right="-1"/>
              <w:rPr>
                <w:rFonts w:cs="Arial"/>
                <w:lang w:val="en-GB"/>
              </w:rPr>
            </w:pPr>
            <w:r w:rsidRPr="007320D3">
              <w:rPr>
                <w:rFonts w:cs="Arial"/>
                <w:lang w:val="en-GB"/>
              </w:rPr>
              <w:t>0.365</w:t>
            </w:r>
          </w:p>
        </w:tc>
        <w:tc>
          <w:tcPr>
            <w:tcW w:w="599" w:type="pct"/>
            <w:shd w:val="clear" w:color="auto" w:fill="FFFFFF"/>
          </w:tcPr>
          <w:p w14:paraId="6397B13B" w14:textId="1D087DEA" w:rsidR="007320D3" w:rsidRPr="007320D3" w:rsidRDefault="00A21BC6" w:rsidP="007320D3">
            <w:pPr>
              <w:pStyle w:val="CETBodytext"/>
              <w:ind w:right="-1"/>
              <w:rPr>
                <w:rFonts w:cs="Arial"/>
                <w:lang w:val="en-GB"/>
              </w:rPr>
            </w:pPr>
            <w:r>
              <w:rPr>
                <w:lang w:val="en-GB"/>
              </w:rPr>
              <w:t>1</w:t>
            </w:r>
          </w:p>
        </w:tc>
        <w:tc>
          <w:tcPr>
            <w:tcW w:w="1790" w:type="pct"/>
            <w:shd w:val="clear" w:color="auto" w:fill="FFFFFF"/>
          </w:tcPr>
          <w:p w14:paraId="4D7712F4" w14:textId="07F4E444" w:rsidR="007320D3" w:rsidRPr="007320D3" w:rsidRDefault="007320D3" w:rsidP="007320D3">
            <w:pPr>
              <w:pStyle w:val="CETBodytext"/>
              <w:ind w:right="-1"/>
              <w:rPr>
                <w:rFonts w:cs="Arial"/>
                <w:lang w:val="en-GB"/>
              </w:rPr>
            </w:pPr>
            <w:r w:rsidRPr="007320D3">
              <w:rPr>
                <w:rFonts w:cs="Arial"/>
                <w:lang w:val="en-GB"/>
              </w:rPr>
              <w:t>PSV failure</w:t>
            </w:r>
          </w:p>
        </w:tc>
        <w:tc>
          <w:tcPr>
            <w:tcW w:w="324" w:type="pct"/>
            <w:shd w:val="clear" w:color="auto" w:fill="FFFFFF"/>
          </w:tcPr>
          <w:p w14:paraId="6C1EF168" w14:textId="58E5C717" w:rsidR="007320D3" w:rsidRPr="007320D3" w:rsidRDefault="007320D3" w:rsidP="007320D3">
            <w:pPr>
              <w:pStyle w:val="CETBodytext"/>
              <w:ind w:right="-1"/>
              <w:rPr>
                <w:rFonts w:cs="Arial"/>
                <w:lang w:val="en-GB"/>
              </w:rPr>
            </w:pPr>
            <w:r w:rsidRPr="007320D3">
              <w:rPr>
                <w:rFonts w:cs="Arial"/>
                <w:lang w:val="en-GB"/>
              </w:rPr>
              <w:t>0.004</w:t>
            </w:r>
          </w:p>
        </w:tc>
        <w:tc>
          <w:tcPr>
            <w:tcW w:w="563" w:type="pct"/>
            <w:shd w:val="clear" w:color="auto" w:fill="FFFFFF"/>
          </w:tcPr>
          <w:p w14:paraId="7A2009A8" w14:textId="2471D04B" w:rsidR="007320D3" w:rsidRPr="007320D3" w:rsidRDefault="007320D3" w:rsidP="007320D3">
            <w:pPr>
              <w:pStyle w:val="CETBodytext"/>
              <w:ind w:right="-1"/>
              <w:rPr>
                <w:rFonts w:cs="Arial"/>
                <w:lang w:val="en-GB"/>
              </w:rPr>
            </w:pPr>
            <w:r w:rsidRPr="007320D3">
              <w:rPr>
                <w:rFonts w:cs="Arial"/>
                <w:lang w:val="en-GB"/>
              </w:rPr>
              <w:t>0.004</w:t>
            </w:r>
          </w:p>
        </w:tc>
      </w:tr>
      <w:tr w:rsidR="007320D3" w:rsidRPr="007320D3" w14:paraId="7F6B3E3F" w14:textId="77777777" w:rsidTr="007320D3">
        <w:tc>
          <w:tcPr>
            <w:tcW w:w="1401" w:type="pct"/>
            <w:shd w:val="clear" w:color="auto" w:fill="FFFFFF"/>
          </w:tcPr>
          <w:p w14:paraId="5FF321A2" w14:textId="064C0CE5" w:rsidR="007320D3" w:rsidRPr="007320D3" w:rsidRDefault="007320D3" w:rsidP="007320D3">
            <w:pPr>
              <w:pStyle w:val="CETBodytext"/>
              <w:ind w:right="-1"/>
              <w:rPr>
                <w:rFonts w:cs="Arial"/>
                <w:lang w:val="en-GB"/>
              </w:rPr>
            </w:pPr>
            <w:r w:rsidRPr="007320D3">
              <w:rPr>
                <w:rFonts w:cs="Arial"/>
                <w:lang w:val="en-GB"/>
              </w:rPr>
              <w:t>Pneumatic glove valve failure</w:t>
            </w:r>
          </w:p>
        </w:tc>
        <w:tc>
          <w:tcPr>
            <w:tcW w:w="324" w:type="pct"/>
            <w:shd w:val="clear" w:color="auto" w:fill="FFFFFF"/>
          </w:tcPr>
          <w:p w14:paraId="0D5E2FC0" w14:textId="4811F44D" w:rsidR="007320D3" w:rsidRPr="007320D3" w:rsidRDefault="007320D3" w:rsidP="007320D3">
            <w:pPr>
              <w:pStyle w:val="CETBodytext"/>
              <w:ind w:right="-1"/>
              <w:rPr>
                <w:rFonts w:cs="Arial"/>
                <w:lang w:val="en-GB"/>
              </w:rPr>
            </w:pPr>
            <w:r w:rsidRPr="007320D3">
              <w:rPr>
                <w:rFonts w:cs="Arial"/>
                <w:lang w:val="en-GB"/>
              </w:rPr>
              <w:t>0.110</w:t>
            </w:r>
          </w:p>
        </w:tc>
        <w:tc>
          <w:tcPr>
            <w:tcW w:w="599" w:type="pct"/>
            <w:shd w:val="clear" w:color="auto" w:fill="FFFFFF"/>
          </w:tcPr>
          <w:p w14:paraId="715AA1CD" w14:textId="6A7586D0" w:rsidR="007320D3" w:rsidRPr="007320D3" w:rsidRDefault="00A21BC6" w:rsidP="007320D3">
            <w:pPr>
              <w:pStyle w:val="CETBodytext"/>
              <w:ind w:right="-1"/>
              <w:rPr>
                <w:rFonts w:cs="Arial"/>
                <w:lang w:val="en-GB"/>
              </w:rPr>
            </w:pPr>
            <w:r>
              <w:rPr>
                <w:lang w:val="en-GB"/>
              </w:rPr>
              <w:t>1</w:t>
            </w:r>
          </w:p>
        </w:tc>
        <w:tc>
          <w:tcPr>
            <w:tcW w:w="1790" w:type="pct"/>
            <w:shd w:val="clear" w:color="auto" w:fill="FFFFFF"/>
          </w:tcPr>
          <w:p w14:paraId="3CFE397F" w14:textId="00CD2688" w:rsidR="007320D3" w:rsidRPr="007320D3" w:rsidRDefault="007320D3" w:rsidP="007320D3">
            <w:pPr>
              <w:pStyle w:val="CETBodytext"/>
              <w:ind w:right="-1"/>
              <w:rPr>
                <w:rFonts w:cs="Arial"/>
                <w:lang w:val="en-GB"/>
              </w:rPr>
            </w:pPr>
            <w:r w:rsidRPr="007320D3">
              <w:rPr>
                <w:rFonts w:cs="Arial"/>
                <w:lang w:val="en-GB"/>
              </w:rPr>
              <w:t xml:space="preserve">Line </w:t>
            </w:r>
            <w:r>
              <w:rPr>
                <w:rFonts w:cs="Arial"/>
                <w:lang w:val="en-GB"/>
              </w:rPr>
              <w:t>clogging</w:t>
            </w:r>
          </w:p>
        </w:tc>
        <w:tc>
          <w:tcPr>
            <w:tcW w:w="324" w:type="pct"/>
            <w:shd w:val="clear" w:color="auto" w:fill="FFFFFF"/>
          </w:tcPr>
          <w:p w14:paraId="7FF09912" w14:textId="10CA1CDB" w:rsidR="007320D3" w:rsidRPr="007320D3" w:rsidRDefault="007320D3" w:rsidP="007320D3">
            <w:pPr>
              <w:pStyle w:val="CETBodytext"/>
              <w:ind w:right="-1"/>
              <w:rPr>
                <w:rFonts w:cs="Arial"/>
                <w:lang w:val="en-GB"/>
              </w:rPr>
            </w:pPr>
            <w:r w:rsidRPr="007320D3">
              <w:rPr>
                <w:rFonts w:cs="Arial"/>
                <w:lang w:val="en-GB"/>
              </w:rPr>
              <w:t>0.001</w:t>
            </w:r>
          </w:p>
        </w:tc>
        <w:tc>
          <w:tcPr>
            <w:tcW w:w="563" w:type="pct"/>
            <w:shd w:val="clear" w:color="auto" w:fill="FFFFFF"/>
          </w:tcPr>
          <w:p w14:paraId="4C2D42DF" w14:textId="1DE9EBE5" w:rsidR="007320D3" w:rsidRPr="007320D3" w:rsidRDefault="007320D3" w:rsidP="007320D3">
            <w:pPr>
              <w:pStyle w:val="CETBodytext"/>
              <w:ind w:right="-1"/>
              <w:rPr>
                <w:rFonts w:cs="Arial"/>
                <w:lang w:val="en-GB"/>
              </w:rPr>
            </w:pPr>
            <w:r>
              <w:rPr>
                <w:rFonts w:cs="Arial"/>
                <w:lang w:val="en-GB"/>
              </w:rPr>
              <w:t>0.001</w:t>
            </w:r>
          </w:p>
        </w:tc>
      </w:tr>
      <w:tr w:rsidR="007320D3" w:rsidRPr="007320D3" w14:paraId="6884718B" w14:textId="77777777" w:rsidTr="007320D3">
        <w:tc>
          <w:tcPr>
            <w:tcW w:w="1401" w:type="pct"/>
            <w:shd w:val="clear" w:color="auto" w:fill="FFFFFF"/>
          </w:tcPr>
          <w:p w14:paraId="69BC3AC3" w14:textId="5355654C" w:rsidR="007320D3" w:rsidRPr="007320D3" w:rsidRDefault="007320D3" w:rsidP="007320D3">
            <w:pPr>
              <w:pStyle w:val="CETBodytext"/>
              <w:ind w:right="-1"/>
              <w:rPr>
                <w:rFonts w:cs="Arial"/>
                <w:lang w:val="en-GB"/>
              </w:rPr>
            </w:pPr>
            <w:r w:rsidRPr="007320D3">
              <w:rPr>
                <w:rFonts w:cs="Arial"/>
                <w:lang w:val="en-GB"/>
              </w:rPr>
              <w:t>Level alarm failure</w:t>
            </w:r>
          </w:p>
        </w:tc>
        <w:tc>
          <w:tcPr>
            <w:tcW w:w="324" w:type="pct"/>
            <w:shd w:val="clear" w:color="auto" w:fill="FFFFFF"/>
          </w:tcPr>
          <w:p w14:paraId="75272DE4" w14:textId="0E1BEB28" w:rsidR="007320D3" w:rsidRPr="007320D3" w:rsidRDefault="007320D3" w:rsidP="007320D3">
            <w:pPr>
              <w:pStyle w:val="CETBodytext"/>
              <w:ind w:right="-1"/>
              <w:rPr>
                <w:rFonts w:cs="Arial"/>
                <w:lang w:val="en-GB"/>
              </w:rPr>
            </w:pPr>
            <w:r w:rsidRPr="007320D3">
              <w:rPr>
                <w:rFonts w:cs="Arial"/>
                <w:lang w:val="en-GB"/>
              </w:rPr>
              <w:t>0.088</w:t>
            </w:r>
          </w:p>
        </w:tc>
        <w:tc>
          <w:tcPr>
            <w:tcW w:w="599" w:type="pct"/>
            <w:shd w:val="clear" w:color="auto" w:fill="FFFFFF"/>
          </w:tcPr>
          <w:p w14:paraId="7B1888F9" w14:textId="5B33D83D" w:rsidR="007320D3" w:rsidRPr="007320D3" w:rsidRDefault="00A21BC6" w:rsidP="007320D3">
            <w:pPr>
              <w:pStyle w:val="CETBodytext"/>
              <w:ind w:right="-1"/>
              <w:rPr>
                <w:rFonts w:cs="Arial"/>
                <w:lang w:val="en-GB"/>
              </w:rPr>
            </w:pPr>
            <w:r>
              <w:rPr>
                <w:lang w:val="en-GB"/>
              </w:rPr>
              <w:t>1</w:t>
            </w:r>
          </w:p>
        </w:tc>
        <w:tc>
          <w:tcPr>
            <w:tcW w:w="1790" w:type="pct"/>
            <w:shd w:val="clear" w:color="auto" w:fill="FFFFFF"/>
          </w:tcPr>
          <w:p w14:paraId="774BB01D" w14:textId="057DBA46" w:rsidR="007320D3" w:rsidRPr="007320D3" w:rsidRDefault="007320D3" w:rsidP="007320D3">
            <w:pPr>
              <w:pStyle w:val="CETBodytext"/>
              <w:ind w:right="-1"/>
              <w:rPr>
                <w:rFonts w:cs="Arial"/>
                <w:lang w:val="en-GB"/>
              </w:rPr>
            </w:pPr>
            <w:r w:rsidRPr="007320D3">
              <w:rPr>
                <w:rFonts w:cs="Arial"/>
                <w:lang w:val="en-GB"/>
              </w:rPr>
              <w:t>Indicator-controller failure</w:t>
            </w:r>
          </w:p>
        </w:tc>
        <w:tc>
          <w:tcPr>
            <w:tcW w:w="324" w:type="pct"/>
            <w:shd w:val="clear" w:color="auto" w:fill="FFFFFF"/>
          </w:tcPr>
          <w:p w14:paraId="2DB04BE3" w14:textId="435FBFE9" w:rsidR="007320D3" w:rsidRPr="007320D3" w:rsidRDefault="007320D3" w:rsidP="007320D3">
            <w:pPr>
              <w:pStyle w:val="CETBodytext"/>
              <w:ind w:right="-1"/>
              <w:rPr>
                <w:rFonts w:cs="Arial"/>
                <w:lang w:val="en-GB"/>
              </w:rPr>
            </w:pPr>
            <w:r w:rsidRPr="007320D3">
              <w:rPr>
                <w:rFonts w:cs="Arial"/>
                <w:lang w:val="en-GB"/>
              </w:rPr>
              <w:t>0.088</w:t>
            </w:r>
          </w:p>
        </w:tc>
        <w:tc>
          <w:tcPr>
            <w:tcW w:w="563" w:type="pct"/>
            <w:shd w:val="clear" w:color="auto" w:fill="FFFFFF"/>
          </w:tcPr>
          <w:p w14:paraId="5F5C06F9" w14:textId="5043227C" w:rsidR="007320D3" w:rsidRPr="007320D3" w:rsidRDefault="00A21BC6" w:rsidP="007320D3">
            <w:pPr>
              <w:pStyle w:val="CETBodytext"/>
              <w:ind w:right="-1"/>
              <w:rPr>
                <w:rFonts w:cs="Arial"/>
                <w:lang w:val="en-GB"/>
              </w:rPr>
            </w:pPr>
            <w:r>
              <w:rPr>
                <w:lang w:val="en-GB"/>
              </w:rPr>
              <w:t>1</w:t>
            </w:r>
          </w:p>
        </w:tc>
      </w:tr>
      <w:tr w:rsidR="007320D3" w:rsidRPr="007320D3" w14:paraId="0BD281F0" w14:textId="77777777" w:rsidTr="007320D3">
        <w:tc>
          <w:tcPr>
            <w:tcW w:w="1401" w:type="pct"/>
            <w:shd w:val="clear" w:color="auto" w:fill="FFFFFF"/>
          </w:tcPr>
          <w:p w14:paraId="1DAF1EC8" w14:textId="6E546966" w:rsidR="007320D3" w:rsidRPr="007320D3" w:rsidRDefault="007320D3" w:rsidP="007320D3">
            <w:pPr>
              <w:pStyle w:val="CETBodytext"/>
              <w:ind w:right="-1"/>
              <w:rPr>
                <w:rFonts w:cs="Arial"/>
                <w:lang w:val="en-GB"/>
              </w:rPr>
            </w:pPr>
            <w:r w:rsidRPr="007320D3">
              <w:rPr>
                <w:rFonts w:cs="Arial"/>
                <w:lang w:val="en-GB"/>
              </w:rPr>
              <w:t>SDV failure</w:t>
            </w:r>
          </w:p>
        </w:tc>
        <w:tc>
          <w:tcPr>
            <w:tcW w:w="324" w:type="pct"/>
            <w:shd w:val="clear" w:color="auto" w:fill="FFFFFF"/>
          </w:tcPr>
          <w:p w14:paraId="623C9760" w14:textId="7916216D" w:rsidR="007320D3" w:rsidRPr="007320D3" w:rsidRDefault="007320D3" w:rsidP="007320D3">
            <w:pPr>
              <w:pStyle w:val="CETBodytext"/>
              <w:ind w:right="-1"/>
              <w:rPr>
                <w:rFonts w:cs="Arial"/>
                <w:lang w:val="en-GB"/>
              </w:rPr>
            </w:pPr>
            <w:r w:rsidRPr="007320D3">
              <w:rPr>
                <w:rFonts w:cs="Arial"/>
                <w:lang w:val="en-GB"/>
              </w:rPr>
              <w:t>0.037</w:t>
            </w:r>
          </w:p>
        </w:tc>
        <w:tc>
          <w:tcPr>
            <w:tcW w:w="599" w:type="pct"/>
            <w:shd w:val="clear" w:color="auto" w:fill="FFFFFF"/>
          </w:tcPr>
          <w:p w14:paraId="49882AF8" w14:textId="414F1FA3" w:rsidR="007320D3" w:rsidRPr="007320D3" w:rsidRDefault="00A21BC6" w:rsidP="007320D3">
            <w:pPr>
              <w:pStyle w:val="CETBodytext"/>
              <w:ind w:right="-1"/>
              <w:rPr>
                <w:rFonts w:cs="Arial"/>
                <w:lang w:val="en-GB"/>
              </w:rPr>
            </w:pPr>
            <w:r>
              <w:rPr>
                <w:lang w:val="en-GB"/>
              </w:rPr>
              <w:t>1</w:t>
            </w:r>
          </w:p>
        </w:tc>
        <w:tc>
          <w:tcPr>
            <w:tcW w:w="1790" w:type="pct"/>
            <w:shd w:val="clear" w:color="auto" w:fill="FFFFFF"/>
          </w:tcPr>
          <w:p w14:paraId="07E557EB" w14:textId="77777777" w:rsidR="007320D3" w:rsidRPr="007320D3" w:rsidRDefault="007320D3" w:rsidP="007320D3">
            <w:pPr>
              <w:pStyle w:val="CETBodytext"/>
              <w:ind w:right="-1"/>
              <w:rPr>
                <w:rFonts w:cs="Arial"/>
                <w:lang w:val="en-GB"/>
              </w:rPr>
            </w:pPr>
          </w:p>
        </w:tc>
        <w:tc>
          <w:tcPr>
            <w:tcW w:w="324" w:type="pct"/>
            <w:shd w:val="clear" w:color="auto" w:fill="FFFFFF"/>
          </w:tcPr>
          <w:p w14:paraId="046A9476" w14:textId="77777777" w:rsidR="007320D3" w:rsidRPr="007320D3" w:rsidRDefault="007320D3" w:rsidP="007320D3">
            <w:pPr>
              <w:pStyle w:val="CETBodytext"/>
              <w:ind w:right="-1"/>
              <w:rPr>
                <w:rFonts w:cs="Arial"/>
                <w:lang w:val="en-GB"/>
              </w:rPr>
            </w:pPr>
          </w:p>
        </w:tc>
        <w:tc>
          <w:tcPr>
            <w:tcW w:w="563" w:type="pct"/>
            <w:shd w:val="clear" w:color="auto" w:fill="FFFFFF"/>
          </w:tcPr>
          <w:p w14:paraId="07CE2E4A" w14:textId="77777777" w:rsidR="007320D3" w:rsidRPr="007320D3" w:rsidRDefault="007320D3" w:rsidP="007320D3">
            <w:pPr>
              <w:pStyle w:val="CETBodytext"/>
              <w:ind w:right="-1"/>
              <w:rPr>
                <w:rFonts w:cs="Arial"/>
                <w:lang w:val="en-GB"/>
              </w:rPr>
            </w:pPr>
          </w:p>
        </w:tc>
      </w:tr>
    </w:tbl>
    <w:p w14:paraId="1573D1A9" w14:textId="5795D605" w:rsidR="00B34EFE" w:rsidRDefault="00BD27E0" w:rsidP="00BA0AFD">
      <w:pPr>
        <w:pStyle w:val="CETListbullets"/>
        <w:spacing w:before="240"/>
        <w:ind w:left="0" w:firstLine="0"/>
      </w:pPr>
      <w:r>
        <w:t>The probabilit</w:t>
      </w:r>
      <w:r w:rsidR="00114AE3">
        <w:t>ies</w:t>
      </w:r>
      <w:r>
        <w:t xml:space="preserve"> of the TE</w:t>
      </w:r>
      <w:r w:rsidR="00114AE3">
        <w:t>s</w:t>
      </w:r>
      <w:r>
        <w:t xml:space="preserve"> </w:t>
      </w:r>
      <w:r w:rsidR="00114AE3">
        <w:t>were</w:t>
      </w:r>
      <w:r>
        <w:t xml:space="preserve"> calculated with the software </w:t>
      </w:r>
      <w:r w:rsidRPr="00BD27E0">
        <w:t>OpenFTA 1.0 (Formal Software Construction Ltd, 2005).</w:t>
      </w:r>
      <w:r>
        <w:t xml:space="preserve"> </w:t>
      </w:r>
      <w:r w:rsidR="00B34EFE" w:rsidRPr="00B34EFE">
        <w:t>Finally, TE2</w:t>
      </w:r>
      <w:r>
        <w:t xml:space="preserve"> probability under normal operating condition resulted equal to</w:t>
      </w:r>
      <w:r w:rsidR="00B34EFE" w:rsidRPr="00B34EFE">
        <w:t xml:space="preserve"> 9.37∙10</w:t>
      </w:r>
      <w:r w:rsidR="00B34EFE" w:rsidRPr="00BD27E0">
        <w:rPr>
          <w:vertAlign w:val="superscript"/>
        </w:rPr>
        <w:t>−6</w:t>
      </w:r>
      <w:r>
        <w:t>.</w:t>
      </w:r>
      <w:r w:rsidR="00B34EFE" w:rsidRPr="00B34EFE">
        <w:t xml:space="preserve"> </w:t>
      </w:r>
      <w:r>
        <w:t>In case of a natural event striking the plant, this d</w:t>
      </w:r>
      <w:r w:rsidR="00B34EFE" w:rsidRPr="00B34EFE">
        <w:t xml:space="preserve">rastically changed </w:t>
      </w:r>
      <w:r>
        <w:t>to</w:t>
      </w:r>
      <w:r w:rsidR="00B34EFE" w:rsidRPr="00B34EFE">
        <w:t xml:space="preserve"> 3.86∙10</w:t>
      </w:r>
      <w:r w:rsidR="00B34EFE" w:rsidRPr="00BD27E0">
        <w:rPr>
          <w:vertAlign w:val="superscript"/>
        </w:rPr>
        <w:t>−3</w:t>
      </w:r>
      <w:r w:rsidR="00B34EFE" w:rsidRPr="00B34EFE">
        <w:t xml:space="preserve"> over </w:t>
      </w:r>
      <w:r w:rsidR="00787AE0" w:rsidRPr="00B34EFE">
        <w:t>a</w:t>
      </w:r>
      <w:r w:rsidR="00B34EFE" w:rsidRPr="00B34EFE">
        <w:t xml:space="preserve"> yearly base, </w:t>
      </w:r>
      <w:r w:rsidR="00D56707">
        <w:t>increasing</w:t>
      </w:r>
      <w:r w:rsidR="00B34EFE" w:rsidRPr="00B34EFE">
        <w:t xml:space="preserve"> </w:t>
      </w:r>
      <w:r w:rsidR="00114AE3">
        <w:t>significantly.</w:t>
      </w:r>
    </w:p>
    <w:p w14:paraId="68D26B83" w14:textId="77777777" w:rsidR="00600535" w:rsidRPr="00B57B36" w:rsidRDefault="00600535" w:rsidP="00600535">
      <w:pPr>
        <w:pStyle w:val="CETHeading1"/>
        <w:rPr>
          <w:lang w:val="en-GB"/>
        </w:rPr>
      </w:pPr>
      <w:r w:rsidRPr="00B57B36">
        <w:rPr>
          <w:lang w:val="en-GB"/>
        </w:rPr>
        <w:t>Conclusions</w:t>
      </w:r>
    </w:p>
    <w:p w14:paraId="52DAFDE0" w14:textId="3D1AFF43" w:rsidR="001D0CFB" w:rsidRDefault="004932F3" w:rsidP="004932F3">
      <w:pPr>
        <w:pStyle w:val="CETBodytext"/>
        <w:rPr>
          <w:lang w:val="en-GB"/>
        </w:rPr>
      </w:pPr>
      <w:r>
        <w:rPr>
          <w:lang w:val="en-GB"/>
        </w:rPr>
        <w:t>Na</w:t>
      </w:r>
      <w:r w:rsidR="00BA0AFD">
        <w:rPr>
          <w:lang w:val="en-GB"/>
        </w:rPr>
        <w:t>T</w:t>
      </w:r>
      <w:r>
        <w:rPr>
          <w:lang w:val="en-GB"/>
        </w:rPr>
        <w:t>ech pose</w:t>
      </w:r>
      <w:r w:rsidR="00164F43">
        <w:rPr>
          <w:lang w:val="en-GB"/>
        </w:rPr>
        <w:t>s</w:t>
      </w:r>
      <w:r>
        <w:rPr>
          <w:lang w:val="en-GB"/>
        </w:rPr>
        <w:t xml:space="preserve"> </w:t>
      </w:r>
      <w:r w:rsidR="00164F43">
        <w:rPr>
          <w:lang w:val="en-GB"/>
        </w:rPr>
        <w:t xml:space="preserve">a </w:t>
      </w:r>
      <w:r>
        <w:rPr>
          <w:lang w:val="en-GB"/>
        </w:rPr>
        <w:t xml:space="preserve">relatively new but escalating threat to the chemical industry, and it is important to propose tools to enhance the risk assessment in the chemical industry. The proposed methodology </w:t>
      </w:r>
      <w:r w:rsidR="00164F43">
        <w:rPr>
          <w:lang w:val="en-GB"/>
        </w:rPr>
        <w:t>allows</w:t>
      </w:r>
      <w:r>
        <w:rPr>
          <w:lang w:val="en-GB"/>
        </w:rPr>
        <w:t xml:space="preserve"> to deduct some information about the impact of an extreme event on a system reliability without changing the starting analysis, b</w:t>
      </w:r>
      <w:r w:rsidR="00164F43">
        <w:rPr>
          <w:lang w:val="en-GB"/>
        </w:rPr>
        <w:t>y</w:t>
      </w:r>
      <w:r>
        <w:rPr>
          <w:lang w:val="en-GB"/>
        </w:rPr>
        <w:t xml:space="preserve"> updating the unavailability of components involved, given a meaningful scenario. In this work, we</w:t>
      </w:r>
      <w:r w:rsidRPr="004932F3">
        <w:rPr>
          <w:lang w:val="en-GB"/>
        </w:rPr>
        <w:t xml:space="preserve"> focus</w:t>
      </w:r>
      <w:r>
        <w:rPr>
          <w:lang w:val="en-GB"/>
        </w:rPr>
        <w:t>ed</w:t>
      </w:r>
      <w:r w:rsidRPr="004932F3">
        <w:rPr>
          <w:lang w:val="en-GB"/>
        </w:rPr>
        <w:t xml:space="preserve"> efforts solely on electrical</w:t>
      </w:r>
      <w:r>
        <w:rPr>
          <w:lang w:val="en-GB"/>
        </w:rPr>
        <w:t xml:space="preserve"> and instrument</w:t>
      </w:r>
      <w:r w:rsidR="00BA0AFD">
        <w:rPr>
          <w:lang w:val="en-GB"/>
        </w:rPr>
        <w:t>al</w:t>
      </w:r>
      <w:r>
        <w:rPr>
          <w:lang w:val="en-GB"/>
        </w:rPr>
        <w:t xml:space="preserve"> air</w:t>
      </w:r>
      <w:r w:rsidRPr="004932F3">
        <w:rPr>
          <w:lang w:val="en-GB"/>
        </w:rPr>
        <w:t xml:space="preserve"> interruptions. These interruptions can be caused by lightning</w:t>
      </w:r>
      <w:r>
        <w:rPr>
          <w:lang w:val="en-GB"/>
        </w:rPr>
        <w:t xml:space="preserve"> and strong winds, </w:t>
      </w:r>
      <w:r w:rsidR="00164F43">
        <w:rPr>
          <w:lang w:val="en-GB"/>
        </w:rPr>
        <w:t>a reasonable scenario for offshore facilities</w:t>
      </w:r>
      <w:r>
        <w:rPr>
          <w:lang w:val="en-GB"/>
        </w:rPr>
        <w:t xml:space="preserve">. The updated analysis </w:t>
      </w:r>
      <w:r w:rsidR="00164F43">
        <w:rPr>
          <w:lang w:val="en-GB"/>
        </w:rPr>
        <w:t>showed</w:t>
      </w:r>
      <w:r>
        <w:rPr>
          <w:lang w:val="en-GB"/>
        </w:rPr>
        <w:t xml:space="preserve"> an increase</w:t>
      </w:r>
      <w:r w:rsidR="00164F43">
        <w:rPr>
          <w:lang w:val="en-GB"/>
        </w:rPr>
        <w:t>d</w:t>
      </w:r>
      <w:r>
        <w:rPr>
          <w:lang w:val="en-GB"/>
        </w:rPr>
        <w:t xml:space="preserve"> probability of one critical scenario (the explosion of the heat exchanger), changing from </w:t>
      </w:r>
      <w:r w:rsidRPr="004932F3">
        <w:rPr>
          <w:lang w:val="en-GB"/>
        </w:rPr>
        <w:t>9.37∙10</w:t>
      </w:r>
      <w:r w:rsidRPr="004932F3">
        <w:rPr>
          <w:vertAlign w:val="superscript"/>
          <w:lang w:val="en-GB"/>
        </w:rPr>
        <w:t>−6</w:t>
      </w:r>
      <w:r w:rsidRPr="004932F3">
        <w:rPr>
          <w:lang w:val="en-GB"/>
        </w:rPr>
        <w:t xml:space="preserve"> </w:t>
      </w:r>
      <w:r>
        <w:rPr>
          <w:lang w:val="en-GB"/>
        </w:rPr>
        <w:t>to</w:t>
      </w:r>
      <w:r w:rsidRPr="004932F3">
        <w:rPr>
          <w:lang w:val="en-GB"/>
        </w:rPr>
        <w:t xml:space="preserve"> 3.86∙10</w:t>
      </w:r>
      <w:r w:rsidRPr="004932F3">
        <w:rPr>
          <w:vertAlign w:val="superscript"/>
          <w:lang w:val="en-GB"/>
        </w:rPr>
        <w:t>−3</w:t>
      </w:r>
      <w:r w:rsidRPr="004932F3">
        <w:rPr>
          <w:lang w:val="en-GB"/>
        </w:rPr>
        <w:t>,</w:t>
      </w:r>
      <w:r>
        <w:rPr>
          <w:lang w:val="en-GB"/>
        </w:rPr>
        <w:t xml:space="preserve"> on a yearly base. The newly found probability is a conditioned probability, since it is hypothesi</w:t>
      </w:r>
      <w:r w:rsidR="00BA0AFD">
        <w:rPr>
          <w:lang w:val="en-GB"/>
        </w:rPr>
        <w:t>z</w:t>
      </w:r>
      <w:r>
        <w:rPr>
          <w:lang w:val="en-GB"/>
        </w:rPr>
        <w:t xml:space="preserve">ed that the natural event already occurred, </w:t>
      </w:r>
      <w:r w:rsidR="00E73547">
        <w:rPr>
          <w:lang w:val="en-GB"/>
        </w:rPr>
        <w:t>and</w:t>
      </w:r>
      <w:r>
        <w:rPr>
          <w:lang w:val="en-GB"/>
        </w:rPr>
        <w:t xml:space="preserve"> it highlights the</w:t>
      </w:r>
      <w:r w:rsidR="00E73547">
        <w:rPr>
          <w:lang w:val="en-GB"/>
        </w:rPr>
        <w:t xml:space="preserve"> severe threats to process safety that such events </w:t>
      </w:r>
      <w:r w:rsidR="00D46551">
        <w:rPr>
          <w:lang w:val="en-GB"/>
        </w:rPr>
        <w:t>represent</w:t>
      </w:r>
      <w:r>
        <w:rPr>
          <w:lang w:val="en-GB"/>
        </w:rPr>
        <w:t>.</w:t>
      </w:r>
    </w:p>
    <w:p w14:paraId="4F1327F8" w14:textId="77777777" w:rsidR="00600535" w:rsidRPr="001A3DAC" w:rsidRDefault="00600535" w:rsidP="00600535">
      <w:pPr>
        <w:pStyle w:val="CETReference"/>
        <w:rPr>
          <w:lang w:val="it-IT"/>
        </w:rPr>
      </w:pPr>
      <w:r w:rsidRPr="001A3DAC">
        <w:rPr>
          <w:lang w:val="it-IT"/>
        </w:rPr>
        <w:t>References</w:t>
      </w:r>
    </w:p>
    <w:p w14:paraId="0C668C11" w14:textId="77777777" w:rsidR="00114AE3" w:rsidRPr="00114AE3" w:rsidRDefault="00A21BC6" w:rsidP="00114AE3">
      <w:pPr>
        <w:pStyle w:val="Bibliografia"/>
      </w:pPr>
      <w:r>
        <w:fldChar w:fldCharType="begin"/>
      </w:r>
      <w:r w:rsidRPr="00A21BC6">
        <w:rPr>
          <w:lang w:val="it-IT"/>
        </w:rPr>
        <w:instrText xml:space="preserve"> ADDIN ZOTERO_BIBL {"uncited":[],"omitted":[],"custom":[]} CSL_BIBLIOGRAPHY </w:instrText>
      </w:r>
      <w:r>
        <w:fldChar w:fldCharType="separate"/>
      </w:r>
      <w:r w:rsidR="00114AE3" w:rsidRPr="00114AE3">
        <w:rPr>
          <w:lang w:val="it-IT"/>
        </w:rPr>
        <w:t xml:space="preserve">Amaducci, F., Misuri, A., Bonvicini, S., Salzano, E., Cozzani, V., 2024. </w:t>
      </w:r>
      <w:r w:rsidR="00114AE3" w:rsidRPr="00114AE3">
        <w:t>Quantitative risk assessment of Natech scenarios triggered by earthquakes involving pipelines. Reliability Engineering &amp; System Safety 245, 109993. https://doi.org/10.1016/j.ress.2024.109993</w:t>
      </w:r>
    </w:p>
    <w:p w14:paraId="55182B9C" w14:textId="77777777" w:rsidR="00114AE3" w:rsidRPr="00114AE3" w:rsidRDefault="00114AE3" w:rsidP="00114AE3">
      <w:pPr>
        <w:pStyle w:val="Bibliografia"/>
      </w:pPr>
      <w:r w:rsidRPr="00114AE3">
        <w:t>Barozzi, M., Contini, S., Raboni, M., Torretta, V., Casson Moreno, V., Copelli, S., 2021. Integration of Recursive Operability Analysis, FMECA and FTA for the Quantitative Risk Assessment in biogas plants: Role of procedural errors and components failures. Journal of Loss Prevention in the Process Industries 71, 104468. https://doi.org/10.1016/j.jlp.2021.104468</w:t>
      </w:r>
    </w:p>
    <w:p w14:paraId="1B4DEBCC" w14:textId="77777777" w:rsidR="00114AE3" w:rsidRPr="00114AE3" w:rsidRDefault="00114AE3" w:rsidP="00114AE3">
      <w:pPr>
        <w:pStyle w:val="Bibliografia"/>
      </w:pPr>
      <w:r w:rsidRPr="00114AE3">
        <w:rPr>
          <w:lang w:val="it-IT"/>
        </w:rPr>
        <w:t xml:space="preserve">Barozzi, M., Copelli, S., Scotton, M.S., Torretta, V., 2020. </w:t>
      </w:r>
      <w:r w:rsidRPr="00114AE3">
        <w:t>Application of an Enhanced Version of Recursive Operability Analysis for Combustible Dusts Risk Assessment. Int J Environ Res Public Health 17, 3078. https://doi.org/10.3390/ijerph17093078</w:t>
      </w:r>
    </w:p>
    <w:p w14:paraId="175BA8B5" w14:textId="77777777" w:rsidR="00114AE3" w:rsidRPr="00114AE3" w:rsidRDefault="00114AE3" w:rsidP="00114AE3">
      <w:pPr>
        <w:pStyle w:val="Bibliografia"/>
        <w:rPr>
          <w:lang w:val="it-IT"/>
        </w:rPr>
      </w:pPr>
      <w:r w:rsidRPr="00114AE3">
        <w:t xml:space="preserve">Castro Rodriguez, D.J., Mietkiewicz, J., Vitale, M., Baldissone, G., Barresi, A.A., Demichela, M., 2024. NaTech triggered by lightning: Novel insights from past events in the process industry. </w:t>
      </w:r>
      <w:r w:rsidRPr="00114AE3">
        <w:rPr>
          <w:lang w:val="it-IT"/>
        </w:rPr>
        <w:t>Heliyon 10, e31610. https://doi.org/10.1016/j.heliyon.2024.e31610</w:t>
      </w:r>
    </w:p>
    <w:p w14:paraId="3263F90D" w14:textId="77777777" w:rsidR="00114AE3" w:rsidRPr="00114AE3" w:rsidRDefault="00114AE3" w:rsidP="00114AE3">
      <w:pPr>
        <w:pStyle w:val="Bibliografia"/>
      </w:pPr>
      <w:r w:rsidRPr="00114AE3">
        <w:rPr>
          <w:lang w:val="it-IT"/>
        </w:rPr>
        <w:t xml:space="preserve">Demichela, M., Marmo, L., Piccinini, N., 2002. </w:t>
      </w:r>
      <w:r w:rsidRPr="00114AE3">
        <w:t>Recursive operability analysis of a complex plant with multiple protection devices. Reliability Engineering &amp; System Safety 77, 301–308. https://doi.org/10.1016/S0951-8320(02)00063-7</w:t>
      </w:r>
    </w:p>
    <w:p w14:paraId="405644A2" w14:textId="77777777" w:rsidR="00114AE3" w:rsidRPr="00114AE3" w:rsidRDefault="00114AE3" w:rsidP="00114AE3">
      <w:pPr>
        <w:pStyle w:val="Bibliografia"/>
        <w:rPr>
          <w:lang w:val="it-IT"/>
        </w:rPr>
      </w:pPr>
      <w:r w:rsidRPr="00114AE3">
        <w:t xml:space="preserve">Mannan, S., 2005. Lees’ Loss Prevention in the Process Industry, 3rd ed. </w:t>
      </w:r>
      <w:r w:rsidRPr="00114AE3">
        <w:rPr>
          <w:lang w:val="it-IT"/>
        </w:rPr>
        <w:t>Butterworth-Heinemann.</w:t>
      </w:r>
    </w:p>
    <w:p w14:paraId="4893DDAF" w14:textId="77777777" w:rsidR="00114AE3" w:rsidRPr="00114AE3" w:rsidRDefault="00114AE3" w:rsidP="00114AE3">
      <w:pPr>
        <w:pStyle w:val="Bibliografia"/>
      </w:pPr>
      <w:r w:rsidRPr="00114AE3">
        <w:rPr>
          <w:lang w:val="it-IT"/>
        </w:rPr>
        <w:t xml:space="preserve">Muratore, A., Grillone, G., Bellissimo, M., Giannelli, G., Nastasi, V., 2025. </w:t>
      </w:r>
      <w:r w:rsidRPr="00114AE3">
        <w:t>Index Method for the Assessment of Natech Risk from Storms. Chemical Engineering Transactions 119, 439–444. https://doi.org/10.3303/CET25119074</w:t>
      </w:r>
    </w:p>
    <w:p w14:paraId="6BAC4C74" w14:textId="77777777" w:rsidR="00114AE3" w:rsidRPr="00114AE3" w:rsidRDefault="00114AE3" w:rsidP="00114AE3">
      <w:pPr>
        <w:pStyle w:val="Bibliografia"/>
      </w:pPr>
      <w:r w:rsidRPr="00114AE3">
        <w:t>Ricci, F., Casson Moreno, V., Cozzani, V., 2021. A comprehensive analysis of the occurrence of Natech events in the process industry. Process Safety and Environmental Protection 147, 703–713. https://doi.org/10.1016/j.psep.2020.12.031</w:t>
      </w:r>
    </w:p>
    <w:p w14:paraId="4BFDDBBA" w14:textId="77777777" w:rsidR="00114AE3" w:rsidRPr="00114AE3" w:rsidRDefault="00114AE3" w:rsidP="00114AE3">
      <w:pPr>
        <w:pStyle w:val="Bibliografia"/>
      </w:pPr>
      <w:r w:rsidRPr="00114AE3">
        <w:t>Santamato, F., Busini, V., 2025. Definition of a NaTech risk analysis methodology for assessing tornado-related risk for storage tanks. Reliability Engineering &amp; System Safety 264, 111419. https://doi.org/10.1016/j.ress.2025.111419</w:t>
      </w:r>
    </w:p>
    <w:p w14:paraId="64E34376" w14:textId="77777777" w:rsidR="00114AE3" w:rsidRPr="00114AE3" w:rsidRDefault="00114AE3" w:rsidP="00114AE3">
      <w:pPr>
        <w:pStyle w:val="Bibliografia"/>
      </w:pPr>
      <w:r w:rsidRPr="00114AE3">
        <w:t>Santella, N., Steinberg, L.J., Sengul, H., 2010. Petroleum and hazardous material releases from industrial facilities associated with Hurricane Katrina. Risk Anal 30, 635–649. https://doi.org/10.1111/j.1539-6924.2010.01390.x</w:t>
      </w:r>
    </w:p>
    <w:p w14:paraId="19C4FC68" w14:textId="30F72FBE" w:rsidR="004628D2" w:rsidRDefault="00114AE3" w:rsidP="00BA0AFD">
      <w:pPr>
        <w:pStyle w:val="Bibliografia"/>
      </w:pPr>
      <w:r w:rsidRPr="00114AE3">
        <w:t>Sengul, H., Santella, N., Steinberg, L.J., Cruz, A.M., 2012. Analysis of hazardous material releases due to natural hazards in the United States. Disasters 36, 723–743. https://doi.org/10.1111/j.1467-7717.2012.01272.x</w:t>
      </w:r>
      <w:r w:rsidR="00A21BC6">
        <w:fldChar w:fldCharType="end"/>
      </w:r>
    </w:p>
    <w:sectPr w:rsidR="004628D2" w:rsidSect="00A714E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7A75" w14:textId="77777777" w:rsidR="002E2152" w:rsidRDefault="002E2152" w:rsidP="004F5E36">
      <w:r>
        <w:separator/>
      </w:r>
    </w:p>
  </w:endnote>
  <w:endnote w:type="continuationSeparator" w:id="0">
    <w:p w14:paraId="52C7590E" w14:textId="77777777" w:rsidR="002E2152" w:rsidRDefault="002E2152"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D640" w14:textId="77777777" w:rsidR="002E2152" w:rsidRDefault="002E2152" w:rsidP="004F5E36">
      <w:r>
        <w:separator/>
      </w:r>
    </w:p>
  </w:footnote>
  <w:footnote w:type="continuationSeparator" w:id="0">
    <w:p w14:paraId="3401E31D" w14:textId="77777777" w:rsidR="002E2152" w:rsidRDefault="002E2152"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117CB"/>
    <w:rsid w:val="00014532"/>
    <w:rsid w:val="0003148D"/>
    <w:rsid w:val="00031EEC"/>
    <w:rsid w:val="00033CF9"/>
    <w:rsid w:val="000367BD"/>
    <w:rsid w:val="00041356"/>
    <w:rsid w:val="00051566"/>
    <w:rsid w:val="00054288"/>
    <w:rsid w:val="000562A9"/>
    <w:rsid w:val="00062A9A"/>
    <w:rsid w:val="00065058"/>
    <w:rsid w:val="00070351"/>
    <w:rsid w:val="00070D14"/>
    <w:rsid w:val="00086C39"/>
    <w:rsid w:val="00090BF7"/>
    <w:rsid w:val="000A03B2"/>
    <w:rsid w:val="000B0876"/>
    <w:rsid w:val="000D0268"/>
    <w:rsid w:val="000D34BE"/>
    <w:rsid w:val="000E102F"/>
    <w:rsid w:val="000E36F1"/>
    <w:rsid w:val="000E3A73"/>
    <w:rsid w:val="000E414A"/>
    <w:rsid w:val="000E58FF"/>
    <w:rsid w:val="000F093C"/>
    <w:rsid w:val="000F787B"/>
    <w:rsid w:val="00102A0E"/>
    <w:rsid w:val="00113F4E"/>
    <w:rsid w:val="00114AE3"/>
    <w:rsid w:val="0012091F"/>
    <w:rsid w:val="00126BC2"/>
    <w:rsid w:val="001308B6"/>
    <w:rsid w:val="0013121F"/>
    <w:rsid w:val="00131FE6"/>
    <w:rsid w:val="0013263F"/>
    <w:rsid w:val="00132C1B"/>
    <w:rsid w:val="001331DF"/>
    <w:rsid w:val="00134DE4"/>
    <w:rsid w:val="0014034D"/>
    <w:rsid w:val="00144D16"/>
    <w:rsid w:val="00150E59"/>
    <w:rsid w:val="001510D0"/>
    <w:rsid w:val="00152DE3"/>
    <w:rsid w:val="00164CF9"/>
    <w:rsid w:val="00164F43"/>
    <w:rsid w:val="001667A6"/>
    <w:rsid w:val="001739F9"/>
    <w:rsid w:val="00184AD6"/>
    <w:rsid w:val="001A3DAC"/>
    <w:rsid w:val="001A4AF7"/>
    <w:rsid w:val="001B0349"/>
    <w:rsid w:val="001B1E93"/>
    <w:rsid w:val="001B65C1"/>
    <w:rsid w:val="001C684B"/>
    <w:rsid w:val="001D0CFB"/>
    <w:rsid w:val="001D21AF"/>
    <w:rsid w:val="001D53FC"/>
    <w:rsid w:val="001E65CA"/>
    <w:rsid w:val="001F2612"/>
    <w:rsid w:val="001F42A5"/>
    <w:rsid w:val="001F7B9D"/>
    <w:rsid w:val="001F7F35"/>
    <w:rsid w:val="00201C93"/>
    <w:rsid w:val="002224B4"/>
    <w:rsid w:val="002447EF"/>
    <w:rsid w:val="00251550"/>
    <w:rsid w:val="002522C2"/>
    <w:rsid w:val="00263B05"/>
    <w:rsid w:val="00266B15"/>
    <w:rsid w:val="0027221A"/>
    <w:rsid w:val="00275B61"/>
    <w:rsid w:val="00280FAF"/>
    <w:rsid w:val="00282656"/>
    <w:rsid w:val="00296B83"/>
    <w:rsid w:val="002A63D5"/>
    <w:rsid w:val="002B4015"/>
    <w:rsid w:val="002B78CE"/>
    <w:rsid w:val="002C2FB6"/>
    <w:rsid w:val="002C57C1"/>
    <w:rsid w:val="002E2152"/>
    <w:rsid w:val="002E5FA7"/>
    <w:rsid w:val="002F3309"/>
    <w:rsid w:val="003008CE"/>
    <w:rsid w:val="003009B7"/>
    <w:rsid w:val="00300E56"/>
    <w:rsid w:val="0030152C"/>
    <w:rsid w:val="0030469C"/>
    <w:rsid w:val="00307E31"/>
    <w:rsid w:val="00321CA6"/>
    <w:rsid w:val="00323763"/>
    <w:rsid w:val="00323C5F"/>
    <w:rsid w:val="00334C09"/>
    <w:rsid w:val="00334F60"/>
    <w:rsid w:val="0035009F"/>
    <w:rsid w:val="00351846"/>
    <w:rsid w:val="00361838"/>
    <w:rsid w:val="003723D4"/>
    <w:rsid w:val="00372D92"/>
    <w:rsid w:val="00374302"/>
    <w:rsid w:val="00374F0E"/>
    <w:rsid w:val="00381905"/>
    <w:rsid w:val="00384CC8"/>
    <w:rsid w:val="003852ED"/>
    <w:rsid w:val="003871FD"/>
    <w:rsid w:val="00390B65"/>
    <w:rsid w:val="00391860"/>
    <w:rsid w:val="003A1E30"/>
    <w:rsid w:val="003A2829"/>
    <w:rsid w:val="003A7D1C"/>
    <w:rsid w:val="003B304B"/>
    <w:rsid w:val="003B3146"/>
    <w:rsid w:val="003C410E"/>
    <w:rsid w:val="003F015E"/>
    <w:rsid w:val="00400414"/>
    <w:rsid w:val="00400730"/>
    <w:rsid w:val="0041446B"/>
    <w:rsid w:val="00431D67"/>
    <w:rsid w:val="00432247"/>
    <w:rsid w:val="0044071E"/>
    <w:rsid w:val="0044329C"/>
    <w:rsid w:val="00453E24"/>
    <w:rsid w:val="00457456"/>
    <w:rsid w:val="004577FE"/>
    <w:rsid w:val="00457B9C"/>
    <w:rsid w:val="0046164A"/>
    <w:rsid w:val="004628D2"/>
    <w:rsid w:val="00462DCD"/>
    <w:rsid w:val="004648AD"/>
    <w:rsid w:val="004703A9"/>
    <w:rsid w:val="004760DE"/>
    <w:rsid w:val="004763D7"/>
    <w:rsid w:val="004932F3"/>
    <w:rsid w:val="004A004E"/>
    <w:rsid w:val="004A24CF"/>
    <w:rsid w:val="004C3D1D"/>
    <w:rsid w:val="004C3D84"/>
    <w:rsid w:val="004C7913"/>
    <w:rsid w:val="004D3805"/>
    <w:rsid w:val="004D482F"/>
    <w:rsid w:val="004D7D56"/>
    <w:rsid w:val="004E4DD6"/>
    <w:rsid w:val="004E7914"/>
    <w:rsid w:val="004F5E36"/>
    <w:rsid w:val="004F7495"/>
    <w:rsid w:val="00507B47"/>
    <w:rsid w:val="00507BEF"/>
    <w:rsid w:val="00507CC9"/>
    <w:rsid w:val="005119A5"/>
    <w:rsid w:val="005278B7"/>
    <w:rsid w:val="00532016"/>
    <w:rsid w:val="005346C8"/>
    <w:rsid w:val="00543E7D"/>
    <w:rsid w:val="00547A68"/>
    <w:rsid w:val="005531C9"/>
    <w:rsid w:val="00557833"/>
    <w:rsid w:val="00557E00"/>
    <w:rsid w:val="00564305"/>
    <w:rsid w:val="005663A3"/>
    <w:rsid w:val="00570C43"/>
    <w:rsid w:val="005B2110"/>
    <w:rsid w:val="005B61E6"/>
    <w:rsid w:val="005C77E1"/>
    <w:rsid w:val="005D668A"/>
    <w:rsid w:val="005D6A2F"/>
    <w:rsid w:val="005E1A82"/>
    <w:rsid w:val="005E794C"/>
    <w:rsid w:val="005F039F"/>
    <w:rsid w:val="005F0A28"/>
    <w:rsid w:val="005F0E5E"/>
    <w:rsid w:val="00600535"/>
    <w:rsid w:val="00610CD6"/>
    <w:rsid w:val="00617ABD"/>
    <w:rsid w:val="00620DEE"/>
    <w:rsid w:val="00621F92"/>
    <w:rsid w:val="0062280A"/>
    <w:rsid w:val="00625639"/>
    <w:rsid w:val="00631B33"/>
    <w:rsid w:val="0064184D"/>
    <w:rsid w:val="006422CC"/>
    <w:rsid w:val="00660E3E"/>
    <w:rsid w:val="0066193A"/>
    <w:rsid w:val="00662E74"/>
    <w:rsid w:val="00680C23"/>
    <w:rsid w:val="00681460"/>
    <w:rsid w:val="00693766"/>
    <w:rsid w:val="006A3281"/>
    <w:rsid w:val="006B4888"/>
    <w:rsid w:val="006C2E45"/>
    <w:rsid w:val="006C359C"/>
    <w:rsid w:val="006C5579"/>
    <w:rsid w:val="006C6A34"/>
    <w:rsid w:val="006D6E8B"/>
    <w:rsid w:val="006E737D"/>
    <w:rsid w:val="00707DD1"/>
    <w:rsid w:val="00713973"/>
    <w:rsid w:val="00720A24"/>
    <w:rsid w:val="00727AB3"/>
    <w:rsid w:val="007320D3"/>
    <w:rsid w:val="00732386"/>
    <w:rsid w:val="0073514D"/>
    <w:rsid w:val="007447F3"/>
    <w:rsid w:val="0075499F"/>
    <w:rsid w:val="007634A8"/>
    <w:rsid w:val="007661C8"/>
    <w:rsid w:val="0077098D"/>
    <w:rsid w:val="00787AE0"/>
    <w:rsid w:val="007931FA"/>
    <w:rsid w:val="007A4861"/>
    <w:rsid w:val="007A7BBA"/>
    <w:rsid w:val="007B0C50"/>
    <w:rsid w:val="007B48F9"/>
    <w:rsid w:val="007B6CE2"/>
    <w:rsid w:val="007C1A43"/>
    <w:rsid w:val="007C7122"/>
    <w:rsid w:val="007D0951"/>
    <w:rsid w:val="007D32D5"/>
    <w:rsid w:val="007E6653"/>
    <w:rsid w:val="007F0796"/>
    <w:rsid w:val="0080013E"/>
    <w:rsid w:val="00813288"/>
    <w:rsid w:val="008168FC"/>
    <w:rsid w:val="00830996"/>
    <w:rsid w:val="008345F1"/>
    <w:rsid w:val="00865B07"/>
    <w:rsid w:val="008667EA"/>
    <w:rsid w:val="00866CE7"/>
    <w:rsid w:val="00874798"/>
    <w:rsid w:val="0087637F"/>
    <w:rsid w:val="00892AD5"/>
    <w:rsid w:val="008A1512"/>
    <w:rsid w:val="008C27E4"/>
    <w:rsid w:val="008D32B9"/>
    <w:rsid w:val="008D433B"/>
    <w:rsid w:val="008D4A16"/>
    <w:rsid w:val="008E566E"/>
    <w:rsid w:val="008E58F7"/>
    <w:rsid w:val="0090161A"/>
    <w:rsid w:val="00901EB6"/>
    <w:rsid w:val="00904C62"/>
    <w:rsid w:val="00922BA8"/>
    <w:rsid w:val="00924DAC"/>
    <w:rsid w:val="00927058"/>
    <w:rsid w:val="00942750"/>
    <w:rsid w:val="009450CE"/>
    <w:rsid w:val="009459BB"/>
    <w:rsid w:val="00947179"/>
    <w:rsid w:val="0095164B"/>
    <w:rsid w:val="00954090"/>
    <w:rsid w:val="009573E7"/>
    <w:rsid w:val="00963E05"/>
    <w:rsid w:val="00964A45"/>
    <w:rsid w:val="00967843"/>
    <w:rsid w:val="00967D54"/>
    <w:rsid w:val="00971028"/>
    <w:rsid w:val="00993B84"/>
    <w:rsid w:val="00996483"/>
    <w:rsid w:val="00996F5A"/>
    <w:rsid w:val="009A107D"/>
    <w:rsid w:val="009B041A"/>
    <w:rsid w:val="009C37C3"/>
    <w:rsid w:val="009C7C86"/>
    <w:rsid w:val="009D2FF7"/>
    <w:rsid w:val="009D5D7E"/>
    <w:rsid w:val="009E6DF6"/>
    <w:rsid w:val="009E7884"/>
    <w:rsid w:val="009E788A"/>
    <w:rsid w:val="009E7C6F"/>
    <w:rsid w:val="009F0E08"/>
    <w:rsid w:val="00A16476"/>
    <w:rsid w:val="00A1763D"/>
    <w:rsid w:val="00A17CEC"/>
    <w:rsid w:val="00A21BC6"/>
    <w:rsid w:val="00A27EF0"/>
    <w:rsid w:val="00A3193F"/>
    <w:rsid w:val="00A354DF"/>
    <w:rsid w:val="00A42361"/>
    <w:rsid w:val="00A50B20"/>
    <w:rsid w:val="00A51390"/>
    <w:rsid w:val="00A60D13"/>
    <w:rsid w:val="00A714EF"/>
    <w:rsid w:val="00A7223D"/>
    <w:rsid w:val="00A72745"/>
    <w:rsid w:val="00A7316B"/>
    <w:rsid w:val="00A76EFC"/>
    <w:rsid w:val="00A81E7A"/>
    <w:rsid w:val="00A81F2F"/>
    <w:rsid w:val="00A87D50"/>
    <w:rsid w:val="00A91010"/>
    <w:rsid w:val="00A97F29"/>
    <w:rsid w:val="00AA702E"/>
    <w:rsid w:val="00AA7D26"/>
    <w:rsid w:val="00AB0964"/>
    <w:rsid w:val="00AB3F13"/>
    <w:rsid w:val="00AB5011"/>
    <w:rsid w:val="00AC37F8"/>
    <w:rsid w:val="00AC7368"/>
    <w:rsid w:val="00AD16B9"/>
    <w:rsid w:val="00AE377D"/>
    <w:rsid w:val="00AF0EBA"/>
    <w:rsid w:val="00AF46C8"/>
    <w:rsid w:val="00B02C8A"/>
    <w:rsid w:val="00B17FBD"/>
    <w:rsid w:val="00B25639"/>
    <w:rsid w:val="00B315A6"/>
    <w:rsid w:val="00B31813"/>
    <w:rsid w:val="00B33365"/>
    <w:rsid w:val="00B34EFE"/>
    <w:rsid w:val="00B421C1"/>
    <w:rsid w:val="00B57B36"/>
    <w:rsid w:val="00B57E6F"/>
    <w:rsid w:val="00B6154D"/>
    <w:rsid w:val="00B844E4"/>
    <w:rsid w:val="00B8686D"/>
    <w:rsid w:val="00B93F69"/>
    <w:rsid w:val="00BA0AFD"/>
    <w:rsid w:val="00BA546B"/>
    <w:rsid w:val="00BB1DDC"/>
    <w:rsid w:val="00BC30C9"/>
    <w:rsid w:val="00BD077D"/>
    <w:rsid w:val="00BD27E0"/>
    <w:rsid w:val="00BE3E58"/>
    <w:rsid w:val="00C01616"/>
    <w:rsid w:val="00C0162B"/>
    <w:rsid w:val="00C0449D"/>
    <w:rsid w:val="00C068ED"/>
    <w:rsid w:val="00C22E0C"/>
    <w:rsid w:val="00C24AF1"/>
    <w:rsid w:val="00C24F10"/>
    <w:rsid w:val="00C345B1"/>
    <w:rsid w:val="00C34A95"/>
    <w:rsid w:val="00C40142"/>
    <w:rsid w:val="00C402DD"/>
    <w:rsid w:val="00C52C3C"/>
    <w:rsid w:val="00C55E22"/>
    <w:rsid w:val="00C57182"/>
    <w:rsid w:val="00C57863"/>
    <w:rsid w:val="00C640AF"/>
    <w:rsid w:val="00C655FD"/>
    <w:rsid w:val="00C67ABB"/>
    <w:rsid w:val="00C75407"/>
    <w:rsid w:val="00C841C6"/>
    <w:rsid w:val="00C870A8"/>
    <w:rsid w:val="00C876CB"/>
    <w:rsid w:val="00C9103D"/>
    <w:rsid w:val="00C94434"/>
    <w:rsid w:val="00CA0D75"/>
    <w:rsid w:val="00CA1C95"/>
    <w:rsid w:val="00CA3F10"/>
    <w:rsid w:val="00CA5A9C"/>
    <w:rsid w:val="00CC4C20"/>
    <w:rsid w:val="00CD3517"/>
    <w:rsid w:val="00CD5FE2"/>
    <w:rsid w:val="00CE7C68"/>
    <w:rsid w:val="00D02B4C"/>
    <w:rsid w:val="00D040C4"/>
    <w:rsid w:val="00D135EA"/>
    <w:rsid w:val="00D20AD1"/>
    <w:rsid w:val="00D2582C"/>
    <w:rsid w:val="00D44C6D"/>
    <w:rsid w:val="00D46551"/>
    <w:rsid w:val="00D46B7E"/>
    <w:rsid w:val="00D56707"/>
    <w:rsid w:val="00D57C84"/>
    <w:rsid w:val="00D6057D"/>
    <w:rsid w:val="00D71640"/>
    <w:rsid w:val="00D7164A"/>
    <w:rsid w:val="00D777FC"/>
    <w:rsid w:val="00D836C5"/>
    <w:rsid w:val="00D84576"/>
    <w:rsid w:val="00D8754F"/>
    <w:rsid w:val="00DA12CF"/>
    <w:rsid w:val="00DA1399"/>
    <w:rsid w:val="00DA24C6"/>
    <w:rsid w:val="00DA4D7B"/>
    <w:rsid w:val="00DD271C"/>
    <w:rsid w:val="00DE264A"/>
    <w:rsid w:val="00DF5072"/>
    <w:rsid w:val="00DF7F25"/>
    <w:rsid w:val="00E02D18"/>
    <w:rsid w:val="00E041E7"/>
    <w:rsid w:val="00E0537E"/>
    <w:rsid w:val="00E23CA1"/>
    <w:rsid w:val="00E25FBC"/>
    <w:rsid w:val="00E409A8"/>
    <w:rsid w:val="00E413F7"/>
    <w:rsid w:val="00E50C12"/>
    <w:rsid w:val="00E65B91"/>
    <w:rsid w:val="00E7209D"/>
    <w:rsid w:val="00E72EAD"/>
    <w:rsid w:val="00E73547"/>
    <w:rsid w:val="00E7636C"/>
    <w:rsid w:val="00E77223"/>
    <w:rsid w:val="00E8528B"/>
    <w:rsid w:val="00E85B94"/>
    <w:rsid w:val="00E978D0"/>
    <w:rsid w:val="00EA0D67"/>
    <w:rsid w:val="00EA3781"/>
    <w:rsid w:val="00EA4613"/>
    <w:rsid w:val="00EA7F91"/>
    <w:rsid w:val="00EB1523"/>
    <w:rsid w:val="00EC0E49"/>
    <w:rsid w:val="00EC101F"/>
    <w:rsid w:val="00EC1D9F"/>
    <w:rsid w:val="00EE0131"/>
    <w:rsid w:val="00EE17B0"/>
    <w:rsid w:val="00EF06D9"/>
    <w:rsid w:val="00F028C5"/>
    <w:rsid w:val="00F06D15"/>
    <w:rsid w:val="00F06FDD"/>
    <w:rsid w:val="00F3049E"/>
    <w:rsid w:val="00F30C64"/>
    <w:rsid w:val="00F32BA2"/>
    <w:rsid w:val="00F32CDB"/>
    <w:rsid w:val="00F405E2"/>
    <w:rsid w:val="00F46597"/>
    <w:rsid w:val="00F565FE"/>
    <w:rsid w:val="00F6274B"/>
    <w:rsid w:val="00F63A70"/>
    <w:rsid w:val="00F63D8C"/>
    <w:rsid w:val="00F66807"/>
    <w:rsid w:val="00F7534E"/>
    <w:rsid w:val="00F845C8"/>
    <w:rsid w:val="00F93EDF"/>
    <w:rsid w:val="00FA1802"/>
    <w:rsid w:val="00FA21D0"/>
    <w:rsid w:val="00FA5F5F"/>
    <w:rsid w:val="00FA6E47"/>
    <w:rsid w:val="00FB5358"/>
    <w:rsid w:val="00FB730C"/>
    <w:rsid w:val="00FC2695"/>
    <w:rsid w:val="00FC3E03"/>
    <w:rsid w:val="00FC3FC1"/>
    <w:rsid w:val="00FD2627"/>
    <w:rsid w:val="00FF184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paragraph" w:styleId="Nessunaspaziatura">
    <w:name w:val="No Spacing"/>
    <w:uiPriority w:val="1"/>
    <w:qFormat/>
    <w:rsid w:val="00AC37F8"/>
    <w:pPr>
      <w:tabs>
        <w:tab w:val="right" w:pos="7100"/>
      </w:tabs>
      <w:spacing w:after="0" w:line="240" w:lineRule="auto"/>
      <w:jc w:val="both"/>
    </w:pPr>
    <w:rPr>
      <w:rFonts w:ascii="Arial" w:eastAsia="Times New Roman" w:hAnsi="Arial" w:cs="Times New Roman"/>
      <w:sz w:val="18"/>
      <w:szCs w:val="20"/>
      <w:lang w:val="en-GB"/>
    </w:rPr>
  </w:style>
  <w:style w:type="character" w:styleId="Testosegnaposto">
    <w:name w:val="Placeholder Text"/>
    <w:basedOn w:val="Carpredefinitoparagrafo"/>
    <w:uiPriority w:val="99"/>
    <w:semiHidden/>
    <w:rsid w:val="00EA378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6</Pages>
  <Words>7776</Words>
  <Characters>44327</Characters>
  <Application>Microsoft Office Word</Application>
  <DocSecurity>0</DocSecurity>
  <Lines>369</Lines>
  <Paragraphs>103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52000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Marco Barozzi</cp:lastModifiedBy>
  <cp:revision>93</cp:revision>
  <cp:lastPrinted>2015-05-12T18:31:00Z</cp:lastPrinted>
  <dcterms:created xsi:type="dcterms:W3CDTF">2022-09-21T08:52:00Z</dcterms:created>
  <dcterms:modified xsi:type="dcterms:W3CDTF">2026-04-20T07:56:00Z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zotero-version="8.0.1"&gt;&lt;session id="9R4H7LKw"/&gt;&lt;style id="http://www.zotero.org/styles/journal-of-loss-prevention-in-the-process-industries" hasBibliography="1" bibliographyStyleHasBeenSet="1"/&gt;&lt;prefs&gt;&lt;pref name="fieldType" value="F</vt:lpwstr>
  </property>
  <property fmtid="{D5CDD505-2E9C-101B-9397-08002B2CF9AE}" pid="3" name="ZOTERO_PREF_2">
    <vt:lpwstr>ield"/&gt;&lt;pref name="storeReferences" value="true"/&gt;&lt;/prefs&gt;&lt;/data&gt;</vt:lpwstr>
  </property>
</Properties>
</file>