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3D1F36">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3D1F36">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3D1F36">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D4B36BB" w:rsidR="00E978D0" w:rsidRPr="00B57B36" w:rsidRDefault="003D1F36" w:rsidP="003D1F36">
      <w:pPr>
        <w:pStyle w:val="CETTitle"/>
      </w:pPr>
      <w:r>
        <w:t>An overview of Accidents, Near Misses and Anomalies occurred in Italian Seveso Establishments collected in EsOpIA Repository</w:t>
      </w:r>
    </w:p>
    <w:p w14:paraId="0488FED2" w14:textId="33490AE1" w:rsidR="00B57E6F" w:rsidRPr="000E3FF8" w:rsidRDefault="00312242" w:rsidP="00B57E6F">
      <w:pPr>
        <w:pStyle w:val="CETAuthors"/>
        <w:rPr>
          <w:lang w:val="it-IT"/>
        </w:rPr>
      </w:pPr>
      <w:r w:rsidRPr="000E3FF8">
        <w:rPr>
          <w:lang w:val="it-IT"/>
        </w:rPr>
        <w:t>Annalisa Pirone</w:t>
      </w:r>
      <w:r w:rsidR="00B57E6F" w:rsidRPr="000E3FF8">
        <w:rPr>
          <w:vertAlign w:val="superscript"/>
          <w:lang w:val="it-IT"/>
        </w:rPr>
        <w:t>a</w:t>
      </w:r>
      <w:r w:rsidRPr="000E3FF8">
        <w:rPr>
          <w:vertAlign w:val="superscript"/>
          <w:lang w:val="it-IT"/>
        </w:rPr>
        <w:t>,*</w:t>
      </w:r>
      <w:r w:rsidR="00B57E6F" w:rsidRPr="000E3FF8">
        <w:rPr>
          <w:lang w:val="it-IT"/>
        </w:rPr>
        <w:t xml:space="preserve">, </w:t>
      </w:r>
      <w:r w:rsidRPr="000E3FF8">
        <w:rPr>
          <w:lang w:val="it-IT"/>
        </w:rPr>
        <w:t>Patrizia Agnello</w:t>
      </w:r>
      <w:r w:rsidR="00B57E6F" w:rsidRPr="000E3FF8">
        <w:rPr>
          <w:vertAlign w:val="superscript"/>
          <w:lang w:val="it-IT"/>
        </w:rPr>
        <w:t>b</w:t>
      </w:r>
      <w:r w:rsidR="00B57E6F" w:rsidRPr="000E3FF8">
        <w:rPr>
          <w:lang w:val="it-IT"/>
        </w:rPr>
        <w:t xml:space="preserve">, </w:t>
      </w:r>
      <w:r w:rsidR="007A2A57" w:rsidRPr="000E3FF8">
        <w:rPr>
          <w:lang w:val="it-IT"/>
        </w:rPr>
        <w:t>Maria Rosaria Vallerotonda</w:t>
      </w:r>
      <w:r w:rsidR="007A2A57" w:rsidRPr="000E3FF8">
        <w:rPr>
          <w:vertAlign w:val="superscript"/>
          <w:lang w:val="it-IT"/>
        </w:rPr>
        <w:t>a</w:t>
      </w:r>
      <w:r w:rsidR="007A2A57" w:rsidRPr="000E3FF8">
        <w:rPr>
          <w:lang w:val="it-IT"/>
        </w:rPr>
        <w:t>, Silvia Maria Ansaldi</w:t>
      </w:r>
      <w:r w:rsidR="00600411" w:rsidRPr="000E3FF8">
        <w:rPr>
          <w:vertAlign w:val="superscript"/>
          <w:lang w:val="it-IT"/>
        </w:rPr>
        <w:t>c</w:t>
      </w:r>
    </w:p>
    <w:p w14:paraId="6B2D21B3" w14:textId="22DB9A44" w:rsidR="00B57E6F" w:rsidRPr="00492719" w:rsidRDefault="00B57E6F" w:rsidP="00B57E6F">
      <w:pPr>
        <w:pStyle w:val="CETAddress"/>
        <w:rPr>
          <w:lang w:val="it-IT"/>
        </w:rPr>
      </w:pPr>
      <w:r w:rsidRPr="00492719">
        <w:rPr>
          <w:vertAlign w:val="superscript"/>
          <w:lang w:val="it-IT"/>
        </w:rPr>
        <w:t>a</w:t>
      </w:r>
      <w:r w:rsidR="00492719">
        <w:rPr>
          <w:lang w:val="it-IT"/>
        </w:rPr>
        <w:t>Inail</w:t>
      </w:r>
      <w:r w:rsidR="00831C1C" w:rsidRPr="00492719">
        <w:rPr>
          <w:lang w:val="it-IT"/>
        </w:rPr>
        <w:t>,</w:t>
      </w:r>
      <w:r w:rsidR="0093461E" w:rsidRPr="00492719">
        <w:rPr>
          <w:lang w:val="it-IT"/>
        </w:rPr>
        <w:t xml:space="preserve"> via </w:t>
      </w:r>
      <w:r w:rsidR="00831C1C" w:rsidRPr="00492719">
        <w:rPr>
          <w:lang w:val="it-IT"/>
        </w:rPr>
        <w:t xml:space="preserve">Roberto Ferruzzi 38/40 </w:t>
      </w:r>
      <w:r w:rsidR="0093461E" w:rsidRPr="00492719">
        <w:rPr>
          <w:lang w:val="it-IT"/>
        </w:rPr>
        <w:t>Roma</w:t>
      </w:r>
      <w:r w:rsidR="0067071C" w:rsidRPr="00492719">
        <w:rPr>
          <w:lang w:val="it-IT"/>
        </w:rPr>
        <w:t>, Italy</w:t>
      </w:r>
    </w:p>
    <w:p w14:paraId="1ED536CD" w14:textId="42BE364E" w:rsidR="005B0EFF" w:rsidRPr="00492719" w:rsidRDefault="00B57E6F" w:rsidP="00B57E6F">
      <w:pPr>
        <w:pStyle w:val="CETAddress"/>
        <w:rPr>
          <w:lang w:val="it-IT"/>
        </w:rPr>
      </w:pPr>
      <w:r w:rsidRPr="00492719">
        <w:rPr>
          <w:vertAlign w:val="superscript"/>
          <w:lang w:val="it-IT"/>
        </w:rPr>
        <w:t>b</w:t>
      </w:r>
      <w:r w:rsidR="00492719">
        <w:rPr>
          <w:lang w:val="it-IT"/>
        </w:rPr>
        <w:t>Inail</w:t>
      </w:r>
      <w:r w:rsidR="0067071C" w:rsidRPr="00492719">
        <w:rPr>
          <w:lang w:val="it-IT"/>
        </w:rPr>
        <w:t xml:space="preserve"> via Fontana Candida 1, 00077 Monteporzio Catone</w:t>
      </w:r>
      <w:r w:rsidR="005B0EFF" w:rsidRPr="00492719">
        <w:rPr>
          <w:lang w:val="it-IT"/>
        </w:rPr>
        <w:t xml:space="preserve"> (Roma (Italy)</w:t>
      </w:r>
    </w:p>
    <w:p w14:paraId="3D72B0B0" w14:textId="6F6A0EB1" w:rsidR="00B57E6F" w:rsidRPr="00492719" w:rsidRDefault="005B0EFF" w:rsidP="00B57E6F">
      <w:pPr>
        <w:pStyle w:val="CETAddress"/>
      </w:pPr>
      <w:r w:rsidRPr="00492719">
        <w:rPr>
          <w:vertAlign w:val="superscript"/>
        </w:rPr>
        <w:t>c</w:t>
      </w:r>
      <w:r w:rsidR="001E4982" w:rsidRPr="00492719">
        <w:t>Matter expert</w:t>
      </w:r>
      <w:r w:rsidR="00B57E6F" w:rsidRPr="00492719">
        <w:t xml:space="preserve"> </w:t>
      </w:r>
    </w:p>
    <w:p w14:paraId="73F1267A" w14:textId="3922BBD4" w:rsidR="00B57E6F" w:rsidRPr="00492719" w:rsidRDefault="00B57E6F" w:rsidP="00B57E6F">
      <w:pPr>
        <w:pStyle w:val="CETemail"/>
      </w:pPr>
      <w:r w:rsidRPr="00492719">
        <w:t xml:space="preserve"> </w:t>
      </w:r>
      <w:r w:rsidR="00333AD9" w:rsidRPr="00492719">
        <w:t>a.pirone@</w:t>
      </w:r>
      <w:r w:rsidR="00492719">
        <w:t>Inail</w:t>
      </w:r>
      <w:r w:rsidR="00333AD9" w:rsidRPr="00492719">
        <w:t>.it</w:t>
      </w:r>
    </w:p>
    <w:p w14:paraId="2882AD6F" w14:textId="3FA92C00" w:rsidR="002E491F" w:rsidRDefault="008831BC" w:rsidP="002E491F">
      <w:pPr>
        <w:pStyle w:val="CETBodytext"/>
        <w:rPr>
          <w:lang w:val="en-GB"/>
        </w:rPr>
      </w:pPr>
      <w:r w:rsidRPr="00492719">
        <w:rPr>
          <w:lang w:val="en-GB"/>
        </w:rPr>
        <w:t>In major-accident hazards</w:t>
      </w:r>
      <w:r w:rsidR="0001706C" w:rsidRPr="00492719">
        <w:rPr>
          <w:lang w:val="en-GB"/>
        </w:rPr>
        <w:t xml:space="preserve"> plants</w:t>
      </w:r>
      <w:r w:rsidRPr="00492719">
        <w:rPr>
          <w:lang w:val="en-GB"/>
        </w:rPr>
        <w:t xml:space="preserve">, regulated by Italian Legislative Decree 105/2015 (implementing European Directive 2012/18/EU), </w:t>
      </w:r>
      <w:r w:rsidR="00346114" w:rsidRPr="00492719">
        <w:t>all significant events (accidents and near misses, but also anomalies and non</w:t>
      </w:r>
      <w:r w:rsidR="00E51461" w:rsidRPr="00492719">
        <w:t>-</w:t>
      </w:r>
      <w:r w:rsidR="00AA7F2B" w:rsidRPr="00492719">
        <w:t xml:space="preserve">conformity) occurred in the last decade are reported in </w:t>
      </w:r>
      <w:r w:rsidR="00932EE0" w:rsidRPr="00492719">
        <w:t>a specific</w:t>
      </w:r>
      <w:r w:rsidR="00AA7F2B" w:rsidRPr="00492719">
        <w:t xml:space="preserve"> </w:t>
      </w:r>
      <w:r w:rsidR="008D110F" w:rsidRPr="00492719">
        <w:t xml:space="preserve">legislative </w:t>
      </w:r>
      <w:r w:rsidR="00AA7F2B" w:rsidRPr="00492719">
        <w:t>format</w:t>
      </w:r>
      <w:r w:rsidR="00932EE0" w:rsidRPr="00492719">
        <w:t xml:space="preserve"> called “</w:t>
      </w:r>
      <w:r w:rsidR="007E6E8F" w:rsidRPr="00492719">
        <w:t xml:space="preserve">operational </w:t>
      </w:r>
      <w:r w:rsidR="00932EE0" w:rsidRPr="00492719">
        <w:t>experience”</w:t>
      </w:r>
      <w:r w:rsidR="00E51461" w:rsidRPr="00492719">
        <w:t>. Since 201</w:t>
      </w:r>
      <w:r w:rsidR="008D110F" w:rsidRPr="00492719">
        <w:t xml:space="preserve">6, </w:t>
      </w:r>
      <w:r w:rsidR="00D13201" w:rsidRPr="00492719">
        <w:rPr>
          <w:lang w:val="en-GB"/>
        </w:rPr>
        <w:t xml:space="preserve">these documents </w:t>
      </w:r>
      <w:r w:rsidR="00FA002F" w:rsidRPr="00492719">
        <w:rPr>
          <w:lang w:val="en-GB"/>
        </w:rPr>
        <w:t>have been</w:t>
      </w:r>
      <w:r w:rsidR="004C71E4" w:rsidRPr="00492719">
        <w:rPr>
          <w:lang w:val="en-GB"/>
        </w:rPr>
        <w:t xml:space="preserve"> </w:t>
      </w:r>
      <w:r w:rsidR="005E27F0" w:rsidRPr="00492719">
        <w:rPr>
          <w:lang w:val="en-GB"/>
        </w:rPr>
        <w:t xml:space="preserve">collected by </w:t>
      </w:r>
      <w:r w:rsidR="00492719" w:rsidRPr="00492719">
        <w:rPr>
          <w:lang w:val="en-GB"/>
        </w:rPr>
        <w:t>National Institute for Insurance Against Accidents at Work (Inail)</w:t>
      </w:r>
      <w:r w:rsidR="005E27F0" w:rsidRPr="00492719">
        <w:rPr>
          <w:lang w:val="en-GB"/>
        </w:rPr>
        <w:t xml:space="preserve"> in</w:t>
      </w:r>
      <w:r w:rsidR="00B0574E" w:rsidRPr="00492719">
        <w:rPr>
          <w:lang w:val="en-GB"/>
        </w:rPr>
        <w:t>to</w:t>
      </w:r>
      <w:r w:rsidR="005E27F0" w:rsidRPr="00492719">
        <w:rPr>
          <w:lang w:val="en-GB"/>
        </w:rPr>
        <w:t xml:space="preserve"> a specific repository named EsOpIA (Operational Experience and Artificial Intelligence)</w:t>
      </w:r>
      <w:r w:rsidR="00FA7EA6" w:rsidRPr="00492719">
        <w:rPr>
          <w:lang w:val="en-GB"/>
        </w:rPr>
        <w:t xml:space="preserve"> that </w:t>
      </w:r>
      <w:r w:rsidR="00FA7EA6" w:rsidRPr="00492719">
        <w:t>appl</w:t>
      </w:r>
      <w:r w:rsidR="00B0574E" w:rsidRPr="00492719">
        <w:t>ies</w:t>
      </w:r>
      <w:r w:rsidR="00FA7EA6" w:rsidRPr="00492719">
        <w:t xml:space="preserve"> Machine Learning (ML) techniques to automatically extract and classify concepts and relations and make</w:t>
      </w:r>
      <w:r w:rsidR="007E6E8F" w:rsidRPr="00492719">
        <w:t>s</w:t>
      </w:r>
      <w:r w:rsidR="00FA7EA6" w:rsidRPr="00492719">
        <w:t xml:space="preserve"> them available for sharing among different stakeholders. </w:t>
      </w:r>
      <w:r w:rsidR="00367688" w:rsidRPr="00492719">
        <w:rPr>
          <w:lang w:val="en-GB"/>
        </w:rPr>
        <w:t>The</w:t>
      </w:r>
      <w:r w:rsidR="00367688" w:rsidRPr="00367688">
        <w:rPr>
          <w:lang w:val="en-GB"/>
        </w:rPr>
        <w:t xml:space="preserve"> archive contains</w:t>
      </w:r>
      <w:r w:rsidR="00190438">
        <w:rPr>
          <w:lang w:val="en-GB"/>
        </w:rPr>
        <w:t xml:space="preserve"> over 6</w:t>
      </w:r>
      <w:r w:rsidR="00367688" w:rsidRPr="00367688">
        <w:rPr>
          <w:lang w:val="en-GB"/>
        </w:rPr>
        <w:t xml:space="preserve">000 reports, </w:t>
      </w:r>
      <w:r w:rsidR="00190438" w:rsidRPr="00367688">
        <w:rPr>
          <w:lang w:val="en-GB"/>
        </w:rPr>
        <w:t>used for research purposes.</w:t>
      </w:r>
      <w:r w:rsidR="009C1614">
        <w:rPr>
          <w:lang w:val="en-GB"/>
        </w:rPr>
        <w:t xml:space="preserve"> </w:t>
      </w:r>
      <w:r w:rsidR="004606A0" w:rsidRPr="0084594D">
        <w:t xml:space="preserve">Starting from the data collected in </w:t>
      </w:r>
      <w:r w:rsidR="00EF0A67" w:rsidRPr="0084594D">
        <w:rPr>
          <w:lang w:val="en-GB"/>
        </w:rPr>
        <w:t xml:space="preserve">EsOpIA, </w:t>
      </w:r>
      <w:r w:rsidR="002E45B0" w:rsidRPr="0084594D">
        <w:rPr>
          <w:lang w:val="en-GB"/>
        </w:rPr>
        <w:t>this study presents a first Italian characterization based on accident, near misses and anomalies occurred in upper-tier Seveso establishments since 2000.</w:t>
      </w:r>
      <w:r w:rsidR="00137D3C">
        <w:rPr>
          <w:lang w:val="en-GB"/>
        </w:rPr>
        <w:t xml:space="preserve"> </w:t>
      </w:r>
      <w:r w:rsidR="002A2E26">
        <w:rPr>
          <w:lang w:val="en-GB"/>
        </w:rPr>
        <w:t>T</w:t>
      </w:r>
      <w:r w:rsidR="00137D3C" w:rsidRPr="00D5720A">
        <w:t>he</w:t>
      </w:r>
      <w:r w:rsidR="006D37EC">
        <w:t xml:space="preserve"> </w:t>
      </w:r>
      <w:r w:rsidR="00137D3C" w:rsidRPr="00D5720A">
        <w:t xml:space="preserve">type of event, the critical equipment and barriers </w:t>
      </w:r>
      <w:r w:rsidR="00137D3C" w:rsidRPr="00492719">
        <w:t xml:space="preserve">implemented </w:t>
      </w:r>
      <w:r w:rsidR="0011509E" w:rsidRPr="00492719">
        <w:t>are</w:t>
      </w:r>
      <w:r w:rsidR="00137D3C" w:rsidRPr="00492719">
        <w:t xml:space="preserve"> considered</w:t>
      </w:r>
      <w:r w:rsidR="00760226" w:rsidRPr="00492719">
        <w:t>.</w:t>
      </w:r>
      <w:r w:rsidR="002E491F" w:rsidRPr="00492719">
        <w:t xml:space="preserve"> This analysis is not </w:t>
      </w:r>
      <w:r w:rsidR="0071457E" w:rsidRPr="00492719">
        <w:t>merely</w:t>
      </w:r>
      <w:r w:rsidR="002E491F" w:rsidRPr="00492719">
        <w:t xml:space="preserve"> statistical; rather, </w:t>
      </w:r>
      <w:r w:rsidR="00FA4250" w:rsidRPr="00492719">
        <w:t xml:space="preserve">a new approach </w:t>
      </w:r>
      <w:r w:rsidR="006E75FA" w:rsidRPr="00492719">
        <w:t xml:space="preserve">to </w:t>
      </w:r>
      <w:r w:rsidR="002E491F" w:rsidRPr="00492719">
        <w:t>studies at different levels of detail</w:t>
      </w:r>
      <w:r w:rsidR="00520DAD" w:rsidRPr="00492719">
        <w:t>, taking advantages by</w:t>
      </w:r>
      <w:r w:rsidR="002E491F" w:rsidRPr="00492719">
        <w:t xml:space="preserve"> NLP</w:t>
      </w:r>
      <w:r w:rsidR="00520DAD" w:rsidRPr="00492719">
        <w:t xml:space="preserve"> (Natural Language Processin</w:t>
      </w:r>
      <w:r w:rsidR="00B86F8B" w:rsidRPr="008D4741">
        <w:t>g</w:t>
      </w:r>
      <w:r w:rsidR="00520DAD" w:rsidRPr="008D4741">
        <w:t>)</w:t>
      </w:r>
      <w:r w:rsidR="002E491F" w:rsidRPr="008D4741">
        <w:t xml:space="preserve"> </w:t>
      </w:r>
      <w:r w:rsidR="002E491F" w:rsidRPr="00492719">
        <w:t xml:space="preserve">and ML capabilities. </w:t>
      </w:r>
      <w:r w:rsidR="0044587B" w:rsidRPr="00492719">
        <w:t xml:space="preserve">Results </w:t>
      </w:r>
      <w:r w:rsidR="002E491F" w:rsidRPr="00492719">
        <w:t xml:space="preserve">contribute </w:t>
      </w:r>
      <w:r w:rsidR="0044587B" w:rsidRPr="00492719">
        <w:t>to support establishments</w:t>
      </w:r>
      <w:r w:rsidR="00133567">
        <w:t>’</w:t>
      </w:r>
      <w:r w:rsidR="0044587B" w:rsidRPr="00492719">
        <w:t xml:space="preserve"> operator</w:t>
      </w:r>
      <w:r w:rsidR="00133567">
        <w:t>s</w:t>
      </w:r>
      <w:r w:rsidR="0044587B" w:rsidRPr="00492719">
        <w:t xml:space="preserve"> and </w:t>
      </w:r>
      <w:r w:rsidR="00B44E24" w:rsidRPr="00492719">
        <w:t xml:space="preserve">Seveso </w:t>
      </w:r>
      <w:r w:rsidR="00B44E24" w:rsidRPr="00C039B8">
        <w:t>inspectors</w:t>
      </w:r>
      <w:r w:rsidR="00946198" w:rsidRPr="00C039B8">
        <w:t xml:space="preserve"> and to</w:t>
      </w:r>
      <w:r w:rsidR="00B44E24" w:rsidRPr="00C039B8">
        <w:t xml:space="preserve"> </w:t>
      </w:r>
      <w:r w:rsidR="00946198" w:rsidRPr="00C039B8">
        <w:t xml:space="preserve">improve </w:t>
      </w:r>
      <w:r w:rsidR="002E491F" w:rsidRPr="00C039B8">
        <w:t>plant</w:t>
      </w:r>
      <w:r w:rsidR="00C93956" w:rsidRPr="00C039B8">
        <w:t>s’</w:t>
      </w:r>
      <w:r w:rsidR="002E491F" w:rsidRPr="00C039B8">
        <w:t xml:space="preserve"> </w:t>
      </w:r>
      <w:r w:rsidR="00955130" w:rsidRPr="00C039B8">
        <w:t>safety by</w:t>
      </w:r>
      <w:r w:rsidR="002E491F" w:rsidRPr="00C039B8">
        <w:t xml:space="preserve"> developing </w:t>
      </w:r>
      <w:r w:rsidR="00946198" w:rsidRPr="00492719">
        <w:t xml:space="preserve">specific </w:t>
      </w:r>
      <w:r w:rsidR="002E491F" w:rsidRPr="00492719">
        <w:t xml:space="preserve">methodologies and </w:t>
      </w:r>
      <w:r w:rsidR="0071457E" w:rsidRPr="00492719">
        <w:t>guidelines.</w:t>
      </w:r>
      <w:r w:rsidR="002E491F">
        <w:t xml:space="preserve"> </w:t>
      </w:r>
    </w:p>
    <w:p w14:paraId="476B2F2E" w14:textId="082ED405" w:rsidR="00600535" w:rsidRPr="005961ED" w:rsidRDefault="00600535" w:rsidP="0071457E">
      <w:pPr>
        <w:pStyle w:val="CETHeading1"/>
      </w:pPr>
      <w:r w:rsidRPr="005961ED">
        <w:t>Introduction</w:t>
      </w:r>
      <w:r w:rsidR="000E3FF8" w:rsidRPr="005961ED">
        <w:t xml:space="preserve"> </w:t>
      </w:r>
    </w:p>
    <w:p w14:paraId="3157E3BA" w14:textId="2ED38187" w:rsidR="00BE3259" w:rsidRDefault="00BE3259" w:rsidP="00BE3259">
      <w:pPr>
        <w:pStyle w:val="CETBodytext"/>
        <w:rPr>
          <w:lang w:val="en-GB"/>
        </w:rPr>
      </w:pPr>
      <w:r>
        <w:rPr>
          <w:lang w:val="en-GB"/>
        </w:rPr>
        <w:t>T</w:t>
      </w:r>
      <w:r w:rsidRPr="00BE3259">
        <w:rPr>
          <w:lang w:val="en-GB"/>
        </w:rPr>
        <w:t xml:space="preserve">he management of accidents and near misses originates in specific industrial sectors (aeronautical, nuclear, and chemical) characterized by a lower number of events but catastrophic </w:t>
      </w:r>
      <w:r w:rsidRPr="00D9776A">
        <w:rPr>
          <w:lang w:val="en-GB"/>
        </w:rPr>
        <w:t xml:space="preserve">consequences </w:t>
      </w:r>
      <w:r w:rsidR="00210261" w:rsidRPr="00D9776A">
        <w:rPr>
          <w:lang w:val="en-GB"/>
        </w:rPr>
        <w:t>(</w:t>
      </w:r>
      <w:r w:rsidRPr="00D9776A">
        <w:rPr>
          <w:lang w:val="en-GB"/>
        </w:rPr>
        <w:t>Gnoni and Saleh, 2017</w:t>
      </w:r>
      <w:r w:rsidR="00794704" w:rsidRPr="00D9776A">
        <w:rPr>
          <w:lang w:val="en-GB"/>
        </w:rPr>
        <w:t>)</w:t>
      </w:r>
      <w:r w:rsidRPr="00D9776A">
        <w:rPr>
          <w:lang w:val="en-GB"/>
        </w:rPr>
        <w:t xml:space="preserve">. In facilities </w:t>
      </w:r>
      <w:r w:rsidR="0075189D" w:rsidRPr="00D9776A">
        <w:rPr>
          <w:lang w:val="en-GB"/>
        </w:rPr>
        <w:t>with</w:t>
      </w:r>
      <w:r w:rsidRPr="00D9776A">
        <w:rPr>
          <w:lang w:val="en-GB"/>
        </w:rPr>
        <w:t xml:space="preserve"> major accidents</w:t>
      </w:r>
      <w:r w:rsidR="0075189D" w:rsidRPr="00D9776A">
        <w:rPr>
          <w:lang w:val="en-GB"/>
        </w:rPr>
        <w:t xml:space="preserve"> ha</w:t>
      </w:r>
      <w:r w:rsidR="00DE3495" w:rsidRPr="00D9776A">
        <w:rPr>
          <w:lang w:val="en-GB"/>
        </w:rPr>
        <w:t>zards</w:t>
      </w:r>
      <w:r w:rsidRPr="00D9776A">
        <w:rPr>
          <w:lang w:val="en-GB"/>
        </w:rPr>
        <w:t>, regulated by Legislative Decree 105/2</w:t>
      </w:r>
      <w:r w:rsidRPr="00BE3259">
        <w:rPr>
          <w:lang w:val="en-GB"/>
        </w:rPr>
        <w:t>015 (implementing European Directive 2012/18/EU</w:t>
      </w:r>
      <w:r w:rsidR="00BD4C85" w:rsidRPr="00D9776A">
        <w:rPr>
          <w:lang w:val="en-GB"/>
        </w:rPr>
        <w:t xml:space="preserve">, </w:t>
      </w:r>
      <w:r w:rsidR="00AC4299" w:rsidRPr="00D9776A">
        <w:rPr>
          <w:lang w:val="en-GB"/>
        </w:rPr>
        <w:t>known as Seveso Directive</w:t>
      </w:r>
      <w:r w:rsidRPr="00D9776A">
        <w:rPr>
          <w:lang w:val="en-GB"/>
        </w:rPr>
        <w:t xml:space="preserve">), </w:t>
      </w:r>
      <w:r w:rsidRPr="00BE3259">
        <w:rPr>
          <w:lang w:val="en-GB"/>
        </w:rPr>
        <w:t xml:space="preserve">such events result in the loss of containment of hazardous substances, and their evolution is correlated </w:t>
      </w:r>
      <w:r w:rsidRPr="00C039B8">
        <w:rPr>
          <w:lang w:val="en-GB"/>
        </w:rPr>
        <w:t>with the functioning of technical, organizational</w:t>
      </w:r>
      <w:r w:rsidR="0055100A" w:rsidRPr="00C039B8">
        <w:rPr>
          <w:lang w:val="en-GB"/>
        </w:rPr>
        <w:t xml:space="preserve"> </w:t>
      </w:r>
      <w:r w:rsidRPr="00C039B8">
        <w:rPr>
          <w:lang w:val="en-GB"/>
        </w:rPr>
        <w:t>and managerial barriers, both preventive and protective</w:t>
      </w:r>
      <w:r w:rsidR="0055100A" w:rsidRPr="00C039B8">
        <w:rPr>
          <w:lang w:val="en-GB"/>
        </w:rPr>
        <w:t xml:space="preserve"> ones</w:t>
      </w:r>
      <w:r w:rsidR="00DE3495">
        <w:rPr>
          <w:lang w:val="en-GB"/>
        </w:rPr>
        <w:t xml:space="preserve">. </w:t>
      </w:r>
      <w:r w:rsidRPr="00C039B8">
        <w:rPr>
          <w:lang w:val="en-GB"/>
        </w:rPr>
        <w:t>The Seveso Regulation requires that the management of significant events be integrated into the broader Safety Management System</w:t>
      </w:r>
      <w:r w:rsidR="004D45A8" w:rsidRPr="00C039B8">
        <w:rPr>
          <w:lang w:val="en-GB"/>
        </w:rPr>
        <w:t xml:space="preserve"> (SMS</w:t>
      </w:r>
      <w:r w:rsidR="004D45A8" w:rsidRPr="00D9776A">
        <w:rPr>
          <w:lang w:val="en-GB"/>
        </w:rPr>
        <w:t>)</w:t>
      </w:r>
      <w:r w:rsidR="00184969" w:rsidRPr="00D9776A">
        <w:rPr>
          <w:lang w:val="en-GB"/>
        </w:rPr>
        <w:t xml:space="preserve"> </w:t>
      </w:r>
      <w:r w:rsidR="0021202D" w:rsidRPr="00D9776A">
        <w:rPr>
          <w:lang w:val="en-GB"/>
        </w:rPr>
        <w:t xml:space="preserve">that is </w:t>
      </w:r>
      <w:r w:rsidRPr="00C039B8">
        <w:rPr>
          <w:lang w:val="en-GB"/>
        </w:rPr>
        <w:t xml:space="preserve">verified by </w:t>
      </w:r>
      <w:r w:rsidR="00184969">
        <w:rPr>
          <w:lang w:val="en-GB"/>
        </w:rPr>
        <w:t>P</w:t>
      </w:r>
      <w:r w:rsidRPr="00C039B8">
        <w:rPr>
          <w:lang w:val="en-GB"/>
        </w:rPr>
        <w:t xml:space="preserve">ublic </w:t>
      </w:r>
      <w:r w:rsidR="00184969">
        <w:rPr>
          <w:lang w:val="en-GB"/>
        </w:rPr>
        <w:t>A</w:t>
      </w:r>
      <w:r w:rsidRPr="00C039B8">
        <w:rPr>
          <w:lang w:val="en-GB"/>
        </w:rPr>
        <w:t>uthorities</w:t>
      </w:r>
      <w:r w:rsidR="00C730A7" w:rsidRPr="00C039B8">
        <w:rPr>
          <w:lang w:val="en-GB"/>
        </w:rPr>
        <w:t xml:space="preserve"> </w:t>
      </w:r>
      <w:r w:rsidRPr="00C039B8">
        <w:rPr>
          <w:lang w:val="en-GB"/>
        </w:rPr>
        <w:t xml:space="preserve">and implemented based on a well-defined methodology. In Italy, the Operational Experience </w:t>
      </w:r>
      <w:r w:rsidR="00C730A7" w:rsidRPr="00C039B8">
        <w:rPr>
          <w:lang w:val="en-GB"/>
        </w:rPr>
        <w:t xml:space="preserve">(OE) </w:t>
      </w:r>
      <w:r w:rsidRPr="00C039B8">
        <w:rPr>
          <w:lang w:val="en-GB"/>
        </w:rPr>
        <w:t xml:space="preserve">format is used by </w:t>
      </w:r>
      <w:r w:rsidR="00AB509C" w:rsidRPr="00C039B8">
        <w:rPr>
          <w:lang w:val="en-GB"/>
        </w:rPr>
        <w:t>establishment’s</w:t>
      </w:r>
      <w:r w:rsidR="00E13499" w:rsidRPr="00C039B8">
        <w:rPr>
          <w:lang w:val="en-GB"/>
        </w:rPr>
        <w:t xml:space="preserve"> operator</w:t>
      </w:r>
      <w:r w:rsidR="004813B4">
        <w:rPr>
          <w:lang w:val="en-GB"/>
        </w:rPr>
        <w:t>s</w:t>
      </w:r>
      <w:r w:rsidR="00AB509C" w:rsidRPr="00C039B8">
        <w:rPr>
          <w:lang w:val="en-GB"/>
        </w:rPr>
        <w:t xml:space="preserve"> </w:t>
      </w:r>
      <w:r w:rsidRPr="00C039B8">
        <w:rPr>
          <w:lang w:val="en-GB"/>
        </w:rPr>
        <w:t xml:space="preserve">to record and analyze events that have occurred in their plant or in similar facilities </w:t>
      </w:r>
      <w:r w:rsidRPr="00F85C2E">
        <w:rPr>
          <w:lang w:val="en-GB"/>
        </w:rPr>
        <w:t>over the last decade.</w:t>
      </w:r>
      <w:r w:rsidR="00186064" w:rsidRPr="00F85C2E">
        <w:rPr>
          <w:lang w:val="en-GB"/>
        </w:rPr>
        <w:t xml:space="preserve"> </w:t>
      </w:r>
      <w:r w:rsidRPr="00F85C2E">
        <w:rPr>
          <w:lang w:val="en-GB"/>
        </w:rPr>
        <w:t xml:space="preserve">Since 2016, these documents </w:t>
      </w:r>
      <w:r w:rsidR="00E67051" w:rsidRPr="00F85C2E">
        <w:rPr>
          <w:lang w:val="en-GB"/>
        </w:rPr>
        <w:t xml:space="preserve">have been collected and analysed by Inail </w:t>
      </w:r>
      <w:r w:rsidR="004C06DF" w:rsidRPr="00D9776A">
        <w:rPr>
          <w:lang w:val="en-GB"/>
        </w:rPr>
        <w:t>(National Institute for Insurance against Accidents at Work)</w:t>
      </w:r>
      <w:r w:rsidR="00333F14" w:rsidRPr="00D9776A">
        <w:rPr>
          <w:lang w:val="en-GB"/>
        </w:rPr>
        <w:t xml:space="preserve"> </w:t>
      </w:r>
      <w:r w:rsidRPr="00D9776A">
        <w:rPr>
          <w:lang w:val="en-GB"/>
        </w:rPr>
        <w:t xml:space="preserve">through EsOpIA (Operational Experience and Artificial Intelligence) </w:t>
      </w:r>
      <w:r w:rsidR="005933ED" w:rsidRPr="00D9776A">
        <w:rPr>
          <w:lang w:val="en-GB"/>
        </w:rPr>
        <w:t>a</w:t>
      </w:r>
      <w:r w:rsidR="00740773" w:rsidRPr="00D9776A">
        <w:rPr>
          <w:lang w:val="en-GB"/>
        </w:rPr>
        <w:t xml:space="preserve"> document </w:t>
      </w:r>
      <w:r w:rsidRPr="00D9776A">
        <w:rPr>
          <w:lang w:val="en-GB"/>
        </w:rPr>
        <w:t>archive</w:t>
      </w:r>
      <w:r w:rsidR="00C4725E" w:rsidRPr="00D9776A">
        <w:rPr>
          <w:lang w:val="en-GB"/>
        </w:rPr>
        <w:t xml:space="preserve"> </w:t>
      </w:r>
      <w:r w:rsidRPr="00D9776A">
        <w:rPr>
          <w:lang w:val="en-GB"/>
        </w:rPr>
        <w:t xml:space="preserve">which uses </w:t>
      </w:r>
      <w:r w:rsidR="00E32A17" w:rsidRPr="00D9776A">
        <w:rPr>
          <w:lang w:val="en-GB"/>
        </w:rPr>
        <w:t>A</w:t>
      </w:r>
      <w:r w:rsidRPr="00D9776A">
        <w:rPr>
          <w:lang w:val="en-GB"/>
        </w:rPr>
        <w:t xml:space="preserve">rtificial </w:t>
      </w:r>
      <w:r w:rsidR="00E32A17" w:rsidRPr="00D9776A">
        <w:rPr>
          <w:lang w:val="en-GB"/>
        </w:rPr>
        <w:t>I</w:t>
      </w:r>
      <w:r w:rsidRPr="00D9776A">
        <w:rPr>
          <w:lang w:val="en-GB"/>
        </w:rPr>
        <w:t xml:space="preserve">ntelligence </w:t>
      </w:r>
      <w:r w:rsidR="00E031E2" w:rsidRPr="00D9776A">
        <w:rPr>
          <w:lang w:val="en-GB"/>
        </w:rPr>
        <w:t xml:space="preserve">(AI), </w:t>
      </w:r>
      <w:r w:rsidRPr="00D9776A">
        <w:rPr>
          <w:lang w:val="en-GB"/>
        </w:rPr>
        <w:t xml:space="preserve">particularly </w:t>
      </w:r>
      <w:r w:rsidR="00331B5D" w:rsidRPr="00D9776A">
        <w:rPr>
          <w:lang w:val="en-GB"/>
        </w:rPr>
        <w:t>M</w:t>
      </w:r>
      <w:r w:rsidRPr="00D9776A">
        <w:rPr>
          <w:lang w:val="en-GB"/>
        </w:rPr>
        <w:t xml:space="preserve">achine </w:t>
      </w:r>
      <w:r w:rsidR="00331B5D" w:rsidRPr="00D9776A">
        <w:rPr>
          <w:lang w:val="en-GB"/>
        </w:rPr>
        <w:t>L</w:t>
      </w:r>
      <w:r w:rsidRPr="00D9776A">
        <w:rPr>
          <w:lang w:val="en-GB"/>
        </w:rPr>
        <w:t>earning</w:t>
      </w:r>
      <w:r w:rsidR="00E031E2" w:rsidRPr="00D9776A">
        <w:rPr>
          <w:lang w:val="en-GB"/>
        </w:rPr>
        <w:t xml:space="preserve"> (ML)</w:t>
      </w:r>
      <w:r w:rsidRPr="00D9776A">
        <w:rPr>
          <w:lang w:val="en-GB"/>
        </w:rPr>
        <w:t xml:space="preserve"> and </w:t>
      </w:r>
      <w:r w:rsidR="00331B5D" w:rsidRPr="00D9776A">
        <w:rPr>
          <w:lang w:val="en-GB"/>
        </w:rPr>
        <w:t>N</w:t>
      </w:r>
      <w:r w:rsidRPr="00D9776A">
        <w:rPr>
          <w:lang w:val="en-GB"/>
        </w:rPr>
        <w:t xml:space="preserve">atural </w:t>
      </w:r>
      <w:r w:rsidR="00331B5D" w:rsidRPr="00D9776A">
        <w:rPr>
          <w:lang w:val="en-GB"/>
        </w:rPr>
        <w:t>L</w:t>
      </w:r>
      <w:r w:rsidRPr="00D9776A">
        <w:rPr>
          <w:lang w:val="en-GB"/>
        </w:rPr>
        <w:t xml:space="preserve">anguage </w:t>
      </w:r>
      <w:r w:rsidR="00331B5D" w:rsidRPr="00D9776A">
        <w:rPr>
          <w:lang w:val="en-GB"/>
        </w:rPr>
        <w:t>P</w:t>
      </w:r>
      <w:r w:rsidRPr="00D9776A">
        <w:rPr>
          <w:lang w:val="en-GB"/>
        </w:rPr>
        <w:t>rocessing</w:t>
      </w:r>
      <w:r w:rsidR="00E031E2" w:rsidRPr="00D9776A">
        <w:rPr>
          <w:lang w:val="en-GB"/>
        </w:rPr>
        <w:t xml:space="preserve"> (NLP)</w:t>
      </w:r>
      <w:r w:rsidR="00331B5D" w:rsidRPr="00D9776A">
        <w:rPr>
          <w:lang w:val="en-GB"/>
        </w:rPr>
        <w:t xml:space="preserve"> techniques</w:t>
      </w:r>
      <w:r w:rsidRPr="00D9776A">
        <w:rPr>
          <w:lang w:val="en-GB"/>
        </w:rPr>
        <w:t>.</w:t>
      </w:r>
      <w:r w:rsidR="00B66A6B" w:rsidRPr="00D9776A">
        <w:rPr>
          <w:lang w:val="en-GB"/>
        </w:rPr>
        <w:t xml:space="preserve"> </w:t>
      </w:r>
      <w:r w:rsidRPr="00D9776A">
        <w:rPr>
          <w:lang w:val="en-GB"/>
        </w:rPr>
        <w:t xml:space="preserve">EsOpIA is currently the only ontology-based repository not only of accidents, but also of near misses, anomalies and non-conformities recorded in establishments subject to the </w:t>
      </w:r>
      <w:r w:rsidR="00B056C7" w:rsidRPr="00D9776A">
        <w:rPr>
          <w:lang w:val="en-GB"/>
        </w:rPr>
        <w:t xml:space="preserve">Seveso </w:t>
      </w:r>
      <w:r w:rsidR="00EF45A4" w:rsidRPr="00F85C2E">
        <w:rPr>
          <w:lang w:val="en-GB"/>
        </w:rPr>
        <w:t>D</w:t>
      </w:r>
      <w:r w:rsidRPr="00F85C2E">
        <w:rPr>
          <w:lang w:val="en-GB"/>
        </w:rPr>
        <w:t>ecree.</w:t>
      </w:r>
      <w:r w:rsidR="00B66A6B" w:rsidRPr="00F85C2E">
        <w:rPr>
          <w:lang w:val="en-GB"/>
        </w:rPr>
        <w:t xml:space="preserve"> </w:t>
      </w:r>
      <w:r w:rsidR="00E031E2" w:rsidRPr="00F85C2E">
        <w:rPr>
          <w:lang w:val="en-GB"/>
        </w:rPr>
        <w:t>AI</w:t>
      </w:r>
      <w:r w:rsidRPr="00F85C2E">
        <w:rPr>
          <w:lang w:val="en-GB"/>
        </w:rPr>
        <w:t xml:space="preserve"> techniques, particularly ML, are used to extract insights from large amounts of data.</w:t>
      </w:r>
      <w:r w:rsidR="00B66A6B" w:rsidRPr="00F85C2E">
        <w:rPr>
          <w:lang w:val="en-GB"/>
        </w:rPr>
        <w:t xml:space="preserve"> </w:t>
      </w:r>
      <w:r w:rsidRPr="00F85C2E">
        <w:rPr>
          <w:lang w:val="en-GB"/>
        </w:rPr>
        <w:t xml:space="preserve">Previously, </w:t>
      </w:r>
      <w:r w:rsidRPr="00BE3259">
        <w:rPr>
          <w:lang w:val="en-GB"/>
        </w:rPr>
        <w:t>Kurian et al.</w:t>
      </w:r>
      <w:r w:rsidR="00135230">
        <w:rPr>
          <w:lang w:val="en-GB"/>
        </w:rPr>
        <w:t xml:space="preserve"> (2020)</w:t>
      </w:r>
      <w:r w:rsidRPr="00BE3259">
        <w:rPr>
          <w:lang w:val="en-GB"/>
        </w:rPr>
        <w:t xml:space="preserve"> applied </w:t>
      </w:r>
      <w:r w:rsidR="00E031E2">
        <w:rPr>
          <w:lang w:val="en-GB"/>
        </w:rPr>
        <w:t>ML</w:t>
      </w:r>
      <w:r w:rsidRPr="00BE3259">
        <w:rPr>
          <w:lang w:val="en-GB"/>
        </w:rPr>
        <w:t xml:space="preserve"> to define a custom library</w:t>
      </w:r>
      <w:r w:rsidR="00267BD3">
        <w:rPr>
          <w:lang w:val="en-GB"/>
        </w:rPr>
        <w:t xml:space="preserve"> </w:t>
      </w:r>
      <w:r w:rsidRPr="00BE3259">
        <w:rPr>
          <w:lang w:val="en-GB"/>
        </w:rPr>
        <w:t>that more efficiently supports incident reporting methods;</w:t>
      </w:r>
      <w:r w:rsidR="00267BD3">
        <w:rPr>
          <w:lang w:val="en-GB"/>
        </w:rPr>
        <w:t xml:space="preserve"> </w:t>
      </w:r>
      <w:r w:rsidRPr="00BE3259">
        <w:rPr>
          <w:lang w:val="en-GB"/>
        </w:rPr>
        <w:t>Paltrinieri</w:t>
      </w:r>
      <w:r w:rsidR="00267BD3">
        <w:rPr>
          <w:lang w:val="en-GB"/>
        </w:rPr>
        <w:t xml:space="preserve"> </w:t>
      </w:r>
      <w:r w:rsidRPr="00BE3259">
        <w:rPr>
          <w:lang w:val="en-GB"/>
        </w:rPr>
        <w:t xml:space="preserve">et al. </w:t>
      </w:r>
      <w:r w:rsidR="00582EAD">
        <w:rPr>
          <w:lang w:val="en-GB"/>
        </w:rPr>
        <w:t xml:space="preserve">(2019) </w:t>
      </w:r>
      <w:r w:rsidRPr="00BE3259">
        <w:rPr>
          <w:lang w:val="en-GB"/>
        </w:rPr>
        <w:t xml:space="preserve">suggested a risk assessment approach based on </w:t>
      </w:r>
      <w:r w:rsidR="006630D6">
        <w:rPr>
          <w:lang w:val="en-GB"/>
        </w:rPr>
        <w:t>ML</w:t>
      </w:r>
      <w:r w:rsidRPr="00BE3259">
        <w:rPr>
          <w:lang w:val="en-GB"/>
        </w:rPr>
        <w:t>,</w:t>
      </w:r>
      <w:r w:rsidR="00267BD3">
        <w:rPr>
          <w:lang w:val="en-GB"/>
        </w:rPr>
        <w:t xml:space="preserve"> </w:t>
      </w:r>
      <w:r w:rsidRPr="00BE3259">
        <w:rPr>
          <w:lang w:val="en-GB"/>
        </w:rPr>
        <w:t xml:space="preserve">Xu and Saleh </w:t>
      </w:r>
      <w:r w:rsidR="00AE18CE">
        <w:rPr>
          <w:lang w:val="en-GB"/>
        </w:rPr>
        <w:t>(2021)</w:t>
      </w:r>
      <w:r w:rsidRPr="00BE3259">
        <w:rPr>
          <w:lang w:val="en-GB"/>
        </w:rPr>
        <w:t xml:space="preserve"> provided a detailed overview of different categories of </w:t>
      </w:r>
      <w:r w:rsidR="006630D6">
        <w:rPr>
          <w:lang w:val="en-GB"/>
        </w:rPr>
        <w:t>ML</w:t>
      </w:r>
      <w:r w:rsidRPr="00BE3259">
        <w:rPr>
          <w:lang w:val="en-GB"/>
        </w:rPr>
        <w:t xml:space="preserve"> and the related</w:t>
      </w:r>
      <w:r w:rsidR="009C0175">
        <w:rPr>
          <w:lang w:val="en-GB"/>
        </w:rPr>
        <w:t xml:space="preserve"> </w:t>
      </w:r>
      <w:r w:rsidRPr="00BE3259">
        <w:rPr>
          <w:lang w:val="en-GB"/>
        </w:rPr>
        <w:t>models and algorithms used</w:t>
      </w:r>
      <w:r w:rsidR="009C0175">
        <w:rPr>
          <w:lang w:val="en-GB"/>
        </w:rPr>
        <w:t xml:space="preserve"> in </w:t>
      </w:r>
      <w:r w:rsidR="002E660C" w:rsidRPr="002E660C">
        <w:rPr>
          <w:lang w:val="en-GB"/>
        </w:rPr>
        <w:t>in reliability and</w:t>
      </w:r>
      <w:r w:rsidR="002E660C">
        <w:rPr>
          <w:lang w:val="en-GB"/>
        </w:rPr>
        <w:t xml:space="preserve"> </w:t>
      </w:r>
      <w:r w:rsidR="002E660C" w:rsidRPr="002E660C">
        <w:rPr>
          <w:lang w:val="en-GB"/>
        </w:rPr>
        <w:t>security applications</w:t>
      </w:r>
      <w:r w:rsidR="002E660C">
        <w:rPr>
          <w:lang w:val="en-GB"/>
        </w:rPr>
        <w:t>.</w:t>
      </w:r>
      <w:r w:rsidR="00C26D4C">
        <w:rPr>
          <w:lang w:val="en-GB"/>
        </w:rPr>
        <w:t xml:space="preserve"> </w:t>
      </w:r>
    </w:p>
    <w:p w14:paraId="61A9B77A" w14:textId="4BD82A01" w:rsidR="00600535" w:rsidRPr="00071AAE" w:rsidRDefault="00C316A0" w:rsidP="00071AAE">
      <w:pPr>
        <w:pStyle w:val="CETHeading1"/>
        <w:tabs>
          <w:tab w:val="num" w:pos="360"/>
        </w:tabs>
        <w:rPr>
          <w:lang w:val="it-IT"/>
        </w:rPr>
      </w:pPr>
      <w:r w:rsidRPr="00071AAE">
        <w:rPr>
          <w:lang w:val="it-IT"/>
        </w:rPr>
        <w:lastRenderedPageBreak/>
        <w:t>Objective</w:t>
      </w:r>
      <w:r w:rsidR="0029658C" w:rsidRPr="00071AAE">
        <w:rPr>
          <w:lang w:val="it-IT"/>
        </w:rPr>
        <w:t xml:space="preserve"> </w:t>
      </w:r>
    </w:p>
    <w:p w14:paraId="01B25998" w14:textId="35C64D66" w:rsidR="00757385" w:rsidRPr="00D9776A" w:rsidRDefault="007471BF" w:rsidP="00CC1928">
      <w:pPr>
        <w:pStyle w:val="CETBodytext"/>
        <w:rPr>
          <w:lang w:val="en-GB"/>
        </w:rPr>
      </w:pPr>
      <w:r w:rsidRPr="00D9776A">
        <w:rPr>
          <w:lang w:val="en-GB"/>
        </w:rPr>
        <w:t>The use of EsopIA enables knowledge sharing and supports the proactive prevention process, particularly for major incidents, through access to a structured knowledge system.</w:t>
      </w:r>
      <w:r w:rsidR="005B5CFD" w:rsidRPr="00D9776A">
        <w:rPr>
          <w:lang w:val="en-GB"/>
        </w:rPr>
        <w:t xml:space="preserve"> </w:t>
      </w:r>
      <w:r w:rsidR="00757385" w:rsidRPr="00D9776A">
        <w:t>EsOpIA has been designed to provide stakeholders, including inspectors, operators, and workers, but also researchers, with knowledge support on safety matters</w:t>
      </w:r>
      <w:r w:rsidR="00C9431C" w:rsidRPr="00D9776A">
        <w:t>.</w:t>
      </w:r>
      <w:r w:rsidR="00750CA9" w:rsidRPr="00D9776A">
        <w:t xml:space="preserve"> During a problem analysis, indeed, information about similar events can be useful to understand how it has been dealt with and resolved elsewhere. Another scope of using EsOpIA is to be able to make a transversal analysis on how some "historical/traditional" risks are still present and what are the barriers that intervene to avoid or mitigate the consequences </w:t>
      </w:r>
      <w:r w:rsidR="00EE7643" w:rsidRPr="00D9776A">
        <w:t>(</w:t>
      </w:r>
      <w:r w:rsidR="00750CA9" w:rsidRPr="00D9776A">
        <w:t>Ansaldi et al. 2018</w:t>
      </w:r>
      <w:r w:rsidR="00EE7643" w:rsidRPr="00D9776A">
        <w:t>)</w:t>
      </w:r>
      <w:r w:rsidR="00750CA9" w:rsidRPr="00D9776A">
        <w:t>.</w:t>
      </w:r>
      <w:r w:rsidR="00431762" w:rsidRPr="00D9776A">
        <w:t xml:space="preserve"> A more innovative use is the possibility of intercepting emerging risks. Examples of new risks are the presence of new substances that interact with old materials, or new substances with new materials or changes due to climate change</w:t>
      </w:r>
      <w:r w:rsidR="00177FFB" w:rsidRPr="00D9776A">
        <w:t xml:space="preserve"> (e.g. rain, storm) or electrical risks </w:t>
      </w:r>
      <w:r w:rsidR="007C01F2" w:rsidRPr="00D9776A">
        <w:t>(</w:t>
      </w:r>
      <w:r w:rsidR="00177FFB" w:rsidRPr="00D9776A">
        <w:t>Vallerotonda et al., 2022</w:t>
      </w:r>
      <w:r w:rsidR="007C01F2" w:rsidRPr="00D9776A">
        <w:t>)</w:t>
      </w:r>
      <w:r w:rsidR="00177FFB" w:rsidRPr="00D9776A">
        <w:t>.</w:t>
      </w:r>
      <w:r w:rsidR="001B2E57" w:rsidRPr="00D9776A">
        <w:t xml:space="preserve"> </w:t>
      </w:r>
      <w:r w:rsidR="00C45B84" w:rsidRPr="00D9776A">
        <w:rPr>
          <w:lang w:val="en-GB"/>
        </w:rPr>
        <w:t>Unlike the studies conducted so far, t</w:t>
      </w:r>
      <w:r w:rsidR="00082DDD" w:rsidRPr="00D9776A">
        <w:rPr>
          <w:lang w:val="en-GB"/>
        </w:rPr>
        <w:t xml:space="preserve">he aim of this article is to </w:t>
      </w:r>
      <w:r w:rsidR="00C217FA" w:rsidRPr="00D9776A">
        <w:rPr>
          <w:lang w:val="en-GB"/>
        </w:rPr>
        <w:t xml:space="preserve">provide an initial overview of the accidents, near misses, and anomalies that </w:t>
      </w:r>
      <w:r w:rsidR="00C51ED2" w:rsidRPr="00D9776A">
        <w:rPr>
          <w:lang w:val="en-GB"/>
        </w:rPr>
        <w:t>have occurred</w:t>
      </w:r>
      <w:r w:rsidR="00C217FA" w:rsidRPr="00D9776A">
        <w:rPr>
          <w:lang w:val="en-GB"/>
        </w:rPr>
        <w:t xml:space="preserve"> in the Italian Seveso plants </w:t>
      </w:r>
      <w:r w:rsidR="000B5623" w:rsidRPr="00D9776A">
        <w:rPr>
          <w:lang w:val="en-GB"/>
        </w:rPr>
        <w:t xml:space="preserve">since 2000 and </w:t>
      </w:r>
      <w:r w:rsidR="00C217FA" w:rsidRPr="00D9776A">
        <w:rPr>
          <w:lang w:val="en-GB"/>
        </w:rPr>
        <w:t>collected in the EsOpIA repository.</w:t>
      </w:r>
      <w:r w:rsidR="00142F75" w:rsidRPr="00D9776A">
        <w:rPr>
          <w:lang w:val="en-GB"/>
        </w:rPr>
        <w:t xml:space="preserve"> </w:t>
      </w:r>
      <w:r w:rsidR="001B2E57" w:rsidRPr="00D9776A">
        <w:t>EsOpIA can extract that information because is based on ML techniques and an ontological model that interprets the concepts at the same way, those common and relevant to the context (loss</w:t>
      </w:r>
      <w:r w:rsidR="00DB6AB7" w:rsidRPr="00D9776A">
        <w:t xml:space="preserve"> of containment</w:t>
      </w:r>
      <w:r w:rsidR="001B2E57" w:rsidRPr="00D9776A">
        <w:t>, equipment, people) and those “outside” the context</w:t>
      </w:r>
      <w:r w:rsidR="00683395" w:rsidRPr="00D9776A">
        <w:t>.</w:t>
      </w:r>
    </w:p>
    <w:p w14:paraId="5741900F" w14:textId="55ED5270" w:rsidR="00453E24" w:rsidRPr="00071AAE" w:rsidRDefault="00F059CD" w:rsidP="00071AAE">
      <w:pPr>
        <w:pStyle w:val="CETHeading1"/>
        <w:tabs>
          <w:tab w:val="num" w:pos="360"/>
        </w:tabs>
        <w:rPr>
          <w:lang w:val="it-IT"/>
        </w:rPr>
      </w:pPr>
      <w:r w:rsidRPr="00071AAE">
        <w:rPr>
          <w:lang w:val="it-IT"/>
        </w:rPr>
        <w:t>Materials</w:t>
      </w:r>
      <w:r w:rsidR="0002106E">
        <w:rPr>
          <w:lang w:val="it-IT"/>
        </w:rPr>
        <w:t xml:space="preserve"> &amp; Methods</w:t>
      </w:r>
    </w:p>
    <w:p w14:paraId="3738B8EE" w14:textId="77777777" w:rsidR="00E571D9" w:rsidRDefault="00647452" w:rsidP="00FB748E">
      <w:pPr>
        <w:pStyle w:val="CETheadingx"/>
      </w:pPr>
      <w:r>
        <w:t>D</w:t>
      </w:r>
      <w:r w:rsidR="00893A2E">
        <w:t>ocuments</w:t>
      </w:r>
      <w:r w:rsidR="00A11C56">
        <w:t xml:space="preserve"> </w:t>
      </w:r>
      <w:r w:rsidR="005D1F3C">
        <w:t xml:space="preserve">in </w:t>
      </w:r>
      <w:r w:rsidR="000B5DEF" w:rsidRPr="009A567A">
        <w:t>EsOpIA</w:t>
      </w:r>
    </w:p>
    <w:p w14:paraId="2C8C2933" w14:textId="34C12930" w:rsidR="00E571D9" w:rsidRPr="00D9776A" w:rsidRDefault="00E571D9" w:rsidP="00E571D9">
      <w:pPr>
        <w:pStyle w:val="CETBodytext"/>
      </w:pPr>
      <w:r w:rsidRPr="003D524C">
        <w:t>EsOpIA is the archive, organized and supported by Inail, gathering the major accidents and the operational experiences (incidents, near-misses, and anomalies) occurred in Italian upper-tier Seveso establishments, a few reports on pressure equipment failure inside Italian companies</w:t>
      </w:r>
      <w:r w:rsidR="0071107B" w:rsidRPr="003D524C">
        <w:t xml:space="preserve"> and </w:t>
      </w:r>
      <w:r w:rsidR="0071107B" w:rsidRPr="003D524C">
        <w:rPr>
          <w:lang w:val="en-GB"/>
        </w:rPr>
        <w:t>post-accident reports</w:t>
      </w:r>
      <w:r w:rsidR="003D524C" w:rsidRPr="00FD2E96">
        <w:rPr>
          <w:lang w:val="en-GB"/>
        </w:rPr>
        <w:t xml:space="preserve">. </w:t>
      </w:r>
      <w:r w:rsidR="00996EE7" w:rsidRPr="00EE0046">
        <w:t xml:space="preserve">EsOpIA repository, in November 2025, </w:t>
      </w:r>
      <w:r w:rsidR="00996EE7" w:rsidRPr="00D9776A">
        <w:t>counts 619</w:t>
      </w:r>
      <w:r w:rsidR="00D9776A" w:rsidRPr="00D9776A">
        <w:t xml:space="preserve">2 </w:t>
      </w:r>
      <w:r w:rsidR="00996EE7" w:rsidRPr="00D9776A">
        <w:t xml:space="preserve">documents, shared as follows: 4 major accidents, 165 pressure equipment failure documents, 6023 operational experiences. </w:t>
      </w:r>
      <w:r w:rsidR="003D524C" w:rsidRPr="00D9776A">
        <w:t>Pressure equipment failure reports are a collection of a few of Local Health Agencies in Italy and describe the damage of the pressure equipment and their causes, while the other documents are related to the Seveso world</w:t>
      </w:r>
      <w:r w:rsidR="007207C3" w:rsidRPr="00D9776A">
        <w:t xml:space="preserve"> and are organized into special formats.</w:t>
      </w:r>
    </w:p>
    <w:p w14:paraId="108AF8E9" w14:textId="459B6840" w:rsidR="009D299A" w:rsidRPr="00EE0046" w:rsidRDefault="00492719" w:rsidP="00B87B2A">
      <w:pPr>
        <w:pStyle w:val="CETBodytext"/>
        <w:rPr>
          <w:lang w:val="en-GB"/>
        </w:rPr>
      </w:pPr>
      <w:r w:rsidRPr="00D9776A">
        <w:rPr>
          <w:lang w:val="en-GB"/>
        </w:rPr>
        <w:t>Inail</w:t>
      </w:r>
      <w:r w:rsidR="00FA7788" w:rsidRPr="00D9776A">
        <w:rPr>
          <w:lang w:val="en-GB"/>
        </w:rPr>
        <w:t xml:space="preserve"> is one of the technical </w:t>
      </w:r>
      <w:r w:rsidR="0019798D" w:rsidRPr="00D9776A">
        <w:rPr>
          <w:lang w:val="en-GB"/>
        </w:rPr>
        <w:t>B</w:t>
      </w:r>
      <w:r w:rsidR="00FA7788" w:rsidRPr="00D9776A">
        <w:rPr>
          <w:lang w:val="en-GB"/>
        </w:rPr>
        <w:t>ody for the Competent</w:t>
      </w:r>
      <w:r w:rsidR="00FA7788" w:rsidRPr="00EE0046">
        <w:rPr>
          <w:lang w:val="en-GB"/>
        </w:rPr>
        <w:t xml:space="preserve"> Authorities responsible for the implementation of </w:t>
      </w:r>
      <w:r w:rsidR="00FA7788" w:rsidRPr="00EB08AC">
        <w:rPr>
          <w:lang w:val="en-GB"/>
        </w:rPr>
        <w:t xml:space="preserve">Decree 105/2015; its technicians are </w:t>
      </w:r>
      <w:r w:rsidR="00FA7788" w:rsidRPr="005173F5">
        <w:rPr>
          <w:lang w:val="en-GB"/>
        </w:rPr>
        <w:t>members</w:t>
      </w:r>
      <w:r w:rsidR="00FA7788" w:rsidRPr="00EB08AC">
        <w:rPr>
          <w:lang w:val="en-GB"/>
        </w:rPr>
        <w:t xml:space="preserve"> of specific commissions </w:t>
      </w:r>
      <w:r w:rsidR="00C77709" w:rsidRPr="00267AD4">
        <w:rPr>
          <w:lang w:val="en-GB"/>
        </w:rPr>
        <w:t xml:space="preserve">responsible </w:t>
      </w:r>
      <w:r w:rsidR="004D45A8" w:rsidRPr="00267AD4">
        <w:rPr>
          <w:lang w:val="en-GB"/>
        </w:rPr>
        <w:t>for</w:t>
      </w:r>
      <w:r w:rsidR="00C77709" w:rsidRPr="00267AD4">
        <w:rPr>
          <w:lang w:val="en-GB"/>
        </w:rPr>
        <w:t xml:space="preserve"> evaluating </w:t>
      </w:r>
      <w:r w:rsidR="00FA7788" w:rsidRPr="00267AD4">
        <w:rPr>
          <w:lang w:val="en-GB"/>
        </w:rPr>
        <w:t xml:space="preserve">the adequacy </w:t>
      </w:r>
      <w:r w:rsidR="00FA7788" w:rsidRPr="00EB08AC">
        <w:rPr>
          <w:lang w:val="en-GB"/>
        </w:rPr>
        <w:t>of the SMS</w:t>
      </w:r>
      <w:r w:rsidR="00FA7788" w:rsidRPr="004D45A8">
        <w:rPr>
          <w:color w:val="FF0000"/>
          <w:lang w:val="en-GB"/>
        </w:rPr>
        <w:t xml:space="preserve"> </w:t>
      </w:r>
      <w:r w:rsidR="00FA7788" w:rsidRPr="00EB08AC">
        <w:rPr>
          <w:lang w:val="en-GB"/>
        </w:rPr>
        <w:t>and</w:t>
      </w:r>
      <w:r w:rsidR="00E85C08">
        <w:rPr>
          <w:lang w:val="en-GB"/>
        </w:rPr>
        <w:t xml:space="preserve"> </w:t>
      </w:r>
      <w:r w:rsidR="00D1203D" w:rsidRPr="00267AD4">
        <w:rPr>
          <w:lang w:val="en-GB"/>
        </w:rPr>
        <w:t>collecting</w:t>
      </w:r>
      <w:r w:rsidR="0036797D">
        <w:rPr>
          <w:lang w:val="en-GB"/>
        </w:rPr>
        <w:t xml:space="preserve"> </w:t>
      </w:r>
      <w:r w:rsidR="00FA7788" w:rsidRPr="00EB08AC">
        <w:rPr>
          <w:lang w:val="en-GB"/>
        </w:rPr>
        <w:t xml:space="preserve">post-accident information to the European </w:t>
      </w:r>
      <w:r w:rsidR="004C6B99">
        <w:rPr>
          <w:lang w:val="en-GB"/>
        </w:rPr>
        <w:t>Commission</w:t>
      </w:r>
      <w:r w:rsidR="00FA7788" w:rsidRPr="00EB08AC">
        <w:rPr>
          <w:lang w:val="en-GB"/>
        </w:rPr>
        <w:t>.</w:t>
      </w:r>
      <w:r w:rsidR="002F223B" w:rsidRPr="00EB08AC">
        <w:rPr>
          <w:lang w:val="en-GB"/>
        </w:rPr>
        <w:t xml:space="preserve"> </w:t>
      </w:r>
      <w:r w:rsidR="00D30239" w:rsidRPr="00EB08AC">
        <w:t xml:space="preserve">During the </w:t>
      </w:r>
      <w:r w:rsidR="0019798D" w:rsidRPr="00EB08AC">
        <w:t xml:space="preserve">SMS’s </w:t>
      </w:r>
      <w:r w:rsidR="00D30239" w:rsidRPr="00EB08AC">
        <w:t>Seveso inspections, the establishments</w:t>
      </w:r>
      <w:r w:rsidR="0033320C">
        <w:t>’</w:t>
      </w:r>
      <w:r w:rsidR="00D30239" w:rsidRPr="00EB08AC">
        <w:t xml:space="preserve"> operators provide the inspectors </w:t>
      </w:r>
      <w:r w:rsidR="00D30239" w:rsidRPr="002F3CFD">
        <w:t xml:space="preserve">with the </w:t>
      </w:r>
      <w:r w:rsidR="00B917AF" w:rsidRPr="002F3CFD">
        <w:t xml:space="preserve">OE </w:t>
      </w:r>
      <w:r w:rsidR="00D30239" w:rsidRPr="002F3CFD">
        <w:t xml:space="preserve">occurred </w:t>
      </w:r>
      <w:r w:rsidR="00D30239" w:rsidRPr="00EE0046">
        <w:t xml:space="preserve">in the last ten years inside their plant. </w:t>
      </w:r>
      <w:r w:rsidR="009D299A" w:rsidRPr="002F3CFD">
        <w:rPr>
          <w:lang w:val="en-GB"/>
        </w:rPr>
        <w:t xml:space="preserve">The </w:t>
      </w:r>
      <w:r w:rsidR="00DD20CD">
        <w:rPr>
          <w:lang w:val="en-GB"/>
        </w:rPr>
        <w:t>OE</w:t>
      </w:r>
      <w:r w:rsidR="009D299A" w:rsidRPr="002F3CFD">
        <w:rPr>
          <w:lang w:val="en-GB"/>
        </w:rPr>
        <w:t xml:space="preserve"> </w:t>
      </w:r>
      <w:r w:rsidR="009D299A" w:rsidRPr="00EE0046">
        <w:rPr>
          <w:lang w:val="en-GB"/>
        </w:rPr>
        <w:t xml:space="preserve">reports </w:t>
      </w:r>
      <w:r w:rsidR="005D05E4" w:rsidRPr="00EE0046">
        <w:rPr>
          <w:lang w:val="en-GB"/>
        </w:rPr>
        <w:t>have been</w:t>
      </w:r>
      <w:r w:rsidR="009D299A" w:rsidRPr="00EE0046">
        <w:rPr>
          <w:lang w:val="en-GB"/>
        </w:rPr>
        <w:t xml:space="preserve"> collected through periodic surveys conducted by </w:t>
      </w:r>
      <w:r w:rsidRPr="00EE0046">
        <w:rPr>
          <w:lang w:val="en-GB"/>
        </w:rPr>
        <w:t>I</w:t>
      </w:r>
      <w:r w:rsidR="00EE0046" w:rsidRPr="00EE0046">
        <w:rPr>
          <w:lang w:val="en-GB"/>
        </w:rPr>
        <w:t xml:space="preserve">nail </w:t>
      </w:r>
      <w:r w:rsidR="00E76D3A" w:rsidRPr="00EE0046">
        <w:rPr>
          <w:lang w:val="en-GB"/>
        </w:rPr>
        <w:t xml:space="preserve">respect </w:t>
      </w:r>
      <w:r w:rsidR="00AD3E64" w:rsidRPr="00EE0046">
        <w:rPr>
          <w:lang w:val="en-GB"/>
        </w:rPr>
        <w:t>to</w:t>
      </w:r>
      <w:r w:rsidR="009D299A" w:rsidRPr="00EE0046">
        <w:rPr>
          <w:lang w:val="en-GB"/>
        </w:rPr>
        <w:t xml:space="preserve"> </w:t>
      </w:r>
      <w:r w:rsidR="00C91AB3" w:rsidRPr="00EE0046">
        <w:rPr>
          <w:lang w:val="en-GB"/>
        </w:rPr>
        <w:t>SMS’s</w:t>
      </w:r>
      <w:r w:rsidR="009D299A" w:rsidRPr="00EE0046">
        <w:rPr>
          <w:lang w:val="en-GB"/>
        </w:rPr>
        <w:t xml:space="preserve"> inspections. </w:t>
      </w:r>
      <w:r w:rsidR="00D22E11" w:rsidRPr="00EE0046">
        <w:rPr>
          <w:lang w:val="en-GB"/>
        </w:rPr>
        <w:t>The surveys cover three years of inspections at a time, in</w:t>
      </w:r>
      <w:r w:rsidR="00B96960" w:rsidRPr="00EE0046">
        <w:rPr>
          <w:lang w:val="en-GB"/>
        </w:rPr>
        <w:t xml:space="preserve"> </w:t>
      </w:r>
      <w:r w:rsidR="009D299A" w:rsidRPr="00EE0046">
        <w:rPr>
          <w:lang w:val="en-GB"/>
        </w:rPr>
        <w:t xml:space="preserve">accordance with the national three-year plan and the annual regional planning. Since the </w:t>
      </w:r>
      <w:r w:rsidR="00B96960" w:rsidRPr="00EE0046">
        <w:rPr>
          <w:lang w:val="en-GB"/>
        </w:rPr>
        <w:t>D</w:t>
      </w:r>
      <w:r w:rsidR="009D299A" w:rsidRPr="00EE0046">
        <w:rPr>
          <w:lang w:val="en-GB"/>
        </w:rPr>
        <w:t xml:space="preserve">ecree came into force, </w:t>
      </w:r>
      <w:r w:rsidR="009D299A" w:rsidRPr="00D9776A">
        <w:rPr>
          <w:lang w:val="en-GB"/>
        </w:rPr>
        <w:t xml:space="preserve">the last survey </w:t>
      </w:r>
      <w:r w:rsidR="00403EA0" w:rsidRPr="00D9776A">
        <w:rPr>
          <w:lang w:val="en-GB"/>
        </w:rPr>
        <w:t xml:space="preserve">has been </w:t>
      </w:r>
      <w:r w:rsidR="009D299A" w:rsidRPr="00EE0046">
        <w:rPr>
          <w:lang w:val="en-GB"/>
        </w:rPr>
        <w:t>conducted in 2023</w:t>
      </w:r>
      <w:r w:rsidR="00D45C9A" w:rsidRPr="00EE0046">
        <w:rPr>
          <w:lang w:val="en-GB"/>
        </w:rPr>
        <w:t xml:space="preserve">, but </w:t>
      </w:r>
      <w:r w:rsidR="00504E34" w:rsidRPr="00EE0046">
        <w:rPr>
          <w:lang w:val="en-GB"/>
        </w:rPr>
        <w:t xml:space="preserve">the archive is </w:t>
      </w:r>
      <w:r w:rsidR="000B23FF" w:rsidRPr="00EE0046">
        <w:rPr>
          <w:lang w:val="en-GB"/>
        </w:rPr>
        <w:t xml:space="preserve">also </w:t>
      </w:r>
      <w:r w:rsidR="00504E34" w:rsidRPr="00EE0046">
        <w:rPr>
          <w:lang w:val="en-GB"/>
        </w:rPr>
        <w:t>periodically updated following inspections</w:t>
      </w:r>
      <w:r w:rsidR="000B23FF" w:rsidRPr="00EE0046">
        <w:rPr>
          <w:lang w:val="en-GB"/>
        </w:rPr>
        <w:t xml:space="preserve"> thanks to the contribution of the inspectors</w:t>
      </w:r>
      <w:r w:rsidR="00D74F26">
        <w:rPr>
          <w:lang w:val="en-GB"/>
        </w:rPr>
        <w:t xml:space="preserve">, </w:t>
      </w:r>
      <w:r w:rsidR="00401D81" w:rsidRPr="00EE0046">
        <w:rPr>
          <w:lang w:val="en-GB"/>
        </w:rPr>
        <w:t xml:space="preserve">this paper </w:t>
      </w:r>
      <w:r w:rsidR="00401D81" w:rsidRPr="00C039B8">
        <w:rPr>
          <w:lang w:val="en-GB"/>
        </w:rPr>
        <w:t>refer</w:t>
      </w:r>
      <w:r w:rsidR="00AF35DC" w:rsidRPr="00C039B8">
        <w:rPr>
          <w:lang w:val="en-GB"/>
        </w:rPr>
        <w:t>s</w:t>
      </w:r>
      <w:r w:rsidR="00401D81" w:rsidRPr="00C039B8">
        <w:rPr>
          <w:lang w:val="en-GB"/>
        </w:rPr>
        <w:t xml:space="preserve"> to </w:t>
      </w:r>
      <w:r w:rsidR="00401D81" w:rsidRPr="00EE0046">
        <w:rPr>
          <w:lang w:val="en-GB"/>
        </w:rPr>
        <w:t>the archive updated to December 2025.</w:t>
      </w:r>
      <w:r w:rsidR="00EE0046" w:rsidRPr="00EE0046">
        <w:rPr>
          <w:lang w:val="en-GB"/>
        </w:rPr>
        <w:t xml:space="preserve"> </w:t>
      </w:r>
      <w:r w:rsidR="00910881" w:rsidRPr="00EE0046">
        <w:rPr>
          <w:lang w:val="en-GB"/>
        </w:rPr>
        <w:t>Finally, t</w:t>
      </w:r>
      <w:r w:rsidR="009D299A" w:rsidRPr="00EE0046">
        <w:rPr>
          <w:lang w:val="en-GB"/>
        </w:rPr>
        <w:t xml:space="preserve">he available operational experience </w:t>
      </w:r>
      <w:r w:rsidR="008A227C" w:rsidRPr="00EE0046">
        <w:rPr>
          <w:lang w:val="en-GB"/>
        </w:rPr>
        <w:t>report</w:t>
      </w:r>
      <w:r w:rsidR="008D4744" w:rsidRPr="00EE0046">
        <w:rPr>
          <w:lang w:val="en-GB"/>
        </w:rPr>
        <w:t>s</w:t>
      </w:r>
      <w:r w:rsidR="009D299A" w:rsidRPr="00EE0046">
        <w:rPr>
          <w:lang w:val="en-GB"/>
        </w:rPr>
        <w:t xml:space="preserve"> </w:t>
      </w:r>
      <w:r w:rsidR="008D4744" w:rsidRPr="00EE0046">
        <w:rPr>
          <w:lang w:val="en-GB"/>
        </w:rPr>
        <w:t xml:space="preserve">contain </w:t>
      </w:r>
      <w:r w:rsidR="009D299A" w:rsidRPr="00EE0046">
        <w:rPr>
          <w:lang w:val="en-GB"/>
        </w:rPr>
        <w:t>events recorded by operators for the last 10 years of operation at their own facility or at similar facilities starting from 2000</w:t>
      </w:r>
      <w:r w:rsidR="00910881" w:rsidRPr="00EE0046">
        <w:rPr>
          <w:lang w:val="en-GB"/>
        </w:rPr>
        <w:t xml:space="preserve">, </w:t>
      </w:r>
      <w:r w:rsidR="00534C2D" w:rsidRPr="00EE0046">
        <w:rPr>
          <w:lang w:val="en-GB"/>
        </w:rPr>
        <w:t>thus</w:t>
      </w:r>
      <w:r w:rsidR="00824469" w:rsidRPr="00EE0046">
        <w:rPr>
          <w:lang w:val="en-GB"/>
        </w:rPr>
        <w:t xml:space="preserve"> </w:t>
      </w:r>
      <w:r w:rsidR="001E1ED2" w:rsidRPr="00EE0046">
        <w:rPr>
          <w:lang w:val="en-GB"/>
        </w:rPr>
        <w:t>EsOpIA</w:t>
      </w:r>
      <w:r w:rsidR="00C039B8">
        <w:rPr>
          <w:lang w:val="en-GB"/>
        </w:rPr>
        <w:t xml:space="preserve"> </w:t>
      </w:r>
      <w:r w:rsidR="001E1ED2" w:rsidRPr="00EE0046">
        <w:rPr>
          <w:lang w:val="en-GB"/>
        </w:rPr>
        <w:t>provide</w:t>
      </w:r>
      <w:r w:rsidR="00155569" w:rsidRPr="00EE0046">
        <w:rPr>
          <w:lang w:val="en-GB"/>
        </w:rPr>
        <w:t>s</w:t>
      </w:r>
      <w:r w:rsidR="001E1ED2" w:rsidRPr="00EE0046">
        <w:rPr>
          <w:lang w:val="en-GB"/>
        </w:rPr>
        <w:t xml:space="preserve"> an overview of at least twenty years of events at the Seveso plants.</w:t>
      </w:r>
    </w:p>
    <w:p w14:paraId="6C37F549" w14:textId="5134988A" w:rsidR="00443F14" w:rsidRPr="00B34643" w:rsidRDefault="00443F14" w:rsidP="00FB748E">
      <w:pPr>
        <w:pStyle w:val="CETheadingx"/>
      </w:pPr>
      <w:r w:rsidRPr="00B34643">
        <w:t>EsOpIA model</w:t>
      </w:r>
      <w:r w:rsidR="00A11C56" w:rsidRPr="00B34643">
        <w:t xml:space="preserve"> </w:t>
      </w:r>
    </w:p>
    <w:p w14:paraId="3F3AA38C" w14:textId="776D8EDC" w:rsidR="00420106" w:rsidRPr="001511B6" w:rsidRDefault="009043FC" w:rsidP="00443F14">
      <w:pPr>
        <w:pStyle w:val="CETBodytext"/>
      </w:pPr>
      <w:r w:rsidRPr="00933E8D">
        <w:t xml:space="preserve">The search functionalities are through natural language and filters based on the model excerpt </w:t>
      </w:r>
      <w:r w:rsidRPr="00D9776A">
        <w:t>entities</w:t>
      </w:r>
      <w:r w:rsidR="004A4C10" w:rsidRPr="00D9776A">
        <w:t>, t</w:t>
      </w:r>
      <w:r w:rsidR="00A91E52" w:rsidRPr="00D9776A">
        <w:t>o</w:t>
      </w:r>
      <w:r w:rsidR="00A91E52" w:rsidRPr="00DD2D7E">
        <w:t xml:space="preserve"> </w:t>
      </w:r>
      <w:r w:rsidR="005345E1" w:rsidRPr="007D0E03">
        <w:t xml:space="preserve">automatically </w:t>
      </w:r>
      <w:r w:rsidR="00A91E52" w:rsidRPr="007D0E03">
        <w:t xml:space="preserve">extract </w:t>
      </w:r>
      <w:r w:rsidR="00004A67" w:rsidRPr="007D0E03">
        <w:t xml:space="preserve">information and, hopefully, knowledge from </w:t>
      </w:r>
      <w:r w:rsidR="002176F0" w:rsidRPr="007D0E03">
        <w:t>the documents</w:t>
      </w:r>
      <w:r w:rsidR="009E2E66" w:rsidRPr="007D0E03">
        <w:t xml:space="preserve">, </w:t>
      </w:r>
      <w:r w:rsidR="00D87D8E" w:rsidRPr="007D0E03">
        <w:t xml:space="preserve">ML </w:t>
      </w:r>
      <w:r w:rsidR="009E2E66" w:rsidRPr="007D0E03">
        <w:t xml:space="preserve">techniques </w:t>
      </w:r>
      <w:r w:rsidR="00BD0B4B" w:rsidRPr="007D0E03">
        <w:t>are</w:t>
      </w:r>
      <w:r w:rsidR="009E2E66" w:rsidRPr="007D0E03">
        <w:t xml:space="preserve"> applied</w:t>
      </w:r>
      <w:r w:rsidR="00294543" w:rsidRPr="007D0E03">
        <w:t>.</w:t>
      </w:r>
      <w:r w:rsidR="00AB7E8D" w:rsidRPr="007D0E03">
        <w:t xml:space="preserve"> </w:t>
      </w:r>
      <w:r w:rsidR="00C35AC3" w:rsidRPr="00D9776A">
        <w:t>EsOpIA</w:t>
      </w:r>
      <w:r w:rsidR="00F16639" w:rsidRPr="00D9776A">
        <w:t xml:space="preserve"> model</w:t>
      </w:r>
      <w:r w:rsidR="0005009A" w:rsidRPr="00D9776A">
        <w:t>, described in</w:t>
      </w:r>
      <w:r w:rsidR="008E1655" w:rsidRPr="00D9776A">
        <w:t xml:space="preserve"> </w:t>
      </w:r>
      <w:r w:rsidR="00F16639" w:rsidRPr="00D9776A">
        <w:t>detail</w:t>
      </w:r>
      <w:r w:rsidR="0005009A" w:rsidRPr="00D9776A">
        <w:t xml:space="preserve"> by </w:t>
      </w:r>
      <w:r w:rsidR="00F16639" w:rsidRPr="00D9776A">
        <w:t>(</w:t>
      </w:r>
      <w:r w:rsidR="0005009A" w:rsidRPr="00D9776A">
        <w:t>Ansaldi et al</w:t>
      </w:r>
      <w:r w:rsidR="00F16639" w:rsidRPr="00D9776A">
        <w:t>.</w:t>
      </w:r>
      <w:r w:rsidR="0005009A" w:rsidRPr="00D9776A">
        <w:t xml:space="preserve"> 2021),</w:t>
      </w:r>
      <w:r w:rsidR="00C35AC3" w:rsidRPr="00D9776A">
        <w:t xml:space="preserve"> </w:t>
      </w:r>
      <w:r w:rsidR="00A70E76" w:rsidRPr="00D9776A">
        <w:t>contains</w:t>
      </w:r>
      <w:r w:rsidR="00A70E76" w:rsidRPr="0003390B">
        <w:t xml:space="preserve"> the</w:t>
      </w:r>
      <w:r w:rsidR="00A70E76" w:rsidRPr="00DD2D7E">
        <w:t xml:space="preserve"> main representative concepts </w:t>
      </w:r>
      <w:r w:rsidR="00A0225E" w:rsidRPr="00DD2D7E">
        <w:t>used</w:t>
      </w:r>
      <w:r w:rsidR="004A2983" w:rsidRPr="00DD2D7E">
        <w:t xml:space="preserve"> in the reports</w:t>
      </w:r>
      <w:r w:rsidR="0075175B" w:rsidRPr="00DD2D7E">
        <w:t xml:space="preserve">, </w:t>
      </w:r>
      <w:r w:rsidR="00B746C4" w:rsidRPr="00DD2D7E">
        <w:t>that are</w:t>
      </w:r>
      <w:r w:rsidR="0075175B" w:rsidRPr="00DD2D7E">
        <w:t xml:space="preserve"> the following </w:t>
      </w:r>
      <w:r w:rsidR="00831F2E" w:rsidRPr="00DD2D7E">
        <w:t>entities</w:t>
      </w:r>
      <w:r w:rsidR="0075175B" w:rsidRPr="00DD2D7E">
        <w:t>:</w:t>
      </w:r>
      <w:r w:rsidR="00831F2E" w:rsidRPr="00DD2D7E">
        <w:t xml:space="preserve"> </w:t>
      </w:r>
      <w:r w:rsidR="0075175B" w:rsidRPr="00DD2D7E">
        <w:t xml:space="preserve">EVENT, </w:t>
      </w:r>
      <w:r w:rsidR="00557C83" w:rsidRPr="00DD2D7E">
        <w:t>APPARATUS</w:t>
      </w:r>
      <w:r w:rsidR="0075175B" w:rsidRPr="00DD2D7E">
        <w:t xml:space="preserve">, SUBSTANCE, </w:t>
      </w:r>
      <w:r w:rsidR="00557C83" w:rsidRPr="00DD2D7E">
        <w:t xml:space="preserve">BARRIER, </w:t>
      </w:r>
      <w:r w:rsidR="0075175B" w:rsidRPr="00DD2D7E">
        <w:t>PEOPLE</w:t>
      </w:r>
      <w:r w:rsidR="00557C83" w:rsidRPr="00DD2D7E">
        <w:t xml:space="preserve">, and ACTIVITY. </w:t>
      </w:r>
      <w:r w:rsidR="00D314D1" w:rsidRPr="00DD2D7E">
        <w:t xml:space="preserve">EVENT describes </w:t>
      </w:r>
      <w:r w:rsidR="0017164D" w:rsidRPr="00DD2D7E">
        <w:t xml:space="preserve">what </w:t>
      </w:r>
      <w:r w:rsidR="00E370C6" w:rsidRPr="00DD2D7E">
        <w:t>occurred</w:t>
      </w:r>
      <w:r w:rsidR="007B5A18" w:rsidRPr="00DD2D7E">
        <w:t xml:space="preserve"> and is </w:t>
      </w:r>
      <w:r w:rsidR="007B5A18" w:rsidRPr="00D9776A">
        <w:t xml:space="preserve">specialized into </w:t>
      </w:r>
      <w:r w:rsidR="0017164D" w:rsidRPr="00D9776A">
        <w:t xml:space="preserve">the following </w:t>
      </w:r>
      <w:r w:rsidR="007B5A18" w:rsidRPr="00D9776A">
        <w:t>sub</w:t>
      </w:r>
      <w:r w:rsidR="00D51498" w:rsidRPr="00D9776A">
        <w:t>-</w:t>
      </w:r>
      <w:r w:rsidR="007B5A18" w:rsidRPr="00D9776A">
        <w:t>entites: LOSS</w:t>
      </w:r>
      <w:r w:rsidR="00780099" w:rsidRPr="00D9776A">
        <w:t xml:space="preserve"> of </w:t>
      </w:r>
      <w:r w:rsidR="00934562" w:rsidRPr="00D9776A">
        <w:t>containment</w:t>
      </w:r>
      <w:r w:rsidR="0030562F" w:rsidRPr="00D9776A">
        <w:t>;</w:t>
      </w:r>
      <w:r w:rsidR="00780099" w:rsidRPr="00D9776A">
        <w:t xml:space="preserve"> FAILURE </w:t>
      </w:r>
      <w:r w:rsidR="00923E32" w:rsidRPr="00D9776A">
        <w:t>referring to failure, damages</w:t>
      </w:r>
      <w:r w:rsidR="00B10454" w:rsidRPr="00D9776A">
        <w:t xml:space="preserve"> and </w:t>
      </w:r>
      <w:r w:rsidR="003244F0" w:rsidRPr="00D9776A">
        <w:t xml:space="preserve">any </w:t>
      </w:r>
      <w:r w:rsidR="006679B5" w:rsidRPr="00D9776A">
        <w:t>errors or wrong actions</w:t>
      </w:r>
      <w:r w:rsidR="0030562F" w:rsidRPr="00D9776A">
        <w:t>;</w:t>
      </w:r>
      <w:r w:rsidR="006679B5" w:rsidRPr="00D9776A">
        <w:t xml:space="preserve"> DETERIORATION deal to </w:t>
      </w:r>
      <w:r w:rsidR="000A4F30" w:rsidRPr="00D9776A">
        <w:t>defects and mechanism</w:t>
      </w:r>
      <w:r w:rsidR="00D51498" w:rsidRPr="00D9776A">
        <w:t>s</w:t>
      </w:r>
      <w:r w:rsidR="000A4F30" w:rsidRPr="00D9776A">
        <w:t xml:space="preserve"> </w:t>
      </w:r>
      <w:r w:rsidR="00D51498" w:rsidRPr="00D9776A">
        <w:t xml:space="preserve">that </w:t>
      </w:r>
      <w:r w:rsidR="000A4F30" w:rsidRPr="00D9776A">
        <w:t>caus</w:t>
      </w:r>
      <w:r w:rsidR="00D51498" w:rsidRPr="00D9776A">
        <w:t>e</w:t>
      </w:r>
      <w:r w:rsidR="000A4F30" w:rsidRPr="00D9776A">
        <w:t xml:space="preserve"> </w:t>
      </w:r>
      <w:r w:rsidR="00A970E2" w:rsidRPr="00D9776A">
        <w:t xml:space="preserve">integrity problems </w:t>
      </w:r>
      <w:r w:rsidR="009028A3" w:rsidRPr="00D9776A">
        <w:t xml:space="preserve">or </w:t>
      </w:r>
      <w:r w:rsidR="00752D80" w:rsidRPr="00D9776A">
        <w:t>decrease efficiency</w:t>
      </w:r>
      <w:r w:rsidR="0030562F" w:rsidRPr="00D9776A">
        <w:t>;</w:t>
      </w:r>
      <w:r w:rsidR="00752D80" w:rsidRPr="00D9776A">
        <w:t xml:space="preserve"> </w:t>
      </w:r>
      <w:r w:rsidR="00F71B95" w:rsidRPr="00D9776A">
        <w:t xml:space="preserve">MAJOR </w:t>
      </w:r>
      <w:r w:rsidR="00A32E06" w:rsidRPr="00D9776A">
        <w:t xml:space="preserve">the events that have the potential to </w:t>
      </w:r>
      <w:r w:rsidR="00F127BA" w:rsidRPr="00D9776A">
        <w:t>generate major accidents</w:t>
      </w:r>
      <w:r w:rsidR="0030562F" w:rsidRPr="00D9776A">
        <w:t>;</w:t>
      </w:r>
      <w:r w:rsidR="00B10454" w:rsidRPr="00D9776A">
        <w:t xml:space="preserve"> </w:t>
      </w:r>
      <w:r w:rsidR="00F127BA" w:rsidRPr="00D9776A">
        <w:t>SUCCESS refer</w:t>
      </w:r>
      <w:r w:rsidR="00AF680E" w:rsidRPr="00D9776A">
        <w:t>s</w:t>
      </w:r>
      <w:r w:rsidR="00F127BA" w:rsidRPr="00D9776A">
        <w:t xml:space="preserve"> to positive events</w:t>
      </w:r>
      <w:r w:rsidR="00294F66" w:rsidRPr="00D9776A">
        <w:t xml:space="preserve"> that made a contribution </w:t>
      </w:r>
      <w:r w:rsidR="00015920" w:rsidRPr="00D9776A">
        <w:t>to interrupt the incident escalation. APPARATUS</w:t>
      </w:r>
      <w:r w:rsidR="001700C5" w:rsidRPr="00D9776A">
        <w:t xml:space="preserve"> entity </w:t>
      </w:r>
      <w:r w:rsidR="00CE106C" w:rsidRPr="00D9776A">
        <w:t>has two sub-entities: EQUIPMENT and COMPONENT</w:t>
      </w:r>
      <w:r w:rsidR="00462274" w:rsidRPr="00D9776A">
        <w:t xml:space="preserve">, this latter is part of the former. </w:t>
      </w:r>
      <w:r w:rsidR="00581348" w:rsidRPr="00D9776A">
        <w:t xml:space="preserve">SUBSTANCE </w:t>
      </w:r>
      <w:r w:rsidR="00102F05" w:rsidRPr="00D9776A">
        <w:t xml:space="preserve">mainly </w:t>
      </w:r>
      <w:r w:rsidR="009834EC" w:rsidRPr="00D9776A">
        <w:t>refers to</w:t>
      </w:r>
      <w:r w:rsidR="00581348" w:rsidRPr="00D9776A">
        <w:t xml:space="preserve"> the hazardous </w:t>
      </w:r>
      <w:r w:rsidR="00407213" w:rsidRPr="00D9776A">
        <w:t xml:space="preserve">fluid </w:t>
      </w:r>
      <w:r w:rsidR="009D716F" w:rsidRPr="00D9776A">
        <w:t>involved</w:t>
      </w:r>
      <w:r w:rsidR="00AF6A7E" w:rsidRPr="00D9776A">
        <w:t xml:space="preserve">. </w:t>
      </w:r>
      <w:r w:rsidR="007F2FA2" w:rsidRPr="00D9776A">
        <w:t xml:space="preserve">BARRIER refers to </w:t>
      </w:r>
      <w:r w:rsidR="007F254A" w:rsidRPr="00D9776A">
        <w:t>technical</w:t>
      </w:r>
      <w:r w:rsidR="005B7470" w:rsidRPr="00D9776A">
        <w:t xml:space="preserve"> (e.g. devices)</w:t>
      </w:r>
      <w:r w:rsidR="007F254A" w:rsidRPr="00D9776A">
        <w:t xml:space="preserve"> and organizational barriers</w:t>
      </w:r>
      <w:r w:rsidR="005B7470" w:rsidRPr="00D9776A">
        <w:t xml:space="preserve"> (e.g. procedures)</w:t>
      </w:r>
      <w:r w:rsidR="00423762" w:rsidRPr="00D9776A">
        <w:t xml:space="preserve"> involved</w:t>
      </w:r>
      <w:r w:rsidR="00815E46" w:rsidRPr="00D9776A">
        <w:t xml:space="preserve">. </w:t>
      </w:r>
      <w:r w:rsidR="00507F8E" w:rsidRPr="00D9776A">
        <w:t xml:space="preserve">PEOPLE </w:t>
      </w:r>
      <w:r w:rsidR="00F907F0" w:rsidRPr="00D9776A">
        <w:t>indicate</w:t>
      </w:r>
      <w:r w:rsidR="00507F8E" w:rsidRPr="00D9776A">
        <w:t xml:space="preserve"> the role </w:t>
      </w:r>
      <w:r w:rsidR="009A4FEF" w:rsidRPr="00D9776A">
        <w:t xml:space="preserve">of </w:t>
      </w:r>
      <w:r w:rsidR="00F907F0" w:rsidRPr="00D9776A">
        <w:t>people</w:t>
      </w:r>
      <w:r w:rsidR="009A4FEF" w:rsidRPr="00D9776A">
        <w:t xml:space="preserve"> mentioned </w:t>
      </w:r>
      <w:r w:rsidR="002C2A68" w:rsidRPr="00D9776A">
        <w:t>in</w:t>
      </w:r>
      <w:r w:rsidR="009A4FEF" w:rsidRPr="00D9776A">
        <w:t xml:space="preserve"> the report, and</w:t>
      </w:r>
      <w:r w:rsidR="00DC0518" w:rsidRPr="00D9776A">
        <w:t xml:space="preserve"> ACTIVITY describes which work was </w:t>
      </w:r>
      <w:r w:rsidR="00407F5C" w:rsidRPr="00D9776A">
        <w:t>taking place</w:t>
      </w:r>
      <w:r w:rsidR="00DC0518" w:rsidRPr="00D9776A">
        <w:t xml:space="preserve"> when the event occurred</w:t>
      </w:r>
      <w:r w:rsidR="00A72931" w:rsidRPr="00D9776A">
        <w:t>.</w:t>
      </w:r>
      <w:r w:rsidR="00071E86" w:rsidRPr="00D9776A">
        <w:t xml:space="preserve"> </w:t>
      </w:r>
      <w:r w:rsidR="00A965D5" w:rsidRPr="00D9776A">
        <w:t>The excerpt entities</w:t>
      </w:r>
      <w:r w:rsidR="00071E86" w:rsidRPr="00D9776A">
        <w:t xml:space="preserve"> (</w:t>
      </w:r>
      <w:r w:rsidR="00826A92" w:rsidRPr="00D9776A">
        <w:t>the words in the text)</w:t>
      </w:r>
      <w:r w:rsidR="00A965D5" w:rsidRPr="00D9776A">
        <w:t xml:space="preserve"> are</w:t>
      </w:r>
      <w:r w:rsidR="00AA7BC2" w:rsidRPr="00D9776A">
        <w:t xml:space="preserve">, therefore, </w:t>
      </w:r>
      <w:r w:rsidR="00290139" w:rsidRPr="00D9776A">
        <w:t xml:space="preserve">the instances </w:t>
      </w:r>
      <w:r w:rsidR="005E0504" w:rsidRPr="00D9776A">
        <w:t>of the ontological entities</w:t>
      </w:r>
      <w:r w:rsidR="00C35AC3" w:rsidRPr="00D9776A">
        <w:t>.</w:t>
      </w:r>
      <w:r w:rsidR="00DE6151" w:rsidRPr="00D9776A">
        <w:t xml:space="preserve"> </w:t>
      </w:r>
      <w:r w:rsidR="00DF0196" w:rsidRPr="00D9776A">
        <w:t>The entities</w:t>
      </w:r>
      <w:r w:rsidR="00DF0196" w:rsidRPr="00815E46">
        <w:t>, however, are not sufficient to fully represent the story contained in</w:t>
      </w:r>
      <w:r w:rsidR="00025645" w:rsidRPr="00815E46">
        <w:t xml:space="preserve"> the report</w:t>
      </w:r>
      <w:r w:rsidR="00844D2F" w:rsidRPr="00815E46">
        <w:t>;</w:t>
      </w:r>
      <w:r w:rsidR="00025645" w:rsidRPr="00815E46">
        <w:t xml:space="preserve"> indeed</w:t>
      </w:r>
      <w:r w:rsidR="00844D2F" w:rsidRPr="00815E46">
        <w:t>,</w:t>
      </w:r>
      <w:r w:rsidR="00025645" w:rsidRPr="00815E46">
        <w:t xml:space="preserve"> words are part of the speech</w:t>
      </w:r>
      <w:r w:rsidR="003227B7" w:rsidRPr="00815E46">
        <w:t xml:space="preserve">, but without </w:t>
      </w:r>
      <w:r w:rsidR="00F7308A" w:rsidRPr="00815E46">
        <w:t xml:space="preserve">any specifications </w:t>
      </w:r>
      <w:r w:rsidR="0053119F" w:rsidRPr="00815E46">
        <w:t xml:space="preserve">it is impossible to </w:t>
      </w:r>
      <w:r w:rsidR="00E33E19" w:rsidRPr="00815E46">
        <w:t xml:space="preserve">understand if they have significant or </w:t>
      </w:r>
      <w:r w:rsidR="00822246" w:rsidRPr="001511B6">
        <w:t>irrelevant</w:t>
      </w:r>
      <w:r w:rsidR="00E33E19" w:rsidRPr="001511B6">
        <w:t xml:space="preserve"> </w:t>
      </w:r>
      <w:r w:rsidR="00ED3272" w:rsidRPr="001511B6">
        <w:t>role in the story</w:t>
      </w:r>
      <w:r w:rsidR="00ED3272" w:rsidRPr="00D9776A">
        <w:t xml:space="preserve">. Thus, the ontological model </w:t>
      </w:r>
      <w:r w:rsidR="00AA6652" w:rsidRPr="00D9776A">
        <w:t>E</w:t>
      </w:r>
      <w:r w:rsidR="00ED3272" w:rsidRPr="00D9776A">
        <w:t xml:space="preserve">sOpIA </w:t>
      </w:r>
      <w:r w:rsidR="00963827" w:rsidRPr="00D9776A">
        <w:t xml:space="preserve">is </w:t>
      </w:r>
      <w:r w:rsidR="00FA6E53" w:rsidRPr="00D9776A">
        <w:t>compounded</w:t>
      </w:r>
      <w:r w:rsidR="00963827" w:rsidRPr="00D9776A">
        <w:t xml:space="preserve"> also by </w:t>
      </w:r>
      <w:r w:rsidR="00AA6652" w:rsidRPr="00D9776A">
        <w:t xml:space="preserve">the </w:t>
      </w:r>
      <w:r w:rsidR="005A3CA6" w:rsidRPr="00D9776A">
        <w:t>following</w:t>
      </w:r>
      <w:r w:rsidR="00963827" w:rsidRPr="00D9776A">
        <w:t xml:space="preserve"> relationships: RELATED_TO</w:t>
      </w:r>
      <w:r w:rsidR="0096292E" w:rsidRPr="00D9776A">
        <w:t xml:space="preserve"> </w:t>
      </w:r>
      <w:r w:rsidR="003551C9" w:rsidRPr="00D9776A">
        <w:t xml:space="preserve">a </w:t>
      </w:r>
      <w:r w:rsidR="0096292E" w:rsidRPr="00D9776A">
        <w:t>generic relation, PART_OF</w:t>
      </w:r>
      <w:r w:rsidR="00FE348B" w:rsidRPr="00D9776A">
        <w:t xml:space="preserve"> </w:t>
      </w:r>
      <w:r w:rsidR="003551C9" w:rsidRPr="00D9776A">
        <w:t xml:space="preserve">a </w:t>
      </w:r>
      <w:r w:rsidR="00FE348B" w:rsidRPr="00D9776A">
        <w:t xml:space="preserve">connection </w:t>
      </w:r>
      <w:r w:rsidR="005248CF" w:rsidRPr="00D9776A">
        <w:t xml:space="preserve">between </w:t>
      </w:r>
      <w:r w:rsidR="00AA2800" w:rsidRPr="00D9776A">
        <w:t xml:space="preserve">entities, </w:t>
      </w:r>
      <w:r w:rsidR="00BB4127" w:rsidRPr="00D9776A">
        <w:t xml:space="preserve">INVOLVES related to a substance, </w:t>
      </w:r>
      <w:r w:rsidR="00A16F15" w:rsidRPr="00D9776A">
        <w:t xml:space="preserve">and CAUSES describing </w:t>
      </w:r>
      <w:r w:rsidR="007A6668" w:rsidRPr="00D9776A">
        <w:t>causal</w:t>
      </w:r>
      <w:r w:rsidR="00A16F15" w:rsidRPr="001511B6">
        <w:t xml:space="preserve"> connections </w:t>
      </w:r>
      <w:r w:rsidR="005248CF" w:rsidRPr="001511B6">
        <w:t xml:space="preserve">between </w:t>
      </w:r>
      <w:r w:rsidR="00A16F15" w:rsidRPr="001511B6">
        <w:t>events.</w:t>
      </w:r>
      <w:r w:rsidR="00DE6151">
        <w:t xml:space="preserve"> </w:t>
      </w:r>
      <w:r w:rsidR="00175A4A" w:rsidRPr="001511B6">
        <w:t>The ML adopted</w:t>
      </w:r>
      <w:r w:rsidR="0089788F" w:rsidRPr="001511B6">
        <w:t>,</w:t>
      </w:r>
      <w:r w:rsidR="00175A4A" w:rsidRPr="001511B6">
        <w:t xml:space="preserve"> </w:t>
      </w:r>
      <w:r w:rsidR="00D1650C" w:rsidRPr="001511B6">
        <w:rPr>
          <w:rFonts w:cs="Arial"/>
        </w:rPr>
        <w:t>©</w:t>
      </w:r>
      <w:r w:rsidR="00D1650C" w:rsidRPr="001511B6">
        <w:t>IBM Watson Knowledge Studio</w:t>
      </w:r>
      <w:r w:rsidR="0089788F" w:rsidRPr="001511B6">
        <w:t>, is</w:t>
      </w:r>
      <w:r w:rsidR="00D1650C" w:rsidRPr="001511B6">
        <w:t xml:space="preserve"> </w:t>
      </w:r>
      <w:r w:rsidR="00175A4A" w:rsidRPr="001511B6">
        <w:t xml:space="preserve">a </w:t>
      </w:r>
      <w:r w:rsidR="00175A4A" w:rsidRPr="001511B6">
        <w:lastRenderedPageBreak/>
        <w:t xml:space="preserve">supervised method; experts </w:t>
      </w:r>
      <w:r w:rsidR="007526CA" w:rsidRPr="001511B6">
        <w:t xml:space="preserve">in Seveso matters </w:t>
      </w:r>
      <w:r w:rsidR="00175A4A" w:rsidRPr="001511B6">
        <w:t xml:space="preserve">trained the system annotating entities and relations in a sample set of </w:t>
      </w:r>
      <w:r w:rsidR="00AB7993" w:rsidRPr="001511B6">
        <w:t>documents (Ansaldi et al 2021)</w:t>
      </w:r>
      <w:r w:rsidR="00175A4A" w:rsidRPr="001511B6">
        <w:t xml:space="preserve">. Annotation is an iterative process that ends when </w:t>
      </w:r>
      <w:r w:rsidR="00D85147" w:rsidRPr="001511B6">
        <w:t>ML</w:t>
      </w:r>
      <w:r w:rsidR="00175A4A" w:rsidRPr="001511B6">
        <w:t xml:space="preserve"> system reaches significant level of learning</w:t>
      </w:r>
      <w:r w:rsidR="009B78FC" w:rsidRPr="001511B6">
        <w:t xml:space="preserve">, </w:t>
      </w:r>
      <w:r w:rsidR="00695093" w:rsidRPr="001511B6">
        <w:t>through</w:t>
      </w:r>
      <w:r w:rsidR="00175A4A" w:rsidRPr="001511B6">
        <w:t xml:space="preserve"> </w:t>
      </w:r>
      <w:r w:rsidR="00D154BE" w:rsidRPr="001511B6">
        <w:t>evaluation of</w:t>
      </w:r>
      <w:r w:rsidR="00175A4A" w:rsidRPr="001511B6">
        <w:t xml:space="preserve"> a few parameters, including precision, recall and measure of predictive performance (F1 score). Thus, this model is deployed and used in EsOpIA archive and search application.</w:t>
      </w:r>
    </w:p>
    <w:p w14:paraId="26ACBA80" w14:textId="52B5F2B6" w:rsidR="008863DF" w:rsidRPr="00767A99" w:rsidRDefault="002119E0" w:rsidP="008863DF">
      <w:pPr>
        <w:pStyle w:val="CETHeading1"/>
        <w:tabs>
          <w:tab w:val="right" w:pos="7100"/>
        </w:tabs>
        <w:jc w:val="both"/>
        <w:rPr>
          <w:lang w:val="it-IT"/>
        </w:rPr>
      </w:pPr>
      <w:r w:rsidRPr="00767A99">
        <w:rPr>
          <w:lang w:val="it-IT"/>
        </w:rPr>
        <w:t>Results</w:t>
      </w:r>
      <w:r w:rsidR="00767A99" w:rsidRPr="00767A99">
        <w:rPr>
          <w:lang w:val="it-IT"/>
        </w:rPr>
        <w:t xml:space="preserve"> </w:t>
      </w:r>
    </w:p>
    <w:p w14:paraId="647CD6C5" w14:textId="0C2336A3" w:rsidR="000F7AF9" w:rsidRPr="00D9776A" w:rsidRDefault="009D42A1" w:rsidP="000F7AF9">
      <w:pPr>
        <w:pStyle w:val="CETBodytext"/>
        <w:rPr>
          <w:strike/>
        </w:rPr>
      </w:pPr>
      <w:r w:rsidRPr="00D9776A">
        <w:t xml:space="preserve">To provide </w:t>
      </w:r>
      <w:r w:rsidR="00EA0429" w:rsidRPr="00D9776A">
        <w:t xml:space="preserve">a comprehensive overview </w:t>
      </w:r>
      <w:r w:rsidRPr="00D9776A">
        <w:t xml:space="preserve">of the Seveso sector </w:t>
      </w:r>
      <w:r w:rsidR="00EA0429" w:rsidRPr="00D9776A">
        <w:t>based on</w:t>
      </w:r>
      <w:r w:rsidRPr="00D9776A">
        <w:t xml:space="preserve"> the near misses collected in EsOpIA, </w:t>
      </w:r>
      <w:r w:rsidR="007E55E6" w:rsidRPr="00D9776A">
        <w:t>the type of event, the critical equipment</w:t>
      </w:r>
      <w:r w:rsidR="00B2235E" w:rsidRPr="00D9776A">
        <w:t xml:space="preserve"> and</w:t>
      </w:r>
      <w:r w:rsidR="007E55E6" w:rsidRPr="00D9776A">
        <w:t xml:space="preserve"> barriers implemented</w:t>
      </w:r>
      <w:r w:rsidR="00B2235E" w:rsidRPr="00D9776A">
        <w:t xml:space="preserve"> have been considered</w:t>
      </w:r>
      <w:r w:rsidR="005248CF" w:rsidRPr="00D9776A">
        <w:t xml:space="preserve">. </w:t>
      </w:r>
      <w:r w:rsidR="006D18B3" w:rsidRPr="00D9776A">
        <w:t>Seven</w:t>
      </w:r>
      <w:r w:rsidR="00E76B74" w:rsidRPr="00D9776A">
        <w:t xml:space="preserve"> macro-sectors have been individuated,</w:t>
      </w:r>
      <w:r w:rsidR="00A23D2F" w:rsidRPr="00D9776A">
        <w:t xml:space="preserve"> starting </w:t>
      </w:r>
      <w:r w:rsidR="005E609A" w:rsidRPr="00D9776A">
        <w:t>from</w:t>
      </w:r>
      <w:r w:rsidR="00A23D2F" w:rsidRPr="00D9776A">
        <w:t xml:space="preserve"> </w:t>
      </w:r>
      <w:r w:rsidR="0086507E" w:rsidRPr="00D9776A">
        <w:t>type</w:t>
      </w:r>
      <w:r w:rsidR="00A23D2F" w:rsidRPr="00D9776A">
        <w:t xml:space="preserve"> of industrial activity defined in Italian Decree</w:t>
      </w:r>
      <w:r w:rsidR="00AB21EB" w:rsidRPr="00D9776A">
        <w:t xml:space="preserve"> </w:t>
      </w:r>
      <w:r w:rsidR="00D75532" w:rsidRPr="00D9776A">
        <w:t>(</w:t>
      </w:r>
      <w:r w:rsidR="00B20456" w:rsidRPr="00D9776A">
        <w:t>S</w:t>
      </w:r>
      <w:r w:rsidR="00D75532" w:rsidRPr="00D9776A">
        <w:t xml:space="preserve">ection </w:t>
      </w:r>
      <w:r w:rsidR="001764D0" w:rsidRPr="00D9776A">
        <w:t>4</w:t>
      </w:r>
      <w:r w:rsidR="00D75532" w:rsidRPr="00D9776A">
        <w:t>.1)</w:t>
      </w:r>
      <w:r w:rsidR="00465D5E" w:rsidRPr="00D9776A">
        <w:t xml:space="preserve">; </w:t>
      </w:r>
      <w:r w:rsidR="00D75532" w:rsidRPr="00D9776A">
        <w:t xml:space="preserve">for each macro-sector, the main events closely related to a potential </w:t>
      </w:r>
      <w:r w:rsidR="00465D5E" w:rsidRPr="00D9776A">
        <w:t>accident</w:t>
      </w:r>
      <w:r w:rsidR="00D75532" w:rsidRPr="00D9776A">
        <w:t xml:space="preserve"> </w:t>
      </w:r>
      <w:r w:rsidR="00465D5E" w:rsidRPr="00D9776A">
        <w:t>have been</w:t>
      </w:r>
      <w:r w:rsidR="00D75532" w:rsidRPr="00D9776A">
        <w:t xml:space="preserve"> </w:t>
      </w:r>
      <w:r w:rsidR="00D3151F" w:rsidRPr="00D9776A">
        <w:t>researched</w:t>
      </w:r>
      <w:r w:rsidR="00D75532" w:rsidRPr="00D9776A">
        <w:t xml:space="preserve"> (</w:t>
      </w:r>
      <w:r w:rsidR="00B20456" w:rsidRPr="00D9776A">
        <w:t>S</w:t>
      </w:r>
      <w:r w:rsidR="00D75532" w:rsidRPr="00D9776A">
        <w:t xml:space="preserve">ection </w:t>
      </w:r>
      <w:r w:rsidR="001764D0" w:rsidRPr="00D9776A">
        <w:t>4</w:t>
      </w:r>
      <w:r w:rsidR="00D75532" w:rsidRPr="00D9776A">
        <w:t xml:space="preserve">.2). For equipment, a detailed search on tanks and pipelines </w:t>
      </w:r>
      <w:r w:rsidR="00EC5D42" w:rsidRPr="00D9776A">
        <w:t xml:space="preserve">has been conducted </w:t>
      </w:r>
      <w:r w:rsidR="00D75532" w:rsidRPr="00D9776A">
        <w:t>(</w:t>
      </w:r>
      <w:r w:rsidR="00B20456" w:rsidRPr="00D9776A">
        <w:t>S</w:t>
      </w:r>
      <w:r w:rsidR="00D75532" w:rsidRPr="00D9776A">
        <w:t xml:space="preserve">ection </w:t>
      </w:r>
      <w:r w:rsidR="00C8350C" w:rsidRPr="00D9776A">
        <w:t>4</w:t>
      </w:r>
      <w:r w:rsidR="00D75532" w:rsidRPr="00D9776A">
        <w:t>.3).</w:t>
      </w:r>
      <w:r w:rsidR="00D30E7B" w:rsidRPr="00D9776A">
        <w:t xml:space="preserve"> </w:t>
      </w:r>
      <w:r w:rsidR="00D30E7B" w:rsidRPr="00D9776A">
        <w:rPr>
          <w:lang w:val="en-GB"/>
        </w:rPr>
        <w:t xml:space="preserve">One of EsOpIA’s peculiarities is the automatic recognition of relationships </w:t>
      </w:r>
      <w:r w:rsidR="005248CF" w:rsidRPr="00D9776A">
        <w:t xml:space="preserve">among </w:t>
      </w:r>
      <w:r w:rsidR="00D30E7B" w:rsidRPr="00D9776A">
        <w:rPr>
          <w:lang w:val="en-GB"/>
        </w:rPr>
        <w:t>entities, particularly the cause relationship (CAUSES) allows user to extract what caused an event</w:t>
      </w:r>
      <w:r w:rsidR="00D5720A" w:rsidRPr="00D9776A">
        <w:rPr>
          <w:lang w:val="en-GB"/>
        </w:rPr>
        <w:t xml:space="preserve">, an example has been reported in </w:t>
      </w:r>
      <w:r w:rsidR="00C8350C" w:rsidRPr="00D9776A">
        <w:rPr>
          <w:lang w:val="en-GB"/>
        </w:rPr>
        <w:t>S</w:t>
      </w:r>
      <w:r w:rsidR="00D5720A" w:rsidRPr="00D9776A">
        <w:rPr>
          <w:lang w:val="en-GB"/>
        </w:rPr>
        <w:t xml:space="preserve">ection </w:t>
      </w:r>
      <w:r w:rsidR="00C8350C" w:rsidRPr="00D9776A">
        <w:rPr>
          <w:lang w:val="en-GB"/>
        </w:rPr>
        <w:t>4</w:t>
      </w:r>
      <w:r w:rsidR="00D5720A" w:rsidRPr="00D9776A">
        <w:rPr>
          <w:lang w:val="en-GB"/>
        </w:rPr>
        <w:t>.4.</w:t>
      </w:r>
      <w:r w:rsidR="00E73D8B" w:rsidRPr="00D9776A">
        <w:t xml:space="preserve"> </w:t>
      </w:r>
      <w:r w:rsidR="000D3724" w:rsidRPr="00D9776A">
        <w:t xml:space="preserve">The search </w:t>
      </w:r>
      <w:r w:rsidR="00FC0F18" w:rsidRPr="00D9776A">
        <w:t>has been</w:t>
      </w:r>
      <w:r w:rsidR="000D3724" w:rsidRPr="00D9776A">
        <w:t xml:space="preserve"> conducted in natural language. </w:t>
      </w:r>
      <w:r w:rsidR="00AD67D3" w:rsidRPr="00D9776A">
        <w:t xml:space="preserve">From </w:t>
      </w:r>
      <w:r w:rsidR="000D3724" w:rsidRPr="00D9776A">
        <w:t xml:space="preserve">the total </w:t>
      </w:r>
      <w:r w:rsidR="00FC0F18" w:rsidRPr="00D9776A">
        <w:t xml:space="preserve">returned </w:t>
      </w:r>
      <w:r w:rsidR="000D3724" w:rsidRPr="00D9776A">
        <w:t xml:space="preserve">documents, only those classified as </w:t>
      </w:r>
      <w:r w:rsidR="006A0938" w:rsidRPr="00D9776A">
        <w:t>“N</w:t>
      </w:r>
      <w:r w:rsidR="000D3724" w:rsidRPr="00D9776A">
        <w:t xml:space="preserve">ear </w:t>
      </w:r>
      <w:r w:rsidR="006A0938" w:rsidRPr="00D9776A">
        <w:t>Miss”</w:t>
      </w:r>
      <w:r w:rsidR="008E2D4B" w:rsidRPr="00D9776A">
        <w:t xml:space="preserve"> (i.e. OE reports)</w:t>
      </w:r>
      <w:r w:rsidR="000D3724" w:rsidRPr="00D9776A">
        <w:t xml:space="preserve"> </w:t>
      </w:r>
      <w:r w:rsidR="006A0938" w:rsidRPr="00D9776A">
        <w:t>have been</w:t>
      </w:r>
      <w:r w:rsidR="000D3724" w:rsidRPr="00D9776A">
        <w:t xml:space="preserve"> considered, applying the</w:t>
      </w:r>
      <w:r w:rsidR="00F500A7" w:rsidRPr="00D9776A">
        <w:t xml:space="preserve"> </w:t>
      </w:r>
      <w:r w:rsidR="000D3724" w:rsidRPr="00D9776A">
        <w:t>filter on document type</w:t>
      </w:r>
      <w:r w:rsidR="00D9776A" w:rsidRPr="00D9776A">
        <w:t>.</w:t>
      </w:r>
      <w:r w:rsidR="00AE6D9C" w:rsidRPr="00D9776A">
        <w:t xml:space="preserve"> </w:t>
      </w:r>
    </w:p>
    <w:p w14:paraId="04963A06" w14:textId="7609C9E0" w:rsidR="00600535" w:rsidRPr="005B68E2" w:rsidRDefault="00A109E8" w:rsidP="00FB748E">
      <w:pPr>
        <w:pStyle w:val="CETheadingx"/>
      </w:pPr>
      <w:r w:rsidRPr="005B68E2">
        <w:t xml:space="preserve">Seveso </w:t>
      </w:r>
      <w:r w:rsidRPr="00D9776A">
        <w:t>establishments</w:t>
      </w:r>
      <w:r w:rsidR="00A13D93" w:rsidRPr="00D9776A">
        <w:t xml:space="preserve"> </w:t>
      </w:r>
      <w:r w:rsidR="00C35DBD" w:rsidRPr="00D9776A">
        <w:t xml:space="preserve">and documents </w:t>
      </w:r>
      <w:r w:rsidR="00A13D93" w:rsidRPr="005B68E2">
        <w:t>in EsOpIA</w:t>
      </w:r>
      <w:r w:rsidR="0055464B" w:rsidRPr="005B68E2">
        <w:t xml:space="preserve"> </w:t>
      </w:r>
    </w:p>
    <w:p w14:paraId="67903FB9" w14:textId="325DED8C" w:rsidR="00344C08" w:rsidRPr="00536B4D" w:rsidRDefault="00F43B67" w:rsidP="00B946EB">
      <w:pPr>
        <w:pStyle w:val="CETBodytext"/>
        <w:rPr>
          <w:color w:val="000000" w:themeColor="text1"/>
        </w:rPr>
      </w:pPr>
      <w:r w:rsidRPr="00D9776A">
        <w:t>In Italian Seveso legislation</w:t>
      </w:r>
      <w:r w:rsidR="0018675B" w:rsidRPr="00D9776A">
        <w:t xml:space="preserve"> (Annex V)</w:t>
      </w:r>
      <w:r w:rsidR="001D178C" w:rsidRPr="00D9776A">
        <w:t xml:space="preserve"> </w:t>
      </w:r>
      <w:r w:rsidR="001325D0" w:rsidRPr="00D9776A">
        <w:t>39</w:t>
      </w:r>
      <w:r w:rsidR="001D178C" w:rsidRPr="00D9776A">
        <w:t xml:space="preserve"> industrial </w:t>
      </w:r>
      <w:r w:rsidR="005E7900" w:rsidRPr="00D9776A">
        <w:t>typ</w:t>
      </w:r>
      <w:r w:rsidR="0018675B" w:rsidRPr="00D9776A">
        <w:t>ologies</w:t>
      </w:r>
      <w:r w:rsidR="001D178C" w:rsidRPr="00D9776A">
        <w:t xml:space="preserve"> are defined</w:t>
      </w:r>
      <w:r w:rsidR="00F90F92" w:rsidRPr="00D9776A">
        <w:t>;</w:t>
      </w:r>
      <w:r w:rsidR="00A55E3D" w:rsidRPr="00D9776A">
        <w:t xml:space="preserve"> however</w:t>
      </w:r>
      <w:r w:rsidR="00F90F92" w:rsidRPr="00D9776A">
        <w:t>,</w:t>
      </w:r>
      <w:r w:rsidR="006F76D6" w:rsidRPr="00D9776A">
        <w:t xml:space="preserve"> some affinities </w:t>
      </w:r>
      <w:r w:rsidR="00F85C56" w:rsidRPr="00D9776A">
        <w:t>among</w:t>
      </w:r>
      <w:r w:rsidR="006F76D6" w:rsidRPr="00D9776A">
        <w:t xml:space="preserve"> </w:t>
      </w:r>
      <w:r w:rsidR="00750323" w:rsidRPr="00D9776A">
        <w:t>them exist, thus</w:t>
      </w:r>
      <w:r w:rsidR="00A93B78" w:rsidRPr="00D9776A">
        <w:t>,</w:t>
      </w:r>
      <w:r w:rsidR="006E2BDF" w:rsidRPr="00D9776A">
        <w:t xml:space="preserve"> the authors grouped them</w:t>
      </w:r>
      <w:r w:rsidR="00A93B78" w:rsidRPr="00D9776A">
        <w:t xml:space="preserve"> into </w:t>
      </w:r>
      <w:r w:rsidR="003F06C5" w:rsidRPr="00D9776A">
        <w:t xml:space="preserve"> 7</w:t>
      </w:r>
      <w:r w:rsidR="00750323" w:rsidRPr="00D9776A">
        <w:t xml:space="preserve"> macro</w:t>
      </w:r>
      <w:r w:rsidR="00D976D5" w:rsidRPr="00D9776A">
        <w:t xml:space="preserve">-sectors </w:t>
      </w:r>
      <w:r w:rsidR="00105656" w:rsidRPr="00D9776A">
        <w:t>(MS</w:t>
      </w:r>
      <w:r w:rsidR="00952C02" w:rsidRPr="00D9776A">
        <w:t>s</w:t>
      </w:r>
      <w:r w:rsidR="00105656" w:rsidRPr="00D9776A">
        <w:t>)</w:t>
      </w:r>
      <w:r w:rsidR="0089256D" w:rsidRPr="00D9776A">
        <w:t xml:space="preserve">. </w:t>
      </w:r>
      <w:r w:rsidR="00ED7F14" w:rsidRPr="00D9776A">
        <w:t xml:space="preserve">In </w:t>
      </w:r>
      <w:r w:rsidR="00A4125B" w:rsidRPr="00D9776A">
        <w:t>MS1</w:t>
      </w:r>
      <w:r w:rsidR="00ED7F14" w:rsidRPr="00D9776A">
        <w:t xml:space="preserve"> </w:t>
      </w:r>
      <w:r w:rsidR="00A4125B" w:rsidRPr="00D9776A">
        <w:t>metal processing and trea</w:t>
      </w:r>
      <w:r w:rsidR="00556735" w:rsidRPr="00D9776A">
        <w:t>tment</w:t>
      </w:r>
      <w:r w:rsidR="00ED7F14" w:rsidRPr="00D9776A">
        <w:t xml:space="preserve"> </w:t>
      </w:r>
      <w:r w:rsidR="00053709" w:rsidRPr="00D9776A">
        <w:t xml:space="preserve">have been considered; </w:t>
      </w:r>
      <w:r w:rsidR="00B03692" w:rsidRPr="00D9776A">
        <w:t>MS</w:t>
      </w:r>
      <w:r w:rsidR="00053709" w:rsidRPr="00D9776A">
        <w:t>2</w:t>
      </w:r>
      <w:r w:rsidR="00B03692" w:rsidRPr="00D9776A">
        <w:t xml:space="preserve"> </w:t>
      </w:r>
      <w:r w:rsidR="005A00B0" w:rsidRPr="00D9776A">
        <w:t xml:space="preserve">refers to the </w:t>
      </w:r>
      <w:r w:rsidR="00786E46" w:rsidRPr="00D9776A">
        <w:t xml:space="preserve">industrial activities involving oil and </w:t>
      </w:r>
      <w:r w:rsidR="00ED7588" w:rsidRPr="00D9776A">
        <w:t>petroleum products, MS</w:t>
      </w:r>
      <w:r w:rsidR="009A0303" w:rsidRPr="00D9776A">
        <w:t>3</w:t>
      </w:r>
      <w:r w:rsidR="00ED7588" w:rsidRPr="00D9776A">
        <w:t xml:space="preserve"> </w:t>
      </w:r>
      <w:r w:rsidR="00192C86" w:rsidRPr="00D9776A">
        <w:t xml:space="preserve">describes </w:t>
      </w:r>
      <w:r w:rsidR="00D4401E" w:rsidRPr="00D9776A">
        <w:t xml:space="preserve">activities </w:t>
      </w:r>
      <w:r w:rsidR="00FC5902" w:rsidRPr="00D9776A">
        <w:t xml:space="preserve">working with chemicals </w:t>
      </w:r>
      <w:r w:rsidR="00F218E7" w:rsidRPr="00D9776A">
        <w:t>and related</w:t>
      </w:r>
      <w:r w:rsidR="00FC5902" w:rsidRPr="00D9776A">
        <w:t xml:space="preserve"> products,</w:t>
      </w:r>
      <w:r w:rsidR="00A1459E" w:rsidRPr="00D9776A">
        <w:t xml:space="preserve"> LPG/LNG</w:t>
      </w:r>
      <w:r w:rsidR="004751A2" w:rsidRPr="00D9776A">
        <w:t xml:space="preserve"> are </w:t>
      </w:r>
      <w:r w:rsidR="00CB38F8" w:rsidRPr="00D9776A">
        <w:t>collocated in MS4</w:t>
      </w:r>
      <w:r w:rsidR="00E82C62" w:rsidRPr="00D9776A">
        <w:t xml:space="preserve">,  </w:t>
      </w:r>
      <w:r w:rsidR="00F13732" w:rsidRPr="00D9776A">
        <w:t>MS</w:t>
      </w:r>
      <w:r w:rsidR="002149A4" w:rsidRPr="00D9776A">
        <w:t>5</w:t>
      </w:r>
      <w:r w:rsidR="009E304A" w:rsidRPr="00D9776A">
        <w:t xml:space="preserve"> </w:t>
      </w:r>
      <w:r w:rsidR="003528ED" w:rsidRPr="00D9776A">
        <w:t xml:space="preserve">macro-sector </w:t>
      </w:r>
      <w:r w:rsidR="006E76F3" w:rsidRPr="00D9776A">
        <w:t>involve</w:t>
      </w:r>
      <w:r w:rsidR="003528ED" w:rsidRPr="00D9776A">
        <w:t>s</w:t>
      </w:r>
      <w:r w:rsidR="006E76F3" w:rsidRPr="00D9776A">
        <w:t xml:space="preserve"> explosives and pyrotech</w:t>
      </w:r>
      <w:r w:rsidR="009E304A" w:rsidRPr="00D9776A">
        <w:t>nical goods</w:t>
      </w:r>
      <w:r w:rsidR="003528ED" w:rsidRPr="00D9776A">
        <w:t>, MS</w:t>
      </w:r>
      <w:r w:rsidR="002149A4" w:rsidRPr="00D9776A">
        <w:t>6</w:t>
      </w:r>
      <w:r w:rsidR="003528ED" w:rsidRPr="00D9776A">
        <w:t xml:space="preserve"> </w:t>
      </w:r>
      <w:r w:rsidR="00592503" w:rsidRPr="00D9776A">
        <w:t>deal</w:t>
      </w:r>
      <w:r w:rsidR="0038082B" w:rsidRPr="00D9776A">
        <w:t>s</w:t>
      </w:r>
      <w:r w:rsidR="00592503" w:rsidRPr="00D9776A">
        <w:t xml:space="preserve"> with </w:t>
      </w:r>
      <w:r w:rsidR="00BE4AB7" w:rsidRPr="00D9776A">
        <w:t xml:space="preserve">waste management and </w:t>
      </w:r>
      <w:r w:rsidR="000951A0" w:rsidRPr="00D9776A">
        <w:t>MS</w:t>
      </w:r>
      <w:r w:rsidR="0038082B" w:rsidRPr="00D9776A">
        <w:t>7</w:t>
      </w:r>
      <w:r w:rsidR="000951A0" w:rsidRPr="00D9776A">
        <w:t xml:space="preserve"> refers to activities not considered in the previous sectors, including the "Other" item indicated </w:t>
      </w:r>
      <w:r w:rsidR="0038082B" w:rsidRPr="00D9776A">
        <w:t>by</w:t>
      </w:r>
      <w:r w:rsidR="000951A0" w:rsidRPr="00D9776A">
        <w:t xml:space="preserve"> the </w:t>
      </w:r>
      <w:r w:rsidR="001263C8" w:rsidRPr="00D9776A">
        <w:t>D</w:t>
      </w:r>
      <w:r w:rsidR="000951A0" w:rsidRPr="00D9776A">
        <w:t>ecree.</w:t>
      </w:r>
      <w:r w:rsidR="00FB3E99" w:rsidRPr="00D9776A">
        <w:t xml:space="preserve"> </w:t>
      </w:r>
      <w:r w:rsidR="0039758C" w:rsidRPr="008E5D5B">
        <w:t xml:space="preserve">Table1 </w:t>
      </w:r>
      <w:r w:rsidR="00A66715" w:rsidRPr="008E5D5B">
        <w:t xml:space="preserve">provides an overview of the </w:t>
      </w:r>
      <w:r w:rsidR="00EB6FFD" w:rsidRPr="008E5D5B">
        <w:t xml:space="preserve">establishments </w:t>
      </w:r>
      <w:r w:rsidR="000221A7" w:rsidRPr="008E5D5B">
        <w:t>and the</w:t>
      </w:r>
      <w:r w:rsidR="002F73AA" w:rsidRPr="008E5D5B">
        <w:t>ir</w:t>
      </w:r>
      <w:r w:rsidR="000221A7" w:rsidRPr="008E5D5B">
        <w:t xml:space="preserve"> OE</w:t>
      </w:r>
      <w:r w:rsidR="000429F8" w:rsidRPr="008E5D5B">
        <w:t>’s reports</w:t>
      </w:r>
      <w:r w:rsidR="000221A7" w:rsidRPr="008E5D5B">
        <w:t xml:space="preserve"> </w:t>
      </w:r>
      <w:r w:rsidR="001A53D9" w:rsidRPr="008E5D5B">
        <w:t xml:space="preserve">in </w:t>
      </w:r>
      <w:r w:rsidR="001A53D9" w:rsidRPr="00536B4D">
        <w:rPr>
          <w:color w:val="000000" w:themeColor="text1"/>
        </w:rPr>
        <w:t xml:space="preserve">EsOpIA. </w:t>
      </w:r>
      <w:r w:rsidR="006A53E3" w:rsidRPr="00536B4D">
        <w:rPr>
          <w:color w:val="000000" w:themeColor="text1"/>
        </w:rPr>
        <w:t xml:space="preserve">For each MS, </w:t>
      </w:r>
      <w:r w:rsidR="006D173C" w:rsidRPr="00536B4D">
        <w:rPr>
          <w:color w:val="000000" w:themeColor="text1"/>
        </w:rPr>
        <w:t>it</w:t>
      </w:r>
      <w:r w:rsidR="00BC5EBE" w:rsidRPr="00536B4D">
        <w:rPr>
          <w:color w:val="000000" w:themeColor="text1"/>
        </w:rPr>
        <w:t xml:space="preserve"> </w:t>
      </w:r>
      <w:r w:rsidR="0039758C" w:rsidRPr="00536B4D">
        <w:rPr>
          <w:color w:val="000000" w:themeColor="text1"/>
        </w:rPr>
        <w:t>shows</w:t>
      </w:r>
      <w:r w:rsidR="00683C47" w:rsidRPr="00536B4D">
        <w:rPr>
          <w:color w:val="000000" w:themeColor="text1"/>
        </w:rPr>
        <w:t>:</w:t>
      </w:r>
      <w:r w:rsidR="00E86B1A" w:rsidRPr="00536B4D">
        <w:rPr>
          <w:color w:val="000000" w:themeColor="text1"/>
        </w:rPr>
        <w:t xml:space="preserve"> </w:t>
      </w:r>
      <w:r w:rsidR="0039758C" w:rsidRPr="00536B4D">
        <w:rPr>
          <w:color w:val="000000" w:themeColor="text1"/>
        </w:rPr>
        <w:t xml:space="preserve">the types of industrial activities </w:t>
      </w:r>
      <w:r w:rsidR="00666BD5" w:rsidRPr="00536B4D">
        <w:rPr>
          <w:color w:val="000000" w:themeColor="text1"/>
        </w:rPr>
        <w:t xml:space="preserve">as </w:t>
      </w:r>
      <w:r w:rsidR="0039758C" w:rsidRPr="00536B4D">
        <w:rPr>
          <w:color w:val="000000" w:themeColor="text1"/>
        </w:rPr>
        <w:t xml:space="preserve">described in Annex V of Italian </w:t>
      </w:r>
      <w:r w:rsidR="000907B3" w:rsidRPr="00536B4D">
        <w:rPr>
          <w:color w:val="000000" w:themeColor="text1"/>
        </w:rPr>
        <w:t>Decree (second column)</w:t>
      </w:r>
      <w:r w:rsidR="005A0A43" w:rsidRPr="00536B4D">
        <w:rPr>
          <w:color w:val="000000" w:themeColor="text1"/>
        </w:rPr>
        <w:t>;</w:t>
      </w:r>
      <w:r w:rsidR="00344C08" w:rsidRPr="00536B4D">
        <w:rPr>
          <w:color w:val="000000" w:themeColor="text1"/>
        </w:rPr>
        <w:t xml:space="preserve"> </w:t>
      </w:r>
      <w:r w:rsidR="00683C47" w:rsidRPr="00536B4D">
        <w:rPr>
          <w:color w:val="000000" w:themeColor="text1"/>
        </w:rPr>
        <w:t>the total of</w:t>
      </w:r>
      <w:r w:rsidR="004F1196" w:rsidRPr="00536B4D">
        <w:rPr>
          <w:color w:val="000000" w:themeColor="text1"/>
        </w:rPr>
        <w:t xml:space="preserve"> </w:t>
      </w:r>
      <w:r w:rsidR="00583438" w:rsidRPr="00536B4D">
        <w:rPr>
          <w:color w:val="000000" w:themeColor="text1"/>
        </w:rPr>
        <w:t xml:space="preserve">upper tier </w:t>
      </w:r>
      <w:r w:rsidR="004F1196" w:rsidRPr="00536B4D">
        <w:rPr>
          <w:color w:val="000000" w:themeColor="text1"/>
        </w:rPr>
        <w:t xml:space="preserve">establishments </w:t>
      </w:r>
      <w:r w:rsidR="00637A7A" w:rsidRPr="00536B4D">
        <w:rPr>
          <w:color w:val="000000" w:themeColor="text1"/>
        </w:rPr>
        <w:t>in Es</w:t>
      </w:r>
      <w:r w:rsidR="006A5687" w:rsidRPr="00536B4D">
        <w:rPr>
          <w:color w:val="000000" w:themeColor="text1"/>
        </w:rPr>
        <w:t>OpIA and</w:t>
      </w:r>
      <w:r w:rsidR="00446130" w:rsidRPr="00536B4D">
        <w:rPr>
          <w:color w:val="000000" w:themeColor="text1"/>
        </w:rPr>
        <w:t>, in brackets,</w:t>
      </w:r>
      <w:r w:rsidR="00DA14C4" w:rsidRPr="00536B4D">
        <w:rPr>
          <w:color w:val="000000" w:themeColor="text1"/>
        </w:rPr>
        <w:t xml:space="preserve"> the number of</w:t>
      </w:r>
      <w:r w:rsidR="00446130" w:rsidRPr="00536B4D">
        <w:rPr>
          <w:color w:val="000000" w:themeColor="text1"/>
        </w:rPr>
        <w:t xml:space="preserve"> </w:t>
      </w:r>
      <w:r w:rsidR="006A5687" w:rsidRPr="00536B4D">
        <w:rPr>
          <w:color w:val="000000" w:themeColor="text1"/>
        </w:rPr>
        <w:t>t</w:t>
      </w:r>
      <w:r w:rsidR="005E4079" w:rsidRPr="00536B4D">
        <w:rPr>
          <w:color w:val="000000" w:themeColor="text1"/>
        </w:rPr>
        <w:t xml:space="preserve">hose </w:t>
      </w:r>
      <w:r w:rsidR="000B520E" w:rsidRPr="00536B4D">
        <w:rPr>
          <w:color w:val="000000" w:themeColor="text1"/>
        </w:rPr>
        <w:t xml:space="preserve">ones </w:t>
      </w:r>
      <w:r w:rsidR="005E4079" w:rsidRPr="00536B4D">
        <w:rPr>
          <w:color w:val="000000" w:themeColor="text1"/>
        </w:rPr>
        <w:t>notified according to Italian legislation</w:t>
      </w:r>
      <w:r w:rsidR="000907B3" w:rsidRPr="00536B4D">
        <w:rPr>
          <w:color w:val="000000" w:themeColor="text1"/>
        </w:rPr>
        <w:t xml:space="preserve"> (third column)</w:t>
      </w:r>
      <w:r w:rsidR="00F16EC6" w:rsidRPr="00536B4D">
        <w:rPr>
          <w:color w:val="000000" w:themeColor="text1"/>
        </w:rPr>
        <w:t xml:space="preserve"> according to internet Seveso Port</w:t>
      </w:r>
      <w:r w:rsidR="000921A5" w:rsidRPr="00536B4D">
        <w:rPr>
          <w:color w:val="000000" w:themeColor="text1"/>
        </w:rPr>
        <w:t>al</w:t>
      </w:r>
      <w:r w:rsidR="00AA2C5E" w:rsidRPr="00536B4D">
        <w:rPr>
          <w:color w:val="000000" w:themeColor="text1"/>
        </w:rPr>
        <w:t xml:space="preserve">; </w:t>
      </w:r>
      <w:r w:rsidR="007364A8" w:rsidRPr="00536B4D">
        <w:rPr>
          <w:color w:val="000000" w:themeColor="text1"/>
        </w:rPr>
        <w:t>the to</w:t>
      </w:r>
      <w:r w:rsidR="00D80FAF" w:rsidRPr="00536B4D">
        <w:rPr>
          <w:color w:val="000000" w:themeColor="text1"/>
        </w:rPr>
        <w:t>t</w:t>
      </w:r>
      <w:r w:rsidR="007364A8" w:rsidRPr="00536B4D">
        <w:rPr>
          <w:color w:val="000000" w:themeColor="text1"/>
        </w:rPr>
        <w:t>al of OE documents stored</w:t>
      </w:r>
      <w:r w:rsidR="00E457B7" w:rsidRPr="00536B4D">
        <w:rPr>
          <w:color w:val="000000" w:themeColor="text1"/>
        </w:rPr>
        <w:t xml:space="preserve"> in </w:t>
      </w:r>
      <w:r w:rsidR="00F01FDC" w:rsidRPr="00536B4D">
        <w:rPr>
          <w:color w:val="000000" w:themeColor="text1"/>
        </w:rPr>
        <w:t>EsOpIA (fifth column)</w:t>
      </w:r>
      <w:r w:rsidR="00E457B7" w:rsidRPr="00536B4D">
        <w:rPr>
          <w:color w:val="000000" w:themeColor="text1"/>
        </w:rPr>
        <w:t xml:space="preserve">. The percentage contribution of establishments </w:t>
      </w:r>
      <w:r w:rsidR="003252CD" w:rsidRPr="00536B4D">
        <w:rPr>
          <w:color w:val="000000" w:themeColor="text1"/>
        </w:rPr>
        <w:t xml:space="preserve">in EsOpIA </w:t>
      </w:r>
      <w:r w:rsidR="00E457B7" w:rsidRPr="00536B4D">
        <w:rPr>
          <w:color w:val="000000" w:themeColor="text1"/>
        </w:rPr>
        <w:t>and EO documents is indicated in columns 4 and 6 respectively.</w:t>
      </w:r>
    </w:p>
    <w:p w14:paraId="19B7EFA7" w14:textId="77777777" w:rsidR="002D064D" w:rsidRPr="00536B4D" w:rsidRDefault="002D064D" w:rsidP="00B946EB">
      <w:pPr>
        <w:pStyle w:val="CETBodytext"/>
        <w:rPr>
          <w:color w:val="000000" w:themeColor="text1"/>
        </w:rPr>
      </w:pPr>
    </w:p>
    <w:tbl>
      <w:tblPr>
        <w:tblpPr w:leftFromText="141" w:rightFromText="141" w:vertAnchor="text" w:horzAnchor="margin" w:tblpY="278"/>
        <w:tblW w:w="864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09"/>
        <w:gridCol w:w="3119"/>
        <w:gridCol w:w="1559"/>
        <w:gridCol w:w="1276"/>
        <w:gridCol w:w="1134"/>
        <w:gridCol w:w="850"/>
      </w:tblGrid>
      <w:tr w:rsidR="00217BCD" w:rsidRPr="00B57B36" w14:paraId="4500318B" w14:textId="77777777" w:rsidTr="00FE27B6">
        <w:trPr>
          <w:trHeight w:val="453"/>
        </w:trPr>
        <w:tc>
          <w:tcPr>
            <w:tcW w:w="709" w:type="dxa"/>
            <w:tcBorders>
              <w:top w:val="single" w:sz="12" w:space="0" w:color="008000"/>
              <w:bottom w:val="single" w:sz="6" w:space="0" w:color="008000"/>
            </w:tcBorders>
            <w:shd w:val="clear" w:color="auto" w:fill="FFFFFF"/>
          </w:tcPr>
          <w:p w14:paraId="7C36EA32" w14:textId="1C144C6A" w:rsidR="00217BCD" w:rsidRDefault="006265BF" w:rsidP="00FE27B6">
            <w:pPr>
              <w:pStyle w:val="CETBodytext"/>
              <w:rPr>
                <w:lang w:val="en-GB"/>
              </w:rPr>
            </w:pPr>
            <w:r>
              <w:rPr>
                <w:lang w:val="en-GB"/>
              </w:rPr>
              <w:t>MS</w:t>
            </w:r>
          </w:p>
        </w:tc>
        <w:tc>
          <w:tcPr>
            <w:tcW w:w="3119" w:type="dxa"/>
            <w:tcBorders>
              <w:top w:val="single" w:sz="12" w:space="0" w:color="008000"/>
              <w:bottom w:val="single" w:sz="6" w:space="0" w:color="008000"/>
            </w:tcBorders>
            <w:shd w:val="clear" w:color="auto" w:fill="FFFFFF"/>
          </w:tcPr>
          <w:p w14:paraId="61C3841C" w14:textId="77777777" w:rsidR="00217BCD" w:rsidRDefault="00217BCD" w:rsidP="00FE27B6">
            <w:pPr>
              <w:pStyle w:val="CETBodytext"/>
              <w:rPr>
                <w:lang w:val="en-GB"/>
              </w:rPr>
            </w:pPr>
            <w:r>
              <w:rPr>
                <w:lang w:val="en-GB"/>
              </w:rPr>
              <w:t>Macro-sector</w:t>
            </w:r>
            <w:r w:rsidRPr="00B57B36">
              <w:rPr>
                <w:lang w:val="en-GB"/>
              </w:rPr>
              <w:t xml:space="preserve"> </w:t>
            </w:r>
          </w:p>
          <w:p w14:paraId="24B0216E" w14:textId="77777777" w:rsidR="00217BCD" w:rsidRPr="0023463C" w:rsidRDefault="00217BCD" w:rsidP="00FE27B6">
            <w:pPr>
              <w:pStyle w:val="CETBodytext"/>
              <w:rPr>
                <w:sz w:val="12"/>
                <w:szCs w:val="12"/>
                <w:lang w:val="en-GB"/>
              </w:rPr>
            </w:pPr>
            <w:r w:rsidRPr="0023463C">
              <w:rPr>
                <w:rFonts w:cs="Arial"/>
                <w:sz w:val="12"/>
                <w:szCs w:val="12"/>
                <w:lang w:val="en-GB"/>
              </w:rPr>
              <w:t>(Activities in Annex V Decree 105/2015)</w:t>
            </w:r>
          </w:p>
        </w:tc>
        <w:tc>
          <w:tcPr>
            <w:tcW w:w="1559" w:type="dxa"/>
            <w:tcBorders>
              <w:top w:val="single" w:sz="12" w:space="0" w:color="008000"/>
              <w:bottom w:val="single" w:sz="6" w:space="0" w:color="008000"/>
            </w:tcBorders>
            <w:shd w:val="clear" w:color="auto" w:fill="FFFFFF"/>
          </w:tcPr>
          <w:p w14:paraId="13FF4B16" w14:textId="77777777" w:rsidR="00217BCD" w:rsidRDefault="00217BCD" w:rsidP="00FE27B6">
            <w:pPr>
              <w:pStyle w:val="CETBodytext"/>
              <w:rPr>
                <w:lang w:val="en-GB"/>
              </w:rPr>
            </w:pPr>
            <w:r w:rsidRPr="00DA7384">
              <w:rPr>
                <w:lang w:val="en-GB"/>
              </w:rPr>
              <w:t>EsOpIA’s</w:t>
            </w:r>
          </w:p>
          <w:p w14:paraId="43F04177" w14:textId="77777777" w:rsidR="00217BCD" w:rsidRPr="00DA7384" w:rsidRDefault="00217BCD" w:rsidP="00FE27B6">
            <w:pPr>
              <w:pStyle w:val="CETBodytext"/>
              <w:rPr>
                <w:lang w:val="en-GB"/>
              </w:rPr>
            </w:pPr>
            <w:r w:rsidRPr="00DA7384">
              <w:rPr>
                <w:lang w:val="en-GB"/>
              </w:rPr>
              <w:t>establishments</w:t>
            </w:r>
          </w:p>
        </w:tc>
        <w:tc>
          <w:tcPr>
            <w:tcW w:w="1276" w:type="dxa"/>
            <w:tcBorders>
              <w:top w:val="single" w:sz="12" w:space="0" w:color="008000"/>
              <w:bottom w:val="single" w:sz="6" w:space="0" w:color="008000"/>
            </w:tcBorders>
            <w:shd w:val="clear" w:color="auto" w:fill="FFFFFF"/>
          </w:tcPr>
          <w:p w14:paraId="730C4E17" w14:textId="77777777" w:rsidR="00217BCD" w:rsidRDefault="00217BCD" w:rsidP="00FE27B6">
            <w:pPr>
              <w:pStyle w:val="CETBodytext"/>
              <w:ind w:right="-1"/>
              <w:jc w:val="left"/>
              <w:rPr>
                <w:lang w:val="en-GB"/>
              </w:rPr>
            </w:pPr>
            <w:r>
              <w:rPr>
                <w:lang w:val="en-GB"/>
              </w:rPr>
              <w:t>Establ./total</w:t>
            </w:r>
          </w:p>
          <w:p w14:paraId="3A1CBCB8" w14:textId="77777777" w:rsidR="00217BCD" w:rsidRPr="007711EB" w:rsidRDefault="00217BCD" w:rsidP="00FE27B6">
            <w:pPr>
              <w:pStyle w:val="CETBodytext"/>
              <w:ind w:right="-1"/>
              <w:jc w:val="left"/>
              <w:rPr>
                <w:lang w:val="en-GB"/>
              </w:rPr>
            </w:pPr>
            <w:r>
              <w:rPr>
                <w:lang w:val="en-GB"/>
              </w:rPr>
              <w:t>(%)</w:t>
            </w:r>
          </w:p>
        </w:tc>
        <w:tc>
          <w:tcPr>
            <w:tcW w:w="1134" w:type="dxa"/>
            <w:tcBorders>
              <w:top w:val="single" w:sz="12" w:space="0" w:color="008000"/>
              <w:bottom w:val="single" w:sz="6" w:space="0" w:color="008000"/>
            </w:tcBorders>
            <w:shd w:val="clear" w:color="auto" w:fill="FFFFFF"/>
          </w:tcPr>
          <w:p w14:paraId="7B80BC20" w14:textId="77777777" w:rsidR="00217BCD" w:rsidRDefault="00217BCD" w:rsidP="00FE27B6">
            <w:pPr>
              <w:pStyle w:val="CETBodytext"/>
              <w:ind w:right="-1"/>
              <w:jc w:val="left"/>
              <w:rPr>
                <w:lang w:val="en-GB"/>
              </w:rPr>
            </w:pPr>
            <w:r w:rsidRPr="007711EB">
              <w:rPr>
                <w:lang w:val="en-GB"/>
              </w:rPr>
              <w:t>OE</w:t>
            </w:r>
          </w:p>
          <w:p w14:paraId="14BE1D4D" w14:textId="77777777" w:rsidR="00217BCD" w:rsidRPr="00A07A11" w:rsidRDefault="00217BCD" w:rsidP="00FE27B6">
            <w:pPr>
              <w:pStyle w:val="CETBodytext"/>
              <w:ind w:right="-1"/>
              <w:jc w:val="left"/>
              <w:rPr>
                <w:highlight w:val="yellow"/>
                <w:lang w:val="en-GB"/>
              </w:rPr>
            </w:pPr>
            <w:r w:rsidRPr="00BA57EF">
              <w:rPr>
                <w:lang w:val="en-GB"/>
              </w:rPr>
              <w:t>in EsOpIA</w:t>
            </w:r>
          </w:p>
        </w:tc>
        <w:tc>
          <w:tcPr>
            <w:tcW w:w="850" w:type="dxa"/>
            <w:tcBorders>
              <w:top w:val="single" w:sz="12" w:space="0" w:color="008000"/>
              <w:bottom w:val="single" w:sz="6" w:space="0" w:color="008000"/>
            </w:tcBorders>
            <w:shd w:val="clear" w:color="auto" w:fill="FFFFFF"/>
          </w:tcPr>
          <w:p w14:paraId="5C76C83F" w14:textId="77777777" w:rsidR="00217BCD" w:rsidRDefault="00217BCD" w:rsidP="00FE27B6">
            <w:pPr>
              <w:pStyle w:val="CETBodytext"/>
              <w:ind w:right="-1"/>
              <w:jc w:val="left"/>
              <w:rPr>
                <w:lang w:val="en-GB"/>
              </w:rPr>
            </w:pPr>
            <w:r>
              <w:rPr>
                <w:lang w:val="en-GB"/>
              </w:rPr>
              <w:t>OE/total</w:t>
            </w:r>
          </w:p>
          <w:p w14:paraId="53ECF858" w14:textId="77777777" w:rsidR="00217BCD" w:rsidRPr="00B57B36" w:rsidRDefault="00217BCD" w:rsidP="00FE27B6">
            <w:pPr>
              <w:pStyle w:val="CETBodytext"/>
              <w:ind w:right="-1"/>
              <w:jc w:val="left"/>
              <w:rPr>
                <w:rFonts w:cs="Arial"/>
                <w:szCs w:val="18"/>
                <w:lang w:val="en-GB"/>
              </w:rPr>
            </w:pPr>
            <w:r>
              <w:rPr>
                <w:lang w:val="en-GB"/>
              </w:rPr>
              <w:t>(%)</w:t>
            </w:r>
            <w:r w:rsidRPr="006229CB">
              <w:rPr>
                <w:lang w:val="en-GB"/>
              </w:rPr>
              <w:t xml:space="preserve"> </w:t>
            </w:r>
          </w:p>
        </w:tc>
      </w:tr>
      <w:tr w:rsidR="00217BCD" w:rsidRPr="00B57B36" w14:paraId="3DD2314D" w14:textId="77777777" w:rsidTr="00FE27B6">
        <w:trPr>
          <w:trHeight w:val="423"/>
        </w:trPr>
        <w:tc>
          <w:tcPr>
            <w:tcW w:w="709" w:type="dxa"/>
            <w:shd w:val="clear" w:color="auto" w:fill="FFFFFF"/>
          </w:tcPr>
          <w:p w14:paraId="337978B7" w14:textId="77777777" w:rsidR="00217BCD" w:rsidRPr="0023463C" w:rsidRDefault="00217BCD" w:rsidP="00FE27B6">
            <w:pPr>
              <w:pStyle w:val="CETBodytext"/>
              <w:jc w:val="left"/>
              <w:rPr>
                <w:rFonts w:cs="Arial"/>
                <w:szCs w:val="18"/>
                <w:lang w:val="en-GB"/>
              </w:rPr>
            </w:pPr>
            <w:r>
              <w:rPr>
                <w:lang w:val="en-GB"/>
              </w:rPr>
              <w:t>MS1</w:t>
            </w:r>
          </w:p>
        </w:tc>
        <w:tc>
          <w:tcPr>
            <w:tcW w:w="3119" w:type="dxa"/>
            <w:shd w:val="clear" w:color="auto" w:fill="FFFFFF"/>
          </w:tcPr>
          <w:p w14:paraId="5618C870" w14:textId="77777777" w:rsidR="00217BCD" w:rsidRPr="0023463C" w:rsidRDefault="00217BCD" w:rsidP="00FE27B6">
            <w:pPr>
              <w:pStyle w:val="CETBodytext"/>
              <w:jc w:val="left"/>
              <w:rPr>
                <w:rFonts w:cs="Arial"/>
                <w:szCs w:val="18"/>
                <w:lang w:val="en-GB"/>
              </w:rPr>
            </w:pPr>
            <w:r w:rsidRPr="0023463C">
              <w:rPr>
                <w:rFonts w:cs="Arial"/>
                <w:szCs w:val="18"/>
                <w:lang w:val="en-GB"/>
              </w:rPr>
              <w:t>Metal processing and treatment</w:t>
            </w:r>
          </w:p>
          <w:p w14:paraId="0FCE673A" w14:textId="77777777" w:rsidR="00217BCD" w:rsidRPr="007A6335" w:rsidRDefault="00217BCD" w:rsidP="00FE27B6">
            <w:pPr>
              <w:pStyle w:val="CETBodytext"/>
              <w:rPr>
                <w:sz w:val="16"/>
                <w:szCs w:val="16"/>
                <w:lang w:val="en-GB"/>
              </w:rPr>
            </w:pPr>
            <w:r w:rsidRPr="00EE1422">
              <w:rPr>
                <w:rFonts w:cs="Arial"/>
                <w:sz w:val="12"/>
                <w:szCs w:val="12"/>
                <w:lang w:val="en-GB"/>
              </w:rPr>
              <w:t xml:space="preserve"> </w:t>
            </w:r>
            <w:r>
              <w:rPr>
                <w:rFonts w:cs="Arial"/>
                <w:sz w:val="12"/>
                <w:szCs w:val="12"/>
                <w:lang w:val="en-GB"/>
              </w:rPr>
              <w:t>(</w:t>
            </w:r>
            <w:r w:rsidRPr="0023463C">
              <w:rPr>
                <w:rFonts w:cs="Arial"/>
                <w:sz w:val="12"/>
                <w:szCs w:val="12"/>
                <w:lang w:val="en-GB"/>
              </w:rPr>
              <w:t>4, 5 , 6, 7)</w:t>
            </w:r>
          </w:p>
        </w:tc>
        <w:tc>
          <w:tcPr>
            <w:tcW w:w="1559" w:type="dxa"/>
            <w:shd w:val="clear" w:color="auto" w:fill="FFFFFF"/>
          </w:tcPr>
          <w:p w14:paraId="7C5ADD2E" w14:textId="607C1EBF" w:rsidR="00217BCD" w:rsidRPr="00506ADC" w:rsidRDefault="00217BCD" w:rsidP="00FE27B6">
            <w:pPr>
              <w:pStyle w:val="CETBodytext"/>
              <w:ind w:right="-1"/>
              <w:rPr>
                <w:rFonts w:cs="Arial"/>
                <w:szCs w:val="18"/>
                <w:lang w:val="it-IT"/>
              </w:rPr>
            </w:pPr>
            <w:r w:rsidRPr="00506ADC">
              <w:rPr>
                <w:rFonts w:cs="Arial"/>
                <w:szCs w:val="18"/>
                <w:lang w:val="it-IT"/>
              </w:rPr>
              <w:t>16 (</w:t>
            </w:r>
            <w:r w:rsidR="004506C7">
              <w:rPr>
                <w:rFonts w:cs="Arial"/>
                <w:szCs w:val="18"/>
                <w:lang w:val="it-IT"/>
              </w:rPr>
              <w:t>29</w:t>
            </w:r>
            <w:r w:rsidRPr="00506ADC">
              <w:rPr>
                <w:rFonts w:cs="Arial"/>
                <w:szCs w:val="18"/>
                <w:lang w:val="it-IT"/>
              </w:rPr>
              <w:t>)</w:t>
            </w:r>
          </w:p>
        </w:tc>
        <w:tc>
          <w:tcPr>
            <w:tcW w:w="1276" w:type="dxa"/>
            <w:shd w:val="clear" w:color="auto" w:fill="FFFFFF"/>
          </w:tcPr>
          <w:p w14:paraId="44E427FE" w14:textId="274561C1" w:rsidR="00217BCD" w:rsidRDefault="00217BCD" w:rsidP="00FE27B6">
            <w:pPr>
              <w:pStyle w:val="CETBodytext"/>
              <w:ind w:right="-1"/>
              <w:rPr>
                <w:rFonts w:cs="Arial"/>
                <w:szCs w:val="18"/>
                <w:lang w:val="it-IT"/>
              </w:rPr>
            </w:pPr>
            <w:r>
              <w:rPr>
                <w:rFonts w:cs="Arial"/>
                <w:szCs w:val="18"/>
                <w:lang w:val="it-IT"/>
              </w:rPr>
              <w:t>5%</w:t>
            </w:r>
          </w:p>
        </w:tc>
        <w:tc>
          <w:tcPr>
            <w:tcW w:w="1134" w:type="dxa"/>
            <w:shd w:val="clear" w:color="auto" w:fill="FFFFFF"/>
          </w:tcPr>
          <w:p w14:paraId="7FDF25E5" w14:textId="77777777" w:rsidR="00217BCD" w:rsidRPr="00A07A11" w:rsidRDefault="00217BCD" w:rsidP="00FE27B6">
            <w:pPr>
              <w:pStyle w:val="CETBodytext"/>
              <w:ind w:right="-1"/>
              <w:rPr>
                <w:rFonts w:cs="Arial"/>
                <w:szCs w:val="18"/>
                <w:lang w:val="it-IT"/>
              </w:rPr>
            </w:pPr>
            <w:r>
              <w:rPr>
                <w:rFonts w:cs="Arial"/>
                <w:szCs w:val="18"/>
                <w:lang w:val="it-IT"/>
              </w:rPr>
              <w:t>140</w:t>
            </w:r>
          </w:p>
        </w:tc>
        <w:tc>
          <w:tcPr>
            <w:tcW w:w="850" w:type="dxa"/>
            <w:shd w:val="clear" w:color="auto" w:fill="FFFFFF"/>
          </w:tcPr>
          <w:p w14:paraId="2EBDAE3D" w14:textId="17D1973E" w:rsidR="00217BCD" w:rsidRPr="00B57B36" w:rsidRDefault="00217BCD" w:rsidP="00FE27B6">
            <w:pPr>
              <w:pStyle w:val="CETBodytext"/>
              <w:ind w:right="-1"/>
              <w:rPr>
                <w:rFonts w:cs="Arial"/>
                <w:szCs w:val="18"/>
                <w:lang w:val="en-GB"/>
              </w:rPr>
            </w:pPr>
            <w:r>
              <w:rPr>
                <w:rFonts w:cs="Arial"/>
                <w:szCs w:val="18"/>
                <w:lang w:val="it-IT"/>
              </w:rPr>
              <w:t>2</w:t>
            </w:r>
            <w:r w:rsidR="00D16E21">
              <w:rPr>
                <w:rFonts w:cs="Arial"/>
                <w:szCs w:val="18"/>
                <w:lang w:val="it-IT"/>
              </w:rPr>
              <w:t>%</w:t>
            </w:r>
          </w:p>
        </w:tc>
      </w:tr>
      <w:tr w:rsidR="00217BCD" w:rsidRPr="00B57B36" w14:paraId="520D27B4" w14:textId="77777777" w:rsidTr="00FE27B6">
        <w:trPr>
          <w:trHeight w:val="423"/>
        </w:trPr>
        <w:tc>
          <w:tcPr>
            <w:tcW w:w="709" w:type="dxa"/>
            <w:shd w:val="clear" w:color="auto" w:fill="FFFFFF"/>
          </w:tcPr>
          <w:p w14:paraId="43BA3A54" w14:textId="77777777" w:rsidR="00217BCD" w:rsidRPr="0023463C" w:rsidRDefault="00217BCD" w:rsidP="00FE27B6">
            <w:pPr>
              <w:pStyle w:val="CETBodytext"/>
              <w:jc w:val="left"/>
              <w:rPr>
                <w:rFonts w:cs="Arial"/>
                <w:szCs w:val="18"/>
                <w:lang w:val="en-GB"/>
              </w:rPr>
            </w:pPr>
            <w:r>
              <w:rPr>
                <w:lang w:val="en-GB"/>
              </w:rPr>
              <w:t>MS2</w:t>
            </w:r>
          </w:p>
        </w:tc>
        <w:tc>
          <w:tcPr>
            <w:tcW w:w="3119" w:type="dxa"/>
            <w:shd w:val="clear" w:color="auto" w:fill="FFFFFF"/>
          </w:tcPr>
          <w:p w14:paraId="5A5C7CCF" w14:textId="77777777" w:rsidR="00217BCD" w:rsidRPr="0023463C" w:rsidRDefault="00217BCD" w:rsidP="00FE27B6">
            <w:pPr>
              <w:pStyle w:val="CETBodytext"/>
              <w:jc w:val="left"/>
              <w:rPr>
                <w:rFonts w:cs="Arial"/>
                <w:szCs w:val="18"/>
                <w:lang w:val="en-GB"/>
              </w:rPr>
            </w:pPr>
            <w:r w:rsidRPr="0023463C">
              <w:rPr>
                <w:rFonts w:cs="Arial"/>
                <w:szCs w:val="18"/>
                <w:lang w:val="en-GB"/>
              </w:rPr>
              <w:t>Oil &amp; Petrochemical</w:t>
            </w:r>
          </w:p>
          <w:p w14:paraId="292CF84D" w14:textId="77777777" w:rsidR="00217BCD" w:rsidRPr="007A6335" w:rsidRDefault="00217BCD" w:rsidP="00FE27B6">
            <w:pPr>
              <w:pStyle w:val="CETBodytext"/>
              <w:rPr>
                <w:sz w:val="16"/>
                <w:szCs w:val="16"/>
                <w:lang w:val="en-GB"/>
              </w:rPr>
            </w:pPr>
            <w:r w:rsidRPr="0023463C">
              <w:rPr>
                <w:rFonts w:cs="Arial"/>
                <w:sz w:val="12"/>
                <w:szCs w:val="12"/>
                <w:lang w:val="en-GB"/>
              </w:rPr>
              <w:t>(8, 9, 10)</w:t>
            </w:r>
          </w:p>
        </w:tc>
        <w:tc>
          <w:tcPr>
            <w:tcW w:w="1559" w:type="dxa"/>
            <w:shd w:val="clear" w:color="auto" w:fill="FFFFFF"/>
          </w:tcPr>
          <w:p w14:paraId="3D3E796A" w14:textId="28CF8C97" w:rsidR="00217BCD" w:rsidRPr="00506ADC" w:rsidRDefault="00217BCD" w:rsidP="00FE27B6">
            <w:pPr>
              <w:pStyle w:val="CETBodytext"/>
              <w:ind w:right="-1"/>
              <w:rPr>
                <w:rFonts w:cs="Arial"/>
                <w:szCs w:val="18"/>
                <w:lang w:val="it-IT"/>
              </w:rPr>
            </w:pPr>
            <w:r w:rsidRPr="00506ADC">
              <w:rPr>
                <w:rFonts w:cs="Arial"/>
                <w:szCs w:val="18"/>
                <w:lang w:val="it-IT"/>
              </w:rPr>
              <w:t>45 (</w:t>
            </w:r>
            <w:r w:rsidR="00E737B2">
              <w:rPr>
                <w:rFonts w:cs="Arial"/>
                <w:szCs w:val="18"/>
                <w:lang w:val="it-IT"/>
              </w:rPr>
              <w:t>60</w:t>
            </w:r>
            <w:r w:rsidRPr="00506ADC">
              <w:rPr>
                <w:rFonts w:cs="Arial"/>
                <w:szCs w:val="18"/>
                <w:lang w:val="it-IT"/>
              </w:rPr>
              <w:t>)</w:t>
            </w:r>
          </w:p>
        </w:tc>
        <w:tc>
          <w:tcPr>
            <w:tcW w:w="1276" w:type="dxa"/>
            <w:shd w:val="clear" w:color="auto" w:fill="FFFFFF"/>
          </w:tcPr>
          <w:p w14:paraId="20C4B060" w14:textId="2BC3F996" w:rsidR="00217BCD" w:rsidRDefault="00217BCD" w:rsidP="00FE27B6">
            <w:pPr>
              <w:pStyle w:val="CETBodytext"/>
              <w:ind w:right="-1"/>
              <w:rPr>
                <w:rFonts w:cs="Arial"/>
                <w:szCs w:val="18"/>
                <w:lang w:val="it-IT"/>
              </w:rPr>
            </w:pPr>
            <w:r>
              <w:rPr>
                <w:rFonts w:cs="Arial"/>
                <w:szCs w:val="18"/>
                <w:lang w:val="it-IT"/>
              </w:rPr>
              <w:t>14</w:t>
            </w:r>
            <w:r w:rsidR="007B3B5B">
              <w:rPr>
                <w:rFonts w:cs="Arial"/>
                <w:szCs w:val="18"/>
                <w:lang w:val="it-IT"/>
              </w:rPr>
              <w:t>%</w:t>
            </w:r>
          </w:p>
        </w:tc>
        <w:tc>
          <w:tcPr>
            <w:tcW w:w="1134" w:type="dxa"/>
            <w:shd w:val="clear" w:color="auto" w:fill="FFFFFF"/>
          </w:tcPr>
          <w:p w14:paraId="34AF16B0" w14:textId="77777777" w:rsidR="00217BCD" w:rsidRPr="0099017D" w:rsidRDefault="00217BCD" w:rsidP="00FE27B6">
            <w:pPr>
              <w:pStyle w:val="CETBodytext"/>
              <w:ind w:right="-1"/>
              <w:rPr>
                <w:rFonts w:cs="Arial"/>
                <w:szCs w:val="18"/>
                <w:lang w:val="it-IT"/>
              </w:rPr>
            </w:pPr>
            <w:r>
              <w:rPr>
                <w:rFonts w:cs="Arial"/>
                <w:szCs w:val="18"/>
                <w:lang w:val="it-IT"/>
              </w:rPr>
              <w:t>897</w:t>
            </w:r>
          </w:p>
        </w:tc>
        <w:tc>
          <w:tcPr>
            <w:tcW w:w="850" w:type="dxa"/>
            <w:shd w:val="clear" w:color="auto" w:fill="FFFFFF"/>
          </w:tcPr>
          <w:p w14:paraId="3C06202D" w14:textId="5CAB0A6E" w:rsidR="00217BCD" w:rsidRPr="00B57B36" w:rsidRDefault="00217BCD" w:rsidP="00FE27B6">
            <w:pPr>
              <w:pStyle w:val="CETBodytext"/>
              <w:ind w:right="-1"/>
              <w:rPr>
                <w:rFonts w:cs="Arial"/>
                <w:szCs w:val="18"/>
                <w:lang w:val="en-GB"/>
              </w:rPr>
            </w:pPr>
            <w:r>
              <w:rPr>
                <w:rFonts w:cs="Arial"/>
                <w:szCs w:val="18"/>
                <w:lang w:val="it-IT"/>
              </w:rPr>
              <w:t>1</w:t>
            </w:r>
            <w:r w:rsidR="0031482D">
              <w:rPr>
                <w:rFonts w:cs="Arial"/>
                <w:szCs w:val="18"/>
                <w:lang w:val="it-IT"/>
              </w:rPr>
              <w:t>5%</w:t>
            </w:r>
          </w:p>
        </w:tc>
      </w:tr>
      <w:tr w:rsidR="00217BCD" w:rsidRPr="00B57B36" w14:paraId="1BEA6F4B" w14:textId="77777777" w:rsidTr="00FE27B6">
        <w:trPr>
          <w:trHeight w:val="430"/>
        </w:trPr>
        <w:tc>
          <w:tcPr>
            <w:tcW w:w="709" w:type="dxa"/>
            <w:shd w:val="clear" w:color="auto" w:fill="FFFFFF"/>
          </w:tcPr>
          <w:p w14:paraId="5DB8F78F" w14:textId="77777777" w:rsidR="00217BCD" w:rsidRPr="0023463C" w:rsidRDefault="00217BCD" w:rsidP="00FE27B6">
            <w:pPr>
              <w:pStyle w:val="CETBodytext"/>
              <w:jc w:val="left"/>
              <w:rPr>
                <w:rFonts w:cs="Arial"/>
                <w:szCs w:val="18"/>
                <w:lang w:val="en-GB"/>
              </w:rPr>
            </w:pPr>
            <w:r>
              <w:rPr>
                <w:lang w:val="en-GB"/>
              </w:rPr>
              <w:t>MS3</w:t>
            </w:r>
          </w:p>
        </w:tc>
        <w:tc>
          <w:tcPr>
            <w:tcW w:w="3119" w:type="dxa"/>
            <w:shd w:val="clear" w:color="auto" w:fill="FFFFFF"/>
          </w:tcPr>
          <w:p w14:paraId="1BFE1A9E" w14:textId="77777777" w:rsidR="00217BCD" w:rsidRPr="0023463C" w:rsidRDefault="00217BCD" w:rsidP="00FE27B6">
            <w:pPr>
              <w:pStyle w:val="CETBodytext"/>
              <w:jc w:val="left"/>
              <w:rPr>
                <w:rFonts w:cs="Arial"/>
                <w:szCs w:val="18"/>
                <w:lang w:val="en-GB"/>
              </w:rPr>
            </w:pPr>
            <w:r w:rsidRPr="0023463C">
              <w:rPr>
                <w:rFonts w:cs="Arial"/>
                <w:szCs w:val="18"/>
                <w:lang w:val="en-GB"/>
              </w:rPr>
              <w:t>Chemical</w:t>
            </w:r>
          </w:p>
          <w:p w14:paraId="7E4FE7ED" w14:textId="77777777" w:rsidR="00217BCD" w:rsidRPr="00A6581A" w:rsidRDefault="00217BCD" w:rsidP="00FE27B6">
            <w:pPr>
              <w:pStyle w:val="CETBodytext"/>
              <w:rPr>
                <w:sz w:val="16"/>
                <w:szCs w:val="16"/>
                <w:lang w:val="en-GB"/>
              </w:rPr>
            </w:pPr>
            <w:r w:rsidRPr="0023463C">
              <w:rPr>
                <w:rFonts w:cs="Arial"/>
                <w:sz w:val="12"/>
                <w:szCs w:val="12"/>
                <w:lang w:val="en-GB"/>
              </w:rPr>
              <w:t>(17,18, 19, 22, 23, 24, 38)</w:t>
            </w:r>
          </w:p>
        </w:tc>
        <w:tc>
          <w:tcPr>
            <w:tcW w:w="1559" w:type="dxa"/>
            <w:shd w:val="clear" w:color="auto" w:fill="FFFFFF"/>
          </w:tcPr>
          <w:p w14:paraId="5A8168B4" w14:textId="23FADC3B" w:rsidR="00217BCD" w:rsidRPr="00506ADC" w:rsidRDefault="00217BCD" w:rsidP="00FE27B6">
            <w:pPr>
              <w:pStyle w:val="CETBodytext"/>
              <w:ind w:right="-1"/>
              <w:rPr>
                <w:rFonts w:cs="Arial"/>
                <w:szCs w:val="18"/>
                <w:lang w:val="en-GB"/>
              </w:rPr>
            </w:pPr>
            <w:r w:rsidRPr="00506ADC">
              <w:rPr>
                <w:rFonts w:cs="Arial"/>
                <w:szCs w:val="18"/>
                <w:lang w:val="en-GB"/>
              </w:rPr>
              <w:t>129 (</w:t>
            </w:r>
            <w:r w:rsidRPr="00A04384">
              <w:rPr>
                <w:rFonts w:cs="Arial"/>
                <w:szCs w:val="18"/>
                <w:lang w:val="en-GB"/>
              </w:rPr>
              <w:t>1</w:t>
            </w:r>
            <w:r w:rsidR="00F043DC" w:rsidRPr="00A04384">
              <w:rPr>
                <w:rFonts w:cs="Arial"/>
                <w:szCs w:val="18"/>
                <w:lang w:val="en-GB"/>
              </w:rPr>
              <w:t>76</w:t>
            </w:r>
            <w:r w:rsidRPr="00506ADC">
              <w:rPr>
                <w:rFonts w:cs="Arial"/>
                <w:szCs w:val="18"/>
                <w:lang w:val="en-GB"/>
              </w:rPr>
              <w:t>)</w:t>
            </w:r>
          </w:p>
        </w:tc>
        <w:tc>
          <w:tcPr>
            <w:tcW w:w="1276" w:type="dxa"/>
            <w:shd w:val="clear" w:color="auto" w:fill="FFFFFF"/>
          </w:tcPr>
          <w:p w14:paraId="319ABA1A" w14:textId="1628C106" w:rsidR="00217BCD" w:rsidRPr="00BA57EF" w:rsidRDefault="00217BCD" w:rsidP="00FE27B6">
            <w:pPr>
              <w:pStyle w:val="CETBodytext"/>
              <w:ind w:right="-1"/>
              <w:rPr>
                <w:rFonts w:cs="Arial"/>
                <w:szCs w:val="18"/>
                <w:lang w:val="en-GB"/>
              </w:rPr>
            </w:pPr>
            <w:r>
              <w:rPr>
                <w:rFonts w:cs="Arial"/>
                <w:szCs w:val="18"/>
                <w:lang w:val="en-GB"/>
              </w:rPr>
              <w:t>41</w:t>
            </w:r>
            <w:r w:rsidR="007B3B5B">
              <w:rPr>
                <w:rFonts w:cs="Arial"/>
                <w:szCs w:val="18"/>
                <w:lang w:val="en-GB"/>
              </w:rPr>
              <w:t>%</w:t>
            </w:r>
          </w:p>
        </w:tc>
        <w:tc>
          <w:tcPr>
            <w:tcW w:w="1134" w:type="dxa"/>
            <w:shd w:val="clear" w:color="auto" w:fill="FFFFFF"/>
          </w:tcPr>
          <w:p w14:paraId="17E242D3" w14:textId="77777777" w:rsidR="00217BCD" w:rsidRPr="00A07A11" w:rsidRDefault="00217BCD" w:rsidP="00FE27B6">
            <w:pPr>
              <w:pStyle w:val="CETBodytext"/>
              <w:ind w:right="-1"/>
              <w:rPr>
                <w:rFonts w:cs="Arial"/>
                <w:szCs w:val="18"/>
                <w:lang w:val="en-GB"/>
              </w:rPr>
            </w:pPr>
            <w:r w:rsidRPr="00BA57EF">
              <w:rPr>
                <w:rFonts w:cs="Arial"/>
                <w:szCs w:val="18"/>
                <w:lang w:val="en-GB"/>
              </w:rPr>
              <w:t>3428</w:t>
            </w:r>
          </w:p>
        </w:tc>
        <w:tc>
          <w:tcPr>
            <w:tcW w:w="850" w:type="dxa"/>
            <w:shd w:val="clear" w:color="auto" w:fill="FFFFFF"/>
          </w:tcPr>
          <w:p w14:paraId="5E2A6826" w14:textId="2CBB8859" w:rsidR="00217BCD" w:rsidRPr="00B57B36" w:rsidRDefault="00217BCD" w:rsidP="00FE27B6">
            <w:pPr>
              <w:pStyle w:val="CETBodytext"/>
              <w:ind w:right="-1"/>
              <w:rPr>
                <w:rFonts w:cs="Arial"/>
                <w:szCs w:val="18"/>
                <w:lang w:val="en-GB"/>
              </w:rPr>
            </w:pPr>
            <w:r>
              <w:rPr>
                <w:rFonts w:cs="Arial"/>
                <w:szCs w:val="18"/>
                <w:lang w:val="en-GB"/>
              </w:rPr>
              <w:t>57</w:t>
            </w:r>
            <w:r w:rsidR="0031482D">
              <w:rPr>
                <w:rFonts w:cs="Arial"/>
                <w:szCs w:val="18"/>
                <w:lang w:val="en-GB"/>
              </w:rPr>
              <w:t>%</w:t>
            </w:r>
          </w:p>
        </w:tc>
      </w:tr>
      <w:tr w:rsidR="00217BCD" w:rsidRPr="00B57B36" w14:paraId="4E873C7C" w14:textId="77777777" w:rsidTr="00FE27B6">
        <w:trPr>
          <w:trHeight w:val="423"/>
        </w:trPr>
        <w:tc>
          <w:tcPr>
            <w:tcW w:w="709" w:type="dxa"/>
            <w:shd w:val="clear" w:color="auto" w:fill="FFFFFF"/>
          </w:tcPr>
          <w:p w14:paraId="0BBC62E5" w14:textId="77777777" w:rsidR="00217BCD" w:rsidRPr="0023463C" w:rsidRDefault="00217BCD" w:rsidP="00FE27B6">
            <w:pPr>
              <w:pStyle w:val="CETBodytext"/>
              <w:jc w:val="left"/>
              <w:rPr>
                <w:rFonts w:cs="Arial"/>
                <w:szCs w:val="18"/>
                <w:lang w:val="en-GB"/>
              </w:rPr>
            </w:pPr>
            <w:r>
              <w:rPr>
                <w:lang w:val="en-GB"/>
              </w:rPr>
              <w:t>MS4</w:t>
            </w:r>
          </w:p>
        </w:tc>
        <w:tc>
          <w:tcPr>
            <w:tcW w:w="3119" w:type="dxa"/>
            <w:shd w:val="clear" w:color="auto" w:fill="FFFFFF"/>
          </w:tcPr>
          <w:p w14:paraId="552AAC14" w14:textId="77777777" w:rsidR="00217BCD" w:rsidRPr="0023463C" w:rsidRDefault="00217BCD" w:rsidP="00FE27B6">
            <w:pPr>
              <w:pStyle w:val="CETBodytext"/>
              <w:jc w:val="left"/>
              <w:rPr>
                <w:rFonts w:cs="Arial"/>
                <w:szCs w:val="18"/>
                <w:lang w:val="en-GB"/>
              </w:rPr>
            </w:pPr>
            <w:r w:rsidRPr="0023463C">
              <w:rPr>
                <w:rFonts w:cs="Arial"/>
                <w:szCs w:val="18"/>
                <w:lang w:val="en-GB"/>
              </w:rPr>
              <w:t>LPG/LNG</w:t>
            </w:r>
          </w:p>
          <w:p w14:paraId="611860A4" w14:textId="77777777" w:rsidR="00217BCD" w:rsidRPr="00A6581A" w:rsidRDefault="00217BCD" w:rsidP="00FE27B6">
            <w:pPr>
              <w:pStyle w:val="CETBodytext"/>
              <w:rPr>
                <w:sz w:val="16"/>
                <w:szCs w:val="16"/>
                <w:lang w:val="en-GB"/>
              </w:rPr>
            </w:pPr>
            <w:r w:rsidRPr="0023463C">
              <w:rPr>
                <w:rFonts w:cs="Arial"/>
                <w:sz w:val="12"/>
                <w:szCs w:val="12"/>
                <w:lang w:val="en-GB"/>
              </w:rPr>
              <w:t>(13, 14, 15)</w:t>
            </w:r>
          </w:p>
        </w:tc>
        <w:tc>
          <w:tcPr>
            <w:tcW w:w="1559" w:type="dxa"/>
            <w:shd w:val="clear" w:color="auto" w:fill="FFFFFF"/>
          </w:tcPr>
          <w:p w14:paraId="7F406A90" w14:textId="5B3D8ACF" w:rsidR="00217BCD" w:rsidRPr="00506ADC" w:rsidRDefault="00217BCD" w:rsidP="00FE27B6">
            <w:pPr>
              <w:pStyle w:val="CETBodytext"/>
              <w:ind w:right="-1"/>
              <w:rPr>
                <w:rFonts w:cs="Arial"/>
                <w:szCs w:val="18"/>
                <w:lang w:val="en-GB"/>
              </w:rPr>
            </w:pPr>
            <w:r w:rsidRPr="00506ADC">
              <w:rPr>
                <w:rFonts w:cs="Arial"/>
                <w:szCs w:val="18"/>
                <w:lang w:val="en-GB"/>
              </w:rPr>
              <w:t>61 (</w:t>
            </w:r>
            <w:r w:rsidRPr="00A04384">
              <w:rPr>
                <w:rFonts w:cs="Arial"/>
                <w:color w:val="000000" w:themeColor="text1"/>
                <w:szCs w:val="18"/>
                <w:lang w:val="en-GB"/>
              </w:rPr>
              <w:t>11</w:t>
            </w:r>
            <w:r w:rsidR="00A81EEF" w:rsidRPr="00A04384">
              <w:rPr>
                <w:rFonts w:cs="Arial"/>
                <w:color w:val="000000" w:themeColor="text1"/>
                <w:szCs w:val="18"/>
                <w:lang w:val="en-GB"/>
              </w:rPr>
              <w:t>1</w:t>
            </w:r>
            <w:r w:rsidRPr="00506ADC">
              <w:rPr>
                <w:rFonts w:cs="Arial"/>
                <w:szCs w:val="18"/>
                <w:lang w:val="en-GB"/>
              </w:rPr>
              <w:t>)</w:t>
            </w:r>
          </w:p>
        </w:tc>
        <w:tc>
          <w:tcPr>
            <w:tcW w:w="1276" w:type="dxa"/>
            <w:shd w:val="clear" w:color="auto" w:fill="FFFFFF"/>
          </w:tcPr>
          <w:p w14:paraId="6545013C" w14:textId="67A3A725" w:rsidR="00217BCD" w:rsidRPr="007711EB" w:rsidRDefault="007B3B5B" w:rsidP="00FE27B6">
            <w:pPr>
              <w:pStyle w:val="CETBodytext"/>
              <w:ind w:right="-1"/>
              <w:rPr>
                <w:rFonts w:cs="Arial"/>
                <w:szCs w:val="18"/>
                <w:lang w:val="en-GB"/>
              </w:rPr>
            </w:pPr>
            <w:r>
              <w:rPr>
                <w:rFonts w:cs="Arial"/>
                <w:szCs w:val="18"/>
                <w:lang w:val="en-GB"/>
              </w:rPr>
              <w:t>20%</w:t>
            </w:r>
          </w:p>
        </w:tc>
        <w:tc>
          <w:tcPr>
            <w:tcW w:w="1134" w:type="dxa"/>
            <w:shd w:val="clear" w:color="auto" w:fill="FFFFFF"/>
          </w:tcPr>
          <w:p w14:paraId="234D3C6E" w14:textId="77777777" w:rsidR="00217BCD" w:rsidRPr="007711EB" w:rsidRDefault="00217BCD" w:rsidP="00FE27B6">
            <w:pPr>
              <w:pStyle w:val="CETBodytext"/>
              <w:ind w:right="-1"/>
              <w:rPr>
                <w:rFonts w:cs="Arial"/>
                <w:szCs w:val="18"/>
                <w:lang w:val="en-GB"/>
              </w:rPr>
            </w:pPr>
            <w:r w:rsidRPr="007711EB">
              <w:rPr>
                <w:rFonts w:cs="Arial"/>
                <w:szCs w:val="18"/>
                <w:lang w:val="en-GB"/>
              </w:rPr>
              <w:t>506</w:t>
            </w:r>
          </w:p>
        </w:tc>
        <w:tc>
          <w:tcPr>
            <w:tcW w:w="850" w:type="dxa"/>
            <w:shd w:val="clear" w:color="auto" w:fill="FFFFFF"/>
          </w:tcPr>
          <w:p w14:paraId="6514156F" w14:textId="3DDDA2DF" w:rsidR="00217BCD" w:rsidRPr="00B57B36" w:rsidRDefault="00217BCD" w:rsidP="00FE27B6">
            <w:pPr>
              <w:pStyle w:val="CETBodytext"/>
              <w:ind w:right="-1"/>
              <w:rPr>
                <w:rFonts w:cs="Arial"/>
                <w:szCs w:val="18"/>
                <w:lang w:val="en-GB"/>
              </w:rPr>
            </w:pPr>
            <w:r w:rsidRPr="007711EB">
              <w:rPr>
                <w:rFonts w:cs="Arial"/>
                <w:szCs w:val="18"/>
                <w:lang w:val="en-GB"/>
              </w:rPr>
              <w:t>8</w:t>
            </w:r>
            <w:r w:rsidR="0031482D">
              <w:rPr>
                <w:rFonts w:cs="Arial"/>
                <w:szCs w:val="18"/>
                <w:lang w:val="en-GB"/>
              </w:rPr>
              <w:t>%</w:t>
            </w:r>
          </w:p>
        </w:tc>
      </w:tr>
      <w:tr w:rsidR="00217BCD" w:rsidRPr="00B57B36" w14:paraId="52EBA333" w14:textId="77777777" w:rsidTr="00FE27B6">
        <w:trPr>
          <w:trHeight w:val="423"/>
        </w:trPr>
        <w:tc>
          <w:tcPr>
            <w:tcW w:w="709" w:type="dxa"/>
            <w:shd w:val="clear" w:color="auto" w:fill="FFFFFF"/>
          </w:tcPr>
          <w:p w14:paraId="35282FDF" w14:textId="77777777" w:rsidR="00217BCD" w:rsidRPr="0023463C" w:rsidRDefault="00217BCD" w:rsidP="00FE27B6">
            <w:pPr>
              <w:pStyle w:val="CETBodytext"/>
              <w:jc w:val="left"/>
              <w:rPr>
                <w:rFonts w:cs="Arial"/>
                <w:szCs w:val="18"/>
                <w:lang w:val="en-GB"/>
              </w:rPr>
            </w:pPr>
            <w:r>
              <w:rPr>
                <w:lang w:val="en-GB"/>
              </w:rPr>
              <w:t>MS5</w:t>
            </w:r>
          </w:p>
        </w:tc>
        <w:tc>
          <w:tcPr>
            <w:tcW w:w="3119" w:type="dxa"/>
            <w:shd w:val="clear" w:color="auto" w:fill="FFFFFF"/>
          </w:tcPr>
          <w:p w14:paraId="61C15B25" w14:textId="77777777" w:rsidR="00217BCD" w:rsidRPr="0023463C" w:rsidRDefault="00217BCD" w:rsidP="00FE27B6">
            <w:pPr>
              <w:pStyle w:val="CETBodytext"/>
              <w:jc w:val="left"/>
              <w:rPr>
                <w:rFonts w:cs="Arial"/>
                <w:szCs w:val="18"/>
                <w:lang w:val="en-GB"/>
              </w:rPr>
            </w:pPr>
            <w:r w:rsidRPr="0023463C">
              <w:rPr>
                <w:rFonts w:cs="Arial"/>
                <w:szCs w:val="18"/>
                <w:lang w:val="en-GB"/>
              </w:rPr>
              <w:t>Explosive</w:t>
            </w:r>
          </w:p>
          <w:p w14:paraId="51D2922D" w14:textId="77777777" w:rsidR="00217BCD" w:rsidRPr="00A6581A" w:rsidRDefault="00217BCD" w:rsidP="00FE27B6">
            <w:pPr>
              <w:pStyle w:val="CETBodytext"/>
              <w:rPr>
                <w:sz w:val="16"/>
                <w:szCs w:val="16"/>
                <w:lang w:val="en-GB"/>
              </w:rPr>
            </w:pPr>
            <w:r w:rsidRPr="0023463C">
              <w:rPr>
                <w:rFonts w:cs="Arial"/>
                <w:sz w:val="12"/>
                <w:szCs w:val="12"/>
                <w:lang w:val="en-GB"/>
              </w:rPr>
              <w:t>(11, 12)</w:t>
            </w:r>
          </w:p>
        </w:tc>
        <w:tc>
          <w:tcPr>
            <w:tcW w:w="1559" w:type="dxa"/>
            <w:shd w:val="clear" w:color="auto" w:fill="FFFFFF"/>
          </w:tcPr>
          <w:p w14:paraId="163EAC3B" w14:textId="06A49ECA" w:rsidR="00217BCD" w:rsidRPr="00506ADC" w:rsidRDefault="00217BCD" w:rsidP="00FE27B6">
            <w:pPr>
              <w:pStyle w:val="CETBodytext"/>
              <w:ind w:right="-1"/>
              <w:rPr>
                <w:rFonts w:cs="Arial"/>
                <w:szCs w:val="18"/>
                <w:lang w:val="en-GB"/>
              </w:rPr>
            </w:pPr>
            <w:r w:rsidRPr="00506ADC">
              <w:rPr>
                <w:rFonts w:cs="Arial"/>
                <w:szCs w:val="18"/>
                <w:lang w:val="en-GB"/>
              </w:rPr>
              <w:t>15 (</w:t>
            </w:r>
            <w:r w:rsidRPr="00A04384">
              <w:rPr>
                <w:rFonts w:cs="Arial"/>
                <w:color w:val="000000" w:themeColor="text1"/>
                <w:szCs w:val="18"/>
                <w:lang w:val="en-GB"/>
              </w:rPr>
              <w:t>2</w:t>
            </w:r>
            <w:r w:rsidR="00A81EEF" w:rsidRPr="00A04384">
              <w:rPr>
                <w:rFonts w:cs="Arial"/>
                <w:color w:val="000000" w:themeColor="text1"/>
                <w:szCs w:val="18"/>
                <w:lang w:val="en-GB"/>
              </w:rPr>
              <w:t>6</w:t>
            </w:r>
            <w:r w:rsidRPr="00506ADC">
              <w:rPr>
                <w:rFonts w:cs="Arial"/>
                <w:szCs w:val="18"/>
                <w:lang w:val="en-GB"/>
              </w:rPr>
              <w:t>)</w:t>
            </w:r>
          </w:p>
        </w:tc>
        <w:tc>
          <w:tcPr>
            <w:tcW w:w="1276" w:type="dxa"/>
            <w:shd w:val="clear" w:color="auto" w:fill="FFFFFF"/>
          </w:tcPr>
          <w:p w14:paraId="7D620BC7" w14:textId="7FCB49F3" w:rsidR="00217BCD" w:rsidRPr="00BA57EF" w:rsidRDefault="007B3B5B" w:rsidP="00FE27B6">
            <w:pPr>
              <w:pStyle w:val="CETBodytext"/>
              <w:ind w:right="-1"/>
              <w:rPr>
                <w:rFonts w:cs="Arial"/>
                <w:szCs w:val="18"/>
                <w:lang w:val="en-GB"/>
              </w:rPr>
            </w:pPr>
            <w:r>
              <w:rPr>
                <w:rFonts w:cs="Arial"/>
                <w:szCs w:val="18"/>
                <w:lang w:val="en-GB"/>
              </w:rPr>
              <w:t>5%</w:t>
            </w:r>
          </w:p>
        </w:tc>
        <w:tc>
          <w:tcPr>
            <w:tcW w:w="1134" w:type="dxa"/>
            <w:shd w:val="clear" w:color="auto" w:fill="FFFFFF"/>
          </w:tcPr>
          <w:p w14:paraId="356AC1E9" w14:textId="77777777" w:rsidR="00217BCD" w:rsidRPr="00A07A11" w:rsidRDefault="00217BCD" w:rsidP="00FE27B6">
            <w:pPr>
              <w:pStyle w:val="CETBodytext"/>
              <w:ind w:right="-1"/>
              <w:rPr>
                <w:rFonts w:cs="Arial"/>
                <w:szCs w:val="18"/>
                <w:lang w:val="en-GB"/>
              </w:rPr>
            </w:pPr>
            <w:r w:rsidRPr="00BA57EF">
              <w:rPr>
                <w:rFonts w:cs="Arial"/>
                <w:szCs w:val="18"/>
                <w:lang w:val="en-GB"/>
              </w:rPr>
              <w:t>161</w:t>
            </w:r>
          </w:p>
        </w:tc>
        <w:tc>
          <w:tcPr>
            <w:tcW w:w="850" w:type="dxa"/>
            <w:shd w:val="clear" w:color="auto" w:fill="FFFFFF"/>
          </w:tcPr>
          <w:p w14:paraId="5B9DE1C8" w14:textId="5E1C2779" w:rsidR="00217BCD" w:rsidRPr="00B57B36" w:rsidRDefault="0031482D" w:rsidP="00FE27B6">
            <w:pPr>
              <w:pStyle w:val="CETBodytext"/>
              <w:ind w:right="-1"/>
              <w:rPr>
                <w:rFonts w:cs="Arial"/>
                <w:szCs w:val="18"/>
                <w:lang w:val="en-GB"/>
              </w:rPr>
            </w:pPr>
            <w:r>
              <w:rPr>
                <w:rFonts w:cs="Arial"/>
                <w:szCs w:val="18"/>
                <w:lang w:val="en-GB"/>
              </w:rPr>
              <w:t>3%</w:t>
            </w:r>
          </w:p>
        </w:tc>
      </w:tr>
      <w:tr w:rsidR="00217BCD" w:rsidRPr="00B57B36" w14:paraId="0F20AA05" w14:textId="77777777" w:rsidTr="00FE27B6">
        <w:trPr>
          <w:trHeight w:val="430"/>
        </w:trPr>
        <w:tc>
          <w:tcPr>
            <w:tcW w:w="709" w:type="dxa"/>
            <w:shd w:val="clear" w:color="auto" w:fill="FFFFFF"/>
          </w:tcPr>
          <w:p w14:paraId="34E0CACC" w14:textId="77777777" w:rsidR="00217BCD" w:rsidRPr="0023463C" w:rsidRDefault="00217BCD" w:rsidP="00FE27B6">
            <w:pPr>
              <w:pStyle w:val="CETBodytext"/>
              <w:jc w:val="left"/>
              <w:rPr>
                <w:rFonts w:cs="Arial"/>
                <w:szCs w:val="18"/>
                <w:lang w:val="en-GB"/>
              </w:rPr>
            </w:pPr>
            <w:r>
              <w:rPr>
                <w:lang w:val="en-GB"/>
              </w:rPr>
              <w:t>MS6</w:t>
            </w:r>
          </w:p>
        </w:tc>
        <w:tc>
          <w:tcPr>
            <w:tcW w:w="3119" w:type="dxa"/>
            <w:shd w:val="clear" w:color="auto" w:fill="FFFFFF"/>
          </w:tcPr>
          <w:p w14:paraId="2ED0C3D6" w14:textId="77777777" w:rsidR="00217BCD" w:rsidRPr="0023463C" w:rsidRDefault="00217BCD" w:rsidP="00FE27B6">
            <w:pPr>
              <w:pStyle w:val="CETBodytext"/>
              <w:jc w:val="left"/>
              <w:rPr>
                <w:rFonts w:cs="Arial"/>
                <w:szCs w:val="18"/>
                <w:lang w:val="en-GB"/>
              </w:rPr>
            </w:pPr>
            <w:r w:rsidRPr="0023463C">
              <w:rPr>
                <w:rFonts w:cs="Arial"/>
                <w:szCs w:val="18"/>
                <w:lang w:val="en-GB"/>
              </w:rPr>
              <w:t>Waste</w:t>
            </w:r>
          </w:p>
          <w:p w14:paraId="19F5A669" w14:textId="42D275D5" w:rsidR="00217BCD" w:rsidRPr="00A6581A" w:rsidRDefault="00217BCD" w:rsidP="00FE27B6">
            <w:pPr>
              <w:pStyle w:val="CETBodytext"/>
              <w:rPr>
                <w:sz w:val="16"/>
                <w:szCs w:val="16"/>
                <w:lang w:val="en-GB"/>
              </w:rPr>
            </w:pPr>
            <w:r w:rsidRPr="0023463C">
              <w:rPr>
                <w:rFonts w:cs="Arial"/>
                <w:sz w:val="12"/>
                <w:szCs w:val="12"/>
                <w:lang w:val="en-GB"/>
              </w:rPr>
              <w:t>(20, 2</w:t>
            </w:r>
            <w:r w:rsidR="008A275F">
              <w:rPr>
                <w:rFonts w:cs="Arial"/>
                <w:sz w:val="12"/>
                <w:szCs w:val="12"/>
                <w:lang w:val="en-GB"/>
              </w:rPr>
              <w:t>1</w:t>
            </w:r>
            <w:r w:rsidRPr="0023463C">
              <w:rPr>
                <w:rFonts w:cs="Arial"/>
                <w:sz w:val="12"/>
                <w:szCs w:val="12"/>
                <w:lang w:val="en-GB"/>
              </w:rPr>
              <w:t>)</w:t>
            </w:r>
          </w:p>
        </w:tc>
        <w:tc>
          <w:tcPr>
            <w:tcW w:w="1559" w:type="dxa"/>
            <w:shd w:val="clear" w:color="auto" w:fill="FFFFFF"/>
          </w:tcPr>
          <w:p w14:paraId="7FFDD06C" w14:textId="2B003346" w:rsidR="00217BCD" w:rsidRPr="00506ADC" w:rsidRDefault="00217BCD" w:rsidP="00FE27B6">
            <w:pPr>
              <w:pStyle w:val="CETBodytext"/>
              <w:ind w:right="-1"/>
              <w:rPr>
                <w:rFonts w:cs="Arial"/>
                <w:szCs w:val="18"/>
                <w:lang w:val="en-GB"/>
              </w:rPr>
            </w:pPr>
            <w:r w:rsidRPr="00506ADC">
              <w:rPr>
                <w:rFonts w:cs="Arial"/>
                <w:szCs w:val="18"/>
                <w:lang w:val="en-GB"/>
              </w:rPr>
              <w:t>8 (</w:t>
            </w:r>
            <w:r w:rsidRPr="00A04384">
              <w:rPr>
                <w:rFonts w:cs="Arial"/>
                <w:color w:val="000000" w:themeColor="text1"/>
                <w:szCs w:val="18"/>
                <w:lang w:val="en-GB"/>
              </w:rPr>
              <w:t>1</w:t>
            </w:r>
            <w:r w:rsidR="004B550D" w:rsidRPr="00A04384">
              <w:rPr>
                <w:rFonts w:cs="Arial"/>
                <w:color w:val="000000" w:themeColor="text1"/>
                <w:szCs w:val="18"/>
                <w:lang w:val="en-GB"/>
              </w:rPr>
              <w:t>1</w:t>
            </w:r>
            <w:r w:rsidRPr="00506ADC">
              <w:rPr>
                <w:rFonts w:cs="Arial"/>
                <w:szCs w:val="18"/>
                <w:lang w:val="en-GB"/>
              </w:rPr>
              <w:t>)</w:t>
            </w:r>
          </w:p>
        </w:tc>
        <w:tc>
          <w:tcPr>
            <w:tcW w:w="1276" w:type="dxa"/>
            <w:shd w:val="clear" w:color="auto" w:fill="FFFFFF"/>
          </w:tcPr>
          <w:p w14:paraId="4731CDF9" w14:textId="1B46B290" w:rsidR="00217BCD" w:rsidRDefault="00F52F29" w:rsidP="00FE27B6">
            <w:pPr>
              <w:pStyle w:val="CETBodytext"/>
              <w:ind w:right="-1"/>
              <w:rPr>
                <w:rFonts w:cs="Arial"/>
                <w:szCs w:val="18"/>
                <w:lang w:val="en-GB"/>
              </w:rPr>
            </w:pPr>
            <w:r>
              <w:rPr>
                <w:rFonts w:cs="Arial"/>
                <w:szCs w:val="18"/>
                <w:lang w:val="en-GB"/>
              </w:rPr>
              <w:t>3%</w:t>
            </w:r>
          </w:p>
        </w:tc>
        <w:tc>
          <w:tcPr>
            <w:tcW w:w="1134" w:type="dxa"/>
            <w:shd w:val="clear" w:color="auto" w:fill="FFFFFF"/>
          </w:tcPr>
          <w:p w14:paraId="5CB7A458" w14:textId="77777777" w:rsidR="00217BCD" w:rsidRPr="00A07A11" w:rsidRDefault="00217BCD" w:rsidP="00FE27B6">
            <w:pPr>
              <w:pStyle w:val="CETBodytext"/>
              <w:ind w:right="-1"/>
              <w:rPr>
                <w:rFonts w:cs="Arial"/>
                <w:szCs w:val="18"/>
                <w:lang w:val="en-GB"/>
              </w:rPr>
            </w:pPr>
            <w:r>
              <w:rPr>
                <w:rFonts w:cs="Arial"/>
                <w:szCs w:val="18"/>
                <w:lang w:val="en-GB"/>
              </w:rPr>
              <w:t>143</w:t>
            </w:r>
          </w:p>
        </w:tc>
        <w:tc>
          <w:tcPr>
            <w:tcW w:w="850" w:type="dxa"/>
            <w:shd w:val="clear" w:color="auto" w:fill="FFFFFF"/>
          </w:tcPr>
          <w:p w14:paraId="0C28AA79" w14:textId="4841B534" w:rsidR="00217BCD" w:rsidRPr="00B57B36" w:rsidRDefault="00217BCD" w:rsidP="00FE27B6">
            <w:pPr>
              <w:pStyle w:val="CETBodytext"/>
              <w:ind w:right="-1"/>
              <w:rPr>
                <w:rFonts w:cs="Arial"/>
                <w:szCs w:val="18"/>
                <w:lang w:val="en-GB"/>
              </w:rPr>
            </w:pPr>
            <w:r>
              <w:rPr>
                <w:rFonts w:cs="Arial"/>
                <w:szCs w:val="18"/>
                <w:lang w:val="en-GB"/>
              </w:rPr>
              <w:t>2</w:t>
            </w:r>
            <w:r w:rsidR="0031482D">
              <w:rPr>
                <w:rFonts w:cs="Arial"/>
                <w:szCs w:val="18"/>
                <w:lang w:val="en-GB"/>
              </w:rPr>
              <w:t>%</w:t>
            </w:r>
          </w:p>
        </w:tc>
      </w:tr>
      <w:tr w:rsidR="00217BCD" w:rsidRPr="00B57B36" w14:paraId="6A5149BE" w14:textId="77777777" w:rsidTr="00FE27B6">
        <w:trPr>
          <w:trHeight w:val="423"/>
        </w:trPr>
        <w:tc>
          <w:tcPr>
            <w:tcW w:w="709" w:type="dxa"/>
            <w:shd w:val="clear" w:color="auto" w:fill="FFFFFF"/>
          </w:tcPr>
          <w:p w14:paraId="73272EEC" w14:textId="77777777" w:rsidR="00217BCD" w:rsidRPr="0023463C" w:rsidRDefault="00217BCD" w:rsidP="00FE27B6">
            <w:pPr>
              <w:pStyle w:val="CETBodytext"/>
              <w:jc w:val="left"/>
              <w:rPr>
                <w:rFonts w:cs="Arial"/>
                <w:szCs w:val="18"/>
                <w:lang w:val="en-GB"/>
              </w:rPr>
            </w:pPr>
            <w:r>
              <w:rPr>
                <w:lang w:val="en-GB"/>
              </w:rPr>
              <w:t>MS7</w:t>
            </w:r>
          </w:p>
        </w:tc>
        <w:tc>
          <w:tcPr>
            <w:tcW w:w="3119" w:type="dxa"/>
            <w:shd w:val="clear" w:color="auto" w:fill="FFFFFF"/>
          </w:tcPr>
          <w:p w14:paraId="413FFAE9" w14:textId="77777777" w:rsidR="00217BCD" w:rsidRPr="0023463C" w:rsidRDefault="00217BCD" w:rsidP="00FE27B6">
            <w:pPr>
              <w:pStyle w:val="CETBodytext"/>
              <w:jc w:val="left"/>
              <w:rPr>
                <w:rFonts w:cs="Arial"/>
                <w:szCs w:val="18"/>
                <w:lang w:val="en-GB"/>
              </w:rPr>
            </w:pPr>
            <w:r w:rsidRPr="0023463C">
              <w:rPr>
                <w:rFonts w:cs="Arial"/>
                <w:szCs w:val="18"/>
                <w:lang w:val="en-GB"/>
              </w:rPr>
              <w:t>Other</w:t>
            </w:r>
          </w:p>
          <w:p w14:paraId="4E899B21" w14:textId="17E307F8" w:rsidR="00217BCD" w:rsidRPr="00FA2906" w:rsidRDefault="00217BCD" w:rsidP="00FE27B6">
            <w:pPr>
              <w:pStyle w:val="CETBodytext"/>
              <w:rPr>
                <w:sz w:val="16"/>
                <w:szCs w:val="16"/>
                <w:lang w:val="en-GB"/>
              </w:rPr>
            </w:pPr>
            <w:r w:rsidRPr="0023463C">
              <w:rPr>
                <w:rFonts w:cs="Arial"/>
                <w:sz w:val="12"/>
                <w:szCs w:val="12"/>
                <w:lang w:val="en-GB"/>
              </w:rPr>
              <w:t xml:space="preserve">(1, 2, </w:t>
            </w:r>
            <w:r w:rsidR="00606A06">
              <w:rPr>
                <w:rFonts w:cs="Arial"/>
                <w:sz w:val="12"/>
                <w:szCs w:val="12"/>
                <w:lang w:val="en-GB"/>
              </w:rPr>
              <w:t xml:space="preserve">3, </w:t>
            </w:r>
            <w:r w:rsidRPr="0023463C">
              <w:rPr>
                <w:rFonts w:cs="Arial"/>
                <w:sz w:val="12"/>
                <w:szCs w:val="12"/>
                <w:lang w:val="en-GB"/>
              </w:rPr>
              <w:t>16, (25 ÷ 37), 39)</w:t>
            </w:r>
          </w:p>
        </w:tc>
        <w:tc>
          <w:tcPr>
            <w:tcW w:w="1559" w:type="dxa"/>
            <w:shd w:val="clear" w:color="auto" w:fill="FFFFFF"/>
          </w:tcPr>
          <w:p w14:paraId="10111CB4" w14:textId="75EB32D5" w:rsidR="00217BCD" w:rsidRPr="00506ADC" w:rsidRDefault="00217BCD" w:rsidP="00FE27B6">
            <w:pPr>
              <w:pStyle w:val="CETBodytext"/>
              <w:ind w:right="-1"/>
              <w:rPr>
                <w:rFonts w:cs="Arial"/>
                <w:szCs w:val="18"/>
                <w:lang w:val="en-GB"/>
              </w:rPr>
            </w:pPr>
            <w:r w:rsidRPr="00506ADC">
              <w:rPr>
                <w:rFonts w:cs="Arial"/>
                <w:szCs w:val="18"/>
                <w:lang w:val="en-GB"/>
              </w:rPr>
              <w:t>38 (</w:t>
            </w:r>
            <w:r w:rsidR="00A04384">
              <w:rPr>
                <w:rFonts w:cs="Arial"/>
                <w:szCs w:val="18"/>
                <w:lang w:val="en-GB"/>
              </w:rPr>
              <w:t>92</w:t>
            </w:r>
            <w:r w:rsidRPr="00506ADC">
              <w:rPr>
                <w:rFonts w:cs="Arial"/>
                <w:szCs w:val="18"/>
                <w:lang w:val="en-GB"/>
              </w:rPr>
              <w:t>)</w:t>
            </w:r>
          </w:p>
        </w:tc>
        <w:tc>
          <w:tcPr>
            <w:tcW w:w="1276" w:type="dxa"/>
            <w:shd w:val="clear" w:color="auto" w:fill="FFFFFF"/>
          </w:tcPr>
          <w:p w14:paraId="7B86E573" w14:textId="4FAB9206" w:rsidR="00217BCD" w:rsidRDefault="00217BCD" w:rsidP="00FE27B6">
            <w:pPr>
              <w:pStyle w:val="CETBodytext"/>
              <w:ind w:right="-1"/>
              <w:rPr>
                <w:rFonts w:cs="Arial"/>
                <w:szCs w:val="18"/>
                <w:lang w:val="en-GB"/>
              </w:rPr>
            </w:pPr>
            <w:r>
              <w:rPr>
                <w:rFonts w:cs="Arial"/>
                <w:szCs w:val="18"/>
                <w:lang w:val="en-GB"/>
              </w:rPr>
              <w:t>12</w:t>
            </w:r>
            <w:r w:rsidR="00F52F29">
              <w:rPr>
                <w:rFonts w:cs="Arial"/>
                <w:szCs w:val="18"/>
                <w:lang w:val="en-GB"/>
              </w:rPr>
              <w:t>%</w:t>
            </w:r>
          </w:p>
        </w:tc>
        <w:tc>
          <w:tcPr>
            <w:tcW w:w="1134" w:type="dxa"/>
            <w:shd w:val="clear" w:color="auto" w:fill="FFFFFF"/>
          </w:tcPr>
          <w:p w14:paraId="011D7899" w14:textId="77777777" w:rsidR="00217BCD" w:rsidRPr="00A07A11" w:rsidRDefault="00217BCD" w:rsidP="00FE27B6">
            <w:pPr>
              <w:pStyle w:val="CETBodytext"/>
              <w:ind w:right="-1"/>
              <w:rPr>
                <w:rFonts w:cs="Arial"/>
                <w:szCs w:val="18"/>
                <w:lang w:val="en-GB"/>
              </w:rPr>
            </w:pPr>
            <w:r>
              <w:rPr>
                <w:rFonts w:cs="Arial"/>
                <w:szCs w:val="18"/>
                <w:lang w:val="en-GB"/>
              </w:rPr>
              <w:t>707</w:t>
            </w:r>
          </w:p>
        </w:tc>
        <w:tc>
          <w:tcPr>
            <w:tcW w:w="850" w:type="dxa"/>
            <w:shd w:val="clear" w:color="auto" w:fill="FFFFFF"/>
          </w:tcPr>
          <w:p w14:paraId="62A836F5" w14:textId="3D341DD0" w:rsidR="00217BCD" w:rsidRPr="00B57B36" w:rsidRDefault="00217BCD" w:rsidP="00FE27B6">
            <w:pPr>
              <w:pStyle w:val="CETBodytext"/>
              <w:ind w:right="-1"/>
              <w:rPr>
                <w:rFonts w:cs="Arial"/>
                <w:szCs w:val="18"/>
                <w:lang w:val="en-GB"/>
              </w:rPr>
            </w:pPr>
            <w:r>
              <w:rPr>
                <w:rFonts w:cs="Arial"/>
                <w:szCs w:val="18"/>
                <w:lang w:val="en-GB"/>
              </w:rPr>
              <w:t>1</w:t>
            </w:r>
            <w:r w:rsidR="00235917">
              <w:rPr>
                <w:rFonts w:cs="Arial"/>
                <w:szCs w:val="18"/>
                <w:lang w:val="en-GB"/>
              </w:rPr>
              <w:t>2%</w:t>
            </w:r>
          </w:p>
        </w:tc>
      </w:tr>
      <w:tr w:rsidR="00217BCD" w:rsidRPr="00B57B36" w14:paraId="76700426" w14:textId="77777777" w:rsidTr="00FE27B6">
        <w:trPr>
          <w:trHeight w:val="222"/>
        </w:trPr>
        <w:tc>
          <w:tcPr>
            <w:tcW w:w="709" w:type="dxa"/>
            <w:shd w:val="clear" w:color="auto" w:fill="FFFFFF"/>
          </w:tcPr>
          <w:p w14:paraId="4B86E32D" w14:textId="77777777" w:rsidR="00217BCD" w:rsidRDefault="00217BCD" w:rsidP="00FE27B6">
            <w:pPr>
              <w:pStyle w:val="CETBodytext"/>
              <w:rPr>
                <w:lang w:val="en-GB"/>
              </w:rPr>
            </w:pPr>
          </w:p>
        </w:tc>
        <w:tc>
          <w:tcPr>
            <w:tcW w:w="3119" w:type="dxa"/>
            <w:shd w:val="clear" w:color="auto" w:fill="FFFFFF"/>
          </w:tcPr>
          <w:p w14:paraId="10C6176F" w14:textId="77777777" w:rsidR="00217BCD" w:rsidRDefault="00217BCD" w:rsidP="00FE27B6">
            <w:pPr>
              <w:pStyle w:val="CETBodytext"/>
              <w:rPr>
                <w:lang w:val="en-GB"/>
              </w:rPr>
            </w:pPr>
            <w:r>
              <w:rPr>
                <w:lang w:val="en-GB"/>
              </w:rPr>
              <w:t>TOTAL</w:t>
            </w:r>
          </w:p>
        </w:tc>
        <w:tc>
          <w:tcPr>
            <w:tcW w:w="1559" w:type="dxa"/>
            <w:shd w:val="clear" w:color="auto" w:fill="FFFFFF"/>
          </w:tcPr>
          <w:p w14:paraId="1A7DA7E3" w14:textId="48EE6899" w:rsidR="00217BCD" w:rsidRPr="00506ADC" w:rsidRDefault="00217BCD" w:rsidP="00FE27B6">
            <w:pPr>
              <w:pStyle w:val="CETBodytext"/>
              <w:ind w:right="-1"/>
              <w:rPr>
                <w:rFonts w:cs="Arial"/>
                <w:szCs w:val="18"/>
                <w:lang w:val="it-IT"/>
              </w:rPr>
            </w:pPr>
            <w:r w:rsidRPr="00506ADC">
              <w:rPr>
                <w:rFonts w:cs="Arial"/>
                <w:szCs w:val="18"/>
                <w:lang w:val="it-IT"/>
              </w:rPr>
              <w:t>312</w:t>
            </w:r>
            <w:r w:rsidR="00FB6928" w:rsidRPr="00506ADC">
              <w:rPr>
                <w:rFonts w:cs="Arial"/>
                <w:szCs w:val="18"/>
                <w:lang w:val="it-IT"/>
              </w:rPr>
              <w:t xml:space="preserve"> (</w:t>
            </w:r>
            <w:r w:rsidR="00FB6928" w:rsidRPr="00524C8D">
              <w:rPr>
                <w:rFonts w:cs="Arial"/>
                <w:color w:val="000000" w:themeColor="text1"/>
                <w:szCs w:val="18"/>
                <w:lang w:val="it-IT"/>
              </w:rPr>
              <w:t>5</w:t>
            </w:r>
            <w:r w:rsidR="00524C8D" w:rsidRPr="00524C8D">
              <w:rPr>
                <w:rFonts w:cs="Arial"/>
                <w:color w:val="000000" w:themeColor="text1"/>
                <w:szCs w:val="18"/>
                <w:lang w:val="it-IT"/>
              </w:rPr>
              <w:t>05</w:t>
            </w:r>
            <w:r w:rsidR="00FB6928" w:rsidRPr="00506ADC">
              <w:rPr>
                <w:rFonts w:cs="Arial"/>
                <w:szCs w:val="18"/>
                <w:lang w:val="it-IT"/>
              </w:rPr>
              <w:t>)</w:t>
            </w:r>
          </w:p>
        </w:tc>
        <w:tc>
          <w:tcPr>
            <w:tcW w:w="1276" w:type="dxa"/>
            <w:shd w:val="clear" w:color="auto" w:fill="FFFFFF"/>
          </w:tcPr>
          <w:p w14:paraId="619E6988" w14:textId="4318385A" w:rsidR="00217BCD" w:rsidRPr="00DA7384" w:rsidRDefault="00F52F29" w:rsidP="00FE27B6">
            <w:pPr>
              <w:pStyle w:val="CETBodytext"/>
              <w:ind w:right="-1"/>
              <w:rPr>
                <w:rFonts w:cs="Arial"/>
                <w:szCs w:val="18"/>
                <w:lang w:val="it-IT"/>
              </w:rPr>
            </w:pPr>
            <w:r>
              <w:rPr>
                <w:rFonts w:cs="Arial"/>
                <w:szCs w:val="18"/>
                <w:lang w:val="it-IT"/>
              </w:rPr>
              <w:t>100%</w:t>
            </w:r>
          </w:p>
        </w:tc>
        <w:tc>
          <w:tcPr>
            <w:tcW w:w="1134" w:type="dxa"/>
            <w:shd w:val="clear" w:color="auto" w:fill="FFFFFF"/>
          </w:tcPr>
          <w:p w14:paraId="15437DD8" w14:textId="77777777" w:rsidR="00217BCD" w:rsidRPr="00A07A11" w:rsidRDefault="00217BCD" w:rsidP="00FE27B6">
            <w:pPr>
              <w:pStyle w:val="CETBodytext"/>
              <w:ind w:right="-1"/>
              <w:rPr>
                <w:rFonts w:cs="Arial"/>
                <w:szCs w:val="18"/>
                <w:lang w:val="en-GB"/>
              </w:rPr>
            </w:pPr>
            <w:r>
              <w:rPr>
                <w:rFonts w:cs="Arial"/>
                <w:szCs w:val="18"/>
                <w:lang w:val="en-GB"/>
              </w:rPr>
              <w:t>5982</w:t>
            </w:r>
          </w:p>
        </w:tc>
        <w:tc>
          <w:tcPr>
            <w:tcW w:w="850" w:type="dxa"/>
            <w:shd w:val="clear" w:color="auto" w:fill="FFFFFF"/>
          </w:tcPr>
          <w:p w14:paraId="593F8F79" w14:textId="15EAAB14" w:rsidR="00217BCD" w:rsidRPr="00A20987" w:rsidRDefault="00235917" w:rsidP="00FE27B6">
            <w:pPr>
              <w:pStyle w:val="CETBodytext"/>
              <w:ind w:right="-1"/>
              <w:rPr>
                <w:rFonts w:cs="Arial"/>
                <w:szCs w:val="18"/>
                <w:lang w:val="en-GB"/>
              </w:rPr>
            </w:pPr>
            <w:r>
              <w:rPr>
                <w:rFonts w:cs="Arial"/>
                <w:szCs w:val="18"/>
                <w:lang w:val="en-GB"/>
              </w:rPr>
              <w:t>100%</w:t>
            </w:r>
          </w:p>
        </w:tc>
      </w:tr>
    </w:tbl>
    <w:p w14:paraId="621AB543" w14:textId="35A8C027" w:rsidR="002D064D" w:rsidRDefault="002D064D" w:rsidP="0068630A">
      <w:r w:rsidRPr="00C650A1">
        <w:rPr>
          <w:i/>
        </w:rPr>
        <w:t>Table 1: Italian Seveso establishments and their contribution in EsOpIA</w:t>
      </w:r>
    </w:p>
    <w:p w14:paraId="7CD86A50" w14:textId="77777777" w:rsidR="00FB748E" w:rsidRDefault="00FB748E" w:rsidP="0068630A"/>
    <w:p w14:paraId="0CB34CF7" w14:textId="688A93A0" w:rsidR="00841BEE" w:rsidRPr="003760D5" w:rsidRDefault="004D0615" w:rsidP="0068630A">
      <w:r w:rsidRPr="00E9734F">
        <w:t xml:space="preserve">The total number of documents </w:t>
      </w:r>
      <w:r w:rsidR="00BA1267" w:rsidRPr="00E9734F">
        <w:t>5982</w:t>
      </w:r>
      <w:r w:rsidRPr="00E9734F">
        <w:t xml:space="preserve"> is lower than the </w:t>
      </w:r>
      <w:r w:rsidR="00CD6A79" w:rsidRPr="00E9734F">
        <w:t>OE</w:t>
      </w:r>
      <w:r w:rsidRPr="00E9734F">
        <w:t xml:space="preserve"> reports in the archive (6023) because mining activities (41) </w:t>
      </w:r>
      <w:r w:rsidR="003930FF" w:rsidRPr="00E9734F">
        <w:t>haven’t been</w:t>
      </w:r>
      <w:r w:rsidRPr="00E9734F">
        <w:t xml:space="preserve"> considered in this </w:t>
      </w:r>
      <w:r w:rsidR="003930FF" w:rsidRPr="00E9734F">
        <w:t>paper</w:t>
      </w:r>
      <w:r w:rsidRPr="00E9734F">
        <w:t>.</w:t>
      </w:r>
      <w:r w:rsidR="0027037B" w:rsidRPr="00E9734F">
        <w:t xml:space="preserve"> </w:t>
      </w:r>
      <w:r w:rsidR="00147751" w:rsidRPr="00E9734F">
        <w:t>Compared to the total number of notified establishments</w:t>
      </w:r>
      <w:r w:rsidR="000F7B69" w:rsidRPr="00E9734F">
        <w:t xml:space="preserve"> in each MS</w:t>
      </w:r>
      <w:r w:rsidR="00147751" w:rsidRPr="00E9734F">
        <w:t>, those present in the repository are in</w:t>
      </w:r>
      <w:r w:rsidR="002D064D" w:rsidRPr="00E9734F">
        <w:t xml:space="preserve"> the</w:t>
      </w:r>
      <w:r w:rsidR="00147751" w:rsidRPr="00E9734F">
        <w:t xml:space="preserve"> most cases almost 50% of the total</w:t>
      </w:r>
      <w:r w:rsidR="0032280E" w:rsidRPr="00E9734F">
        <w:t xml:space="preserve">. </w:t>
      </w:r>
      <w:r w:rsidR="00F34D13" w:rsidRPr="00E9734F">
        <w:t>It is reasonable to deduce that the documents collected are elevated</w:t>
      </w:r>
      <w:r w:rsidR="00ED3341" w:rsidRPr="00E9734F">
        <w:t xml:space="preserve"> if the number of inspections is the highest. </w:t>
      </w:r>
      <w:r w:rsidR="00734EE9" w:rsidRPr="00E9734F">
        <w:t xml:space="preserve">Furthermore, every MS is a </w:t>
      </w:r>
      <w:r w:rsidR="00C6384D" w:rsidRPr="00E9734F">
        <w:t>grouping of activities</w:t>
      </w:r>
      <w:r w:rsidR="00DA5B0D" w:rsidRPr="00E9734F">
        <w:t>:</w:t>
      </w:r>
      <w:r w:rsidR="00B471FC" w:rsidRPr="00E9734F">
        <w:t xml:space="preserve"> MS2 includes both refineries and the energy and fuel storage sector, MS3, in addition to chemical plants, also contains pesticide </w:t>
      </w:r>
      <w:r w:rsidR="00B471FC" w:rsidRPr="00BA7DC5">
        <w:t>and fertilizer</w:t>
      </w:r>
      <w:r w:rsidR="00B471FC">
        <w:t xml:space="preserve">, </w:t>
      </w:r>
      <w:r w:rsidR="00B471FC" w:rsidRPr="00BA7DC5">
        <w:t xml:space="preserve">and </w:t>
      </w:r>
      <w:r w:rsidR="00B471FC" w:rsidRPr="00E57751">
        <w:t>pharmaceutical plants.</w:t>
      </w:r>
      <w:r w:rsidR="00BD22ED">
        <w:t xml:space="preserve"> </w:t>
      </w:r>
      <w:r w:rsidR="00ED3341" w:rsidRPr="00BD22ED">
        <w:t xml:space="preserve">MS4 includes highly standardized activities in which the </w:t>
      </w:r>
      <w:r w:rsidR="007C5620" w:rsidRPr="00BD22ED">
        <w:t>OE sheets contain frequently reports of historical accidents that occurred in similar warehouses in European and non-European countries, but they are not included in EsOpIA</w:t>
      </w:r>
      <w:r w:rsidR="00BD22ED" w:rsidRPr="00BD22ED">
        <w:t>.</w:t>
      </w:r>
      <w:r w:rsidR="00BD22ED">
        <w:t xml:space="preserve"> </w:t>
      </w:r>
      <w:r w:rsidR="00E51B1E" w:rsidRPr="00E57751">
        <w:t xml:space="preserve">MS6 is a </w:t>
      </w:r>
      <w:r w:rsidR="00E51B1E" w:rsidRPr="00E57751">
        <w:lastRenderedPageBreak/>
        <w:t>relatively new area, so the total number of documents is lower than the others</w:t>
      </w:r>
      <w:r w:rsidR="0014393F" w:rsidRPr="00E57751">
        <w:t>.</w:t>
      </w:r>
      <w:r w:rsidR="007E13C1" w:rsidRPr="00E57751">
        <w:t xml:space="preserve"> </w:t>
      </w:r>
      <w:r w:rsidR="003760D5" w:rsidRPr="003760D5">
        <w:t xml:space="preserve">The large number of documents in MS7 suggests the need for more in-depth analysis, particularly in relation to logistics and distribution activities </w:t>
      </w:r>
      <w:r w:rsidR="0019029B">
        <w:t>or</w:t>
      </w:r>
      <w:r w:rsidR="003760D5" w:rsidRPr="003760D5">
        <w:t xml:space="preserve"> "Other Activities" category, which may include </w:t>
      </w:r>
      <w:r w:rsidR="00232B88">
        <w:t xml:space="preserve">significant </w:t>
      </w:r>
      <w:r w:rsidR="003760D5" w:rsidRPr="003760D5">
        <w:t>events with lesser-known characteristics than the more generally studied sectors.</w:t>
      </w:r>
    </w:p>
    <w:p w14:paraId="6736E051" w14:textId="1B442B03" w:rsidR="00692FE4" w:rsidRPr="004C451A" w:rsidRDefault="006402EA" w:rsidP="00FB748E">
      <w:pPr>
        <w:pStyle w:val="CETheadingx"/>
      </w:pPr>
      <w:r w:rsidRPr="004C451A">
        <w:t>Search starting from t</w:t>
      </w:r>
      <w:r w:rsidR="001639BB" w:rsidRPr="004C451A">
        <w:t>ypes of events</w:t>
      </w:r>
      <w:r w:rsidR="001A6EB2" w:rsidRPr="004C451A">
        <w:t xml:space="preserve"> </w:t>
      </w:r>
    </w:p>
    <w:p w14:paraId="7E95EE85" w14:textId="30CD4E01" w:rsidR="001348A1" w:rsidRPr="0093712A" w:rsidRDefault="00123FDF" w:rsidP="00D00E44">
      <w:pPr>
        <w:pStyle w:val="CETBodytext"/>
      </w:pPr>
      <w:r w:rsidRPr="0093712A">
        <w:rPr>
          <w:lang w:val="en-GB"/>
        </w:rPr>
        <w:t xml:space="preserve">The </w:t>
      </w:r>
      <w:r w:rsidR="00D66D2C" w:rsidRPr="0093712A">
        <w:rPr>
          <w:lang w:val="en-GB"/>
        </w:rPr>
        <w:t xml:space="preserve">EVENT </w:t>
      </w:r>
      <w:r w:rsidR="00376939" w:rsidRPr="0093712A">
        <w:rPr>
          <w:lang w:val="en-GB"/>
        </w:rPr>
        <w:t xml:space="preserve">concept </w:t>
      </w:r>
      <w:r w:rsidRPr="0093712A">
        <w:rPr>
          <w:lang w:val="en-GB"/>
        </w:rPr>
        <w:t xml:space="preserve">is the starting point of </w:t>
      </w:r>
      <w:r w:rsidR="001A3F9A" w:rsidRPr="0093712A">
        <w:rPr>
          <w:lang w:val="en-GB"/>
        </w:rPr>
        <w:t xml:space="preserve">this </w:t>
      </w:r>
      <w:r w:rsidRPr="0093712A">
        <w:rPr>
          <w:lang w:val="en-GB"/>
        </w:rPr>
        <w:t>search</w:t>
      </w:r>
      <w:r w:rsidR="00806146" w:rsidRPr="0093712A">
        <w:rPr>
          <w:lang w:val="en-GB"/>
        </w:rPr>
        <w:t xml:space="preserve">, </w:t>
      </w:r>
      <w:r w:rsidR="005E715A" w:rsidRPr="0093712A">
        <w:rPr>
          <w:lang w:val="en-GB"/>
        </w:rPr>
        <w:t>it</w:t>
      </w:r>
      <w:r w:rsidR="00806146" w:rsidRPr="0093712A">
        <w:rPr>
          <w:lang w:val="en-GB"/>
        </w:rPr>
        <w:t xml:space="preserve"> is always present in the documents, </w:t>
      </w:r>
      <w:r w:rsidR="00325307" w:rsidRPr="0093712A">
        <w:rPr>
          <w:lang w:val="en-GB"/>
        </w:rPr>
        <w:t xml:space="preserve">because is the reason of </w:t>
      </w:r>
      <w:r w:rsidR="003D34C3" w:rsidRPr="0093712A">
        <w:rPr>
          <w:lang w:val="en-GB"/>
        </w:rPr>
        <w:t xml:space="preserve">itself </w:t>
      </w:r>
      <w:r w:rsidR="00325307" w:rsidRPr="0093712A">
        <w:rPr>
          <w:lang w:val="en-GB"/>
        </w:rPr>
        <w:t xml:space="preserve">document </w:t>
      </w:r>
      <w:r w:rsidR="00E46C54" w:rsidRPr="0093712A">
        <w:rPr>
          <w:lang w:val="en-GB"/>
        </w:rPr>
        <w:t>existence.</w:t>
      </w:r>
      <w:r w:rsidR="00E94503" w:rsidRPr="0093712A">
        <w:rPr>
          <w:lang w:val="en-GB"/>
        </w:rPr>
        <w:t xml:space="preserve"> </w:t>
      </w:r>
      <w:r w:rsidR="00D00E44" w:rsidRPr="0093712A">
        <w:rPr>
          <w:lang w:val="en-GB"/>
        </w:rPr>
        <w:t>In this study</w:t>
      </w:r>
      <w:r w:rsidR="000D76FF" w:rsidRPr="0093712A">
        <w:rPr>
          <w:lang w:val="en-GB"/>
        </w:rPr>
        <w:t xml:space="preserve">, a general search has been </w:t>
      </w:r>
      <w:r w:rsidR="00412416" w:rsidRPr="0093712A">
        <w:rPr>
          <w:lang w:val="en-GB"/>
        </w:rPr>
        <w:t>reported, and</w:t>
      </w:r>
      <w:r w:rsidR="00D00E44" w:rsidRPr="0093712A">
        <w:rPr>
          <w:lang w:val="en-GB"/>
        </w:rPr>
        <w:t xml:space="preserve"> the </w:t>
      </w:r>
      <w:r w:rsidR="00D00E44" w:rsidRPr="0093712A">
        <w:t xml:space="preserve">the number of documents related </w:t>
      </w:r>
      <w:r w:rsidR="00D00E44" w:rsidRPr="0093712A">
        <w:rPr>
          <w:lang w:val="en-GB"/>
        </w:rPr>
        <w:t>the events “loss</w:t>
      </w:r>
      <w:r w:rsidR="000B3E30" w:rsidRPr="0093712A">
        <w:rPr>
          <w:lang w:val="en-GB"/>
        </w:rPr>
        <w:t xml:space="preserve"> of containment</w:t>
      </w:r>
      <w:r w:rsidR="00D00E44" w:rsidRPr="0093712A">
        <w:rPr>
          <w:lang w:val="en-GB"/>
        </w:rPr>
        <w:t xml:space="preserve">”, “failure”, “fire” and “explosion” have been </w:t>
      </w:r>
      <w:r w:rsidR="000D76FF" w:rsidRPr="0093712A">
        <w:rPr>
          <w:lang w:val="en-GB"/>
        </w:rPr>
        <w:t>considered</w:t>
      </w:r>
      <w:r w:rsidR="00D00E44" w:rsidRPr="0093712A">
        <w:rPr>
          <w:lang w:val="en-GB"/>
        </w:rPr>
        <w:t>.</w:t>
      </w:r>
      <w:r w:rsidR="00412416" w:rsidRPr="0093712A">
        <w:rPr>
          <w:lang w:val="en-GB"/>
        </w:rPr>
        <w:t xml:space="preserve"> </w:t>
      </w:r>
      <w:r w:rsidR="00D00E44" w:rsidRPr="0093712A">
        <w:rPr>
          <w:lang w:val="en-GB"/>
        </w:rPr>
        <w:t>By searching these terms, the total number of documents is: Loss (1701), Failure (401), Fire (612) and Explosion (58). As mentioned above</w:t>
      </w:r>
      <w:r w:rsidR="00CF0403" w:rsidRPr="0093712A">
        <w:rPr>
          <w:lang w:val="en-GB"/>
        </w:rPr>
        <w:t>,</w:t>
      </w:r>
      <w:r w:rsidR="00D00E44" w:rsidRPr="0093712A">
        <w:rPr>
          <w:lang w:val="en-GB"/>
        </w:rPr>
        <w:t xml:space="preserve"> only documents related to OE have been considered</w:t>
      </w:r>
      <w:r w:rsidR="00193766" w:rsidRPr="0093712A">
        <w:rPr>
          <w:lang w:val="en-GB"/>
        </w:rPr>
        <w:t>;</w:t>
      </w:r>
      <w:r w:rsidR="005B3460" w:rsidRPr="0093712A">
        <w:rPr>
          <w:lang w:val="en-GB"/>
        </w:rPr>
        <w:t xml:space="preserve"> thus,</w:t>
      </w:r>
      <w:r w:rsidR="00D00E44" w:rsidRPr="0093712A">
        <w:rPr>
          <w:lang w:val="en-GB"/>
        </w:rPr>
        <w:t xml:space="preserve"> </w:t>
      </w:r>
      <w:r w:rsidR="00D00E44" w:rsidRPr="0093712A">
        <w:t>after the application of the filter “Near Miss” on document type</w:t>
      </w:r>
      <w:r w:rsidR="00F33412" w:rsidRPr="0093712A">
        <w:t>, the results are</w:t>
      </w:r>
      <w:r w:rsidR="005B3460" w:rsidRPr="0093712A">
        <w:t xml:space="preserve"> the following</w:t>
      </w:r>
      <w:r w:rsidR="00F33412" w:rsidRPr="0093712A">
        <w:t>:</w:t>
      </w:r>
      <w:r w:rsidR="00D00E44" w:rsidRPr="0093712A">
        <w:t xml:space="preserve"> </w:t>
      </w:r>
      <w:r w:rsidR="00D00E44" w:rsidRPr="0093712A">
        <w:rPr>
          <w:lang w:val="en-GB"/>
        </w:rPr>
        <w:t>Loss (1636), Failure (393), Fire (447) and Explosion (53).</w:t>
      </w:r>
      <w:r w:rsidR="00D00E44" w:rsidRPr="0093712A">
        <w:t xml:space="preserve"> </w:t>
      </w:r>
    </w:p>
    <w:p w14:paraId="7DF349FE" w14:textId="29EF6B37" w:rsidR="001348A1" w:rsidRPr="0093712A" w:rsidRDefault="001348A1" w:rsidP="00D00E44">
      <w:pPr>
        <w:pStyle w:val="CETBodytext"/>
      </w:pPr>
      <w:r w:rsidRPr="0093712A">
        <w:rPr>
          <w:lang w:val="en-GB"/>
        </w:rPr>
        <w:t>The results provide a first overview of the situation in the MSs, it is possible to refine the search to better characterize the events.</w:t>
      </w:r>
    </w:p>
    <w:p w14:paraId="30C0C814" w14:textId="2975005A" w:rsidR="004D660B" w:rsidRPr="0093712A" w:rsidRDefault="006A108A" w:rsidP="00603A11">
      <w:pPr>
        <w:pStyle w:val="CETBodytext"/>
        <w:rPr>
          <w:lang w:val="en-GB"/>
        </w:rPr>
      </w:pPr>
      <w:r w:rsidRPr="0093712A">
        <w:rPr>
          <w:lang w:val="en-GB"/>
        </w:rPr>
        <w:t xml:space="preserve">A first overview of the situation in the MSs related to the </w:t>
      </w:r>
      <w:r w:rsidR="00875DE5" w:rsidRPr="0093712A">
        <w:rPr>
          <w:lang w:val="en-GB"/>
        </w:rPr>
        <w:t>near misses associated to general loss, failure, fire and explosion</w:t>
      </w:r>
      <w:r w:rsidR="002B404A" w:rsidRPr="0093712A">
        <w:rPr>
          <w:lang w:val="en-GB"/>
        </w:rPr>
        <w:t xml:space="preserve"> for each MS has been shown in Table 2. </w:t>
      </w:r>
    </w:p>
    <w:p w14:paraId="3FA02126" w14:textId="2E7F4127" w:rsidR="006A108B" w:rsidRDefault="00FC6DDA" w:rsidP="00FC6DDA">
      <w:pPr>
        <w:pStyle w:val="CETTabletitle"/>
      </w:pPr>
      <w:r w:rsidRPr="00723064">
        <w:t xml:space="preserve">Table </w:t>
      </w:r>
      <w:r w:rsidR="009E5518" w:rsidRPr="00723064">
        <w:t>2</w:t>
      </w:r>
      <w:r w:rsidRPr="00723064">
        <w:t xml:space="preserve">: </w:t>
      </w:r>
      <w:r w:rsidR="00CF7178">
        <w:t>OE</w:t>
      </w:r>
      <w:r w:rsidR="009E5518" w:rsidRPr="00723064">
        <w:t>’ documents for macro-sectors</w:t>
      </w:r>
      <w:r w:rsidR="00F53EDF" w:rsidRPr="00723064">
        <w:t xml:space="preserve"> </w:t>
      </w:r>
    </w:p>
    <w:tbl>
      <w:tblPr>
        <w:tblW w:w="8748"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08"/>
        <w:gridCol w:w="15"/>
        <w:gridCol w:w="962"/>
        <w:gridCol w:w="1134"/>
        <w:gridCol w:w="850"/>
        <w:gridCol w:w="1134"/>
        <w:gridCol w:w="851"/>
        <w:gridCol w:w="992"/>
        <w:gridCol w:w="992"/>
        <w:gridCol w:w="810"/>
      </w:tblGrid>
      <w:tr w:rsidR="00147DCA" w:rsidRPr="00B57B36" w14:paraId="028334B6" w14:textId="74B56C59" w:rsidTr="00A93B55">
        <w:trPr>
          <w:trHeight w:val="278"/>
        </w:trPr>
        <w:tc>
          <w:tcPr>
            <w:tcW w:w="1008" w:type="dxa"/>
            <w:tcBorders>
              <w:top w:val="single" w:sz="12" w:space="0" w:color="008000"/>
              <w:bottom w:val="single" w:sz="6" w:space="0" w:color="008000"/>
            </w:tcBorders>
            <w:shd w:val="clear" w:color="auto" w:fill="FFFFFF"/>
          </w:tcPr>
          <w:p w14:paraId="3983F2CF" w14:textId="55C0F583" w:rsidR="00147DCA" w:rsidRPr="00B57B36" w:rsidRDefault="00147DCA" w:rsidP="00FE27B6">
            <w:pPr>
              <w:pStyle w:val="CETBodytext"/>
              <w:rPr>
                <w:lang w:val="en-GB"/>
              </w:rPr>
            </w:pPr>
            <w:r>
              <w:rPr>
                <w:lang w:val="en-GB"/>
              </w:rPr>
              <w:t>MS</w:t>
            </w:r>
            <w:r w:rsidRPr="00B57B36">
              <w:rPr>
                <w:lang w:val="en-GB"/>
              </w:rPr>
              <w:t xml:space="preserve"> </w:t>
            </w:r>
          </w:p>
        </w:tc>
        <w:tc>
          <w:tcPr>
            <w:tcW w:w="977" w:type="dxa"/>
            <w:gridSpan w:val="2"/>
            <w:tcBorders>
              <w:top w:val="single" w:sz="12" w:space="0" w:color="008000"/>
              <w:bottom w:val="single" w:sz="6" w:space="0" w:color="008000"/>
            </w:tcBorders>
            <w:shd w:val="clear" w:color="auto" w:fill="FFFFFF"/>
          </w:tcPr>
          <w:p w14:paraId="1606C37F" w14:textId="77777777" w:rsidR="00147DCA" w:rsidRPr="00B57B36" w:rsidRDefault="00147DCA" w:rsidP="00FE27B6">
            <w:pPr>
              <w:pStyle w:val="CETBodytext"/>
              <w:rPr>
                <w:lang w:val="en-GB"/>
              </w:rPr>
            </w:pPr>
            <w:r>
              <w:rPr>
                <w:lang w:val="en-GB"/>
              </w:rPr>
              <w:t>Loss</w:t>
            </w:r>
          </w:p>
        </w:tc>
        <w:tc>
          <w:tcPr>
            <w:tcW w:w="1134" w:type="dxa"/>
            <w:tcBorders>
              <w:top w:val="single" w:sz="12" w:space="0" w:color="008000"/>
              <w:bottom w:val="single" w:sz="6" w:space="0" w:color="008000"/>
            </w:tcBorders>
            <w:shd w:val="clear" w:color="auto" w:fill="FFFFFF"/>
          </w:tcPr>
          <w:p w14:paraId="5736951E" w14:textId="179C3077" w:rsidR="00147DCA" w:rsidRDefault="00147DCA" w:rsidP="00FE27B6">
            <w:pPr>
              <w:pStyle w:val="CETBodytext"/>
              <w:rPr>
                <w:lang w:val="en-GB"/>
              </w:rPr>
            </w:pPr>
            <w:r>
              <w:rPr>
                <w:lang w:val="en-GB"/>
              </w:rPr>
              <w:t>%</w:t>
            </w:r>
            <w:r w:rsidRPr="00706DAB">
              <w:rPr>
                <w:lang w:val="en-GB"/>
              </w:rPr>
              <w:t xml:space="preserve"> </w:t>
            </w:r>
            <w:r w:rsidR="00CF7178">
              <w:rPr>
                <w:lang w:val="en-GB"/>
              </w:rPr>
              <w:t>OE</w:t>
            </w:r>
            <w:r w:rsidRPr="00706DAB">
              <w:rPr>
                <w:vertAlign w:val="subscript"/>
                <w:lang w:val="en-GB"/>
              </w:rPr>
              <w:t>Loss</w:t>
            </w:r>
          </w:p>
        </w:tc>
        <w:tc>
          <w:tcPr>
            <w:tcW w:w="850" w:type="dxa"/>
            <w:tcBorders>
              <w:top w:val="single" w:sz="12" w:space="0" w:color="008000"/>
              <w:bottom w:val="single" w:sz="6" w:space="0" w:color="008000"/>
            </w:tcBorders>
            <w:shd w:val="clear" w:color="auto" w:fill="FFFFFF"/>
          </w:tcPr>
          <w:p w14:paraId="1C869FE1" w14:textId="2D9F66C6" w:rsidR="00147DCA" w:rsidRPr="00B57B36" w:rsidRDefault="00147DCA" w:rsidP="00FE27B6">
            <w:pPr>
              <w:pStyle w:val="CETBodytext"/>
              <w:rPr>
                <w:lang w:val="en-GB"/>
              </w:rPr>
            </w:pPr>
            <w:r>
              <w:rPr>
                <w:lang w:val="en-GB"/>
              </w:rPr>
              <w:t>Failure</w:t>
            </w:r>
          </w:p>
        </w:tc>
        <w:tc>
          <w:tcPr>
            <w:tcW w:w="1134" w:type="dxa"/>
            <w:tcBorders>
              <w:top w:val="single" w:sz="12" w:space="0" w:color="008000"/>
              <w:bottom w:val="single" w:sz="6" w:space="0" w:color="008000"/>
            </w:tcBorders>
            <w:shd w:val="clear" w:color="auto" w:fill="FFFFFF"/>
          </w:tcPr>
          <w:p w14:paraId="322CBA11" w14:textId="43413240" w:rsidR="00147DCA" w:rsidRDefault="00147DCA" w:rsidP="0051299B">
            <w:pPr>
              <w:pStyle w:val="CETBodytext"/>
              <w:rPr>
                <w:rFonts w:cs="Arial"/>
                <w:szCs w:val="18"/>
                <w:lang w:val="en-GB"/>
              </w:rPr>
            </w:pPr>
            <w:r>
              <w:rPr>
                <w:lang w:val="en-GB"/>
              </w:rPr>
              <w:t>%</w:t>
            </w:r>
            <w:r w:rsidR="00CF7178">
              <w:rPr>
                <w:lang w:val="en-GB"/>
              </w:rPr>
              <w:t>OE</w:t>
            </w:r>
            <w:r w:rsidRPr="0051299B">
              <w:rPr>
                <w:vertAlign w:val="subscript"/>
                <w:lang w:val="en-GB"/>
              </w:rPr>
              <w:t>Failure</w:t>
            </w:r>
          </w:p>
        </w:tc>
        <w:tc>
          <w:tcPr>
            <w:tcW w:w="851" w:type="dxa"/>
            <w:tcBorders>
              <w:top w:val="single" w:sz="12" w:space="0" w:color="008000"/>
              <w:bottom w:val="single" w:sz="6" w:space="0" w:color="008000"/>
            </w:tcBorders>
            <w:shd w:val="clear" w:color="auto" w:fill="FFFFFF"/>
          </w:tcPr>
          <w:p w14:paraId="73B02BD0" w14:textId="59F1F40F" w:rsidR="00147DCA" w:rsidRPr="00B57B36" w:rsidRDefault="00147DCA" w:rsidP="00FE27B6">
            <w:pPr>
              <w:pStyle w:val="CETBodytext"/>
              <w:ind w:right="-1"/>
              <w:rPr>
                <w:rFonts w:cs="Arial"/>
                <w:szCs w:val="18"/>
                <w:lang w:val="en-GB"/>
              </w:rPr>
            </w:pPr>
            <w:r>
              <w:rPr>
                <w:rFonts w:cs="Arial"/>
                <w:szCs w:val="18"/>
                <w:lang w:val="en-GB"/>
              </w:rPr>
              <w:t>Fire</w:t>
            </w:r>
          </w:p>
        </w:tc>
        <w:tc>
          <w:tcPr>
            <w:tcW w:w="992" w:type="dxa"/>
            <w:tcBorders>
              <w:top w:val="single" w:sz="12" w:space="0" w:color="008000"/>
              <w:bottom w:val="single" w:sz="6" w:space="0" w:color="008000"/>
            </w:tcBorders>
            <w:shd w:val="clear" w:color="auto" w:fill="FFFFFF"/>
          </w:tcPr>
          <w:p w14:paraId="163D9A96" w14:textId="3D9A9021" w:rsidR="00147DCA" w:rsidRDefault="00147DCA" w:rsidP="00FE27B6">
            <w:pPr>
              <w:pStyle w:val="CETBodytext"/>
              <w:ind w:right="-1"/>
              <w:rPr>
                <w:rFonts w:cs="Arial"/>
                <w:szCs w:val="18"/>
                <w:lang w:val="en-GB"/>
              </w:rPr>
            </w:pPr>
            <w:r>
              <w:rPr>
                <w:lang w:val="en-GB"/>
              </w:rPr>
              <w:t>%</w:t>
            </w:r>
            <w:r w:rsidR="00CF7178">
              <w:rPr>
                <w:lang w:val="en-GB"/>
              </w:rPr>
              <w:t>OE</w:t>
            </w:r>
            <w:r w:rsidRPr="00F020F3">
              <w:rPr>
                <w:vertAlign w:val="subscript"/>
                <w:lang w:val="en-GB"/>
              </w:rPr>
              <w:t>Fire</w:t>
            </w:r>
          </w:p>
        </w:tc>
        <w:tc>
          <w:tcPr>
            <w:tcW w:w="992" w:type="dxa"/>
            <w:tcBorders>
              <w:top w:val="single" w:sz="12" w:space="0" w:color="008000"/>
              <w:bottom w:val="single" w:sz="6" w:space="0" w:color="008000"/>
            </w:tcBorders>
            <w:shd w:val="clear" w:color="auto" w:fill="FFFFFF"/>
          </w:tcPr>
          <w:p w14:paraId="3ED0DA13" w14:textId="159D5D34" w:rsidR="00147DCA" w:rsidRDefault="00147DCA" w:rsidP="00FE27B6">
            <w:pPr>
              <w:pStyle w:val="CETBodytext"/>
              <w:ind w:right="-1"/>
              <w:rPr>
                <w:rFonts w:cs="Arial"/>
                <w:szCs w:val="18"/>
                <w:lang w:val="en-GB"/>
              </w:rPr>
            </w:pPr>
            <w:r>
              <w:rPr>
                <w:rFonts w:cs="Arial"/>
                <w:szCs w:val="18"/>
                <w:lang w:val="en-GB"/>
              </w:rPr>
              <w:t>Explosion</w:t>
            </w:r>
          </w:p>
        </w:tc>
        <w:tc>
          <w:tcPr>
            <w:tcW w:w="810" w:type="dxa"/>
            <w:tcBorders>
              <w:top w:val="single" w:sz="12" w:space="0" w:color="008000"/>
              <w:bottom w:val="single" w:sz="6" w:space="0" w:color="008000"/>
            </w:tcBorders>
            <w:shd w:val="clear" w:color="auto" w:fill="FFFFFF"/>
          </w:tcPr>
          <w:p w14:paraId="6F0A78FB" w14:textId="2724C887" w:rsidR="00147DCA" w:rsidRDefault="00D1131F" w:rsidP="00FE27B6">
            <w:pPr>
              <w:pStyle w:val="CETBodytext"/>
              <w:ind w:right="-1"/>
              <w:rPr>
                <w:rFonts w:cs="Arial"/>
                <w:szCs w:val="18"/>
                <w:lang w:val="en-GB"/>
              </w:rPr>
            </w:pPr>
            <w:r>
              <w:rPr>
                <w:rFonts w:cs="Arial"/>
                <w:szCs w:val="18"/>
                <w:lang w:val="en-GB"/>
              </w:rPr>
              <w:t>%</w:t>
            </w:r>
            <w:r w:rsidR="00CF7178">
              <w:rPr>
                <w:rFonts w:cs="Arial"/>
                <w:szCs w:val="18"/>
                <w:lang w:val="en-GB"/>
              </w:rPr>
              <w:t>OE</w:t>
            </w:r>
            <w:r w:rsidRPr="00D1131F">
              <w:rPr>
                <w:rFonts w:cs="Arial"/>
                <w:szCs w:val="18"/>
                <w:vertAlign w:val="subscript"/>
                <w:lang w:val="en-GB"/>
              </w:rPr>
              <w:t>Expl</w:t>
            </w:r>
          </w:p>
        </w:tc>
      </w:tr>
      <w:tr w:rsidR="00A93B55" w14:paraId="38BA9E72" w14:textId="6EB0FEDB" w:rsidTr="00A93B55">
        <w:trPr>
          <w:trHeight w:val="109"/>
        </w:trPr>
        <w:tc>
          <w:tcPr>
            <w:tcW w:w="1008" w:type="dxa"/>
            <w:shd w:val="clear" w:color="auto" w:fill="FFFFFF"/>
          </w:tcPr>
          <w:p w14:paraId="7E89D3EC" w14:textId="77777777" w:rsidR="00147DCA" w:rsidRDefault="00147DCA" w:rsidP="00FE27B6">
            <w:pPr>
              <w:pStyle w:val="CETBodytext"/>
              <w:rPr>
                <w:lang w:val="en-GB"/>
              </w:rPr>
            </w:pPr>
            <w:r>
              <w:rPr>
                <w:lang w:val="en-GB"/>
              </w:rPr>
              <w:t>MS1</w:t>
            </w:r>
          </w:p>
        </w:tc>
        <w:tc>
          <w:tcPr>
            <w:tcW w:w="15" w:type="dxa"/>
            <w:shd w:val="clear" w:color="auto" w:fill="FFFFFF"/>
          </w:tcPr>
          <w:p w14:paraId="08941294" w14:textId="77777777" w:rsidR="00147DCA" w:rsidRPr="00B57B36" w:rsidRDefault="00147DCA" w:rsidP="00FE27B6">
            <w:pPr>
              <w:pStyle w:val="CETBodytext"/>
              <w:rPr>
                <w:lang w:val="en-GB"/>
              </w:rPr>
            </w:pPr>
          </w:p>
        </w:tc>
        <w:tc>
          <w:tcPr>
            <w:tcW w:w="962" w:type="dxa"/>
            <w:shd w:val="clear" w:color="auto" w:fill="FFFFFF"/>
          </w:tcPr>
          <w:p w14:paraId="33997C53" w14:textId="77777777" w:rsidR="00147DCA" w:rsidRDefault="00147DCA" w:rsidP="00FE27B6">
            <w:pPr>
              <w:pStyle w:val="CETBodytext"/>
              <w:ind w:right="-1"/>
              <w:rPr>
                <w:rFonts w:cs="Arial"/>
                <w:szCs w:val="18"/>
                <w:lang w:val="en-GB"/>
              </w:rPr>
            </w:pPr>
            <w:r>
              <w:rPr>
                <w:rFonts w:cs="Arial"/>
                <w:szCs w:val="18"/>
                <w:lang w:val="en-GB"/>
              </w:rPr>
              <w:t>39</w:t>
            </w:r>
          </w:p>
        </w:tc>
        <w:tc>
          <w:tcPr>
            <w:tcW w:w="1134" w:type="dxa"/>
            <w:shd w:val="clear" w:color="auto" w:fill="FFFFFF"/>
          </w:tcPr>
          <w:p w14:paraId="13C65A53" w14:textId="13467BCC" w:rsidR="00147DCA" w:rsidRPr="00F66627" w:rsidRDefault="00147DCA" w:rsidP="00FE27B6">
            <w:pPr>
              <w:pStyle w:val="CETBodytext"/>
              <w:ind w:right="-1"/>
              <w:rPr>
                <w:rFonts w:cs="Arial"/>
                <w:szCs w:val="18"/>
                <w:lang w:val="en-GB"/>
              </w:rPr>
            </w:pPr>
            <w:r>
              <w:rPr>
                <w:rFonts w:cs="Arial"/>
                <w:szCs w:val="18"/>
                <w:lang w:val="en-GB"/>
              </w:rPr>
              <w:t>2%</w:t>
            </w:r>
          </w:p>
        </w:tc>
        <w:tc>
          <w:tcPr>
            <w:tcW w:w="850" w:type="dxa"/>
            <w:shd w:val="clear" w:color="auto" w:fill="FFFFFF"/>
          </w:tcPr>
          <w:p w14:paraId="22435DB6" w14:textId="706CAA18" w:rsidR="00147DCA" w:rsidRPr="00F66627" w:rsidRDefault="00147DCA" w:rsidP="00FE27B6">
            <w:pPr>
              <w:pStyle w:val="CETBodytext"/>
              <w:ind w:right="-1"/>
              <w:rPr>
                <w:rFonts w:cs="Arial"/>
                <w:szCs w:val="18"/>
                <w:lang w:val="en-GB"/>
              </w:rPr>
            </w:pPr>
            <w:r w:rsidRPr="00F66627">
              <w:rPr>
                <w:rFonts w:cs="Arial"/>
                <w:szCs w:val="18"/>
                <w:lang w:val="en-GB"/>
              </w:rPr>
              <w:t>18</w:t>
            </w:r>
          </w:p>
        </w:tc>
        <w:tc>
          <w:tcPr>
            <w:tcW w:w="1134" w:type="dxa"/>
          </w:tcPr>
          <w:p w14:paraId="384530FD" w14:textId="0D8A9223" w:rsidR="00147DCA" w:rsidRDefault="00147DCA" w:rsidP="00FE27B6">
            <w:pPr>
              <w:pStyle w:val="CETBodytext"/>
              <w:ind w:right="-1"/>
              <w:rPr>
                <w:rFonts w:cs="Arial"/>
                <w:szCs w:val="18"/>
                <w:lang w:val="en-GB"/>
              </w:rPr>
            </w:pPr>
            <w:r>
              <w:rPr>
                <w:rFonts w:cs="Arial"/>
                <w:szCs w:val="18"/>
                <w:lang w:val="en-GB"/>
              </w:rPr>
              <w:t>5%</w:t>
            </w:r>
          </w:p>
        </w:tc>
        <w:tc>
          <w:tcPr>
            <w:tcW w:w="851" w:type="dxa"/>
          </w:tcPr>
          <w:p w14:paraId="0D6ED5A1" w14:textId="331B457A" w:rsidR="00147DCA" w:rsidRDefault="00147DCA" w:rsidP="00FE27B6">
            <w:pPr>
              <w:pStyle w:val="CETBodytext"/>
              <w:ind w:right="-1"/>
              <w:rPr>
                <w:rFonts w:cs="Arial"/>
                <w:szCs w:val="18"/>
                <w:lang w:val="en-GB"/>
              </w:rPr>
            </w:pPr>
            <w:r>
              <w:rPr>
                <w:rFonts w:cs="Arial"/>
                <w:szCs w:val="18"/>
                <w:lang w:val="en-GB"/>
              </w:rPr>
              <w:t>33</w:t>
            </w:r>
          </w:p>
        </w:tc>
        <w:tc>
          <w:tcPr>
            <w:tcW w:w="992" w:type="dxa"/>
          </w:tcPr>
          <w:p w14:paraId="4BD91F7B" w14:textId="481FE91D" w:rsidR="00147DCA" w:rsidRDefault="00147DCA" w:rsidP="00FE27B6">
            <w:pPr>
              <w:pStyle w:val="CETBodytext"/>
              <w:ind w:right="-1"/>
              <w:rPr>
                <w:rFonts w:cs="Arial"/>
                <w:szCs w:val="18"/>
                <w:lang w:val="en-GB"/>
              </w:rPr>
            </w:pPr>
            <w:r>
              <w:rPr>
                <w:rFonts w:cs="Arial"/>
                <w:szCs w:val="18"/>
                <w:lang w:val="en-GB"/>
              </w:rPr>
              <w:t>7%</w:t>
            </w:r>
          </w:p>
        </w:tc>
        <w:tc>
          <w:tcPr>
            <w:tcW w:w="992" w:type="dxa"/>
          </w:tcPr>
          <w:p w14:paraId="044BA47F" w14:textId="0D3A14BC" w:rsidR="00147DCA" w:rsidRDefault="00147DCA" w:rsidP="00FE27B6">
            <w:pPr>
              <w:pStyle w:val="CETBodytext"/>
              <w:ind w:right="-1"/>
              <w:rPr>
                <w:rFonts w:cs="Arial"/>
                <w:szCs w:val="18"/>
                <w:lang w:val="en-GB"/>
              </w:rPr>
            </w:pPr>
            <w:r>
              <w:rPr>
                <w:rFonts w:cs="Arial"/>
                <w:szCs w:val="18"/>
                <w:lang w:val="en-GB"/>
              </w:rPr>
              <w:t>4</w:t>
            </w:r>
          </w:p>
        </w:tc>
        <w:tc>
          <w:tcPr>
            <w:tcW w:w="810" w:type="dxa"/>
          </w:tcPr>
          <w:p w14:paraId="172E18F6" w14:textId="5B9329C5" w:rsidR="00147DCA" w:rsidRDefault="003550A6" w:rsidP="00FE27B6">
            <w:pPr>
              <w:pStyle w:val="CETBodytext"/>
              <w:ind w:right="-1"/>
              <w:rPr>
                <w:rFonts w:cs="Arial"/>
                <w:szCs w:val="18"/>
                <w:lang w:val="en-GB"/>
              </w:rPr>
            </w:pPr>
            <w:r>
              <w:rPr>
                <w:rFonts w:cs="Arial"/>
                <w:szCs w:val="18"/>
                <w:lang w:val="en-GB"/>
              </w:rPr>
              <w:t>8%</w:t>
            </w:r>
          </w:p>
        </w:tc>
      </w:tr>
      <w:tr w:rsidR="00A93B55" w14:paraId="366F39CE" w14:textId="2968778C" w:rsidTr="00A93B55">
        <w:trPr>
          <w:trHeight w:val="109"/>
        </w:trPr>
        <w:tc>
          <w:tcPr>
            <w:tcW w:w="1008" w:type="dxa"/>
            <w:shd w:val="clear" w:color="auto" w:fill="FFFFFF"/>
          </w:tcPr>
          <w:p w14:paraId="6A5D5C25" w14:textId="77777777" w:rsidR="00147DCA" w:rsidRPr="00B57B36" w:rsidRDefault="00147DCA" w:rsidP="00FE27B6">
            <w:pPr>
              <w:pStyle w:val="CETBodytext"/>
              <w:rPr>
                <w:lang w:val="en-GB"/>
              </w:rPr>
            </w:pPr>
            <w:r>
              <w:rPr>
                <w:lang w:val="en-GB"/>
              </w:rPr>
              <w:t>MS2</w:t>
            </w:r>
          </w:p>
        </w:tc>
        <w:tc>
          <w:tcPr>
            <w:tcW w:w="15" w:type="dxa"/>
            <w:shd w:val="clear" w:color="auto" w:fill="FFFFFF"/>
          </w:tcPr>
          <w:p w14:paraId="1AA4E464" w14:textId="77777777" w:rsidR="00147DCA" w:rsidRPr="00B57B36" w:rsidRDefault="00147DCA" w:rsidP="00FE27B6">
            <w:pPr>
              <w:pStyle w:val="CETBodytext"/>
              <w:rPr>
                <w:lang w:val="en-GB"/>
              </w:rPr>
            </w:pPr>
          </w:p>
        </w:tc>
        <w:tc>
          <w:tcPr>
            <w:tcW w:w="962" w:type="dxa"/>
            <w:shd w:val="clear" w:color="auto" w:fill="FFFFFF"/>
          </w:tcPr>
          <w:p w14:paraId="42DA87DA" w14:textId="77777777" w:rsidR="00147DCA" w:rsidRPr="00B57B36" w:rsidRDefault="00147DCA" w:rsidP="00FE27B6">
            <w:pPr>
              <w:pStyle w:val="CETBodytext"/>
              <w:ind w:right="-1"/>
              <w:rPr>
                <w:rFonts w:cs="Arial"/>
                <w:szCs w:val="18"/>
                <w:lang w:val="en-GB"/>
              </w:rPr>
            </w:pPr>
            <w:r>
              <w:rPr>
                <w:rFonts w:cs="Arial"/>
                <w:szCs w:val="18"/>
                <w:lang w:val="en-GB"/>
              </w:rPr>
              <w:t>317</w:t>
            </w:r>
          </w:p>
        </w:tc>
        <w:tc>
          <w:tcPr>
            <w:tcW w:w="1134" w:type="dxa"/>
            <w:shd w:val="clear" w:color="auto" w:fill="FFFFFF"/>
          </w:tcPr>
          <w:p w14:paraId="559F129F" w14:textId="0C518ECF" w:rsidR="00147DCA" w:rsidRPr="00F66627" w:rsidRDefault="00147DCA" w:rsidP="00FE27B6">
            <w:pPr>
              <w:pStyle w:val="CETBodytext"/>
              <w:ind w:right="-1"/>
              <w:rPr>
                <w:rFonts w:cs="Arial"/>
                <w:szCs w:val="18"/>
                <w:lang w:val="en-GB"/>
              </w:rPr>
            </w:pPr>
            <w:r>
              <w:rPr>
                <w:rFonts w:cs="Arial"/>
                <w:szCs w:val="18"/>
                <w:lang w:val="en-GB"/>
              </w:rPr>
              <w:t>19%</w:t>
            </w:r>
          </w:p>
        </w:tc>
        <w:tc>
          <w:tcPr>
            <w:tcW w:w="850" w:type="dxa"/>
            <w:shd w:val="clear" w:color="auto" w:fill="FFFFFF"/>
          </w:tcPr>
          <w:p w14:paraId="549A8086" w14:textId="047D4A7B" w:rsidR="00147DCA" w:rsidRPr="00F66627" w:rsidRDefault="00147DCA" w:rsidP="00FE27B6">
            <w:pPr>
              <w:pStyle w:val="CETBodytext"/>
              <w:ind w:right="-1"/>
              <w:rPr>
                <w:rFonts w:cs="Arial"/>
                <w:szCs w:val="18"/>
                <w:lang w:val="en-GB"/>
              </w:rPr>
            </w:pPr>
            <w:r w:rsidRPr="00F66627">
              <w:rPr>
                <w:rFonts w:cs="Arial"/>
                <w:szCs w:val="18"/>
                <w:lang w:val="en-GB"/>
              </w:rPr>
              <w:t>46</w:t>
            </w:r>
          </w:p>
        </w:tc>
        <w:tc>
          <w:tcPr>
            <w:tcW w:w="1134" w:type="dxa"/>
          </w:tcPr>
          <w:p w14:paraId="79D02C77" w14:textId="24A2BFCF" w:rsidR="00147DCA" w:rsidRDefault="00147DCA" w:rsidP="00FE27B6">
            <w:pPr>
              <w:pStyle w:val="CETBodytext"/>
              <w:ind w:right="-1"/>
              <w:rPr>
                <w:rFonts w:cs="Arial"/>
                <w:szCs w:val="18"/>
                <w:lang w:val="en-GB"/>
              </w:rPr>
            </w:pPr>
            <w:r>
              <w:rPr>
                <w:rFonts w:cs="Arial"/>
                <w:szCs w:val="18"/>
                <w:lang w:val="en-GB"/>
              </w:rPr>
              <w:t>12%</w:t>
            </w:r>
          </w:p>
        </w:tc>
        <w:tc>
          <w:tcPr>
            <w:tcW w:w="851" w:type="dxa"/>
          </w:tcPr>
          <w:p w14:paraId="464175B6" w14:textId="36A52D86" w:rsidR="00147DCA" w:rsidRPr="00F66627" w:rsidRDefault="00147DCA" w:rsidP="00FE27B6">
            <w:pPr>
              <w:pStyle w:val="CETBodytext"/>
              <w:ind w:right="-1"/>
              <w:rPr>
                <w:rFonts w:cs="Arial"/>
                <w:szCs w:val="18"/>
                <w:lang w:val="en-GB"/>
              </w:rPr>
            </w:pPr>
            <w:r>
              <w:rPr>
                <w:rFonts w:cs="Arial"/>
                <w:szCs w:val="18"/>
                <w:lang w:val="en-GB"/>
              </w:rPr>
              <w:t>110</w:t>
            </w:r>
          </w:p>
        </w:tc>
        <w:tc>
          <w:tcPr>
            <w:tcW w:w="992" w:type="dxa"/>
          </w:tcPr>
          <w:p w14:paraId="57137A49" w14:textId="0DB699D2" w:rsidR="00147DCA" w:rsidRDefault="00147DCA" w:rsidP="00FE27B6">
            <w:pPr>
              <w:pStyle w:val="CETBodytext"/>
              <w:ind w:right="-1"/>
              <w:rPr>
                <w:rFonts w:cs="Arial"/>
                <w:szCs w:val="18"/>
                <w:lang w:val="en-GB"/>
              </w:rPr>
            </w:pPr>
            <w:r>
              <w:rPr>
                <w:rFonts w:cs="Arial"/>
                <w:szCs w:val="18"/>
                <w:lang w:val="en-GB"/>
              </w:rPr>
              <w:t>25%</w:t>
            </w:r>
          </w:p>
        </w:tc>
        <w:tc>
          <w:tcPr>
            <w:tcW w:w="992" w:type="dxa"/>
          </w:tcPr>
          <w:p w14:paraId="793367EE" w14:textId="083A3310" w:rsidR="00147DCA" w:rsidRDefault="00147DCA" w:rsidP="00FE27B6">
            <w:pPr>
              <w:pStyle w:val="CETBodytext"/>
              <w:ind w:right="-1"/>
              <w:rPr>
                <w:rFonts w:cs="Arial"/>
                <w:szCs w:val="18"/>
                <w:lang w:val="en-GB"/>
              </w:rPr>
            </w:pPr>
            <w:r>
              <w:rPr>
                <w:rFonts w:cs="Arial"/>
                <w:szCs w:val="18"/>
                <w:lang w:val="en-GB"/>
              </w:rPr>
              <w:t>0</w:t>
            </w:r>
          </w:p>
        </w:tc>
        <w:tc>
          <w:tcPr>
            <w:tcW w:w="810" w:type="dxa"/>
          </w:tcPr>
          <w:p w14:paraId="27BEF015" w14:textId="66067FFA" w:rsidR="00147DCA" w:rsidRDefault="003550A6" w:rsidP="00FE27B6">
            <w:pPr>
              <w:pStyle w:val="CETBodytext"/>
              <w:ind w:right="-1"/>
              <w:rPr>
                <w:rFonts w:cs="Arial"/>
                <w:szCs w:val="18"/>
                <w:lang w:val="en-GB"/>
              </w:rPr>
            </w:pPr>
            <w:r>
              <w:rPr>
                <w:rFonts w:cs="Arial"/>
                <w:szCs w:val="18"/>
                <w:lang w:val="en-GB"/>
              </w:rPr>
              <w:t>0%</w:t>
            </w:r>
          </w:p>
        </w:tc>
      </w:tr>
      <w:tr w:rsidR="00A93B55" w14:paraId="76DA5B25" w14:textId="45E92C87" w:rsidTr="00A93B55">
        <w:trPr>
          <w:trHeight w:val="278"/>
        </w:trPr>
        <w:tc>
          <w:tcPr>
            <w:tcW w:w="1008" w:type="dxa"/>
            <w:shd w:val="clear" w:color="auto" w:fill="FFFFFF"/>
          </w:tcPr>
          <w:p w14:paraId="64095FA9" w14:textId="77777777" w:rsidR="00147DCA" w:rsidRDefault="00147DCA" w:rsidP="00FE27B6">
            <w:pPr>
              <w:pStyle w:val="CETBodytext"/>
              <w:rPr>
                <w:lang w:val="en-GB"/>
              </w:rPr>
            </w:pPr>
            <w:r>
              <w:rPr>
                <w:lang w:val="en-GB"/>
              </w:rPr>
              <w:t>MS3</w:t>
            </w:r>
          </w:p>
        </w:tc>
        <w:tc>
          <w:tcPr>
            <w:tcW w:w="15" w:type="dxa"/>
            <w:shd w:val="clear" w:color="auto" w:fill="FFFFFF"/>
          </w:tcPr>
          <w:p w14:paraId="56A7CFB4" w14:textId="77777777" w:rsidR="00147DCA" w:rsidRPr="00B57B36" w:rsidRDefault="00147DCA" w:rsidP="00FE27B6">
            <w:pPr>
              <w:pStyle w:val="CETBodytext"/>
              <w:rPr>
                <w:lang w:val="en-GB"/>
              </w:rPr>
            </w:pPr>
          </w:p>
        </w:tc>
        <w:tc>
          <w:tcPr>
            <w:tcW w:w="962" w:type="dxa"/>
            <w:shd w:val="clear" w:color="auto" w:fill="FFFFFF"/>
          </w:tcPr>
          <w:p w14:paraId="7ED80926" w14:textId="77777777" w:rsidR="00147DCA" w:rsidRPr="00B57B36" w:rsidRDefault="00147DCA" w:rsidP="00FE27B6">
            <w:pPr>
              <w:pStyle w:val="CETBodytext"/>
              <w:ind w:right="-1"/>
              <w:rPr>
                <w:rFonts w:cs="Arial"/>
                <w:szCs w:val="18"/>
                <w:lang w:val="en-GB"/>
              </w:rPr>
            </w:pPr>
            <w:r>
              <w:rPr>
                <w:rFonts w:cs="Arial"/>
                <w:szCs w:val="18"/>
                <w:lang w:val="en-GB"/>
              </w:rPr>
              <w:t>950</w:t>
            </w:r>
          </w:p>
        </w:tc>
        <w:tc>
          <w:tcPr>
            <w:tcW w:w="1134" w:type="dxa"/>
            <w:shd w:val="clear" w:color="auto" w:fill="FFFFFF"/>
          </w:tcPr>
          <w:p w14:paraId="72B59163" w14:textId="2E3F1174" w:rsidR="00147DCA" w:rsidRPr="00F66627" w:rsidRDefault="00147DCA" w:rsidP="00FE27B6">
            <w:pPr>
              <w:pStyle w:val="CETBodytext"/>
              <w:ind w:right="-1"/>
              <w:rPr>
                <w:rFonts w:cs="Arial"/>
                <w:szCs w:val="18"/>
                <w:lang w:val="en-GB"/>
              </w:rPr>
            </w:pPr>
            <w:r>
              <w:rPr>
                <w:rFonts w:cs="Arial"/>
                <w:szCs w:val="18"/>
                <w:lang w:val="en-GB"/>
              </w:rPr>
              <w:t>58%</w:t>
            </w:r>
          </w:p>
        </w:tc>
        <w:tc>
          <w:tcPr>
            <w:tcW w:w="850" w:type="dxa"/>
            <w:shd w:val="clear" w:color="auto" w:fill="FFFFFF"/>
          </w:tcPr>
          <w:p w14:paraId="40E3F210" w14:textId="13DBCF8A" w:rsidR="00147DCA" w:rsidRPr="00F66627" w:rsidRDefault="00147DCA" w:rsidP="00FE27B6">
            <w:pPr>
              <w:pStyle w:val="CETBodytext"/>
              <w:ind w:right="-1"/>
              <w:rPr>
                <w:rFonts w:cs="Arial"/>
                <w:szCs w:val="18"/>
                <w:lang w:val="en-GB"/>
              </w:rPr>
            </w:pPr>
            <w:r w:rsidRPr="00F66627">
              <w:rPr>
                <w:rFonts w:cs="Arial"/>
                <w:szCs w:val="18"/>
                <w:lang w:val="en-GB"/>
              </w:rPr>
              <w:t>209</w:t>
            </w:r>
          </w:p>
        </w:tc>
        <w:tc>
          <w:tcPr>
            <w:tcW w:w="1134" w:type="dxa"/>
          </w:tcPr>
          <w:p w14:paraId="20BBEAF7" w14:textId="65F900B4" w:rsidR="00147DCA" w:rsidRDefault="00147DCA" w:rsidP="00FE27B6">
            <w:pPr>
              <w:pStyle w:val="CETBodytext"/>
              <w:rPr>
                <w:rFonts w:cs="Arial"/>
                <w:szCs w:val="18"/>
                <w:lang w:val="en-GB"/>
              </w:rPr>
            </w:pPr>
            <w:r>
              <w:rPr>
                <w:rFonts w:cs="Arial"/>
                <w:szCs w:val="18"/>
                <w:lang w:val="en-GB"/>
              </w:rPr>
              <w:t>53%</w:t>
            </w:r>
          </w:p>
        </w:tc>
        <w:tc>
          <w:tcPr>
            <w:tcW w:w="851" w:type="dxa"/>
          </w:tcPr>
          <w:p w14:paraId="03CA2203" w14:textId="77234FDE" w:rsidR="00147DCA" w:rsidRPr="00F66627" w:rsidRDefault="00147DCA" w:rsidP="00FE27B6">
            <w:pPr>
              <w:pStyle w:val="CETBodytext"/>
              <w:rPr>
                <w:rFonts w:cs="Arial"/>
                <w:szCs w:val="18"/>
                <w:lang w:val="en-GB"/>
              </w:rPr>
            </w:pPr>
            <w:r>
              <w:rPr>
                <w:rFonts w:cs="Arial"/>
                <w:szCs w:val="18"/>
                <w:lang w:val="en-GB"/>
              </w:rPr>
              <w:t>134</w:t>
            </w:r>
          </w:p>
        </w:tc>
        <w:tc>
          <w:tcPr>
            <w:tcW w:w="992" w:type="dxa"/>
          </w:tcPr>
          <w:p w14:paraId="751EDC79" w14:textId="1E3F128B" w:rsidR="00147DCA" w:rsidRDefault="00147DCA" w:rsidP="00FE27B6">
            <w:pPr>
              <w:pStyle w:val="CETBodytext"/>
              <w:ind w:right="-1"/>
              <w:rPr>
                <w:rFonts w:cs="Arial"/>
                <w:szCs w:val="18"/>
                <w:lang w:val="en-GB"/>
              </w:rPr>
            </w:pPr>
            <w:r>
              <w:rPr>
                <w:rFonts w:cs="Arial"/>
                <w:szCs w:val="18"/>
                <w:lang w:val="en-GB"/>
              </w:rPr>
              <w:t>30%</w:t>
            </w:r>
          </w:p>
        </w:tc>
        <w:tc>
          <w:tcPr>
            <w:tcW w:w="992" w:type="dxa"/>
          </w:tcPr>
          <w:p w14:paraId="373825DE" w14:textId="26BA3308" w:rsidR="00147DCA" w:rsidRDefault="00147DCA" w:rsidP="00FE27B6">
            <w:pPr>
              <w:pStyle w:val="CETBodytext"/>
              <w:ind w:right="-1"/>
              <w:rPr>
                <w:rFonts w:cs="Arial"/>
                <w:szCs w:val="18"/>
                <w:lang w:val="en-GB"/>
              </w:rPr>
            </w:pPr>
            <w:r>
              <w:rPr>
                <w:rFonts w:cs="Arial"/>
                <w:szCs w:val="18"/>
                <w:lang w:val="en-GB"/>
              </w:rPr>
              <w:t>29</w:t>
            </w:r>
          </w:p>
        </w:tc>
        <w:tc>
          <w:tcPr>
            <w:tcW w:w="810" w:type="dxa"/>
          </w:tcPr>
          <w:p w14:paraId="1D5E1F1F" w14:textId="0AAA8DB1" w:rsidR="00147DCA" w:rsidRDefault="003550A6" w:rsidP="00FE27B6">
            <w:pPr>
              <w:pStyle w:val="CETBodytext"/>
              <w:ind w:right="-1"/>
              <w:rPr>
                <w:rFonts w:cs="Arial"/>
                <w:szCs w:val="18"/>
                <w:lang w:val="en-GB"/>
              </w:rPr>
            </w:pPr>
            <w:r>
              <w:rPr>
                <w:rFonts w:cs="Arial"/>
                <w:szCs w:val="18"/>
                <w:lang w:val="en-GB"/>
              </w:rPr>
              <w:t>55%</w:t>
            </w:r>
          </w:p>
        </w:tc>
      </w:tr>
      <w:tr w:rsidR="00A93B55" w14:paraId="40E45DCA" w14:textId="5B1DA68A" w:rsidTr="00A93B55">
        <w:trPr>
          <w:trHeight w:val="285"/>
        </w:trPr>
        <w:tc>
          <w:tcPr>
            <w:tcW w:w="1008" w:type="dxa"/>
            <w:shd w:val="clear" w:color="auto" w:fill="FFFFFF"/>
          </w:tcPr>
          <w:p w14:paraId="31E78F41" w14:textId="77777777" w:rsidR="00147DCA" w:rsidRDefault="00147DCA" w:rsidP="00FE27B6">
            <w:pPr>
              <w:pStyle w:val="CETBodytext"/>
              <w:rPr>
                <w:lang w:val="en-GB"/>
              </w:rPr>
            </w:pPr>
            <w:r>
              <w:rPr>
                <w:lang w:val="en-GB"/>
              </w:rPr>
              <w:t>MS4</w:t>
            </w:r>
          </w:p>
        </w:tc>
        <w:tc>
          <w:tcPr>
            <w:tcW w:w="15" w:type="dxa"/>
            <w:shd w:val="clear" w:color="auto" w:fill="FFFFFF"/>
          </w:tcPr>
          <w:p w14:paraId="1B6F9159" w14:textId="77777777" w:rsidR="00147DCA" w:rsidRPr="00B57B36" w:rsidRDefault="00147DCA" w:rsidP="00FE27B6">
            <w:pPr>
              <w:pStyle w:val="CETBodytext"/>
              <w:rPr>
                <w:lang w:val="en-GB"/>
              </w:rPr>
            </w:pPr>
          </w:p>
        </w:tc>
        <w:tc>
          <w:tcPr>
            <w:tcW w:w="962" w:type="dxa"/>
            <w:shd w:val="clear" w:color="auto" w:fill="FFFFFF"/>
          </w:tcPr>
          <w:p w14:paraId="2227C9EB" w14:textId="77777777" w:rsidR="00147DCA" w:rsidRPr="00B57B36" w:rsidRDefault="00147DCA" w:rsidP="00FE27B6">
            <w:pPr>
              <w:pStyle w:val="CETBodytext"/>
              <w:ind w:right="-1"/>
              <w:rPr>
                <w:rFonts w:cs="Arial"/>
                <w:szCs w:val="18"/>
                <w:lang w:val="en-GB"/>
              </w:rPr>
            </w:pPr>
            <w:r>
              <w:rPr>
                <w:rFonts w:cs="Arial"/>
                <w:szCs w:val="18"/>
                <w:lang w:val="en-GB"/>
              </w:rPr>
              <w:t>130</w:t>
            </w:r>
          </w:p>
        </w:tc>
        <w:tc>
          <w:tcPr>
            <w:tcW w:w="1134" w:type="dxa"/>
            <w:shd w:val="clear" w:color="auto" w:fill="FFFFFF"/>
          </w:tcPr>
          <w:p w14:paraId="1984EF27" w14:textId="1AF66F7A" w:rsidR="00147DCA" w:rsidRPr="00F66627" w:rsidRDefault="00147DCA" w:rsidP="00FE27B6">
            <w:pPr>
              <w:pStyle w:val="CETBodytext"/>
              <w:ind w:right="-1"/>
              <w:rPr>
                <w:rFonts w:cs="Arial"/>
                <w:szCs w:val="18"/>
                <w:lang w:val="en-GB"/>
              </w:rPr>
            </w:pPr>
            <w:r>
              <w:rPr>
                <w:rFonts w:cs="Arial"/>
                <w:szCs w:val="18"/>
                <w:lang w:val="en-GB"/>
              </w:rPr>
              <w:t>8%</w:t>
            </w:r>
          </w:p>
        </w:tc>
        <w:tc>
          <w:tcPr>
            <w:tcW w:w="850" w:type="dxa"/>
            <w:shd w:val="clear" w:color="auto" w:fill="FFFFFF"/>
          </w:tcPr>
          <w:p w14:paraId="6B79F3E4" w14:textId="4DD257F3" w:rsidR="00147DCA" w:rsidRPr="00F66627" w:rsidRDefault="00147DCA" w:rsidP="00FE27B6">
            <w:pPr>
              <w:pStyle w:val="CETBodytext"/>
              <w:ind w:right="-1"/>
              <w:rPr>
                <w:rFonts w:cs="Arial"/>
                <w:szCs w:val="18"/>
                <w:lang w:val="en-GB"/>
              </w:rPr>
            </w:pPr>
            <w:r w:rsidRPr="00F66627">
              <w:rPr>
                <w:rFonts w:cs="Arial"/>
                <w:szCs w:val="18"/>
                <w:lang w:val="en-GB"/>
              </w:rPr>
              <w:t>74</w:t>
            </w:r>
          </w:p>
        </w:tc>
        <w:tc>
          <w:tcPr>
            <w:tcW w:w="1134" w:type="dxa"/>
          </w:tcPr>
          <w:p w14:paraId="61FDFA68" w14:textId="6C193269" w:rsidR="00147DCA" w:rsidRDefault="00147DCA" w:rsidP="00FE27B6">
            <w:pPr>
              <w:pStyle w:val="CETBodytext"/>
              <w:ind w:right="-1"/>
              <w:rPr>
                <w:rFonts w:cs="Arial"/>
                <w:szCs w:val="18"/>
                <w:lang w:val="en-GB"/>
              </w:rPr>
            </w:pPr>
            <w:r>
              <w:rPr>
                <w:rFonts w:cs="Arial"/>
                <w:szCs w:val="18"/>
                <w:lang w:val="en-GB"/>
              </w:rPr>
              <w:t>19%</w:t>
            </w:r>
          </w:p>
        </w:tc>
        <w:tc>
          <w:tcPr>
            <w:tcW w:w="851" w:type="dxa"/>
          </w:tcPr>
          <w:p w14:paraId="408E6285" w14:textId="0B29E9E0" w:rsidR="00147DCA" w:rsidRPr="00F66627" w:rsidRDefault="00147DCA" w:rsidP="00FE27B6">
            <w:pPr>
              <w:pStyle w:val="CETBodytext"/>
              <w:ind w:right="-1"/>
              <w:rPr>
                <w:rFonts w:cs="Arial"/>
                <w:szCs w:val="18"/>
                <w:lang w:val="en-GB"/>
              </w:rPr>
            </w:pPr>
            <w:r>
              <w:rPr>
                <w:rFonts w:cs="Arial"/>
                <w:szCs w:val="18"/>
                <w:lang w:val="en-GB"/>
              </w:rPr>
              <w:t>53</w:t>
            </w:r>
          </w:p>
        </w:tc>
        <w:tc>
          <w:tcPr>
            <w:tcW w:w="992" w:type="dxa"/>
          </w:tcPr>
          <w:p w14:paraId="1BB07ABF" w14:textId="2DC9282D" w:rsidR="00147DCA" w:rsidRDefault="00147DCA" w:rsidP="00FE27B6">
            <w:pPr>
              <w:pStyle w:val="CETBodytext"/>
              <w:ind w:right="-1"/>
              <w:rPr>
                <w:rFonts w:cs="Arial"/>
                <w:szCs w:val="18"/>
                <w:lang w:val="en-GB"/>
              </w:rPr>
            </w:pPr>
            <w:r>
              <w:rPr>
                <w:rFonts w:cs="Arial"/>
                <w:szCs w:val="18"/>
                <w:lang w:val="en-GB"/>
              </w:rPr>
              <w:t>12%</w:t>
            </w:r>
          </w:p>
        </w:tc>
        <w:tc>
          <w:tcPr>
            <w:tcW w:w="992" w:type="dxa"/>
          </w:tcPr>
          <w:p w14:paraId="6822BA9A" w14:textId="504487D5" w:rsidR="00147DCA" w:rsidRDefault="00147DCA" w:rsidP="00FE27B6">
            <w:pPr>
              <w:pStyle w:val="CETBodytext"/>
              <w:ind w:right="-1"/>
              <w:rPr>
                <w:rFonts w:cs="Arial"/>
                <w:szCs w:val="18"/>
                <w:lang w:val="en-GB"/>
              </w:rPr>
            </w:pPr>
            <w:r>
              <w:rPr>
                <w:rFonts w:cs="Arial"/>
                <w:szCs w:val="18"/>
                <w:lang w:val="en-GB"/>
              </w:rPr>
              <w:t>7</w:t>
            </w:r>
          </w:p>
        </w:tc>
        <w:tc>
          <w:tcPr>
            <w:tcW w:w="810" w:type="dxa"/>
          </w:tcPr>
          <w:p w14:paraId="1B8ADD51" w14:textId="43DB3DA1" w:rsidR="00147DCA" w:rsidRDefault="003550A6" w:rsidP="00FE27B6">
            <w:pPr>
              <w:pStyle w:val="CETBodytext"/>
              <w:ind w:right="-1"/>
              <w:rPr>
                <w:rFonts w:cs="Arial"/>
                <w:szCs w:val="18"/>
                <w:lang w:val="en-GB"/>
              </w:rPr>
            </w:pPr>
            <w:r>
              <w:rPr>
                <w:rFonts w:cs="Arial"/>
                <w:szCs w:val="18"/>
                <w:lang w:val="en-GB"/>
              </w:rPr>
              <w:t>13%</w:t>
            </w:r>
          </w:p>
        </w:tc>
      </w:tr>
      <w:tr w:rsidR="00A93B55" w14:paraId="7CFE6C2B" w14:textId="227FA556" w:rsidTr="00A93B55">
        <w:trPr>
          <w:trHeight w:val="278"/>
        </w:trPr>
        <w:tc>
          <w:tcPr>
            <w:tcW w:w="1008" w:type="dxa"/>
            <w:shd w:val="clear" w:color="auto" w:fill="FFFFFF"/>
          </w:tcPr>
          <w:p w14:paraId="13EEDBC9" w14:textId="77777777" w:rsidR="00147DCA" w:rsidRDefault="00147DCA" w:rsidP="00FE27B6">
            <w:pPr>
              <w:pStyle w:val="CETBodytext"/>
              <w:rPr>
                <w:lang w:val="en-GB"/>
              </w:rPr>
            </w:pPr>
            <w:r>
              <w:rPr>
                <w:lang w:val="en-GB"/>
              </w:rPr>
              <w:t>MS5</w:t>
            </w:r>
          </w:p>
        </w:tc>
        <w:tc>
          <w:tcPr>
            <w:tcW w:w="15" w:type="dxa"/>
            <w:shd w:val="clear" w:color="auto" w:fill="FFFFFF"/>
          </w:tcPr>
          <w:p w14:paraId="4D7279D9" w14:textId="77777777" w:rsidR="00147DCA" w:rsidRPr="00B57B36" w:rsidRDefault="00147DCA" w:rsidP="00FE27B6">
            <w:pPr>
              <w:pStyle w:val="CETBodytext"/>
              <w:rPr>
                <w:lang w:val="en-GB"/>
              </w:rPr>
            </w:pPr>
          </w:p>
        </w:tc>
        <w:tc>
          <w:tcPr>
            <w:tcW w:w="962" w:type="dxa"/>
            <w:shd w:val="clear" w:color="auto" w:fill="FFFFFF"/>
          </w:tcPr>
          <w:p w14:paraId="3BB94CC7" w14:textId="77777777" w:rsidR="00147DCA" w:rsidRPr="00B57B36" w:rsidRDefault="00147DCA" w:rsidP="00FE27B6">
            <w:pPr>
              <w:pStyle w:val="CETBodytext"/>
              <w:ind w:right="-1"/>
              <w:rPr>
                <w:rFonts w:cs="Arial"/>
                <w:szCs w:val="18"/>
                <w:lang w:val="en-GB"/>
              </w:rPr>
            </w:pPr>
            <w:r>
              <w:rPr>
                <w:rFonts w:cs="Arial"/>
                <w:szCs w:val="18"/>
                <w:lang w:val="en-GB"/>
              </w:rPr>
              <w:t>11</w:t>
            </w:r>
          </w:p>
        </w:tc>
        <w:tc>
          <w:tcPr>
            <w:tcW w:w="1134" w:type="dxa"/>
            <w:shd w:val="clear" w:color="auto" w:fill="FFFFFF"/>
          </w:tcPr>
          <w:p w14:paraId="38C79128" w14:textId="7ED62EF9" w:rsidR="00147DCA" w:rsidRPr="00F66627" w:rsidRDefault="00147DCA" w:rsidP="00FE27B6">
            <w:pPr>
              <w:pStyle w:val="CETBodytext"/>
              <w:ind w:right="-1"/>
              <w:rPr>
                <w:rFonts w:cs="Arial"/>
                <w:szCs w:val="18"/>
                <w:lang w:val="en-GB"/>
              </w:rPr>
            </w:pPr>
            <w:r>
              <w:rPr>
                <w:rFonts w:cs="Arial"/>
                <w:szCs w:val="18"/>
                <w:lang w:val="en-GB"/>
              </w:rPr>
              <w:t>1%</w:t>
            </w:r>
          </w:p>
        </w:tc>
        <w:tc>
          <w:tcPr>
            <w:tcW w:w="850" w:type="dxa"/>
            <w:shd w:val="clear" w:color="auto" w:fill="FFFFFF"/>
          </w:tcPr>
          <w:p w14:paraId="4EC34B0E" w14:textId="339A1294" w:rsidR="00147DCA" w:rsidRPr="00F66627" w:rsidRDefault="00147DCA" w:rsidP="00FE27B6">
            <w:pPr>
              <w:pStyle w:val="CETBodytext"/>
              <w:ind w:right="-1"/>
              <w:rPr>
                <w:rFonts w:cs="Arial"/>
                <w:szCs w:val="18"/>
                <w:lang w:val="en-GB"/>
              </w:rPr>
            </w:pPr>
            <w:r w:rsidRPr="00F66627">
              <w:rPr>
                <w:rFonts w:cs="Arial"/>
                <w:szCs w:val="18"/>
                <w:lang w:val="en-GB"/>
              </w:rPr>
              <w:t>3</w:t>
            </w:r>
          </w:p>
        </w:tc>
        <w:tc>
          <w:tcPr>
            <w:tcW w:w="1134" w:type="dxa"/>
          </w:tcPr>
          <w:p w14:paraId="1AD0DC3A" w14:textId="7BDD876C" w:rsidR="00147DCA" w:rsidRDefault="00147DCA" w:rsidP="00FE27B6">
            <w:pPr>
              <w:pStyle w:val="CETBodytext"/>
              <w:ind w:right="-1"/>
              <w:rPr>
                <w:rFonts w:cs="Arial"/>
                <w:szCs w:val="18"/>
                <w:lang w:val="en-GB"/>
              </w:rPr>
            </w:pPr>
            <w:r>
              <w:rPr>
                <w:rFonts w:cs="Arial"/>
                <w:szCs w:val="18"/>
                <w:lang w:val="en-GB"/>
              </w:rPr>
              <w:t>1%</w:t>
            </w:r>
          </w:p>
        </w:tc>
        <w:tc>
          <w:tcPr>
            <w:tcW w:w="851" w:type="dxa"/>
          </w:tcPr>
          <w:p w14:paraId="35232CFB" w14:textId="6E6459AB" w:rsidR="00147DCA" w:rsidRPr="00F66627" w:rsidRDefault="00147DCA" w:rsidP="00FE27B6">
            <w:pPr>
              <w:pStyle w:val="CETBodytext"/>
              <w:ind w:right="-1"/>
              <w:rPr>
                <w:rFonts w:cs="Arial"/>
                <w:szCs w:val="18"/>
                <w:lang w:val="en-GB"/>
              </w:rPr>
            </w:pPr>
            <w:r>
              <w:rPr>
                <w:rFonts w:cs="Arial"/>
                <w:szCs w:val="18"/>
                <w:lang w:val="en-GB"/>
              </w:rPr>
              <w:t>34</w:t>
            </w:r>
          </w:p>
        </w:tc>
        <w:tc>
          <w:tcPr>
            <w:tcW w:w="992" w:type="dxa"/>
          </w:tcPr>
          <w:p w14:paraId="0BEEA19E" w14:textId="2429E66B" w:rsidR="00147DCA" w:rsidRDefault="00147DCA" w:rsidP="00FE27B6">
            <w:pPr>
              <w:pStyle w:val="CETBodytext"/>
              <w:ind w:right="-1"/>
              <w:rPr>
                <w:rFonts w:cs="Arial"/>
                <w:szCs w:val="18"/>
                <w:lang w:val="en-GB"/>
              </w:rPr>
            </w:pPr>
            <w:r>
              <w:rPr>
                <w:rFonts w:cs="Arial"/>
                <w:szCs w:val="18"/>
                <w:lang w:val="en-GB"/>
              </w:rPr>
              <w:t>8%</w:t>
            </w:r>
          </w:p>
        </w:tc>
        <w:tc>
          <w:tcPr>
            <w:tcW w:w="992" w:type="dxa"/>
          </w:tcPr>
          <w:p w14:paraId="3971C36E" w14:textId="701BCC9E" w:rsidR="00147DCA" w:rsidRDefault="00147DCA" w:rsidP="00FE27B6">
            <w:pPr>
              <w:pStyle w:val="CETBodytext"/>
              <w:ind w:right="-1"/>
              <w:rPr>
                <w:rFonts w:cs="Arial"/>
                <w:szCs w:val="18"/>
                <w:lang w:val="en-GB"/>
              </w:rPr>
            </w:pPr>
            <w:r>
              <w:rPr>
                <w:rFonts w:cs="Arial"/>
                <w:szCs w:val="18"/>
                <w:lang w:val="en-GB"/>
              </w:rPr>
              <w:t>7</w:t>
            </w:r>
          </w:p>
        </w:tc>
        <w:tc>
          <w:tcPr>
            <w:tcW w:w="810" w:type="dxa"/>
          </w:tcPr>
          <w:p w14:paraId="15F6A026" w14:textId="526AA6C6" w:rsidR="00147DCA" w:rsidRDefault="00241C01" w:rsidP="00FE27B6">
            <w:pPr>
              <w:pStyle w:val="CETBodytext"/>
              <w:ind w:right="-1"/>
              <w:rPr>
                <w:rFonts w:cs="Arial"/>
                <w:szCs w:val="18"/>
                <w:lang w:val="en-GB"/>
              </w:rPr>
            </w:pPr>
            <w:r>
              <w:rPr>
                <w:rFonts w:cs="Arial"/>
                <w:szCs w:val="18"/>
                <w:lang w:val="en-GB"/>
              </w:rPr>
              <w:t>13%</w:t>
            </w:r>
          </w:p>
        </w:tc>
      </w:tr>
      <w:tr w:rsidR="00A93B55" w14:paraId="34033BD6" w14:textId="0DDBC44D" w:rsidTr="00A93B55">
        <w:trPr>
          <w:trHeight w:val="278"/>
        </w:trPr>
        <w:tc>
          <w:tcPr>
            <w:tcW w:w="1008" w:type="dxa"/>
            <w:shd w:val="clear" w:color="auto" w:fill="FFFFFF"/>
          </w:tcPr>
          <w:p w14:paraId="4788AFD9" w14:textId="77777777" w:rsidR="00147DCA" w:rsidRDefault="00147DCA" w:rsidP="00FE27B6">
            <w:pPr>
              <w:pStyle w:val="CETBodytext"/>
              <w:rPr>
                <w:lang w:val="en-GB"/>
              </w:rPr>
            </w:pPr>
            <w:r>
              <w:rPr>
                <w:lang w:val="en-GB"/>
              </w:rPr>
              <w:t>MS6</w:t>
            </w:r>
          </w:p>
        </w:tc>
        <w:tc>
          <w:tcPr>
            <w:tcW w:w="15" w:type="dxa"/>
            <w:shd w:val="clear" w:color="auto" w:fill="FFFFFF"/>
          </w:tcPr>
          <w:p w14:paraId="61CEE5FB" w14:textId="77777777" w:rsidR="00147DCA" w:rsidRPr="00B57B36" w:rsidRDefault="00147DCA" w:rsidP="00FE27B6">
            <w:pPr>
              <w:pStyle w:val="CETBodytext"/>
              <w:rPr>
                <w:lang w:val="en-GB"/>
              </w:rPr>
            </w:pPr>
          </w:p>
        </w:tc>
        <w:tc>
          <w:tcPr>
            <w:tcW w:w="962" w:type="dxa"/>
            <w:shd w:val="clear" w:color="auto" w:fill="FFFFFF"/>
          </w:tcPr>
          <w:p w14:paraId="5959B954" w14:textId="77777777" w:rsidR="00147DCA" w:rsidRPr="00B57B36" w:rsidRDefault="00147DCA" w:rsidP="00FE27B6">
            <w:pPr>
              <w:pStyle w:val="CETBodytext"/>
              <w:ind w:right="-1"/>
              <w:rPr>
                <w:rFonts w:cs="Arial"/>
                <w:szCs w:val="18"/>
                <w:lang w:val="en-GB"/>
              </w:rPr>
            </w:pPr>
            <w:r>
              <w:rPr>
                <w:rFonts w:cs="Arial"/>
                <w:szCs w:val="18"/>
                <w:lang w:val="en-GB"/>
              </w:rPr>
              <w:t>32</w:t>
            </w:r>
          </w:p>
        </w:tc>
        <w:tc>
          <w:tcPr>
            <w:tcW w:w="1134" w:type="dxa"/>
            <w:shd w:val="clear" w:color="auto" w:fill="FFFFFF"/>
          </w:tcPr>
          <w:p w14:paraId="27F27F07" w14:textId="792BB8A5" w:rsidR="00147DCA" w:rsidRPr="00F66627" w:rsidRDefault="00147DCA" w:rsidP="00FE27B6">
            <w:pPr>
              <w:pStyle w:val="CETBodytext"/>
              <w:ind w:right="-1"/>
              <w:rPr>
                <w:rFonts w:cs="Arial"/>
                <w:szCs w:val="18"/>
                <w:lang w:val="en-GB"/>
              </w:rPr>
            </w:pPr>
            <w:r>
              <w:rPr>
                <w:rFonts w:cs="Arial"/>
                <w:szCs w:val="18"/>
                <w:lang w:val="en-GB"/>
              </w:rPr>
              <w:t>2%</w:t>
            </w:r>
          </w:p>
        </w:tc>
        <w:tc>
          <w:tcPr>
            <w:tcW w:w="850" w:type="dxa"/>
            <w:shd w:val="clear" w:color="auto" w:fill="FFFFFF"/>
          </w:tcPr>
          <w:p w14:paraId="6227C1FA" w14:textId="0ECB4A6A" w:rsidR="00147DCA" w:rsidRPr="00F66627" w:rsidRDefault="00147DCA" w:rsidP="00FE27B6">
            <w:pPr>
              <w:pStyle w:val="CETBodytext"/>
              <w:ind w:right="-1"/>
              <w:rPr>
                <w:rFonts w:cs="Arial"/>
                <w:szCs w:val="18"/>
                <w:lang w:val="en-GB"/>
              </w:rPr>
            </w:pPr>
            <w:r w:rsidRPr="00F66627">
              <w:rPr>
                <w:rFonts w:cs="Arial"/>
                <w:szCs w:val="18"/>
                <w:lang w:val="en-GB"/>
              </w:rPr>
              <w:t>3</w:t>
            </w:r>
          </w:p>
        </w:tc>
        <w:tc>
          <w:tcPr>
            <w:tcW w:w="1134" w:type="dxa"/>
          </w:tcPr>
          <w:p w14:paraId="070727DA" w14:textId="51E6BA04" w:rsidR="00147DCA" w:rsidRDefault="00147DCA" w:rsidP="00FE27B6">
            <w:pPr>
              <w:pStyle w:val="CETBodytext"/>
              <w:ind w:right="-1"/>
              <w:rPr>
                <w:rFonts w:cs="Arial"/>
                <w:szCs w:val="18"/>
                <w:lang w:val="en-GB"/>
              </w:rPr>
            </w:pPr>
            <w:r>
              <w:rPr>
                <w:rFonts w:cs="Arial"/>
                <w:szCs w:val="18"/>
                <w:lang w:val="en-GB"/>
              </w:rPr>
              <w:t>1%</w:t>
            </w:r>
          </w:p>
        </w:tc>
        <w:tc>
          <w:tcPr>
            <w:tcW w:w="851" w:type="dxa"/>
          </w:tcPr>
          <w:p w14:paraId="2A497454" w14:textId="6276EA4B" w:rsidR="00147DCA" w:rsidRPr="00F66627" w:rsidRDefault="00147DCA" w:rsidP="00FE27B6">
            <w:pPr>
              <w:pStyle w:val="CETBodytext"/>
              <w:ind w:right="-1"/>
              <w:rPr>
                <w:rFonts w:cs="Arial"/>
                <w:szCs w:val="18"/>
                <w:lang w:val="en-GB"/>
              </w:rPr>
            </w:pPr>
            <w:r>
              <w:rPr>
                <w:rFonts w:cs="Arial"/>
                <w:szCs w:val="18"/>
                <w:lang w:val="en-GB"/>
              </w:rPr>
              <w:t>32</w:t>
            </w:r>
          </w:p>
        </w:tc>
        <w:tc>
          <w:tcPr>
            <w:tcW w:w="992" w:type="dxa"/>
          </w:tcPr>
          <w:p w14:paraId="42E02D4F" w14:textId="27F4D52F" w:rsidR="00147DCA" w:rsidRDefault="00147DCA" w:rsidP="00FE27B6">
            <w:pPr>
              <w:pStyle w:val="CETBodytext"/>
              <w:ind w:right="-1"/>
              <w:rPr>
                <w:rFonts w:cs="Arial"/>
                <w:szCs w:val="18"/>
                <w:lang w:val="en-GB"/>
              </w:rPr>
            </w:pPr>
            <w:r>
              <w:rPr>
                <w:rFonts w:cs="Arial"/>
                <w:szCs w:val="18"/>
                <w:lang w:val="en-GB"/>
              </w:rPr>
              <w:t>7%</w:t>
            </w:r>
          </w:p>
        </w:tc>
        <w:tc>
          <w:tcPr>
            <w:tcW w:w="992" w:type="dxa"/>
          </w:tcPr>
          <w:p w14:paraId="31F93437" w14:textId="7585CC38" w:rsidR="00147DCA" w:rsidRDefault="00147DCA" w:rsidP="00FE27B6">
            <w:pPr>
              <w:pStyle w:val="CETBodytext"/>
              <w:ind w:right="-1"/>
              <w:rPr>
                <w:rFonts w:cs="Arial"/>
                <w:szCs w:val="18"/>
                <w:lang w:val="en-GB"/>
              </w:rPr>
            </w:pPr>
            <w:r>
              <w:rPr>
                <w:rFonts w:cs="Arial"/>
                <w:szCs w:val="18"/>
                <w:lang w:val="en-GB"/>
              </w:rPr>
              <w:t>0</w:t>
            </w:r>
          </w:p>
        </w:tc>
        <w:tc>
          <w:tcPr>
            <w:tcW w:w="810" w:type="dxa"/>
          </w:tcPr>
          <w:p w14:paraId="43066636" w14:textId="15F29AC0" w:rsidR="00147DCA" w:rsidRDefault="00241C01" w:rsidP="00FE27B6">
            <w:pPr>
              <w:pStyle w:val="CETBodytext"/>
              <w:ind w:right="-1"/>
              <w:rPr>
                <w:rFonts w:cs="Arial"/>
                <w:szCs w:val="18"/>
                <w:lang w:val="en-GB"/>
              </w:rPr>
            </w:pPr>
            <w:r>
              <w:rPr>
                <w:rFonts w:cs="Arial"/>
                <w:szCs w:val="18"/>
                <w:lang w:val="en-GB"/>
              </w:rPr>
              <w:t>0%</w:t>
            </w:r>
          </w:p>
        </w:tc>
      </w:tr>
      <w:tr w:rsidR="00A93B55" w14:paraId="7A824E81" w14:textId="25014C6F" w:rsidTr="00A93B55">
        <w:trPr>
          <w:trHeight w:val="278"/>
        </w:trPr>
        <w:tc>
          <w:tcPr>
            <w:tcW w:w="1008" w:type="dxa"/>
            <w:shd w:val="clear" w:color="auto" w:fill="FFFFFF"/>
          </w:tcPr>
          <w:p w14:paraId="7B1B49F2" w14:textId="77777777" w:rsidR="00147DCA" w:rsidRDefault="00147DCA" w:rsidP="00FE27B6">
            <w:pPr>
              <w:pStyle w:val="CETBodytext"/>
              <w:rPr>
                <w:lang w:val="en-GB"/>
              </w:rPr>
            </w:pPr>
            <w:r>
              <w:rPr>
                <w:lang w:val="en-GB"/>
              </w:rPr>
              <w:t>MS7</w:t>
            </w:r>
          </w:p>
        </w:tc>
        <w:tc>
          <w:tcPr>
            <w:tcW w:w="15" w:type="dxa"/>
            <w:shd w:val="clear" w:color="auto" w:fill="FFFFFF"/>
          </w:tcPr>
          <w:p w14:paraId="60F0B482" w14:textId="77777777" w:rsidR="00147DCA" w:rsidRPr="00B57B36" w:rsidRDefault="00147DCA" w:rsidP="00FE27B6">
            <w:pPr>
              <w:pStyle w:val="CETBodytext"/>
              <w:rPr>
                <w:lang w:val="en-GB"/>
              </w:rPr>
            </w:pPr>
          </w:p>
        </w:tc>
        <w:tc>
          <w:tcPr>
            <w:tcW w:w="962" w:type="dxa"/>
            <w:shd w:val="clear" w:color="auto" w:fill="FFFFFF"/>
          </w:tcPr>
          <w:p w14:paraId="0D49D923" w14:textId="77777777" w:rsidR="00147DCA" w:rsidRPr="00B57B36" w:rsidRDefault="00147DCA" w:rsidP="00FE27B6">
            <w:pPr>
              <w:pStyle w:val="CETBodytext"/>
              <w:ind w:right="-1"/>
              <w:rPr>
                <w:rFonts w:cs="Arial"/>
                <w:szCs w:val="18"/>
                <w:lang w:val="en-GB"/>
              </w:rPr>
            </w:pPr>
            <w:r>
              <w:rPr>
                <w:rFonts w:cs="Arial"/>
                <w:szCs w:val="18"/>
                <w:lang w:val="en-GB"/>
              </w:rPr>
              <w:t>157</w:t>
            </w:r>
          </w:p>
        </w:tc>
        <w:tc>
          <w:tcPr>
            <w:tcW w:w="1134" w:type="dxa"/>
            <w:shd w:val="clear" w:color="auto" w:fill="FFFFFF"/>
          </w:tcPr>
          <w:p w14:paraId="581DBC1E" w14:textId="3DEE5EA0" w:rsidR="00147DCA" w:rsidRPr="00F66627" w:rsidRDefault="00147DCA" w:rsidP="00FE27B6">
            <w:pPr>
              <w:pStyle w:val="CETBodytext"/>
              <w:ind w:right="-1"/>
              <w:rPr>
                <w:rFonts w:cs="Arial"/>
                <w:szCs w:val="18"/>
                <w:lang w:val="en-GB"/>
              </w:rPr>
            </w:pPr>
            <w:r>
              <w:rPr>
                <w:rFonts w:cs="Arial"/>
                <w:szCs w:val="18"/>
                <w:lang w:val="en-GB"/>
              </w:rPr>
              <w:t>10%</w:t>
            </w:r>
          </w:p>
        </w:tc>
        <w:tc>
          <w:tcPr>
            <w:tcW w:w="850" w:type="dxa"/>
            <w:shd w:val="clear" w:color="auto" w:fill="FFFFFF"/>
          </w:tcPr>
          <w:p w14:paraId="651BDB7F" w14:textId="765FE694" w:rsidR="00147DCA" w:rsidRPr="00F66627" w:rsidRDefault="00147DCA" w:rsidP="00FE27B6">
            <w:pPr>
              <w:pStyle w:val="CETBodytext"/>
              <w:ind w:right="-1"/>
              <w:rPr>
                <w:rFonts w:cs="Arial"/>
                <w:szCs w:val="18"/>
                <w:lang w:val="en-GB"/>
              </w:rPr>
            </w:pPr>
            <w:r w:rsidRPr="00F66627">
              <w:rPr>
                <w:rFonts w:cs="Arial"/>
                <w:szCs w:val="18"/>
                <w:lang w:val="en-GB"/>
              </w:rPr>
              <w:t>40</w:t>
            </w:r>
          </w:p>
        </w:tc>
        <w:tc>
          <w:tcPr>
            <w:tcW w:w="1134" w:type="dxa"/>
          </w:tcPr>
          <w:p w14:paraId="04418D9B" w14:textId="36198735" w:rsidR="00147DCA" w:rsidRDefault="00147DCA" w:rsidP="00FE27B6">
            <w:pPr>
              <w:pStyle w:val="CETBodytext"/>
              <w:ind w:right="-1"/>
              <w:rPr>
                <w:rFonts w:cs="Arial"/>
                <w:szCs w:val="18"/>
                <w:lang w:val="en-GB"/>
              </w:rPr>
            </w:pPr>
            <w:r>
              <w:rPr>
                <w:rFonts w:cs="Arial"/>
                <w:szCs w:val="18"/>
                <w:lang w:val="en-GB"/>
              </w:rPr>
              <w:t>10%</w:t>
            </w:r>
          </w:p>
        </w:tc>
        <w:tc>
          <w:tcPr>
            <w:tcW w:w="851" w:type="dxa"/>
          </w:tcPr>
          <w:p w14:paraId="78C0716C" w14:textId="02369D6A" w:rsidR="00147DCA" w:rsidRPr="00F66627" w:rsidRDefault="00147DCA" w:rsidP="00FE27B6">
            <w:pPr>
              <w:pStyle w:val="CETBodytext"/>
              <w:ind w:right="-1"/>
              <w:rPr>
                <w:rFonts w:cs="Arial"/>
                <w:szCs w:val="18"/>
                <w:lang w:val="en-GB"/>
              </w:rPr>
            </w:pPr>
            <w:r>
              <w:rPr>
                <w:rFonts w:cs="Arial"/>
                <w:szCs w:val="18"/>
                <w:lang w:val="en-GB"/>
              </w:rPr>
              <w:t>51</w:t>
            </w:r>
          </w:p>
        </w:tc>
        <w:tc>
          <w:tcPr>
            <w:tcW w:w="992" w:type="dxa"/>
          </w:tcPr>
          <w:p w14:paraId="7ECBFB3C" w14:textId="0F51ACCF" w:rsidR="00147DCA" w:rsidRDefault="00147DCA" w:rsidP="00FE27B6">
            <w:pPr>
              <w:pStyle w:val="CETBodytext"/>
              <w:ind w:right="-1"/>
              <w:rPr>
                <w:rFonts w:cs="Arial"/>
                <w:szCs w:val="18"/>
                <w:lang w:val="en-GB"/>
              </w:rPr>
            </w:pPr>
            <w:r>
              <w:rPr>
                <w:rFonts w:cs="Arial"/>
                <w:szCs w:val="18"/>
                <w:lang w:val="en-GB"/>
              </w:rPr>
              <w:t>11%</w:t>
            </w:r>
          </w:p>
        </w:tc>
        <w:tc>
          <w:tcPr>
            <w:tcW w:w="992" w:type="dxa"/>
          </w:tcPr>
          <w:p w14:paraId="259523FE" w14:textId="28F8863E" w:rsidR="00147DCA" w:rsidRDefault="00147DCA" w:rsidP="00FE27B6">
            <w:pPr>
              <w:pStyle w:val="CETBodytext"/>
              <w:ind w:right="-1"/>
              <w:rPr>
                <w:rFonts w:cs="Arial"/>
                <w:szCs w:val="18"/>
                <w:lang w:val="en-GB"/>
              </w:rPr>
            </w:pPr>
            <w:r>
              <w:rPr>
                <w:rFonts w:cs="Arial"/>
                <w:szCs w:val="18"/>
                <w:lang w:val="en-GB"/>
              </w:rPr>
              <w:t>6</w:t>
            </w:r>
          </w:p>
        </w:tc>
        <w:tc>
          <w:tcPr>
            <w:tcW w:w="810" w:type="dxa"/>
          </w:tcPr>
          <w:p w14:paraId="3DDE0163" w14:textId="22982C7F" w:rsidR="00147DCA" w:rsidRDefault="00241C01" w:rsidP="00FE27B6">
            <w:pPr>
              <w:pStyle w:val="CETBodytext"/>
              <w:ind w:right="-1"/>
              <w:rPr>
                <w:rFonts w:cs="Arial"/>
                <w:szCs w:val="18"/>
                <w:lang w:val="en-GB"/>
              </w:rPr>
            </w:pPr>
            <w:r>
              <w:rPr>
                <w:rFonts w:cs="Arial"/>
                <w:szCs w:val="18"/>
                <w:lang w:val="en-GB"/>
              </w:rPr>
              <w:t>11%</w:t>
            </w:r>
          </w:p>
        </w:tc>
      </w:tr>
      <w:tr w:rsidR="00A93B55" w14:paraId="728BCA6E" w14:textId="066346C9" w:rsidTr="00A93B55">
        <w:trPr>
          <w:trHeight w:val="278"/>
        </w:trPr>
        <w:tc>
          <w:tcPr>
            <w:tcW w:w="1008" w:type="dxa"/>
            <w:shd w:val="clear" w:color="auto" w:fill="FFFFFF"/>
          </w:tcPr>
          <w:p w14:paraId="740AA1B2" w14:textId="77777777" w:rsidR="00147DCA" w:rsidRDefault="00147DCA" w:rsidP="00FE27B6">
            <w:pPr>
              <w:pStyle w:val="CETBodytext"/>
              <w:rPr>
                <w:lang w:val="en-GB"/>
              </w:rPr>
            </w:pPr>
            <w:r w:rsidRPr="00880AE8">
              <w:rPr>
                <w:i/>
                <w:iCs/>
                <w:lang w:val="en-GB"/>
              </w:rPr>
              <w:t>Total (NM)</w:t>
            </w:r>
          </w:p>
        </w:tc>
        <w:tc>
          <w:tcPr>
            <w:tcW w:w="15" w:type="dxa"/>
            <w:shd w:val="clear" w:color="auto" w:fill="FFFFFF"/>
          </w:tcPr>
          <w:p w14:paraId="56EA2D2A" w14:textId="77777777" w:rsidR="00147DCA" w:rsidRPr="00B57B36" w:rsidRDefault="00147DCA" w:rsidP="00FE27B6">
            <w:pPr>
              <w:pStyle w:val="CETBodytext"/>
              <w:rPr>
                <w:lang w:val="en-GB"/>
              </w:rPr>
            </w:pPr>
          </w:p>
        </w:tc>
        <w:tc>
          <w:tcPr>
            <w:tcW w:w="962" w:type="dxa"/>
            <w:shd w:val="clear" w:color="auto" w:fill="FFFFFF"/>
          </w:tcPr>
          <w:p w14:paraId="70D375B4" w14:textId="77777777" w:rsidR="00147DCA" w:rsidRDefault="00147DCA" w:rsidP="00FE27B6">
            <w:pPr>
              <w:pStyle w:val="CETBodytext"/>
              <w:ind w:right="-1"/>
              <w:rPr>
                <w:rFonts w:cs="Arial"/>
                <w:szCs w:val="18"/>
                <w:lang w:val="en-GB"/>
              </w:rPr>
            </w:pPr>
            <w:r w:rsidRPr="00880AE8">
              <w:rPr>
                <w:rFonts w:cs="Arial"/>
                <w:i/>
                <w:iCs/>
                <w:szCs w:val="18"/>
                <w:lang w:val="en-GB"/>
              </w:rPr>
              <w:t>1636</w:t>
            </w:r>
          </w:p>
        </w:tc>
        <w:tc>
          <w:tcPr>
            <w:tcW w:w="1134" w:type="dxa"/>
            <w:shd w:val="clear" w:color="auto" w:fill="FFFFFF"/>
          </w:tcPr>
          <w:p w14:paraId="52C98B2E" w14:textId="4999FAA5" w:rsidR="00147DCA" w:rsidRPr="00880AE8" w:rsidRDefault="00147DCA" w:rsidP="00FE27B6">
            <w:pPr>
              <w:pStyle w:val="CETBodytext"/>
              <w:ind w:right="-1"/>
              <w:rPr>
                <w:rFonts w:cs="Arial"/>
                <w:i/>
                <w:iCs/>
                <w:szCs w:val="18"/>
                <w:lang w:val="en-GB"/>
              </w:rPr>
            </w:pPr>
            <w:r>
              <w:rPr>
                <w:rFonts w:cs="Arial"/>
                <w:i/>
                <w:iCs/>
                <w:szCs w:val="18"/>
                <w:lang w:val="en-GB"/>
              </w:rPr>
              <w:t>100%</w:t>
            </w:r>
          </w:p>
        </w:tc>
        <w:tc>
          <w:tcPr>
            <w:tcW w:w="850" w:type="dxa"/>
            <w:shd w:val="clear" w:color="auto" w:fill="FFFFFF"/>
          </w:tcPr>
          <w:p w14:paraId="7B57653C" w14:textId="4BE2B1BD" w:rsidR="00147DCA" w:rsidRPr="00F66627" w:rsidRDefault="00147DCA" w:rsidP="00FE27B6">
            <w:pPr>
              <w:pStyle w:val="CETBodytext"/>
              <w:ind w:right="-1"/>
              <w:rPr>
                <w:rFonts w:cs="Arial"/>
                <w:szCs w:val="18"/>
                <w:lang w:val="en-GB"/>
              </w:rPr>
            </w:pPr>
            <w:r w:rsidRPr="00880AE8">
              <w:rPr>
                <w:rFonts w:cs="Arial"/>
                <w:i/>
                <w:iCs/>
                <w:szCs w:val="18"/>
                <w:lang w:val="en-GB"/>
              </w:rPr>
              <w:t>393</w:t>
            </w:r>
          </w:p>
        </w:tc>
        <w:tc>
          <w:tcPr>
            <w:tcW w:w="1134" w:type="dxa"/>
          </w:tcPr>
          <w:p w14:paraId="2D426C13" w14:textId="0E30A3E1" w:rsidR="00147DCA" w:rsidRDefault="00147DCA" w:rsidP="00FE27B6">
            <w:pPr>
              <w:pStyle w:val="CETBodytext"/>
              <w:ind w:right="-1"/>
              <w:rPr>
                <w:rFonts w:cs="Arial"/>
                <w:i/>
                <w:iCs/>
                <w:szCs w:val="18"/>
                <w:lang w:val="en-GB"/>
              </w:rPr>
            </w:pPr>
            <w:r>
              <w:rPr>
                <w:rFonts w:cs="Arial"/>
                <w:i/>
                <w:iCs/>
                <w:szCs w:val="18"/>
                <w:lang w:val="en-GB"/>
              </w:rPr>
              <w:t>100%</w:t>
            </w:r>
          </w:p>
        </w:tc>
        <w:tc>
          <w:tcPr>
            <w:tcW w:w="851" w:type="dxa"/>
          </w:tcPr>
          <w:p w14:paraId="62D3AFE6" w14:textId="0FA7A3C5" w:rsidR="00147DCA" w:rsidRDefault="00147DCA" w:rsidP="00FE27B6">
            <w:pPr>
              <w:pStyle w:val="CETBodytext"/>
              <w:ind w:right="-1"/>
              <w:rPr>
                <w:rFonts w:cs="Arial"/>
                <w:szCs w:val="18"/>
                <w:lang w:val="en-GB"/>
              </w:rPr>
            </w:pPr>
            <w:r>
              <w:rPr>
                <w:rFonts w:cs="Arial"/>
                <w:i/>
                <w:iCs/>
                <w:szCs w:val="18"/>
                <w:lang w:val="en-GB"/>
              </w:rPr>
              <w:t>447</w:t>
            </w:r>
          </w:p>
        </w:tc>
        <w:tc>
          <w:tcPr>
            <w:tcW w:w="992" w:type="dxa"/>
          </w:tcPr>
          <w:p w14:paraId="4972289A" w14:textId="5F75CB87" w:rsidR="00147DCA" w:rsidRDefault="00147DCA" w:rsidP="00FE27B6">
            <w:pPr>
              <w:pStyle w:val="CETBodytext"/>
              <w:ind w:right="-1"/>
              <w:rPr>
                <w:rFonts w:cs="Arial"/>
                <w:i/>
                <w:iCs/>
                <w:szCs w:val="18"/>
                <w:lang w:val="en-GB"/>
              </w:rPr>
            </w:pPr>
            <w:r>
              <w:rPr>
                <w:rFonts w:cs="Arial"/>
                <w:i/>
                <w:iCs/>
                <w:szCs w:val="18"/>
                <w:lang w:val="en-GB"/>
              </w:rPr>
              <w:t>100%</w:t>
            </w:r>
          </w:p>
        </w:tc>
        <w:tc>
          <w:tcPr>
            <w:tcW w:w="992" w:type="dxa"/>
          </w:tcPr>
          <w:p w14:paraId="6E7967EE" w14:textId="5937265B" w:rsidR="00147DCA" w:rsidRDefault="00147DCA" w:rsidP="00FE27B6">
            <w:pPr>
              <w:pStyle w:val="CETBodytext"/>
              <w:ind w:right="-1"/>
              <w:rPr>
                <w:rFonts w:cs="Arial"/>
                <w:i/>
                <w:iCs/>
                <w:szCs w:val="18"/>
                <w:lang w:val="en-GB"/>
              </w:rPr>
            </w:pPr>
            <w:r>
              <w:rPr>
                <w:rFonts w:cs="Arial"/>
                <w:i/>
                <w:iCs/>
                <w:szCs w:val="18"/>
                <w:lang w:val="en-GB"/>
              </w:rPr>
              <w:t>53</w:t>
            </w:r>
          </w:p>
        </w:tc>
        <w:tc>
          <w:tcPr>
            <w:tcW w:w="810" w:type="dxa"/>
          </w:tcPr>
          <w:p w14:paraId="299F2ED0" w14:textId="022D0AA9" w:rsidR="00147DCA" w:rsidRDefault="00241C01" w:rsidP="00FE27B6">
            <w:pPr>
              <w:pStyle w:val="CETBodytext"/>
              <w:ind w:right="-1"/>
              <w:rPr>
                <w:rFonts w:cs="Arial"/>
                <w:i/>
                <w:iCs/>
                <w:szCs w:val="18"/>
                <w:lang w:val="en-GB"/>
              </w:rPr>
            </w:pPr>
            <w:r>
              <w:rPr>
                <w:rFonts w:cs="Arial"/>
                <w:i/>
                <w:iCs/>
                <w:szCs w:val="18"/>
                <w:lang w:val="en-GB"/>
              </w:rPr>
              <w:t>100%</w:t>
            </w:r>
          </w:p>
        </w:tc>
      </w:tr>
    </w:tbl>
    <w:p w14:paraId="76C925DF" w14:textId="77777777" w:rsidR="002958E9" w:rsidRDefault="002958E9" w:rsidP="00AF164B">
      <w:pPr>
        <w:pStyle w:val="CETBodytext"/>
        <w:rPr>
          <w:color w:val="000000" w:themeColor="text1"/>
          <w:lang w:val="en-GB"/>
        </w:rPr>
      </w:pPr>
    </w:p>
    <w:p w14:paraId="296FF105" w14:textId="4F365800" w:rsidR="00E33C3B" w:rsidRPr="0093712A" w:rsidRDefault="00701AB8" w:rsidP="00AF164B">
      <w:pPr>
        <w:pStyle w:val="CETBodytext"/>
        <w:rPr>
          <w:lang w:val="en-GB"/>
        </w:rPr>
      </w:pPr>
      <w:r w:rsidRPr="0093712A">
        <w:rPr>
          <w:lang w:val="en-GB"/>
        </w:rPr>
        <w:t>T</w:t>
      </w:r>
      <w:r w:rsidR="00C43D6C" w:rsidRPr="0093712A">
        <w:rPr>
          <w:lang w:val="en-GB"/>
        </w:rPr>
        <w:t>he highest number of documents</w:t>
      </w:r>
      <w:r w:rsidR="006A57CA" w:rsidRPr="0093712A">
        <w:rPr>
          <w:lang w:val="en-GB"/>
        </w:rPr>
        <w:t xml:space="preserve"> is associated to “loss</w:t>
      </w:r>
      <w:r w:rsidR="00567776" w:rsidRPr="0093712A">
        <w:rPr>
          <w:lang w:val="en-GB"/>
        </w:rPr>
        <w:t xml:space="preserve"> of containment</w:t>
      </w:r>
      <w:r w:rsidR="006A57CA" w:rsidRPr="0093712A">
        <w:rPr>
          <w:lang w:val="en-GB"/>
        </w:rPr>
        <w:t xml:space="preserve">”, </w:t>
      </w:r>
      <w:r w:rsidR="00A427E2" w:rsidRPr="0093712A">
        <w:rPr>
          <w:lang w:val="en-GB"/>
        </w:rPr>
        <w:t xml:space="preserve">research </w:t>
      </w:r>
      <w:r w:rsidR="00C43D6C" w:rsidRPr="0093712A">
        <w:rPr>
          <w:lang w:val="en-GB"/>
        </w:rPr>
        <w:t xml:space="preserve">could be </w:t>
      </w:r>
      <w:r w:rsidR="00A427E2" w:rsidRPr="0093712A">
        <w:rPr>
          <w:lang w:val="en-GB"/>
        </w:rPr>
        <w:t>refined</w:t>
      </w:r>
      <w:r w:rsidR="00C43D6C" w:rsidRPr="0093712A">
        <w:rPr>
          <w:lang w:val="en-GB"/>
        </w:rPr>
        <w:t xml:space="preserve"> by identifying the types of loss and their extent.</w:t>
      </w:r>
      <w:r w:rsidR="00D93D74" w:rsidRPr="0093712A">
        <w:rPr>
          <w:lang w:val="en-GB"/>
        </w:rPr>
        <w:t xml:space="preserve"> </w:t>
      </w:r>
      <w:r w:rsidR="00C43D6C" w:rsidRPr="0093712A">
        <w:rPr>
          <w:lang w:val="en-GB"/>
        </w:rPr>
        <w:t xml:space="preserve">MS3 </w:t>
      </w:r>
      <w:r w:rsidR="00195696" w:rsidRPr="0093712A">
        <w:rPr>
          <w:lang w:val="en-GB"/>
        </w:rPr>
        <w:t>shows</w:t>
      </w:r>
      <w:r w:rsidR="00C43D6C" w:rsidRPr="0093712A">
        <w:rPr>
          <w:lang w:val="en-GB"/>
        </w:rPr>
        <w:t xml:space="preserve"> the highest number of undesirable events</w:t>
      </w:r>
      <w:r w:rsidR="00C645AC" w:rsidRPr="0093712A">
        <w:rPr>
          <w:lang w:val="en-GB"/>
        </w:rPr>
        <w:t xml:space="preserve">; this result is </w:t>
      </w:r>
      <w:r w:rsidR="008E5C13" w:rsidRPr="0093712A">
        <w:rPr>
          <w:lang w:val="en-GB"/>
        </w:rPr>
        <w:t>aligned</w:t>
      </w:r>
      <w:r w:rsidR="00E97A84" w:rsidRPr="0093712A">
        <w:rPr>
          <w:lang w:val="en-GB"/>
        </w:rPr>
        <w:t xml:space="preserve"> </w:t>
      </w:r>
      <w:r w:rsidR="008E5C13" w:rsidRPr="0093712A">
        <w:rPr>
          <w:lang w:val="en-GB"/>
        </w:rPr>
        <w:t>with</w:t>
      </w:r>
      <w:r w:rsidR="001B3678" w:rsidRPr="0093712A">
        <w:rPr>
          <w:lang w:val="en-GB"/>
        </w:rPr>
        <w:t xml:space="preserve"> </w:t>
      </w:r>
      <w:r w:rsidR="00CD3767" w:rsidRPr="0093712A">
        <w:rPr>
          <w:lang w:val="en-GB"/>
        </w:rPr>
        <w:t>t</w:t>
      </w:r>
      <w:r w:rsidR="00C43D6C" w:rsidRPr="0093712A">
        <w:rPr>
          <w:lang w:val="en-GB"/>
        </w:rPr>
        <w:t>he greater number of records in the archive and of establishments</w:t>
      </w:r>
      <w:r w:rsidR="0039191F" w:rsidRPr="0093712A">
        <w:rPr>
          <w:lang w:val="en-GB"/>
        </w:rPr>
        <w:t xml:space="preserve">. </w:t>
      </w:r>
      <w:r w:rsidR="00EC1B83" w:rsidRPr="0093712A">
        <w:rPr>
          <w:lang w:val="en-GB"/>
        </w:rPr>
        <w:t>Reasonably,</w:t>
      </w:r>
      <w:r w:rsidR="00C43D6C" w:rsidRPr="0093712A">
        <w:rPr>
          <w:lang w:val="en-GB"/>
        </w:rPr>
        <w:t xml:space="preserve"> the number of explosions is low </w:t>
      </w:r>
      <w:r w:rsidR="00A10FC4" w:rsidRPr="0093712A">
        <w:rPr>
          <w:lang w:val="en-GB"/>
        </w:rPr>
        <w:t xml:space="preserve">because </w:t>
      </w:r>
      <w:r w:rsidR="00C43D6C" w:rsidRPr="0093712A">
        <w:rPr>
          <w:lang w:val="en-GB"/>
        </w:rPr>
        <w:t xml:space="preserve">they are generally associated </w:t>
      </w:r>
      <w:r w:rsidR="00650221" w:rsidRPr="0093712A">
        <w:rPr>
          <w:lang w:val="en-GB"/>
        </w:rPr>
        <w:t xml:space="preserve">to major </w:t>
      </w:r>
      <w:r w:rsidR="00C43D6C" w:rsidRPr="0093712A">
        <w:rPr>
          <w:lang w:val="en-GB"/>
        </w:rPr>
        <w:t>accident</w:t>
      </w:r>
      <w:r w:rsidR="00F95E0C" w:rsidRPr="0093712A">
        <w:rPr>
          <w:lang w:val="en-GB"/>
        </w:rPr>
        <w:t xml:space="preserve"> and not to near misses</w:t>
      </w:r>
      <w:r w:rsidR="00C43D6C" w:rsidRPr="0093712A">
        <w:rPr>
          <w:lang w:val="en-GB"/>
        </w:rPr>
        <w:t xml:space="preserve">. Regarding fires, the search also includes documents that mention the start of a fire. Even in the case of </w:t>
      </w:r>
      <w:r w:rsidR="000F0533" w:rsidRPr="0093712A">
        <w:rPr>
          <w:lang w:val="en-GB"/>
        </w:rPr>
        <w:t>“</w:t>
      </w:r>
      <w:r w:rsidR="00F94802" w:rsidRPr="0093712A">
        <w:rPr>
          <w:lang w:val="en-GB"/>
        </w:rPr>
        <w:t>failure</w:t>
      </w:r>
      <w:r w:rsidR="000F0533" w:rsidRPr="0093712A">
        <w:rPr>
          <w:lang w:val="en-GB"/>
        </w:rPr>
        <w:t>”</w:t>
      </w:r>
      <w:r w:rsidR="00C43D6C" w:rsidRPr="0093712A">
        <w:rPr>
          <w:lang w:val="en-GB"/>
        </w:rPr>
        <w:t>, more information would be available by identifying specific equipment.</w:t>
      </w:r>
      <w:r w:rsidR="005B2A25" w:rsidRPr="0093712A">
        <w:rPr>
          <w:lang w:val="en-GB"/>
        </w:rPr>
        <w:t xml:space="preserve"> </w:t>
      </w:r>
    </w:p>
    <w:p w14:paraId="07A24BFA" w14:textId="77777777" w:rsidR="00C1581D" w:rsidRDefault="004B758C" w:rsidP="009D42A9">
      <w:pPr>
        <w:pStyle w:val="CETBodytext"/>
        <w:rPr>
          <w:lang w:val="en-GB"/>
        </w:rPr>
      </w:pPr>
      <w:r w:rsidRPr="0093712A">
        <w:rPr>
          <w:lang w:val="en-GB"/>
        </w:rPr>
        <w:t>Among</w:t>
      </w:r>
      <w:r w:rsidR="00FF28F7" w:rsidRPr="0093712A">
        <w:rPr>
          <w:lang w:val="en-GB"/>
        </w:rPr>
        <w:t xml:space="preserve"> event</w:t>
      </w:r>
      <w:r w:rsidRPr="0093712A">
        <w:rPr>
          <w:lang w:val="en-GB"/>
        </w:rPr>
        <w:t xml:space="preserve">s </w:t>
      </w:r>
      <w:r w:rsidR="00FF28F7" w:rsidRPr="0093712A">
        <w:rPr>
          <w:lang w:val="en-GB"/>
        </w:rPr>
        <w:t>that lead to a loss of containment</w:t>
      </w:r>
      <w:r w:rsidR="004454FC" w:rsidRPr="0093712A">
        <w:rPr>
          <w:lang w:val="en-GB"/>
        </w:rPr>
        <w:t xml:space="preserve"> </w:t>
      </w:r>
      <w:r w:rsidR="00E27577" w:rsidRPr="0093712A">
        <w:rPr>
          <w:lang w:val="en-GB"/>
        </w:rPr>
        <w:t xml:space="preserve">there are </w:t>
      </w:r>
      <w:r w:rsidR="000C448B" w:rsidRPr="0093712A">
        <w:rPr>
          <w:lang w:val="en-GB"/>
        </w:rPr>
        <w:t>deterioration mechanisms</w:t>
      </w:r>
      <w:r w:rsidR="00834788" w:rsidRPr="0093712A">
        <w:rPr>
          <w:lang w:val="en-GB"/>
        </w:rPr>
        <w:t xml:space="preserve">, so </w:t>
      </w:r>
      <w:r w:rsidR="001E6EA3" w:rsidRPr="0093712A">
        <w:rPr>
          <w:lang w:val="en-GB"/>
        </w:rPr>
        <w:t>the se</w:t>
      </w:r>
      <w:r w:rsidR="00792240" w:rsidRPr="0093712A">
        <w:rPr>
          <w:lang w:val="en-GB"/>
        </w:rPr>
        <w:t xml:space="preserve">arch with </w:t>
      </w:r>
      <w:r w:rsidR="00834788" w:rsidRPr="0093712A">
        <w:rPr>
          <w:lang w:val="en-GB"/>
        </w:rPr>
        <w:t xml:space="preserve">the </w:t>
      </w:r>
      <w:r w:rsidR="001E6EA3" w:rsidRPr="0093712A">
        <w:rPr>
          <w:lang w:val="en-GB"/>
        </w:rPr>
        <w:t>terms</w:t>
      </w:r>
      <w:r w:rsidR="00AF164B" w:rsidRPr="0093712A">
        <w:rPr>
          <w:lang w:val="en-GB"/>
        </w:rPr>
        <w:t xml:space="preserve"> </w:t>
      </w:r>
      <w:r w:rsidR="007E591D" w:rsidRPr="0093712A">
        <w:rPr>
          <w:lang w:val="en-GB"/>
        </w:rPr>
        <w:t>“</w:t>
      </w:r>
      <w:r w:rsidR="00AF164B" w:rsidRPr="0093712A">
        <w:rPr>
          <w:lang w:val="en-GB"/>
        </w:rPr>
        <w:t>corrosion</w:t>
      </w:r>
      <w:r w:rsidR="007E591D" w:rsidRPr="0093712A">
        <w:rPr>
          <w:lang w:val="en-GB"/>
        </w:rPr>
        <w:t>”</w:t>
      </w:r>
      <w:r w:rsidR="00AF164B" w:rsidRPr="0093712A">
        <w:rPr>
          <w:lang w:val="en-GB"/>
        </w:rPr>
        <w:t xml:space="preserve"> (286), </w:t>
      </w:r>
      <w:r w:rsidR="007E591D" w:rsidRPr="0093712A">
        <w:rPr>
          <w:lang w:val="en-GB"/>
        </w:rPr>
        <w:t>“</w:t>
      </w:r>
      <w:r w:rsidR="00AF164B" w:rsidRPr="0093712A">
        <w:rPr>
          <w:lang w:val="en-GB"/>
        </w:rPr>
        <w:t>wear</w:t>
      </w:r>
      <w:r w:rsidR="007E591D" w:rsidRPr="0093712A">
        <w:rPr>
          <w:lang w:val="en-GB"/>
        </w:rPr>
        <w:t>”</w:t>
      </w:r>
      <w:r w:rsidR="00AF164B" w:rsidRPr="0093712A">
        <w:rPr>
          <w:lang w:val="en-GB"/>
        </w:rPr>
        <w:t xml:space="preserve"> (226), </w:t>
      </w:r>
      <w:r w:rsidR="007E591D" w:rsidRPr="0093712A">
        <w:rPr>
          <w:lang w:val="en-GB"/>
        </w:rPr>
        <w:t>“</w:t>
      </w:r>
      <w:r w:rsidR="00AF164B" w:rsidRPr="0093712A">
        <w:rPr>
          <w:lang w:val="en-GB"/>
        </w:rPr>
        <w:t>crack</w:t>
      </w:r>
      <w:r w:rsidR="007E591D" w:rsidRPr="0093712A">
        <w:rPr>
          <w:lang w:val="en-GB"/>
        </w:rPr>
        <w:t>”</w:t>
      </w:r>
      <w:r w:rsidR="00AF164B" w:rsidRPr="0093712A">
        <w:rPr>
          <w:lang w:val="en-GB"/>
        </w:rPr>
        <w:t xml:space="preserve"> (110), </w:t>
      </w:r>
      <w:r w:rsidR="007E591D" w:rsidRPr="0093712A">
        <w:rPr>
          <w:lang w:val="en-GB"/>
        </w:rPr>
        <w:t>“</w:t>
      </w:r>
      <w:r w:rsidR="00AF164B" w:rsidRPr="0093712A">
        <w:rPr>
          <w:lang w:val="en-GB"/>
        </w:rPr>
        <w:t>fatigue</w:t>
      </w:r>
      <w:r w:rsidR="007E591D" w:rsidRPr="0093712A">
        <w:rPr>
          <w:lang w:val="en-GB"/>
        </w:rPr>
        <w:t>”</w:t>
      </w:r>
      <w:r w:rsidR="00AF164B" w:rsidRPr="0093712A">
        <w:rPr>
          <w:lang w:val="en-GB"/>
        </w:rPr>
        <w:t xml:space="preserve"> (36) and </w:t>
      </w:r>
      <w:r w:rsidR="007E591D" w:rsidRPr="0093712A">
        <w:rPr>
          <w:lang w:val="en-GB"/>
        </w:rPr>
        <w:t>“</w:t>
      </w:r>
      <w:r w:rsidR="00AF164B" w:rsidRPr="0093712A">
        <w:rPr>
          <w:lang w:val="en-GB"/>
        </w:rPr>
        <w:t>thinning</w:t>
      </w:r>
      <w:r w:rsidR="007E591D" w:rsidRPr="0093712A">
        <w:rPr>
          <w:lang w:val="en-GB"/>
        </w:rPr>
        <w:t>”</w:t>
      </w:r>
      <w:r w:rsidR="00AF164B" w:rsidRPr="0093712A">
        <w:rPr>
          <w:lang w:val="en-GB"/>
        </w:rPr>
        <w:t xml:space="preserve"> (5)</w:t>
      </w:r>
      <w:r w:rsidR="0026644C" w:rsidRPr="0093712A">
        <w:rPr>
          <w:lang w:val="en-GB"/>
        </w:rPr>
        <w:t xml:space="preserve"> has been </w:t>
      </w:r>
      <w:r w:rsidR="00AB4DA8" w:rsidRPr="0093712A">
        <w:rPr>
          <w:lang w:val="en-GB"/>
        </w:rPr>
        <w:t>considered</w:t>
      </w:r>
      <w:r w:rsidR="00AF164B" w:rsidRPr="0093712A">
        <w:rPr>
          <w:lang w:val="en-GB"/>
        </w:rPr>
        <w:t xml:space="preserve">. Corrosion </w:t>
      </w:r>
      <w:r w:rsidR="00AB4DA8" w:rsidRPr="0093712A">
        <w:rPr>
          <w:lang w:val="en-GB"/>
        </w:rPr>
        <w:t>has been</w:t>
      </w:r>
      <w:r w:rsidR="00AF164B" w:rsidRPr="0093712A">
        <w:rPr>
          <w:lang w:val="en-GB"/>
        </w:rPr>
        <w:t xml:space="preserve"> examined in depth, </w:t>
      </w:r>
      <w:r w:rsidR="00910772" w:rsidRPr="0093712A">
        <w:rPr>
          <w:lang w:val="en-GB"/>
        </w:rPr>
        <w:t>identifying</w:t>
      </w:r>
      <w:r w:rsidR="00AF164B" w:rsidRPr="0093712A">
        <w:rPr>
          <w:lang w:val="en-GB"/>
        </w:rPr>
        <w:t xml:space="preserve"> 24</w:t>
      </w:r>
      <w:r w:rsidR="00B8216D" w:rsidRPr="0093712A">
        <w:rPr>
          <w:lang w:val="en-GB"/>
        </w:rPr>
        <w:t>2</w:t>
      </w:r>
      <w:r w:rsidR="00AF164B" w:rsidRPr="0093712A">
        <w:rPr>
          <w:lang w:val="en-GB"/>
        </w:rPr>
        <w:t xml:space="preserve"> </w:t>
      </w:r>
      <w:r w:rsidR="00690A45" w:rsidRPr="0093712A">
        <w:rPr>
          <w:lang w:val="en-GB"/>
        </w:rPr>
        <w:t xml:space="preserve">OE </w:t>
      </w:r>
      <w:r w:rsidR="00AF164B" w:rsidRPr="0093712A">
        <w:rPr>
          <w:lang w:val="en-GB"/>
        </w:rPr>
        <w:t xml:space="preserve">documents. </w:t>
      </w:r>
      <w:r w:rsidR="0093590C" w:rsidRPr="0093712A">
        <w:rPr>
          <w:lang w:val="en-GB"/>
        </w:rPr>
        <w:t>The search has been refined by considering the e</w:t>
      </w:r>
      <w:r w:rsidR="00C74960" w:rsidRPr="0093712A">
        <w:rPr>
          <w:lang w:val="en-GB"/>
        </w:rPr>
        <w:t>quipment that appears most frequently</w:t>
      </w:r>
      <w:r w:rsidR="0093590C" w:rsidRPr="0093712A">
        <w:rPr>
          <w:lang w:val="en-GB"/>
        </w:rPr>
        <w:t>:</w:t>
      </w:r>
      <w:r w:rsidR="00AF164B" w:rsidRPr="0093712A">
        <w:rPr>
          <w:lang w:val="en-GB"/>
        </w:rPr>
        <w:t xml:space="preserve"> piping, tank</w:t>
      </w:r>
      <w:r w:rsidR="006415AF" w:rsidRPr="0093712A">
        <w:rPr>
          <w:lang w:val="en-GB"/>
        </w:rPr>
        <w:t xml:space="preserve"> </w:t>
      </w:r>
      <w:r w:rsidR="00AF164B" w:rsidRPr="0093712A">
        <w:rPr>
          <w:lang w:val="en-GB"/>
        </w:rPr>
        <w:t>and pump.</w:t>
      </w:r>
      <w:r w:rsidR="00E4570E" w:rsidRPr="0093712A">
        <w:rPr>
          <w:lang w:val="en-GB"/>
        </w:rPr>
        <w:t xml:space="preserve"> </w:t>
      </w:r>
    </w:p>
    <w:p w14:paraId="71CF56DD" w14:textId="2B08B206" w:rsidR="009D42A9" w:rsidRPr="0093712A" w:rsidRDefault="00E4570E" w:rsidP="009D42A9">
      <w:pPr>
        <w:pStyle w:val="CETBodytext"/>
        <w:rPr>
          <w:lang w:val="en-GB"/>
        </w:rPr>
      </w:pPr>
      <w:r w:rsidRPr="0093712A">
        <w:rPr>
          <w:lang w:val="en-GB"/>
        </w:rPr>
        <w:t>Th</w:t>
      </w:r>
      <w:r w:rsidR="00D76694" w:rsidRPr="0093712A">
        <w:rPr>
          <w:lang w:val="en-GB"/>
        </w:rPr>
        <w:t xml:space="preserve">e </w:t>
      </w:r>
      <w:r w:rsidRPr="0093712A">
        <w:rPr>
          <w:lang w:val="en-GB"/>
        </w:rPr>
        <w:t xml:space="preserve">results are shown </w:t>
      </w:r>
      <w:r w:rsidR="00F3783C" w:rsidRPr="0093712A">
        <w:rPr>
          <w:lang w:val="en-GB"/>
        </w:rPr>
        <w:t>in Table 3</w:t>
      </w:r>
      <w:r w:rsidR="00D01D94" w:rsidRPr="0093712A">
        <w:rPr>
          <w:lang w:val="en-GB"/>
        </w:rPr>
        <w:t xml:space="preserve">. </w:t>
      </w:r>
    </w:p>
    <w:p w14:paraId="68B75A85" w14:textId="77777777" w:rsidR="009D42A9" w:rsidRDefault="009D42A9" w:rsidP="009D42A9">
      <w:pPr>
        <w:pStyle w:val="CETBodytext"/>
      </w:pPr>
    </w:p>
    <w:p w14:paraId="46A9A131" w14:textId="3A444928" w:rsidR="00191499" w:rsidRPr="009D42A9" w:rsidRDefault="00FD40B3" w:rsidP="009D42A9">
      <w:pPr>
        <w:pStyle w:val="CETBodytext"/>
        <w:rPr>
          <w:i/>
          <w:iCs/>
          <w:color w:val="000000" w:themeColor="text1"/>
          <w:lang w:val="en-GB"/>
        </w:rPr>
      </w:pPr>
      <w:r w:rsidRPr="009D42A9">
        <w:rPr>
          <w:i/>
          <w:iCs/>
        </w:rPr>
        <w:t>Table 3: Corrosion related to specific equipment</w:t>
      </w:r>
    </w:p>
    <w:tbl>
      <w:tblPr>
        <w:tblW w:w="732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6"/>
        <w:gridCol w:w="992"/>
        <w:gridCol w:w="1417"/>
        <w:gridCol w:w="851"/>
        <w:gridCol w:w="1134"/>
        <w:gridCol w:w="850"/>
        <w:gridCol w:w="803"/>
      </w:tblGrid>
      <w:tr w:rsidR="00233E9C" w:rsidRPr="00B57B36" w14:paraId="71B8604E" w14:textId="77777777" w:rsidTr="00233E9C">
        <w:trPr>
          <w:trHeight w:val="279"/>
        </w:trPr>
        <w:tc>
          <w:tcPr>
            <w:tcW w:w="1276" w:type="dxa"/>
            <w:tcBorders>
              <w:top w:val="single" w:sz="12" w:space="0" w:color="008000"/>
              <w:bottom w:val="single" w:sz="6" w:space="0" w:color="008000"/>
            </w:tcBorders>
            <w:shd w:val="clear" w:color="auto" w:fill="FFFFFF"/>
          </w:tcPr>
          <w:p w14:paraId="5678A47E" w14:textId="77777777" w:rsidR="00233E9C" w:rsidRPr="00B57B36" w:rsidRDefault="00233E9C" w:rsidP="00FE27B6">
            <w:pPr>
              <w:pStyle w:val="CETBodytext"/>
              <w:rPr>
                <w:lang w:val="en-GB"/>
              </w:rPr>
            </w:pPr>
            <w:r>
              <w:rPr>
                <w:lang w:val="en-GB"/>
              </w:rPr>
              <w:t>MS</w:t>
            </w:r>
            <w:r w:rsidRPr="00B57B36">
              <w:rPr>
                <w:lang w:val="en-GB"/>
              </w:rPr>
              <w:t xml:space="preserve"> </w:t>
            </w:r>
          </w:p>
        </w:tc>
        <w:tc>
          <w:tcPr>
            <w:tcW w:w="992" w:type="dxa"/>
            <w:tcBorders>
              <w:top w:val="single" w:sz="12" w:space="0" w:color="008000"/>
              <w:bottom w:val="single" w:sz="6" w:space="0" w:color="008000"/>
            </w:tcBorders>
            <w:shd w:val="clear" w:color="auto" w:fill="FFFFFF"/>
          </w:tcPr>
          <w:p w14:paraId="7E9E7BAB" w14:textId="78F582CC" w:rsidR="00233E9C" w:rsidRPr="009245DF" w:rsidRDefault="00233E9C" w:rsidP="00FE27B6">
            <w:pPr>
              <w:pStyle w:val="CETBodytext"/>
              <w:rPr>
                <w:highlight w:val="yellow"/>
                <w:lang w:val="en-GB"/>
              </w:rPr>
            </w:pPr>
            <w:r w:rsidRPr="009245DF">
              <w:rPr>
                <w:lang w:val="en-GB"/>
              </w:rPr>
              <w:t>Pipeline</w:t>
            </w:r>
          </w:p>
        </w:tc>
        <w:tc>
          <w:tcPr>
            <w:tcW w:w="1417" w:type="dxa"/>
            <w:tcBorders>
              <w:top w:val="single" w:sz="12" w:space="0" w:color="008000"/>
              <w:bottom w:val="single" w:sz="6" w:space="0" w:color="008000"/>
            </w:tcBorders>
            <w:shd w:val="clear" w:color="auto" w:fill="FFFFFF"/>
          </w:tcPr>
          <w:p w14:paraId="20FB42BD" w14:textId="4B0D1E2B" w:rsidR="00233E9C" w:rsidRPr="00B57B36" w:rsidRDefault="00233E9C" w:rsidP="00FE27B6">
            <w:pPr>
              <w:pStyle w:val="CETBodytext"/>
              <w:rPr>
                <w:lang w:val="en-GB"/>
              </w:rPr>
            </w:pPr>
            <w:r>
              <w:rPr>
                <w:lang w:val="en-GB"/>
              </w:rPr>
              <w:t>%Pipeline</w:t>
            </w:r>
          </w:p>
        </w:tc>
        <w:tc>
          <w:tcPr>
            <w:tcW w:w="851" w:type="dxa"/>
            <w:tcBorders>
              <w:top w:val="single" w:sz="12" w:space="0" w:color="008000"/>
              <w:bottom w:val="single" w:sz="6" w:space="0" w:color="008000"/>
            </w:tcBorders>
            <w:shd w:val="clear" w:color="auto" w:fill="FFFFFF"/>
          </w:tcPr>
          <w:p w14:paraId="623C0AA0" w14:textId="2B967E77" w:rsidR="00233E9C" w:rsidRDefault="00233E9C" w:rsidP="00FE27B6">
            <w:pPr>
              <w:pStyle w:val="CETBodytext"/>
              <w:rPr>
                <w:rFonts w:cs="Arial"/>
                <w:szCs w:val="18"/>
                <w:lang w:val="en-GB"/>
              </w:rPr>
            </w:pPr>
            <w:r>
              <w:rPr>
                <w:lang w:val="en-GB"/>
              </w:rPr>
              <w:t>Tank</w:t>
            </w:r>
          </w:p>
        </w:tc>
        <w:tc>
          <w:tcPr>
            <w:tcW w:w="1134" w:type="dxa"/>
            <w:tcBorders>
              <w:top w:val="single" w:sz="12" w:space="0" w:color="008000"/>
              <w:bottom w:val="single" w:sz="6" w:space="0" w:color="008000"/>
            </w:tcBorders>
            <w:shd w:val="clear" w:color="auto" w:fill="FFFFFF"/>
          </w:tcPr>
          <w:p w14:paraId="34707E48" w14:textId="7D14C0D8" w:rsidR="00233E9C" w:rsidRPr="00B57B36" w:rsidRDefault="00233E9C" w:rsidP="00FE27B6">
            <w:pPr>
              <w:pStyle w:val="CETBodytext"/>
              <w:ind w:right="-1"/>
              <w:rPr>
                <w:rFonts w:cs="Arial"/>
                <w:szCs w:val="18"/>
                <w:lang w:val="en-GB"/>
              </w:rPr>
            </w:pPr>
            <w:r>
              <w:rPr>
                <w:rFonts w:cs="Arial"/>
                <w:szCs w:val="18"/>
                <w:lang w:val="en-GB"/>
              </w:rPr>
              <w:t>%</w:t>
            </w:r>
            <w:r w:rsidR="000C6AAA">
              <w:rPr>
                <w:rFonts w:cs="Arial"/>
                <w:szCs w:val="18"/>
                <w:lang w:val="en-GB"/>
              </w:rPr>
              <w:t>T</w:t>
            </w:r>
            <w:r>
              <w:rPr>
                <w:rFonts w:cs="Arial"/>
                <w:szCs w:val="18"/>
                <w:lang w:val="en-GB"/>
              </w:rPr>
              <w:t>ank</w:t>
            </w:r>
          </w:p>
        </w:tc>
        <w:tc>
          <w:tcPr>
            <w:tcW w:w="850" w:type="dxa"/>
            <w:tcBorders>
              <w:top w:val="single" w:sz="12" w:space="0" w:color="008000"/>
              <w:bottom w:val="single" w:sz="6" w:space="0" w:color="008000"/>
            </w:tcBorders>
            <w:shd w:val="clear" w:color="auto" w:fill="FFFFFF"/>
          </w:tcPr>
          <w:p w14:paraId="5AA9680C" w14:textId="00DDE55B" w:rsidR="00233E9C" w:rsidRPr="00D94FC7" w:rsidRDefault="00233E9C" w:rsidP="00FE27B6">
            <w:pPr>
              <w:pStyle w:val="CETBodytext"/>
              <w:ind w:right="-1"/>
              <w:rPr>
                <w:rFonts w:cs="Arial"/>
                <w:szCs w:val="18"/>
                <w:lang w:val="en-GB"/>
              </w:rPr>
            </w:pPr>
            <w:r w:rsidRPr="00D94FC7">
              <w:rPr>
                <w:lang w:val="en-GB"/>
              </w:rPr>
              <w:t>Pump</w:t>
            </w:r>
          </w:p>
        </w:tc>
        <w:tc>
          <w:tcPr>
            <w:tcW w:w="803" w:type="dxa"/>
            <w:tcBorders>
              <w:top w:val="single" w:sz="12" w:space="0" w:color="008000"/>
              <w:bottom w:val="single" w:sz="6" w:space="0" w:color="008000"/>
            </w:tcBorders>
            <w:shd w:val="clear" w:color="auto" w:fill="FFFFFF"/>
          </w:tcPr>
          <w:p w14:paraId="300970AC" w14:textId="7B059C3B" w:rsidR="00233E9C" w:rsidRDefault="00233E9C" w:rsidP="00FE27B6">
            <w:pPr>
              <w:pStyle w:val="CETBodytext"/>
              <w:ind w:right="-1"/>
              <w:rPr>
                <w:rFonts w:cs="Arial"/>
                <w:szCs w:val="18"/>
                <w:lang w:val="en-GB"/>
              </w:rPr>
            </w:pPr>
            <w:r>
              <w:rPr>
                <w:rFonts w:cs="Arial"/>
                <w:szCs w:val="18"/>
                <w:lang w:val="en-GB"/>
              </w:rPr>
              <w:t>%</w:t>
            </w:r>
            <w:r w:rsidR="000C6AAA">
              <w:rPr>
                <w:rFonts w:cs="Arial"/>
                <w:szCs w:val="18"/>
                <w:lang w:val="en-GB"/>
              </w:rPr>
              <w:t>P</w:t>
            </w:r>
            <w:r>
              <w:rPr>
                <w:rFonts w:cs="Arial"/>
                <w:szCs w:val="18"/>
                <w:lang w:val="en-GB"/>
              </w:rPr>
              <w:t>ump</w:t>
            </w:r>
          </w:p>
        </w:tc>
      </w:tr>
      <w:tr w:rsidR="00233E9C" w14:paraId="34508A10" w14:textId="77777777" w:rsidTr="00233E9C">
        <w:trPr>
          <w:trHeight w:val="109"/>
        </w:trPr>
        <w:tc>
          <w:tcPr>
            <w:tcW w:w="1276" w:type="dxa"/>
            <w:shd w:val="clear" w:color="auto" w:fill="FFFFFF"/>
          </w:tcPr>
          <w:p w14:paraId="49539170" w14:textId="77777777" w:rsidR="00233E9C" w:rsidRDefault="00233E9C" w:rsidP="00FE27B6">
            <w:pPr>
              <w:pStyle w:val="CETBodytext"/>
              <w:rPr>
                <w:lang w:val="en-GB"/>
              </w:rPr>
            </w:pPr>
            <w:r>
              <w:rPr>
                <w:lang w:val="en-GB"/>
              </w:rPr>
              <w:t>MS1</w:t>
            </w:r>
          </w:p>
        </w:tc>
        <w:tc>
          <w:tcPr>
            <w:tcW w:w="992" w:type="dxa"/>
            <w:shd w:val="clear" w:color="auto" w:fill="FFFFFF"/>
          </w:tcPr>
          <w:p w14:paraId="3D530A9F" w14:textId="22D7FF56" w:rsidR="00233E9C" w:rsidRPr="0053012B" w:rsidRDefault="00233E9C" w:rsidP="00FE27B6">
            <w:pPr>
              <w:pStyle w:val="CETBodytext"/>
              <w:ind w:right="-1"/>
              <w:rPr>
                <w:rFonts w:cs="Arial"/>
                <w:szCs w:val="18"/>
                <w:lang w:val="en-GB"/>
              </w:rPr>
            </w:pPr>
            <w:r w:rsidRPr="0053012B">
              <w:rPr>
                <w:rFonts w:cs="Arial"/>
                <w:szCs w:val="18"/>
                <w:lang w:val="en-GB"/>
              </w:rPr>
              <w:t>0</w:t>
            </w:r>
          </w:p>
        </w:tc>
        <w:tc>
          <w:tcPr>
            <w:tcW w:w="1417" w:type="dxa"/>
            <w:shd w:val="clear" w:color="auto" w:fill="FFFFFF"/>
          </w:tcPr>
          <w:p w14:paraId="35CB3DFE" w14:textId="3E7E542B" w:rsidR="00233E9C" w:rsidRPr="0053012B" w:rsidRDefault="00233E9C" w:rsidP="00FE27B6">
            <w:pPr>
              <w:pStyle w:val="CETBodytext"/>
              <w:ind w:right="-1"/>
              <w:rPr>
                <w:rFonts w:cs="Arial"/>
                <w:szCs w:val="18"/>
                <w:lang w:val="en-GB"/>
              </w:rPr>
            </w:pPr>
            <w:r>
              <w:rPr>
                <w:rFonts w:cs="Arial"/>
                <w:szCs w:val="18"/>
                <w:lang w:val="en-GB"/>
              </w:rPr>
              <w:t>0%</w:t>
            </w:r>
          </w:p>
        </w:tc>
        <w:tc>
          <w:tcPr>
            <w:tcW w:w="851" w:type="dxa"/>
          </w:tcPr>
          <w:p w14:paraId="51161702" w14:textId="0900C32E" w:rsidR="00233E9C" w:rsidRPr="00CB4520" w:rsidRDefault="00233E9C" w:rsidP="00FE27B6">
            <w:pPr>
              <w:pStyle w:val="CETBodytext"/>
              <w:ind w:right="-1"/>
              <w:rPr>
                <w:rFonts w:cs="Arial"/>
                <w:szCs w:val="18"/>
                <w:lang w:val="en-GB"/>
              </w:rPr>
            </w:pPr>
            <w:r w:rsidRPr="00CB4520">
              <w:rPr>
                <w:rFonts w:cs="Arial"/>
                <w:szCs w:val="18"/>
                <w:lang w:val="en-GB"/>
              </w:rPr>
              <w:t>1</w:t>
            </w:r>
          </w:p>
        </w:tc>
        <w:tc>
          <w:tcPr>
            <w:tcW w:w="1134" w:type="dxa"/>
          </w:tcPr>
          <w:p w14:paraId="577D8A7B" w14:textId="320E3920"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850" w:type="dxa"/>
          </w:tcPr>
          <w:p w14:paraId="063679F6" w14:textId="77A7078A" w:rsidR="00233E9C" w:rsidRPr="00D94FC7" w:rsidRDefault="00233E9C" w:rsidP="00FE27B6">
            <w:pPr>
              <w:pStyle w:val="CETBodytext"/>
              <w:ind w:right="-1"/>
              <w:rPr>
                <w:rFonts w:cs="Arial"/>
                <w:szCs w:val="18"/>
                <w:lang w:val="en-GB"/>
              </w:rPr>
            </w:pPr>
            <w:r w:rsidRPr="00D94FC7">
              <w:rPr>
                <w:rFonts w:cs="Arial"/>
                <w:szCs w:val="18"/>
                <w:lang w:val="en-GB"/>
              </w:rPr>
              <w:t>0</w:t>
            </w:r>
          </w:p>
        </w:tc>
        <w:tc>
          <w:tcPr>
            <w:tcW w:w="803" w:type="dxa"/>
          </w:tcPr>
          <w:p w14:paraId="72F18DB5" w14:textId="195F46F9" w:rsidR="00233E9C" w:rsidRPr="00082683" w:rsidRDefault="00233E9C" w:rsidP="00FE27B6">
            <w:pPr>
              <w:pStyle w:val="CETBodytext"/>
              <w:ind w:right="-1"/>
              <w:rPr>
                <w:rFonts w:cs="Arial"/>
                <w:szCs w:val="18"/>
                <w:lang w:val="en-GB"/>
              </w:rPr>
            </w:pPr>
            <w:r w:rsidRPr="00082683">
              <w:rPr>
                <w:rFonts w:cs="Arial"/>
                <w:szCs w:val="18"/>
                <w:lang w:val="en-GB"/>
              </w:rPr>
              <w:t>0%</w:t>
            </w:r>
          </w:p>
        </w:tc>
      </w:tr>
      <w:tr w:rsidR="00233E9C" w14:paraId="7E2C3DEB" w14:textId="77777777" w:rsidTr="00233E9C">
        <w:trPr>
          <w:trHeight w:val="109"/>
        </w:trPr>
        <w:tc>
          <w:tcPr>
            <w:tcW w:w="1276" w:type="dxa"/>
            <w:shd w:val="clear" w:color="auto" w:fill="FFFFFF"/>
          </w:tcPr>
          <w:p w14:paraId="10CD5DFC" w14:textId="77777777" w:rsidR="00233E9C" w:rsidRPr="00B57B36" w:rsidRDefault="00233E9C" w:rsidP="00FE27B6">
            <w:pPr>
              <w:pStyle w:val="CETBodytext"/>
              <w:rPr>
                <w:lang w:val="en-GB"/>
              </w:rPr>
            </w:pPr>
            <w:r>
              <w:rPr>
                <w:lang w:val="en-GB"/>
              </w:rPr>
              <w:t>MS2</w:t>
            </w:r>
          </w:p>
        </w:tc>
        <w:tc>
          <w:tcPr>
            <w:tcW w:w="992" w:type="dxa"/>
            <w:shd w:val="clear" w:color="auto" w:fill="FFFFFF"/>
          </w:tcPr>
          <w:p w14:paraId="4D8441ED" w14:textId="53869A08" w:rsidR="00233E9C" w:rsidRPr="0053012B" w:rsidRDefault="00233E9C" w:rsidP="00FE27B6">
            <w:pPr>
              <w:pStyle w:val="CETBodytext"/>
              <w:ind w:right="-1"/>
              <w:rPr>
                <w:rFonts w:cs="Arial"/>
                <w:szCs w:val="18"/>
                <w:lang w:val="en-GB"/>
              </w:rPr>
            </w:pPr>
            <w:r w:rsidRPr="0053012B">
              <w:rPr>
                <w:rFonts w:cs="Arial"/>
                <w:szCs w:val="18"/>
                <w:lang w:val="en-GB"/>
              </w:rPr>
              <w:t>24</w:t>
            </w:r>
          </w:p>
        </w:tc>
        <w:tc>
          <w:tcPr>
            <w:tcW w:w="1417" w:type="dxa"/>
            <w:shd w:val="clear" w:color="auto" w:fill="FFFFFF"/>
          </w:tcPr>
          <w:p w14:paraId="65E1FFF4" w14:textId="7BFAF28E" w:rsidR="00233E9C" w:rsidRPr="0053012B" w:rsidRDefault="00233E9C" w:rsidP="00FE27B6">
            <w:pPr>
              <w:pStyle w:val="CETBodytext"/>
              <w:ind w:right="-1"/>
              <w:rPr>
                <w:rFonts w:cs="Arial"/>
                <w:szCs w:val="18"/>
                <w:lang w:val="en-GB"/>
              </w:rPr>
            </w:pPr>
            <w:r>
              <w:rPr>
                <w:rFonts w:cs="Arial"/>
                <w:szCs w:val="18"/>
                <w:lang w:val="en-GB"/>
              </w:rPr>
              <w:t>10%</w:t>
            </w:r>
          </w:p>
        </w:tc>
        <w:tc>
          <w:tcPr>
            <w:tcW w:w="851" w:type="dxa"/>
          </w:tcPr>
          <w:p w14:paraId="2A253232" w14:textId="043972C5" w:rsidR="00233E9C" w:rsidRPr="00CB4520" w:rsidRDefault="00233E9C" w:rsidP="00FE27B6">
            <w:pPr>
              <w:pStyle w:val="CETBodytext"/>
              <w:ind w:right="-1"/>
              <w:rPr>
                <w:rFonts w:cs="Arial"/>
                <w:szCs w:val="18"/>
                <w:lang w:val="en-GB"/>
              </w:rPr>
            </w:pPr>
            <w:r w:rsidRPr="00CB4520">
              <w:rPr>
                <w:rFonts w:cs="Arial"/>
                <w:szCs w:val="18"/>
                <w:lang w:val="en-GB"/>
              </w:rPr>
              <w:t>10</w:t>
            </w:r>
          </w:p>
        </w:tc>
        <w:tc>
          <w:tcPr>
            <w:tcW w:w="1134" w:type="dxa"/>
          </w:tcPr>
          <w:p w14:paraId="700379FC" w14:textId="633F9929" w:rsidR="00233E9C" w:rsidRPr="00CB4520" w:rsidRDefault="00233E9C" w:rsidP="00FE27B6">
            <w:pPr>
              <w:pStyle w:val="CETBodytext"/>
              <w:ind w:right="-1"/>
              <w:rPr>
                <w:rFonts w:cs="Arial"/>
                <w:szCs w:val="18"/>
                <w:lang w:val="en-GB"/>
              </w:rPr>
            </w:pPr>
            <w:r w:rsidRPr="00CB4520">
              <w:rPr>
                <w:rFonts w:cs="Arial"/>
                <w:szCs w:val="18"/>
                <w:lang w:val="en-GB"/>
              </w:rPr>
              <w:t>4%</w:t>
            </w:r>
          </w:p>
        </w:tc>
        <w:tc>
          <w:tcPr>
            <w:tcW w:w="850" w:type="dxa"/>
          </w:tcPr>
          <w:p w14:paraId="506B9FDF" w14:textId="71E98504" w:rsidR="00233E9C" w:rsidRPr="00D94FC7" w:rsidRDefault="00233E9C" w:rsidP="00FE27B6">
            <w:pPr>
              <w:pStyle w:val="CETBodytext"/>
              <w:ind w:right="-1"/>
              <w:rPr>
                <w:rFonts w:cs="Arial"/>
                <w:szCs w:val="18"/>
                <w:lang w:val="en-GB"/>
              </w:rPr>
            </w:pPr>
            <w:r w:rsidRPr="00D94FC7">
              <w:rPr>
                <w:rFonts w:cs="Arial"/>
                <w:szCs w:val="18"/>
                <w:lang w:val="en-GB"/>
              </w:rPr>
              <w:t>11</w:t>
            </w:r>
          </w:p>
        </w:tc>
        <w:tc>
          <w:tcPr>
            <w:tcW w:w="803" w:type="dxa"/>
          </w:tcPr>
          <w:p w14:paraId="4BE11A6F" w14:textId="674398BC" w:rsidR="00233E9C" w:rsidRPr="00082683" w:rsidRDefault="00233E9C" w:rsidP="00FE27B6">
            <w:pPr>
              <w:pStyle w:val="CETBodytext"/>
              <w:ind w:right="-1"/>
              <w:rPr>
                <w:rFonts w:cs="Arial"/>
                <w:szCs w:val="18"/>
                <w:lang w:val="en-GB"/>
              </w:rPr>
            </w:pPr>
            <w:r w:rsidRPr="00082683">
              <w:rPr>
                <w:rFonts w:cs="Arial"/>
                <w:szCs w:val="18"/>
                <w:lang w:val="en-GB"/>
              </w:rPr>
              <w:t>5%</w:t>
            </w:r>
          </w:p>
        </w:tc>
      </w:tr>
      <w:tr w:rsidR="00233E9C" w14:paraId="319BA7F4" w14:textId="77777777" w:rsidTr="00233E9C">
        <w:trPr>
          <w:trHeight w:val="279"/>
        </w:trPr>
        <w:tc>
          <w:tcPr>
            <w:tcW w:w="1276" w:type="dxa"/>
            <w:shd w:val="clear" w:color="auto" w:fill="FFFFFF"/>
          </w:tcPr>
          <w:p w14:paraId="02506526" w14:textId="77777777" w:rsidR="00233E9C" w:rsidRDefault="00233E9C" w:rsidP="00FE27B6">
            <w:pPr>
              <w:pStyle w:val="CETBodytext"/>
              <w:rPr>
                <w:lang w:val="en-GB"/>
              </w:rPr>
            </w:pPr>
            <w:r>
              <w:rPr>
                <w:lang w:val="en-GB"/>
              </w:rPr>
              <w:t>MS3</w:t>
            </w:r>
          </w:p>
        </w:tc>
        <w:tc>
          <w:tcPr>
            <w:tcW w:w="992" w:type="dxa"/>
            <w:shd w:val="clear" w:color="auto" w:fill="FFFFFF"/>
          </w:tcPr>
          <w:p w14:paraId="738A29D7" w14:textId="28C476F3" w:rsidR="00233E9C" w:rsidRPr="0053012B" w:rsidRDefault="00233E9C" w:rsidP="00FE27B6">
            <w:pPr>
              <w:pStyle w:val="CETBodytext"/>
              <w:ind w:right="-1"/>
              <w:rPr>
                <w:rFonts w:cs="Arial"/>
                <w:szCs w:val="18"/>
                <w:lang w:val="en-GB"/>
              </w:rPr>
            </w:pPr>
            <w:r w:rsidRPr="0053012B">
              <w:rPr>
                <w:rFonts w:cs="Arial"/>
                <w:szCs w:val="18"/>
                <w:lang w:val="en-GB"/>
              </w:rPr>
              <w:t>43</w:t>
            </w:r>
          </w:p>
        </w:tc>
        <w:tc>
          <w:tcPr>
            <w:tcW w:w="1417" w:type="dxa"/>
            <w:shd w:val="clear" w:color="auto" w:fill="FFFFFF"/>
          </w:tcPr>
          <w:p w14:paraId="16741585" w14:textId="06C59555" w:rsidR="00233E9C" w:rsidRPr="0053012B" w:rsidRDefault="00233E9C" w:rsidP="00FE27B6">
            <w:pPr>
              <w:pStyle w:val="CETBodytext"/>
              <w:ind w:right="-1"/>
              <w:rPr>
                <w:rFonts w:cs="Arial"/>
                <w:szCs w:val="18"/>
                <w:lang w:val="en-GB"/>
              </w:rPr>
            </w:pPr>
            <w:r>
              <w:rPr>
                <w:rFonts w:cs="Arial"/>
                <w:szCs w:val="18"/>
                <w:lang w:val="en-GB"/>
              </w:rPr>
              <w:t>18%</w:t>
            </w:r>
          </w:p>
        </w:tc>
        <w:tc>
          <w:tcPr>
            <w:tcW w:w="851" w:type="dxa"/>
          </w:tcPr>
          <w:p w14:paraId="7E6A3EE4" w14:textId="4B08CAB6" w:rsidR="00233E9C" w:rsidRPr="00CB4520" w:rsidRDefault="00233E9C" w:rsidP="00FE27B6">
            <w:pPr>
              <w:pStyle w:val="CETBodytext"/>
              <w:rPr>
                <w:rFonts w:cs="Arial"/>
                <w:szCs w:val="18"/>
                <w:lang w:val="en-GB"/>
              </w:rPr>
            </w:pPr>
            <w:r w:rsidRPr="00CB4520">
              <w:rPr>
                <w:rFonts w:cs="Arial"/>
                <w:szCs w:val="18"/>
                <w:lang w:val="en-GB"/>
              </w:rPr>
              <w:t>40</w:t>
            </w:r>
          </w:p>
        </w:tc>
        <w:tc>
          <w:tcPr>
            <w:tcW w:w="1134" w:type="dxa"/>
          </w:tcPr>
          <w:p w14:paraId="4CFBBE24" w14:textId="5F745C1C" w:rsidR="00233E9C" w:rsidRPr="00CB4520" w:rsidRDefault="00233E9C" w:rsidP="00FE27B6">
            <w:pPr>
              <w:pStyle w:val="CETBodytext"/>
              <w:rPr>
                <w:rFonts w:cs="Arial"/>
                <w:szCs w:val="18"/>
                <w:lang w:val="en-GB"/>
              </w:rPr>
            </w:pPr>
            <w:r w:rsidRPr="00CB4520">
              <w:rPr>
                <w:rFonts w:cs="Arial"/>
                <w:szCs w:val="18"/>
                <w:lang w:val="en-GB"/>
              </w:rPr>
              <w:t>17%</w:t>
            </w:r>
          </w:p>
        </w:tc>
        <w:tc>
          <w:tcPr>
            <w:tcW w:w="850" w:type="dxa"/>
          </w:tcPr>
          <w:p w14:paraId="70BA5B18" w14:textId="0745961F" w:rsidR="00233E9C" w:rsidRPr="00D94FC7" w:rsidRDefault="00233E9C" w:rsidP="00FE27B6">
            <w:pPr>
              <w:pStyle w:val="CETBodytext"/>
              <w:ind w:right="-1"/>
              <w:rPr>
                <w:rFonts w:cs="Arial"/>
                <w:szCs w:val="18"/>
                <w:lang w:val="en-GB"/>
              </w:rPr>
            </w:pPr>
            <w:r w:rsidRPr="00D94FC7">
              <w:rPr>
                <w:rFonts w:cs="Arial"/>
                <w:szCs w:val="18"/>
                <w:lang w:val="en-GB"/>
              </w:rPr>
              <w:t>29</w:t>
            </w:r>
          </w:p>
        </w:tc>
        <w:tc>
          <w:tcPr>
            <w:tcW w:w="803" w:type="dxa"/>
          </w:tcPr>
          <w:p w14:paraId="384596C3" w14:textId="44DB608B" w:rsidR="00233E9C" w:rsidRPr="00082683" w:rsidRDefault="00233E9C" w:rsidP="00FE27B6">
            <w:pPr>
              <w:pStyle w:val="CETBodytext"/>
              <w:ind w:right="-1"/>
              <w:rPr>
                <w:rFonts w:cs="Arial"/>
                <w:szCs w:val="18"/>
                <w:lang w:val="en-GB"/>
              </w:rPr>
            </w:pPr>
            <w:r w:rsidRPr="00082683">
              <w:rPr>
                <w:rFonts w:cs="Arial"/>
                <w:szCs w:val="18"/>
                <w:lang w:val="en-GB"/>
              </w:rPr>
              <w:t>12%</w:t>
            </w:r>
          </w:p>
        </w:tc>
      </w:tr>
      <w:tr w:rsidR="00233E9C" w14:paraId="0934273A" w14:textId="77777777" w:rsidTr="00233E9C">
        <w:trPr>
          <w:trHeight w:val="286"/>
        </w:trPr>
        <w:tc>
          <w:tcPr>
            <w:tcW w:w="1276" w:type="dxa"/>
            <w:shd w:val="clear" w:color="auto" w:fill="FFFFFF"/>
          </w:tcPr>
          <w:p w14:paraId="3B86F88F" w14:textId="77777777" w:rsidR="00233E9C" w:rsidRDefault="00233E9C" w:rsidP="00FE27B6">
            <w:pPr>
              <w:pStyle w:val="CETBodytext"/>
              <w:rPr>
                <w:lang w:val="en-GB"/>
              </w:rPr>
            </w:pPr>
            <w:r>
              <w:rPr>
                <w:lang w:val="en-GB"/>
              </w:rPr>
              <w:t>MS4</w:t>
            </w:r>
          </w:p>
        </w:tc>
        <w:tc>
          <w:tcPr>
            <w:tcW w:w="992" w:type="dxa"/>
            <w:shd w:val="clear" w:color="auto" w:fill="FFFFFF"/>
          </w:tcPr>
          <w:p w14:paraId="07E8D0BD" w14:textId="1414157E" w:rsidR="00233E9C" w:rsidRPr="0053012B" w:rsidRDefault="00233E9C" w:rsidP="00FE27B6">
            <w:pPr>
              <w:pStyle w:val="CETBodytext"/>
              <w:ind w:right="-1"/>
              <w:rPr>
                <w:rFonts w:cs="Arial"/>
                <w:szCs w:val="18"/>
                <w:lang w:val="en-GB"/>
              </w:rPr>
            </w:pPr>
            <w:r w:rsidRPr="0053012B">
              <w:rPr>
                <w:rFonts w:cs="Arial"/>
                <w:szCs w:val="18"/>
                <w:lang w:val="en-GB"/>
              </w:rPr>
              <w:t>4</w:t>
            </w:r>
          </w:p>
        </w:tc>
        <w:tc>
          <w:tcPr>
            <w:tcW w:w="1417" w:type="dxa"/>
            <w:shd w:val="clear" w:color="auto" w:fill="FFFFFF"/>
          </w:tcPr>
          <w:p w14:paraId="099C98D6" w14:textId="15AADB44" w:rsidR="00233E9C" w:rsidRPr="0053012B" w:rsidRDefault="00233E9C" w:rsidP="00FE27B6">
            <w:pPr>
              <w:pStyle w:val="CETBodytext"/>
              <w:ind w:right="-1"/>
              <w:rPr>
                <w:rFonts w:cs="Arial"/>
                <w:szCs w:val="18"/>
                <w:lang w:val="en-GB"/>
              </w:rPr>
            </w:pPr>
            <w:r>
              <w:rPr>
                <w:rFonts w:cs="Arial"/>
                <w:szCs w:val="18"/>
                <w:lang w:val="en-GB"/>
              </w:rPr>
              <w:t>2%</w:t>
            </w:r>
          </w:p>
        </w:tc>
        <w:tc>
          <w:tcPr>
            <w:tcW w:w="851" w:type="dxa"/>
          </w:tcPr>
          <w:p w14:paraId="57A009BB" w14:textId="2CDA5E0D" w:rsidR="00233E9C" w:rsidRPr="00CB4520" w:rsidRDefault="00233E9C" w:rsidP="00FE27B6">
            <w:pPr>
              <w:pStyle w:val="CETBodytext"/>
              <w:ind w:right="-1"/>
              <w:rPr>
                <w:rFonts w:cs="Arial"/>
                <w:szCs w:val="18"/>
                <w:lang w:val="en-GB"/>
              </w:rPr>
            </w:pPr>
            <w:r w:rsidRPr="00CB4520">
              <w:rPr>
                <w:rFonts w:cs="Arial"/>
                <w:szCs w:val="18"/>
                <w:lang w:val="en-GB"/>
              </w:rPr>
              <w:t>3</w:t>
            </w:r>
          </w:p>
        </w:tc>
        <w:tc>
          <w:tcPr>
            <w:tcW w:w="1134" w:type="dxa"/>
          </w:tcPr>
          <w:p w14:paraId="31A2296B" w14:textId="7A680D8E" w:rsidR="00233E9C" w:rsidRPr="00CB4520" w:rsidRDefault="00233E9C" w:rsidP="00FE27B6">
            <w:pPr>
              <w:pStyle w:val="CETBodytext"/>
              <w:ind w:right="-1"/>
              <w:rPr>
                <w:rFonts w:cs="Arial"/>
                <w:szCs w:val="18"/>
                <w:lang w:val="en-GB"/>
              </w:rPr>
            </w:pPr>
            <w:r w:rsidRPr="00CB4520">
              <w:rPr>
                <w:rFonts w:cs="Arial"/>
                <w:szCs w:val="18"/>
                <w:lang w:val="en-GB"/>
              </w:rPr>
              <w:t>1%</w:t>
            </w:r>
          </w:p>
        </w:tc>
        <w:tc>
          <w:tcPr>
            <w:tcW w:w="850" w:type="dxa"/>
          </w:tcPr>
          <w:p w14:paraId="351BC996" w14:textId="139CE773" w:rsidR="00233E9C" w:rsidRPr="00D94FC7" w:rsidRDefault="00233E9C" w:rsidP="00FE27B6">
            <w:pPr>
              <w:pStyle w:val="CETBodytext"/>
              <w:ind w:right="-1"/>
              <w:rPr>
                <w:rFonts w:cs="Arial"/>
                <w:szCs w:val="18"/>
                <w:lang w:val="en-GB"/>
              </w:rPr>
            </w:pPr>
            <w:r w:rsidRPr="00D94FC7">
              <w:rPr>
                <w:rFonts w:cs="Arial"/>
                <w:szCs w:val="18"/>
                <w:lang w:val="en-GB"/>
              </w:rPr>
              <w:t>0</w:t>
            </w:r>
          </w:p>
        </w:tc>
        <w:tc>
          <w:tcPr>
            <w:tcW w:w="803" w:type="dxa"/>
          </w:tcPr>
          <w:p w14:paraId="06113F8F" w14:textId="0DCF2273" w:rsidR="00233E9C" w:rsidRPr="00082683" w:rsidRDefault="00233E9C" w:rsidP="00FE27B6">
            <w:pPr>
              <w:pStyle w:val="CETBodytext"/>
              <w:ind w:right="-1"/>
              <w:rPr>
                <w:rFonts w:cs="Arial"/>
                <w:szCs w:val="18"/>
                <w:lang w:val="en-GB"/>
              </w:rPr>
            </w:pPr>
            <w:r w:rsidRPr="00082683">
              <w:rPr>
                <w:rFonts w:cs="Arial"/>
                <w:szCs w:val="18"/>
                <w:lang w:val="en-GB"/>
              </w:rPr>
              <w:t>0%</w:t>
            </w:r>
          </w:p>
        </w:tc>
      </w:tr>
      <w:tr w:rsidR="00233E9C" w14:paraId="30D14EE9" w14:textId="77777777" w:rsidTr="00233E9C">
        <w:trPr>
          <w:trHeight w:val="279"/>
        </w:trPr>
        <w:tc>
          <w:tcPr>
            <w:tcW w:w="1276" w:type="dxa"/>
            <w:shd w:val="clear" w:color="auto" w:fill="FFFFFF"/>
          </w:tcPr>
          <w:p w14:paraId="30D19C83" w14:textId="77777777" w:rsidR="00233E9C" w:rsidRDefault="00233E9C" w:rsidP="00FE27B6">
            <w:pPr>
              <w:pStyle w:val="CETBodytext"/>
              <w:rPr>
                <w:lang w:val="en-GB"/>
              </w:rPr>
            </w:pPr>
            <w:r>
              <w:rPr>
                <w:lang w:val="en-GB"/>
              </w:rPr>
              <w:t>MS5</w:t>
            </w:r>
          </w:p>
        </w:tc>
        <w:tc>
          <w:tcPr>
            <w:tcW w:w="992" w:type="dxa"/>
            <w:shd w:val="clear" w:color="auto" w:fill="FFFFFF"/>
          </w:tcPr>
          <w:p w14:paraId="1D609C91" w14:textId="6189505C" w:rsidR="00233E9C" w:rsidRPr="0053012B" w:rsidRDefault="00233E9C" w:rsidP="00FE27B6">
            <w:pPr>
              <w:pStyle w:val="CETBodytext"/>
              <w:ind w:right="-1"/>
              <w:rPr>
                <w:rFonts w:cs="Arial"/>
                <w:szCs w:val="18"/>
                <w:lang w:val="en-GB"/>
              </w:rPr>
            </w:pPr>
            <w:r w:rsidRPr="0053012B">
              <w:rPr>
                <w:rFonts w:cs="Arial"/>
                <w:szCs w:val="18"/>
                <w:lang w:val="en-GB"/>
              </w:rPr>
              <w:t>0</w:t>
            </w:r>
          </w:p>
        </w:tc>
        <w:tc>
          <w:tcPr>
            <w:tcW w:w="1417" w:type="dxa"/>
            <w:shd w:val="clear" w:color="auto" w:fill="FFFFFF"/>
          </w:tcPr>
          <w:p w14:paraId="1E631E93" w14:textId="679DD484" w:rsidR="00233E9C" w:rsidRPr="0053012B" w:rsidRDefault="00233E9C" w:rsidP="00FE27B6">
            <w:pPr>
              <w:pStyle w:val="CETBodytext"/>
              <w:ind w:right="-1"/>
              <w:rPr>
                <w:rFonts w:cs="Arial"/>
                <w:szCs w:val="18"/>
                <w:lang w:val="en-GB"/>
              </w:rPr>
            </w:pPr>
            <w:r>
              <w:rPr>
                <w:rFonts w:cs="Arial"/>
                <w:szCs w:val="18"/>
                <w:lang w:val="en-GB"/>
              </w:rPr>
              <w:t>0%</w:t>
            </w:r>
          </w:p>
        </w:tc>
        <w:tc>
          <w:tcPr>
            <w:tcW w:w="851" w:type="dxa"/>
          </w:tcPr>
          <w:p w14:paraId="5B98B435" w14:textId="0480EE3F"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1134" w:type="dxa"/>
          </w:tcPr>
          <w:p w14:paraId="0C46480C" w14:textId="2C2F45D2"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850" w:type="dxa"/>
          </w:tcPr>
          <w:p w14:paraId="7F46B252" w14:textId="0567E57F" w:rsidR="00233E9C" w:rsidRPr="00D94FC7" w:rsidRDefault="00233E9C" w:rsidP="00FE27B6">
            <w:pPr>
              <w:pStyle w:val="CETBodytext"/>
              <w:ind w:right="-1"/>
              <w:rPr>
                <w:rFonts w:cs="Arial"/>
                <w:szCs w:val="18"/>
                <w:lang w:val="en-GB"/>
              </w:rPr>
            </w:pPr>
            <w:r w:rsidRPr="00D94FC7">
              <w:rPr>
                <w:rFonts w:cs="Arial"/>
                <w:szCs w:val="18"/>
                <w:lang w:val="en-GB"/>
              </w:rPr>
              <w:t>0</w:t>
            </w:r>
          </w:p>
        </w:tc>
        <w:tc>
          <w:tcPr>
            <w:tcW w:w="803" w:type="dxa"/>
          </w:tcPr>
          <w:p w14:paraId="5633FC4F" w14:textId="0A81F964" w:rsidR="00233E9C" w:rsidRPr="00082683" w:rsidRDefault="00233E9C" w:rsidP="00FE27B6">
            <w:pPr>
              <w:pStyle w:val="CETBodytext"/>
              <w:ind w:right="-1"/>
              <w:rPr>
                <w:rFonts w:cs="Arial"/>
                <w:szCs w:val="18"/>
                <w:lang w:val="en-GB"/>
              </w:rPr>
            </w:pPr>
            <w:r w:rsidRPr="00082683">
              <w:rPr>
                <w:rFonts w:cs="Arial"/>
                <w:szCs w:val="18"/>
                <w:lang w:val="en-GB"/>
              </w:rPr>
              <w:t>0%</w:t>
            </w:r>
          </w:p>
        </w:tc>
      </w:tr>
      <w:tr w:rsidR="00233E9C" w14:paraId="67FFAC55" w14:textId="77777777" w:rsidTr="00233E9C">
        <w:trPr>
          <w:trHeight w:val="279"/>
        </w:trPr>
        <w:tc>
          <w:tcPr>
            <w:tcW w:w="1276" w:type="dxa"/>
            <w:shd w:val="clear" w:color="auto" w:fill="FFFFFF"/>
          </w:tcPr>
          <w:p w14:paraId="68CD09D9" w14:textId="77777777" w:rsidR="00233E9C" w:rsidRDefault="00233E9C" w:rsidP="00FE27B6">
            <w:pPr>
              <w:pStyle w:val="CETBodytext"/>
              <w:rPr>
                <w:lang w:val="en-GB"/>
              </w:rPr>
            </w:pPr>
            <w:r>
              <w:rPr>
                <w:lang w:val="en-GB"/>
              </w:rPr>
              <w:t>MS6</w:t>
            </w:r>
          </w:p>
        </w:tc>
        <w:tc>
          <w:tcPr>
            <w:tcW w:w="992" w:type="dxa"/>
            <w:shd w:val="clear" w:color="auto" w:fill="FFFFFF"/>
          </w:tcPr>
          <w:p w14:paraId="66E61301" w14:textId="6BDCC9D9" w:rsidR="00233E9C" w:rsidRPr="0053012B" w:rsidRDefault="00233E9C" w:rsidP="00FE27B6">
            <w:pPr>
              <w:pStyle w:val="CETBodytext"/>
              <w:ind w:right="-1"/>
              <w:rPr>
                <w:rFonts w:cs="Arial"/>
                <w:szCs w:val="18"/>
                <w:lang w:val="en-GB"/>
              </w:rPr>
            </w:pPr>
            <w:r w:rsidRPr="0053012B">
              <w:rPr>
                <w:rFonts w:cs="Arial"/>
                <w:szCs w:val="18"/>
                <w:lang w:val="en-GB"/>
              </w:rPr>
              <w:t>0</w:t>
            </w:r>
          </w:p>
        </w:tc>
        <w:tc>
          <w:tcPr>
            <w:tcW w:w="1417" w:type="dxa"/>
            <w:shd w:val="clear" w:color="auto" w:fill="FFFFFF"/>
          </w:tcPr>
          <w:p w14:paraId="23740E04" w14:textId="5A9A6B92" w:rsidR="00233E9C" w:rsidRPr="0053012B" w:rsidRDefault="00233E9C" w:rsidP="00FE27B6">
            <w:pPr>
              <w:pStyle w:val="CETBodytext"/>
              <w:ind w:right="-1"/>
              <w:rPr>
                <w:rFonts w:cs="Arial"/>
                <w:szCs w:val="18"/>
                <w:lang w:val="en-GB"/>
              </w:rPr>
            </w:pPr>
            <w:r>
              <w:rPr>
                <w:rFonts w:cs="Arial"/>
                <w:szCs w:val="18"/>
                <w:lang w:val="en-GB"/>
              </w:rPr>
              <w:t>0%</w:t>
            </w:r>
          </w:p>
        </w:tc>
        <w:tc>
          <w:tcPr>
            <w:tcW w:w="851" w:type="dxa"/>
          </w:tcPr>
          <w:p w14:paraId="364A8493" w14:textId="545EF367"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1134" w:type="dxa"/>
          </w:tcPr>
          <w:p w14:paraId="63CCBC10" w14:textId="1D777C6B"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850" w:type="dxa"/>
          </w:tcPr>
          <w:p w14:paraId="4057A8A6" w14:textId="7DDBEDE2" w:rsidR="00233E9C" w:rsidRPr="00D94FC7" w:rsidRDefault="00233E9C" w:rsidP="00FE27B6">
            <w:pPr>
              <w:pStyle w:val="CETBodytext"/>
              <w:ind w:right="-1"/>
              <w:rPr>
                <w:rFonts w:cs="Arial"/>
                <w:szCs w:val="18"/>
                <w:lang w:val="en-GB"/>
              </w:rPr>
            </w:pPr>
            <w:r w:rsidRPr="00D94FC7">
              <w:rPr>
                <w:rFonts w:cs="Arial"/>
                <w:szCs w:val="18"/>
                <w:lang w:val="en-GB"/>
              </w:rPr>
              <w:t>0</w:t>
            </w:r>
          </w:p>
        </w:tc>
        <w:tc>
          <w:tcPr>
            <w:tcW w:w="803" w:type="dxa"/>
          </w:tcPr>
          <w:p w14:paraId="7DEDC54A" w14:textId="0A0A9C0C" w:rsidR="00233E9C" w:rsidRPr="00082683" w:rsidRDefault="00233E9C" w:rsidP="00FE27B6">
            <w:pPr>
              <w:pStyle w:val="CETBodytext"/>
              <w:ind w:right="-1"/>
              <w:rPr>
                <w:rFonts w:cs="Arial"/>
                <w:szCs w:val="18"/>
                <w:lang w:val="en-GB"/>
              </w:rPr>
            </w:pPr>
            <w:r w:rsidRPr="00082683">
              <w:rPr>
                <w:rFonts w:cs="Arial"/>
                <w:szCs w:val="18"/>
                <w:lang w:val="en-GB"/>
              </w:rPr>
              <w:t>0%</w:t>
            </w:r>
          </w:p>
        </w:tc>
      </w:tr>
      <w:tr w:rsidR="00233E9C" w14:paraId="5472BFB8" w14:textId="77777777" w:rsidTr="00233E9C">
        <w:trPr>
          <w:trHeight w:val="279"/>
        </w:trPr>
        <w:tc>
          <w:tcPr>
            <w:tcW w:w="1276" w:type="dxa"/>
            <w:shd w:val="clear" w:color="auto" w:fill="FFFFFF"/>
          </w:tcPr>
          <w:p w14:paraId="568316D7" w14:textId="77777777" w:rsidR="00233E9C" w:rsidRDefault="00233E9C" w:rsidP="00FE27B6">
            <w:pPr>
              <w:pStyle w:val="CETBodytext"/>
              <w:rPr>
                <w:lang w:val="en-GB"/>
              </w:rPr>
            </w:pPr>
            <w:r>
              <w:rPr>
                <w:lang w:val="en-GB"/>
              </w:rPr>
              <w:t>MS7</w:t>
            </w:r>
          </w:p>
        </w:tc>
        <w:tc>
          <w:tcPr>
            <w:tcW w:w="992" w:type="dxa"/>
            <w:shd w:val="clear" w:color="auto" w:fill="FFFFFF"/>
          </w:tcPr>
          <w:p w14:paraId="30699459" w14:textId="10388C10" w:rsidR="00233E9C" w:rsidRPr="0053012B" w:rsidRDefault="00233E9C" w:rsidP="00FE27B6">
            <w:pPr>
              <w:pStyle w:val="CETBodytext"/>
              <w:ind w:right="-1"/>
              <w:rPr>
                <w:rFonts w:cs="Arial"/>
                <w:szCs w:val="18"/>
                <w:lang w:val="en-GB"/>
              </w:rPr>
            </w:pPr>
            <w:r w:rsidRPr="0053012B">
              <w:rPr>
                <w:rFonts w:cs="Arial"/>
                <w:szCs w:val="18"/>
                <w:lang w:val="en-GB"/>
              </w:rPr>
              <w:t>6</w:t>
            </w:r>
          </w:p>
        </w:tc>
        <w:tc>
          <w:tcPr>
            <w:tcW w:w="1417" w:type="dxa"/>
            <w:shd w:val="clear" w:color="auto" w:fill="FFFFFF"/>
          </w:tcPr>
          <w:p w14:paraId="5D6CE436" w14:textId="1B3CF507" w:rsidR="00233E9C" w:rsidRPr="0053012B" w:rsidRDefault="00233E9C" w:rsidP="00FE27B6">
            <w:pPr>
              <w:pStyle w:val="CETBodytext"/>
              <w:ind w:right="-1"/>
              <w:rPr>
                <w:rFonts w:cs="Arial"/>
                <w:szCs w:val="18"/>
                <w:lang w:val="en-GB"/>
              </w:rPr>
            </w:pPr>
            <w:r>
              <w:rPr>
                <w:rFonts w:cs="Arial"/>
                <w:szCs w:val="18"/>
                <w:lang w:val="en-GB"/>
              </w:rPr>
              <w:t>2%</w:t>
            </w:r>
          </w:p>
        </w:tc>
        <w:tc>
          <w:tcPr>
            <w:tcW w:w="851" w:type="dxa"/>
          </w:tcPr>
          <w:p w14:paraId="357BC934" w14:textId="1597620E" w:rsidR="00233E9C" w:rsidRPr="00CB4520" w:rsidRDefault="00233E9C" w:rsidP="00FE27B6">
            <w:pPr>
              <w:pStyle w:val="CETBodytext"/>
              <w:ind w:right="-1"/>
              <w:rPr>
                <w:rFonts w:cs="Arial"/>
                <w:szCs w:val="18"/>
                <w:lang w:val="en-GB"/>
              </w:rPr>
            </w:pPr>
            <w:r w:rsidRPr="00CB4520">
              <w:rPr>
                <w:rFonts w:cs="Arial"/>
                <w:szCs w:val="18"/>
                <w:lang w:val="en-GB"/>
              </w:rPr>
              <w:t>1</w:t>
            </w:r>
          </w:p>
        </w:tc>
        <w:tc>
          <w:tcPr>
            <w:tcW w:w="1134" w:type="dxa"/>
          </w:tcPr>
          <w:p w14:paraId="68E2A4B5" w14:textId="15F42E53" w:rsidR="00233E9C" w:rsidRPr="00CB4520" w:rsidRDefault="00233E9C" w:rsidP="00FE27B6">
            <w:pPr>
              <w:pStyle w:val="CETBodytext"/>
              <w:ind w:right="-1"/>
              <w:rPr>
                <w:rFonts w:cs="Arial"/>
                <w:szCs w:val="18"/>
                <w:lang w:val="en-GB"/>
              </w:rPr>
            </w:pPr>
            <w:r w:rsidRPr="00CB4520">
              <w:rPr>
                <w:rFonts w:cs="Arial"/>
                <w:szCs w:val="18"/>
                <w:lang w:val="en-GB"/>
              </w:rPr>
              <w:t>0%</w:t>
            </w:r>
          </w:p>
        </w:tc>
        <w:tc>
          <w:tcPr>
            <w:tcW w:w="850" w:type="dxa"/>
          </w:tcPr>
          <w:p w14:paraId="59D5A545" w14:textId="7941F281" w:rsidR="00233E9C" w:rsidRPr="00D94FC7" w:rsidRDefault="00233E9C" w:rsidP="00FE27B6">
            <w:pPr>
              <w:pStyle w:val="CETBodytext"/>
              <w:ind w:right="-1"/>
              <w:rPr>
                <w:rFonts w:cs="Arial"/>
                <w:szCs w:val="18"/>
                <w:lang w:val="en-GB"/>
              </w:rPr>
            </w:pPr>
            <w:r w:rsidRPr="00D94FC7">
              <w:rPr>
                <w:rFonts w:cs="Arial"/>
                <w:szCs w:val="18"/>
                <w:lang w:val="en-GB"/>
              </w:rPr>
              <w:t>3</w:t>
            </w:r>
          </w:p>
        </w:tc>
        <w:tc>
          <w:tcPr>
            <w:tcW w:w="803" w:type="dxa"/>
          </w:tcPr>
          <w:p w14:paraId="74322905" w14:textId="5143B78C" w:rsidR="00233E9C" w:rsidRPr="00082683" w:rsidRDefault="00233E9C" w:rsidP="00FE27B6">
            <w:pPr>
              <w:pStyle w:val="CETBodytext"/>
              <w:ind w:right="-1"/>
              <w:rPr>
                <w:rFonts w:cs="Arial"/>
                <w:szCs w:val="18"/>
                <w:lang w:val="en-GB"/>
              </w:rPr>
            </w:pPr>
            <w:r w:rsidRPr="00082683">
              <w:rPr>
                <w:rFonts w:cs="Arial"/>
                <w:szCs w:val="18"/>
                <w:lang w:val="en-GB"/>
              </w:rPr>
              <w:t>1%</w:t>
            </w:r>
          </w:p>
        </w:tc>
      </w:tr>
      <w:tr w:rsidR="00233E9C" w14:paraId="592D0AAA" w14:textId="77777777" w:rsidTr="00233E9C">
        <w:trPr>
          <w:trHeight w:val="279"/>
        </w:trPr>
        <w:tc>
          <w:tcPr>
            <w:tcW w:w="1276" w:type="dxa"/>
            <w:shd w:val="clear" w:color="auto" w:fill="FFFFFF"/>
          </w:tcPr>
          <w:p w14:paraId="5131C844" w14:textId="77777777" w:rsidR="00233E9C" w:rsidRDefault="00233E9C" w:rsidP="00FE27B6">
            <w:pPr>
              <w:pStyle w:val="CETBodytext"/>
              <w:rPr>
                <w:lang w:val="en-GB"/>
              </w:rPr>
            </w:pPr>
            <w:r w:rsidRPr="00880AE8">
              <w:rPr>
                <w:i/>
                <w:iCs/>
                <w:lang w:val="en-GB"/>
              </w:rPr>
              <w:t>Total (NM)</w:t>
            </w:r>
          </w:p>
        </w:tc>
        <w:tc>
          <w:tcPr>
            <w:tcW w:w="992" w:type="dxa"/>
            <w:shd w:val="clear" w:color="auto" w:fill="FFFFFF"/>
          </w:tcPr>
          <w:p w14:paraId="7120FE17" w14:textId="20299D2F" w:rsidR="00233E9C" w:rsidRPr="0053012B" w:rsidRDefault="00233E9C" w:rsidP="00FE27B6">
            <w:pPr>
              <w:pStyle w:val="CETBodytext"/>
              <w:ind w:right="-1"/>
              <w:rPr>
                <w:rFonts w:cs="Arial"/>
                <w:i/>
                <w:iCs/>
                <w:szCs w:val="18"/>
                <w:lang w:val="en-GB"/>
              </w:rPr>
            </w:pPr>
            <w:r w:rsidRPr="0053012B">
              <w:rPr>
                <w:rFonts w:cs="Arial"/>
                <w:i/>
                <w:iCs/>
                <w:szCs w:val="18"/>
                <w:lang w:val="en-GB"/>
              </w:rPr>
              <w:t>77</w:t>
            </w:r>
          </w:p>
        </w:tc>
        <w:tc>
          <w:tcPr>
            <w:tcW w:w="1417" w:type="dxa"/>
            <w:shd w:val="clear" w:color="auto" w:fill="FFFFFF"/>
          </w:tcPr>
          <w:p w14:paraId="19C0BBC8" w14:textId="4CA28040" w:rsidR="00233E9C" w:rsidRPr="003F33A3" w:rsidRDefault="00233E9C" w:rsidP="00FE27B6">
            <w:pPr>
              <w:pStyle w:val="CETBodytext"/>
              <w:ind w:right="-1"/>
              <w:rPr>
                <w:rFonts w:cs="Arial"/>
                <w:i/>
                <w:iCs/>
                <w:szCs w:val="18"/>
                <w:lang w:val="en-GB"/>
              </w:rPr>
            </w:pPr>
            <w:r w:rsidRPr="003F33A3">
              <w:rPr>
                <w:rFonts w:cs="Arial"/>
                <w:i/>
                <w:iCs/>
                <w:szCs w:val="18"/>
                <w:lang w:val="en-GB"/>
              </w:rPr>
              <w:t>32%</w:t>
            </w:r>
          </w:p>
        </w:tc>
        <w:tc>
          <w:tcPr>
            <w:tcW w:w="851" w:type="dxa"/>
          </w:tcPr>
          <w:p w14:paraId="11F0B237" w14:textId="543C0336" w:rsidR="00233E9C" w:rsidRPr="00CB4520" w:rsidRDefault="00233E9C" w:rsidP="00FE27B6">
            <w:pPr>
              <w:pStyle w:val="CETBodytext"/>
              <w:ind w:right="-1"/>
              <w:rPr>
                <w:rFonts w:cs="Arial"/>
                <w:i/>
                <w:iCs/>
                <w:szCs w:val="18"/>
                <w:lang w:val="en-GB"/>
              </w:rPr>
            </w:pPr>
            <w:r w:rsidRPr="00CB4520">
              <w:rPr>
                <w:rFonts w:cs="Arial"/>
                <w:i/>
                <w:iCs/>
                <w:szCs w:val="18"/>
                <w:lang w:val="en-GB"/>
              </w:rPr>
              <w:t>55</w:t>
            </w:r>
          </w:p>
        </w:tc>
        <w:tc>
          <w:tcPr>
            <w:tcW w:w="1134" w:type="dxa"/>
          </w:tcPr>
          <w:p w14:paraId="59F19131" w14:textId="38C4EB09" w:rsidR="00233E9C" w:rsidRPr="00CB4520" w:rsidRDefault="00233E9C" w:rsidP="00FE27B6">
            <w:pPr>
              <w:pStyle w:val="CETBodytext"/>
              <w:ind w:right="-1"/>
              <w:rPr>
                <w:rFonts w:cs="Arial"/>
                <w:i/>
                <w:iCs/>
                <w:szCs w:val="18"/>
                <w:lang w:val="en-GB"/>
              </w:rPr>
            </w:pPr>
            <w:r w:rsidRPr="00CB4520">
              <w:rPr>
                <w:rFonts w:cs="Arial"/>
                <w:i/>
                <w:iCs/>
                <w:szCs w:val="18"/>
                <w:lang w:val="en-GB"/>
              </w:rPr>
              <w:t>23%</w:t>
            </w:r>
          </w:p>
        </w:tc>
        <w:tc>
          <w:tcPr>
            <w:tcW w:w="850" w:type="dxa"/>
          </w:tcPr>
          <w:p w14:paraId="235BDAE5" w14:textId="4A3B91DA" w:rsidR="00233E9C" w:rsidRPr="00D94FC7" w:rsidRDefault="00233E9C" w:rsidP="00FE27B6">
            <w:pPr>
              <w:pStyle w:val="CETBodytext"/>
              <w:ind w:right="-1"/>
              <w:rPr>
                <w:rFonts w:cs="Arial"/>
                <w:i/>
                <w:iCs/>
                <w:szCs w:val="18"/>
                <w:lang w:val="en-GB"/>
              </w:rPr>
            </w:pPr>
            <w:r w:rsidRPr="00D94FC7">
              <w:rPr>
                <w:rFonts w:cs="Arial"/>
                <w:i/>
                <w:iCs/>
                <w:szCs w:val="18"/>
                <w:lang w:val="en-GB"/>
              </w:rPr>
              <w:t>43</w:t>
            </w:r>
          </w:p>
        </w:tc>
        <w:tc>
          <w:tcPr>
            <w:tcW w:w="803" w:type="dxa"/>
          </w:tcPr>
          <w:p w14:paraId="15E951B8" w14:textId="6D1D8642" w:rsidR="00233E9C" w:rsidRPr="00082683" w:rsidRDefault="00233E9C" w:rsidP="00FE27B6">
            <w:pPr>
              <w:pStyle w:val="CETBodytext"/>
              <w:ind w:right="-1"/>
              <w:rPr>
                <w:rFonts w:cs="Arial"/>
                <w:i/>
                <w:iCs/>
                <w:szCs w:val="18"/>
                <w:lang w:val="en-GB"/>
              </w:rPr>
            </w:pPr>
            <w:r w:rsidRPr="00082683">
              <w:rPr>
                <w:rFonts w:cs="Arial"/>
                <w:i/>
                <w:iCs/>
                <w:szCs w:val="18"/>
                <w:lang w:val="en-GB"/>
              </w:rPr>
              <w:t>18%</w:t>
            </w:r>
          </w:p>
        </w:tc>
      </w:tr>
    </w:tbl>
    <w:p w14:paraId="416EE9BC" w14:textId="77777777" w:rsidR="00E62BD2" w:rsidRDefault="00E62BD2" w:rsidP="005B2A25">
      <w:pPr>
        <w:pStyle w:val="CETBodytext"/>
        <w:rPr>
          <w:color w:val="CC00CC"/>
          <w:lang w:val="en-GB"/>
        </w:rPr>
      </w:pPr>
    </w:p>
    <w:p w14:paraId="0EAD5EC1" w14:textId="54CCE51C" w:rsidR="009D42A9" w:rsidRPr="00E43C40" w:rsidRDefault="004F26AB" w:rsidP="009D42A9">
      <w:pPr>
        <w:pStyle w:val="CETBodytext"/>
        <w:rPr>
          <w:lang w:val="en-GB"/>
        </w:rPr>
      </w:pPr>
      <w:r w:rsidRPr="009146C9">
        <w:rPr>
          <w:lang w:val="en-GB"/>
        </w:rPr>
        <w:t xml:space="preserve">OE </w:t>
      </w:r>
      <w:r w:rsidR="009D42A9" w:rsidRPr="009146C9">
        <w:rPr>
          <w:lang w:val="en-GB"/>
        </w:rPr>
        <w:t>documents recording corrosion show that pipe</w:t>
      </w:r>
      <w:r w:rsidR="00897D5F" w:rsidRPr="009146C9">
        <w:rPr>
          <w:lang w:val="en-GB"/>
        </w:rPr>
        <w:t>line</w:t>
      </w:r>
      <w:r w:rsidR="009D42A9" w:rsidRPr="009146C9">
        <w:rPr>
          <w:lang w:val="en-GB"/>
        </w:rPr>
        <w:t xml:space="preserve">s are the equipment with the highest percentage. The results suggest further investigation into the causes, especially if related to maintenance and aging monitoring. </w:t>
      </w:r>
      <w:r w:rsidR="009D42A9" w:rsidRPr="009146C9">
        <w:rPr>
          <w:lang w:val="en-GB"/>
        </w:rPr>
        <w:lastRenderedPageBreak/>
        <w:t xml:space="preserve">For MSs with a zero percentage, it is necessary to investigate the specific equipment reported in the documents. </w:t>
      </w:r>
      <w:r w:rsidR="009D42A9" w:rsidRPr="00E43C40">
        <w:rPr>
          <w:lang w:val="en-GB"/>
        </w:rPr>
        <w:t xml:space="preserve">Finally, further research has been carried out on the barriers. It was searched the generic event “failure”, EsOpIA identifies 941 total documents which became  884 documents applying the filter “Near </w:t>
      </w:r>
      <w:r w:rsidR="00DF3945" w:rsidRPr="00E43C40">
        <w:rPr>
          <w:lang w:val="en-GB"/>
        </w:rPr>
        <w:t>M</w:t>
      </w:r>
      <w:r w:rsidR="009D42A9" w:rsidRPr="00E43C40">
        <w:rPr>
          <w:lang w:val="en-GB"/>
        </w:rPr>
        <w:t>iss”.</w:t>
      </w:r>
    </w:p>
    <w:p w14:paraId="2C18CA3C" w14:textId="77777777" w:rsidR="009D42A9" w:rsidRPr="00E43C40" w:rsidRDefault="009D42A9" w:rsidP="009D42A9">
      <w:pPr>
        <w:pStyle w:val="CETBodytext"/>
        <w:rPr>
          <w:lang w:val="en-GB"/>
        </w:rPr>
      </w:pPr>
      <w:r w:rsidRPr="00E43C40">
        <w:rPr>
          <w:lang w:val="en-GB"/>
        </w:rPr>
        <w:t>Subsequently, the most frequent technical barriers that failed have been investigated, including the fire prevention system. The number of events that have reported a failure of fire prevention system for each MSs is: MS1(0), MS2(3), MS3(12), MS4(17), MS5(0), MS6(1) e MS7(0). Despite the high value found for MS3, it is still low when considering the types of activities and the number of registered documents.</w:t>
      </w:r>
    </w:p>
    <w:p w14:paraId="02D5EFC7" w14:textId="6246F318" w:rsidR="00D35D75" w:rsidRPr="00D35D75" w:rsidRDefault="006402EA" w:rsidP="00FB748E">
      <w:pPr>
        <w:pStyle w:val="CETheadingx"/>
      </w:pPr>
      <w:r w:rsidRPr="006402EA">
        <w:t xml:space="preserve">Search starting from </w:t>
      </w:r>
      <w:r>
        <w:t>equipment</w:t>
      </w:r>
      <w:r w:rsidRPr="006402EA">
        <w:t xml:space="preserve"> </w:t>
      </w:r>
    </w:p>
    <w:p w14:paraId="5E7451A6" w14:textId="1418157F" w:rsidR="00B70C35" w:rsidRDefault="00296EAC" w:rsidP="00B70C35">
      <w:pPr>
        <w:pStyle w:val="CETBodytext"/>
        <w:rPr>
          <w:lang w:val="en-GB"/>
        </w:rPr>
      </w:pPr>
      <w:r w:rsidRPr="00D91D68">
        <w:t>The analysis of critical technical systems is a</w:t>
      </w:r>
      <w:r w:rsidR="00F31BE8" w:rsidRPr="00D91D68">
        <w:t xml:space="preserve">n </w:t>
      </w:r>
      <w:r w:rsidRPr="00D91D68">
        <w:t>aspect of safety management</w:t>
      </w:r>
      <w:r w:rsidR="00F2078D" w:rsidRPr="00D91D68">
        <w:t xml:space="preserve"> </w:t>
      </w:r>
      <w:r w:rsidR="00661724" w:rsidRPr="00D91D68">
        <w:t xml:space="preserve">related to </w:t>
      </w:r>
      <w:r w:rsidRPr="00D91D68">
        <w:t>the specific equipment involved in accidental or unintended events.</w:t>
      </w:r>
      <w:r w:rsidR="00661724" w:rsidRPr="00D91D68">
        <w:t xml:space="preserve"> An example of </w:t>
      </w:r>
      <w:r w:rsidR="00E718F6" w:rsidRPr="00D91D68">
        <w:t xml:space="preserve">search in </w:t>
      </w:r>
      <w:r w:rsidR="00E718F6" w:rsidRPr="00D91D68">
        <w:rPr>
          <w:lang w:val="en-GB"/>
        </w:rPr>
        <w:t xml:space="preserve">EsOpIA starting from </w:t>
      </w:r>
      <w:r w:rsidR="00F31BE8" w:rsidRPr="00D91D68">
        <w:t xml:space="preserve">specific equipment or components </w:t>
      </w:r>
      <w:r w:rsidR="00E718F6" w:rsidRPr="00D91D68">
        <w:rPr>
          <w:lang w:val="en-GB"/>
        </w:rPr>
        <w:t>has been shown in this paper</w:t>
      </w:r>
      <w:r w:rsidR="00F31BE8" w:rsidRPr="00D91D68">
        <w:rPr>
          <w:lang w:val="en-GB"/>
        </w:rPr>
        <w:t>.</w:t>
      </w:r>
      <w:r w:rsidR="008E32E4" w:rsidRPr="00D91D68">
        <w:t xml:space="preserve"> T</w:t>
      </w:r>
      <w:r w:rsidR="001320A6" w:rsidRPr="00D91D68">
        <w:t>he generic term “Tank”</w:t>
      </w:r>
      <w:r w:rsidR="00D64A48" w:rsidRPr="00D91D68">
        <w:t xml:space="preserve"> has been search</w:t>
      </w:r>
      <w:r w:rsidR="008E32E4" w:rsidRPr="00D91D68">
        <w:t>ed</w:t>
      </w:r>
      <w:r w:rsidR="00E01FAE" w:rsidRPr="00D91D68">
        <w:t xml:space="preserve"> and</w:t>
      </w:r>
      <w:r w:rsidR="00D03E02" w:rsidRPr="00D91D68">
        <w:t xml:space="preserve"> </w:t>
      </w:r>
      <w:r w:rsidR="00D03E02" w:rsidRPr="00D91D68">
        <w:rPr>
          <w:lang w:val="en-GB"/>
        </w:rPr>
        <w:t>EsOpIA</w:t>
      </w:r>
      <w:r w:rsidR="008E32E4" w:rsidRPr="00D91D68">
        <w:rPr>
          <w:lang w:val="en-GB"/>
        </w:rPr>
        <w:t xml:space="preserve"> has</w:t>
      </w:r>
      <w:r w:rsidR="00D03E02" w:rsidRPr="00D91D68">
        <w:rPr>
          <w:lang w:val="en-GB"/>
        </w:rPr>
        <w:t xml:space="preserve"> identifie</w:t>
      </w:r>
      <w:r w:rsidR="008E32E4" w:rsidRPr="00D91D68">
        <w:rPr>
          <w:lang w:val="en-GB"/>
        </w:rPr>
        <w:t>d</w:t>
      </w:r>
      <w:r w:rsidR="00D03E02" w:rsidRPr="00D91D68">
        <w:rPr>
          <w:lang w:val="en-GB"/>
        </w:rPr>
        <w:t xml:space="preserve"> 2496 documents</w:t>
      </w:r>
      <w:r w:rsidR="001320A6" w:rsidRPr="00D91D68">
        <w:t xml:space="preserve"> </w:t>
      </w:r>
      <w:r w:rsidR="00D03E02" w:rsidRPr="00D91D68">
        <w:t xml:space="preserve">and </w:t>
      </w:r>
      <w:r w:rsidR="006114CB" w:rsidRPr="00D91D68">
        <w:t xml:space="preserve">selects </w:t>
      </w:r>
      <w:r w:rsidR="00AC5715" w:rsidRPr="00D91D68">
        <w:t>2465</w:t>
      </w:r>
      <w:r w:rsidR="004C4DC3" w:rsidRPr="00D91D68">
        <w:t xml:space="preserve"> </w:t>
      </w:r>
      <w:r w:rsidR="006114CB" w:rsidRPr="00D91D68">
        <w:t xml:space="preserve">applying the filter to </w:t>
      </w:r>
      <w:r w:rsidR="00D20ADC" w:rsidRPr="00D91D68">
        <w:t>OE</w:t>
      </w:r>
      <w:r w:rsidR="006114CB" w:rsidRPr="00D91D68">
        <w:t xml:space="preserve"> documents.</w:t>
      </w:r>
      <w:r w:rsidR="006B7E9C" w:rsidRPr="00D91D68">
        <w:t xml:space="preserve"> </w:t>
      </w:r>
      <w:r w:rsidR="008545CE" w:rsidRPr="00D91D68">
        <w:t>A</w:t>
      </w:r>
      <w:r w:rsidR="006B7E9C" w:rsidRPr="00D91D68">
        <w:t xml:space="preserve">nother filter </w:t>
      </w:r>
      <w:r w:rsidR="008545CE" w:rsidRPr="00D91D68">
        <w:t>on</w:t>
      </w:r>
      <w:r w:rsidR="006B7E9C" w:rsidRPr="00D91D68">
        <w:t xml:space="preserve"> type of event has been applied </w:t>
      </w:r>
      <w:r w:rsidR="008545CE" w:rsidRPr="00D91D68">
        <w:t xml:space="preserve">selecting deterioration, </w:t>
      </w:r>
      <w:r w:rsidR="00D64A48" w:rsidRPr="00D91D68">
        <w:t>failure and loss</w:t>
      </w:r>
      <w:r w:rsidR="00D12124" w:rsidRPr="00D91D68">
        <w:t xml:space="preserve"> of containment</w:t>
      </w:r>
      <w:r w:rsidR="00D64A48" w:rsidRPr="00D91D68">
        <w:t xml:space="preserve">. </w:t>
      </w:r>
      <w:r w:rsidR="007D3AA4" w:rsidRPr="00D91D68">
        <w:t xml:space="preserve">For each </w:t>
      </w:r>
      <w:r w:rsidR="00E23770" w:rsidRPr="00D91D68">
        <w:t>one</w:t>
      </w:r>
      <w:r w:rsidR="007D3AA4" w:rsidRPr="00D91D68">
        <w:t>,</w:t>
      </w:r>
      <w:r w:rsidR="00FF2CC9" w:rsidRPr="00D91D68">
        <w:t xml:space="preserve"> </w:t>
      </w:r>
      <w:r w:rsidR="007D3AA4" w:rsidRPr="00D91D68">
        <w:t xml:space="preserve">the more frequent events </w:t>
      </w:r>
      <w:r w:rsidR="003E6295" w:rsidRPr="00D91D68">
        <w:t>are</w:t>
      </w:r>
      <w:r w:rsidR="007D3AA4" w:rsidRPr="00D91D68">
        <w:t xml:space="preserve"> considered. The same search has been </w:t>
      </w:r>
      <w:r w:rsidR="00FF2CC9" w:rsidRPr="00D91D68">
        <w:t>conducted</w:t>
      </w:r>
      <w:r w:rsidR="007D3AA4" w:rsidRPr="00D91D68">
        <w:t xml:space="preserve"> </w:t>
      </w:r>
      <w:r w:rsidR="00231521" w:rsidRPr="00D91D68">
        <w:t>by searching “Pipeline</w:t>
      </w:r>
      <w:r w:rsidR="00FF2CC9" w:rsidRPr="00D91D68">
        <w:t xml:space="preserve">” </w:t>
      </w:r>
      <w:r w:rsidR="00B71AFD" w:rsidRPr="00D91D68">
        <w:t>(1018</w:t>
      </w:r>
      <w:r w:rsidR="004B179A" w:rsidRPr="00D91D68">
        <w:t>)</w:t>
      </w:r>
      <w:r w:rsidR="00B71AFD" w:rsidRPr="00D91D68">
        <w:t xml:space="preserve"> documents </w:t>
      </w:r>
      <w:r w:rsidR="004B369D" w:rsidRPr="00D91D68">
        <w:t>containing</w:t>
      </w:r>
      <w:r w:rsidR="00675D87" w:rsidRPr="00D91D68">
        <w:t xml:space="preserve"> the term in </w:t>
      </w:r>
      <w:r w:rsidR="00675D87" w:rsidRPr="00D91D68">
        <w:rPr>
          <w:lang w:val="en-GB"/>
        </w:rPr>
        <w:t>EsOpIA and 902 related</w:t>
      </w:r>
      <w:r w:rsidR="00E43C40" w:rsidRPr="00D91D68">
        <w:rPr>
          <w:lang w:val="en-GB"/>
        </w:rPr>
        <w:t xml:space="preserve"> </w:t>
      </w:r>
      <w:r w:rsidR="007A5E91" w:rsidRPr="00D91D68">
        <w:rPr>
          <w:lang w:val="en-GB"/>
        </w:rPr>
        <w:t xml:space="preserve">OE </w:t>
      </w:r>
      <w:r w:rsidR="00675D87" w:rsidRPr="00D91D68">
        <w:rPr>
          <w:lang w:val="en-GB"/>
        </w:rPr>
        <w:t>documents</w:t>
      </w:r>
      <w:r w:rsidR="00231521" w:rsidRPr="00D91D68">
        <w:t xml:space="preserve">. </w:t>
      </w:r>
      <w:r w:rsidR="004766D4" w:rsidRPr="00D91D68">
        <w:t>R</w:t>
      </w:r>
      <w:r w:rsidR="00D64A48" w:rsidRPr="00D91D68">
        <w:t>esults</w:t>
      </w:r>
      <w:r w:rsidR="00231521" w:rsidRPr="00D91D68">
        <w:t xml:space="preserve"> of more frequent </w:t>
      </w:r>
      <w:r w:rsidR="004B369D" w:rsidRPr="00D91D68">
        <w:t>events</w:t>
      </w:r>
      <w:r w:rsidR="00D64A48" w:rsidRPr="00D91D68">
        <w:t xml:space="preserve"> related to deterioration, </w:t>
      </w:r>
      <w:r w:rsidR="00D64A48" w:rsidRPr="001D0019">
        <w:t>failure</w:t>
      </w:r>
      <w:r w:rsidR="00231521" w:rsidRPr="001D0019">
        <w:t xml:space="preserve"> </w:t>
      </w:r>
      <w:r w:rsidR="00D64A48" w:rsidRPr="001D0019">
        <w:t xml:space="preserve">and loss </w:t>
      </w:r>
      <w:r w:rsidR="00C31D7A" w:rsidRPr="001D0019">
        <w:t xml:space="preserve">of containment </w:t>
      </w:r>
      <w:r w:rsidR="00D64A48" w:rsidRPr="001D0019">
        <w:t>for tanks and pipelines</w:t>
      </w:r>
      <w:r w:rsidR="00C127AC" w:rsidRPr="001D0019">
        <w:t xml:space="preserve"> are </w:t>
      </w:r>
      <w:r w:rsidR="00A1358F" w:rsidRPr="001D0019">
        <w:t>shown</w:t>
      </w:r>
      <w:r w:rsidR="00901E36" w:rsidRPr="001D0019">
        <w:t xml:space="preserve"> </w:t>
      </w:r>
      <w:r w:rsidR="00C127AC" w:rsidRPr="001D0019">
        <w:t xml:space="preserve">in Table </w:t>
      </w:r>
      <w:r w:rsidR="00C31D7A" w:rsidRPr="001D0019">
        <w:t>4</w:t>
      </w:r>
      <w:r w:rsidR="00CD684C" w:rsidRPr="001D0019">
        <w:t>.</w:t>
      </w:r>
      <w:r w:rsidR="00B70C35" w:rsidRPr="001D0019">
        <w:t xml:space="preserve"> </w:t>
      </w:r>
      <w:r w:rsidR="00B70C35" w:rsidRPr="001D0019">
        <w:rPr>
          <w:lang w:val="en-GB"/>
        </w:rPr>
        <w:t>For tanks, the analysis can be refined for different types of corrosion (acid, external, under-insulated, interstitial, etc.). As for leaks, different terms can be found in the data sheets to indicate the same thing, and it's important to pay attention to usage and synonyms.</w:t>
      </w:r>
    </w:p>
    <w:p w14:paraId="1A4A5BAC" w14:textId="77777777" w:rsidR="00B70C35" w:rsidRPr="008952BC" w:rsidRDefault="00B70C35" w:rsidP="00B70C35">
      <w:pPr>
        <w:pStyle w:val="CETBodytext"/>
        <w:rPr>
          <w:lang w:val="en-GB"/>
        </w:rPr>
      </w:pPr>
    </w:p>
    <w:p w14:paraId="4C75BEA1" w14:textId="33E9304E" w:rsidR="00A0565F" w:rsidRPr="00A0565F" w:rsidRDefault="00A0565F" w:rsidP="00B70C35">
      <w:pPr>
        <w:pStyle w:val="CETTabletitle"/>
        <w:spacing w:before="0"/>
      </w:pPr>
      <w:r w:rsidRPr="00B57B36">
        <w:t xml:space="preserve">Table </w:t>
      </w:r>
      <w:r>
        <w:t>4</w:t>
      </w:r>
      <w:r w:rsidRPr="00B57B36">
        <w:t xml:space="preserve">: </w:t>
      </w:r>
      <w:r>
        <w:t>Frequent events related to tanks and pipelines</w:t>
      </w:r>
    </w:p>
    <w:tbl>
      <w:tblPr>
        <w:tblW w:w="8788"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993"/>
        <w:gridCol w:w="939"/>
        <w:gridCol w:w="620"/>
        <w:gridCol w:w="850"/>
        <w:gridCol w:w="742"/>
        <w:gridCol w:w="801"/>
        <w:gridCol w:w="725"/>
        <w:gridCol w:w="567"/>
        <w:gridCol w:w="851"/>
        <w:gridCol w:w="850"/>
        <w:gridCol w:w="850"/>
      </w:tblGrid>
      <w:tr w:rsidR="00E909F2" w:rsidRPr="00E909F2" w14:paraId="61B20BE0" w14:textId="77777777" w:rsidTr="00FE27B6">
        <w:tc>
          <w:tcPr>
            <w:tcW w:w="993" w:type="dxa"/>
            <w:tcBorders>
              <w:top w:val="single" w:sz="12" w:space="0" w:color="008000"/>
              <w:bottom w:val="single" w:sz="6" w:space="0" w:color="008000"/>
            </w:tcBorders>
            <w:shd w:val="clear" w:color="auto" w:fill="FFFFFF"/>
          </w:tcPr>
          <w:p w14:paraId="3D510ACA" w14:textId="77777777" w:rsidR="00A0565F" w:rsidRPr="00E909F2" w:rsidRDefault="00A0565F" w:rsidP="00FE27B6">
            <w:pPr>
              <w:pStyle w:val="CETBodytext"/>
              <w:rPr>
                <w:lang w:val="en-GB"/>
              </w:rPr>
            </w:pPr>
            <w:r w:rsidRPr="00E909F2">
              <w:rPr>
                <w:lang w:val="en-GB"/>
              </w:rPr>
              <w:t>Equipment</w:t>
            </w:r>
          </w:p>
        </w:tc>
        <w:tc>
          <w:tcPr>
            <w:tcW w:w="2409" w:type="dxa"/>
            <w:gridSpan w:val="3"/>
            <w:tcBorders>
              <w:top w:val="single" w:sz="12" w:space="0" w:color="008000"/>
              <w:bottom w:val="single" w:sz="6" w:space="0" w:color="008000"/>
            </w:tcBorders>
            <w:shd w:val="clear" w:color="auto" w:fill="FFFFFF"/>
          </w:tcPr>
          <w:p w14:paraId="6917B5FB" w14:textId="77777777" w:rsidR="00A0565F" w:rsidRPr="00E909F2" w:rsidRDefault="00A0565F" w:rsidP="00FE27B6">
            <w:pPr>
              <w:pStyle w:val="CETBodytext"/>
              <w:rPr>
                <w:lang w:val="en-GB"/>
              </w:rPr>
            </w:pPr>
            <w:r w:rsidRPr="00E909F2">
              <w:rPr>
                <w:lang w:val="en-GB"/>
              </w:rPr>
              <w:t>Deterioration</w:t>
            </w:r>
          </w:p>
        </w:tc>
        <w:tc>
          <w:tcPr>
            <w:tcW w:w="742" w:type="dxa"/>
            <w:tcBorders>
              <w:top w:val="single" w:sz="12" w:space="0" w:color="008000"/>
              <w:bottom w:val="single" w:sz="6" w:space="0" w:color="008000"/>
            </w:tcBorders>
            <w:shd w:val="clear" w:color="auto" w:fill="FFFFFF"/>
          </w:tcPr>
          <w:p w14:paraId="4DAD4CC7" w14:textId="77777777" w:rsidR="00A0565F" w:rsidRPr="00E909F2" w:rsidRDefault="00A0565F" w:rsidP="00FE27B6">
            <w:pPr>
              <w:pStyle w:val="CETBodytext"/>
              <w:ind w:right="-1"/>
              <w:rPr>
                <w:rFonts w:cs="Arial"/>
                <w:szCs w:val="18"/>
                <w:lang w:val="en-GB"/>
              </w:rPr>
            </w:pPr>
            <w:r w:rsidRPr="00E909F2">
              <w:rPr>
                <w:lang w:val="en-GB"/>
              </w:rPr>
              <w:t>Failure</w:t>
            </w:r>
          </w:p>
        </w:tc>
        <w:tc>
          <w:tcPr>
            <w:tcW w:w="801" w:type="dxa"/>
            <w:tcBorders>
              <w:top w:val="single" w:sz="12" w:space="0" w:color="008000"/>
              <w:bottom w:val="single" w:sz="6" w:space="0" w:color="008000"/>
            </w:tcBorders>
            <w:shd w:val="clear" w:color="auto" w:fill="FFFFFF"/>
          </w:tcPr>
          <w:p w14:paraId="0C674C08" w14:textId="77777777" w:rsidR="00A0565F" w:rsidRPr="00E909F2" w:rsidRDefault="00A0565F" w:rsidP="00FE27B6">
            <w:pPr>
              <w:pStyle w:val="CETBodytext"/>
              <w:ind w:right="-1"/>
              <w:rPr>
                <w:rFonts w:cs="Arial"/>
                <w:szCs w:val="18"/>
                <w:lang w:val="en-GB"/>
              </w:rPr>
            </w:pPr>
          </w:p>
        </w:tc>
        <w:tc>
          <w:tcPr>
            <w:tcW w:w="725" w:type="dxa"/>
            <w:tcBorders>
              <w:top w:val="single" w:sz="12" w:space="0" w:color="008000"/>
              <w:bottom w:val="single" w:sz="6" w:space="0" w:color="008000"/>
            </w:tcBorders>
            <w:shd w:val="clear" w:color="auto" w:fill="FFFFFF"/>
          </w:tcPr>
          <w:p w14:paraId="71DC8B4C" w14:textId="77777777" w:rsidR="00A0565F" w:rsidRPr="00E909F2" w:rsidRDefault="00A0565F" w:rsidP="00FE27B6">
            <w:pPr>
              <w:pStyle w:val="CETBodytext"/>
              <w:ind w:right="-1"/>
              <w:rPr>
                <w:rFonts w:cs="Arial"/>
                <w:szCs w:val="18"/>
                <w:lang w:val="en-GB"/>
              </w:rPr>
            </w:pPr>
          </w:p>
        </w:tc>
        <w:tc>
          <w:tcPr>
            <w:tcW w:w="567" w:type="dxa"/>
            <w:tcBorders>
              <w:top w:val="single" w:sz="12" w:space="0" w:color="008000"/>
              <w:bottom w:val="single" w:sz="6" w:space="0" w:color="008000"/>
            </w:tcBorders>
            <w:shd w:val="clear" w:color="auto" w:fill="FFFFFF"/>
          </w:tcPr>
          <w:p w14:paraId="34D8CBE2" w14:textId="77777777" w:rsidR="00A0565F" w:rsidRPr="00E909F2" w:rsidRDefault="00A0565F" w:rsidP="00FE27B6">
            <w:pPr>
              <w:pStyle w:val="CETBodytext"/>
              <w:ind w:right="-1"/>
              <w:rPr>
                <w:lang w:val="en-GB"/>
              </w:rPr>
            </w:pPr>
            <w:r w:rsidRPr="00E909F2">
              <w:rPr>
                <w:lang w:val="en-GB"/>
              </w:rPr>
              <w:t>Loss</w:t>
            </w:r>
          </w:p>
        </w:tc>
        <w:tc>
          <w:tcPr>
            <w:tcW w:w="851" w:type="dxa"/>
            <w:tcBorders>
              <w:top w:val="single" w:sz="12" w:space="0" w:color="008000"/>
              <w:bottom w:val="single" w:sz="6" w:space="0" w:color="008000"/>
            </w:tcBorders>
            <w:shd w:val="clear" w:color="auto" w:fill="FFFFFF"/>
          </w:tcPr>
          <w:p w14:paraId="7C127EE1" w14:textId="77777777" w:rsidR="00A0565F" w:rsidRPr="00E909F2" w:rsidRDefault="00A0565F" w:rsidP="00FE27B6">
            <w:pPr>
              <w:pStyle w:val="CETBodytext"/>
              <w:ind w:right="-1"/>
              <w:rPr>
                <w:lang w:val="en-GB"/>
              </w:rPr>
            </w:pPr>
          </w:p>
        </w:tc>
        <w:tc>
          <w:tcPr>
            <w:tcW w:w="850" w:type="dxa"/>
            <w:tcBorders>
              <w:top w:val="single" w:sz="12" w:space="0" w:color="008000"/>
              <w:bottom w:val="single" w:sz="6" w:space="0" w:color="008000"/>
            </w:tcBorders>
            <w:shd w:val="clear" w:color="auto" w:fill="FFFFFF"/>
          </w:tcPr>
          <w:p w14:paraId="6C9A7F83" w14:textId="77777777" w:rsidR="00A0565F" w:rsidRPr="00E909F2" w:rsidRDefault="00A0565F" w:rsidP="00FE27B6">
            <w:pPr>
              <w:pStyle w:val="CETBodytext"/>
              <w:ind w:right="-1"/>
              <w:rPr>
                <w:lang w:val="en-GB"/>
              </w:rPr>
            </w:pPr>
          </w:p>
        </w:tc>
        <w:tc>
          <w:tcPr>
            <w:tcW w:w="850" w:type="dxa"/>
            <w:tcBorders>
              <w:top w:val="single" w:sz="12" w:space="0" w:color="008000"/>
              <w:bottom w:val="single" w:sz="6" w:space="0" w:color="008000"/>
            </w:tcBorders>
            <w:shd w:val="clear" w:color="auto" w:fill="FFFFFF"/>
          </w:tcPr>
          <w:p w14:paraId="7E1AB581" w14:textId="77777777" w:rsidR="00A0565F" w:rsidRPr="00E909F2" w:rsidRDefault="00A0565F" w:rsidP="00FE27B6">
            <w:pPr>
              <w:pStyle w:val="CETBodytext"/>
              <w:ind w:right="-1"/>
              <w:rPr>
                <w:lang w:val="en-GB"/>
              </w:rPr>
            </w:pPr>
          </w:p>
        </w:tc>
      </w:tr>
      <w:tr w:rsidR="00E909F2" w:rsidRPr="00E909F2" w14:paraId="361E5213" w14:textId="77777777" w:rsidTr="00FE27B6">
        <w:tc>
          <w:tcPr>
            <w:tcW w:w="993" w:type="dxa"/>
            <w:tcBorders>
              <w:top w:val="single" w:sz="12" w:space="0" w:color="008000"/>
              <w:bottom w:val="single" w:sz="6" w:space="0" w:color="008000"/>
            </w:tcBorders>
            <w:shd w:val="clear" w:color="auto" w:fill="FFFFFF"/>
          </w:tcPr>
          <w:p w14:paraId="067E6D84" w14:textId="77777777" w:rsidR="00A0565F" w:rsidRPr="00E909F2" w:rsidRDefault="00A0565F" w:rsidP="00FE27B6">
            <w:pPr>
              <w:pStyle w:val="CETBodytext"/>
              <w:rPr>
                <w:lang w:val="en-GB"/>
              </w:rPr>
            </w:pPr>
          </w:p>
        </w:tc>
        <w:tc>
          <w:tcPr>
            <w:tcW w:w="939" w:type="dxa"/>
            <w:tcBorders>
              <w:top w:val="single" w:sz="12" w:space="0" w:color="008000"/>
              <w:bottom w:val="single" w:sz="6" w:space="0" w:color="008000"/>
            </w:tcBorders>
            <w:shd w:val="clear" w:color="auto" w:fill="FFFFFF"/>
          </w:tcPr>
          <w:p w14:paraId="3B3C0BF6" w14:textId="77777777" w:rsidR="00A0565F" w:rsidRPr="00E909F2" w:rsidRDefault="00A0565F" w:rsidP="00FE27B6">
            <w:pPr>
              <w:pStyle w:val="CETBodytext"/>
              <w:rPr>
                <w:lang w:val="en-GB"/>
              </w:rPr>
            </w:pPr>
            <w:r w:rsidRPr="00E909F2">
              <w:rPr>
                <w:lang w:val="en-GB"/>
              </w:rPr>
              <w:t>Corrosion</w:t>
            </w:r>
          </w:p>
        </w:tc>
        <w:tc>
          <w:tcPr>
            <w:tcW w:w="620" w:type="dxa"/>
            <w:tcBorders>
              <w:top w:val="single" w:sz="12" w:space="0" w:color="008000"/>
              <w:bottom w:val="single" w:sz="6" w:space="0" w:color="008000"/>
            </w:tcBorders>
            <w:shd w:val="clear" w:color="auto" w:fill="FFFFFF"/>
          </w:tcPr>
          <w:p w14:paraId="09A3C040" w14:textId="77777777" w:rsidR="00A0565F" w:rsidRPr="00E909F2" w:rsidRDefault="00A0565F" w:rsidP="00FE27B6">
            <w:pPr>
              <w:pStyle w:val="CETBodytext"/>
              <w:rPr>
                <w:lang w:val="en-GB"/>
              </w:rPr>
            </w:pPr>
            <w:r w:rsidRPr="00E909F2">
              <w:rPr>
                <w:lang w:val="en-GB"/>
              </w:rPr>
              <w:t>Wear</w:t>
            </w:r>
          </w:p>
        </w:tc>
        <w:tc>
          <w:tcPr>
            <w:tcW w:w="850" w:type="dxa"/>
            <w:tcBorders>
              <w:top w:val="single" w:sz="12" w:space="0" w:color="008000"/>
              <w:bottom w:val="single" w:sz="6" w:space="0" w:color="008000"/>
            </w:tcBorders>
            <w:shd w:val="clear" w:color="auto" w:fill="FFFFFF"/>
          </w:tcPr>
          <w:p w14:paraId="6A130F98" w14:textId="77777777" w:rsidR="00A0565F" w:rsidRPr="00E909F2" w:rsidRDefault="00A0565F" w:rsidP="00FE27B6">
            <w:pPr>
              <w:pStyle w:val="CETBodytext"/>
              <w:rPr>
                <w:lang w:val="en-GB"/>
              </w:rPr>
            </w:pPr>
            <w:r w:rsidRPr="00E909F2">
              <w:rPr>
                <w:rFonts w:cs="Arial"/>
                <w:szCs w:val="18"/>
                <w:lang w:val="en-GB"/>
              </w:rPr>
              <w:t>Thinning</w:t>
            </w:r>
          </w:p>
        </w:tc>
        <w:tc>
          <w:tcPr>
            <w:tcW w:w="742" w:type="dxa"/>
            <w:tcBorders>
              <w:top w:val="single" w:sz="12" w:space="0" w:color="008000"/>
              <w:bottom w:val="single" w:sz="6" w:space="0" w:color="008000"/>
            </w:tcBorders>
            <w:shd w:val="clear" w:color="auto" w:fill="FFFFFF"/>
          </w:tcPr>
          <w:p w14:paraId="784A2AD5" w14:textId="77777777" w:rsidR="00A0565F" w:rsidRPr="00E909F2" w:rsidRDefault="00A0565F" w:rsidP="00FE27B6">
            <w:pPr>
              <w:pStyle w:val="CETBodytext"/>
              <w:ind w:right="-1"/>
              <w:rPr>
                <w:rFonts w:cs="Arial"/>
                <w:szCs w:val="18"/>
                <w:lang w:val="en-GB"/>
              </w:rPr>
            </w:pPr>
            <w:r w:rsidRPr="00E909F2">
              <w:rPr>
                <w:rFonts w:cs="Arial"/>
                <w:szCs w:val="18"/>
                <w:lang w:val="en-GB"/>
              </w:rPr>
              <w:t>Damage</w:t>
            </w:r>
          </w:p>
        </w:tc>
        <w:tc>
          <w:tcPr>
            <w:tcW w:w="801" w:type="dxa"/>
            <w:tcBorders>
              <w:top w:val="single" w:sz="12" w:space="0" w:color="008000"/>
              <w:bottom w:val="single" w:sz="6" w:space="0" w:color="008000"/>
            </w:tcBorders>
            <w:shd w:val="clear" w:color="auto" w:fill="FFFFFF"/>
          </w:tcPr>
          <w:p w14:paraId="505A2DCE" w14:textId="77777777" w:rsidR="00A0565F" w:rsidRPr="00E909F2" w:rsidRDefault="00A0565F" w:rsidP="00FE27B6">
            <w:pPr>
              <w:pStyle w:val="CETBodytext"/>
              <w:ind w:right="-1"/>
              <w:rPr>
                <w:rFonts w:cs="Arial"/>
                <w:szCs w:val="18"/>
                <w:lang w:val="en-GB"/>
              </w:rPr>
            </w:pPr>
            <w:r w:rsidRPr="00E909F2">
              <w:rPr>
                <w:rFonts w:cs="Arial"/>
                <w:szCs w:val="18"/>
                <w:lang w:val="en-GB"/>
              </w:rPr>
              <w:t>Collapse</w:t>
            </w:r>
          </w:p>
        </w:tc>
        <w:tc>
          <w:tcPr>
            <w:tcW w:w="725" w:type="dxa"/>
            <w:tcBorders>
              <w:top w:val="single" w:sz="12" w:space="0" w:color="008000"/>
              <w:bottom w:val="single" w:sz="6" w:space="0" w:color="008000"/>
            </w:tcBorders>
            <w:shd w:val="clear" w:color="auto" w:fill="FFFFFF"/>
          </w:tcPr>
          <w:p w14:paraId="2E9C1E90" w14:textId="77777777" w:rsidR="00A0565F" w:rsidRPr="00E909F2" w:rsidRDefault="00A0565F" w:rsidP="00FE27B6">
            <w:pPr>
              <w:pStyle w:val="CETBodytext"/>
              <w:ind w:right="-1"/>
              <w:rPr>
                <w:rFonts w:cs="Arial"/>
                <w:szCs w:val="18"/>
                <w:lang w:val="en-GB"/>
              </w:rPr>
            </w:pPr>
            <w:r w:rsidRPr="00E909F2">
              <w:rPr>
                <w:rFonts w:cs="Arial"/>
                <w:szCs w:val="18"/>
                <w:lang w:val="en-GB"/>
              </w:rPr>
              <w:t>Rupture</w:t>
            </w:r>
          </w:p>
        </w:tc>
        <w:tc>
          <w:tcPr>
            <w:tcW w:w="567" w:type="dxa"/>
            <w:tcBorders>
              <w:top w:val="single" w:sz="12" w:space="0" w:color="008000"/>
              <w:bottom w:val="single" w:sz="6" w:space="0" w:color="008000"/>
            </w:tcBorders>
            <w:shd w:val="clear" w:color="auto" w:fill="FFFFFF"/>
          </w:tcPr>
          <w:p w14:paraId="364D5547" w14:textId="77777777" w:rsidR="00A0565F" w:rsidRPr="00E909F2" w:rsidRDefault="00A0565F" w:rsidP="00FE27B6">
            <w:pPr>
              <w:pStyle w:val="CETBodytext"/>
              <w:ind w:right="-1"/>
              <w:rPr>
                <w:rFonts w:cs="Arial"/>
                <w:szCs w:val="18"/>
                <w:lang w:val="en-GB"/>
              </w:rPr>
            </w:pPr>
            <w:r w:rsidRPr="00E909F2">
              <w:rPr>
                <w:rFonts w:cs="Arial"/>
                <w:szCs w:val="18"/>
                <w:lang w:val="en-GB"/>
              </w:rPr>
              <w:t>Hole</w:t>
            </w:r>
          </w:p>
        </w:tc>
        <w:tc>
          <w:tcPr>
            <w:tcW w:w="851" w:type="dxa"/>
            <w:tcBorders>
              <w:top w:val="single" w:sz="12" w:space="0" w:color="008000"/>
              <w:bottom w:val="single" w:sz="6" w:space="0" w:color="008000"/>
            </w:tcBorders>
            <w:shd w:val="clear" w:color="auto" w:fill="FFFFFF"/>
          </w:tcPr>
          <w:p w14:paraId="4FCD4BE6" w14:textId="77777777" w:rsidR="00A0565F" w:rsidRPr="00E909F2" w:rsidRDefault="00A0565F" w:rsidP="00FE27B6">
            <w:pPr>
              <w:pStyle w:val="CETBodytext"/>
              <w:ind w:right="-1"/>
              <w:rPr>
                <w:rFonts w:cs="Arial"/>
                <w:szCs w:val="18"/>
                <w:lang w:val="en-GB"/>
              </w:rPr>
            </w:pPr>
            <w:r w:rsidRPr="00E909F2">
              <w:rPr>
                <w:rFonts w:cs="Arial"/>
                <w:szCs w:val="18"/>
                <w:lang w:val="en-GB"/>
              </w:rPr>
              <w:t>Leakage</w:t>
            </w:r>
          </w:p>
        </w:tc>
        <w:tc>
          <w:tcPr>
            <w:tcW w:w="850" w:type="dxa"/>
            <w:tcBorders>
              <w:top w:val="single" w:sz="12" w:space="0" w:color="008000"/>
              <w:bottom w:val="single" w:sz="6" w:space="0" w:color="008000"/>
            </w:tcBorders>
            <w:shd w:val="clear" w:color="auto" w:fill="FFFFFF"/>
          </w:tcPr>
          <w:p w14:paraId="11E59EDC" w14:textId="77777777" w:rsidR="00A0565F" w:rsidRPr="00E909F2" w:rsidRDefault="00A0565F" w:rsidP="00FE27B6">
            <w:pPr>
              <w:pStyle w:val="CETBodytext"/>
              <w:ind w:right="-1"/>
              <w:rPr>
                <w:rFonts w:cs="Arial"/>
                <w:szCs w:val="18"/>
                <w:lang w:val="en-GB"/>
              </w:rPr>
            </w:pPr>
            <w:r w:rsidRPr="00E909F2">
              <w:rPr>
                <w:rFonts w:cs="Arial"/>
                <w:szCs w:val="18"/>
                <w:lang w:val="en-GB"/>
              </w:rPr>
              <w:t>Release</w:t>
            </w:r>
          </w:p>
        </w:tc>
        <w:tc>
          <w:tcPr>
            <w:tcW w:w="850" w:type="dxa"/>
            <w:tcBorders>
              <w:top w:val="single" w:sz="12" w:space="0" w:color="008000"/>
              <w:bottom w:val="single" w:sz="6" w:space="0" w:color="008000"/>
            </w:tcBorders>
            <w:shd w:val="clear" w:color="auto" w:fill="FFFFFF"/>
          </w:tcPr>
          <w:p w14:paraId="310C0B68" w14:textId="77777777" w:rsidR="00A0565F" w:rsidRPr="00E909F2" w:rsidRDefault="00A0565F" w:rsidP="00FE27B6">
            <w:pPr>
              <w:pStyle w:val="CETBodytext"/>
              <w:ind w:right="-1"/>
              <w:rPr>
                <w:rFonts w:cs="Arial"/>
                <w:szCs w:val="18"/>
                <w:lang w:val="en-GB"/>
              </w:rPr>
            </w:pPr>
            <w:r w:rsidRPr="00E909F2">
              <w:rPr>
                <w:rFonts w:cs="Arial"/>
                <w:szCs w:val="18"/>
                <w:lang w:val="en-GB"/>
              </w:rPr>
              <w:t>Spillage</w:t>
            </w:r>
          </w:p>
        </w:tc>
      </w:tr>
      <w:tr w:rsidR="00E909F2" w:rsidRPr="00E909F2" w14:paraId="6A029AFD" w14:textId="77777777" w:rsidTr="00FE27B6">
        <w:tc>
          <w:tcPr>
            <w:tcW w:w="993" w:type="dxa"/>
            <w:shd w:val="clear" w:color="auto" w:fill="FFFFFF"/>
          </w:tcPr>
          <w:p w14:paraId="443F6CB5" w14:textId="77777777" w:rsidR="00A0565F" w:rsidRPr="00E909F2" w:rsidRDefault="00A0565F" w:rsidP="00FE27B6">
            <w:pPr>
              <w:pStyle w:val="CETBodytext"/>
              <w:rPr>
                <w:lang w:val="en-GB"/>
              </w:rPr>
            </w:pPr>
            <w:r w:rsidRPr="00E909F2">
              <w:rPr>
                <w:lang w:val="en-GB"/>
              </w:rPr>
              <w:t>Tank</w:t>
            </w:r>
          </w:p>
        </w:tc>
        <w:tc>
          <w:tcPr>
            <w:tcW w:w="939" w:type="dxa"/>
            <w:shd w:val="clear" w:color="auto" w:fill="FFFFFF"/>
          </w:tcPr>
          <w:p w14:paraId="503A325F" w14:textId="76310D87" w:rsidR="00A0565F" w:rsidRPr="00E909F2" w:rsidRDefault="00E909F2" w:rsidP="00FE27B6">
            <w:pPr>
              <w:pStyle w:val="CETBodytext"/>
              <w:rPr>
                <w:lang w:val="en-GB"/>
              </w:rPr>
            </w:pPr>
            <w:r w:rsidRPr="00E909F2">
              <w:rPr>
                <w:lang w:val="en-GB"/>
              </w:rPr>
              <w:t>81</w:t>
            </w:r>
          </w:p>
        </w:tc>
        <w:tc>
          <w:tcPr>
            <w:tcW w:w="620" w:type="dxa"/>
            <w:shd w:val="clear" w:color="auto" w:fill="FFFFFF"/>
          </w:tcPr>
          <w:p w14:paraId="63AB3F73" w14:textId="77777777" w:rsidR="00A0565F" w:rsidRPr="00E909F2" w:rsidRDefault="00A0565F" w:rsidP="00FE27B6">
            <w:pPr>
              <w:pStyle w:val="CETBodytext"/>
              <w:rPr>
                <w:lang w:val="en-GB"/>
              </w:rPr>
            </w:pPr>
            <w:r w:rsidRPr="00E909F2">
              <w:rPr>
                <w:lang w:val="en-GB"/>
              </w:rPr>
              <w:t>79</w:t>
            </w:r>
          </w:p>
        </w:tc>
        <w:tc>
          <w:tcPr>
            <w:tcW w:w="850" w:type="dxa"/>
            <w:shd w:val="clear" w:color="auto" w:fill="FFFFFF"/>
          </w:tcPr>
          <w:p w14:paraId="3BAE0FEB" w14:textId="77777777" w:rsidR="00A0565F" w:rsidRPr="00E909F2" w:rsidRDefault="00A0565F" w:rsidP="00FE27B6">
            <w:pPr>
              <w:pStyle w:val="CETBodytext"/>
              <w:rPr>
                <w:lang w:val="en-GB"/>
              </w:rPr>
            </w:pPr>
            <w:r w:rsidRPr="00E909F2">
              <w:rPr>
                <w:lang w:val="en-GB"/>
              </w:rPr>
              <w:t>43</w:t>
            </w:r>
          </w:p>
        </w:tc>
        <w:tc>
          <w:tcPr>
            <w:tcW w:w="742" w:type="dxa"/>
            <w:shd w:val="clear" w:color="auto" w:fill="FFFFFF"/>
          </w:tcPr>
          <w:p w14:paraId="1FA58EDA" w14:textId="77777777" w:rsidR="00A0565F" w:rsidRPr="00E909F2" w:rsidRDefault="00A0565F" w:rsidP="00FE27B6">
            <w:pPr>
              <w:pStyle w:val="CETBodytext"/>
              <w:ind w:right="-1"/>
              <w:rPr>
                <w:rFonts w:cs="Arial"/>
                <w:szCs w:val="18"/>
                <w:lang w:val="en-GB"/>
              </w:rPr>
            </w:pPr>
            <w:r w:rsidRPr="00E909F2">
              <w:rPr>
                <w:rFonts w:cs="Arial"/>
                <w:szCs w:val="18"/>
                <w:lang w:val="en-GB"/>
              </w:rPr>
              <w:t>138</w:t>
            </w:r>
          </w:p>
        </w:tc>
        <w:tc>
          <w:tcPr>
            <w:tcW w:w="801" w:type="dxa"/>
            <w:shd w:val="clear" w:color="auto" w:fill="FFFFFF"/>
          </w:tcPr>
          <w:p w14:paraId="2D660AED" w14:textId="77777777" w:rsidR="00A0565F" w:rsidRPr="00E909F2" w:rsidRDefault="00A0565F" w:rsidP="00FE27B6">
            <w:pPr>
              <w:pStyle w:val="CETBodytext"/>
              <w:ind w:right="-1"/>
              <w:rPr>
                <w:rFonts w:cs="Arial"/>
                <w:szCs w:val="18"/>
                <w:lang w:val="en-GB"/>
              </w:rPr>
            </w:pPr>
            <w:r w:rsidRPr="00E909F2">
              <w:rPr>
                <w:rFonts w:cs="Arial"/>
                <w:szCs w:val="18"/>
                <w:lang w:val="en-GB"/>
              </w:rPr>
              <w:t>70</w:t>
            </w:r>
          </w:p>
        </w:tc>
        <w:tc>
          <w:tcPr>
            <w:tcW w:w="725" w:type="dxa"/>
            <w:shd w:val="clear" w:color="auto" w:fill="FFFFFF"/>
          </w:tcPr>
          <w:p w14:paraId="3EBDF5BF" w14:textId="77777777" w:rsidR="00A0565F" w:rsidRPr="00E909F2" w:rsidRDefault="00A0565F" w:rsidP="00FE27B6">
            <w:pPr>
              <w:pStyle w:val="CETBodytext"/>
              <w:ind w:right="-1"/>
              <w:rPr>
                <w:rFonts w:cs="Arial"/>
                <w:szCs w:val="18"/>
                <w:lang w:val="en-GB"/>
              </w:rPr>
            </w:pPr>
          </w:p>
        </w:tc>
        <w:tc>
          <w:tcPr>
            <w:tcW w:w="567" w:type="dxa"/>
            <w:shd w:val="clear" w:color="auto" w:fill="FFFFFF"/>
          </w:tcPr>
          <w:p w14:paraId="18897D73" w14:textId="77777777" w:rsidR="00A0565F" w:rsidRPr="00E909F2" w:rsidRDefault="00A0565F" w:rsidP="00FE27B6">
            <w:pPr>
              <w:pStyle w:val="CETBodytext"/>
              <w:ind w:right="-1"/>
              <w:rPr>
                <w:rFonts w:cs="Arial"/>
                <w:szCs w:val="18"/>
                <w:lang w:val="en-GB"/>
              </w:rPr>
            </w:pPr>
            <w:r w:rsidRPr="00E909F2">
              <w:rPr>
                <w:rFonts w:cs="Arial"/>
                <w:szCs w:val="18"/>
                <w:lang w:val="en-GB"/>
              </w:rPr>
              <w:t>67</w:t>
            </w:r>
          </w:p>
        </w:tc>
        <w:tc>
          <w:tcPr>
            <w:tcW w:w="851" w:type="dxa"/>
            <w:shd w:val="clear" w:color="auto" w:fill="FFFFFF"/>
          </w:tcPr>
          <w:p w14:paraId="6D9E6F2E" w14:textId="77777777" w:rsidR="00A0565F" w:rsidRPr="00E909F2" w:rsidRDefault="00A0565F" w:rsidP="00FE27B6">
            <w:pPr>
              <w:pStyle w:val="CETBodytext"/>
              <w:ind w:right="-1"/>
              <w:rPr>
                <w:rFonts w:cs="Arial"/>
                <w:szCs w:val="18"/>
                <w:lang w:val="en-GB"/>
              </w:rPr>
            </w:pPr>
            <w:r w:rsidRPr="00E909F2">
              <w:rPr>
                <w:rFonts w:cs="Arial"/>
                <w:szCs w:val="18"/>
                <w:lang w:val="en-GB"/>
              </w:rPr>
              <w:t>596</w:t>
            </w:r>
          </w:p>
        </w:tc>
        <w:tc>
          <w:tcPr>
            <w:tcW w:w="850" w:type="dxa"/>
            <w:shd w:val="clear" w:color="auto" w:fill="FFFFFF"/>
          </w:tcPr>
          <w:p w14:paraId="721C1FB5" w14:textId="77777777" w:rsidR="00A0565F" w:rsidRPr="00E909F2" w:rsidRDefault="00A0565F" w:rsidP="00FE27B6">
            <w:pPr>
              <w:pStyle w:val="CETBodytext"/>
              <w:ind w:right="-1"/>
              <w:rPr>
                <w:rFonts w:cs="Arial"/>
                <w:szCs w:val="18"/>
                <w:lang w:val="en-GB"/>
              </w:rPr>
            </w:pPr>
            <w:r w:rsidRPr="00E909F2">
              <w:rPr>
                <w:rFonts w:cs="Arial"/>
                <w:szCs w:val="18"/>
                <w:lang w:val="en-GB"/>
              </w:rPr>
              <w:t>241</w:t>
            </w:r>
          </w:p>
        </w:tc>
        <w:tc>
          <w:tcPr>
            <w:tcW w:w="850" w:type="dxa"/>
            <w:shd w:val="clear" w:color="auto" w:fill="FFFFFF"/>
          </w:tcPr>
          <w:p w14:paraId="3BF96774" w14:textId="77777777" w:rsidR="00A0565F" w:rsidRPr="00E909F2" w:rsidRDefault="00A0565F" w:rsidP="00FE27B6">
            <w:pPr>
              <w:pStyle w:val="CETBodytext"/>
              <w:ind w:right="-1"/>
              <w:rPr>
                <w:rFonts w:cs="Arial"/>
                <w:szCs w:val="18"/>
                <w:lang w:val="en-GB"/>
              </w:rPr>
            </w:pPr>
            <w:r w:rsidRPr="00E909F2">
              <w:rPr>
                <w:rFonts w:cs="Arial"/>
                <w:szCs w:val="18"/>
                <w:lang w:val="en-GB"/>
              </w:rPr>
              <w:t>342</w:t>
            </w:r>
          </w:p>
        </w:tc>
      </w:tr>
      <w:tr w:rsidR="00E909F2" w:rsidRPr="00E909F2" w14:paraId="5B1B5486" w14:textId="77777777" w:rsidTr="00FE27B6">
        <w:tc>
          <w:tcPr>
            <w:tcW w:w="993" w:type="dxa"/>
            <w:shd w:val="clear" w:color="auto" w:fill="FFFFFF"/>
          </w:tcPr>
          <w:p w14:paraId="0100D18D" w14:textId="77777777" w:rsidR="00A0565F" w:rsidRPr="00E909F2" w:rsidRDefault="00A0565F" w:rsidP="00FE27B6">
            <w:pPr>
              <w:pStyle w:val="CETBodytext"/>
              <w:ind w:right="-1"/>
              <w:rPr>
                <w:rFonts w:cs="Arial"/>
                <w:szCs w:val="18"/>
                <w:lang w:val="en-GB"/>
              </w:rPr>
            </w:pPr>
            <w:r w:rsidRPr="00E909F2">
              <w:rPr>
                <w:rFonts w:cs="Arial"/>
                <w:szCs w:val="18"/>
                <w:lang w:val="en-GB"/>
              </w:rPr>
              <w:t>Pipeline</w:t>
            </w:r>
          </w:p>
        </w:tc>
        <w:tc>
          <w:tcPr>
            <w:tcW w:w="939" w:type="dxa"/>
            <w:shd w:val="clear" w:color="auto" w:fill="FFFFFF"/>
          </w:tcPr>
          <w:p w14:paraId="1773C872" w14:textId="77777777" w:rsidR="00A0565F" w:rsidRPr="00E909F2" w:rsidRDefault="00A0565F" w:rsidP="00FE27B6">
            <w:pPr>
              <w:pStyle w:val="CETBodytext"/>
              <w:ind w:right="-1"/>
              <w:rPr>
                <w:rFonts w:cs="Arial"/>
                <w:szCs w:val="18"/>
                <w:lang w:val="en-GB"/>
              </w:rPr>
            </w:pPr>
            <w:r w:rsidRPr="00E909F2">
              <w:rPr>
                <w:rFonts w:cs="Arial"/>
                <w:szCs w:val="18"/>
                <w:lang w:val="en-GB"/>
              </w:rPr>
              <w:t>102</w:t>
            </w:r>
          </w:p>
        </w:tc>
        <w:tc>
          <w:tcPr>
            <w:tcW w:w="620" w:type="dxa"/>
            <w:shd w:val="clear" w:color="auto" w:fill="FFFFFF"/>
          </w:tcPr>
          <w:p w14:paraId="4FDD760F" w14:textId="77777777" w:rsidR="00A0565F" w:rsidRPr="00E909F2" w:rsidRDefault="00A0565F" w:rsidP="00FE27B6">
            <w:pPr>
              <w:pStyle w:val="CETBodytext"/>
              <w:ind w:right="-1"/>
              <w:rPr>
                <w:rFonts w:cs="Arial"/>
                <w:szCs w:val="18"/>
                <w:lang w:val="en-GB"/>
              </w:rPr>
            </w:pPr>
            <w:r w:rsidRPr="00E909F2">
              <w:rPr>
                <w:rFonts w:cs="Arial"/>
                <w:szCs w:val="18"/>
                <w:lang w:val="en-GB"/>
              </w:rPr>
              <w:t>29</w:t>
            </w:r>
          </w:p>
        </w:tc>
        <w:tc>
          <w:tcPr>
            <w:tcW w:w="850" w:type="dxa"/>
            <w:shd w:val="clear" w:color="auto" w:fill="FFFFFF"/>
          </w:tcPr>
          <w:p w14:paraId="7E070F13" w14:textId="77777777" w:rsidR="00A0565F" w:rsidRPr="00E909F2" w:rsidRDefault="00A0565F" w:rsidP="00FE27B6">
            <w:pPr>
              <w:pStyle w:val="CETBodytext"/>
              <w:ind w:right="-1"/>
              <w:rPr>
                <w:rFonts w:cs="Arial"/>
                <w:szCs w:val="18"/>
                <w:lang w:val="en-GB"/>
              </w:rPr>
            </w:pPr>
            <w:r w:rsidRPr="00E909F2">
              <w:rPr>
                <w:rFonts w:cs="Arial"/>
                <w:szCs w:val="18"/>
                <w:lang w:val="en-GB"/>
              </w:rPr>
              <w:t>72</w:t>
            </w:r>
          </w:p>
        </w:tc>
        <w:tc>
          <w:tcPr>
            <w:tcW w:w="742" w:type="dxa"/>
            <w:shd w:val="clear" w:color="auto" w:fill="FFFFFF"/>
          </w:tcPr>
          <w:p w14:paraId="6FDA4A87" w14:textId="77777777" w:rsidR="00A0565F" w:rsidRPr="00E909F2" w:rsidRDefault="00A0565F" w:rsidP="00FE27B6">
            <w:pPr>
              <w:pStyle w:val="CETBodytext"/>
              <w:ind w:right="-1"/>
              <w:rPr>
                <w:rFonts w:cs="Arial"/>
                <w:szCs w:val="18"/>
                <w:lang w:val="en-GB"/>
              </w:rPr>
            </w:pPr>
            <w:r w:rsidRPr="00E909F2">
              <w:rPr>
                <w:rFonts w:cs="Arial"/>
                <w:szCs w:val="18"/>
                <w:lang w:val="en-GB"/>
              </w:rPr>
              <w:t>56</w:t>
            </w:r>
          </w:p>
        </w:tc>
        <w:tc>
          <w:tcPr>
            <w:tcW w:w="801" w:type="dxa"/>
            <w:shd w:val="clear" w:color="auto" w:fill="FFFFFF"/>
          </w:tcPr>
          <w:p w14:paraId="246A1C59" w14:textId="77777777" w:rsidR="00A0565F" w:rsidRPr="00E909F2" w:rsidRDefault="00A0565F" w:rsidP="00FE27B6">
            <w:pPr>
              <w:pStyle w:val="CETBodytext"/>
              <w:ind w:right="-1"/>
              <w:rPr>
                <w:rFonts w:cs="Arial"/>
                <w:szCs w:val="18"/>
                <w:lang w:val="en-GB"/>
              </w:rPr>
            </w:pPr>
          </w:p>
        </w:tc>
        <w:tc>
          <w:tcPr>
            <w:tcW w:w="725" w:type="dxa"/>
            <w:shd w:val="clear" w:color="auto" w:fill="FFFFFF"/>
          </w:tcPr>
          <w:p w14:paraId="15CE4D30" w14:textId="77777777" w:rsidR="00A0565F" w:rsidRPr="00E909F2" w:rsidRDefault="00A0565F" w:rsidP="00FE27B6">
            <w:pPr>
              <w:pStyle w:val="CETBodytext"/>
              <w:ind w:right="-1"/>
              <w:rPr>
                <w:rFonts w:cs="Arial"/>
                <w:szCs w:val="18"/>
                <w:lang w:val="en-GB"/>
              </w:rPr>
            </w:pPr>
            <w:r w:rsidRPr="00E909F2">
              <w:rPr>
                <w:rFonts w:cs="Arial"/>
                <w:szCs w:val="18"/>
                <w:lang w:val="en-GB"/>
              </w:rPr>
              <w:t>198</w:t>
            </w:r>
          </w:p>
        </w:tc>
        <w:tc>
          <w:tcPr>
            <w:tcW w:w="567" w:type="dxa"/>
            <w:shd w:val="clear" w:color="auto" w:fill="FFFFFF"/>
          </w:tcPr>
          <w:p w14:paraId="2673EF86" w14:textId="77777777" w:rsidR="00A0565F" w:rsidRPr="00E909F2" w:rsidRDefault="00A0565F" w:rsidP="00FE27B6">
            <w:pPr>
              <w:pStyle w:val="CETBodytext"/>
              <w:ind w:right="-1"/>
              <w:rPr>
                <w:rFonts w:cs="Arial"/>
                <w:szCs w:val="18"/>
                <w:lang w:val="en-GB"/>
              </w:rPr>
            </w:pPr>
            <w:r w:rsidRPr="00E909F2">
              <w:rPr>
                <w:rFonts w:cs="Arial"/>
                <w:szCs w:val="18"/>
                <w:lang w:val="en-GB"/>
              </w:rPr>
              <w:t>70</w:t>
            </w:r>
          </w:p>
        </w:tc>
        <w:tc>
          <w:tcPr>
            <w:tcW w:w="851" w:type="dxa"/>
            <w:shd w:val="clear" w:color="auto" w:fill="FFFFFF"/>
          </w:tcPr>
          <w:p w14:paraId="48B8AD4A" w14:textId="77777777" w:rsidR="00A0565F" w:rsidRPr="00E909F2" w:rsidRDefault="00A0565F" w:rsidP="00FE27B6">
            <w:pPr>
              <w:pStyle w:val="CETBodytext"/>
              <w:ind w:right="-1"/>
              <w:rPr>
                <w:rFonts w:cs="Arial"/>
                <w:szCs w:val="18"/>
                <w:lang w:val="en-GB"/>
              </w:rPr>
            </w:pPr>
            <w:r w:rsidRPr="00E909F2">
              <w:rPr>
                <w:rFonts w:cs="Arial"/>
                <w:szCs w:val="18"/>
                <w:lang w:val="en-GB"/>
              </w:rPr>
              <w:t>314</w:t>
            </w:r>
          </w:p>
        </w:tc>
        <w:tc>
          <w:tcPr>
            <w:tcW w:w="850" w:type="dxa"/>
            <w:shd w:val="clear" w:color="auto" w:fill="FFFFFF"/>
          </w:tcPr>
          <w:p w14:paraId="6FDCBFE7" w14:textId="77777777" w:rsidR="00A0565F" w:rsidRPr="00E909F2" w:rsidRDefault="00A0565F" w:rsidP="00FE27B6">
            <w:pPr>
              <w:pStyle w:val="CETBodytext"/>
              <w:ind w:right="-1"/>
              <w:rPr>
                <w:rFonts w:cs="Arial"/>
                <w:szCs w:val="18"/>
                <w:lang w:val="en-GB"/>
              </w:rPr>
            </w:pPr>
            <w:r w:rsidRPr="00E909F2">
              <w:rPr>
                <w:rFonts w:cs="Arial"/>
                <w:szCs w:val="18"/>
                <w:lang w:val="en-GB"/>
              </w:rPr>
              <w:t>316</w:t>
            </w:r>
          </w:p>
        </w:tc>
        <w:tc>
          <w:tcPr>
            <w:tcW w:w="850" w:type="dxa"/>
            <w:shd w:val="clear" w:color="auto" w:fill="FFFFFF"/>
          </w:tcPr>
          <w:p w14:paraId="02BB00D3" w14:textId="77777777" w:rsidR="00A0565F" w:rsidRPr="00E909F2" w:rsidRDefault="00A0565F" w:rsidP="00FE27B6">
            <w:pPr>
              <w:pStyle w:val="CETBodytext"/>
              <w:ind w:right="-1"/>
              <w:rPr>
                <w:rFonts w:cs="Arial"/>
                <w:szCs w:val="18"/>
                <w:lang w:val="en-GB"/>
              </w:rPr>
            </w:pPr>
            <w:r w:rsidRPr="00E909F2">
              <w:rPr>
                <w:rFonts w:cs="Arial"/>
                <w:szCs w:val="18"/>
                <w:lang w:val="en-GB"/>
              </w:rPr>
              <w:t>134</w:t>
            </w:r>
          </w:p>
        </w:tc>
      </w:tr>
    </w:tbl>
    <w:p w14:paraId="66B13F24" w14:textId="77777777" w:rsidR="000773C0" w:rsidRPr="00B70C35" w:rsidRDefault="000773C0" w:rsidP="00A144F6">
      <w:pPr>
        <w:pStyle w:val="CETBodytext"/>
        <w:rPr>
          <w:lang w:val="en-GB"/>
        </w:rPr>
      </w:pPr>
    </w:p>
    <w:p w14:paraId="783159A6" w14:textId="5E994FFF" w:rsidR="002E607A" w:rsidRDefault="00D06B79" w:rsidP="00FB748E">
      <w:pPr>
        <w:pStyle w:val="CETheadingx"/>
      </w:pPr>
      <w:r>
        <w:t>CAUSES relationship</w:t>
      </w:r>
    </w:p>
    <w:p w14:paraId="156F26A4" w14:textId="08320FC0" w:rsidR="004F134A" w:rsidRPr="00194EBE" w:rsidRDefault="003240FB" w:rsidP="00D06B79">
      <w:pPr>
        <w:pStyle w:val="CETBodytext"/>
        <w:rPr>
          <w:lang w:val="en-GB"/>
        </w:rPr>
      </w:pPr>
      <w:r w:rsidRPr="00D11774">
        <w:rPr>
          <w:lang w:val="en-GB"/>
        </w:rPr>
        <w:t xml:space="preserve">Starting </w:t>
      </w:r>
      <w:r w:rsidR="00775D57" w:rsidRPr="00D11774">
        <w:rPr>
          <w:lang w:val="en-GB"/>
        </w:rPr>
        <w:t xml:space="preserve">the search </w:t>
      </w:r>
      <w:r w:rsidRPr="00D11774">
        <w:rPr>
          <w:lang w:val="en-GB"/>
        </w:rPr>
        <w:t xml:space="preserve">from </w:t>
      </w:r>
      <w:r w:rsidR="00277367" w:rsidRPr="00D11774">
        <w:rPr>
          <w:lang w:val="en-GB"/>
        </w:rPr>
        <w:t>the generic event “</w:t>
      </w:r>
      <w:r w:rsidR="00996C31" w:rsidRPr="00D11774">
        <w:rPr>
          <w:lang w:val="en-GB"/>
        </w:rPr>
        <w:t>leakage</w:t>
      </w:r>
      <w:r w:rsidR="00277367" w:rsidRPr="00D11774">
        <w:rPr>
          <w:lang w:val="en-GB"/>
        </w:rPr>
        <w:t>”</w:t>
      </w:r>
      <w:r w:rsidR="00C0179B" w:rsidRPr="00D11774">
        <w:rPr>
          <w:lang w:val="en-GB"/>
        </w:rPr>
        <w:t>,</w:t>
      </w:r>
      <w:r w:rsidR="00277367" w:rsidRPr="00D11774">
        <w:rPr>
          <w:lang w:val="en-GB"/>
        </w:rPr>
        <w:t xml:space="preserve"> word classified by the system as an individual o</w:t>
      </w:r>
      <w:r w:rsidR="00C0179B" w:rsidRPr="00D11774">
        <w:rPr>
          <w:lang w:val="en-GB"/>
        </w:rPr>
        <w:t xml:space="preserve">f LOSS entity, </w:t>
      </w:r>
      <w:r w:rsidR="00E756F0" w:rsidRPr="00D11774">
        <w:rPr>
          <w:lang w:val="en-GB"/>
        </w:rPr>
        <w:t xml:space="preserve">EsOpIA </w:t>
      </w:r>
      <w:r w:rsidR="006A4E90" w:rsidRPr="00D11774">
        <w:rPr>
          <w:lang w:val="en-GB"/>
        </w:rPr>
        <w:t xml:space="preserve">identifies </w:t>
      </w:r>
      <w:r w:rsidR="00542E42" w:rsidRPr="00D11774">
        <w:rPr>
          <w:lang w:val="en-GB"/>
        </w:rPr>
        <w:t>1</w:t>
      </w:r>
      <w:r w:rsidR="005808EF" w:rsidRPr="00D11774">
        <w:rPr>
          <w:lang w:val="en-GB"/>
        </w:rPr>
        <w:t>10</w:t>
      </w:r>
      <w:r w:rsidR="00612B0C" w:rsidRPr="00D11774">
        <w:rPr>
          <w:lang w:val="en-GB"/>
        </w:rPr>
        <w:t>9</w:t>
      </w:r>
      <w:r w:rsidR="006A4E90" w:rsidRPr="00D11774">
        <w:rPr>
          <w:lang w:val="en-GB"/>
        </w:rPr>
        <w:t xml:space="preserve"> documents </w:t>
      </w:r>
      <w:r w:rsidR="00884F88" w:rsidRPr="00D11774">
        <w:rPr>
          <w:lang w:val="en-GB"/>
        </w:rPr>
        <w:t>containing this term and which belongs to the</w:t>
      </w:r>
      <w:r w:rsidR="003E7542" w:rsidRPr="00D11774">
        <w:rPr>
          <w:lang w:val="en-GB"/>
        </w:rPr>
        <w:t xml:space="preserve"> CAUSES </w:t>
      </w:r>
      <w:r w:rsidR="005B6BF9">
        <w:rPr>
          <w:lang w:val="en-GB"/>
        </w:rPr>
        <w:t>relations</w:t>
      </w:r>
      <w:r w:rsidR="00612B0C" w:rsidRPr="00D11774">
        <w:rPr>
          <w:lang w:val="en-GB"/>
        </w:rPr>
        <w:t xml:space="preserve">, </w:t>
      </w:r>
      <w:r w:rsidR="008B7649" w:rsidRPr="00D11774">
        <w:rPr>
          <w:lang w:val="en-GB"/>
        </w:rPr>
        <w:t>1</w:t>
      </w:r>
      <w:r w:rsidR="00EB3DD9" w:rsidRPr="00D11774">
        <w:rPr>
          <w:lang w:val="en-GB"/>
        </w:rPr>
        <w:t xml:space="preserve"> major accidents, 1</w:t>
      </w:r>
      <w:r w:rsidR="00F51E59" w:rsidRPr="00D11774">
        <w:rPr>
          <w:lang w:val="en-GB"/>
        </w:rPr>
        <w:t>0</w:t>
      </w:r>
      <w:r w:rsidR="00EB3DD9" w:rsidRPr="00D11774">
        <w:rPr>
          <w:lang w:val="en-GB"/>
        </w:rPr>
        <w:t xml:space="preserve"> related to pressure equipment failure</w:t>
      </w:r>
      <w:r w:rsidR="00743F26" w:rsidRPr="00D11774">
        <w:rPr>
          <w:lang w:val="en-GB"/>
        </w:rPr>
        <w:t>, the others (1</w:t>
      </w:r>
      <w:r w:rsidR="00F51E59" w:rsidRPr="00D11774">
        <w:rPr>
          <w:lang w:val="en-GB"/>
        </w:rPr>
        <w:t>098</w:t>
      </w:r>
      <w:r w:rsidR="00743F26" w:rsidRPr="00D11774">
        <w:rPr>
          <w:lang w:val="en-GB"/>
        </w:rPr>
        <w:t>) are operational experiences</w:t>
      </w:r>
      <w:r w:rsidR="00D90DE8" w:rsidRPr="00D11774">
        <w:rPr>
          <w:lang w:val="en-GB"/>
        </w:rPr>
        <w:t xml:space="preserve">. </w:t>
      </w:r>
      <w:r w:rsidR="00D43F95" w:rsidRPr="00D11774">
        <w:rPr>
          <w:lang w:val="en-GB"/>
        </w:rPr>
        <w:t xml:space="preserve">Using the filters </w:t>
      </w:r>
      <w:r w:rsidR="00F65659" w:rsidRPr="00D11774">
        <w:rPr>
          <w:lang w:val="en-GB"/>
        </w:rPr>
        <w:t xml:space="preserve">it </w:t>
      </w:r>
      <w:r w:rsidR="00D9273E" w:rsidRPr="00D11774">
        <w:rPr>
          <w:lang w:val="en-GB"/>
        </w:rPr>
        <w:t>can</w:t>
      </w:r>
      <w:r w:rsidR="00F65659" w:rsidRPr="00D11774">
        <w:rPr>
          <w:lang w:val="en-GB"/>
        </w:rPr>
        <w:t xml:space="preserve"> </w:t>
      </w:r>
      <w:r w:rsidR="00ED4C8F" w:rsidRPr="00D11774">
        <w:rPr>
          <w:lang w:val="en-GB"/>
        </w:rPr>
        <w:t xml:space="preserve">have an overview of the </w:t>
      </w:r>
      <w:r w:rsidR="00102F01" w:rsidRPr="00D11774">
        <w:rPr>
          <w:lang w:val="en-GB"/>
        </w:rPr>
        <w:t xml:space="preserve">causes, </w:t>
      </w:r>
      <w:r w:rsidR="00F235B7" w:rsidRPr="00D11774">
        <w:rPr>
          <w:lang w:val="en-GB"/>
        </w:rPr>
        <w:t xml:space="preserve">the equipment, </w:t>
      </w:r>
      <w:r w:rsidR="004C767D" w:rsidRPr="00D11774">
        <w:rPr>
          <w:lang w:val="en-GB"/>
        </w:rPr>
        <w:t>the conse</w:t>
      </w:r>
      <w:r w:rsidR="00605795" w:rsidRPr="00D11774">
        <w:rPr>
          <w:lang w:val="en-GB"/>
        </w:rPr>
        <w:t xml:space="preserve">quences, </w:t>
      </w:r>
      <w:r w:rsidR="001D2E65" w:rsidRPr="00D11774">
        <w:rPr>
          <w:lang w:val="en-GB"/>
        </w:rPr>
        <w:t xml:space="preserve">and the barriers </w:t>
      </w:r>
      <w:r w:rsidR="00605795" w:rsidRPr="00D11774">
        <w:rPr>
          <w:lang w:val="en-GB"/>
        </w:rPr>
        <w:t>involved</w:t>
      </w:r>
      <w:r w:rsidR="001D2E65" w:rsidRPr="00D11774">
        <w:rPr>
          <w:lang w:val="en-GB"/>
        </w:rPr>
        <w:t>.</w:t>
      </w:r>
      <w:r w:rsidR="000305DA">
        <w:rPr>
          <w:lang w:val="en-GB"/>
        </w:rPr>
        <w:t xml:space="preserve"> </w:t>
      </w:r>
      <w:r w:rsidR="00317CE6" w:rsidRPr="00D11774">
        <w:rPr>
          <w:lang w:val="en-GB"/>
        </w:rPr>
        <w:t>M</w:t>
      </w:r>
      <w:r w:rsidR="00BC5738" w:rsidRPr="00D11774">
        <w:rPr>
          <w:lang w:val="en-GB"/>
        </w:rPr>
        <w:t xml:space="preserve">ost </w:t>
      </w:r>
      <w:r w:rsidR="00F80E1F" w:rsidRPr="00D11774">
        <w:rPr>
          <w:lang w:val="en-GB"/>
        </w:rPr>
        <w:t>d</w:t>
      </w:r>
      <w:r w:rsidR="00263B14" w:rsidRPr="00D11774">
        <w:rPr>
          <w:lang w:val="en-GB"/>
        </w:rPr>
        <w:t xml:space="preserve">eterioration mechanisms </w:t>
      </w:r>
      <w:r w:rsidR="004211A8" w:rsidRPr="00D11774">
        <w:rPr>
          <w:lang w:val="en-GB"/>
        </w:rPr>
        <w:t>caused loss of containment</w:t>
      </w:r>
      <w:r w:rsidR="00CC5910" w:rsidRPr="00D11774">
        <w:rPr>
          <w:lang w:val="en-GB"/>
        </w:rPr>
        <w:t xml:space="preserve"> </w:t>
      </w:r>
      <w:r w:rsidR="00D04B14" w:rsidRPr="00D11774">
        <w:rPr>
          <w:lang w:val="en-GB"/>
        </w:rPr>
        <w:t xml:space="preserve">(leakage) </w:t>
      </w:r>
      <w:r w:rsidR="007726D4" w:rsidRPr="00D11774">
        <w:rPr>
          <w:lang w:val="en-GB"/>
        </w:rPr>
        <w:t>including</w:t>
      </w:r>
      <w:r w:rsidR="004211A8" w:rsidRPr="00D11774">
        <w:rPr>
          <w:lang w:val="en-GB"/>
        </w:rPr>
        <w:t xml:space="preserve"> </w:t>
      </w:r>
      <w:r w:rsidR="00CC5910" w:rsidRPr="00D11774">
        <w:rPr>
          <w:lang w:val="en-GB"/>
        </w:rPr>
        <w:t>corrosion (</w:t>
      </w:r>
      <w:r w:rsidR="00623359" w:rsidRPr="00D11774">
        <w:rPr>
          <w:lang w:val="en-GB"/>
        </w:rPr>
        <w:t>6</w:t>
      </w:r>
      <w:r w:rsidR="00246FA3" w:rsidRPr="00D11774">
        <w:rPr>
          <w:lang w:val="en-GB"/>
        </w:rPr>
        <w:t>2</w:t>
      </w:r>
      <w:r w:rsidR="00CB16EF" w:rsidRPr="00D11774">
        <w:rPr>
          <w:lang w:val="en-GB"/>
        </w:rPr>
        <w:t xml:space="preserve">), </w:t>
      </w:r>
      <w:r w:rsidR="00E76DEB" w:rsidRPr="00D11774">
        <w:rPr>
          <w:lang w:val="en-GB"/>
        </w:rPr>
        <w:t xml:space="preserve">cracking (36), </w:t>
      </w:r>
      <w:r w:rsidR="007C354F" w:rsidRPr="00D11774">
        <w:rPr>
          <w:lang w:val="en-GB"/>
        </w:rPr>
        <w:t>wear (</w:t>
      </w:r>
      <w:r w:rsidR="00F03016" w:rsidRPr="00D11774">
        <w:rPr>
          <w:lang w:val="en-GB"/>
        </w:rPr>
        <w:t>3</w:t>
      </w:r>
      <w:r w:rsidR="00803036" w:rsidRPr="00D11774">
        <w:rPr>
          <w:lang w:val="en-GB"/>
        </w:rPr>
        <w:t xml:space="preserve">1), </w:t>
      </w:r>
      <w:r w:rsidR="00277AB3" w:rsidRPr="00D11774">
        <w:rPr>
          <w:lang w:val="en-GB"/>
        </w:rPr>
        <w:t>obstruction (1</w:t>
      </w:r>
      <w:r w:rsidR="0035212E" w:rsidRPr="00D11774">
        <w:rPr>
          <w:lang w:val="en-GB"/>
        </w:rPr>
        <w:t>5</w:t>
      </w:r>
      <w:r w:rsidR="00277AB3" w:rsidRPr="00D11774">
        <w:rPr>
          <w:lang w:val="en-GB"/>
        </w:rPr>
        <w:t xml:space="preserve">), </w:t>
      </w:r>
      <w:r w:rsidR="001E574E" w:rsidRPr="00D11774">
        <w:rPr>
          <w:lang w:val="en-GB"/>
        </w:rPr>
        <w:t>vibration (1</w:t>
      </w:r>
      <w:r w:rsidR="00E81101" w:rsidRPr="00D11774">
        <w:rPr>
          <w:lang w:val="en-GB"/>
        </w:rPr>
        <w:t>3</w:t>
      </w:r>
      <w:r w:rsidR="001E574E" w:rsidRPr="00D11774">
        <w:rPr>
          <w:lang w:val="en-GB"/>
        </w:rPr>
        <w:t xml:space="preserve">), </w:t>
      </w:r>
      <w:r w:rsidR="00C96DC6" w:rsidRPr="00D11774">
        <w:rPr>
          <w:lang w:val="en-GB"/>
        </w:rPr>
        <w:t>mechanical stress</w:t>
      </w:r>
      <w:r w:rsidR="00996499" w:rsidRPr="00D11774">
        <w:rPr>
          <w:lang w:val="en-GB"/>
        </w:rPr>
        <w:t xml:space="preserve"> (</w:t>
      </w:r>
      <w:r w:rsidR="00F544F6" w:rsidRPr="00D11774">
        <w:rPr>
          <w:lang w:val="en-GB"/>
        </w:rPr>
        <w:t>9</w:t>
      </w:r>
      <w:r w:rsidR="00996499" w:rsidRPr="00D11774">
        <w:rPr>
          <w:lang w:val="en-GB"/>
        </w:rPr>
        <w:t xml:space="preserve">), </w:t>
      </w:r>
      <w:r w:rsidR="00F61E6A" w:rsidRPr="00D11774">
        <w:rPr>
          <w:lang w:val="en-GB"/>
        </w:rPr>
        <w:t>aging</w:t>
      </w:r>
      <w:r w:rsidR="005B0F40" w:rsidRPr="00D11774">
        <w:rPr>
          <w:lang w:val="en-GB"/>
        </w:rPr>
        <w:t xml:space="preserve"> (5). </w:t>
      </w:r>
      <w:r w:rsidR="002726B1" w:rsidRPr="00D11774">
        <w:rPr>
          <w:lang w:val="en-GB"/>
        </w:rPr>
        <w:t>Looking</w:t>
      </w:r>
      <w:r w:rsidR="009C565D" w:rsidRPr="00D11774">
        <w:rPr>
          <w:lang w:val="en-GB"/>
        </w:rPr>
        <w:t xml:space="preserve"> at</w:t>
      </w:r>
      <w:r w:rsidR="002726B1" w:rsidRPr="00D11774">
        <w:rPr>
          <w:lang w:val="en-GB"/>
        </w:rPr>
        <w:t xml:space="preserve"> the equipment involved in the corrosion</w:t>
      </w:r>
      <w:r w:rsidR="000F2BF2" w:rsidRPr="00D11774">
        <w:rPr>
          <w:lang w:val="en-GB"/>
        </w:rPr>
        <w:t xml:space="preserve"> </w:t>
      </w:r>
      <w:r w:rsidR="000F2BF2" w:rsidRPr="005B6BF9">
        <w:rPr>
          <w:lang w:val="en-GB"/>
        </w:rPr>
        <w:t>mechanism</w:t>
      </w:r>
      <w:r w:rsidR="002726B1" w:rsidRPr="005B6BF9">
        <w:rPr>
          <w:lang w:val="en-GB"/>
        </w:rPr>
        <w:t xml:space="preserve">, </w:t>
      </w:r>
      <w:r w:rsidR="009C565D" w:rsidRPr="005B6BF9">
        <w:rPr>
          <w:lang w:val="en-GB"/>
        </w:rPr>
        <w:t>pip</w:t>
      </w:r>
      <w:r w:rsidR="00EC7055" w:rsidRPr="005B6BF9">
        <w:rPr>
          <w:lang w:val="en-GB"/>
        </w:rPr>
        <w:t>eline</w:t>
      </w:r>
      <w:r w:rsidR="009C565D" w:rsidRPr="005B6BF9">
        <w:rPr>
          <w:lang w:val="en-GB"/>
        </w:rPr>
        <w:t xml:space="preserve"> </w:t>
      </w:r>
      <w:r w:rsidR="00087FBF" w:rsidRPr="005B6BF9">
        <w:rPr>
          <w:lang w:val="en-GB"/>
        </w:rPr>
        <w:t>(</w:t>
      </w:r>
      <w:r w:rsidR="00354E1F">
        <w:rPr>
          <w:lang w:val="en-GB"/>
        </w:rPr>
        <w:t>30</w:t>
      </w:r>
      <w:r w:rsidR="00087FBF" w:rsidRPr="005B6BF9">
        <w:rPr>
          <w:lang w:val="en-GB"/>
        </w:rPr>
        <w:t>)</w:t>
      </w:r>
      <w:r w:rsidR="00CB2889" w:rsidRPr="005B6BF9">
        <w:rPr>
          <w:lang w:val="en-GB"/>
        </w:rPr>
        <w:t xml:space="preserve"> </w:t>
      </w:r>
      <w:r w:rsidR="00E54486">
        <w:rPr>
          <w:lang w:val="en-GB"/>
        </w:rPr>
        <w:t>is</w:t>
      </w:r>
      <w:r w:rsidR="00087FBF" w:rsidRPr="00D11774">
        <w:rPr>
          <w:lang w:val="en-GB"/>
        </w:rPr>
        <w:t xml:space="preserve"> </w:t>
      </w:r>
      <w:r w:rsidR="00212337" w:rsidRPr="00D11774">
        <w:rPr>
          <w:lang w:val="en-GB"/>
        </w:rPr>
        <w:t>the most frequent</w:t>
      </w:r>
      <w:r w:rsidR="007373E5" w:rsidRPr="00D11774">
        <w:rPr>
          <w:lang w:val="en-GB"/>
        </w:rPr>
        <w:t xml:space="preserve">ly affected, </w:t>
      </w:r>
      <w:r w:rsidR="002B7320" w:rsidRPr="00D11774">
        <w:rPr>
          <w:lang w:val="en-GB"/>
        </w:rPr>
        <w:t xml:space="preserve">followed by tank </w:t>
      </w:r>
      <w:r w:rsidR="00083EFE" w:rsidRPr="00D11774">
        <w:rPr>
          <w:lang w:val="en-GB"/>
        </w:rPr>
        <w:t>(</w:t>
      </w:r>
      <w:r w:rsidR="0037168B" w:rsidRPr="00D11774">
        <w:rPr>
          <w:lang w:val="en-GB"/>
        </w:rPr>
        <w:t>17</w:t>
      </w:r>
      <w:r w:rsidR="00083EFE" w:rsidRPr="00D11774">
        <w:rPr>
          <w:lang w:val="en-GB"/>
        </w:rPr>
        <w:t>)</w:t>
      </w:r>
      <w:r w:rsidR="00CB2889" w:rsidRPr="00D11774">
        <w:rPr>
          <w:lang w:val="en-GB"/>
        </w:rPr>
        <w:t xml:space="preserve"> and</w:t>
      </w:r>
      <w:r w:rsidR="0037168B" w:rsidRPr="00D11774">
        <w:rPr>
          <w:lang w:val="en-GB"/>
        </w:rPr>
        <w:t xml:space="preserve"> reactors (10)</w:t>
      </w:r>
      <w:r w:rsidR="00083EFE" w:rsidRPr="00D11774">
        <w:rPr>
          <w:lang w:val="en-GB"/>
        </w:rPr>
        <w:t>.</w:t>
      </w:r>
      <w:r w:rsidR="00382B95" w:rsidRPr="00D11774">
        <w:rPr>
          <w:lang w:val="en-GB"/>
        </w:rPr>
        <w:t xml:space="preserve"> </w:t>
      </w:r>
      <w:r w:rsidR="00D7411C" w:rsidRPr="00D11774">
        <w:rPr>
          <w:lang w:val="en-GB"/>
        </w:rPr>
        <w:t>A few</w:t>
      </w:r>
      <w:r w:rsidR="00B900A1" w:rsidRPr="00D11774">
        <w:rPr>
          <w:lang w:val="en-GB"/>
        </w:rPr>
        <w:t xml:space="preserve"> </w:t>
      </w:r>
      <w:r w:rsidR="006B6A3E" w:rsidRPr="00D11774">
        <w:rPr>
          <w:lang w:val="en-GB"/>
        </w:rPr>
        <w:t xml:space="preserve">consequences </w:t>
      </w:r>
      <w:r w:rsidR="00D7411C" w:rsidRPr="00D11774">
        <w:rPr>
          <w:lang w:val="en-GB"/>
        </w:rPr>
        <w:t xml:space="preserve">are </w:t>
      </w:r>
      <w:r w:rsidR="00826184" w:rsidRPr="00D11774">
        <w:rPr>
          <w:lang w:val="en-GB"/>
        </w:rPr>
        <w:t>beginning of fire</w:t>
      </w:r>
      <w:r w:rsidR="00EA53F0" w:rsidRPr="00D11774">
        <w:rPr>
          <w:lang w:val="en-GB"/>
        </w:rPr>
        <w:t xml:space="preserve">, </w:t>
      </w:r>
      <w:r w:rsidR="00D332E2" w:rsidRPr="00D11774">
        <w:rPr>
          <w:lang w:val="en-GB"/>
        </w:rPr>
        <w:t>co</w:t>
      </w:r>
      <w:r w:rsidR="00CD0BDC" w:rsidRPr="00D11774">
        <w:rPr>
          <w:lang w:val="en-GB"/>
        </w:rPr>
        <w:t>ntrolled</w:t>
      </w:r>
      <w:r w:rsidR="00D332E2" w:rsidRPr="00D11774">
        <w:rPr>
          <w:lang w:val="en-GB"/>
        </w:rPr>
        <w:t xml:space="preserve"> by the intervention of workers with the appropriate fire-fighting devices</w:t>
      </w:r>
      <w:r w:rsidR="00CD0BDC" w:rsidRPr="00D11774">
        <w:rPr>
          <w:lang w:val="en-GB"/>
        </w:rPr>
        <w:t>.</w:t>
      </w:r>
      <w:r w:rsidR="00354E1F">
        <w:rPr>
          <w:lang w:val="en-GB"/>
        </w:rPr>
        <w:t xml:space="preserve"> </w:t>
      </w:r>
      <w:r w:rsidR="004F5362" w:rsidRPr="00D11774">
        <w:rPr>
          <w:lang w:val="en-GB"/>
        </w:rPr>
        <w:t xml:space="preserve">It is also interesting look </w:t>
      </w:r>
      <w:r w:rsidR="000C5052" w:rsidRPr="00D11774">
        <w:rPr>
          <w:lang w:val="en-GB"/>
        </w:rPr>
        <w:t xml:space="preserve">at the </w:t>
      </w:r>
      <w:r w:rsidR="00C82FB2" w:rsidRPr="00D11774">
        <w:rPr>
          <w:lang w:val="en-GB"/>
        </w:rPr>
        <w:t>terms</w:t>
      </w:r>
      <w:r w:rsidR="00730A24" w:rsidRPr="00D11774">
        <w:rPr>
          <w:lang w:val="en-GB"/>
        </w:rPr>
        <w:t xml:space="preserve"> classified as</w:t>
      </w:r>
      <w:r w:rsidR="000C5052" w:rsidRPr="00D11774">
        <w:rPr>
          <w:lang w:val="en-GB"/>
        </w:rPr>
        <w:t xml:space="preserve"> SUCCESS events, </w:t>
      </w:r>
      <w:r w:rsidR="003A7F1F" w:rsidRPr="00D11774">
        <w:rPr>
          <w:lang w:val="en-GB"/>
        </w:rPr>
        <w:t xml:space="preserve">they reflect the </w:t>
      </w:r>
      <w:r w:rsidR="00625912" w:rsidRPr="00D11774">
        <w:rPr>
          <w:lang w:val="en-GB"/>
        </w:rPr>
        <w:t xml:space="preserve">recognition </w:t>
      </w:r>
      <w:r w:rsidR="003A7F1F" w:rsidRPr="00D11774">
        <w:rPr>
          <w:lang w:val="en-GB"/>
        </w:rPr>
        <w:t xml:space="preserve">of </w:t>
      </w:r>
      <w:r w:rsidR="00625912" w:rsidRPr="00D11774">
        <w:rPr>
          <w:lang w:val="en-GB"/>
        </w:rPr>
        <w:t xml:space="preserve">this </w:t>
      </w:r>
      <w:r w:rsidR="003A7F1F" w:rsidRPr="00D11774">
        <w:rPr>
          <w:lang w:val="en-GB"/>
        </w:rPr>
        <w:t xml:space="preserve">event (e.g. </w:t>
      </w:r>
      <w:r w:rsidR="000B3F33" w:rsidRPr="00D11774">
        <w:rPr>
          <w:lang w:val="en-GB"/>
        </w:rPr>
        <w:t>notice,</w:t>
      </w:r>
      <w:r w:rsidR="005113AA" w:rsidRPr="00D11774">
        <w:rPr>
          <w:lang w:val="en-GB"/>
        </w:rPr>
        <w:t xml:space="preserve"> </w:t>
      </w:r>
      <w:r w:rsidR="00302C42" w:rsidRPr="00D11774">
        <w:rPr>
          <w:lang w:val="en-GB"/>
        </w:rPr>
        <w:t>detect</w:t>
      </w:r>
      <w:r w:rsidR="00625912" w:rsidRPr="00D11774">
        <w:rPr>
          <w:lang w:val="en-GB"/>
        </w:rPr>
        <w:t xml:space="preserve">, </w:t>
      </w:r>
      <w:r w:rsidR="00433504" w:rsidRPr="00D11774">
        <w:rPr>
          <w:lang w:val="en-GB"/>
        </w:rPr>
        <w:t>intercept</w:t>
      </w:r>
      <w:r w:rsidR="00955A20" w:rsidRPr="00D11774">
        <w:rPr>
          <w:lang w:val="en-GB"/>
        </w:rPr>
        <w:t xml:space="preserve">) other </w:t>
      </w:r>
      <w:r w:rsidR="00CE72ED" w:rsidRPr="00D11774">
        <w:rPr>
          <w:lang w:val="en-GB"/>
        </w:rPr>
        <w:t>refer to intervention</w:t>
      </w:r>
      <w:r w:rsidR="00E1464D" w:rsidRPr="00D11774">
        <w:rPr>
          <w:lang w:val="en-GB"/>
        </w:rPr>
        <w:t xml:space="preserve"> and alarm</w:t>
      </w:r>
      <w:r w:rsidR="00CE72ED" w:rsidRPr="00D11774">
        <w:rPr>
          <w:lang w:val="en-GB"/>
        </w:rPr>
        <w:t xml:space="preserve"> actions (e.g. </w:t>
      </w:r>
      <w:r w:rsidR="00291CA9" w:rsidRPr="00D11774">
        <w:rPr>
          <w:lang w:val="en-GB"/>
        </w:rPr>
        <w:t xml:space="preserve">raise the alarm, </w:t>
      </w:r>
      <w:r w:rsidR="00D44992" w:rsidRPr="00D11774">
        <w:rPr>
          <w:lang w:val="en-GB"/>
        </w:rPr>
        <w:t>warn</w:t>
      </w:r>
      <w:r w:rsidR="009E3D3F" w:rsidRPr="00D11774">
        <w:rPr>
          <w:lang w:val="en-GB"/>
        </w:rPr>
        <w:t xml:space="preserve">, </w:t>
      </w:r>
      <w:r w:rsidR="00530680" w:rsidRPr="00D11774">
        <w:rPr>
          <w:lang w:val="en-GB"/>
        </w:rPr>
        <w:t>interrupt, prompt recovery</w:t>
      </w:r>
      <w:r w:rsidR="0026706D" w:rsidRPr="00D11774">
        <w:rPr>
          <w:lang w:val="en-GB"/>
        </w:rPr>
        <w:t>, report</w:t>
      </w:r>
      <w:r w:rsidR="00530680" w:rsidRPr="00D11774">
        <w:rPr>
          <w:lang w:val="en-GB"/>
        </w:rPr>
        <w:t>)</w:t>
      </w:r>
      <w:r w:rsidR="0026706D" w:rsidRPr="00D11774">
        <w:rPr>
          <w:lang w:val="en-GB"/>
        </w:rPr>
        <w:t>.</w:t>
      </w:r>
    </w:p>
    <w:p w14:paraId="68D26B83" w14:textId="15442D63" w:rsidR="00600535" w:rsidRPr="00B57B36" w:rsidRDefault="00600535" w:rsidP="00600535">
      <w:pPr>
        <w:pStyle w:val="CETHeading1"/>
        <w:rPr>
          <w:lang w:val="en-GB"/>
        </w:rPr>
      </w:pPr>
      <w:r w:rsidRPr="00B57B36">
        <w:rPr>
          <w:lang w:val="en-GB"/>
        </w:rPr>
        <w:t>Conclusions</w:t>
      </w:r>
      <w:r w:rsidR="009237D9">
        <w:rPr>
          <w:lang w:val="en-GB"/>
        </w:rPr>
        <w:t xml:space="preserve"> </w:t>
      </w:r>
    </w:p>
    <w:p w14:paraId="411DD875" w14:textId="59337F17" w:rsidR="00CE4E2A" w:rsidRPr="005D5E7D" w:rsidRDefault="00CE4E2A" w:rsidP="00CE4E2A">
      <w:pPr>
        <w:pStyle w:val="Paragrafoelenco"/>
        <w:ind w:left="0"/>
      </w:pPr>
      <w:r>
        <w:t>This study is</w:t>
      </w:r>
      <w:r w:rsidRPr="005D5E7D">
        <w:t xml:space="preserve"> the first Italian analysis of events of varying severity occurring in process plants using an ontology-based document archive. Starting from the documents in EsOpIA, the results are not statistically processed, but </w:t>
      </w:r>
      <w:r>
        <w:t>are</w:t>
      </w:r>
      <w:r w:rsidRPr="005D5E7D">
        <w:t xml:space="preserve"> information obtained through analyses that take into account the entity-relationship model on which the repository is based. It is therefore a starting point for targeted or multi-level detailed investigations using NLP and ML capabilities. It should be noted that</w:t>
      </w:r>
      <w:r>
        <w:t xml:space="preserve"> t</w:t>
      </w:r>
      <w:r w:rsidRPr="005D5E7D">
        <w:t xml:space="preserve">he number of documents associated with Seveso activities does not necessarily indicate that a specific MS has recorded a higher number of near misses; only an analysis of </w:t>
      </w:r>
      <w:r w:rsidRPr="003C568C">
        <w:t>the individual documents can confirm or deny this inference. A high result may reflect greater sensitivity in detecting and recording near misses and a higher level of safety culture. The results show that the macro-sector with the largest number of documents is the chemical sector (MS3), and therefore it can also be considered the most representative of the activities covered within it. The high number of documents in MS7 suggests the need for more in-depth analysis, particularly in relation to logistics and distribution activities and the "Other Activities" category, which may include events with lesser-known characteristics than the more widely known and regularly studied sectors.</w:t>
      </w:r>
      <w:r w:rsidR="003C568C" w:rsidRPr="003C568C">
        <w:t xml:space="preserve"> </w:t>
      </w:r>
      <w:r w:rsidRPr="003C568C">
        <w:t xml:space="preserve">For all searches, the terms used for the search may seem obvious and too general both the context and the archive's capabilities, but this was a deliberate choice to show the overview of the study. </w:t>
      </w:r>
    </w:p>
    <w:p w14:paraId="451132FD" w14:textId="61ADB9B1" w:rsidR="00250171" w:rsidRPr="005B6BF9" w:rsidRDefault="00250171" w:rsidP="00194EBE"/>
    <w:p w14:paraId="07A6D20F" w14:textId="0ECF229E" w:rsidR="00280FAF" w:rsidRPr="00280FAF" w:rsidRDefault="00280FAF" w:rsidP="00FB748E">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lastRenderedPageBreak/>
        <w:t>Nomenclature</w:t>
      </w:r>
    </w:p>
    <w:p w14:paraId="7DFFBF41" w14:textId="4D31F114" w:rsidR="00280FAF" w:rsidRPr="00C17ABF" w:rsidRDefault="00206DF7" w:rsidP="00BE7E40">
      <w:pPr>
        <w:pStyle w:val="CETBodytext"/>
        <w:rPr>
          <w:rFonts w:eastAsia="SimSun"/>
          <w:lang w:val="en-GB"/>
        </w:rPr>
        <w:sectPr w:rsidR="00280FAF" w:rsidRPr="00C17ABF" w:rsidSect="008314D7">
          <w:type w:val="continuous"/>
          <w:pgSz w:w="11906" w:h="16838" w:code="9"/>
          <w:pgMar w:top="1701" w:right="1418" w:bottom="1701" w:left="1701" w:header="1701" w:footer="0" w:gutter="0"/>
          <w:cols w:space="708"/>
          <w:formProt w:val="0"/>
          <w:titlePg/>
          <w:docGrid w:linePitch="360"/>
        </w:sectPr>
      </w:pPr>
      <w:r w:rsidRPr="00C17ABF">
        <w:rPr>
          <w:rFonts w:eastAsia="SimSun"/>
          <w:lang w:val="en-GB"/>
        </w:rPr>
        <w:t>AI – Artificial Intelligence,</w:t>
      </w:r>
      <w:r w:rsidR="00C94717" w:rsidRPr="008278ED">
        <w:rPr>
          <w:rFonts w:eastAsia="SimSun"/>
          <w:lang w:val="en-GB"/>
        </w:rPr>
        <w:t xml:space="preserve"> EsOpIA - Operational Experience and Artificial Intelligence,</w:t>
      </w:r>
      <w:r w:rsidRPr="00C17ABF">
        <w:rPr>
          <w:rFonts w:eastAsia="SimSun"/>
          <w:lang w:val="en-GB"/>
        </w:rPr>
        <w:t xml:space="preserve"> ML – Machine Learning,</w:t>
      </w:r>
      <w:r w:rsidR="00322E17">
        <w:rPr>
          <w:rFonts w:eastAsia="SimSun"/>
          <w:lang w:val="en-GB"/>
        </w:rPr>
        <w:t xml:space="preserve"> MS – Macro-sectors</w:t>
      </w:r>
      <w:r>
        <w:rPr>
          <w:rFonts w:eastAsia="SimSun"/>
          <w:lang w:val="en-GB"/>
        </w:rPr>
        <w:t xml:space="preserve"> NLP – Natural Language, </w:t>
      </w:r>
      <w:r w:rsidR="00D11774" w:rsidRPr="00C17ABF">
        <w:rPr>
          <w:rFonts w:eastAsia="SimSun"/>
          <w:lang w:val="en-GB"/>
        </w:rPr>
        <w:t xml:space="preserve">OE </w:t>
      </w:r>
      <w:r w:rsidR="00CD6A79" w:rsidRPr="00C17ABF">
        <w:rPr>
          <w:rFonts w:eastAsia="SimSun"/>
          <w:lang w:val="en-GB"/>
        </w:rPr>
        <w:t xml:space="preserve">- </w:t>
      </w:r>
      <w:r w:rsidR="00D11774" w:rsidRPr="00C17ABF">
        <w:rPr>
          <w:rFonts w:eastAsia="SimSun"/>
          <w:lang w:val="en-GB"/>
        </w:rPr>
        <w:t xml:space="preserve">Operative Experience, </w:t>
      </w:r>
      <w:r>
        <w:rPr>
          <w:rFonts w:eastAsia="SimSun"/>
          <w:lang w:val="en-GB"/>
        </w:rPr>
        <w:t>Process,</w:t>
      </w:r>
      <w:r w:rsidR="00C17ABF" w:rsidRPr="00C17ABF">
        <w:rPr>
          <w:rFonts w:eastAsia="SimSun"/>
          <w:lang w:val="en-GB"/>
        </w:rPr>
        <w:t xml:space="preserve"> S</w:t>
      </w:r>
      <w:r w:rsidR="00C17ABF">
        <w:rPr>
          <w:rFonts w:eastAsia="SimSun"/>
          <w:lang w:val="en-GB"/>
        </w:rPr>
        <w:t>MS Safety Management Syste</w:t>
      </w:r>
      <w:r w:rsidR="000773C0">
        <w:rPr>
          <w:rFonts w:eastAsia="SimSun"/>
          <w:lang w:val="en-GB"/>
        </w:rPr>
        <w:t>m</w:t>
      </w:r>
    </w:p>
    <w:p w14:paraId="459D05E6" w14:textId="77777777" w:rsidR="00600535" w:rsidRPr="00B57B36" w:rsidRDefault="00600535" w:rsidP="008278ED">
      <w:pPr>
        <w:pStyle w:val="CETReference"/>
      </w:pPr>
      <w:r w:rsidRPr="00B57B36">
        <w:t>Acknowledgments</w:t>
      </w:r>
    </w:p>
    <w:p w14:paraId="5638FFFC" w14:textId="3A2B7283" w:rsidR="00E04AC3" w:rsidRPr="00BE7E40" w:rsidRDefault="00921255" w:rsidP="00B148FA">
      <w:pPr>
        <w:pStyle w:val="CETBodytext"/>
        <w:rPr>
          <w:rFonts w:eastAsia="SimSun"/>
          <w:lang w:val="en-GB"/>
        </w:rPr>
      </w:pPr>
      <w:r w:rsidRPr="00B148FA">
        <w:rPr>
          <w:rFonts w:eastAsia="SimSun"/>
          <w:lang w:val="en-GB"/>
        </w:rPr>
        <w:t>The authors gratefully acknowledge</w:t>
      </w:r>
      <w:r w:rsidR="00B148FA" w:rsidRPr="00B148FA">
        <w:rPr>
          <w:rFonts w:eastAsia="SimSun"/>
          <w:lang w:val="en-GB"/>
        </w:rPr>
        <w:t>:</w:t>
      </w:r>
      <w:r w:rsidR="0020595F" w:rsidRPr="00B148FA">
        <w:rPr>
          <w:rFonts w:eastAsia="SimSun"/>
          <w:lang w:val="en-GB"/>
        </w:rPr>
        <w:t xml:space="preserve"> </w:t>
      </w:r>
      <w:r w:rsidRPr="00B148FA">
        <w:rPr>
          <w:rFonts w:eastAsia="SimSun"/>
          <w:lang w:val="en-GB"/>
        </w:rPr>
        <w:t xml:space="preserve">all </w:t>
      </w:r>
      <w:r w:rsidR="00492719" w:rsidRPr="00B148FA">
        <w:rPr>
          <w:rFonts w:eastAsia="SimSun"/>
          <w:lang w:val="en-GB"/>
        </w:rPr>
        <w:t>Inail</w:t>
      </w:r>
      <w:r w:rsidRPr="00B148FA">
        <w:rPr>
          <w:rFonts w:eastAsia="SimSun"/>
          <w:lang w:val="en-GB"/>
        </w:rPr>
        <w:t xml:space="preserve"> Seveso inspectors for collecting the near miss reports</w:t>
      </w:r>
      <w:r w:rsidR="00B148FA" w:rsidRPr="00B148FA">
        <w:rPr>
          <w:rFonts w:eastAsia="SimSun"/>
          <w:lang w:val="en-GB"/>
        </w:rPr>
        <w:t xml:space="preserve">, </w:t>
      </w:r>
      <w:r w:rsidR="004750F5" w:rsidRPr="00B148FA">
        <w:rPr>
          <w:rFonts w:eastAsia="SimSun"/>
          <w:lang w:val="en-GB"/>
        </w:rPr>
        <w:t>IBM</w:t>
      </w:r>
      <w:r w:rsidR="00E04AC3" w:rsidRPr="00E04AC3">
        <w:rPr>
          <w:rFonts w:eastAsia="SimSun"/>
          <w:lang w:val="en-GB"/>
        </w:rPr>
        <w:t xml:space="preserve"> </w:t>
      </w:r>
      <w:r w:rsidR="004750F5" w:rsidRPr="00B148FA">
        <w:rPr>
          <w:rFonts w:eastAsia="SimSun"/>
          <w:lang w:val="en-GB"/>
        </w:rPr>
        <w:t>fello</w:t>
      </w:r>
      <w:r w:rsidR="00ED6026" w:rsidRPr="00B148FA">
        <w:rPr>
          <w:rFonts w:eastAsia="SimSun"/>
          <w:lang w:val="en-GB"/>
        </w:rPr>
        <w:t>ws</w:t>
      </w:r>
      <w:r w:rsidR="00B148FA" w:rsidRPr="00B148FA">
        <w:rPr>
          <w:rFonts w:eastAsia="SimSun"/>
          <w:lang w:val="en-GB"/>
        </w:rPr>
        <w:t xml:space="preserve"> </w:t>
      </w:r>
      <w:r w:rsidR="00E04AC3" w:rsidRPr="00E04AC3">
        <w:rPr>
          <w:rFonts w:eastAsia="SimSun"/>
          <w:lang w:val="en-GB"/>
        </w:rPr>
        <w:t xml:space="preserve">Flavia Fattori, </w:t>
      </w:r>
      <w:r w:rsidR="00BC2FE4" w:rsidRPr="00B148FA">
        <w:rPr>
          <w:rFonts w:eastAsia="SimSun"/>
          <w:lang w:val="en-GB"/>
        </w:rPr>
        <w:t xml:space="preserve">Giacomo Bartoli </w:t>
      </w:r>
      <w:r w:rsidR="00E04AC3" w:rsidRPr="00E04AC3">
        <w:rPr>
          <w:rFonts w:eastAsia="SimSun"/>
          <w:lang w:val="en-GB"/>
        </w:rPr>
        <w:t>and</w:t>
      </w:r>
      <w:r w:rsidR="00ED6026" w:rsidRPr="00B148FA">
        <w:rPr>
          <w:rFonts w:eastAsia="SimSun"/>
          <w:lang w:val="en-GB"/>
        </w:rPr>
        <w:t xml:space="preserve"> </w:t>
      </w:r>
      <w:r w:rsidR="00E04AC3" w:rsidRPr="00B148FA">
        <w:rPr>
          <w:rFonts w:eastAsia="SimSun"/>
          <w:lang w:val="en-GB"/>
        </w:rPr>
        <w:t>Luca Di Piramo</w:t>
      </w:r>
      <w:r w:rsidR="00BC2FE4" w:rsidRPr="00B148FA">
        <w:rPr>
          <w:rFonts w:eastAsia="SimSun"/>
          <w:lang w:val="en-GB"/>
        </w:rPr>
        <w:t xml:space="preserve"> </w:t>
      </w:r>
      <w:r w:rsidR="00E04AC3" w:rsidRPr="00B148FA">
        <w:rPr>
          <w:rFonts w:eastAsia="SimSun"/>
          <w:lang w:val="en-GB"/>
        </w:rPr>
        <w:t>for their precious involvement in the project development</w:t>
      </w:r>
      <w:r w:rsidR="00ED6026" w:rsidRPr="00B148FA">
        <w:rPr>
          <w:rFonts w:eastAsia="SimSun"/>
          <w:lang w:val="en-GB"/>
        </w:rPr>
        <w:t>.</w:t>
      </w:r>
    </w:p>
    <w:p w14:paraId="03507984" w14:textId="0E7818BF" w:rsidR="00600535" w:rsidRPr="00582EAD" w:rsidRDefault="00600535" w:rsidP="00582EAD">
      <w:pPr>
        <w:pStyle w:val="CETReference"/>
      </w:pPr>
      <w:r w:rsidRPr="00B57B36">
        <w:t>References</w:t>
      </w:r>
    </w:p>
    <w:p w14:paraId="24FBB808" w14:textId="0D299977" w:rsidR="00477A53" w:rsidRDefault="00477A53" w:rsidP="00186064">
      <w:pPr>
        <w:pStyle w:val="CETReferencetext"/>
      </w:pPr>
      <w:r w:rsidRPr="00477A53">
        <w:t>Ansaldi S.M., Pirone A., Vallerotonda M.R., Bragatto P., Agnello P., Delle Site C.</w:t>
      </w:r>
      <w:r w:rsidR="006F6942">
        <w:t>, 2018,</w:t>
      </w:r>
      <w:r w:rsidRPr="00477A53">
        <w:t xml:space="preserve"> How Inspections Outcomes May Improve the Foresight of Operators and Regulators in Seveso Industries. CHEMICAL ENGINEERING TRANSACTIONS, vol. 67, 2018, ISBN 978-88-95608-64-8; ISSN 2283-9216</w:t>
      </w:r>
    </w:p>
    <w:p w14:paraId="66A0A515" w14:textId="548D372D" w:rsidR="007B35E1" w:rsidRDefault="007B35E1" w:rsidP="00785645">
      <w:pPr>
        <w:pStyle w:val="CETReferencetext"/>
      </w:pPr>
      <w:r w:rsidRPr="00296AD4">
        <w:t xml:space="preserve">Ansaldi S.M., </w:t>
      </w:r>
      <w:r w:rsidR="004A4CA9" w:rsidRPr="00296AD4">
        <w:t xml:space="preserve">Agnello P., </w:t>
      </w:r>
      <w:r w:rsidRPr="00296AD4">
        <w:t>Pirone A., Vallerotonda M.R.</w:t>
      </w:r>
      <w:r w:rsidR="00296AD4" w:rsidRPr="00296AD4">
        <w:t>, 2021, Near Miss Archive: A Challenge to</w:t>
      </w:r>
      <w:r w:rsidR="00296AD4">
        <w:t xml:space="preserve"> share </w:t>
      </w:r>
      <w:r w:rsidR="00B066AD">
        <w:t>knowledge among inspectors and improve Seveso Inspections,</w:t>
      </w:r>
      <w:r w:rsidR="00785645">
        <w:t xml:space="preserve"> </w:t>
      </w:r>
      <w:r w:rsidR="00785645" w:rsidRPr="00785645">
        <w:rPr>
          <w:i/>
          <w:iCs/>
        </w:rPr>
        <w:t xml:space="preserve">Sustainability </w:t>
      </w:r>
      <w:r w:rsidR="00785645" w:rsidRPr="00785645">
        <w:t xml:space="preserve">2021, </w:t>
      </w:r>
      <w:r w:rsidR="00785645" w:rsidRPr="00785645">
        <w:rPr>
          <w:i/>
          <w:iCs/>
        </w:rPr>
        <w:t>13</w:t>
      </w:r>
      <w:r w:rsidR="00785645" w:rsidRPr="00785645">
        <w:t>, 8456.</w:t>
      </w:r>
      <w:r w:rsidR="00785645">
        <w:t xml:space="preserve"> </w:t>
      </w:r>
      <w:r w:rsidR="00785645" w:rsidRPr="00785645">
        <w:t>https://doi.org/10.3390/su13158456</w:t>
      </w:r>
      <w:r w:rsidR="00B066AD">
        <w:t xml:space="preserve"> </w:t>
      </w:r>
    </w:p>
    <w:p w14:paraId="56985289" w14:textId="4B3708CD" w:rsidR="00A06F2A" w:rsidRPr="00296AD4" w:rsidRDefault="00A06F2A" w:rsidP="00785645">
      <w:pPr>
        <w:pStyle w:val="CETReferencetext"/>
      </w:pPr>
      <w:r w:rsidRPr="00BE3259">
        <w:t>EsOpIA</w:t>
      </w:r>
      <w:r>
        <w:t xml:space="preserve">, </w:t>
      </w:r>
      <w:r w:rsidRPr="00BE3259">
        <w:t>Operational Experience and Artificial Intelligence document archive</w:t>
      </w:r>
      <w:r w:rsidR="007C358F">
        <w:t xml:space="preserve"> </w:t>
      </w:r>
      <w:r w:rsidR="007C358F" w:rsidRPr="007C358F">
        <w:t>&lt;</w:t>
      </w:r>
      <w:r w:rsidRPr="007C358F">
        <w:t>Inail.it/app/rcqi-fe</w:t>
      </w:r>
      <w:r w:rsidR="007C358F" w:rsidRPr="007C358F">
        <w:t xml:space="preserve">&gt; </w:t>
      </w:r>
      <w:r w:rsidR="007C358F" w:rsidRPr="00344F2A">
        <w:t>accessed</w:t>
      </w:r>
      <w:r w:rsidR="007C358F" w:rsidRPr="007C358F">
        <w:t>.03.02.2026</w:t>
      </w:r>
    </w:p>
    <w:p w14:paraId="3CB21D0E" w14:textId="6664C83D" w:rsidR="002104FB" w:rsidRPr="00C216F5" w:rsidRDefault="002104FB" w:rsidP="002104FB">
      <w:pPr>
        <w:pStyle w:val="CETReferencetext"/>
      </w:pPr>
      <w:r w:rsidRPr="00C216F5">
        <w:t>Gnoni, M.G.; Saleh, J.H.</w:t>
      </w:r>
      <w:r w:rsidR="00296AD4">
        <w:t xml:space="preserve">, 2017, </w:t>
      </w:r>
      <w:r w:rsidRPr="00C216F5">
        <w:t>How near miss management systems and system safety principles could contribute to support high reliability organizations</w:t>
      </w:r>
      <w:r w:rsidR="00B066AD">
        <w:t xml:space="preserve">, </w:t>
      </w:r>
      <w:r w:rsidRPr="00C216F5">
        <w:t>Safety and Reliability—Theory and Applications, Proceedings of the 27th European Safety and Reliability Conference, ESREL 2017, Portoroz, Slovenia, 18–22 June 2017; CRC Press: Boca Raton, FL, USA, 2017; pp. 3099</w:t>
      </w:r>
      <w:r w:rsidRPr="00C216F5">
        <w:rPr>
          <w:rFonts w:hint="eastAsia"/>
        </w:rPr>
        <w:t>–</w:t>
      </w:r>
      <w:r w:rsidRPr="00C216F5">
        <w:t>3104</w:t>
      </w:r>
    </w:p>
    <w:p w14:paraId="41FC916C" w14:textId="65D89532" w:rsidR="00536B4D" w:rsidRPr="003E0A02" w:rsidRDefault="00536B4D" w:rsidP="00536B4D">
      <w:pPr>
        <w:pStyle w:val="CETReferencetext"/>
        <w:jc w:val="left"/>
      </w:pPr>
      <w:r>
        <w:t>Internet Seveso Portal  - Public information &lt;</w:t>
      </w:r>
      <w:r w:rsidRPr="00782D05">
        <w:t>https://www.portaleseveso.isprambiente.gov.it/RicercaStabilimentiPubblica</w:t>
      </w:r>
      <w:r>
        <w:t xml:space="preserve">&gt; </w:t>
      </w:r>
      <w:r w:rsidRPr="00344F2A">
        <w:t>accessed</w:t>
      </w:r>
      <w:r w:rsidRPr="007C358F">
        <w:t>.</w:t>
      </w:r>
      <w:r>
        <w:t>25</w:t>
      </w:r>
      <w:r w:rsidRPr="007C358F">
        <w:t>.02.2026</w:t>
      </w:r>
    </w:p>
    <w:p w14:paraId="5EB285AF" w14:textId="2D675974" w:rsidR="00135230" w:rsidRPr="00461266" w:rsidRDefault="00135230" w:rsidP="00017CEB">
      <w:pPr>
        <w:pStyle w:val="CETReferencetext"/>
      </w:pPr>
      <w:r w:rsidRPr="00135230">
        <w:t>Kurian, D.; Sattari, F.; Lefsrud, L.; Ma, Y. Using machine learning and keyword analysis to analyze incidents and reduce risk in</w:t>
      </w:r>
      <w:r w:rsidRPr="00461266">
        <w:t xml:space="preserve"> oil sands operations. </w:t>
      </w:r>
      <w:r w:rsidRPr="00461266">
        <w:rPr>
          <w:i/>
          <w:iCs/>
        </w:rPr>
        <w:t xml:space="preserve">Saf. Sci. </w:t>
      </w:r>
      <w:r w:rsidRPr="00461266">
        <w:t xml:space="preserve">2020, </w:t>
      </w:r>
      <w:r w:rsidRPr="00461266">
        <w:rPr>
          <w:i/>
          <w:iCs/>
        </w:rPr>
        <w:t>130</w:t>
      </w:r>
      <w:r w:rsidRPr="00461266">
        <w:t>, doi:10.1016/j.ssci.2020.104873.</w:t>
      </w:r>
    </w:p>
    <w:p w14:paraId="3966161C" w14:textId="36C8A4B5" w:rsidR="00017CEB" w:rsidRPr="00017CEB" w:rsidRDefault="00017CEB" w:rsidP="00017CEB">
      <w:pPr>
        <w:pStyle w:val="CETReferencetext"/>
      </w:pPr>
      <w:r w:rsidRPr="00017CEB">
        <w:t xml:space="preserve">Paltrinieri, N.; Comfort, L.; Reniers, G. Learning about risk: Machine learning for risk assessment. </w:t>
      </w:r>
      <w:r w:rsidRPr="00017CEB">
        <w:rPr>
          <w:i/>
          <w:iCs/>
        </w:rPr>
        <w:t xml:space="preserve">Saf. Sci. </w:t>
      </w:r>
      <w:r w:rsidRPr="00017CEB">
        <w:t xml:space="preserve">2019, </w:t>
      </w:r>
      <w:r w:rsidRPr="00017CEB">
        <w:rPr>
          <w:i/>
          <w:iCs/>
        </w:rPr>
        <w:t>118</w:t>
      </w:r>
      <w:r w:rsidRPr="00017CEB">
        <w:t>, 475-486,</w:t>
      </w:r>
      <w:r w:rsidRPr="00461266">
        <w:t xml:space="preserve"> </w:t>
      </w:r>
      <w:r w:rsidRPr="00017CEB">
        <w:t>doi:10.1016/j.ssci.2019.06.001.</w:t>
      </w:r>
    </w:p>
    <w:p w14:paraId="3EDEE9BE" w14:textId="4F615A28" w:rsidR="00135230" w:rsidRPr="00785645" w:rsidRDefault="00017CEB" w:rsidP="00785645">
      <w:pPr>
        <w:pStyle w:val="CETReferencetext"/>
      </w:pPr>
      <w:r w:rsidRPr="00017CEB">
        <w:t>Xu, Z.; Saleh, J.H. Machine learning for reliability engineering and safety applications: Review of current status and future</w:t>
      </w:r>
      <w:r w:rsidRPr="00461266">
        <w:t xml:space="preserve"> </w:t>
      </w:r>
      <w:r w:rsidRPr="00017CEB">
        <w:t xml:space="preserve">opportunities. </w:t>
      </w:r>
      <w:r w:rsidRPr="00017CEB">
        <w:rPr>
          <w:i/>
          <w:iCs/>
        </w:rPr>
        <w:t xml:space="preserve">Reliab. Eng. Syst. Saf. </w:t>
      </w:r>
      <w:r w:rsidRPr="00017CEB">
        <w:t xml:space="preserve">2021, </w:t>
      </w:r>
      <w:r w:rsidRPr="00017CEB">
        <w:rPr>
          <w:i/>
          <w:iCs/>
        </w:rPr>
        <w:t>211</w:t>
      </w:r>
      <w:r w:rsidRPr="00017CEB">
        <w:t>, doi:10.1016/j.ress.2021.107530.</w:t>
      </w:r>
    </w:p>
    <w:p w14:paraId="7166E535" w14:textId="4DEBC81D" w:rsidR="003E0A02" w:rsidRDefault="00875C1E" w:rsidP="007471FE">
      <w:pPr>
        <w:pStyle w:val="CETReferencetext"/>
      </w:pPr>
      <w:r w:rsidRPr="00785645">
        <w:t>Vallerotonda M.R., Ansaldi S.M., Pirone A., Bragatto T., Bragatto P.</w:t>
      </w:r>
      <w:r w:rsidR="00785645" w:rsidRPr="00785645">
        <w:t>, (2022)</w:t>
      </w:r>
      <w:r w:rsidRPr="00785645">
        <w:t xml:space="preserve"> Accident triggered by electrical failures in Seveso sites. CHEMICAL ENGINEERING TRANSACTIONS, vol. 91, 2022, ISBN 978-88-95608-89-1; ISSN 2283-9216</w:t>
      </w:r>
    </w:p>
    <w:p w14:paraId="070AD6DD" w14:textId="77777777" w:rsidR="00F904C8" w:rsidRDefault="00F904C8" w:rsidP="007471FE">
      <w:pPr>
        <w:pStyle w:val="CETReferencetext"/>
      </w:pPr>
    </w:p>
    <w:p w14:paraId="1391B301" w14:textId="77777777" w:rsidR="00324924" w:rsidRDefault="00324924" w:rsidP="007471FE">
      <w:pPr>
        <w:pStyle w:val="CETReferencetext"/>
      </w:pPr>
    </w:p>
    <w:p w14:paraId="558E67C3" w14:textId="77777777" w:rsidR="00324924" w:rsidRDefault="00324924" w:rsidP="007471FE">
      <w:pPr>
        <w:pStyle w:val="CETReferencetext"/>
      </w:pPr>
    </w:p>
    <w:p w14:paraId="3B1D62C2" w14:textId="77777777" w:rsidR="00536B4D" w:rsidRPr="003E0A02" w:rsidRDefault="00536B4D">
      <w:pPr>
        <w:pStyle w:val="CETReferencetext"/>
        <w:jc w:val="left"/>
      </w:pPr>
    </w:p>
    <w:sectPr w:rsidR="00536B4D" w:rsidRPr="003E0A0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FB8C" w14:textId="77777777" w:rsidR="002331D8" w:rsidRDefault="002331D8" w:rsidP="004F5E36">
      <w:r>
        <w:separator/>
      </w:r>
    </w:p>
  </w:endnote>
  <w:endnote w:type="continuationSeparator" w:id="0">
    <w:p w14:paraId="085A2355" w14:textId="77777777" w:rsidR="002331D8" w:rsidRDefault="002331D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ADA5" w14:textId="77777777" w:rsidR="002331D8" w:rsidRDefault="002331D8" w:rsidP="004F5E36">
      <w:r>
        <w:separator/>
      </w:r>
    </w:p>
  </w:footnote>
  <w:footnote w:type="continuationSeparator" w:id="0">
    <w:p w14:paraId="10F9EBA3" w14:textId="77777777" w:rsidR="002331D8" w:rsidRDefault="002331D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D216846"/>
    <w:multiLevelType w:val="hybridMultilevel"/>
    <w:tmpl w:val="E0909CEC"/>
    <w:lvl w:ilvl="0" w:tplc="F5788C60">
      <w:start w:val="3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5832069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2409"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6E5219B"/>
    <w:multiLevelType w:val="hybridMultilevel"/>
    <w:tmpl w:val="EBC47B6E"/>
    <w:lvl w:ilvl="0" w:tplc="5C4099C0">
      <w:start w:val="3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2"/>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778305773">
    <w:abstractNumId w:val="11"/>
    <w:lvlOverride w:ilvl="0">
      <w:startOverride w:val="1"/>
    </w:lvlOverride>
    <w:lvlOverride w:ilvl="1">
      <w:startOverride w:val="2"/>
    </w:lvlOverride>
  </w:num>
  <w:num w:numId="24" w16cid:durableId="526410588">
    <w:abstractNumId w:val="11"/>
  </w:num>
  <w:num w:numId="25" w16cid:durableId="1628582197">
    <w:abstractNumId w:val="10"/>
  </w:num>
  <w:num w:numId="26" w16cid:durableId="1462991510">
    <w:abstractNumId w:val="21"/>
  </w:num>
  <w:num w:numId="27" w16cid:durableId="405231048">
    <w:abstractNumId w:val="11"/>
  </w:num>
  <w:num w:numId="28" w16cid:durableId="1577281343">
    <w:abstractNumId w:val="11"/>
  </w:num>
  <w:num w:numId="29" w16cid:durableId="861361199">
    <w:abstractNumId w:val="11"/>
  </w:num>
  <w:num w:numId="30" w16cid:durableId="1020856381">
    <w:abstractNumId w:val="11"/>
  </w:num>
  <w:num w:numId="31" w16cid:durableId="945426951">
    <w:abstractNumId w:val="11"/>
  </w:num>
  <w:num w:numId="32" w16cid:durableId="396321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994"/>
    <w:rsid w:val="00001AA2"/>
    <w:rsid w:val="00002535"/>
    <w:rsid w:val="000027C0"/>
    <w:rsid w:val="00003052"/>
    <w:rsid w:val="0000341E"/>
    <w:rsid w:val="0000429A"/>
    <w:rsid w:val="00004A67"/>
    <w:rsid w:val="00004C56"/>
    <w:rsid w:val="00005272"/>
    <w:rsid w:val="000052FB"/>
    <w:rsid w:val="0000533A"/>
    <w:rsid w:val="00005884"/>
    <w:rsid w:val="00005A19"/>
    <w:rsid w:val="00007976"/>
    <w:rsid w:val="00007FAF"/>
    <w:rsid w:val="000109B9"/>
    <w:rsid w:val="00010B00"/>
    <w:rsid w:val="000117CB"/>
    <w:rsid w:val="00011978"/>
    <w:rsid w:val="000119E3"/>
    <w:rsid w:val="0001425B"/>
    <w:rsid w:val="00014CF8"/>
    <w:rsid w:val="000152A7"/>
    <w:rsid w:val="00015920"/>
    <w:rsid w:val="0001706C"/>
    <w:rsid w:val="00017CEB"/>
    <w:rsid w:val="00017D48"/>
    <w:rsid w:val="000209A3"/>
    <w:rsid w:val="0002106E"/>
    <w:rsid w:val="0002163C"/>
    <w:rsid w:val="000221A7"/>
    <w:rsid w:val="00022AA7"/>
    <w:rsid w:val="0002530E"/>
    <w:rsid w:val="00025645"/>
    <w:rsid w:val="000258A7"/>
    <w:rsid w:val="00025A64"/>
    <w:rsid w:val="00026FB3"/>
    <w:rsid w:val="00026FE0"/>
    <w:rsid w:val="000272EB"/>
    <w:rsid w:val="000305DA"/>
    <w:rsid w:val="00030DCD"/>
    <w:rsid w:val="0003148D"/>
    <w:rsid w:val="000316AC"/>
    <w:rsid w:val="00031EEC"/>
    <w:rsid w:val="000325F3"/>
    <w:rsid w:val="0003390B"/>
    <w:rsid w:val="00033CC3"/>
    <w:rsid w:val="000342C9"/>
    <w:rsid w:val="000354D4"/>
    <w:rsid w:val="000354E0"/>
    <w:rsid w:val="00037B5A"/>
    <w:rsid w:val="00040826"/>
    <w:rsid w:val="00041315"/>
    <w:rsid w:val="000416CF"/>
    <w:rsid w:val="000429E7"/>
    <w:rsid w:val="000429F8"/>
    <w:rsid w:val="0004312D"/>
    <w:rsid w:val="00043135"/>
    <w:rsid w:val="000460B8"/>
    <w:rsid w:val="00046A36"/>
    <w:rsid w:val="0005009A"/>
    <w:rsid w:val="00050A34"/>
    <w:rsid w:val="00050FDF"/>
    <w:rsid w:val="00051566"/>
    <w:rsid w:val="0005190E"/>
    <w:rsid w:val="000529E8"/>
    <w:rsid w:val="00053709"/>
    <w:rsid w:val="00054D91"/>
    <w:rsid w:val="0005537A"/>
    <w:rsid w:val="000562A9"/>
    <w:rsid w:val="000612A7"/>
    <w:rsid w:val="00061D48"/>
    <w:rsid w:val="00062311"/>
    <w:rsid w:val="00062A9A"/>
    <w:rsid w:val="00064368"/>
    <w:rsid w:val="000643DC"/>
    <w:rsid w:val="000647A9"/>
    <w:rsid w:val="00064D8B"/>
    <w:rsid w:val="00065058"/>
    <w:rsid w:val="00065404"/>
    <w:rsid w:val="000656F1"/>
    <w:rsid w:val="00065A57"/>
    <w:rsid w:val="00065DB4"/>
    <w:rsid w:val="00066113"/>
    <w:rsid w:val="00070434"/>
    <w:rsid w:val="00070610"/>
    <w:rsid w:val="000718DC"/>
    <w:rsid w:val="00071AAE"/>
    <w:rsid w:val="00071E86"/>
    <w:rsid w:val="00075717"/>
    <w:rsid w:val="00075946"/>
    <w:rsid w:val="000771C0"/>
    <w:rsid w:val="000773C0"/>
    <w:rsid w:val="000779B6"/>
    <w:rsid w:val="00080A47"/>
    <w:rsid w:val="00080C92"/>
    <w:rsid w:val="00081A9D"/>
    <w:rsid w:val="00081B0C"/>
    <w:rsid w:val="000820A2"/>
    <w:rsid w:val="000822C3"/>
    <w:rsid w:val="00082683"/>
    <w:rsid w:val="00082DDD"/>
    <w:rsid w:val="00083C25"/>
    <w:rsid w:val="00083EFE"/>
    <w:rsid w:val="00086C39"/>
    <w:rsid w:val="000873B5"/>
    <w:rsid w:val="0008796C"/>
    <w:rsid w:val="00087FBF"/>
    <w:rsid w:val="00090429"/>
    <w:rsid w:val="000907B3"/>
    <w:rsid w:val="000920C5"/>
    <w:rsid w:val="000921A5"/>
    <w:rsid w:val="000951A0"/>
    <w:rsid w:val="00095239"/>
    <w:rsid w:val="00095BED"/>
    <w:rsid w:val="00096735"/>
    <w:rsid w:val="000A03B2"/>
    <w:rsid w:val="000A0694"/>
    <w:rsid w:val="000A078B"/>
    <w:rsid w:val="000A0ADA"/>
    <w:rsid w:val="000A0F2B"/>
    <w:rsid w:val="000A1115"/>
    <w:rsid w:val="000A1B84"/>
    <w:rsid w:val="000A2CE1"/>
    <w:rsid w:val="000A39EA"/>
    <w:rsid w:val="000A4F30"/>
    <w:rsid w:val="000A5249"/>
    <w:rsid w:val="000A5FE7"/>
    <w:rsid w:val="000A7C8C"/>
    <w:rsid w:val="000A7FCE"/>
    <w:rsid w:val="000B0C6A"/>
    <w:rsid w:val="000B0F15"/>
    <w:rsid w:val="000B150D"/>
    <w:rsid w:val="000B177C"/>
    <w:rsid w:val="000B23FF"/>
    <w:rsid w:val="000B2B94"/>
    <w:rsid w:val="000B3E30"/>
    <w:rsid w:val="000B3F33"/>
    <w:rsid w:val="000B4418"/>
    <w:rsid w:val="000B520E"/>
    <w:rsid w:val="000B5623"/>
    <w:rsid w:val="000B5ADE"/>
    <w:rsid w:val="000B5DEF"/>
    <w:rsid w:val="000B5F6E"/>
    <w:rsid w:val="000B6BBA"/>
    <w:rsid w:val="000B7168"/>
    <w:rsid w:val="000B79DB"/>
    <w:rsid w:val="000C13EC"/>
    <w:rsid w:val="000C1D59"/>
    <w:rsid w:val="000C2875"/>
    <w:rsid w:val="000C2964"/>
    <w:rsid w:val="000C2BB8"/>
    <w:rsid w:val="000C448B"/>
    <w:rsid w:val="000C5052"/>
    <w:rsid w:val="000C5961"/>
    <w:rsid w:val="000C5996"/>
    <w:rsid w:val="000C6AAA"/>
    <w:rsid w:val="000C72FC"/>
    <w:rsid w:val="000D0268"/>
    <w:rsid w:val="000D1C30"/>
    <w:rsid w:val="000D1C4C"/>
    <w:rsid w:val="000D3059"/>
    <w:rsid w:val="000D34BE"/>
    <w:rsid w:val="000D3724"/>
    <w:rsid w:val="000D7640"/>
    <w:rsid w:val="000D76FF"/>
    <w:rsid w:val="000D7895"/>
    <w:rsid w:val="000E0530"/>
    <w:rsid w:val="000E102F"/>
    <w:rsid w:val="000E36F1"/>
    <w:rsid w:val="000E3A73"/>
    <w:rsid w:val="000E3FF8"/>
    <w:rsid w:val="000E414A"/>
    <w:rsid w:val="000E45A3"/>
    <w:rsid w:val="000E4AA5"/>
    <w:rsid w:val="000E5A23"/>
    <w:rsid w:val="000E6437"/>
    <w:rsid w:val="000E75FD"/>
    <w:rsid w:val="000E78B3"/>
    <w:rsid w:val="000E7D42"/>
    <w:rsid w:val="000F0533"/>
    <w:rsid w:val="000F093C"/>
    <w:rsid w:val="000F2BF2"/>
    <w:rsid w:val="000F44BA"/>
    <w:rsid w:val="000F5040"/>
    <w:rsid w:val="000F59D8"/>
    <w:rsid w:val="000F5F3A"/>
    <w:rsid w:val="000F787B"/>
    <w:rsid w:val="000F7AF9"/>
    <w:rsid w:val="000F7B69"/>
    <w:rsid w:val="00101BC8"/>
    <w:rsid w:val="001022D9"/>
    <w:rsid w:val="00102F01"/>
    <w:rsid w:val="00102F05"/>
    <w:rsid w:val="00103084"/>
    <w:rsid w:val="00105656"/>
    <w:rsid w:val="001057DF"/>
    <w:rsid w:val="00105B1D"/>
    <w:rsid w:val="00110F1D"/>
    <w:rsid w:val="00111448"/>
    <w:rsid w:val="001148DA"/>
    <w:rsid w:val="00114F95"/>
    <w:rsid w:val="0011509E"/>
    <w:rsid w:val="0012091F"/>
    <w:rsid w:val="00122A50"/>
    <w:rsid w:val="0012318B"/>
    <w:rsid w:val="00123FDF"/>
    <w:rsid w:val="001249E1"/>
    <w:rsid w:val="00124AAD"/>
    <w:rsid w:val="00124D97"/>
    <w:rsid w:val="001263C8"/>
    <w:rsid w:val="00126BC2"/>
    <w:rsid w:val="001308B6"/>
    <w:rsid w:val="0013121F"/>
    <w:rsid w:val="00131684"/>
    <w:rsid w:val="00131FE6"/>
    <w:rsid w:val="001320A6"/>
    <w:rsid w:val="001325D0"/>
    <w:rsid w:val="001325DE"/>
    <w:rsid w:val="0013263F"/>
    <w:rsid w:val="00132FC1"/>
    <w:rsid w:val="001331DF"/>
    <w:rsid w:val="00133567"/>
    <w:rsid w:val="001348A1"/>
    <w:rsid w:val="00134DE4"/>
    <w:rsid w:val="00135079"/>
    <w:rsid w:val="00135230"/>
    <w:rsid w:val="00135BE2"/>
    <w:rsid w:val="00135E49"/>
    <w:rsid w:val="00137D3C"/>
    <w:rsid w:val="0014034D"/>
    <w:rsid w:val="00140FE3"/>
    <w:rsid w:val="0014181B"/>
    <w:rsid w:val="00142F75"/>
    <w:rsid w:val="0014359B"/>
    <w:rsid w:val="00143711"/>
    <w:rsid w:val="0014393F"/>
    <w:rsid w:val="00144D16"/>
    <w:rsid w:val="00145817"/>
    <w:rsid w:val="00145CA0"/>
    <w:rsid w:val="001465F2"/>
    <w:rsid w:val="00146991"/>
    <w:rsid w:val="00147224"/>
    <w:rsid w:val="00147751"/>
    <w:rsid w:val="00147DCA"/>
    <w:rsid w:val="00150E59"/>
    <w:rsid w:val="001511B6"/>
    <w:rsid w:val="001517F2"/>
    <w:rsid w:val="00151EDE"/>
    <w:rsid w:val="001522E1"/>
    <w:rsid w:val="00152DB1"/>
    <w:rsid w:val="00152DE3"/>
    <w:rsid w:val="00153DB8"/>
    <w:rsid w:val="00154BFC"/>
    <w:rsid w:val="00155569"/>
    <w:rsid w:val="00161641"/>
    <w:rsid w:val="00162C02"/>
    <w:rsid w:val="00163458"/>
    <w:rsid w:val="001639BB"/>
    <w:rsid w:val="00164CF9"/>
    <w:rsid w:val="001651D5"/>
    <w:rsid w:val="00165579"/>
    <w:rsid w:val="0016594D"/>
    <w:rsid w:val="00165B2C"/>
    <w:rsid w:val="001667A6"/>
    <w:rsid w:val="00167E59"/>
    <w:rsid w:val="001700C5"/>
    <w:rsid w:val="001701C4"/>
    <w:rsid w:val="00170971"/>
    <w:rsid w:val="00171196"/>
    <w:rsid w:val="0017164D"/>
    <w:rsid w:val="001718E3"/>
    <w:rsid w:val="001719D7"/>
    <w:rsid w:val="00172676"/>
    <w:rsid w:val="0017526A"/>
    <w:rsid w:val="0017568A"/>
    <w:rsid w:val="00175A4A"/>
    <w:rsid w:val="0017606F"/>
    <w:rsid w:val="001762CF"/>
    <w:rsid w:val="001764D0"/>
    <w:rsid w:val="00176AF4"/>
    <w:rsid w:val="00176BE3"/>
    <w:rsid w:val="00176D09"/>
    <w:rsid w:val="00177FFB"/>
    <w:rsid w:val="00180305"/>
    <w:rsid w:val="00180DC5"/>
    <w:rsid w:val="00184969"/>
    <w:rsid w:val="00184AD6"/>
    <w:rsid w:val="001850B2"/>
    <w:rsid w:val="001853F6"/>
    <w:rsid w:val="00185681"/>
    <w:rsid w:val="00185A32"/>
    <w:rsid w:val="00186064"/>
    <w:rsid w:val="0018675B"/>
    <w:rsid w:val="0018734D"/>
    <w:rsid w:val="0019029B"/>
    <w:rsid w:val="00190438"/>
    <w:rsid w:val="00190BC3"/>
    <w:rsid w:val="00190BC5"/>
    <w:rsid w:val="00191499"/>
    <w:rsid w:val="00192C86"/>
    <w:rsid w:val="0019307B"/>
    <w:rsid w:val="00193766"/>
    <w:rsid w:val="00193DFD"/>
    <w:rsid w:val="00194840"/>
    <w:rsid w:val="0019497C"/>
    <w:rsid w:val="00194EBE"/>
    <w:rsid w:val="0019548E"/>
    <w:rsid w:val="00195696"/>
    <w:rsid w:val="001957B5"/>
    <w:rsid w:val="00195847"/>
    <w:rsid w:val="00195BAA"/>
    <w:rsid w:val="0019637B"/>
    <w:rsid w:val="00196E9E"/>
    <w:rsid w:val="0019724B"/>
    <w:rsid w:val="0019798D"/>
    <w:rsid w:val="001A04C9"/>
    <w:rsid w:val="001A331B"/>
    <w:rsid w:val="001A3F9A"/>
    <w:rsid w:val="001A41D0"/>
    <w:rsid w:val="001A4AF7"/>
    <w:rsid w:val="001A53D9"/>
    <w:rsid w:val="001A564B"/>
    <w:rsid w:val="001A6764"/>
    <w:rsid w:val="001A6CD3"/>
    <w:rsid w:val="001A6EB2"/>
    <w:rsid w:val="001B0349"/>
    <w:rsid w:val="001B1E93"/>
    <w:rsid w:val="001B1F06"/>
    <w:rsid w:val="001B2B41"/>
    <w:rsid w:val="001B2E57"/>
    <w:rsid w:val="001B3678"/>
    <w:rsid w:val="001B3CD9"/>
    <w:rsid w:val="001B4D47"/>
    <w:rsid w:val="001B4E79"/>
    <w:rsid w:val="001B5682"/>
    <w:rsid w:val="001B5B33"/>
    <w:rsid w:val="001B5B41"/>
    <w:rsid w:val="001B61A7"/>
    <w:rsid w:val="001B65C1"/>
    <w:rsid w:val="001B6706"/>
    <w:rsid w:val="001B6916"/>
    <w:rsid w:val="001B7096"/>
    <w:rsid w:val="001C22CC"/>
    <w:rsid w:val="001C24E6"/>
    <w:rsid w:val="001C260F"/>
    <w:rsid w:val="001C2B16"/>
    <w:rsid w:val="001C2D22"/>
    <w:rsid w:val="001C33F1"/>
    <w:rsid w:val="001C59A4"/>
    <w:rsid w:val="001C5FF1"/>
    <w:rsid w:val="001C684B"/>
    <w:rsid w:val="001D0019"/>
    <w:rsid w:val="001D0CFB"/>
    <w:rsid w:val="001D12DB"/>
    <w:rsid w:val="001D178C"/>
    <w:rsid w:val="001D21AF"/>
    <w:rsid w:val="001D2E65"/>
    <w:rsid w:val="001D4D08"/>
    <w:rsid w:val="001D52C6"/>
    <w:rsid w:val="001D53FC"/>
    <w:rsid w:val="001D5A06"/>
    <w:rsid w:val="001D5C63"/>
    <w:rsid w:val="001D5C82"/>
    <w:rsid w:val="001D659F"/>
    <w:rsid w:val="001E137E"/>
    <w:rsid w:val="001E14CC"/>
    <w:rsid w:val="001E1AA4"/>
    <w:rsid w:val="001E1E47"/>
    <w:rsid w:val="001E1ED2"/>
    <w:rsid w:val="001E2C41"/>
    <w:rsid w:val="001E3B6A"/>
    <w:rsid w:val="001E4982"/>
    <w:rsid w:val="001E5304"/>
    <w:rsid w:val="001E574E"/>
    <w:rsid w:val="001E6EA3"/>
    <w:rsid w:val="001E768E"/>
    <w:rsid w:val="001F08E6"/>
    <w:rsid w:val="001F0D19"/>
    <w:rsid w:val="001F2BEE"/>
    <w:rsid w:val="001F33A3"/>
    <w:rsid w:val="001F37E6"/>
    <w:rsid w:val="001F382F"/>
    <w:rsid w:val="001F3EBC"/>
    <w:rsid w:val="001F42A5"/>
    <w:rsid w:val="001F5629"/>
    <w:rsid w:val="001F5AA6"/>
    <w:rsid w:val="001F5CE5"/>
    <w:rsid w:val="001F6903"/>
    <w:rsid w:val="001F6AFC"/>
    <w:rsid w:val="001F7B9D"/>
    <w:rsid w:val="00200D27"/>
    <w:rsid w:val="00200DD0"/>
    <w:rsid w:val="0020109A"/>
    <w:rsid w:val="0020192B"/>
    <w:rsid w:val="00201C93"/>
    <w:rsid w:val="00203007"/>
    <w:rsid w:val="00205044"/>
    <w:rsid w:val="0020595F"/>
    <w:rsid w:val="00206DF7"/>
    <w:rsid w:val="00207C14"/>
    <w:rsid w:val="00210261"/>
    <w:rsid w:val="002104FB"/>
    <w:rsid w:val="00210BAE"/>
    <w:rsid w:val="002119E0"/>
    <w:rsid w:val="0021202D"/>
    <w:rsid w:val="00212337"/>
    <w:rsid w:val="0021241A"/>
    <w:rsid w:val="002149A4"/>
    <w:rsid w:val="00214D4A"/>
    <w:rsid w:val="0021568B"/>
    <w:rsid w:val="0021666F"/>
    <w:rsid w:val="00216859"/>
    <w:rsid w:val="002176F0"/>
    <w:rsid w:val="00217BCD"/>
    <w:rsid w:val="00221EDF"/>
    <w:rsid w:val="002224B4"/>
    <w:rsid w:val="0022298B"/>
    <w:rsid w:val="0022398F"/>
    <w:rsid w:val="00223F22"/>
    <w:rsid w:val="002241FA"/>
    <w:rsid w:val="00224348"/>
    <w:rsid w:val="002248F1"/>
    <w:rsid w:val="0022606F"/>
    <w:rsid w:val="00231521"/>
    <w:rsid w:val="0023262B"/>
    <w:rsid w:val="00232B88"/>
    <w:rsid w:val="002331D8"/>
    <w:rsid w:val="00233E9C"/>
    <w:rsid w:val="0023463C"/>
    <w:rsid w:val="002351C9"/>
    <w:rsid w:val="00235702"/>
    <w:rsid w:val="00235917"/>
    <w:rsid w:val="0023615B"/>
    <w:rsid w:val="002401C3"/>
    <w:rsid w:val="00240211"/>
    <w:rsid w:val="00241C01"/>
    <w:rsid w:val="00243B56"/>
    <w:rsid w:val="002447EF"/>
    <w:rsid w:val="00244DBB"/>
    <w:rsid w:val="00245566"/>
    <w:rsid w:val="00246D52"/>
    <w:rsid w:val="00246F80"/>
    <w:rsid w:val="00246FA3"/>
    <w:rsid w:val="002470C4"/>
    <w:rsid w:val="00247A14"/>
    <w:rsid w:val="00250171"/>
    <w:rsid w:val="002505F2"/>
    <w:rsid w:val="002509E1"/>
    <w:rsid w:val="00251550"/>
    <w:rsid w:val="00252F6B"/>
    <w:rsid w:val="002531DC"/>
    <w:rsid w:val="00253900"/>
    <w:rsid w:val="00256A81"/>
    <w:rsid w:val="00257BB4"/>
    <w:rsid w:val="002630ED"/>
    <w:rsid w:val="00263B05"/>
    <w:rsid w:val="00263B14"/>
    <w:rsid w:val="0026465F"/>
    <w:rsid w:val="00264AF5"/>
    <w:rsid w:val="00265D85"/>
    <w:rsid w:val="0026644C"/>
    <w:rsid w:val="002665CD"/>
    <w:rsid w:val="0026706D"/>
    <w:rsid w:val="00267AD4"/>
    <w:rsid w:val="00267BD3"/>
    <w:rsid w:val="00267EB3"/>
    <w:rsid w:val="0027033C"/>
    <w:rsid w:val="0027037B"/>
    <w:rsid w:val="00270812"/>
    <w:rsid w:val="00271379"/>
    <w:rsid w:val="002716F0"/>
    <w:rsid w:val="00271A3A"/>
    <w:rsid w:val="0027221A"/>
    <w:rsid w:val="0027263B"/>
    <w:rsid w:val="002726B1"/>
    <w:rsid w:val="00272CBC"/>
    <w:rsid w:val="00274F9F"/>
    <w:rsid w:val="00275699"/>
    <w:rsid w:val="00275B61"/>
    <w:rsid w:val="002769B4"/>
    <w:rsid w:val="002770BA"/>
    <w:rsid w:val="00277201"/>
    <w:rsid w:val="00277367"/>
    <w:rsid w:val="00277AB3"/>
    <w:rsid w:val="00280766"/>
    <w:rsid w:val="00280FAF"/>
    <w:rsid w:val="00281960"/>
    <w:rsid w:val="00282350"/>
    <w:rsid w:val="00282656"/>
    <w:rsid w:val="00283233"/>
    <w:rsid w:val="002837AD"/>
    <w:rsid w:val="00283A2C"/>
    <w:rsid w:val="002844B8"/>
    <w:rsid w:val="002847A4"/>
    <w:rsid w:val="00285817"/>
    <w:rsid w:val="002864D5"/>
    <w:rsid w:val="002867CF"/>
    <w:rsid w:val="00290139"/>
    <w:rsid w:val="00291313"/>
    <w:rsid w:val="002914C7"/>
    <w:rsid w:val="0029180D"/>
    <w:rsid w:val="00291CA9"/>
    <w:rsid w:val="0029363D"/>
    <w:rsid w:val="00293716"/>
    <w:rsid w:val="00294543"/>
    <w:rsid w:val="00294F66"/>
    <w:rsid w:val="002958E9"/>
    <w:rsid w:val="00295B44"/>
    <w:rsid w:val="00295DFB"/>
    <w:rsid w:val="002961A9"/>
    <w:rsid w:val="0029658C"/>
    <w:rsid w:val="00296AD4"/>
    <w:rsid w:val="00296B83"/>
    <w:rsid w:val="00296EAC"/>
    <w:rsid w:val="002A2466"/>
    <w:rsid w:val="002A295A"/>
    <w:rsid w:val="002A2E26"/>
    <w:rsid w:val="002A6876"/>
    <w:rsid w:val="002A6D0A"/>
    <w:rsid w:val="002B09E2"/>
    <w:rsid w:val="002B1BAA"/>
    <w:rsid w:val="002B2412"/>
    <w:rsid w:val="002B2988"/>
    <w:rsid w:val="002B29C1"/>
    <w:rsid w:val="002B4015"/>
    <w:rsid w:val="002B404A"/>
    <w:rsid w:val="002B6C00"/>
    <w:rsid w:val="002B7320"/>
    <w:rsid w:val="002B7385"/>
    <w:rsid w:val="002B78CE"/>
    <w:rsid w:val="002C23BE"/>
    <w:rsid w:val="002C2A68"/>
    <w:rsid w:val="002C2BEC"/>
    <w:rsid w:val="002C2FB6"/>
    <w:rsid w:val="002C32E6"/>
    <w:rsid w:val="002C56C4"/>
    <w:rsid w:val="002C61FE"/>
    <w:rsid w:val="002C6338"/>
    <w:rsid w:val="002C6AB3"/>
    <w:rsid w:val="002D0287"/>
    <w:rsid w:val="002D03D5"/>
    <w:rsid w:val="002D064D"/>
    <w:rsid w:val="002D0C1A"/>
    <w:rsid w:val="002D2072"/>
    <w:rsid w:val="002D2FFF"/>
    <w:rsid w:val="002D309E"/>
    <w:rsid w:val="002D5BFF"/>
    <w:rsid w:val="002D61C4"/>
    <w:rsid w:val="002D63E6"/>
    <w:rsid w:val="002D70B9"/>
    <w:rsid w:val="002D7423"/>
    <w:rsid w:val="002E2541"/>
    <w:rsid w:val="002E2E9E"/>
    <w:rsid w:val="002E2EBA"/>
    <w:rsid w:val="002E45B0"/>
    <w:rsid w:val="002E491F"/>
    <w:rsid w:val="002E5FA7"/>
    <w:rsid w:val="002E607A"/>
    <w:rsid w:val="002E6317"/>
    <w:rsid w:val="002E660C"/>
    <w:rsid w:val="002E78DC"/>
    <w:rsid w:val="002E7905"/>
    <w:rsid w:val="002E7E6F"/>
    <w:rsid w:val="002F07B1"/>
    <w:rsid w:val="002F16AE"/>
    <w:rsid w:val="002F223B"/>
    <w:rsid w:val="002F2D01"/>
    <w:rsid w:val="002F3309"/>
    <w:rsid w:val="002F37E4"/>
    <w:rsid w:val="002F3844"/>
    <w:rsid w:val="002F3CFD"/>
    <w:rsid w:val="002F4272"/>
    <w:rsid w:val="002F4948"/>
    <w:rsid w:val="002F4F24"/>
    <w:rsid w:val="002F5210"/>
    <w:rsid w:val="002F64F0"/>
    <w:rsid w:val="002F6EC7"/>
    <w:rsid w:val="002F73AA"/>
    <w:rsid w:val="002F74F9"/>
    <w:rsid w:val="002F7798"/>
    <w:rsid w:val="003008CE"/>
    <w:rsid w:val="003009B7"/>
    <w:rsid w:val="00300E56"/>
    <w:rsid w:val="0030152C"/>
    <w:rsid w:val="00301A30"/>
    <w:rsid w:val="00302C42"/>
    <w:rsid w:val="0030312A"/>
    <w:rsid w:val="0030461A"/>
    <w:rsid w:val="0030469C"/>
    <w:rsid w:val="0030562F"/>
    <w:rsid w:val="00306187"/>
    <w:rsid w:val="00307518"/>
    <w:rsid w:val="00312242"/>
    <w:rsid w:val="0031482D"/>
    <w:rsid w:val="00314C66"/>
    <w:rsid w:val="00316484"/>
    <w:rsid w:val="00317CE6"/>
    <w:rsid w:val="00321CA6"/>
    <w:rsid w:val="00321D07"/>
    <w:rsid w:val="003227B7"/>
    <w:rsid w:val="0032280E"/>
    <w:rsid w:val="00322E02"/>
    <w:rsid w:val="00322E17"/>
    <w:rsid w:val="00322F5D"/>
    <w:rsid w:val="00323763"/>
    <w:rsid w:val="00323C5F"/>
    <w:rsid w:val="00323D23"/>
    <w:rsid w:val="003240FB"/>
    <w:rsid w:val="003244F0"/>
    <w:rsid w:val="00324924"/>
    <w:rsid w:val="00324E05"/>
    <w:rsid w:val="003252CD"/>
    <w:rsid w:val="00325307"/>
    <w:rsid w:val="00326999"/>
    <w:rsid w:val="0032717A"/>
    <w:rsid w:val="00330AC5"/>
    <w:rsid w:val="00330ECB"/>
    <w:rsid w:val="00331B0A"/>
    <w:rsid w:val="00331B5D"/>
    <w:rsid w:val="00331C01"/>
    <w:rsid w:val="00331DF3"/>
    <w:rsid w:val="00332718"/>
    <w:rsid w:val="00332BAE"/>
    <w:rsid w:val="0033320C"/>
    <w:rsid w:val="00333AD9"/>
    <w:rsid w:val="00333F14"/>
    <w:rsid w:val="00333F63"/>
    <w:rsid w:val="00334C09"/>
    <w:rsid w:val="00334DE7"/>
    <w:rsid w:val="00335043"/>
    <w:rsid w:val="00335086"/>
    <w:rsid w:val="00335863"/>
    <w:rsid w:val="00335B73"/>
    <w:rsid w:val="00336ACF"/>
    <w:rsid w:val="003379F8"/>
    <w:rsid w:val="00343738"/>
    <w:rsid w:val="00344160"/>
    <w:rsid w:val="003445FB"/>
    <w:rsid w:val="003449DE"/>
    <w:rsid w:val="00344C08"/>
    <w:rsid w:val="00344F2A"/>
    <w:rsid w:val="003450EC"/>
    <w:rsid w:val="00345E05"/>
    <w:rsid w:val="00346114"/>
    <w:rsid w:val="0034641D"/>
    <w:rsid w:val="00347504"/>
    <w:rsid w:val="00351CCC"/>
    <w:rsid w:val="0035212E"/>
    <w:rsid w:val="003528ED"/>
    <w:rsid w:val="00352DD0"/>
    <w:rsid w:val="00354E1F"/>
    <w:rsid w:val="00354E93"/>
    <w:rsid w:val="00354F17"/>
    <w:rsid w:val="003550A6"/>
    <w:rsid w:val="003551C9"/>
    <w:rsid w:val="0035604E"/>
    <w:rsid w:val="00356D53"/>
    <w:rsid w:val="00360128"/>
    <w:rsid w:val="00361B7E"/>
    <w:rsid w:val="00361CD1"/>
    <w:rsid w:val="0036207D"/>
    <w:rsid w:val="003623FC"/>
    <w:rsid w:val="00362F5B"/>
    <w:rsid w:val="00363245"/>
    <w:rsid w:val="003636B1"/>
    <w:rsid w:val="003642CC"/>
    <w:rsid w:val="003665F1"/>
    <w:rsid w:val="00367688"/>
    <w:rsid w:val="0036797D"/>
    <w:rsid w:val="003708E9"/>
    <w:rsid w:val="0037168B"/>
    <w:rsid w:val="003723D4"/>
    <w:rsid w:val="00373598"/>
    <w:rsid w:val="00373759"/>
    <w:rsid w:val="00374446"/>
    <w:rsid w:val="00374909"/>
    <w:rsid w:val="0037507E"/>
    <w:rsid w:val="003760D5"/>
    <w:rsid w:val="00376939"/>
    <w:rsid w:val="00376A24"/>
    <w:rsid w:val="00377ADA"/>
    <w:rsid w:val="0038082B"/>
    <w:rsid w:val="00381905"/>
    <w:rsid w:val="00381A9A"/>
    <w:rsid w:val="00382B95"/>
    <w:rsid w:val="00382DB6"/>
    <w:rsid w:val="00383305"/>
    <w:rsid w:val="00383C8E"/>
    <w:rsid w:val="00384027"/>
    <w:rsid w:val="00384CC8"/>
    <w:rsid w:val="003850DF"/>
    <w:rsid w:val="003851B8"/>
    <w:rsid w:val="00385AB3"/>
    <w:rsid w:val="003871FD"/>
    <w:rsid w:val="00387D29"/>
    <w:rsid w:val="00390195"/>
    <w:rsid w:val="00390414"/>
    <w:rsid w:val="003908F5"/>
    <w:rsid w:val="0039191F"/>
    <w:rsid w:val="00391D44"/>
    <w:rsid w:val="003927A2"/>
    <w:rsid w:val="003930FF"/>
    <w:rsid w:val="00395C4C"/>
    <w:rsid w:val="00395DD9"/>
    <w:rsid w:val="003973A8"/>
    <w:rsid w:val="0039758C"/>
    <w:rsid w:val="00397EE0"/>
    <w:rsid w:val="00397F0B"/>
    <w:rsid w:val="003A1E30"/>
    <w:rsid w:val="003A2829"/>
    <w:rsid w:val="003A49EE"/>
    <w:rsid w:val="003A51E1"/>
    <w:rsid w:val="003A5664"/>
    <w:rsid w:val="003A673E"/>
    <w:rsid w:val="003A7067"/>
    <w:rsid w:val="003A7D1C"/>
    <w:rsid w:val="003A7F1F"/>
    <w:rsid w:val="003B2205"/>
    <w:rsid w:val="003B2D12"/>
    <w:rsid w:val="003B2D52"/>
    <w:rsid w:val="003B304B"/>
    <w:rsid w:val="003B3146"/>
    <w:rsid w:val="003B34E8"/>
    <w:rsid w:val="003B3990"/>
    <w:rsid w:val="003B3E42"/>
    <w:rsid w:val="003B4F87"/>
    <w:rsid w:val="003B5E79"/>
    <w:rsid w:val="003B718F"/>
    <w:rsid w:val="003B71C6"/>
    <w:rsid w:val="003B790B"/>
    <w:rsid w:val="003C0FF5"/>
    <w:rsid w:val="003C17B6"/>
    <w:rsid w:val="003C1C66"/>
    <w:rsid w:val="003C4F2E"/>
    <w:rsid w:val="003C5141"/>
    <w:rsid w:val="003C568C"/>
    <w:rsid w:val="003C7A9C"/>
    <w:rsid w:val="003D068F"/>
    <w:rsid w:val="003D1E02"/>
    <w:rsid w:val="003D1F36"/>
    <w:rsid w:val="003D2A28"/>
    <w:rsid w:val="003D34C3"/>
    <w:rsid w:val="003D42F2"/>
    <w:rsid w:val="003D524C"/>
    <w:rsid w:val="003D5499"/>
    <w:rsid w:val="003D574D"/>
    <w:rsid w:val="003D6263"/>
    <w:rsid w:val="003D7173"/>
    <w:rsid w:val="003E0A02"/>
    <w:rsid w:val="003E2A21"/>
    <w:rsid w:val="003E460B"/>
    <w:rsid w:val="003E6295"/>
    <w:rsid w:val="003E66A7"/>
    <w:rsid w:val="003E6ACD"/>
    <w:rsid w:val="003E718F"/>
    <w:rsid w:val="003E7542"/>
    <w:rsid w:val="003F015E"/>
    <w:rsid w:val="003F06C5"/>
    <w:rsid w:val="003F1CB5"/>
    <w:rsid w:val="003F221F"/>
    <w:rsid w:val="003F2435"/>
    <w:rsid w:val="003F25BD"/>
    <w:rsid w:val="003F3123"/>
    <w:rsid w:val="003F33A3"/>
    <w:rsid w:val="003F3703"/>
    <w:rsid w:val="003F3881"/>
    <w:rsid w:val="003F4B30"/>
    <w:rsid w:val="003F62FD"/>
    <w:rsid w:val="003F64B5"/>
    <w:rsid w:val="003F713C"/>
    <w:rsid w:val="003F7276"/>
    <w:rsid w:val="003F7AED"/>
    <w:rsid w:val="00400414"/>
    <w:rsid w:val="00401A1D"/>
    <w:rsid w:val="00401C7D"/>
    <w:rsid w:val="00401D81"/>
    <w:rsid w:val="00401FA1"/>
    <w:rsid w:val="00402ADE"/>
    <w:rsid w:val="00403EA0"/>
    <w:rsid w:val="00404F4D"/>
    <w:rsid w:val="00407213"/>
    <w:rsid w:val="0040760E"/>
    <w:rsid w:val="00407A57"/>
    <w:rsid w:val="00407F5C"/>
    <w:rsid w:val="004117D4"/>
    <w:rsid w:val="00412416"/>
    <w:rsid w:val="0041446B"/>
    <w:rsid w:val="00416E08"/>
    <w:rsid w:val="00420106"/>
    <w:rsid w:val="004211A8"/>
    <w:rsid w:val="004216BB"/>
    <w:rsid w:val="00423762"/>
    <w:rsid w:val="004238FE"/>
    <w:rsid w:val="00423CF0"/>
    <w:rsid w:val="00423F57"/>
    <w:rsid w:val="00427FA9"/>
    <w:rsid w:val="00431762"/>
    <w:rsid w:val="00432C3E"/>
    <w:rsid w:val="004334D5"/>
    <w:rsid w:val="00433504"/>
    <w:rsid w:val="00433819"/>
    <w:rsid w:val="004340D6"/>
    <w:rsid w:val="004373B4"/>
    <w:rsid w:val="0044071E"/>
    <w:rsid w:val="00442457"/>
    <w:rsid w:val="0044307F"/>
    <w:rsid w:val="0044329C"/>
    <w:rsid w:val="004434AD"/>
    <w:rsid w:val="00443E7E"/>
    <w:rsid w:val="00443F14"/>
    <w:rsid w:val="004453CB"/>
    <w:rsid w:val="004454FC"/>
    <w:rsid w:val="0044587B"/>
    <w:rsid w:val="00445F62"/>
    <w:rsid w:val="00446130"/>
    <w:rsid w:val="004506C7"/>
    <w:rsid w:val="00451AE9"/>
    <w:rsid w:val="00453E24"/>
    <w:rsid w:val="004540AA"/>
    <w:rsid w:val="004569E7"/>
    <w:rsid w:val="00457456"/>
    <w:rsid w:val="004577FE"/>
    <w:rsid w:val="00457B9C"/>
    <w:rsid w:val="0046059B"/>
    <w:rsid w:val="004606A0"/>
    <w:rsid w:val="00460946"/>
    <w:rsid w:val="00460FDF"/>
    <w:rsid w:val="00461266"/>
    <w:rsid w:val="0046164A"/>
    <w:rsid w:val="00461F35"/>
    <w:rsid w:val="00462274"/>
    <w:rsid w:val="0046281B"/>
    <w:rsid w:val="004628D2"/>
    <w:rsid w:val="00462DCD"/>
    <w:rsid w:val="00463E75"/>
    <w:rsid w:val="004648AD"/>
    <w:rsid w:val="00464CBB"/>
    <w:rsid w:val="00464F4E"/>
    <w:rsid w:val="00465D5E"/>
    <w:rsid w:val="004663BB"/>
    <w:rsid w:val="00467357"/>
    <w:rsid w:val="004703A9"/>
    <w:rsid w:val="00471C3F"/>
    <w:rsid w:val="00473C55"/>
    <w:rsid w:val="004750F5"/>
    <w:rsid w:val="004751A2"/>
    <w:rsid w:val="00475DDC"/>
    <w:rsid w:val="004760DE"/>
    <w:rsid w:val="004763D7"/>
    <w:rsid w:val="004766D4"/>
    <w:rsid w:val="004766E1"/>
    <w:rsid w:val="00476AF0"/>
    <w:rsid w:val="00477A53"/>
    <w:rsid w:val="004813B4"/>
    <w:rsid w:val="00483A29"/>
    <w:rsid w:val="00484609"/>
    <w:rsid w:val="0048501C"/>
    <w:rsid w:val="004862A2"/>
    <w:rsid w:val="00486E61"/>
    <w:rsid w:val="00486EE3"/>
    <w:rsid w:val="004906A9"/>
    <w:rsid w:val="00492719"/>
    <w:rsid w:val="004932D8"/>
    <w:rsid w:val="00493595"/>
    <w:rsid w:val="00494FBF"/>
    <w:rsid w:val="004951DD"/>
    <w:rsid w:val="004953CD"/>
    <w:rsid w:val="004978FB"/>
    <w:rsid w:val="004979D2"/>
    <w:rsid w:val="004A004E"/>
    <w:rsid w:val="004A1B4D"/>
    <w:rsid w:val="004A24CF"/>
    <w:rsid w:val="004A2721"/>
    <w:rsid w:val="004A2983"/>
    <w:rsid w:val="004A2D81"/>
    <w:rsid w:val="004A4C10"/>
    <w:rsid w:val="004A4CA9"/>
    <w:rsid w:val="004A5E57"/>
    <w:rsid w:val="004A6CD7"/>
    <w:rsid w:val="004A76F2"/>
    <w:rsid w:val="004A7A7F"/>
    <w:rsid w:val="004B0166"/>
    <w:rsid w:val="004B179A"/>
    <w:rsid w:val="004B369D"/>
    <w:rsid w:val="004B3AC7"/>
    <w:rsid w:val="004B3E5F"/>
    <w:rsid w:val="004B40F7"/>
    <w:rsid w:val="004B550D"/>
    <w:rsid w:val="004B758C"/>
    <w:rsid w:val="004C06DF"/>
    <w:rsid w:val="004C107A"/>
    <w:rsid w:val="004C135F"/>
    <w:rsid w:val="004C194F"/>
    <w:rsid w:val="004C1E10"/>
    <w:rsid w:val="004C3369"/>
    <w:rsid w:val="004C34D5"/>
    <w:rsid w:val="004C3BE0"/>
    <w:rsid w:val="004C3D1D"/>
    <w:rsid w:val="004C3D84"/>
    <w:rsid w:val="004C451A"/>
    <w:rsid w:val="004C4DC3"/>
    <w:rsid w:val="004C5D9D"/>
    <w:rsid w:val="004C6B99"/>
    <w:rsid w:val="004C71E4"/>
    <w:rsid w:val="004C767D"/>
    <w:rsid w:val="004C7913"/>
    <w:rsid w:val="004C7DCA"/>
    <w:rsid w:val="004D0304"/>
    <w:rsid w:val="004D0615"/>
    <w:rsid w:val="004D0F07"/>
    <w:rsid w:val="004D111E"/>
    <w:rsid w:val="004D2458"/>
    <w:rsid w:val="004D337B"/>
    <w:rsid w:val="004D45A8"/>
    <w:rsid w:val="004D4EFD"/>
    <w:rsid w:val="004D5571"/>
    <w:rsid w:val="004D5C46"/>
    <w:rsid w:val="004D5E8C"/>
    <w:rsid w:val="004D61A2"/>
    <w:rsid w:val="004D660B"/>
    <w:rsid w:val="004E08AA"/>
    <w:rsid w:val="004E1A23"/>
    <w:rsid w:val="004E22CC"/>
    <w:rsid w:val="004E22E3"/>
    <w:rsid w:val="004E396F"/>
    <w:rsid w:val="004E4DD6"/>
    <w:rsid w:val="004E5CF1"/>
    <w:rsid w:val="004E7D79"/>
    <w:rsid w:val="004F1196"/>
    <w:rsid w:val="004F134A"/>
    <w:rsid w:val="004F2519"/>
    <w:rsid w:val="004F26AB"/>
    <w:rsid w:val="004F289B"/>
    <w:rsid w:val="004F469D"/>
    <w:rsid w:val="004F4B78"/>
    <w:rsid w:val="004F5362"/>
    <w:rsid w:val="004F5E36"/>
    <w:rsid w:val="004F5F84"/>
    <w:rsid w:val="0050046E"/>
    <w:rsid w:val="00500F81"/>
    <w:rsid w:val="00501118"/>
    <w:rsid w:val="00501D3C"/>
    <w:rsid w:val="00504E34"/>
    <w:rsid w:val="00505952"/>
    <w:rsid w:val="005068BF"/>
    <w:rsid w:val="00506ADC"/>
    <w:rsid w:val="00506E51"/>
    <w:rsid w:val="0050785C"/>
    <w:rsid w:val="00507B47"/>
    <w:rsid w:val="00507BEF"/>
    <w:rsid w:val="00507CC9"/>
    <w:rsid w:val="00507F8E"/>
    <w:rsid w:val="0051053D"/>
    <w:rsid w:val="005113AA"/>
    <w:rsid w:val="005119A5"/>
    <w:rsid w:val="005120E7"/>
    <w:rsid w:val="0051299B"/>
    <w:rsid w:val="005130CE"/>
    <w:rsid w:val="00517285"/>
    <w:rsid w:val="005173F5"/>
    <w:rsid w:val="00520DAD"/>
    <w:rsid w:val="00523613"/>
    <w:rsid w:val="005240DD"/>
    <w:rsid w:val="005248CF"/>
    <w:rsid w:val="00524C8D"/>
    <w:rsid w:val="00525F8B"/>
    <w:rsid w:val="005261BA"/>
    <w:rsid w:val="005267B3"/>
    <w:rsid w:val="0052688C"/>
    <w:rsid w:val="005269F4"/>
    <w:rsid w:val="00526B45"/>
    <w:rsid w:val="00526BDD"/>
    <w:rsid w:val="005278B7"/>
    <w:rsid w:val="00527F32"/>
    <w:rsid w:val="0053012B"/>
    <w:rsid w:val="00530680"/>
    <w:rsid w:val="0053119F"/>
    <w:rsid w:val="00531DA6"/>
    <w:rsid w:val="00531F42"/>
    <w:rsid w:val="00532016"/>
    <w:rsid w:val="005320D5"/>
    <w:rsid w:val="00533134"/>
    <w:rsid w:val="005345E1"/>
    <w:rsid w:val="00534672"/>
    <w:rsid w:val="005346C8"/>
    <w:rsid w:val="00534C2D"/>
    <w:rsid w:val="00535CC1"/>
    <w:rsid w:val="00536124"/>
    <w:rsid w:val="00536B4D"/>
    <w:rsid w:val="005401D5"/>
    <w:rsid w:val="005402A0"/>
    <w:rsid w:val="00541997"/>
    <w:rsid w:val="00542038"/>
    <w:rsid w:val="00542E42"/>
    <w:rsid w:val="00543E7D"/>
    <w:rsid w:val="00544D52"/>
    <w:rsid w:val="00545CEA"/>
    <w:rsid w:val="0054756A"/>
    <w:rsid w:val="00547A68"/>
    <w:rsid w:val="0055100A"/>
    <w:rsid w:val="005531C9"/>
    <w:rsid w:val="005538C0"/>
    <w:rsid w:val="00553DE3"/>
    <w:rsid w:val="0055464B"/>
    <w:rsid w:val="00555956"/>
    <w:rsid w:val="00556632"/>
    <w:rsid w:val="00556735"/>
    <w:rsid w:val="00557C83"/>
    <w:rsid w:val="005601D7"/>
    <w:rsid w:val="00561263"/>
    <w:rsid w:val="00563184"/>
    <w:rsid w:val="00564209"/>
    <w:rsid w:val="0056593A"/>
    <w:rsid w:val="00566BAA"/>
    <w:rsid w:val="00566D7C"/>
    <w:rsid w:val="00567776"/>
    <w:rsid w:val="00570C43"/>
    <w:rsid w:val="00570DB6"/>
    <w:rsid w:val="00571827"/>
    <w:rsid w:val="00571CE9"/>
    <w:rsid w:val="00572F4F"/>
    <w:rsid w:val="005736AF"/>
    <w:rsid w:val="005808EF"/>
    <w:rsid w:val="00581348"/>
    <w:rsid w:val="00581A8A"/>
    <w:rsid w:val="00582EAD"/>
    <w:rsid w:val="0058305F"/>
    <w:rsid w:val="00583438"/>
    <w:rsid w:val="005864D6"/>
    <w:rsid w:val="00590663"/>
    <w:rsid w:val="005906D2"/>
    <w:rsid w:val="00591115"/>
    <w:rsid w:val="00592274"/>
    <w:rsid w:val="00592354"/>
    <w:rsid w:val="0059239B"/>
    <w:rsid w:val="00592503"/>
    <w:rsid w:val="00593261"/>
    <w:rsid w:val="005933ED"/>
    <w:rsid w:val="005947D5"/>
    <w:rsid w:val="005961ED"/>
    <w:rsid w:val="00596A36"/>
    <w:rsid w:val="00597356"/>
    <w:rsid w:val="005A00B0"/>
    <w:rsid w:val="005A03A8"/>
    <w:rsid w:val="005A0A43"/>
    <w:rsid w:val="005A2E95"/>
    <w:rsid w:val="005A3CA6"/>
    <w:rsid w:val="005A406E"/>
    <w:rsid w:val="005A43A9"/>
    <w:rsid w:val="005A64D8"/>
    <w:rsid w:val="005A65C9"/>
    <w:rsid w:val="005B0B2F"/>
    <w:rsid w:val="005B0E28"/>
    <w:rsid w:val="005B0EFF"/>
    <w:rsid w:val="005B0F40"/>
    <w:rsid w:val="005B2110"/>
    <w:rsid w:val="005B2A25"/>
    <w:rsid w:val="005B3460"/>
    <w:rsid w:val="005B3A01"/>
    <w:rsid w:val="005B430C"/>
    <w:rsid w:val="005B5A83"/>
    <w:rsid w:val="005B5CFD"/>
    <w:rsid w:val="005B61E6"/>
    <w:rsid w:val="005B689C"/>
    <w:rsid w:val="005B68E2"/>
    <w:rsid w:val="005B6BF9"/>
    <w:rsid w:val="005B7470"/>
    <w:rsid w:val="005C1D1E"/>
    <w:rsid w:val="005C228D"/>
    <w:rsid w:val="005C33BD"/>
    <w:rsid w:val="005C3D5D"/>
    <w:rsid w:val="005C3E91"/>
    <w:rsid w:val="005C3E9A"/>
    <w:rsid w:val="005C3FDB"/>
    <w:rsid w:val="005C4283"/>
    <w:rsid w:val="005C42DB"/>
    <w:rsid w:val="005C4A14"/>
    <w:rsid w:val="005C4CE1"/>
    <w:rsid w:val="005C580E"/>
    <w:rsid w:val="005C659F"/>
    <w:rsid w:val="005C6AF0"/>
    <w:rsid w:val="005C7292"/>
    <w:rsid w:val="005C75F4"/>
    <w:rsid w:val="005C77E1"/>
    <w:rsid w:val="005D0264"/>
    <w:rsid w:val="005D02FE"/>
    <w:rsid w:val="005D05E4"/>
    <w:rsid w:val="005D0DC2"/>
    <w:rsid w:val="005D12DA"/>
    <w:rsid w:val="005D1F3C"/>
    <w:rsid w:val="005D2E3B"/>
    <w:rsid w:val="005D3523"/>
    <w:rsid w:val="005D4342"/>
    <w:rsid w:val="005D5C00"/>
    <w:rsid w:val="005D5F21"/>
    <w:rsid w:val="005D668A"/>
    <w:rsid w:val="005D6A2F"/>
    <w:rsid w:val="005D6D0D"/>
    <w:rsid w:val="005D6FC3"/>
    <w:rsid w:val="005D7838"/>
    <w:rsid w:val="005E0504"/>
    <w:rsid w:val="005E0592"/>
    <w:rsid w:val="005E1A82"/>
    <w:rsid w:val="005E2156"/>
    <w:rsid w:val="005E2710"/>
    <w:rsid w:val="005E27F0"/>
    <w:rsid w:val="005E2C6E"/>
    <w:rsid w:val="005E33E6"/>
    <w:rsid w:val="005E3D20"/>
    <w:rsid w:val="005E4079"/>
    <w:rsid w:val="005E4AFD"/>
    <w:rsid w:val="005E5419"/>
    <w:rsid w:val="005E609A"/>
    <w:rsid w:val="005E715A"/>
    <w:rsid w:val="005E7410"/>
    <w:rsid w:val="005E7900"/>
    <w:rsid w:val="005E794C"/>
    <w:rsid w:val="005F0A28"/>
    <w:rsid w:val="005F0DCA"/>
    <w:rsid w:val="005F0E5E"/>
    <w:rsid w:val="005F0FF6"/>
    <w:rsid w:val="005F15D4"/>
    <w:rsid w:val="005F240E"/>
    <w:rsid w:val="005F285E"/>
    <w:rsid w:val="005F3DAE"/>
    <w:rsid w:val="005F7B47"/>
    <w:rsid w:val="006003FC"/>
    <w:rsid w:val="00600411"/>
    <w:rsid w:val="00600535"/>
    <w:rsid w:val="006020B9"/>
    <w:rsid w:val="00603A11"/>
    <w:rsid w:val="00603A3D"/>
    <w:rsid w:val="00605795"/>
    <w:rsid w:val="0060630D"/>
    <w:rsid w:val="006064E3"/>
    <w:rsid w:val="00606A06"/>
    <w:rsid w:val="00606F8F"/>
    <w:rsid w:val="006073E0"/>
    <w:rsid w:val="00610CD6"/>
    <w:rsid w:val="006114CB"/>
    <w:rsid w:val="00612385"/>
    <w:rsid w:val="00612B0C"/>
    <w:rsid w:val="0061400A"/>
    <w:rsid w:val="00615290"/>
    <w:rsid w:val="00616227"/>
    <w:rsid w:val="006163B4"/>
    <w:rsid w:val="00616BAB"/>
    <w:rsid w:val="00620459"/>
    <w:rsid w:val="00620DEE"/>
    <w:rsid w:val="006215E5"/>
    <w:rsid w:val="00621F92"/>
    <w:rsid w:val="0062280A"/>
    <w:rsid w:val="006229CB"/>
    <w:rsid w:val="006231E1"/>
    <w:rsid w:val="006232DC"/>
    <w:rsid w:val="00623359"/>
    <w:rsid w:val="00623D73"/>
    <w:rsid w:val="006254F6"/>
    <w:rsid w:val="00625639"/>
    <w:rsid w:val="00625912"/>
    <w:rsid w:val="00625A24"/>
    <w:rsid w:val="00626237"/>
    <w:rsid w:val="006265B9"/>
    <w:rsid w:val="006265BF"/>
    <w:rsid w:val="00626C2A"/>
    <w:rsid w:val="006302D7"/>
    <w:rsid w:val="00631402"/>
    <w:rsid w:val="00631B33"/>
    <w:rsid w:val="00632211"/>
    <w:rsid w:val="00632540"/>
    <w:rsid w:val="00633EAF"/>
    <w:rsid w:val="006361D2"/>
    <w:rsid w:val="00637A7A"/>
    <w:rsid w:val="006402EA"/>
    <w:rsid w:val="006415AF"/>
    <w:rsid w:val="0064184D"/>
    <w:rsid w:val="00641B8B"/>
    <w:rsid w:val="00641FFF"/>
    <w:rsid w:val="006422CC"/>
    <w:rsid w:val="0064385E"/>
    <w:rsid w:val="00644ED9"/>
    <w:rsid w:val="00646E0E"/>
    <w:rsid w:val="00647452"/>
    <w:rsid w:val="00650221"/>
    <w:rsid w:val="00651D18"/>
    <w:rsid w:val="0065520D"/>
    <w:rsid w:val="006555E4"/>
    <w:rsid w:val="00655854"/>
    <w:rsid w:val="00656523"/>
    <w:rsid w:val="00656717"/>
    <w:rsid w:val="0065679B"/>
    <w:rsid w:val="00656A98"/>
    <w:rsid w:val="006572B0"/>
    <w:rsid w:val="0065733B"/>
    <w:rsid w:val="00657951"/>
    <w:rsid w:val="00660E3E"/>
    <w:rsid w:val="00660F80"/>
    <w:rsid w:val="00661724"/>
    <w:rsid w:val="00662E74"/>
    <w:rsid w:val="006630D6"/>
    <w:rsid w:val="00663B5C"/>
    <w:rsid w:val="00663E03"/>
    <w:rsid w:val="00665366"/>
    <w:rsid w:val="006653CB"/>
    <w:rsid w:val="00666BD5"/>
    <w:rsid w:val="006679B5"/>
    <w:rsid w:val="00667F0F"/>
    <w:rsid w:val="00667FBE"/>
    <w:rsid w:val="00670557"/>
    <w:rsid w:val="0067071C"/>
    <w:rsid w:val="00670934"/>
    <w:rsid w:val="00670AF2"/>
    <w:rsid w:val="00672408"/>
    <w:rsid w:val="00673F36"/>
    <w:rsid w:val="0067507A"/>
    <w:rsid w:val="00675D87"/>
    <w:rsid w:val="0067608B"/>
    <w:rsid w:val="00676E88"/>
    <w:rsid w:val="00677354"/>
    <w:rsid w:val="00680C23"/>
    <w:rsid w:val="00681037"/>
    <w:rsid w:val="0068129E"/>
    <w:rsid w:val="00681D15"/>
    <w:rsid w:val="00682261"/>
    <w:rsid w:val="00682C2C"/>
    <w:rsid w:val="006832B2"/>
    <w:rsid w:val="00683395"/>
    <w:rsid w:val="00683531"/>
    <w:rsid w:val="00683C47"/>
    <w:rsid w:val="00683E23"/>
    <w:rsid w:val="00685A5F"/>
    <w:rsid w:val="00685D21"/>
    <w:rsid w:val="0068630A"/>
    <w:rsid w:val="00686572"/>
    <w:rsid w:val="006869F6"/>
    <w:rsid w:val="00686CD2"/>
    <w:rsid w:val="006872BC"/>
    <w:rsid w:val="00687C51"/>
    <w:rsid w:val="006908EE"/>
    <w:rsid w:val="00690A45"/>
    <w:rsid w:val="0069101F"/>
    <w:rsid w:val="006916FD"/>
    <w:rsid w:val="00691A48"/>
    <w:rsid w:val="00692F96"/>
    <w:rsid w:val="00692FE4"/>
    <w:rsid w:val="00693623"/>
    <w:rsid w:val="00693766"/>
    <w:rsid w:val="00694679"/>
    <w:rsid w:val="00694CC9"/>
    <w:rsid w:val="00694F04"/>
    <w:rsid w:val="00695093"/>
    <w:rsid w:val="00696355"/>
    <w:rsid w:val="006976DE"/>
    <w:rsid w:val="006A07E4"/>
    <w:rsid w:val="006A0938"/>
    <w:rsid w:val="006A108A"/>
    <w:rsid w:val="006A108B"/>
    <w:rsid w:val="006A1DE5"/>
    <w:rsid w:val="006A25D7"/>
    <w:rsid w:val="006A2AC8"/>
    <w:rsid w:val="006A3281"/>
    <w:rsid w:val="006A4019"/>
    <w:rsid w:val="006A4E90"/>
    <w:rsid w:val="006A53E3"/>
    <w:rsid w:val="006A5687"/>
    <w:rsid w:val="006A57CA"/>
    <w:rsid w:val="006A6C7F"/>
    <w:rsid w:val="006A7617"/>
    <w:rsid w:val="006A77F3"/>
    <w:rsid w:val="006B0656"/>
    <w:rsid w:val="006B1705"/>
    <w:rsid w:val="006B31E8"/>
    <w:rsid w:val="006B3310"/>
    <w:rsid w:val="006B3F31"/>
    <w:rsid w:val="006B4345"/>
    <w:rsid w:val="006B4718"/>
    <w:rsid w:val="006B4888"/>
    <w:rsid w:val="006B5162"/>
    <w:rsid w:val="006B6A3E"/>
    <w:rsid w:val="006B6C4B"/>
    <w:rsid w:val="006B7E9C"/>
    <w:rsid w:val="006C0BF9"/>
    <w:rsid w:val="006C1155"/>
    <w:rsid w:val="006C12D9"/>
    <w:rsid w:val="006C1590"/>
    <w:rsid w:val="006C1997"/>
    <w:rsid w:val="006C2E45"/>
    <w:rsid w:val="006C3562"/>
    <w:rsid w:val="006C359C"/>
    <w:rsid w:val="006C5579"/>
    <w:rsid w:val="006C6ABD"/>
    <w:rsid w:val="006D016B"/>
    <w:rsid w:val="006D173C"/>
    <w:rsid w:val="006D18B3"/>
    <w:rsid w:val="006D23B7"/>
    <w:rsid w:val="006D34FA"/>
    <w:rsid w:val="006D37EC"/>
    <w:rsid w:val="006D3F53"/>
    <w:rsid w:val="006D3FF2"/>
    <w:rsid w:val="006D60C9"/>
    <w:rsid w:val="006D6E8B"/>
    <w:rsid w:val="006D7209"/>
    <w:rsid w:val="006E10BA"/>
    <w:rsid w:val="006E2BDF"/>
    <w:rsid w:val="006E41A5"/>
    <w:rsid w:val="006E600A"/>
    <w:rsid w:val="006E6DFF"/>
    <w:rsid w:val="006E7099"/>
    <w:rsid w:val="006E737D"/>
    <w:rsid w:val="006E75FA"/>
    <w:rsid w:val="006E76F3"/>
    <w:rsid w:val="006F03F8"/>
    <w:rsid w:val="006F078C"/>
    <w:rsid w:val="006F09F5"/>
    <w:rsid w:val="006F1350"/>
    <w:rsid w:val="006F17AB"/>
    <w:rsid w:val="006F4027"/>
    <w:rsid w:val="006F6239"/>
    <w:rsid w:val="006F6942"/>
    <w:rsid w:val="006F6B7D"/>
    <w:rsid w:val="006F6EA4"/>
    <w:rsid w:val="006F76D6"/>
    <w:rsid w:val="006F7718"/>
    <w:rsid w:val="007018A7"/>
    <w:rsid w:val="00701AB8"/>
    <w:rsid w:val="007029CC"/>
    <w:rsid w:val="00702D54"/>
    <w:rsid w:val="00703E33"/>
    <w:rsid w:val="007040B8"/>
    <w:rsid w:val="007042E2"/>
    <w:rsid w:val="00704B1B"/>
    <w:rsid w:val="00706DAB"/>
    <w:rsid w:val="007073D7"/>
    <w:rsid w:val="00707DD1"/>
    <w:rsid w:val="00710AF3"/>
    <w:rsid w:val="0071107B"/>
    <w:rsid w:val="00711461"/>
    <w:rsid w:val="00711BF2"/>
    <w:rsid w:val="00711CC6"/>
    <w:rsid w:val="007120F3"/>
    <w:rsid w:val="00712198"/>
    <w:rsid w:val="00713973"/>
    <w:rsid w:val="00713A89"/>
    <w:rsid w:val="00713DE0"/>
    <w:rsid w:val="0071457E"/>
    <w:rsid w:val="007151ED"/>
    <w:rsid w:val="00715201"/>
    <w:rsid w:val="00715C1C"/>
    <w:rsid w:val="00715DB2"/>
    <w:rsid w:val="00716C63"/>
    <w:rsid w:val="007207C3"/>
    <w:rsid w:val="007209E7"/>
    <w:rsid w:val="00720A24"/>
    <w:rsid w:val="00723064"/>
    <w:rsid w:val="00723330"/>
    <w:rsid w:val="00724146"/>
    <w:rsid w:val="00725CC8"/>
    <w:rsid w:val="00726442"/>
    <w:rsid w:val="0073015D"/>
    <w:rsid w:val="00730862"/>
    <w:rsid w:val="00730A24"/>
    <w:rsid w:val="00731056"/>
    <w:rsid w:val="007312BB"/>
    <w:rsid w:val="00731727"/>
    <w:rsid w:val="00731868"/>
    <w:rsid w:val="00732220"/>
    <w:rsid w:val="00732386"/>
    <w:rsid w:val="00732A8C"/>
    <w:rsid w:val="007334EF"/>
    <w:rsid w:val="00733E09"/>
    <w:rsid w:val="00734EE9"/>
    <w:rsid w:val="0073514D"/>
    <w:rsid w:val="007352FF"/>
    <w:rsid w:val="007364A8"/>
    <w:rsid w:val="007372B8"/>
    <w:rsid w:val="007373E5"/>
    <w:rsid w:val="00737F3C"/>
    <w:rsid w:val="00740773"/>
    <w:rsid w:val="0074163F"/>
    <w:rsid w:val="00743316"/>
    <w:rsid w:val="00743E2A"/>
    <w:rsid w:val="00743F26"/>
    <w:rsid w:val="007447F3"/>
    <w:rsid w:val="007459C9"/>
    <w:rsid w:val="00745B5A"/>
    <w:rsid w:val="00745C66"/>
    <w:rsid w:val="00747104"/>
    <w:rsid w:val="007471BF"/>
    <w:rsid w:val="007471FE"/>
    <w:rsid w:val="00747439"/>
    <w:rsid w:val="0074763B"/>
    <w:rsid w:val="00750323"/>
    <w:rsid w:val="007504DE"/>
    <w:rsid w:val="00750CA9"/>
    <w:rsid w:val="007513B6"/>
    <w:rsid w:val="0075175B"/>
    <w:rsid w:val="0075189D"/>
    <w:rsid w:val="007526CA"/>
    <w:rsid w:val="00752AB0"/>
    <w:rsid w:val="00752D80"/>
    <w:rsid w:val="00753E1C"/>
    <w:rsid w:val="00754295"/>
    <w:rsid w:val="0075499F"/>
    <w:rsid w:val="00754FAA"/>
    <w:rsid w:val="007558FD"/>
    <w:rsid w:val="00757385"/>
    <w:rsid w:val="00760226"/>
    <w:rsid w:val="00760606"/>
    <w:rsid w:val="00760F74"/>
    <w:rsid w:val="007617CC"/>
    <w:rsid w:val="00761AF3"/>
    <w:rsid w:val="00763373"/>
    <w:rsid w:val="00763857"/>
    <w:rsid w:val="007641A8"/>
    <w:rsid w:val="007661C8"/>
    <w:rsid w:val="00766D31"/>
    <w:rsid w:val="00767674"/>
    <w:rsid w:val="00767A99"/>
    <w:rsid w:val="0077098D"/>
    <w:rsid w:val="00770EF0"/>
    <w:rsid w:val="0077117A"/>
    <w:rsid w:val="00771B7C"/>
    <w:rsid w:val="007722C6"/>
    <w:rsid w:val="007726D4"/>
    <w:rsid w:val="00773299"/>
    <w:rsid w:val="00773A87"/>
    <w:rsid w:val="00773F44"/>
    <w:rsid w:val="00775CC3"/>
    <w:rsid w:val="00775D4D"/>
    <w:rsid w:val="00775D57"/>
    <w:rsid w:val="00776AE5"/>
    <w:rsid w:val="007771BC"/>
    <w:rsid w:val="00780099"/>
    <w:rsid w:val="00780CAB"/>
    <w:rsid w:val="00782D05"/>
    <w:rsid w:val="00782DC5"/>
    <w:rsid w:val="00785432"/>
    <w:rsid w:val="00785645"/>
    <w:rsid w:val="00785BF9"/>
    <w:rsid w:val="00785D80"/>
    <w:rsid w:val="0078619B"/>
    <w:rsid w:val="00786E46"/>
    <w:rsid w:val="007878A2"/>
    <w:rsid w:val="00790C85"/>
    <w:rsid w:val="00792240"/>
    <w:rsid w:val="00792452"/>
    <w:rsid w:val="00792627"/>
    <w:rsid w:val="007931FA"/>
    <w:rsid w:val="00794259"/>
    <w:rsid w:val="00794704"/>
    <w:rsid w:val="00794C5B"/>
    <w:rsid w:val="00794CF7"/>
    <w:rsid w:val="00795EB1"/>
    <w:rsid w:val="00796216"/>
    <w:rsid w:val="00796FFB"/>
    <w:rsid w:val="00797194"/>
    <w:rsid w:val="007A08BF"/>
    <w:rsid w:val="007A10D8"/>
    <w:rsid w:val="007A11D0"/>
    <w:rsid w:val="007A1C64"/>
    <w:rsid w:val="007A2523"/>
    <w:rsid w:val="007A2A57"/>
    <w:rsid w:val="007A3D1D"/>
    <w:rsid w:val="007A4066"/>
    <w:rsid w:val="007A4861"/>
    <w:rsid w:val="007A4BC1"/>
    <w:rsid w:val="007A559D"/>
    <w:rsid w:val="007A598E"/>
    <w:rsid w:val="007A5E91"/>
    <w:rsid w:val="007A5F0E"/>
    <w:rsid w:val="007A60B5"/>
    <w:rsid w:val="007A6335"/>
    <w:rsid w:val="007A6668"/>
    <w:rsid w:val="007A6D3C"/>
    <w:rsid w:val="007A6DF8"/>
    <w:rsid w:val="007A7BBA"/>
    <w:rsid w:val="007B0C50"/>
    <w:rsid w:val="007B0CB6"/>
    <w:rsid w:val="007B1328"/>
    <w:rsid w:val="007B199D"/>
    <w:rsid w:val="007B2B28"/>
    <w:rsid w:val="007B35E1"/>
    <w:rsid w:val="007B3B5B"/>
    <w:rsid w:val="007B3D31"/>
    <w:rsid w:val="007B4359"/>
    <w:rsid w:val="007B46A0"/>
    <w:rsid w:val="007B48F9"/>
    <w:rsid w:val="007B57F7"/>
    <w:rsid w:val="007B5A18"/>
    <w:rsid w:val="007B61F2"/>
    <w:rsid w:val="007B7133"/>
    <w:rsid w:val="007B7D7A"/>
    <w:rsid w:val="007C01F2"/>
    <w:rsid w:val="007C184D"/>
    <w:rsid w:val="007C1A43"/>
    <w:rsid w:val="007C354F"/>
    <w:rsid w:val="007C358F"/>
    <w:rsid w:val="007C3898"/>
    <w:rsid w:val="007C3C06"/>
    <w:rsid w:val="007C3DEF"/>
    <w:rsid w:val="007C5620"/>
    <w:rsid w:val="007C5B67"/>
    <w:rsid w:val="007C64E0"/>
    <w:rsid w:val="007C7200"/>
    <w:rsid w:val="007C7668"/>
    <w:rsid w:val="007D0951"/>
    <w:rsid w:val="007D0E03"/>
    <w:rsid w:val="007D1166"/>
    <w:rsid w:val="007D3AA4"/>
    <w:rsid w:val="007D3FA2"/>
    <w:rsid w:val="007D4965"/>
    <w:rsid w:val="007D6905"/>
    <w:rsid w:val="007D7470"/>
    <w:rsid w:val="007D74DC"/>
    <w:rsid w:val="007E0433"/>
    <w:rsid w:val="007E13C1"/>
    <w:rsid w:val="007E184A"/>
    <w:rsid w:val="007E25F0"/>
    <w:rsid w:val="007E358D"/>
    <w:rsid w:val="007E49C7"/>
    <w:rsid w:val="007E547C"/>
    <w:rsid w:val="007E55E6"/>
    <w:rsid w:val="007E579E"/>
    <w:rsid w:val="007E591D"/>
    <w:rsid w:val="007E5970"/>
    <w:rsid w:val="007E5AD3"/>
    <w:rsid w:val="007E5DA1"/>
    <w:rsid w:val="007E66CB"/>
    <w:rsid w:val="007E6E8F"/>
    <w:rsid w:val="007F007A"/>
    <w:rsid w:val="007F0FB9"/>
    <w:rsid w:val="007F2463"/>
    <w:rsid w:val="007F254A"/>
    <w:rsid w:val="007F27C8"/>
    <w:rsid w:val="007F2C7F"/>
    <w:rsid w:val="007F2FA2"/>
    <w:rsid w:val="007F36C5"/>
    <w:rsid w:val="007F4991"/>
    <w:rsid w:val="007F4E03"/>
    <w:rsid w:val="007F70BA"/>
    <w:rsid w:val="0080013E"/>
    <w:rsid w:val="008006AF"/>
    <w:rsid w:val="0080095D"/>
    <w:rsid w:val="008026DC"/>
    <w:rsid w:val="00802D50"/>
    <w:rsid w:val="00803036"/>
    <w:rsid w:val="00803118"/>
    <w:rsid w:val="0080561E"/>
    <w:rsid w:val="00805894"/>
    <w:rsid w:val="00806146"/>
    <w:rsid w:val="0080752B"/>
    <w:rsid w:val="00810AF3"/>
    <w:rsid w:val="008113DA"/>
    <w:rsid w:val="00811954"/>
    <w:rsid w:val="00813288"/>
    <w:rsid w:val="00815270"/>
    <w:rsid w:val="00815E46"/>
    <w:rsid w:val="008168FC"/>
    <w:rsid w:val="0081772E"/>
    <w:rsid w:val="00817D9D"/>
    <w:rsid w:val="00820279"/>
    <w:rsid w:val="008204B5"/>
    <w:rsid w:val="008217D8"/>
    <w:rsid w:val="00822246"/>
    <w:rsid w:val="00823735"/>
    <w:rsid w:val="00823DE7"/>
    <w:rsid w:val="00824462"/>
    <w:rsid w:val="00824469"/>
    <w:rsid w:val="00825074"/>
    <w:rsid w:val="00825860"/>
    <w:rsid w:val="00826184"/>
    <w:rsid w:val="00826836"/>
    <w:rsid w:val="00826A92"/>
    <w:rsid w:val="008278ED"/>
    <w:rsid w:val="00830755"/>
    <w:rsid w:val="00830996"/>
    <w:rsid w:val="008314AF"/>
    <w:rsid w:val="008314D7"/>
    <w:rsid w:val="00831C1C"/>
    <w:rsid w:val="00831F2E"/>
    <w:rsid w:val="0083224E"/>
    <w:rsid w:val="008323E2"/>
    <w:rsid w:val="0083404B"/>
    <w:rsid w:val="00834351"/>
    <w:rsid w:val="008345F1"/>
    <w:rsid w:val="00834788"/>
    <w:rsid w:val="00835D33"/>
    <w:rsid w:val="0084006D"/>
    <w:rsid w:val="00841222"/>
    <w:rsid w:val="00841BEE"/>
    <w:rsid w:val="008428F1"/>
    <w:rsid w:val="00843C58"/>
    <w:rsid w:val="00844D2F"/>
    <w:rsid w:val="0084594D"/>
    <w:rsid w:val="0084617C"/>
    <w:rsid w:val="008470CA"/>
    <w:rsid w:val="00847C86"/>
    <w:rsid w:val="00847F03"/>
    <w:rsid w:val="0085078F"/>
    <w:rsid w:val="00850EF8"/>
    <w:rsid w:val="008510D8"/>
    <w:rsid w:val="00853DE0"/>
    <w:rsid w:val="00853E19"/>
    <w:rsid w:val="00854437"/>
    <w:rsid w:val="008545CE"/>
    <w:rsid w:val="00854A31"/>
    <w:rsid w:val="00857484"/>
    <w:rsid w:val="00857FEE"/>
    <w:rsid w:val="00864105"/>
    <w:rsid w:val="00864DF5"/>
    <w:rsid w:val="0086507E"/>
    <w:rsid w:val="008651B8"/>
    <w:rsid w:val="00865B07"/>
    <w:rsid w:val="008665BF"/>
    <w:rsid w:val="008667EA"/>
    <w:rsid w:val="0086682C"/>
    <w:rsid w:val="00870AE9"/>
    <w:rsid w:val="00871A5F"/>
    <w:rsid w:val="00872F0D"/>
    <w:rsid w:val="00875C1E"/>
    <w:rsid w:val="00875DE5"/>
    <w:rsid w:val="0087631D"/>
    <w:rsid w:val="0087637F"/>
    <w:rsid w:val="00880633"/>
    <w:rsid w:val="00880AE8"/>
    <w:rsid w:val="0088144B"/>
    <w:rsid w:val="00882D7E"/>
    <w:rsid w:val="008831BC"/>
    <w:rsid w:val="00883988"/>
    <w:rsid w:val="00883AA5"/>
    <w:rsid w:val="00884CB0"/>
    <w:rsid w:val="00884F88"/>
    <w:rsid w:val="008863DF"/>
    <w:rsid w:val="00887C34"/>
    <w:rsid w:val="00891B32"/>
    <w:rsid w:val="0089256D"/>
    <w:rsid w:val="0089288A"/>
    <w:rsid w:val="00892AD5"/>
    <w:rsid w:val="00893A2E"/>
    <w:rsid w:val="00894612"/>
    <w:rsid w:val="008952BC"/>
    <w:rsid w:val="008953CF"/>
    <w:rsid w:val="008955D8"/>
    <w:rsid w:val="008963A4"/>
    <w:rsid w:val="008968F2"/>
    <w:rsid w:val="00896BC7"/>
    <w:rsid w:val="0089788F"/>
    <w:rsid w:val="00897968"/>
    <w:rsid w:val="00897D5F"/>
    <w:rsid w:val="008A0849"/>
    <w:rsid w:val="008A1512"/>
    <w:rsid w:val="008A227C"/>
    <w:rsid w:val="008A275F"/>
    <w:rsid w:val="008A28D6"/>
    <w:rsid w:val="008A29CC"/>
    <w:rsid w:val="008A3304"/>
    <w:rsid w:val="008A3DFB"/>
    <w:rsid w:val="008A3FE0"/>
    <w:rsid w:val="008A4133"/>
    <w:rsid w:val="008A5081"/>
    <w:rsid w:val="008B08A8"/>
    <w:rsid w:val="008B1116"/>
    <w:rsid w:val="008B2A8D"/>
    <w:rsid w:val="008B2F17"/>
    <w:rsid w:val="008B33EF"/>
    <w:rsid w:val="008B3CED"/>
    <w:rsid w:val="008B3E84"/>
    <w:rsid w:val="008B5592"/>
    <w:rsid w:val="008B611D"/>
    <w:rsid w:val="008B654A"/>
    <w:rsid w:val="008B7649"/>
    <w:rsid w:val="008B77AA"/>
    <w:rsid w:val="008C031C"/>
    <w:rsid w:val="008C033C"/>
    <w:rsid w:val="008C131F"/>
    <w:rsid w:val="008C3322"/>
    <w:rsid w:val="008C36D3"/>
    <w:rsid w:val="008C5275"/>
    <w:rsid w:val="008C6D0E"/>
    <w:rsid w:val="008C7D15"/>
    <w:rsid w:val="008D0099"/>
    <w:rsid w:val="008D110F"/>
    <w:rsid w:val="008D1660"/>
    <w:rsid w:val="008D173F"/>
    <w:rsid w:val="008D32B9"/>
    <w:rsid w:val="008D3470"/>
    <w:rsid w:val="008D36D7"/>
    <w:rsid w:val="008D3A5B"/>
    <w:rsid w:val="008D433B"/>
    <w:rsid w:val="008D4741"/>
    <w:rsid w:val="008D4744"/>
    <w:rsid w:val="008D4A16"/>
    <w:rsid w:val="008D6B24"/>
    <w:rsid w:val="008E06E6"/>
    <w:rsid w:val="008E1655"/>
    <w:rsid w:val="008E19CE"/>
    <w:rsid w:val="008E209A"/>
    <w:rsid w:val="008E2D4B"/>
    <w:rsid w:val="008E32E4"/>
    <w:rsid w:val="008E367E"/>
    <w:rsid w:val="008E3943"/>
    <w:rsid w:val="008E43F4"/>
    <w:rsid w:val="008E45BC"/>
    <w:rsid w:val="008E566E"/>
    <w:rsid w:val="008E5C13"/>
    <w:rsid w:val="008E5D5B"/>
    <w:rsid w:val="008E6410"/>
    <w:rsid w:val="008E658F"/>
    <w:rsid w:val="008E77D9"/>
    <w:rsid w:val="008F0A4A"/>
    <w:rsid w:val="008F1620"/>
    <w:rsid w:val="008F18B6"/>
    <w:rsid w:val="008F1B58"/>
    <w:rsid w:val="008F3C67"/>
    <w:rsid w:val="008F3E22"/>
    <w:rsid w:val="008F422D"/>
    <w:rsid w:val="008F5130"/>
    <w:rsid w:val="008F6153"/>
    <w:rsid w:val="008F62FB"/>
    <w:rsid w:val="008F725A"/>
    <w:rsid w:val="008F79D6"/>
    <w:rsid w:val="00900639"/>
    <w:rsid w:val="00900EC6"/>
    <w:rsid w:val="0090161A"/>
    <w:rsid w:val="009017D9"/>
    <w:rsid w:val="00901E36"/>
    <w:rsid w:val="00901EB6"/>
    <w:rsid w:val="00902118"/>
    <w:rsid w:val="009028A3"/>
    <w:rsid w:val="00902940"/>
    <w:rsid w:val="0090373A"/>
    <w:rsid w:val="00903DA8"/>
    <w:rsid w:val="009041F8"/>
    <w:rsid w:val="009043FC"/>
    <w:rsid w:val="00904980"/>
    <w:rsid w:val="00904C62"/>
    <w:rsid w:val="00904C96"/>
    <w:rsid w:val="00905144"/>
    <w:rsid w:val="009052AB"/>
    <w:rsid w:val="009066D0"/>
    <w:rsid w:val="00907A3F"/>
    <w:rsid w:val="00910772"/>
    <w:rsid w:val="00910881"/>
    <w:rsid w:val="0091104A"/>
    <w:rsid w:val="00911746"/>
    <w:rsid w:val="00911750"/>
    <w:rsid w:val="00911781"/>
    <w:rsid w:val="00911DA3"/>
    <w:rsid w:val="0091207F"/>
    <w:rsid w:val="00913019"/>
    <w:rsid w:val="009134D0"/>
    <w:rsid w:val="00913516"/>
    <w:rsid w:val="009146C9"/>
    <w:rsid w:val="00917512"/>
    <w:rsid w:val="00921255"/>
    <w:rsid w:val="00922BA8"/>
    <w:rsid w:val="00922FD5"/>
    <w:rsid w:val="00923110"/>
    <w:rsid w:val="00923631"/>
    <w:rsid w:val="009237D9"/>
    <w:rsid w:val="00923E32"/>
    <w:rsid w:val="009245DF"/>
    <w:rsid w:val="00924DAC"/>
    <w:rsid w:val="00924DF9"/>
    <w:rsid w:val="00925E54"/>
    <w:rsid w:val="009265FF"/>
    <w:rsid w:val="0092668A"/>
    <w:rsid w:val="0092676F"/>
    <w:rsid w:val="00927058"/>
    <w:rsid w:val="00927128"/>
    <w:rsid w:val="00927815"/>
    <w:rsid w:val="00930023"/>
    <w:rsid w:val="00930552"/>
    <w:rsid w:val="00930776"/>
    <w:rsid w:val="00930F48"/>
    <w:rsid w:val="00932433"/>
    <w:rsid w:val="00932EE0"/>
    <w:rsid w:val="00933E8D"/>
    <w:rsid w:val="0093416F"/>
    <w:rsid w:val="00934247"/>
    <w:rsid w:val="00934562"/>
    <w:rsid w:val="0093461E"/>
    <w:rsid w:val="00934FAB"/>
    <w:rsid w:val="0093590C"/>
    <w:rsid w:val="00935A1D"/>
    <w:rsid w:val="0093649F"/>
    <w:rsid w:val="0093692C"/>
    <w:rsid w:val="0093712A"/>
    <w:rsid w:val="0093770D"/>
    <w:rsid w:val="00940071"/>
    <w:rsid w:val="009407A7"/>
    <w:rsid w:val="00942750"/>
    <w:rsid w:val="00942885"/>
    <w:rsid w:val="00942D82"/>
    <w:rsid w:val="009432EE"/>
    <w:rsid w:val="00943B1B"/>
    <w:rsid w:val="00944890"/>
    <w:rsid w:val="009450CE"/>
    <w:rsid w:val="009459BB"/>
    <w:rsid w:val="00946198"/>
    <w:rsid w:val="0094637E"/>
    <w:rsid w:val="0094677D"/>
    <w:rsid w:val="00947179"/>
    <w:rsid w:val="00947D45"/>
    <w:rsid w:val="00950013"/>
    <w:rsid w:val="00950286"/>
    <w:rsid w:val="009513BA"/>
    <w:rsid w:val="0095164B"/>
    <w:rsid w:val="009519B0"/>
    <w:rsid w:val="00952C02"/>
    <w:rsid w:val="00954054"/>
    <w:rsid w:val="00954090"/>
    <w:rsid w:val="00954FFD"/>
    <w:rsid w:val="00955130"/>
    <w:rsid w:val="00955A20"/>
    <w:rsid w:val="00955EDB"/>
    <w:rsid w:val="00955FF0"/>
    <w:rsid w:val="00956616"/>
    <w:rsid w:val="00956E32"/>
    <w:rsid w:val="00957290"/>
    <w:rsid w:val="009573E7"/>
    <w:rsid w:val="009577F0"/>
    <w:rsid w:val="00961137"/>
    <w:rsid w:val="00962199"/>
    <w:rsid w:val="0096292C"/>
    <w:rsid w:val="0096292E"/>
    <w:rsid w:val="00963827"/>
    <w:rsid w:val="00963E05"/>
    <w:rsid w:val="0096471E"/>
    <w:rsid w:val="00964A45"/>
    <w:rsid w:val="00966F61"/>
    <w:rsid w:val="00967602"/>
    <w:rsid w:val="00967843"/>
    <w:rsid w:val="00967D54"/>
    <w:rsid w:val="00971028"/>
    <w:rsid w:val="009716F6"/>
    <w:rsid w:val="00976102"/>
    <w:rsid w:val="009768D1"/>
    <w:rsid w:val="00976928"/>
    <w:rsid w:val="00976B92"/>
    <w:rsid w:val="00976F45"/>
    <w:rsid w:val="00977E49"/>
    <w:rsid w:val="00980876"/>
    <w:rsid w:val="00980FFB"/>
    <w:rsid w:val="00981ABA"/>
    <w:rsid w:val="009834EC"/>
    <w:rsid w:val="00984091"/>
    <w:rsid w:val="00984527"/>
    <w:rsid w:val="009845DF"/>
    <w:rsid w:val="009867FD"/>
    <w:rsid w:val="00986CE4"/>
    <w:rsid w:val="00987989"/>
    <w:rsid w:val="00990CD7"/>
    <w:rsid w:val="00993093"/>
    <w:rsid w:val="00993B84"/>
    <w:rsid w:val="0099635D"/>
    <w:rsid w:val="00996483"/>
    <w:rsid w:val="00996499"/>
    <w:rsid w:val="00996C31"/>
    <w:rsid w:val="00996EE7"/>
    <w:rsid w:val="00996F5A"/>
    <w:rsid w:val="009A0303"/>
    <w:rsid w:val="009A0BB7"/>
    <w:rsid w:val="009A1656"/>
    <w:rsid w:val="009A1F18"/>
    <w:rsid w:val="009A42F5"/>
    <w:rsid w:val="009A4FEF"/>
    <w:rsid w:val="009A52BF"/>
    <w:rsid w:val="009A531F"/>
    <w:rsid w:val="009A567A"/>
    <w:rsid w:val="009A5FEF"/>
    <w:rsid w:val="009A71E6"/>
    <w:rsid w:val="009A77F1"/>
    <w:rsid w:val="009A7947"/>
    <w:rsid w:val="009B041A"/>
    <w:rsid w:val="009B0951"/>
    <w:rsid w:val="009B26CE"/>
    <w:rsid w:val="009B582B"/>
    <w:rsid w:val="009B78FC"/>
    <w:rsid w:val="009B7CDA"/>
    <w:rsid w:val="009C0175"/>
    <w:rsid w:val="009C093C"/>
    <w:rsid w:val="009C0C72"/>
    <w:rsid w:val="009C14C0"/>
    <w:rsid w:val="009C1614"/>
    <w:rsid w:val="009C182C"/>
    <w:rsid w:val="009C291E"/>
    <w:rsid w:val="009C2AFB"/>
    <w:rsid w:val="009C37C3"/>
    <w:rsid w:val="009C49D4"/>
    <w:rsid w:val="009C4CA6"/>
    <w:rsid w:val="009C508B"/>
    <w:rsid w:val="009C5225"/>
    <w:rsid w:val="009C52A8"/>
    <w:rsid w:val="009C565D"/>
    <w:rsid w:val="009C60AC"/>
    <w:rsid w:val="009C62A9"/>
    <w:rsid w:val="009C6899"/>
    <w:rsid w:val="009C6A4F"/>
    <w:rsid w:val="009C73C0"/>
    <w:rsid w:val="009C7C86"/>
    <w:rsid w:val="009D092B"/>
    <w:rsid w:val="009D0DF5"/>
    <w:rsid w:val="009D299A"/>
    <w:rsid w:val="009D2A73"/>
    <w:rsid w:val="009D2A85"/>
    <w:rsid w:val="009D2FF7"/>
    <w:rsid w:val="009D3C82"/>
    <w:rsid w:val="009D4292"/>
    <w:rsid w:val="009D42A1"/>
    <w:rsid w:val="009D42A9"/>
    <w:rsid w:val="009D4791"/>
    <w:rsid w:val="009D6FD1"/>
    <w:rsid w:val="009D716F"/>
    <w:rsid w:val="009E0AC8"/>
    <w:rsid w:val="009E1582"/>
    <w:rsid w:val="009E1D39"/>
    <w:rsid w:val="009E2E66"/>
    <w:rsid w:val="009E304A"/>
    <w:rsid w:val="009E3692"/>
    <w:rsid w:val="009E380D"/>
    <w:rsid w:val="009E3D3F"/>
    <w:rsid w:val="009E4399"/>
    <w:rsid w:val="009E43D4"/>
    <w:rsid w:val="009E5518"/>
    <w:rsid w:val="009E599F"/>
    <w:rsid w:val="009E5BBF"/>
    <w:rsid w:val="009E7490"/>
    <w:rsid w:val="009E7884"/>
    <w:rsid w:val="009E788A"/>
    <w:rsid w:val="009F0E08"/>
    <w:rsid w:val="009F0FEB"/>
    <w:rsid w:val="009F19EC"/>
    <w:rsid w:val="009F2114"/>
    <w:rsid w:val="009F2DD1"/>
    <w:rsid w:val="009F48F1"/>
    <w:rsid w:val="00A0225E"/>
    <w:rsid w:val="00A02929"/>
    <w:rsid w:val="00A02FFF"/>
    <w:rsid w:val="00A0339E"/>
    <w:rsid w:val="00A04021"/>
    <w:rsid w:val="00A04384"/>
    <w:rsid w:val="00A05090"/>
    <w:rsid w:val="00A0565F"/>
    <w:rsid w:val="00A059C2"/>
    <w:rsid w:val="00A05E13"/>
    <w:rsid w:val="00A06454"/>
    <w:rsid w:val="00A06DBC"/>
    <w:rsid w:val="00A06F2A"/>
    <w:rsid w:val="00A07601"/>
    <w:rsid w:val="00A079AE"/>
    <w:rsid w:val="00A079E9"/>
    <w:rsid w:val="00A07A11"/>
    <w:rsid w:val="00A104B4"/>
    <w:rsid w:val="00A109E8"/>
    <w:rsid w:val="00A10F0D"/>
    <w:rsid w:val="00A10FC4"/>
    <w:rsid w:val="00A11C56"/>
    <w:rsid w:val="00A13160"/>
    <w:rsid w:val="00A1358F"/>
    <w:rsid w:val="00A13D93"/>
    <w:rsid w:val="00A144F6"/>
    <w:rsid w:val="00A1459E"/>
    <w:rsid w:val="00A15B40"/>
    <w:rsid w:val="00A16E92"/>
    <w:rsid w:val="00A16F15"/>
    <w:rsid w:val="00A1740F"/>
    <w:rsid w:val="00A1763D"/>
    <w:rsid w:val="00A1796B"/>
    <w:rsid w:val="00A17CEC"/>
    <w:rsid w:val="00A17DFF"/>
    <w:rsid w:val="00A20953"/>
    <w:rsid w:val="00A20987"/>
    <w:rsid w:val="00A21A4F"/>
    <w:rsid w:val="00A21CBD"/>
    <w:rsid w:val="00A22C99"/>
    <w:rsid w:val="00A232B2"/>
    <w:rsid w:val="00A23365"/>
    <w:rsid w:val="00A23D2F"/>
    <w:rsid w:val="00A24FF7"/>
    <w:rsid w:val="00A2623F"/>
    <w:rsid w:val="00A26CBB"/>
    <w:rsid w:val="00A27EF0"/>
    <w:rsid w:val="00A307F1"/>
    <w:rsid w:val="00A3089F"/>
    <w:rsid w:val="00A30D86"/>
    <w:rsid w:val="00A32272"/>
    <w:rsid w:val="00A329BE"/>
    <w:rsid w:val="00A32E06"/>
    <w:rsid w:val="00A35769"/>
    <w:rsid w:val="00A36422"/>
    <w:rsid w:val="00A365E8"/>
    <w:rsid w:val="00A3679C"/>
    <w:rsid w:val="00A37BA5"/>
    <w:rsid w:val="00A37C7A"/>
    <w:rsid w:val="00A4125B"/>
    <w:rsid w:val="00A42361"/>
    <w:rsid w:val="00A427E2"/>
    <w:rsid w:val="00A443E7"/>
    <w:rsid w:val="00A45BE3"/>
    <w:rsid w:val="00A47590"/>
    <w:rsid w:val="00A50B20"/>
    <w:rsid w:val="00A50DF4"/>
    <w:rsid w:val="00A51390"/>
    <w:rsid w:val="00A5167C"/>
    <w:rsid w:val="00A53304"/>
    <w:rsid w:val="00A53B21"/>
    <w:rsid w:val="00A5456C"/>
    <w:rsid w:val="00A54856"/>
    <w:rsid w:val="00A55E3D"/>
    <w:rsid w:val="00A5608F"/>
    <w:rsid w:val="00A566A7"/>
    <w:rsid w:val="00A569E9"/>
    <w:rsid w:val="00A570CE"/>
    <w:rsid w:val="00A57839"/>
    <w:rsid w:val="00A57E08"/>
    <w:rsid w:val="00A57EC8"/>
    <w:rsid w:val="00A600B2"/>
    <w:rsid w:val="00A60666"/>
    <w:rsid w:val="00A60B22"/>
    <w:rsid w:val="00A60D13"/>
    <w:rsid w:val="00A629C3"/>
    <w:rsid w:val="00A64541"/>
    <w:rsid w:val="00A6581A"/>
    <w:rsid w:val="00A659A1"/>
    <w:rsid w:val="00A65FC9"/>
    <w:rsid w:val="00A66715"/>
    <w:rsid w:val="00A6773F"/>
    <w:rsid w:val="00A67EC9"/>
    <w:rsid w:val="00A70800"/>
    <w:rsid w:val="00A70E76"/>
    <w:rsid w:val="00A7108F"/>
    <w:rsid w:val="00A7223D"/>
    <w:rsid w:val="00A72745"/>
    <w:rsid w:val="00A72931"/>
    <w:rsid w:val="00A744A2"/>
    <w:rsid w:val="00A7669D"/>
    <w:rsid w:val="00A76EFC"/>
    <w:rsid w:val="00A80697"/>
    <w:rsid w:val="00A80F92"/>
    <w:rsid w:val="00A814CD"/>
    <w:rsid w:val="00A81EEF"/>
    <w:rsid w:val="00A823B9"/>
    <w:rsid w:val="00A83766"/>
    <w:rsid w:val="00A83A30"/>
    <w:rsid w:val="00A845E9"/>
    <w:rsid w:val="00A852B5"/>
    <w:rsid w:val="00A85502"/>
    <w:rsid w:val="00A879B1"/>
    <w:rsid w:val="00A879F0"/>
    <w:rsid w:val="00A87D50"/>
    <w:rsid w:val="00A90AB2"/>
    <w:rsid w:val="00A91010"/>
    <w:rsid w:val="00A91072"/>
    <w:rsid w:val="00A91E52"/>
    <w:rsid w:val="00A92B18"/>
    <w:rsid w:val="00A93B55"/>
    <w:rsid w:val="00A93B78"/>
    <w:rsid w:val="00A93FD8"/>
    <w:rsid w:val="00A94E21"/>
    <w:rsid w:val="00A9642D"/>
    <w:rsid w:val="00A965D5"/>
    <w:rsid w:val="00A96A3B"/>
    <w:rsid w:val="00A970E2"/>
    <w:rsid w:val="00A9768C"/>
    <w:rsid w:val="00A97A9E"/>
    <w:rsid w:val="00A97F29"/>
    <w:rsid w:val="00AA0328"/>
    <w:rsid w:val="00AA0D48"/>
    <w:rsid w:val="00AA2800"/>
    <w:rsid w:val="00AA2C5E"/>
    <w:rsid w:val="00AA3032"/>
    <w:rsid w:val="00AA57CE"/>
    <w:rsid w:val="00AA607F"/>
    <w:rsid w:val="00AA63D6"/>
    <w:rsid w:val="00AA6652"/>
    <w:rsid w:val="00AA702E"/>
    <w:rsid w:val="00AA7BC2"/>
    <w:rsid w:val="00AA7D26"/>
    <w:rsid w:val="00AA7F2B"/>
    <w:rsid w:val="00AB0964"/>
    <w:rsid w:val="00AB21EB"/>
    <w:rsid w:val="00AB24BB"/>
    <w:rsid w:val="00AB4030"/>
    <w:rsid w:val="00AB46AA"/>
    <w:rsid w:val="00AB4DA8"/>
    <w:rsid w:val="00AB5011"/>
    <w:rsid w:val="00AB509C"/>
    <w:rsid w:val="00AB57DC"/>
    <w:rsid w:val="00AB7993"/>
    <w:rsid w:val="00AB7E8D"/>
    <w:rsid w:val="00AC1067"/>
    <w:rsid w:val="00AC1743"/>
    <w:rsid w:val="00AC2AC0"/>
    <w:rsid w:val="00AC3B78"/>
    <w:rsid w:val="00AC4299"/>
    <w:rsid w:val="00AC5715"/>
    <w:rsid w:val="00AC593B"/>
    <w:rsid w:val="00AC60E1"/>
    <w:rsid w:val="00AC6B87"/>
    <w:rsid w:val="00AC7368"/>
    <w:rsid w:val="00AC7CD3"/>
    <w:rsid w:val="00AD0278"/>
    <w:rsid w:val="00AD16B9"/>
    <w:rsid w:val="00AD172E"/>
    <w:rsid w:val="00AD3562"/>
    <w:rsid w:val="00AD3E64"/>
    <w:rsid w:val="00AD5BB6"/>
    <w:rsid w:val="00AD5BE8"/>
    <w:rsid w:val="00AD67D3"/>
    <w:rsid w:val="00AE0165"/>
    <w:rsid w:val="00AE15A3"/>
    <w:rsid w:val="00AE18CE"/>
    <w:rsid w:val="00AE2898"/>
    <w:rsid w:val="00AE29B0"/>
    <w:rsid w:val="00AE377D"/>
    <w:rsid w:val="00AE3C37"/>
    <w:rsid w:val="00AE4BB9"/>
    <w:rsid w:val="00AE6D9C"/>
    <w:rsid w:val="00AE7BAE"/>
    <w:rsid w:val="00AF0EBA"/>
    <w:rsid w:val="00AF0F61"/>
    <w:rsid w:val="00AF164B"/>
    <w:rsid w:val="00AF2231"/>
    <w:rsid w:val="00AF35DC"/>
    <w:rsid w:val="00AF3E81"/>
    <w:rsid w:val="00AF53F6"/>
    <w:rsid w:val="00AF5864"/>
    <w:rsid w:val="00AF680E"/>
    <w:rsid w:val="00AF6A7E"/>
    <w:rsid w:val="00AF7270"/>
    <w:rsid w:val="00AF7A38"/>
    <w:rsid w:val="00AF7E51"/>
    <w:rsid w:val="00B018B6"/>
    <w:rsid w:val="00B02C8A"/>
    <w:rsid w:val="00B03692"/>
    <w:rsid w:val="00B0369A"/>
    <w:rsid w:val="00B04EEB"/>
    <w:rsid w:val="00B056C7"/>
    <w:rsid w:val="00B0574E"/>
    <w:rsid w:val="00B05B5C"/>
    <w:rsid w:val="00B066AD"/>
    <w:rsid w:val="00B10454"/>
    <w:rsid w:val="00B105B7"/>
    <w:rsid w:val="00B12AEF"/>
    <w:rsid w:val="00B12BCA"/>
    <w:rsid w:val="00B13B32"/>
    <w:rsid w:val="00B148FA"/>
    <w:rsid w:val="00B17C15"/>
    <w:rsid w:val="00B17DE7"/>
    <w:rsid w:val="00B17FBD"/>
    <w:rsid w:val="00B20301"/>
    <w:rsid w:val="00B20456"/>
    <w:rsid w:val="00B2235E"/>
    <w:rsid w:val="00B2288B"/>
    <w:rsid w:val="00B24AB8"/>
    <w:rsid w:val="00B25262"/>
    <w:rsid w:val="00B263C2"/>
    <w:rsid w:val="00B2666C"/>
    <w:rsid w:val="00B310CB"/>
    <w:rsid w:val="00B315A6"/>
    <w:rsid w:val="00B31813"/>
    <w:rsid w:val="00B3315C"/>
    <w:rsid w:val="00B33365"/>
    <w:rsid w:val="00B345BD"/>
    <w:rsid w:val="00B34643"/>
    <w:rsid w:val="00B36AED"/>
    <w:rsid w:val="00B4071B"/>
    <w:rsid w:val="00B40E73"/>
    <w:rsid w:val="00B42346"/>
    <w:rsid w:val="00B43AA5"/>
    <w:rsid w:val="00B44E24"/>
    <w:rsid w:val="00B46F2B"/>
    <w:rsid w:val="00B471FC"/>
    <w:rsid w:val="00B51AD1"/>
    <w:rsid w:val="00B53686"/>
    <w:rsid w:val="00B53D76"/>
    <w:rsid w:val="00B54269"/>
    <w:rsid w:val="00B56453"/>
    <w:rsid w:val="00B57B36"/>
    <w:rsid w:val="00B57E6F"/>
    <w:rsid w:val="00B60AA5"/>
    <w:rsid w:val="00B62A34"/>
    <w:rsid w:val="00B636E5"/>
    <w:rsid w:val="00B6371E"/>
    <w:rsid w:val="00B63DC4"/>
    <w:rsid w:val="00B6515D"/>
    <w:rsid w:val="00B65FF5"/>
    <w:rsid w:val="00B66102"/>
    <w:rsid w:val="00B66A6B"/>
    <w:rsid w:val="00B70C35"/>
    <w:rsid w:val="00B70EC8"/>
    <w:rsid w:val="00B71AFD"/>
    <w:rsid w:val="00B71DE8"/>
    <w:rsid w:val="00B746C4"/>
    <w:rsid w:val="00B75890"/>
    <w:rsid w:val="00B77307"/>
    <w:rsid w:val="00B8012B"/>
    <w:rsid w:val="00B81127"/>
    <w:rsid w:val="00B8216D"/>
    <w:rsid w:val="00B8686D"/>
    <w:rsid w:val="00B86F8B"/>
    <w:rsid w:val="00B870F8"/>
    <w:rsid w:val="00B8712C"/>
    <w:rsid w:val="00B8741C"/>
    <w:rsid w:val="00B878EB"/>
    <w:rsid w:val="00B8790E"/>
    <w:rsid w:val="00B87B2A"/>
    <w:rsid w:val="00B900A1"/>
    <w:rsid w:val="00B910A3"/>
    <w:rsid w:val="00B917AF"/>
    <w:rsid w:val="00B922F5"/>
    <w:rsid w:val="00B9236E"/>
    <w:rsid w:val="00B93C1B"/>
    <w:rsid w:val="00B93F69"/>
    <w:rsid w:val="00B946EB"/>
    <w:rsid w:val="00B94EF0"/>
    <w:rsid w:val="00B95AA5"/>
    <w:rsid w:val="00B961C8"/>
    <w:rsid w:val="00B96960"/>
    <w:rsid w:val="00B96D02"/>
    <w:rsid w:val="00B96F45"/>
    <w:rsid w:val="00BA08E6"/>
    <w:rsid w:val="00BA1267"/>
    <w:rsid w:val="00BA43DD"/>
    <w:rsid w:val="00BA5021"/>
    <w:rsid w:val="00BA5A0E"/>
    <w:rsid w:val="00BA5A2F"/>
    <w:rsid w:val="00BA7DC5"/>
    <w:rsid w:val="00BB171E"/>
    <w:rsid w:val="00BB1AD0"/>
    <w:rsid w:val="00BB1DDC"/>
    <w:rsid w:val="00BB242B"/>
    <w:rsid w:val="00BB2F3F"/>
    <w:rsid w:val="00BB4127"/>
    <w:rsid w:val="00BB4DE2"/>
    <w:rsid w:val="00BB5468"/>
    <w:rsid w:val="00BB649B"/>
    <w:rsid w:val="00BB6AC7"/>
    <w:rsid w:val="00BB6F20"/>
    <w:rsid w:val="00BC0EF4"/>
    <w:rsid w:val="00BC1778"/>
    <w:rsid w:val="00BC2FE4"/>
    <w:rsid w:val="00BC30C9"/>
    <w:rsid w:val="00BC3910"/>
    <w:rsid w:val="00BC5738"/>
    <w:rsid w:val="00BC5EBE"/>
    <w:rsid w:val="00BC63AF"/>
    <w:rsid w:val="00BC687B"/>
    <w:rsid w:val="00BC71D1"/>
    <w:rsid w:val="00BC77EB"/>
    <w:rsid w:val="00BD077D"/>
    <w:rsid w:val="00BD0B4B"/>
    <w:rsid w:val="00BD22ED"/>
    <w:rsid w:val="00BD4C85"/>
    <w:rsid w:val="00BD56DD"/>
    <w:rsid w:val="00BD5C7E"/>
    <w:rsid w:val="00BD69CE"/>
    <w:rsid w:val="00BD70B0"/>
    <w:rsid w:val="00BD7B1B"/>
    <w:rsid w:val="00BE3259"/>
    <w:rsid w:val="00BE3E58"/>
    <w:rsid w:val="00BE4138"/>
    <w:rsid w:val="00BE4AB7"/>
    <w:rsid w:val="00BE63FE"/>
    <w:rsid w:val="00BE6BAC"/>
    <w:rsid w:val="00BE7C36"/>
    <w:rsid w:val="00BE7E40"/>
    <w:rsid w:val="00BF0A63"/>
    <w:rsid w:val="00BF1D3A"/>
    <w:rsid w:val="00BF1D4D"/>
    <w:rsid w:val="00BF6DB9"/>
    <w:rsid w:val="00C00068"/>
    <w:rsid w:val="00C01616"/>
    <w:rsid w:val="00C0162B"/>
    <w:rsid w:val="00C0179B"/>
    <w:rsid w:val="00C026BB"/>
    <w:rsid w:val="00C0281D"/>
    <w:rsid w:val="00C0345E"/>
    <w:rsid w:val="00C039B8"/>
    <w:rsid w:val="00C0552E"/>
    <w:rsid w:val="00C05758"/>
    <w:rsid w:val="00C064C5"/>
    <w:rsid w:val="00C068ED"/>
    <w:rsid w:val="00C074BC"/>
    <w:rsid w:val="00C1022A"/>
    <w:rsid w:val="00C114F4"/>
    <w:rsid w:val="00C123DB"/>
    <w:rsid w:val="00C127AC"/>
    <w:rsid w:val="00C13AB3"/>
    <w:rsid w:val="00C155FE"/>
    <w:rsid w:val="00C1581D"/>
    <w:rsid w:val="00C158EF"/>
    <w:rsid w:val="00C170C8"/>
    <w:rsid w:val="00C17ABF"/>
    <w:rsid w:val="00C208E9"/>
    <w:rsid w:val="00C215AF"/>
    <w:rsid w:val="00C216EA"/>
    <w:rsid w:val="00C216F5"/>
    <w:rsid w:val="00C217FA"/>
    <w:rsid w:val="00C21C0A"/>
    <w:rsid w:val="00C22B1C"/>
    <w:rsid w:val="00C22E0C"/>
    <w:rsid w:val="00C23274"/>
    <w:rsid w:val="00C233FF"/>
    <w:rsid w:val="00C23617"/>
    <w:rsid w:val="00C25B11"/>
    <w:rsid w:val="00C25EE5"/>
    <w:rsid w:val="00C26D4C"/>
    <w:rsid w:val="00C2741F"/>
    <w:rsid w:val="00C30F24"/>
    <w:rsid w:val="00C316A0"/>
    <w:rsid w:val="00C31D7A"/>
    <w:rsid w:val="00C345B1"/>
    <w:rsid w:val="00C34B0A"/>
    <w:rsid w:val="00C351DC"/>
    <w:rsid w:val="00C35AC3"/>
    <w:rsid w:val="00C35DBD"/>
    <w:rsid w:val="00C367DB"/>
    <w:rsid w:val="00C36C5A"/>
    <w:rsid w:val="00C36DD6"/>
    <w:rsid w:val="00C40142"/>
    <w:rsid w:val="00C4041E"/>
    <w:rsid w:val="00C41AF9"/>
    <w:rsid w:val="00C4303A"/>
    <w:rsid w:val="00C43D6C"/>
    <w:rsid w:val="00C4529D"/>
    <w:rsid w:val="00C45B84"/>
    <w:rsid w:val="00C46CB0"/>
    <w:rsid w:val="00C471D8"/>
    <w:rsid w:val="00C4725E"/>
    <w:rsid w:val="00C473FE"/>
    <w:rsid w:val="00C47B16"/>
    <w:rsid w:val="00C47D52"/>
    <w:rsid w:val="00C514B1"/>
    <w:rsid w:val="00C51B56"/>
    <w:rsid w:val="00C51ED2"/>
    <w:rsid w:val="00C52C3C"/>
    <w:rsid w:val="00C52EE1"/>
    <w:rsid w:val="00C53ACC"/>
    <w:rsid w:val="00C55EC8"/>
    <w:rsid w:val="00C55FDF"/>
    <w:rsid w:val="00C56E75"/>
    <w:rsid w:val="00C57182"/>
    <w:rsid w:val="00C57863"/>
    <w:rsid w:val="00C57C35"/>
    <w:rsid w:val="00C61AC1"/>
    <w:rsid w:val="00C6225A"/>
    <w:rsid w:val="00C634B4"/>
    <w:rsid w:val="00C6384D"/>
    <w:rsid w:val="00C640AF"/>
    <w:rsid w:val="00C645AC"/>
    <w:rsid w:val="00C64C90"/>
    <w:rsid w:val="00C655FD"/>
    <w:rsid w:val="00C67832"/>
    <w:rsid w:val="00C67CA9"/>
    <w:rsid w:val="00C712B4"/>
    <w:rsid w:val="00C730A7"/>
    <w:rsid w:val="00C74960"/>
    <w:rsid w:val="00C750E5"/>
    <w:rsid w:val="00C75407"/>
    <w:rsid w:val="00C77709"/>
    <w:rsid w:val="00C826BD"/>
    <w:rsid w:val="00C8275C"/>
    <w:rsid w:val="00C828B4"/>
    <w:rsid w:val="00C82FB2"/>
    <w:rsid w:val="00C8350C"/>
    <w:rsid w:val="00C841C6"/>
    <w:rsid w:val="00C84803"/>
    <w:rsid w:val="00C84F3A"/>
    <w:rsid w:val="00C86B54"/>
    <w:rsid w:val="00C870A8"/>
    <w:rsid w:val="00C91154"/>
    <w:rsid w:val="00C917B6"/>
    <w:rsid w:val="00C91AB3"/>
    <w:rsid w:val="00C921B8"/>
    <w:rsid w:val="00C924A6"/>
    <w:rsid w:val="00C93956"/>
    <w:rsid w:val="00C9431C"/>
    <w:rsid w:val="00C94434"/>
    <w:rsid w:val="00C94717"/>
    <w:rsid w:val="00C948D8"/>
    <w:rsid w:val="00C94D15"/>
    <w:rsid w:val="00C94D7F"/>
    <w:rsid w:val="00C96DC6"/>
    <w:rsid w:val="00C973A0"/>
    <w:rsid w:val="00C977BD"/>
    <w:rsid w:val="00C97F5F"/>
    <w:rsid w:val="00CA0000"/>
    <w:rsid w:val="00CA0D75"/>
    <w:rsid w:val="00CA1176"/>
    <w:rsid w:val="00CA14ED"/>
    <w:rsid w:val="00CA1C95"/>
    <w:rsid w:val="00CA4B8C"/>
    <w:rsid w:val="00CA55F3"/>
    <w:rsid w:val="00CA5A9C"/>
    <w:rsid w:val="00CA5E53"/>
    <w:rsid w:val="00CA6A50"/>
    <w:rsid w:val="00CA6BAA"/>
    <w:rsid w:val="00CA77A8"/>
    <w:rsid w:val="00CB16EF"/>
    <w:rsid w:val="00CB1AF8"/>
    <w:rsid w:val="00CB2889"/>
    <w:rsid w:val="00CB38F8"/>
    <w:rsid w:val="00CB4520"/>
    <w:rsid w:val="00CB4B71"/>
    <w:rsid w:val="00CB5BE2"/>
    <w:rsid w:val="00CB6F78"/>
    <w:rsid w:val="00CB7063"/>
    <w:rsid w:val="00CB748B"/>
    <w:rsid w:val="00CC0083"/>
    <w:rsid w:val="00CC009A"/>
    <w:rsid w:val="00CC02A4"/>
    <w:rsid w:val="00CC066E"/>
    <w:rsid w:val="00CC09FE"/>
    <w:rsid w:val="00CC1928"/>
    <w:rsid w:val="00CC225B"/>
    <w:rsid w:val="00CC33AD"/>
    <w:rsid w:val="00CC4C20"/>
    <w:rsid w:val="00CC5910"/>
    <w:rsid w:val="00CC5A42"/>
    <w:rsid w:val="00CC702D"/>
    <w:rsid w:val="00CD0BDC"/>
    <w:rsid w:val="00CD28CF"/>
    <w:rsid w:val="00CD2C53"/>
    <w:rsid w:val="00CD3517"/>
    <w:rsid w:val="00CD3767"/>
    <w:rsid w:val="00CD5635"/>
    <w:rsid w:val="00CD5FE2"/>
    <w:rsid w:val="00CD684C"/>
    <w:rsid w:val="00CD6A79"/>
    <w:rsid w:val="00CD78FD"/>
    <w:rsid w:val="00CE029E"/>
    <w:rsid w:val="00CE092C"/>
    <w:rsid w:val="00CE106C"/>
    <w:rsid w:val="00CE2D50"/>
    <w:rsid w:val="00CE4E2A"/>
    <w:rsid w:val="00CE53A6"/>
    <w:rsid w:val="00CE63BF"/>
    <w:rsid w:val="00CE666B"/>
    <w:rsid w:val="00CE72ED"/>
    <w:rsid w:val="00CE7C68"/>
    <w:rsid w:val="00CF0403"/>
    <w:rsid w:val="00CF05D2"/>
    <w:rsid w:val="00CF0CFC"/>
    <w:rsid w:val="00CF23AB"/>
    <w:rsid w:val="00CF37B7"/>
    <w:rsid w:val="00CF39ED"/>
    <w:rsid w:val="00CF3CC7"/>
    <w:rsid w:val="00CF4105"/>
    <w:rsid w:val="00CF493E"/>
    <w:rsid w:val="00CF4F4C"/>
    <w:rsid w:val="00CF5E2B"/>
    <w:rsid w:val="00CF6A31"/>
    <w:rsid w:val="00CF7178"/>
    <w:rsid w:val="00D00E44"/>
    <w:rsid w:val="00D01D94"/>
    <w:rsid w:val="00D01DFB"/>
    <w:rsid w:val="00D02B31"/>
    <w:rsid w:val="00D02B4C"/>
    <w:rsid w:val="00D03E02"/>
    <w:rsid w:val="00D03EA0"/>
    <w:rsid w:val="00D04059"/>
    <w:rsid w:val="00D040AE"/>
    <w:rsid w:val="00D040C4"/>
    <w:rsid w:val="00D04B14"/>
    <w:rsid w:val="00D065A8"/>
    <w:rsid w:val="00D06B79"/>
    <w:rsid w:val="00D1131F"/>
    <w:rsid w:val="00D115EF"/>
    <w:rsid w:val="00D11774"/>
    <w:rsid w:val="00D11DDE"/>
    <w:rsid w:val="00D11F26"/>
    <w:rsid w:val="00D1203D"/>
    <w:rsid w:val="00D12124"/>
    <w:rsid w:val="00D12A02"/>
    <w:rsid w:val="00D13201"/>
    <w:rsid w:val="00D141A7"/>
    <w:rsid w:val="00D14435"/>
    <w:rsid w:val="00D144E7"/>
    <w:rsid w:val="00D14A33"/>
    <w:rsid w:val="00D14B7B"/>
    <w:rsid w:val="00D154BE"/>
    <w:rsid w:val="00D16457"/>
    <w:rsid w:val="00D1650C"/>
    <w:rsid w:val="00D16E21"/>
    <w:rsid w:val="00D16F8A"/>
    <w:rsid w:val="00D1766E"/>
    <w:rsid w:val="00D20AD1"/>
    <w:rsid w:val="00D20ADC"/>
    <w:rsid w:val="00D20C3F"/>
    <w:rsid w:val="00D2121B"/>
    <w:rsid w:val="00D21270"/>
    <w:rsid w:val="00D2299E"/>
    <w:rsid w:val="00D22E11"/>
    <w:rsid w:val="00D23913"/>
    <w:rsid w:val="00D23930"/>
    <w:rsid w:val="00D23B02"/>
    <w:rsid w:val="00D24439"/>
    <w:rsid w:val="00D244A5"/>
    <w:rsid w:val="00D25662"/>
    <w:rsid w:val="00D257A6"/>
    <w:rsid w:val="00D2582C"/>
    <w:rsid w:val="00D25DB5"/>
    <w:rsid w:val="00D263CD"/>
    <w:rsid w:val="00D30239"/>
    <w:rsid w:val="00D30E7B"/>
    <w:rsid w:val="00D3110E"/>
    <w:rsid w:val="00D314D1"/>
    <w:rsid w:val="00D3151F"/>
    <w:rsid w:val="00D31DF0"/>
    <w:rsid w:val="00D332E2"/>
    <w:rsid w:val="00D3343C"/>
    <w:rsid w:val="00D355AB"/>
    <w:rsid w:val="00D35CBE"/>
    <w:rsid w:val="00D35D75"/>
    <w:rsid w:val="00D36A32"/>
    <w:rsid w:val="00D36A90"/>
    <w:rsid w:val="00D40449"/>
    <w:rsid w:val="00D41352"/>
    <w:rsid w:val="00D414F4"/>
    <w:rsid w:val="00D4150C"/>
    <w:rsid w:val="00D42436"/>
    <w:rsid w:val="00D4292E"/>
    <w:rsid w:val="00D43F74"/>
    <w:rsid w:val="00D43F95"/>
    <w:rsid w:val="00D4401E"/>
    <w:rsid w:val="00D44992"/>
    <w:rsid w:val="00D44CC1"/>
    <w:rsid w:val="00D45C9A"/>
    <w:rsid w:val="00D4635A"/>
    <w:rsid w:val="00D46B7E"/>
    <w:rsid w:val="00D47779"/>
    <w:rsid w:val="00D51498"/>
    <w:rsid w:val="00D516A5"/>
    <w:rsid w:val="00D546A7"/>
    <w:rsid w:val="00D5483E"/>
    <w:rsid w:val="00D551DE"/>
    <w:rsid w:val="00D5720A"/>
    <w:rsid w:val="00D57C84"/>
    <w:rsid w:val="00D604D5"/>
    <w:rsid w:val="00D6057D"/>
    <w:rsid w:val="00D60627"/>
    <w:rsid w:val="00D63AFD"/>
    <w:rsid w:val="00D64A48"/>
    <w:rsid w:val="00D66675"/>
    <w:rsid w:val="00D6667C"/>
    <w:rsid w:val="00D66D2C"/>
    <w:rsid w:val="00D7115B"/>
    <w:rsid w:val="00D713AA"/>
    <w:rsid w:val="00D71640"/>
    <w:rsid w:val="00D72368"/>
    <w:rsid w:val="00D72838"/>
    <w:rsid w:val="00D7295D"/>
    <w:rsid w:val="00D72C5F"/>
    <w:rsid w:val="00D7411C"/>
    <w:rsid w:val="00D7446B"/>
    <w:rsid w:val="00D74F26"/>
    <w:rsid w:val="00D74FEF"/>
    <w:rsid w:val="00D75532"/>
    <w:rsid w:val="00D75A03"/>
    <w:rsid w:val="00D76694"/>
    <w:rsid w:val="00D77CFD"/>
    <w:rsid w:val="00D80FAF"/>
    <w:rsid w:val="00D8105E"/>
    <w:rsid w:val="00D82019"/>
    <w:rsid w:val="00D82C41"/>
    <w:rsid w:val="00D82E5B"/>
    <w:rsid w:val="00D836C5"/>
    <w:rsid w:val="00D83E39"/>
    <w:rsid w:val="00D843C3"/>
    <w:rsid w:val="00D84576"/>
    <w:rsid w:val="00D85147"/>
    <w:rsid w:val="00D85B78"/>
    <w:rsid w:val="00D85D9F"/>
    <w:rsid w:val="00D872B2"/>
    <w:rsid w:val="00D872CA"/>
    <w:rsid w:val="00D87D8E"/>
    <w:rsid w:val="00D90DE8"/>
    <w:rsid w:val="00D9111C"/>
    <w:rsid w:val="00D9157C"/>
    <w:rsid w:val="00D91D68"/>
    <w:rsid w:val="00D9207D"/>
    <w:rsid w:val="00D9229E"/>
    <w:rsid w:val="00D92554"/>
    <w:rsid w:val="00D9273E"/>
    <w:rsid w:val="00D927B4"/>
    <w:rsid w:val="00D938F5"/>
    <w:rsid w:val="00D93D74"/>
    <w:rsid w:val="00D94FC7"/>
    <w:rsid w:val="00D951DB"/>
    <w:rsid w:val="00D95424"/>
    <w:rsid w:val="00D961DC"/>
    <w:rsid w:val="00D966D5"/>
    <w:rsid w:val="00D96C71"/>
    <w:rsid w:val="00D976D5"/>
    <w:rsid w:val="00D9776A"/>
    <w:rsid w:val="00D978F9"/>
    <w:rsid w:val="00DA1399"/>
    <w:rsid w:val="00DA14C4"/>
    <w:rsid w:val="00DA24C6"/>
    <w:rsid w:val="00DA4A6B"/>
    <w:rsid w:val="00DA4D7B"/>
    <w:rsid w:val="00DA54E3"/>
    <w:rsid w:val="00DA5B0D"/>
    <w:rsid w:val="00DA5C98"/>
    <w:rsid w:val="00DA620A"/>
    <w:rsid w:val="00DA7AB5"/>
    <w:rsid w:val="00DB00D2"/>
    <w:rsid w:val="00DB01FA"/>
    <w:rsid w:val="00DB1E79"/>
    <w:rsid w:val="00DB2C32"/>
    <w:rsid w:val="00DB4C56"/>
    <w:rsid w:val="00DB5482"/>
    <w:rsid w:val="00DB6774"/>
    <w:rsid w:val="00DB6AB7"/>
    <w:rsid w:val="00DB6D2B"/>
    <w:rsid w:val="00DB719A"/>
    <w:rsid w:val="00DB7379"/>
    <w:rsid w:val="00DC048D"/>
    <w:rsid w:val="00DC0518"/>
    <w:rsid w:val="00DC4684"/>
    <w:rsid w:val="00DC4FC9"/>
    <w:rsid w:val="00DC588D"/>
    <w:rsid w:val="00DD087C"/>
    <w:rsid w:val="00DD1DC0"/>
    <w:rsid w:val="00DD20CD"/>
    <w:rsid w:val="00DD271C"/>
    <w:rsid w:val="00DD29AF"/>
    <w:rsid w:val="00DD2A5D"/>
    <w:rsid w:val="00DD2D7E"/>
    <w:rsid w:val="00DD34B8"/>
    <w:rsid w:val="00DD3D97"/>
    <w:rsid w:val="00DD45AC"/>
    <w:rsid w:val="00DD5A1A"/>
    <w:rsid w:val="00DD5D28"/>
    <w:rsid w:val="00DD6A49"/>
    <w:rsid w:val="00DD7462"/>
    <w:rsid w:val="00DE0846"/>
    <w:rsid w:val="00DE0BB4"/>
    <w:rsid w:val="00DE264A"/>
    <w:rsid w:val="00DE2DE2"/>
    <w:rsid w:val="00DE3495"/>
    <w:rsid w:val="00DE3D3B"/>
    <w:rsid w:val="00DE3E29"/>
    <w:rsid w:val="00DE41F3"/>
    <w:rsid w:val="00DE5B8C"/>
    <w:rsid w:val="00DE6151"/>
    <w:rsid w:val="00DE7E37"/>
    <w:rsid w:val="00DF0196"/>
    <w:rsid w:val="00DF03D7"/>
    <w:rsid w:val="00DF0FE3"/>
    <w:rsid w:val="00DF1784"/>
    <w:rsid w:val="00DF3945"/>
    <w:rsid w:val="00DF4648"/>
    <w:rsid w:val="00DF4720"/>
    <w:rsid w:val="00DF4B63"/>
    <w:rsid w:val="00DF5072"/>
    <w:rsid w:val="00DF6531"/>
    <w:rsid w:val="00DF6AED"/>
    <w:rsid w:val="00DF7303"/>
    <w:rsid w:val="00DF7C22"/>
    <w:rsid w:val="00E0090B"/>
    <w:rsid w:val="00E00BDE"/>
    <w:rsid w:val="00E01FAE"/>
    <w:rsid w:val="00E02D18"/>
    <w:rsid w:val="00E031E2"/>
    <w:rsid w:val="00E035AA"/>
    <w:rsid w:val="00E03A3B"/>
    <w:rsid w:val="00E041E7"/>
    <w:rsid w:val="00E049A1"/>
    <w:rsid w:val="00E04AC3"/>
    <w:rsid w:val="00E054BF"/>
    <w:rsid w:val="00E05EF3"/>
    <w:rsid w:val="00E06619"/>
    <w:rsid w:val="00E0695C"/>
    <w:rsid w:val="00E1120F"/>
    <w:rsid w:val="00E119CE"/>
    <w:rsid w:val="00E11E62"/>
    <w:rsid w:val="00E13338"/>
    <w:rsid w:val="00E13499"/>
    <w:rsid w:val="00E1464D"/>
    <w:rsid w:val="00E149A0"/>
    <w:rsid w:val="00E17716"/>
    <w:rsid w:val="00E20FBE"/>
    <w:rsid w:val="00E21656"/>
    <w:rsid w:val="00E221AB"/>
    <w:rsid w:val="00E22E44"/>
    <w:rsid w:val="00E23770"/>
    <w:rsid w:val="00E23CA1"/>
    <w:rsid w:val="00E24551"/>
    <w:rsid w:val="00E261BA"/>
    <w:rsid w:val="00E26543"/>
    <w:rsid w:val="00E26D74"/>
    <w:rsid w:val="00E27303"/>
    <w:rsid w:val="00E27577"/>
    <w:rsid w:val="00E31078"/>
    <w:rsid w:val="00E3221F"/>
    <w:rsid w:val="00E322A6"/>
    <w:rsid w:val="00E32A17"/>
    <w:rsid w:val="00E33C3B"/>
    <w:rsid w:val="00E33E19"/>
    <w:rsid w:val="00E343B1"/>
    <w:rsid w:val="00E347FB"/>
    <w:rsid w:val="00E34F54"/>
    <w:rsid w:val="00E363E1"/>
    <w:rsid w:val="00E36F0C"/>
    <w:rsid w:val="00E370C6"/>
    <w:rsid w:val="00E37C3D"/>
    <w:rsid w:val="00E40284"/>
    <w:rsid w:val="00E409A8"/>
    <w:rsid w:val="00E431A3"/>
    <w:rsid w:val="00E43C40"/>
    <w:rsid w:val="00E4405D"/>
    <w:rsid w:val="00E443C1"/>
    <w:rsid w:val="00E445F5"/>
    <w:rsid w:val="00E44855"/>
    <w:rsid w:val="00E44FE0"/>
    <w:rsid w:val="00E4506E"/>
    <w:rsid w:val="00E4570E"/>
    <w:rsid w:val="00E457B7"/>
    <w:rsid w:val="00E457B9"/>
    <w:rsid w:val="00E45CDD"/>
    <w:rsid w:val="00E4628A"/>
    <w:rsid w:val="00E4642A"/>
    <w:rsid w:val="00E465A4"/>
    <w:rsid w:val="00E46C54"/>
    <w:rsid w:val="00E47D61"/>
    <w:rsid w:val="00E5045B"/>
    <w:rsid w:val="00E50C12"/>
    <w:rsid w:val="00E51461"/>
    <w:rsid w:val="00E51739"/>
    <w:rsid w:val="00E51B1E"/>
    <w:rsid w:val="00E52DE8"/>
    <w:rsid w:val="00E54486"/>
    <w:rsid w:val="00E55826"/>
    <w:rsid w:val="00E55C20"/>
    <w:rsid w:val="00E56319"/>
    <w:rsid w:val="00E571D9"/>
    <w:rsid w:val="00E57418"/>
    <w:rsid w:val="00E57751"/>
    <w:rsid w:val="00E578DB"/>
    <w:rsid w:val="00E579F1"/>
    <w:rsid w:val="00E62BD2"/>
    <w:rsid w:val="00E63933"/>
    <w:rsid w:val="00E65B91"/>
    <w:rsid w:val="00E67051"/>
    <w:rsid w:val="00E713CD"/>
    <w:rsid w:val="00E718F6"/>
    <w:rsid w:val="00E71E9D"/>
    <w:rsid w:val="00E7209D"/>
    <w:rsid w:val="00E72C8B"/>
    <w:rsid w:val="00E72EAD"/>
    <w:rsid w:val="00E7302D"/>
    <w:rsid w:val="00E731CE"/>
    <w:rsid w:val="00E732D1"/>
    <w:rsid w:val="00E737B2"/>
    <w:rsid w:val="00E73875"/>
    <w:rsid w:val="00E73D8B"/>
    <w:rsid w:val="00E73EE6"/>
    <w:rsid w:val="00E74562"/>
    <w:rsid w:val="00E74A3C"/>
    <w:rsid w:val="00E756F0"/>
    <w:rsid w:val="00E7659A"/>
    <w:rsid w:val="00E76B74"/>
    <w:rsid w:val="00E76D3A"/>
    <w:rsid w:val="00E76DEB"/>
    <w:rsid w:val="00E771F3"/>
    <w:rsid w:val="00E77223"/>
    <w:rsid w:val="00E81101"/>
    <w:rsid w:val="00E8216F"/>
    <w:rsid w:val="00E82C62"/>
    <w:rsid w:val="00E8528B"/>
    <w:rsid w:val="00E85B94"/>
    <w:rsid w:val="00E85C08"/>
    <w:rsid w:val="00E86B1A"/>
    <w:rsid w:val="00E879A6"/>
    <w:rsid w:val="00E909F2"/>
    <w:rsid w:val="00E91442"/>
    <w:rsid w:val="00E91CAC"/>
    <w:rsid w:val="00E929F3"/>
    <w:rsid w:val="00E94503"/>
    <w:rsid w:val="00E949C6"/>
    <w:rsid w:val="00E94A54"/>
    <w:rsid w:val="00E95C3C"/>
    <w:rsid w:val="00E96214"/>
    <w:rsid w:val="00E96E94"/>
    <w:rsid w:val="00E9734F"/>
    <w:rsid w:val="00E97607"/>
    <w:rsid w:val="00E978D0"/>
    <w:rsid w:val="00E97A84"/>
    <w:rsid w:val="00EA0429"/>
    <w:rsid w:val="00EA069D"/>
    <w:rsid w:val="00EA2524"/>
    <w:rsid w:val="00EA27F9"/>
    <w:rsid w:val="00EA3AAB"/>
    <w:rsid w:val="00EA4613"/>
    <w:rsid w:val="00EA53F0"/>
    <w:rsid w:val="00EA5E6A"/>
    <w:rsid w:val="00EA6037"/>
    <w:rsid w:val="00EA6458"/>
    <w:rsid w:val="00EA65E1"/>
    <w:rsid w:val="00EA7158"/>
    <w:rsid w:val="00EA7C04"/>
    <w:rsid w:val="00EA7F91"/>
    <w:rsid w:val="00EB02C8"/>
    <w:rsid w:val="00EB072D"/>
    <w:rsid w:val="00EB0864"/>
    <w:rsid w:val="00EB08AC"/>
    <w:rsid w:val="00EB0EAF"/>
    <w:rsid w:val="00EB1523"/>
    <w:rsid w:val="00EB1524"/>
    <w:rsid w:val="00EB2CE4"/>
    <w:rsid w:val="00EB3DD9"/>
    <w:rsid w:val="00EB61A7"/>
    <w:rsid w:val="00EB61FC"/>
    <w:rsid w:val="00EB6FFD"/>
    <w:rsid w:val="00EC039A"/>
    <w:rsid w:val="00EC09E6"/>
    <w:rsid w:val="00EC0E49"/>
    <w:rsid w:val="00EC101F"/>
    <w:rsid w:val="00EC1B83"/>
    <w:rsid w:val="00EC1D9F"/>
    <w:rsid w:val="00EC1FB3"/>
    <w:rsid w:val="00EC2143"/>
    <w:rsid w:val="00EC237E"/>
    <w:rsid w:val="00EC2DDB"/>
    <w:rsid w:val="00EC47C8"/>
    <w:rsid w:val="00EC5D42"/>
    <w:rsid w:val="00EC61CB"/>
    <w:rsid w:val="00EC635F"/>
    <w:rsid w:val="00EC64D3"/>
    <w:rsid w:val="00EC7055"/>
    <w:rsid w:val="00ED1BED"/>
    <w:rsid w:val="00ED218B"/>
    <w:rsid w:val="00ED26AA"/>
    <w:rsid w:val="00ED3272"/>
    <w:rsid w:val="00ED3341"/>
    <w:rsid w:val="00ED49A0"/>
    <w:rsid w:val="00ED4C8F"/>
    <w:rsid w:val="00ED5075"/>
    <w:rsid w:val="00ED51C2"/>
    <w:rsid w:val="00ED55D4"/>
    <w:rsid w:val="00ED55F4"/>
    <w:rsid w:val="00ED6026"/>
    <w:rsid w:val="00ED63D8"/>
    <w:rsid w:val="00ED64B4"/>
    <w:rsid w:val="00ED7588"/>
    <w:rsid w:val="00ED7B83"/>
    <w:rsid w:val="00ED7E5E"/>
    <w:rsid w:val="00ED7F14"/>
    <w:rsid w:val="00EE0046"/>
    <w:rsid w:val="00EE0131"/>
    <w:rsid w:val="00EE0F44"/>
    <w:rsid w:val="00EE125D"/>
    <w:rsid w:val="00EE1422"/>
    <w:rsid w:val="00EE17B0"/>
    <w:rsid w:val="00EE40DF"/>
    <w:rsid w:val="00EE4B2F"/>
    <w:rsid w:val="00EE63F0"/>
    <w:rsid w:val="00EE7643"/>
    <w:rsid w:val="00EE7738"/>
    <w:rsid w:val="00EE7A60"/>
    <w:rsid w:val="00EF06D9"/>
    <w:rsid w:val="00EF07A9"/>
    <w:rsid w:val="00EF0982"/>
    <w:rsid w:val="00EF0A67"/>
    <w:rsid w:val="00EF1EA1"/>
    <w:rsid w:val="00EF2EDA"/>
    <w:rsid w:val="00EF3BE3"/>
    <w:rsid w:val="00EF3DB5"/>
    <w:rsid w:val="00EF41A1"/>
    <w:rsid w:val="00EF41A9"/>
    <w:rsid w:val="00EF4474"/>
    <w:rsid w:val="00EF45A4"/>
    <w:rsid w:val="00EF56FC"/>
    <w:rsid w:val="00EF75A5"/>
    <w:rsid w:val="00F00725"/>
    <w:rsid w:val="00F01FDC"/>
    <w:rsid w:val="00F020F3"/>
    <w:rsid w:val="00F03016"/>
    <w:rsid w:val="00F043DC"/>
    <w:rsid w:val="00F04DCA"/>
    <w:rsid w:val="00F059CD"/>
    <w:rsid w:val="00F05FD9"/>
    <w:rsid w:val="00F065AD"/>
    <w:rsid w:val="00F11885"/>
    <w:rsid w:val="00F127BA"/>
    <w:rsid w:val="00F12FDD"/>
    <w:rsid w:val="00F13732"/>
    <w:rsid w:val="00F13FBE"/>
    <w:rsid w:val="00F15056"/>
    <w:rsid w:val="00F150CF"/>
    <w:rsid w:val="00F157F8"/>
    <w:rsid w:val="00F159AA"/>
    <w:rsid w:val="00F16639"/>
    <w:rsid w:val="00F16E85"/>
    <w:rsid w:val="00F16EC6"/>
    <w:rsid w:val="00F1708C"/>
    <w:rsid w:val="00F17CC0"/>
    <w:rsid w:val="00F2078D"/>
    <w:rsid w:val="00F218E7"/>
    <w:rsid w:val="00F22348"/>
    <w:rsid w:val="00F22EE9"/>
    <w:rsid w:val="00F234BC"/>
    <w:rsid w:val="00F235B7"/>
    <w:rsid w:val="00F24481"/>
    <w:rsid w:val="00F24BEA"/>
    <w:rsid w:val="00F24D26"/>
    <w:rsid w:val="00F26874"/>
    <w:rsid w:val="00F27587"/>
    <w:rsid w:val="00F3049E"/>
    <w:rsid w:val="00F30C64"/>
    <w:rsid w:val="00F31BE8"/>
    <w:rsid w:val="00F31F7F"/>
    <w:rsid w:val="00F32BA2"/>
    <w:rsid w:val="00F32CDB"/>
    <w:rsid w:val="00F333B5"/>
    <w:rsid w:val="00F33412"/>
    <w:rsid w:val="00F3348F"/>
    <w:rsid w:val="00F33E86"/>
    <w:rsid w:val="00F34D13"/>
    <w:rsid w:val="00F37280"/>
    <w:rsid w:val="00F3783C"/>
    <w:rsid w:val="00F4054B"/>
    <w:rsid w:val="00F40588"/>
    <w:rsid w:val="00F40B05"/>
    <w:rsid w:val="00F41286"/>
    <w:rsid w:val="00F417AE"/>
    <w:rsid w:val="00F41BC1"/>
    <w:rsid w:val="00F41D85"/>
    <w:rsid w:val="00F41EE4"/>
    <w:rsid w:val="00F43B67"/>
    <w:rsid w:val="00F44567"/>
    <w:rsid w:val="00F44FA6"/>
    <w:rsid w:val="00F500A7"/>
    <w:rsid w:val="00F51019"/>
    <w:rsid w:val="00F51BE8"/>
    <w:rsid w:val="00F51E59"/>
    <w:rsid w:val="00F52B55"/>
    <w:rsid w:val="00F52DB0"/>
    <w:rsid w:val="00F52F29"/>
    <w:rsid w:val="00F5330C"/>
    <w:rsid w:val="00F53EDF"/>
    <w:rsid w:val="00F544F6"/>
    <w:rsid w:val="00F54D94"/>
    <w:rsid w:val="00F552A8"/>
    <w:rsid w:val="00F565FE"/>
    <w:rsid w:val="00F56F30"/>
    <w:rsid w:val="00F57FF6"/>
    <w:rsid w:val="00F607D5"/>
    <w:rsid w:val="00F61E6A"/>
    <w:rsid w:val="00F63A70"/>
    <w:rsid w:val="00F63B07"/>
    <w:rsid w:val="00F63D8C"/>
    <w:rsid w:val="00F645DF"/>
    <w:rsid w:val="00F6532F"/>
    <w:rsid w:val="00F65659"/>
    <w:rsid w:val="00F66627"/>
    <w:rsid w:val="00F66DE2"/>
    <w:rsid w:val="00F7078B"/>
    <w:rsid w:val="00F710DF"/>
    <w:rsid w:val="00F71A16"/>
    <w:rsid w:val="00F71B4B"/>
    <w:rsid w:val="00F71B95"/>
    <w:rsid w:val="00F7308A"/>
    <w:rsid w:val="00F74F28"/>
    <w:rsid w:val="00F7534E"/>
    <w:rsid w:val="00F76BA2"/>
    <w:rsid w:val="00F76C84"/>
    <w:rsid w:val="00F77871"/>
    <w:rsid w:val="00F77D2F"/>
    <w:rsid w:val="00F80E1F"/>
    <w:rsid w:val="00F8114E"/>
    <w:rsid w:val="00F81939"/>
    <w:rsid w:val="00F83923"/>
    <w:rsid w:val="00F83936"/>
    <w:rsid w:val="00F8468A"/>
    <w:rsid w:val="00F84FC1"/>
    <w:rsid w:val="00F85158"/>
    <w:rsid w:val="00F85C2E"/>
    <w:rsid w:val="00F85C56"/>
    <w:rsid w:val="00F904C8"/>
    <w:rsid w:val="00F907F0"/>
    <w:rsid w:val="00F90F92"/>
    <w:rsid w:val="00F928E9"/>
    <w:rsid w:val="00F93EDF"/>
    <w:rsid w:val="00F94802"/>
    <w:rsid w:val="00F95240"/>
    <w:rsid w:val="00F95E0C"/>
    <w:rsid w:val="00FA002F"/>
    <w:rsid w:val="00FA0872"/>
    <w:rsid w:val="00FA1802"/>
    <w:rsid w:val="00FA1B46"/>
    <w:rsid w:val="00FA21D0"/>
    <w:rsid w:val="00FA2906"/>
    <w:rsid w:val="00FA2E8C"/>
    <w:rsid w:val="00FA4250"/>
    <w:rsid w:val="00FA5458"/>
    <w:rsid w:val="00FA5A23"/>
    <w:rsid w:val="00FA5F5F"/>
    <w:rsid w:val="00FA6E53"/>
    <w:rsid w:val="00FA709A"/>
    <w:rsid w:val="00FA7788"/>
    <w:rsid w:val="00FA7C5F"/>
    <w:rsid w:val="00FA7EA6"/>
    <w:rsid w:val="00FB035F"/>
    <w:rsid w:val="00FB04D9"/>
    <w:rsid w:val="00FB09CE"/>
    <w:rsid w:val="00FB2572"/>
    <w:rsid w:val="00FB2690"/>
    <w:rsid w:val="00FB2CC1"/>
    <w:rsid w:val="00FB3CC3"/>
    <w:rsid w:val="00FB3E99"/>
    <w:rsid w:val="00FB4FDA"/>
    <w:rsid w:val="00FB5431"/>
    <w:rsid w:val="00FB6382"/>
    <w:rsid w:val="00FB66DF"/>
    <w:rsid w:val="00FB6928"/>
    <w:rsid w:val="00FB730C"/>
    <w:rsid w:val="00FB748E"/>
    <w:rsid w:val="00FB7EB7"/>
    <w:rsid w:val="00FC024E"/>
    <w:rsid w:val="00FC0F18"/>
    <w:rsid w:val="00FC12DB"/>
    <w:rsid w:val="00FC1C48"/>
    <w:rsid w:val="00FC248B"/>
    <w:rsid w:val="00FC2695"/>
    <w:rsid w:val="00FC32A0"/>
    <w:rsid w:val="00FC3E03"/>
    <w:rsid w:val="00FC3FC1"/>
    <w:rsid w:val="00FC45F2"/>
    <w:rsid w:val="00FC4D99"/>
    <w:rsid w:val="00FC5902"/>
    <w:rsid w:val="00FC5AB2"/>
    <w:rsid w:val="00FC673A"/>
    <w:rsid w:val="00FC6DDA"/>
    <w:rsid w:val="00FC7035"/>
    <w:rsid w:val="00FC70EB"/>
    <w:rsid w:val="00FD008D"/>
    <w:rsid w:val="00FD0590"/>
    <w:rsid w:val="00FD1691"/>
    <w:rsid w:val="00FD17C1"/>
    <w:rsid w:val="00FD1A49"/>
    <w:rsid w:val="00FD2E96"/>
    <w:rsid w:val="00FD40B3"/>
    <w:rsid w:val="00FD40EC"/>
    <w:rsid w:val="00FD43C1"/>
    <w:rsid w:val="00FD5696"/>
    <w:rsid w:val="00FD5B9B"/>
    <w:rsid w:val="00FE0684"/>
    <w:rsid w:val="00FE2106"/>
    <w:rsid w:val="00FE2CFB"/>
    <w:rsid w:val="00FE317C"/>
    <w:rsid w:val="00FE348B"/>
    <w:rsid w:val="00FE43E1"/>
    <w:rsid w:val="00FE5264"/>
    <w:rsid w:val="00FE7A40"/>
    <w:rsid w:val="00FF0ABC"/>
    <w:rsid w:val="00FF2897"/>
    <w:rsid w:val="00FF28F7"/>
    <w:rsid w:val="00FF2CC9"/>
    <w:rsid w:val="00FF6201"/>
    <w:rsid w:val="00FF759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B748E"/>
    <w:pPr>
      <w:keepNext/>
      <w:numPr>
        <w:ilvl w:val="2"/>
        <w:numId w:val="1"/>
      </w:numPr>
      <w:suppressAutoHyphens/>
      <w:spacing w:before="120" w:after="120" w:line="240" w:lineRule="auto"/>
      <w:ind w:hanging="2409"/>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B748E"/>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customStyle="1" w:styleId="ts-alignment-element-highlighted">
    <w:name w:val="ts-alignment-element-highlighted"/>
    <w:basedOn w:val="Carpredefinitoparagrafo"/>
    <w:rsid w:val="004A6CD7"/>
  </w:style>
  <w:style w:type="character" w:customStyle="1" w:styleId="ts-alignment-element">
    <w:name w:val="ts-alignment-element"/>
    <w:basedOn w:val="Carpredefinitoparagrafo"/>
    <w:rsid w:val="004A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3565</Words>
  <Characters>20785</Characters>
  <Application>Microsoft Office Word</Application>
  <DocSecurity>0</DocSecurity>
  <Lines>742</Lines>
  <Paragraphs>333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Pirone Annalisa</cp:lastModifiedBy>
  <cp:revision>60</cp:revision>
  <cp:lastPrinted>2026-02-03T12:08:00Z</cp:lastPrinted>
  <dcterms:created xsi:type="dcterms:W3CDTF">2026-02-24T15:16:00Z</dcterms:created>
  <dcterms:modified xsi:type="dcterms:W3CDTF">2026-03-03T10:55:00Z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