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8A2DC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8A2DC6" w:rsidRDefault="000A03B2" w:rsidP="00FF3606">
            <w:pPr>
              <w:tabs>
                <w:tab w:val="left" w:pos="-108"/>
              </w:tabs>
              <w:ind w:left="-108"/>
              <w:rPr>
                <w:rFonts w:cs="Arial"/>
                <w:b/>
                <w:bCs/>
                <w:i/>
                <w:iCs/>
                <w:color w:val="000066"/>
                <w:sz w:val="12"/>
                <w:szCs w:val="12"/>
                <w:lang w:eastAsia="it-IT"/>
              </w:rPr>
            </w:pPr>
            <w:r w:rsidRPr="008A2DC6">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A2DC6">
              <w:rPr>
                <w:rFonts w:ascii="AdvP6960" w:hAnsi="AdvP6960" w:cs="AdvP6960"/>
                <w:color w:val="241F20"/>
                <w:szCs w:val="18"/>
                <w:lang w:eastAsia="it-IT"/>
              </w:rPr>
              <w:t xml:space="preserve"> </w:t>
            </w:r>
            <w:r w:rsidRPr="008A2DC6">
              <w:rPr>
                <w:rFonts w:cs="Arial"/>
                <w:b/>
                <w:bCs/>
                <w:i/>
                <w:iCs/>
                <w:color w:val="000066"/>
                <w:sz w:val="24"/>
                <w:szCs w:val="24"/>
                <w:lang w:eastAsia="it-IT"/>
              </w:rPr>
              <w:t>CHEMICAL ENGINEERING</w:t>
            </w:r>
            <w:r w:rsidRPr="008A2DC6">
              <w:rPr>
                <w:rFonts w:cs="Arial"/>
                <w:b/>
                <w:bCs/>
                <w:i/>
                <w:iCs/>
                <w:color w:val="0033FF"/>
                <w:sz w:val="24"/>
                <w:szCs w:val="24"/>
                <w:lang w:eastAsia="it-IT"/>
              </w:rPr>
              <w:t xml:space="preserve"> </w:t>
            </w:r>
            <w:r w:rsidRPr="008A2DC6">
              <w:rPr>
                <w:rFonts w:cs="Arial"/>
                <w:b/>
                <w:bCs/>
                <w:i/>
                <w:iCs/>
                <w:color w:val="666666"/>
                <w:sz w:val="24"/>
                <w:szCs w:val="24"/>
                <w:lang w:eastAsia="it-IT"/>
              </w:rPr>
              <w:t>TRANSACTIONS</w:t>
            </w:r>
            <w:r w:rsidRPr="008A2DC6">
              <w:rPr>
                <w:color w:val="333333"/>
                <w:sz w:val="24"/>
                <w:szCs w:val="24"/>
                <w:lang w:eastAsia="it-IT"/>
              </w:rPr>
              <w:t xml:space="preserve"> </w:t>
            </w:r>
            <w:r w:rsidRPr="008A2DC6">
              <w:rPr>
                <w:rFonts w:cs="Arial"/>
                <w:b/>
                <w:bCs/>
                <w:i/>
                <w:iCs/>
                <w:color w:val="000066"/>
                <w:sz w:val="27"/>
                <w:szCs w:val="27"/>
                <w:lang w:eastAsia="it-IT"/>
              </w:rPr>
              <w:br/>
            </w:r>
          </w:p>
          <w:p w14:paraId="4B780582" w14:textId="5E870693" w:rsidR="000A03B2" w:rsidRPr="008A2DC6" w:rsidRDefault="00A76EFC" w:rsidP="00FF3606">
            <w:pPr>
              <w:tabs>
                <w:tab w:val="left" w:pos="-108"/>
              </w:tabs>
              <w:ind w:left="-108"/>
              <w:rPr>
                <w:rFonts w:cs="Arial"/>
                <w:b/>
                <w:bCs/>
                <w:i/>
                <w:iCs/>
                <w:color w:val="000066"/>
                <w:sz w:val="22"/>
                <w:szCs w:val="22"/>
                <w:lang w:eastAsia="it-IT"/>
              </w:rPr>
            </w:pPr>
            <w:r w:rsidRPr="008A2DC6">
              <w:rPr>
                <w:rFonts w:cs="Arial"/>
                <w:b/>
                <w:bCs/>
                <w:i/>
                <w:iCs/>
                <w:color w:val="000066"/>
                <w:sz w:val="22"/>
                <w:szCs w:val="22"/>
                <w:lang w:eastAsia="it-IT"/>
              </w:rPr>
              <w:t xml:space="preserve">VOL. </w:t>
            </w:r>
            <w:r w:rsidR="00825DD9" w:rsidRPr="008A2DC6">
              <w:rPr>
                <w:rFonts w:cs="Arial"/>
                <w:b/>
                <w:bCs/>
                <w:i/>
                <w:iCs/>
                <w:color w:val="000066"/>
                <w:sz w:val="22"/>
                <w:szCs w:val="22"/>
                <w:lang w:eastAsia="it-IT"/>
              </w:rPr>
              <w:t>xxx</w:t>
            </w:r>
            <w:r w:rsidR="007B48F9" w:rsidRPr="008A2DC6">
              <w:rPr>
                <w:rFonts w:cs="Arial"/>
                <w:b/>
                <w:bCs/>
                <w:i/>
                <w:iCs/>
                <w:color w:val="000066"/>
                <w:sz w:val="22"/>
                <w:szCs w:val="22"/>
                <w:lang w:eastAsia="it-IT"/>
              </w:rPr>
              <w:t>,</w:t>
            </w:r>
            <w:r w:rsidR="00FA5F5F" w:rsidRPr="008A2DC6">
              <w:rPr>
                <w:rFonts w:cs="Arial"/>
                <w:b/>
                <w:bCs/>
                <w:i/>
                <w:iCs/>
                <w:color w:val="000066"/>
                <w:sz w:val="22"/>
                <w:szCs w:val="22"/>
                <w:lang w:eastAsia="it-IT"/>
              </w:rPr>
              <w:t xml:space="preserve"> 20</w:t>
            </w:r>
            <w:r w:rsidR="00DF5072" w:rsidRPr="008A2DC6">
              <w:rPr>
                <w:rFonts w:cs="Arial"/>
                <w:b/>
                <w:bCs/>
                <w:i/>
                <w:iCs/>
                <w:color w:val="000066"/>
                <w:sz w:val="22"/>
                <w:szCs w:val="22"/>
                <w:lang w:eastAsia="it-IT"/>
              </w:rPr>
              <w:t>2</w:t>
            </w:r>
            <w:r w:rsidR="008F0881" w:rsidRPr="008A2DC6">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8A2DC6" w:rsidRDefault="000A03B2" w:rsidP="00FF3606">
            <w:pPr>
              <w:spacing w:line="140" w:lineRule="atLeast"/>
              <w:rPr>
                <w:rFonts w:cs="Arial"/>
                <w:sz w:val="14"/>
                <w:szCs w:val="14"/>
              </w:rPr>
            </w:pPr>
            <w:r w:rsidRPr="008A2DC6">
              <w:rPr>
                <w:rFonts w:cs="Arial"/>
                <w:sz w:val="14"/>
                <w:szCs w:val="14"/>
              </w:rPr>
              <w:t>A publication of</w:t>
            </w:r>
          </w:p>
          <w:p w14:paraId="599E5441" w14:textId="77777777" w:rsidR="000A03B2" w:rsidRPr="008A2DC6" w:rsidRDefault="000A03B2" w:rsidP="00FF3606">
            <w:r w:rsidRPr="008A2DC6">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A2DC6" w14:paraId="380FA3CD" w14:textId="77777777" w:rsidTr="00DE264A">
        <w:trPr>
          <w:trHeight w:val="567"/>
          <w:jc w:val="center"/>
        </w:trPr>
        <w:tc>
          <w:tcPr>
            <w:tcW w:w="6946" w:type="dxa"/>
            <w:vMerge/>
            <w:tcBorders>
              <w:right w:val="single" w:sz="4" w:space="0" w:color="auto"/>
            </w:tcBorders>
          </w:tcPr>
          <w:p w14:paraId="39E5E4C1" w14:textId="77777777" w:rsidR="000A03B2" w:rsidRPr="008A2DC6" w:rsidRDefault="000A03B2" w:rsidP="00FF3606">
            <w:pPr>
              <w:tabs>
                <w:tab w:val="left" w:pos="-108"/>
              </w:tabs>
            </w:pPr>
          </w:p>
        </w:tc>
        <w:tc>
          <w:tcPr>
            <w:tcW w:w="1843" w:type="dxa"/>
            <w:tcBorders>
              <w:left w:val="single" w:sz="4" w:space="0" w:color="auto"/>
              <w:bottom w:val="nil"/>
              <w:right w:val="single" w:sz="4" w:space="0" w:color="auto"/>
            </w:tcBorders>
          </w:tcPr>
          <w:p w14:paraId="43858A98" w14:textId="77777777" w:rsidR="000A03B2" w:rsidRPr="008A2DC6" w:rsidRDefault="000A03B2" w:rsidP="00FF3606">
            <w:pPr>
              <w:spacing w:line="140" w:lineRule="atLeast"/>
              <w:rPr>
                <w:rFonts w:cs="Arial"/>
                <w:sz w:val="14"/>
                <w:szCs w:val="14"/>
              </w:rPr>
            </w:pPr>
            <w:r w:rsidRPr="008A2DC6">
              <w:rPr>
                <w:rFonts w:cs="Arial"/>
                <w:sz w:val="14"/>
                <w:szCs w:val="14"/>
              </w:rPr>
              <w:t>The Italian Association</w:t>
            </w:r>
          </w:p>
          <w:p w14:paraId="7522B1D2" w14:textId="77777777" w:rsidR="000A03B2" w:rsidRPr="008A2DC6" w:rsidRDefault="000A03B2" w:rsidP="00FF3606">
            <w:pPr>
              <w:spacing w:line="140" w:lineRule="atLeast"/>
              <w:rPr>
                <w:rFonts w:cs="Arial"/>
                <w:sz w:val="14"/>
                <w:szCs w:val="14"/>
              </w:rPr>
            </w:pPr>
            <w:r w:rsidRPr="008A2DC6">
              <w:rPr>
                <w:rFonts w:cs="Arial"/>
                <w:sz w:val="14"/>
                <w:szCs w:val="14"/>
              </w:rPr>
              <w:t>of Chemical Engineering</w:t>
            </w:r>
          </w:p>
          <w:p w14:paraId="4F0CC5DE" w14:textId="47FDB2FC" w:rsidR="000A03B2" w:rsidRPr="008A2DC6" w:rsidRDefault="000D0268" w:rsidP="00FF3606">
            <w:pPr>
              <w:spacing w:line="140" w:lineRule="atLeast"/>
              <w:rPr>
                <w:rFonts w:cs="Arial"/>
                <w:sz w:val="13"/>
                <w:szCs w:val="13"/>
              </w:rPr>
            </w:pPr>
            <w:r w:rsidRPr="008A2DC6">
              <w:rPr>
                <w:rFonts w:cs="Arial"/>
                <w:sz w:val="13"/>
                <w:szCs w:val="13"/>
              </w:rPr>
              <w:t>Online at www.cetjournal.it</w:t>
            </w:r>
          </w:p>
        </w:tc>
      </w:tr>
      <w:tr w:rsidR="000A03B2" w:rsidRPr="008A2DC6" w14:paraId="2D1B7169" w14:textId="77777777" w:rsidTr="00DE264A">
        <w:trPr>
          <w:trHeight w:val="68"/>
          <w:jc w:val="center"/>
        </w:trPr>
        <w:tc>
          <w:tcPr>
            <w:tcW w:w="8789" w:type="dxa"/>
            <w:gridSpan w:val="2"/>
          </w:tcPr>
          <w:p w14:paraId="34469235" w14:textId="77777777" w:rsidR="00D967D0" w:rsidRPr="00985BF9" w:rsidRDefault="00D967D0" w:rsidP="00D967D0">
            <w:pPr>
              <w:ind w:left="-107"/>
              <w:outlineLvl w:val="2"/>
              <w:rPr>
                <w:rFonts w:ascii="Tahoma" w:hAnsi="Tahoma" w:cs="Tahoma"/>
                <w:color w:val="000000"/>
                <w:sz w:val="14"/>
                <w:szCs w:val="14"/>
                <w:shd w:val="clear" w:color="auto" w:fill="FFFFFF"/>
                <w:lang w:val="it-IT"/>
              </w:rPr>
            </w:pPr>
            <w:r w:rsidRPr="00985BF9">
              <w:rPr>
                <w:rFonts w:ascii="Tahoma" w:hAnsi="Tahoma" w:cs="Tahoma"/>
                <w:iCs/>
                <w:color w:val="333333"/>
                <w:sz w:val="14"/>
                <w:szCs w:val="14"/>
                <w:lang w:val="it-IT" w:eastAsia="it-IT"/>
              </w:rPr>
              <w:t>Guest Editors:</w:t>
            </w:r>
            <w:r w:rsidRPr="00985BF9">
              <w:rPr>
                <w:rFonts w:ascii="Tahoma" w:hAnsi="Tahoma" w:cs="Tahoma"/>
                <w:color w:val="000000"/>
                <w:sz w:val="14"/>
                <w:szCs w:val="14"/>
                <w:shd w:val="clear" w:color="auto" w:fill="FFFFFF"/>
                <w:lang w:val="it-IT"/>
              </w:rPr>
              <w:t xml:space="preserve"> Valerio Cozzani, Bruno Fabiano, </w:t>
            </w:r>
            <w:proofErr w:type="spellStart"/>
            <w:r w:rsidRPr="00985BF9">
              <w:rPr>
                <w:rFonts w:ascii="Tahoma" w:hAnsi="Tahoma" w:cs="Tahoma"/>
                <w:color w:val="000000"/>
                <w:sz w:val="14"/>
                <w:szCs w:val="14"/>
                <w:shd w:val="clear" w:color="auto" w:fill="FFFFFF"/>
                <w:lang w:val="it-IT"/>
              </w:rPr>
              <w:t>Genserik</w:t>
            </w:r>
            <w:proofErr w:type="spellEnd"/>
            <w:r w:rsidRPr="00985BF9">
              <w:rPr>
                <w:rFonts w:ascii="Tahoma" w:hAnsi="Tahoma" w:cs="Tahoma"/>
                <w:color w:val="000000"/>
                <w:sz w:val="14"/>
                <w:szCs w:val="14"/>
                <w:shd w:val="clear" w:color="auto" w:fill="FFFFFF"/>
                <w:lang w:val="it-IT"/>
              </w:rPr>
              <w:t xml:space="preserve"> Reniers</w:t>
            </w:r>
          </w:p>
          <w:p w14:paraId="1B0F1814" w14:textId="1263CE94" w:rsidR="000A03B2" w:rsidRPr="008A2DC6" w:rsidRDefault="00D967D0" w:rsidP="00D967D0">
            <w:pPr>
              <w:tabs>
                <w:tab w:val="left" w:pos="-108"/>
              </w:tabs>
              <w:spacing w:line="140" w:lineRule="atLeast"/>
              <w:ind w:left="-107"/>
              <w:jc w:val="left"/>
            </w:pPr>
            <w:r w:rsidRPr="008A2DC6">
              <w:rPr>
                <w:rFonts w:ascii="Tahoma" w:hAnsi="Tahoma" w:cs="Tahoma"/>
                <w:iCs/>
                <w:color w:val="333333"/>
                <w:sz w:val="14"/>
                <w:szCs w:val="14"/>
                <w:lang w:eastAsia="it-IT"/>
              </w:rPr>
              <w:t>Copyright © 2026, AIDIC Servizi S.r.l.</w:t>
            </w:r>
            <w:r w:rsidRPr="008A2DC6">
              <w:rPr>
                <w:rFonts w:ascii="Tahoma" w:hAnsi="Tahoma" w:cs="Tahoma"/>
                <w:iCs/>
                <w:color w:val="333333"/>
                <w:sz w:val="14"/>
                <w:szCs w:val="14"/>
                <w:lang w:eastAsia="it-IT"/>
              </w:rPr>
              <w:br/>
            </w:r>
            <w:r w:rsidRPr="008A2DC6">
              <w:rPr>
                <w:rFonts w:ascii="Tahoma" w:hAnsi="Tahoma" w:cs="Tahoma"/>
                <w:b/>
                <w:iCs/>
                <w:color w:val="000000"/>
                <w:sz w:val="14"/>
                <w:szCs w:val="14"/>
                <w:lang w:eastAsia="it-IT"/>
              </w:rPr>
              <w:t>ISBN</w:t>
            </w:r>
            <w:r w:rsidRPr="008A2DC6">
              <w:rPr>
                <w:rFonts w:ascii="Tahoma" w:hAnsi="Tahoma" w:cs="Tahoma"/>
                <w:iCs/>
                <w:color w:val="000000"/>
                <w:sz w:val="14"/>
                <w:szCs w:val="14"/>
                <w:lang w:eastAsia="it-IT"/>
              </w:rPr>
              <w:t xml:space="preserve"> </w:t>
            </w:r>
            <w:r w:rsidRPr="008A2DC6">
              <w:rPr>
                <w:rFonts w:ascii="Tahoma" w:hAnsi="Tahoma" w:cs="Tahoma"/>
                <w:sz w:val="14"/>
                <w:szCs w:val="14"/>
              </w:rPr>
              <w:t>979-12-81206-xx-x</w:t>
            </w:r>
            <w:r w:rsidRPr="008A2DC6">
              <w:rPr>
                <w:rFonts w:ascii="Tahoma" w:hAnsi="Tahoma" w:cs="Tahoma"/>
                <w:iCs/>
                <w:color w:val="333333"/>
                <w:sz w:val="14"/>
                <w:szCs w:val="14"/>
                <w:lang w:eastAsia="it-IT"/>
              </w:rPr>
              <w:t xml:space="preserve">; </w:t>
            </w:r>
            <w:r w:rsidRPr="008A2DC6">
              <w:rPr>
                <w:rFonts w:ascii="Tahoma" w:hAnsi="Tahoma" w:cs="Tahoma"/>
                <w:b/>
                <w:iCs/>
                <w:color w:val="333333"/>
                <w:sz w:val="14"/>
                <w:szCs w:val="14"/>
                <w:lang w:eastAsia="it-IT"/>
              </w:rPr>
              <w:t>ISSN</w:t>
            </w:r>
            <w:r w:rsidRPr="008A2DC6">
              <w:rPr>
                <w:rFonts w:ascii="Tahoma" w:hAnsi="Tahoma" w:cs="Tahoma"/>
                <w:iCs/>
                <w:color w:val="333333"/>
                <w:sz w:val="14"/>
                <w:szCs w:val="14"/>
                <w:lang w:eastAsia="it-IT"/>
              </w:rPr>
              <w:t xml:space="preserve"> 2283-9216</w:t>
            </w:r>
          </w:p>
        </w:tc>
      </w:tr>
    </w:tbl>
    <w:p w14:paraId="10DAA130" w14:textId="77777777" w:rsidR="000A03B2" w:rsidRPr="008A2DC6" w:rsidRDefault="000A03B2" w:rsidP="00FF3606">
      <w:pPr>
        <w:pStyle w:val="CETAuthors"/>
        <w:sectPr w:rsidR="000A03B2" w:rsidRPr="008A2DC6" w:rsidSect="009D47CF">
          <w:type w:val="continuous"/>
          <w:pgSz w:w="11906" w:h="16838" w:code="9"/>
          <w:pgMar w:top="1701" w:right="1418" w:bottom="1701" w:left="1701" w:header="1701" w:footer="0" w:gutter="0"/>
          <w:cols w:space="708"/>
          <w:titlePg/>
          <w:docGrid w:linePitch="360"/>
        </w:sectPr>
      </w:pPr>
    </w:p>
    <w:p w14:paraId="5194F4F7" w14:textId="77777777" w:rsidR="00E70614" w:rsidRPr="008A2DC6" w:rsidRDefault="00E70614" w:rsidP="00E70614">
      <w:pPr>
        <w:pStyle w:val="CETTitle"/>
        <w:jc w:val="both"/>
      </w:pPr>
      <w:r w:rsidRPr="008A2DC6">
        <w:t xml:space="preserve">Risk Assessment of Electrical Installation and Equipment in Major Accident Hazard Establishments </w:t>
      </w:r>
    </w:p>
    <w:p w14:paraId="5A867907" w14:textId="77777777" w:rsidR="00E70614" w:rsidRPr="00985BF9" w:rsidRDefault="00E70614" w:rsidP="00E70614">
      <w:pPr>
        <w:pStyle w:val="CETAuthors"/>
        <w:rPr>
          <w:lang w:val="it-IT"/>
        </w:rPr>
      </w:pPr>
      <w:bookmarkStart w:id="0" w:name="_Hlk176710373"/>
      <w:r w:rsidRPr="00985BF9">
        <w:rPr>
          <w:lang w:val="it-IT"/>
        </w:rPr>
        <w:t>Antonino Muratore</w:t>
      </w:r>
      <w:r w:rsidRPr="00985BF9">
        <w:rPr>
          <w:vertAlign w:val="superscript"/>
          <w:lang w:val="it-IT"/>
        </w:rPr>
        <w:t>a,</w:t>
      </w:r>
      <w:r w:rsidRPr="00985BF9">
        <w:rPr>
          <w:lang w:val="it-IT"/>
        </w:rPr>
        <w:t>*, Giovanni Grillone</w:t>
      </w:r>
      <w:bookmarkEnd w:id="0"/>
      <w:r w:rsidRPr="00985BF9">
        <w:rPr>
          <w:vertAlign w:val="superscript"/>
          <w:lang w:val="it-IT"/>
        </w:rPr>
        <w:t>b</w:t>
      </w:r>
      <w:r w:rsidRPr="00985BF9">
        <w:rPr>
          <w:lang w:val="it-IT"/>
        </w:rPr>
        <w:t>, Maurilio Bellissimo</w:t>
      </w:r>
      <w:r w:rsidRPr="00985BF9">
        <w:rPr>
          <w:vertAlign w:val="superscript"/>
          <w:lang w:val="it-IT"/>
        </w:rPr>
        <w:t>b</w:t>
      </w:r>
      <w:r w:rsidRPr="00985BF9">
        <w:rPr>
          <w:lang w:val="it-IT"/>
        </w:rPr>
        <w:t>, Vincenzo Nastasi</w:t>
      </w:r>
      <w:r w:rsidRPr="00985BF9">
        <w:rPr>
          <w:vertAlign w:val="superscript"/>
          <w:lang w:val="it-IT"/>
        </w:rPr>
        <w:t>b</w:t>
      </w:r>
    </w:p>
    <w:p w14:paraId="73DDDE74" w14:textId="77777777" w:rsidR="00E70614" w:rsidRPr="00985BF9" w:rsidRDefault="00E70614" w:rsidP="00E70614">
      <w:pPr>
        <w:pStyle w:val="CETAddress"/>
        <w:rPr>
          <w:lang w:val="it-IT"/>
        </w:rPr>
      </w:pPr>
      <w:r w:rsidRPr="00985BF9">
        <w:rPr>
          <w:vertAlign w:val="superscript"/>
          <w:lang w:val="it-IT"/>
        </w:rPr>
        <w:t>a</w:t>
      </w:r>
      <w:r w:rsidRPr="00985BF9">
        <w:rPr>
          <w:lang w:val="it-IT"/>
        </w:rPr>
        <w:t>Inail, UOT Como, Via Petrarca 4 - 22100 Como, Italy</w:t>
      </w:r>
    </w:p>
    <w:p w14:paraId="21ABEAF9" w14:textId="77777777" w:rsidR="00E70614" w:rsidRPr="00985BF9" w:rsidRDefault="00E70614" w:rsidP="00E70614">
      <w:pPr>
        <w:pStyle w:val="CETAddress"/>
        <w:rPr>
          <w:lang w:val="it-IT"/>
        </w:rPr>
      </w:pPr>
      <w:r w:rsidRPr="00985BF9">
        <w:rPr>
          <w:vertAlign w:val="superscript"/>
          <w:lang w:val="it-IT"/>
        </w:rPr>
        <w:t>b</w:t>
      </w:r>
      <w:r w:rsidRPr="00985BF9">
        <w:rPr>
          <w:lang w:val="it-IT"/>
        </w:rPr>
        <w:t>Inail, UOT Palermo, Viale del Fante 58/D - 90146 Palermo, Italy</w:t>
      </w:r>
    </w:p>
    <w:p w14:paraId="5B621C69" w14:textId="77777777" w:rsidR="00E70614" w:rsidRPr="008A2DC6" w:rsidRDefault="00E70614" w:rsidP="00E70614">
      <w:pPr>
        <w:pStyle w:val="CETemail"/>
      </w:pPr>
      <w:r w:rsidRPr="008A2DC6">
        <w:rPr>
          <w:vertAlign w:val="superscript"/>
        </w:rPr>
        <w:t>*</w:t>
      </w:r>
      <w:r w:rsidRPr="008A2DC6">
        <w:t>a.muratore@inail.it</w:t>
      </w:r>
    </w:p>
    <w:p w14:paraId="4701BFBA" w14:textId="5073C780" w:rsidR="00E70614" w:rsidRPr="008A2DC6" w:rsidRDefault="008954E7" w:rsidP="00E70614">
      <w:pPr>
        <w:pStyle w:val="CETBodytext"/>
        <w:rPr>
          <w:szCs w:val="18"/>
          <w:lang w:val="en-GB"/>
        </w:rPr>
      </w:pPr>
      <w:r w:rsidRPr="008954E7">
        <w:rPr>
          <w:szCs w:val="18"/>
          <w:lang w:val="en-GB"/>
        </w:rPr>
        <w:t>Electrical power failures continue to represent a major threat to industrial operations. In industrial facilities handling hazardous substances, particularly those classified as Major Accident Hazard establishments, a total loss of electrical power is regarded as one of the most catastrophic initiating events.</w:t>
      </w:r>
      <w:r>
        <w:rPr>
          <w:szCs w:val="18"/>
          <w:lang w:val="en-GB"/>
        </w:rPr>
        <w:t xml:space="preserve"> </w:t>
      </w:r>
      <w:r w:rsidR="00E70614" w:rsidRPr="008A2DC6">
        <w:rPr>
          <w:szCs w:val="18"/>
          <w:lang w:val="en-GB"/>
        </w:rPr>
        <w:t>Such facilities should therefore be designed, constructed, and operated in a manner that minimizes the impact of this event and of similar disturbances. However, practical implementation of this principle is often insufficient or inconsistent.</w:t>
      </w:r>
    </w:p>
    <w:p w14:paraId="29A68A15" w14:textId="5F8D2461" w:rsidR="00E70614" w:rsidRPr="008A2DC6" w:rsidRDefault="00E70614" w:rsidP="008954E7">
      <w:pPr>
        <w:pStyle w:val="CETBodytext"/>
        <w:rPr>
          <w:szCs w:val="18"/>
          <w:lang w:val="en-GB"/>
        </w:rPr>
      </w:pPr>
      <w:r w:rsidRPr="008A2DC6">
        <w:rPr>
          <w:szCs w:val="18"/>
          <w:lang w:val="en-GB"/>
        </w:rPr>
        <w:t>The effects of power interruptions in industrial installations can simultaneously impact multiple pieces of equipment (e.g., reactors, boilers, pumps, agitators) and several process operations (e.g., cooling systems). This study examines recurrent causes of malfunction, the main characteristics of electrical power interruptions, and the accident scenarios that may be triggered by failures in both primary and redundant power supply systems.</w:t>
      </w:r>
      <w:r w:rsidR="008954E7">
        <w:rPr>
          <w:szCs w:val="18"/>
          <w:lang w:val="en-GB"/>
        </w:rPr>
        <w:t xml:space="preserve"> </w:t>
      </w:r>
      <w:r w:rsidRPr="008A2DC6">
        <w:rPr>
          <w:szCs w:val="18"/>
          <w:lang w:val="en-GB"/>
        </w:rPr>
        <w:t>Drawing upon the institutional experience of the authors in Italy, the purpose of this work is to provide essential guidance to operators of industrial facilities aimed at:</w:t>
      </w:r>
      <w:r w:rsidR="008954E7">
        <w:rPr>
          <w:szCs w:val="18"/>
          <w:lang w:val="en-GB"/>
        </w:rPr>
        <w:t xml:space="preserve"> </w:t>
      </w:r>
      <w:r w:rsidR="000876EE">
        <w:rPr>
          <w:szCs w:val="18"/>
          <w:lang w:val="en-GB"/>
        </w:rPr>
        <w:t>a</w:t>
      </w:r>
      <w:r w:rsidR="008954E7">
        <w:rPr>
          <w:szCs w:val="18"/>
          <w:lang w:val="en-GB"/>
        </w:rPr>
        <w:t xml:space="preserve">) </w:t>
      </w:r>
      <w:r w:rsidR="007F79FF">
        <w:rPr>
          <w:szCs w:val="18"/>
          <w:lang w:val="en-GB"/>
        </w:rPr>
        <w:t>p</w:t>
      </w:r>
      <w:r w:rsidRPr="008A2DC6">
        <w:rPr>
          <w:szCs w:val="18"/>
          <w:lang w:val="en-GB"/>
        </w:rPr>
        <w:t>reventing electrical faults, enhancing personnel training, and protecting both electrical and non-electrical systems and operations</w:t>
      </w:r>
      <w:r w:rsidR="008954E7">
        <w:rPr>
          <w:szCs w:val="18"/>
          <w:lang w:val="en-GB"/>
        </w:rPr>
        <w:t xml:space="preserve">; </w:t>
      </w:r>
      <w:r w:rsidR="000876EE">
        <w:rPr>
          <w:szCs w:val="18"/>
          <w:lang w:val="en-GB"/>
        </w:rPr>
        <w:t>b</w:t>
      </w:r>
      <w:r w:rsidR="008954E7">
        <w:rPr>
          <w:szCs w:val="18"/>
          <w:lang w:val="en-GB"/>
        </w:rPr>
        <w:t xml:space="preserve">) </w:t>
      </w:r>
      <w:r w:rsidR="007F79FF">
        <w:rPr>
          <w:szCs w:val="18"/>
          <w:lang w:val="en-GB"/>
        </w:rPr>
        <w:t>e</w:t>
      </w:r>
      <w:r w:rsidRPr="008A2DC6">
        <w:rPr>
          <w:szCs w:val="18"/>
          <w:lang w:val="en-GB"/>
        </w:rPr>
        <w:t>nsuring the availability and reliability of overpressure relief systems</w:t>
      </w:r>
      <w:r w:rsidR="008954E7">
        <w:rPr>
          <w:szCs w:val="18"/>
          <w:lang w:val="en-GB"/>
        </w:rPr>
        <w:t xml:space="preserve">; </w:t>
      </w:r>
      <w:r w:rsidR="000876EE">
        <w:rPr>
          <w:szCs w:val="18"/>
          <w:lang w:val="en-GB"/>
        </w:rPr>
        <w:t>c</w:t>
      </w:r>
      <w:r w:rsidR="008954E7">
        <w:rPr>
          <w:szCs w:val="18"/>
          <w:lang w:val="en-GB"/>
        </w:rPr>
        <w:t xml:space="preserve">) </w:t>
      </w:r>
      <w:r w:rsidR="007F79FF">
        <w:rPr>
          <w:szCs w:val="18"/>
          <w:lang w:val="en-GB"/>
        </w:rPr>
        <w:t>p</w:t>
      </w:r>
      <w:r w:rsidRPr="008A2DC6">
        <w:rPr>
          <w:szCs w:val="18"/>
          <w:lang w:val="en-GB"/>
        </w:rPr>
        <w:t>erforming systematic inspection and maintenance of electrical components</w:t>
      </w:r>
      <w:r w:rsidR="008954E7">
        <w:rPr>
          <w:szCs w:val="18"/>
          <w:lang w:val="en-GB"/>
        </w:rPr>
        <w:t xml:space="preserve">; </w:t>
      </w:r>
      <w:r w:rsidR="000876EE">
        <w:rPr>
          <w:szCs w:val="18"/>
          <w:lang w:val="en-GB"/>
        </w:rPr>
        <w:t>d</w:t>
      </w:r>
      <w:r w:rsidR="008954E7">
        <w:rPr>
          <w:szCs w:val="18"/>
          <w:lang w:val="en-GB"/>
        </w:rPr>
        <w:t xml:space="preserve">) </w:t>
      </w:r>
      <w:r w:rsidR="007F79FF">
        <w:rPr>
          <w:szCs w:val="18"/>
          <w:lang w:val="en-GB"/>
        </w:rPr>
        <w:t>e</w:t>
      </w:r>
      <w:r w:rsidRPr="008A2DC6">
        <w:rPr>
          <w:szCs w:val="18"/>
          <w:lang w:val="en-GB"/>
        </w:rPr>
        <w:t>nsuring the independence of power supply sources and conducting periodic testing of switching and transfer operations between them.</w:t>
      </w:r>
    </w:p>
    <w:p w14:paraId="476B2F2E" w14:textId="50DB62E0" w:rsidR="00600535" w:rsidRPr="008A2DC6" w:rsidRDefault="00600535" w:rsidP="00FF3606">
      <w:pPr>
        <w:pStyle w:val="CETHeading1"/>
        <w:jc w:val="both"/>
        <w:rPr>
          <w:lang w:val="en-GB"/>
        </w:rPr>
      </w:pPr>
      <w:r w:rsidRPr="008A2DC6">
        <w:rPr>
          <w:lang w:val="en-GB"/>
        </w:rPr>
        <w:t>Introduction</w:t>
      </w:r>
    </w:p>
    <w:p w14:paraId="3AC8CBB3" w14:textId="274E93CF" w:rsidR="002D3C71" w:rsidRPr="008A2DC6" w:rsidRDefault="002D3C71" w:rsidP="002D3C71">
      <w:pPr>
        <w:pStyle w:val="CETnumberingbullets"/>
        <w:numPr>
          <w:ilvl w:val="0"/>
          <w:numId w:val="0"/>
        </w:numPr>
        <w:jc w:val="both"/>
      </w:pPr>
      <w:r w:rsidRPr="008A2DC6">
        <w:t xml:space="preserve">Electrical blackout risk assessment in major accident hazard establishments is essential to prevent the failure of safety systems (e.g., cooling, ventilation, flares, etc.), which could lead to fires, explosions, or toxic releases with negative impacts on workers’ health and safety, nearby populations, the environment, as well as significant economic and material losses. A loss of electrical power should not be considered merely as an operational interruption, but rather as a potential initiator of severe accident scenarios, such as: </w:t>
      </w:r>
    </w:p>
    <w:p w14:paraId="443B6AD1" w14:textId="7C27C512" w:rsidR="002D3C71" w:rsidRPr="008A2DC6" w:rsidRDefault="002D3C71" w:rsidP="002D3C71">
      <w:pPr>
        <w:pStyle w:val="CETBodytext"/>
        <w:numPr>
          <w:ilvl w:val="0"/>
          <w:numId w:val="26"/>
        </w:numPr>
        <w:rPr>
          <w:szCs w:val="18"/>
          <w:lang w:val="en-GB"/>
        </w:rPr>
      </w:pPr>
      <w:r w:rsidRPr="008A2DC6">
        <w:rPr>
          <w:szCs w:val="18"/>
          <w:lang w:val="en-GB"/>
        </w:rPr>
        <w:t>Loss of integrity of equipment and installations.</w:t>
      </w:r>
    </w:p>
    <w:p w14:paraId="367DB722" w14:textId="16BD0428" w:rsidR="002D3C71" w:rsidRPr="008A2DC6" w:rsidRDefault="002D3C71" w:rsidP="002D3C71">
      <w:pPr>
        <w:pStyle w:val="CETBodytext"/>
        <w:numPr>
          <w:ilvl w:val="0"/>
          <w:numId w:val="26"/>
        </w:numPr>
        <w:rPr>
          <w:szCs w:val="18"/>
          <w:lang w:val="en-GB"/>
        </w:rPr>
      </w:pPr>
      <w:r w:rsidRPr="008A2DC6">
        <w:rPr>
          <w:szCs w:val="18"/>
          <w:lang w:val="en-GB"/>
        </w:rPr>
        <w:t>Product losses due to combustion.</w:t>
      </w:r>
    </w:p>
    <w:p w14:paraId="0FE759B6" w14:textId="1D5D12E2" w:rsidR="002D3C71" w:rsidRPr="008A2DC6" w:rsidRDefault="002D3C71" w:rsidP="002D3C71">
      <w:pPr>
        <w:pStyle w:val="CETBodytext"/>
        <w:numPr>
          <w:ilvl w:val="0"/>
          <w:numId w:val="26"/>
        </w:numPr>
        <w:rPr>
          <w:lang w:val="en-GB"/>
        </w:rPr>
      </w:pPr>
      <w:r w:rsidRPr="008A2DC6">
        <w:rPr>
          <w:szCs w:val="18"/>
          <w:lang w:val="en-GB"/>
        </w:rPr>
        <w:t>Combustion</w:t>
      </w:r>
      <w:r w:rsidRPr="008A2DC6">
        <w:rPr>
          <w:lang w:val="en-GB"/>
        </w:rPr>
        <w:t xml:space="preserve"> of pollutants (SO</w:t>
      </w:r>
      <w:r w:rsidRPr="008A2DC6">
        <w:rPr>
          <w:vertAlign w:val="subscript"/>
          <w:lang w:val="en-GB"/>
        </w:rPr>
        <w:t>x</w:t>
      </w:r>
      <w:r w:rsidRPr="008A2DC6">
        <w:rPr>
          <w:lang w:val="en-GB"/>
        </w:rPr>
        <w:t>, NO</w:t>
      </w:r>
      <w:r w:rsidRPr="008A2DC6">
        <w:rPr>
          <w:vertAlign w:val="subscript"/>
          <w:lang w:val="en-GB"/>
        </w:rPr>
        <w:t>x</w:t>
      </w:r>
      <w:r w:rsidRPr="008A2DC6">
        <w:rPr>
          <w:lang w:val="en-GB"/>
        </w:rPr>
        <w:t>, VOC).</w:t>
      </w:r>
    </w:p>
    <w:p w14:paraId="1B31E9C7" w14:textId="5A346A6F" w:rsidR="002D3C71" w:rsidRPr="008A2DC6" w:rsidRDefault="002D3C71" w:rsidP="002D3C71">
      <w:pPr>
        <w:pStyle w:val="CETnumberingbullets"/>
        <w:numPr>
          <w:ilvl w:val="0"/>
          <w:numId w:val="0"/>
        </w:numPr>
        <w:jc w:val="both"/>
      </w:pPr>
      <w:r w:rsidRPr="008A2DC6">
        <w:t>In addition, the significant energy consumption required to restart plants following an electrical blackout must also be considered.</w:t>
      </w:r>
      <w:r w:rsidR="00404253" w:rsidRPr="008A2DC6">
        <w:t xml:space="preserve"> </w:t>
      </w:r>
      <w:r w:rsidRPr="008A2DC6">
        <w:t xml:space="preserve">In this study, as a first step, the authors </w:t>
      </w:r>
      <w:r w:rsidR="00404253" w:rsidRPr="008A2DC6">
        <w:t>analyse</w:t>
      </w:r>
      <w:r w:rsidRPr="008A2DC6">
        <w:t xml:space="preserve"> the main causes of power outages:</w:t>
      </w:r>
    </w:p>
    <w:p w14:paraId="64E230D6" w14:textId="7406EB0C" w:rsidR="002D3C71" w:rsidRPr="008A2DC6" w:rsidRDefault="003773EF" w:rsidP="003773EF">
      <w:pPr>
        <w:pStyle w:val="CETBodytext"/>
        <w:numPr>
          <w:ilvl w:val="0"/>
          <w:numId w:val="26"/>
        </w:numPr>
        <w:rPr>
          <w:szCs w:val="18"/>
          <w:lang w:val="en-GB"/>
        </w:rPr>
      </w:pPr>
      <w:r w:rsidRPr="008A2DC6">
        <w:rPr>
          <w:szCs w:val="18"/>
          <w:lang w:val="en-GB"/>
        </w:rPr>
        <w:t>T</w:t>
      </w:r>
      <w:r w:rsidR="002D3C71" w:rsidRPr="008A2DC6">
        <w:rPr>
          <w:szCs w:val="18"/>
          <w:lang w:val="en-GB"/>
        </w:rPr>
        <w:t>otal loss of power supply (external blackout) due to national or local grid failure</w:t>
      </w:r>
      <w:r w:rsidRPr="008A2DC6">
        <w:rPr>
          <w:szCs w:val="18"/>
          <w:lang w:val="en-GB"/>
        </w:rPr>
        <w:t>.</w:t>
      </w:r>
    </w:p>
    <w:p w14:paraId="54786EC3" w14:textId="2967DFB4" w:rsidR="002D3C71" w:rsidRPr="008A2DC6" w:rsidRDefault="003773EF" w:rsidP="003773EF">
      <w:pPr>
        <w:pStyle w:val="CETBodytext"/>
        <w:numPr>
          <w:ilvl w:val="0"/>
          <w:numId w:val="26"/>
        </w:numPr>
        <w:rPr>
          <w:szCs w:val="18"/>
          <w:lang w:val="en-GB"/>
        </w:rPr>
      </w:pPr>
      <w:r w:rsidRPr="008A2DC6">
        <w:rPr>
          <w:szCs w:val="18"/>
          <w:lang w:val="en-GB"/>
        </w:rPr>
        <w:t>I</w:t>
      </w:r>
      <w:r w:rsidR="002D3C71" w:rsidRPr="008A2DC6">
        <w:rPr>
          <w:szCs w:val="18"/>
          <w:lang w:val="en-GB"/>
        </w:rPr>
        <w:t>nternal failures, including faults in substations or internal power lines within the facility</w:t>
      </w:r>
      <w:r w:rsidRPr="008A2DC6">
        <w:rPr>
          <w:szCs w:val="18"/>
          <w:lang w:val="en-GB"/>
        </w:rPr>
        <w:t>.</w:t>
      </w:r>
    </w:p>
    <w:p w14:paraId="2B3E13B2" w14:textId="6A58D8AB" w:rsidR="002D3C71" w:rsidRPr="008A2DC6" w:rsidRDefault="003773EF" w:rsidP="003773EF">
      <w:pPr>
        <w:pStyle w:val="CETBodytext"/>
        <w:numPr>
          <w:ilvl w:val="0"/>
          <w:numId w:val="26"/>
        </w:numPr>
        <w:rPr>
          <w:lang w:val="en-GB"/>
        </w:rPr>
      </w:pPr>
      <w:r w:rsidRPr="008A2DC6">
        <w:rPr>
          <w:szCs w:val="18"/>
          <w:lang w:val="en-GB"/>
        </w:rPr>
        <w:t>N</w:t>
      </w:r>
      <w:r w:rsidR="002D3C71" w:rsidRPr="008A2DC6">
        <w:rPr>
          <w:szCs w:val="18"/>
          <w:lang w:val="en-GB"/>
        </w:rPr>
        <w:t>atural events (NaTech), such as earthquakes, floods, storms, lightning, heat waves, snowfall, etc., causing electrical</w:t>
      </w:r>
      <w:r w:rsidR="002D3C71" w:rsidRPr="008A2DC6">
        <w:rPr>
          <w:lang w:val="en-GB"/>
        </w:rPr>
        <w:t xml:space="preserve"> blackouts and simultaneous damage to installations</w:t>
      </w:r>
      <w:r w:rsidR="00EC1F3A">
        <w:rPr>
          <w:lang w:val="en-GB"/>
        </w:rPr>
        <w:t xml:space="preserve"> </w:t>
      </w:r>
      <w:r w:rsidR="00EC1F3A" w:rsidRPr="008A2DC6">
        <w:rPr>
          <w:lang w:val="en-GB"/>
        </w:rPr>
        <w:t>(</w:t>
      </w:r>
      <w:r w:rsidR="00EC1F3A">
        <w:rPr>
          <w:lang w:val="en-GB"/>
        </w:rPr>
        <w:t>Muratore</w:t>
      </w:r>
      <w:r w:rsidR="00EC1F3A" w:rsidRPr="008A2DC6">
        <w:rPr>
          <w:lang w:val="en-GB"/>
        </w:rPr>
        <w:t xml:space="preserve"> et al.</w:t>
      </w:r>
      <w:r w:rsidR="00501E32">
        <w:rPr>
          <w:lang w:val="en-GB"/>
        </w:rPr>
        <w:t>, 2025</w:t>
      </w:r>
      <w:r w:rsidR="00EC1F3A" w:rsidRPr="008A2DC6">
        <w:rPr>
          <w:lang w:val="en-GB"/>
        </w:rPr>
        <w:t>)</w:t>
      </w:r>
      <w:r w:rsidR="002D3C71" w:rsidRPr="008A2DC6">
        <w:rPr>
          <w:lang w:val="en-GB"/>
        </w:rPr>
        <w:t>.</w:t>
      </w:r>
    </w:p>
    <w:p w14:paraId="4832A16B" w14:textId="311D0A1C" w:rsidR="002D3C71" w:rsidRPr="008A2DC6" w:rsidRDefault="002D3C71" w:rsidP="002D3C71">
      <w:pPr>
        <w:pStyle w:val="CETnumberingbullets"/>
        <w:numPr>
          <w:ilvl w:val="0"/>
          <w:numId w:val="0"/>
        </w:numPr>
        <w:jc w:val="both"/>
      </w:pPr>
      <w:r w:rsidRPr="008A2DC6">
        <w:t>Once the causes have been identified, accident scenarios must be defined and, through a preliminary method, the critical units of the industrial plant involving pumps, compressors, containment systems, reactors, alarms, and similar components must be identified.</w:t>
      </w:r>
      <w:r w:rsidR="003773EF" w:rsidRPr="008A2DC6">
        <w:t xml:space="preserve"> </w:t>
      </w:r>
      <w:r w:rsidRPr="008A2DC6">
        <w:t>After identifying the critical units for this event, it is necessary to:</w:t>
      </w:r>
    </w:p>
    <w:p w14:paraId="596764CE" w14:textId="07FA8848" w:rsidR="002D3C71" w:rsidRPr="008A2DC6" w:rsidRDefault="003773EF" w:rsidP="003773EF">
      <w:pPr>
        <w:pStyle w:val="CETBodytext"/>
        <w:numPr>
          <w:ilvl w:val="0"/>
          <w:numId w:val="26"/>
        </w:numPr>
        <w:rPr>
          <w:szCs w:val="18"/>
          <w:lang w:val="en-GB"/>
        </w:rPr>
      </w:pPr>
      <w:r w:rsidRPr="008A2DC6">
        <w:rPr>
          <w:szCs w:val="18"/>
          <w:lang w:val="en-GB"/>
        </w:rPr>
        <w:lastRenderedPageBreak/>
        <w:t>I</w:t>
      </w:r>
      <w:r w:rsidR="002D3C71" w:rsidRPr="008A2DC6">
        <w:rPr>
          <w:szCs w:val="18"/>
          <w:lang w:val="en-GB"/>
        </w:rPr>
        <w:t>mplement prevention and mitigation measures by installing appropriate uninterruptible power supply (UPS) systems and fail-safe emergency generators</w:t>
      </w:r>
      <w:r w:rsidRPr="008A2DC6">
        <w:rPr>
          <w:szCs w:val="18"/>
          <w:lang w:val="en-GB"/>
        </w:rPr>
        <w:t>.</w:t>
      </w:r>
    </w:p>
    <w:p w14:paraId="6E9311FE" w14:textId="1F6CBFA4" w:rsidR="002D3C71" w:rsidRPr="008A2DC6" w:rsidRDefault="003773EF" w:rsidP="003773EF">
      <w:pPr>
        <w:pStyle w:val="CETBodytext"/>
        <w:numPr>
          <w:ilvl w:val="0"/>
          <w:numId w:val="26"/>
        </w:numPr>
        <w:rPr>
          <w:lang w:val="en-GB"/>
        </w:rPr>
      </w:pPr>
      <w:r w:rsidRPr="008A2DC6">
        <w:rPr>
          <w:szCs w:val="18"/>
          <w:lang w:val="en-GB"/>
        </w:rPr>
        <w:t>P</w:t>
      </w:r>
      <w:r w:rsidR="002D3C71" w:rsidRPr="008A2DC6">
        <w:rPr>
          <w:szCs w:val="18"/>
          <w:lang w:val="en-GB"/>
        </w:rPr>
        <w:t>lan emergency response by developing a dedicated Internal Emergency Plan (IEP) that includes procedures for blackout</w:t>
      </w:r>
      <w:r w:rsidR="002D3C71" w:rsidRPr="008A2DC6">
        <w:rPr>
          <w:lang w:val="en-GB"/>
        </w:rPr>
        <w:t xml:space="preserve"> scenarios.</w:t>
      </w:r>
    </w:p>
    <w:p w14:paraId="59B7C13F" w14:textId="385EB472" w:rsidR="002D3C71" w:rsidRPr="008A2DC6" w:rsidRDefault="002D3C71" w:rsidP="002D3C71">
      <w:pPr>
        <w:pStyle w:val="CETnumberingbullets"/>
        <w:numPr>
          <w:ilvl w:val="0"/>
          <w:numId w:val="0"/>
        </w:numPr>
        <w:jc w:val="both"/>
        <w:rPr>
          <w:highlight w:val="red"/>
        </w:rPr>
      </w:pPr>
      <w:r w:rsidRPr="008A2DC6">
        <w:t xml:space="preserve">To date, the issue of electrical blackouts in process industries has received limited attention. The objective of this </w:t>
      </w:r>
      <w:r w:rsidR="003773EF" w:rsidRPr="008A2DC6">
        <w:t>paper</w:t>
      </w:r>
      <w:r w:rsidRPr="008A2DC6">
        <w:t xml:space="preserve"> is to raise awareness among employers/operators, encouraging the implementation of electrical blackout risk assessments aimed at mitigating catastrophic events through appropriate technical and organizational barriers</w:t>
      </w:r>
      <w:r w:rsidR="003773EF" w:rsidRPr="008A2DC6">
        <w:t>.</w:t>
      </w:r>
    </w:p>
    <w:p w14:paraId="76B6E213" w14:textId="6EF156DD" w:rsidR="00745531" w:rsidRPr="008A2DC6" w:rsidRDefault="009B0A30" w:rsidP="009B0A30">
      <w:pPr>
        <w:pStyle w:val="CETHeading1"/>
        <w:jc w:val="both"/>
        <w:rPr>
          <w:lang w:val="en-GB"/>
        </w:rPr>
      </w:pPr>
      <w:r w:rsidRPr="008A2DC6">
        <w:rPr>
          <w:lang w:val="en-GB"/>
        </w:rPr>
        <w:t>Lessons learned from incidents associated with electrical power supply failures</w:t>
      </w:r>
    </w:p>
    <w:p w14:paraId="657BEFDC" w14:textId="02A53D3B" w:rsidR="009B0A30" w:rsidRPr="008A2DC6" w:rsidRDefault="009B0A30" w:rsidP="009B0A30">
      <w:pPr>
        <w:pStyle w:val="CETheadingx"/>
        <w:rPr>
          <w:lang w:val="en-GB"/>
        </w:rPr>
      </w:pPr>
      <w:r w:rsidRPr="008A2DC6">
        <w:rPr>
          <w:bCs/>
          <w:lang w:val="en-GB"/>
        </w:rPr>
        <w:t>Main characteristics of electrical blackouts</w:t>
      </w:r>
    </w:p>
    <w:p w14:paraId="16BC0CEA" w14:textId="302B40A7" w:rsidR="00745531" w:rsidRPr="008A2DC6" w:rsidRDefault="000962F1" w:rsidP="000962F1">
      <w:pPr>
        <w:pStyle w:val="CETnumberingbullets"/>
        <w:numPr>
          <w:ilvl w:val="0"/>
          <w:numId w:val="0"/>
        </w:numPr>
        <w:jc w:val="both"/>
        <w:rPr>
          <w:rFonts w:cs="Arial"/>
        </w:rPr>
      </w:pPr>
      <w:r w:rsidRPr="008A2DC6">
        <w:rPr>
          <w:rFonts w:cs="Arial"/>
        </w:rPr>
        <w:t>The Joint Research Centre</w:t>
      </w:r>
      <w:r w:rsidR="00501E32">
        <w:rPr>
          <w:rFonts w:cs="Arial"/>
        </w:rPr>
        <w:t xml:space="preserve"> (JRC)</w:t>
      </w:r>
      <w:r w:rsidRPr="008A2DC6">
        <w:rPr>
          <w:rFonts w:cs="Arial"/>
        </w:rPr>
        <w:t xml:space="preserve"> (</w:t>
      </w:r>
      <w:r w:rsidR="00476E48" w:rsidRPr="008A2DC6">
        <w:t>MAHBulletin No. 15</w:t>
      </w:r>
      <w:r w:rsidR="00501E32">
        <w:t>, 2021</w:t>
      </w:r>
      <w:r w:rsidRPr="008A2DC6">
        <w:rPr>
          <w:rFonts w:cs="Arial"/>
        </w:rPr>
        <w:t>) analysed reports of 90 chemical accidents from different industrial sectors to understand how and why power supply failures lead to chemical incidents, and to identify practices for preventing such events and mitigating their consequences. The analysed incident reports indicated that power supply failures have caused 21 fatalities and more than 9,500 injuries worldwide since 1981, in addition to significant material damage and production losses resulting from subsequent fires and explosions. The most catastrophic event analysed occurred in Sakai (Osaka), Japan, in 1982, resulting in six fatalities, 9,080 injured persons (8,876 of whom were outside the plant), and the destruction of 1,788 buildings. The study highlights that blackout events share several common characteristics: (1) they are often unpredictable (e.g. due to extreme weather conditions or supply failures); (2) they typically affect multiple units and pieces of equipment; (3) they can destabilise operating units and compromise process safety; (4) they may have delayed impacts if process consequences are not promptly recognised and controlled; (5) their impacts are more severe in the absence of adequate workforce resilience. The analysis shows that 38% of the investigated cases were caused by a loss of external power supply. Power failures or interruptions can be classified into two distinct phenomena: blackouts and brownouts. Blackouts refer to a complete loss of power, whereas brownouts occur when disturbances in the electrical supply, such as voltage fluctuations (partial interruptions), take place, potentially damaging equipment or electronic devices. In 22% of the analysed cases, the power supply failed, while extreme weather conditions were identified as contributing factors leading to cascading technical failures and, consequently, power outages. Chemical accidents following power failures typically result from the combination of two incident sequences. The first sequence is the power failure itself, sometimes followed by the malfunction of backup systems. The second sequence begins with the loss of containment triggered by the power failure. The technical and organisational response of industrial facilities to the power failure largely determines the outcome of the second incident sequence. A controlled response may involve the activation of shutdown procedures or the management of the power interruption by switching the facility to redundant energy sources. A safe recovery from a power interruption prevents a chain of events that could lead to loss of containment and, potentially, to a major or catastrophic chemical accident. Typically, a power failure is followed by changes in one of the following conditions: (1) with the support of an UPS, a controlled shutdown of the plant is achieved; (2) with UPS support, the site continues operating but the backup power supply fails, leading to a controlled emergency shutdown; (3) in the absence of backup power, certain processes or the entire industrial site undergo an uncontrolled emergency shutdown; (4) following a planned or unplanned shutdown, the site or specific processes are restarted, a phase referred to as recovery. High risks are always present during both controlled shutdowns and start-ups. Uncontrolled emergency shutdowns involve even higher risks; however, plants can still plan measures to reduce the impacts of such events.</w:t>
      </w:r>
    </w:p>
    <w:p w14:paraId="4D3A575D" w14:textId="52C3B070" w:rsidR="00D23730" w:rsidRPr="008A2DC6" w:rsidRDefault="00156792" w:rsidP="00D967D0">
      <w:pPr>
        <w:pStyle w:val="CETheadingx"/>
        <w:rPr>
          <w:lang w:val="en-GB"/>
        </w:rPr>
      </w:pPr>
      <w:r w:rsidRPr="008A2DC6">
        <w:rPr>
          <w:lang w:val="en-GB"/>
        </w:rPr>
        <w:t>Causes of failures in the main and redundant power supply</w:t>
      </w:r>
    </w:p>
    <w:p w14:paraId="207A1857" w14:textId="2A96FD2A" w:rsidR="00677032" w:rsidRPr="008A2DC6" w:rsidRDefault="0059663C" w:rsidP="00677032">
      <w:pPr>
        <w:pStyle w:val="CETBodytext"/>
        <w:rPr>
          <w:lang w:val="en-GB"/>
        </w:rPr>
      </w:pPr>
      <w:r w:rsidRPr="008A2DC6">
        <w:rPr>
          <w:lang w:val="en-GB"/>
        </w:rPr>
        <w:tab/>
      </w:r>
      <w:r w:rsidR="00677032" w:rsidRPr="008A2DC6">
        <w:rPr>
          <w:lang w:val="en-GB"/>
        </w:rPr>
        <w:t xml:space="preserve">The JRC study </w:t>
      </w:r>
      <w:r w:rsidR="00501E32" w:rsidRPr="008A2DC6">
        <w:rPr>
          <w:rFonts w:cs="Arial"/>
        </w:rPr>
        <w:t>(</w:t>
      </w:r>
      <w:r w:rsidR="00501E32" w:rsidRPr="008A2DC6">
        <w:t>MAHBulletin No. 15</w:t>
      </w:r>
      <w:r w:rsidR="00501E32">
        <w:t>, 2021</w:t>
      </w:r>
      <w:r w:rsidR="00501E32" w:rsidRPr="008A2DC6">
        <w:rPr>
          <w:rFonts w:cs="Arial"/>
        </w:rPr>
        <w:t xml:space="preserve">) </w:t>
      </w:r>
      <w:r w:rsidR="00677032" w:rsidRPr="008A2DC6">
        <w:rPr>
          <w:lang w:val="en-GB"/>
        </w:rPr>
        <w:t>further found that the loss of primary power supply was mainly attributable to failures of electrical equipment or electrical components (39%). Failures of electrical equipment were associated with: a) electrical switching and isolation devices; b) transformer failures; c) short circuits causing the flow of abnormally high currents through equipment or transmission lines; etc.</w:t>
      </w:r>
      <w:r w:rsidRPr="008A2DC6">
        <w:rPr>
          <w:lang w:val="en-GB"/>
        </w:rPr>
        <w:t xml:space="preserve"> </w:t>
      </w:r>
      <w:r w:rsidR="00677032" w:rsidRPr="008A2DC6">
        <w:rPr>
          <w:lang w:val="en-GB"/>
        </w:rPr>
        <w:t>In 37% of the cases analysed, redundant systems were in place but failed to operate correctly, leading to unsuccessful recovery from the loss of the primary power supply. Most failures related to backup power supply systems were identified in generators and uninterruptible power supply systems.</w:t>
      </w:r>
    </w:p>
    <w:p w14:paraId="2034192F" w14:textId="76389796" w:rsidR="003D11FD" w:rsidRPr="008A2DC6" w:rsidRDefault="00156792" w:rsidP="00D967D0">
      <w:pPr>
        <w:pStyle w:val="CETheadingx"/>
        <w:rPr>
          <w:lang w:val="en-GB"/>
        </w:rPr>
      </w:pPr>
      <w:r w:rsidRPr="008A2DC6">
        <w:rPr>
          <w:lang w:val="en-GB"/>
        </w:rPr>
        <w:t xml:space="preserve">Impacts of electrical blackouts </w:t>
      </w:r>
    </w:p>
    <w:p w14:paraId="13DFBD5E" w14:textId="628536ED" w:rsidR="00B64E78" w:rsidRPr="008A2DC6" w:rsidRDefault="00CD2183" w:rsidP="00B64E78">
      <w:pPr>
        <w:pStyle w:val="CETBodytext"/>
        <w:rPr>
          <w:lang w:val="en-GB"/>
        </w:rPr>
      </w:pPr>
      <w:r w:rsidRPr="008A2DC6">
        <w:rPr>
          <w:lang w:val="en-GB"/>
        </w:rPr>
        <w:t>Electric power is used for multiple purposes within industrial process plants</w:t>
      </w:r>
      <w:r w:rsidR="00B64E78" w:rsidRPr="008A2DC6">
        <w:rPr>
          <w:lang w:val="en-GB"/>
        </w:rPr>
        <w:t xml:space="preserve">. Power supply failures often affect equipment by disturbing several aspects of the process simultaneously, including: a) the operation of machinery, heating, cooling, pressure safety valves (PSVs), and instrumentation; b) the process control system, monitoring </w:t>
      </w:r>
      <w:r w:rsidR="00B64E78" w:rsidRPr="008A2DC6">
        <w:rPr>
          <w:lang w:val="en-GB"/>
        </w:rPr>
        <w:lastRenderedPageBreak/>
        <w:t>and alarm devices, and control mechanisms such as valves, pumps, or agitators; c) safety-critical instruments and emergency equipment.</w:t>
      </w:r>
    </w:p>
    <w:p w14:paraId="4F66C694" w14:textId="28FBC606" w:rsidR="00B64E78" w:rsidRPr="008A2DC6" w:rsidRDefault="00B64E78" w:rsidP="00B64E78">
      <w:pPr>
        <w:pStyle w:val="CETBodytext"/>
        <w:rPr>
          <w:lang w:val="en-GB"/>
        </w:rPr>
      </w:pPr>
      <w:r w:rsidRPr="008A2DC6">
        <w:rPr>
          <w:lang w:val="en-GB"/>
        </w:rPr>
        <w:t>In addition, digital control circuits may experience interruptions. Under undervoltage conditions, control signals may fall below the threshold at which logic controllers can reliably detect the represented equipment status (</w:t>
      </w:r>
      <w:r w:rsidR="00EA2345" w:rsidRPr="008A2DC6">
        <w:rPr>
          <w:lang w:val="en-GB"/>
        </w:rPr>
        <w:t>e.g.,</w:t>
      </w:r>
      <w:r w:rsidRPr="008A2DC6">
        <w:rPr>
          <w:lang w:val="en-GB"/>
        </w:rPr>
        <w:t xml:space="preserve"> </w:t>
      </w:r>
      <w:r w:rsidR="00EA2345" w:rsidRPr="008A2DC6">
        <w:rPr>
          <w:lang w:val="en-GB"/>
        </w:rPr>
        <w:t>valves</w:t>
      </w:r>
      <w:r w:rsidRPr="008A2DC6">
        <w:rPr>
          <w:lang w:val="en-GB"/>
        </w:rPr>
        <w:t xml:space="preserve"> open or closed, pump motor on/off, or upstream/downstream flow). Upon </w:t>
      </w:r>
      <w:r w:rsidR="00EA2345" w:rsidRPr="008A2DC6">
        <w:rPr>
          <w:lang w:val="en-GB"/>
        </w:rPr>
        <w:t>recovery of power</w:t>
      </w:r>
      <w:r w:rsidRPr="008A2DC6">
        <w:rPr>
          <w:lang w:val="en-GB"/>
        </w:rPr>
        <w:t>, the signal may differ from the actual equipment position, causing lock-ups or flows contrary to the intended process conditions.</w:t>
      </w:r>
      <w:r w:rsidR="00EA2345" w:rsidRPr="008A2DC6">
        <w:rPr>
          <w:lang w:val="en-GB"/>
        </w:rPr>
        <w:t xml:space="preserve"> </w:t>
      </w:r>
      <w:r w:rsidRPr="008A2DC6">
        <w:rPr>
          <w:lang w:val="en-GB"/>
        </w:rPr>
        <w:t>Cases have been observed in which power loss rendered boilers inoperable (thereby affecting steam generation), cooling systems (26% of cases), and reactor agitation systems (11% of cases).</w:t>
      </w:r>
      <w:r w:rsidR="00DE68CB" w:rsidRPr="008A2DC6">
        <w:rPr>
          <w:lang w:val="en-GB"/>
        </w:rPr>
        <w:t xml:space="preserve"> </w:t>
      </w:r>
      <w:r w:rsidRPr="008A2DC6">
        <w:rPr>
          <w:lang w:val="en-GB"/>
        </w:rPr>
        <w:t>Sudden current fluctuations may trigger the overcurrent protection of pump motors, causing them to trip and resulting in blocked flow paths. Cases have also been observed in which pumps stopped in the open position following a power outage, unexpectedly allowing process material to flow. Other cooling-related equipment involved may include air-cooled heat exchanger fans and fans installed on heaters or furnaces to prevent the formation of flammable or explosive atmospheres. Reactors were found to be the most vulnerable equipment, as cooling and/or agitation of reaction mixtures were lost in 16 cases (18%), leading to potential runaway reaction scenarios.</w:t>
      </w:r>
      <w:r w:rsidR="00DE68CB" w:rsidRPr="008A2DC6">
        <w:rPr>
          <w:lang w:val="en-GB"/>
        </w:rPr>
        <w:t xml:space="preserve"> </w:t>
      </w:r>
      <w:r w:rsidRPr="008A2DC6">
        <w:rPr>
          <w:lang w:val="en-GB"/>
        </w:rPr>
        <w:t>In 12 cases (13%), furnaces required for processes such as steam cracking failed following a power outage, while boilers</w:t>
      </w:r>
      <w:r w:rsidR="00EA2345" w:rsidRPr="008A2DC6">
        <w:rPr>
          <w:lang w:val="en-GB"/>
        </w:rPr>
        <w:t xml:space="preserve"> (</w:t>
      </w:r>
      <w:r w:rsidRPr="008A2DC6">
        <w:rPr>
          <w:lang w:val="en-GB"/>
        </w:rPr>
        <w:t>one of the most fundamental systems in refineries or chemical plants responsible for steam production</w:t>
      </w:r>
      <w:r w:rsidR="00EA2345" w:rsidRPr="008A2DC6">
        <w:rPr>
          <w:lang w:val="en-GB"/>
        </w:rPr>
        <w:t xml:space="preserve">) </w:t>
      </w:r>
      <w:r w:rsidRPr="008A2DC6">
        <w:rPr>
          <w:lang w:val="en-GB"/>
        </w:rPr>
        <w:t>were lost in eight cases (9%). Other equipment affected by power loss included pumps circulating process substances, fire-fighting water, or cooling media (16 cases, 18%), and agitators for reaction mixtures (11 cases, 12%).</w:t>
      </w:r>
      <w:r w:rsidR="00DE68CB" w:rsidRPr="008A2DC6">
        <w:rPr>
          <w:lang w:val="en-GB"/>
        </w:rPr>
        <w:t xml:space="preserve"> </w:t>
      </w:r>
      <w:r w:rsidRPr="008A2DC6">
        <w:rPr>
          <w:lang w:val="en-GB"/>
        </w:rPr>
        <w:t>Emergency mitigation and response equipment lost functionality in several cases. Safety functions, such as gas detectors, as well as monitoring systems (</w:t>
      </w:r>
      <w:r w:rsidR="00EA2345" w:rsidRPr="008A2DC6">
        <w:rPr>
          <w:lang w:val="en-GB"/>
        </w:rPr>
        <w:t>e.g.,</w:t>
      </w:r>
      <w:r w:rsidRPr="008A2DC6">
        <w:rPr>
          <w:lang w:val="en-GB"/>
        </w:rPr>
        <w:t xml:space="preserve"> level sensors), were affected by power outages in 10 cases (11%). In four cases, fire-fighting operations, hydrants, or sprinklers were deemed unusable following the power interruption, while in another four cases internal or external plant communications were lost.</w:t>
      </w:r>
    </w:p>
    <w:p w14:paraId="2941DA44" w14:textId="094EC096" w:rsidR="00B64E78" w:rsidRPr="008A2DC6" w:rsidRDefault="00B64E78" w:rsidP="00B64E78">
      <w:pPr>
        <w:pStyle w:val="CETBodytext"/>
        <w:rPr>
          <w:lang w:val="en-GB"/>
        </w:rPr>
      </w:pPr>
      <w:r w:rsidRPr="008A2DC6">
        <w:rPr>
          <w:lang w:val="en-GB"/>
        </w:rPr>
        <w:t>According to the</w:t>
      </w:r>
      <w:r w:rsidR="00EA2345" w:rsidRPr="008A2DC6">
        <w:rPr>
          <w:lang w:val="en-GB"/>
        </w:rPr>
        <w:t xml:space="preserve"> JRC study</w:t>
      </w:r>
      <w:r w:rsidRPr="008A2DC6">
        <w:rPr>
          <w:lang w:val="en-GB"/>
        </w:rPr>
        <w:t xml:space="preserve"> </w:t>
      </w:r>
      <w:r w:rsidR="00EA2345" w:rsidRPr="008A2DC6">
        <w:rPr>
          <w:lang w:val="en-GB"/>
        </w:rPr>
        <w:t>(MAHBulletin No. 15</w:t>
      </w:r>
      <w:r w:rsidR="00EA2345" w:rsidRPr="008A2DC6">
        <w:rPr>
          <w:rFonts w:cs="Arial"/>
          <w:lang w:val="en-GB"/>
        </w:rPr>
        <w:t>)</w:t>
      </w:r>
      <w:r w:rsidRPr="008A2DC6">
        <w:rPr>
          <w:lang w:val="en-GB"/>
        </w:rPr>
        <w:t>, the most severe safety-relevant impacts were observed on:</w:t>
      </w:r>
    </w:p>
    <w:p w14:paraId="79A2A38E" w14:textId="6B888957" w:rsidR="00B64E78" w:rsidRPr="008A2DC6" w:rsidRDefault="00B64E78" w:rsidP="00B64E78">
      <w:pPr>
        <w:pStyle w:val="CETBodytext"/>
        <w:numPr>
          <w:ilvl w:val="0"/>
          <w:numId w:val="26"/>
        </w:numPr>
        <w:rPr>
          <w:szCs w:val="18"/>
          <w:lang w:val="en-GB"/>
        </w:rPr>
      </w:pPr>
      <w:r w:rsidRPr="008A2DC6">
        <w:rPr>
          <w:szCs w:val="18"/>
          <w:lang w:val="en-GB"/>
        </w:rPr>
        <w:t>process equipment: reactors, furnaces, boilers.</w:t>
      </w:r>
    </w:p>
    <w:p w14:paraId="337AA71A" w14:textId="434CCD26" w:rsidR="00B64E78" w:rsidRPr="008A2DC6" w:rsidRDefault="00B64E78" w:rsidP="00B64E78">
      <w:pPr>
        <w:pStyle w:val="CETBodytext"/>
        <w:numPr>
          <w:ilvl w:val="0"/>
          <w:numId w:val="26"/>
        </w:numPr>
        <w:rPr>
          <w:szCs w:val="18"/>
          <w:lang w:val="en-GB"/>
        </w:rPr>
      </w:pPr>
      <w:r w:rsidRPr="008A2DC6">
        <w:rPr>
          <w:szCs w:val="18"/>
          <w:lang w:val="en-GB"/>
        </w:rPr>
        <w:t>process components: pumps, agitators, valves.</w:t>
      </w:r>
    </w:p>
    <w:p w14:paraId="1474CA6E" w14:textId="31D06118" w:rsidR="00B64E78" w:rsidRPr="008A2DC6" w:rsidRDefault="00B64E78" w:rsidP="00B64E78">
      <w:pPr>
        <w:pStyle w:val="CETBodytext"/>
        <w:numPr>
          <w:ilvl w:val="0"/>
          <w:numId w:val="26"/>
        </w:numPr>
        <w:rPr>
          <w:szCs w:val="18"/>
          <w:lang w:val="en-GB"/>
        </w:rPr>
      </w:pPr>
      <w:r w:rsidRPr="008A2DC6">
        <w:rPr>
          <w:szCs w:val="18"/>
          <w:lang w:val="en-GB"/>
        </w:rPr>
        <w:t>safety functions: detection and monitoring, fire-fighting operations, switching/commutation systems.</w:t>
      </w:r>
    </w:p>
    <w:p w14:paraId="2633B076" w14:textId="322FEA6B" w:rsidR="00F73D81" w:rsidRPr="008A2DC6" w:rsidRDefault="00B64E78" w:rsidP="00B64E78">
      <w:pPr>
        <w:pStyle w:val="CETBodytext"/>
        <w:numPr>
          <w:ilvl w:val="0"/>
          <w:numId w:val="26"/>
        </w:numPr>
        <w:rPr>
          <w:lang w:val="en-GB"/>
        </w:rPr>
      </w:pPr>
      <w:r w:rsidRPr="008A2DC6">
        <w:rPr>
          <w:szCs w:val="18"/>
          <w:lang w:val="en-GB"/>
        </w:rPr>
        <w:t>utilities</w:t>
      </w:r>
      <w:r w:rsidRPr="008A2DC6">
        <w:rPr>
          <w:b/>
          <w:bCs/>
          <w:lang w:val="en-GB"/>
        </w:rPr>
        <w:t>:</w:t>
      </w:r>
      <w:r w:rsidRPr="008A2DC6">
        <w:rPr>
          <w:lang w:val="en-GB"/>
        </w:rPr>
        <w:t xml:space="preserve"> cooling, steam, water.</w:t>
      </w:r>
    </w:p>
    <w:p w14:paraId="225E36F6" w14:textId="04524FFD" w:rsidR="007A79AA" w:rsidRPr="008A2DC6" w:rsidRDefault="00AA7545" w:rsidP="007A79AA">
      <w:pPr>
        <w:pStyle w:val="CETHeading1"/>
        <w:jc w:val="both"/>
        <w:rPr>
          <w:lang w:val="en-GB"/>
        </w:rPr>
      </w:pPr>
      <w:r w:rsidRPr="008A2DC6">
        <w:rPr>
          <w:lang w:val="en-GB"/>
        </w:rPr>
        <w:t xml:space="preserve">Index-based Method for Electrical Blackout </w:t>
      </w:r>
      <w:r w:rsidR="007A79AA" w:rsidRPr="008A2DC6">
        <w:rPr>
          <w:lang w:val="en-GB"/>
        </w:rPr>
        <w:t>Risk Assessment</w:t>
      </w:r>
    </w:p>
    <w:p w14:paraId="1A398F56" w14:textId="2A17824B" w:rsidR="00703E89" w:rsidRDefault="00703E89" w:rsidP="001C570D">
      <w:pPr>
        <w:pStyle w:val="CETnumberingbullets"/>
        <w:numPr>
          <w:ilvl w:val="0"/>
          <w:numId w:val="0"/>
        </w:numPr>
      </w:pPr>
      <w:r w:rsidRPr="008A2DC6">
        <w:t xml:space="preserve">Assessment of electrical blackout risk in industrial activities </w:t>
      </w:r>
      <w:r w:rsidR="005A28A7" w:rsidRPr="008A2DC6">
        <w:t>analyses</w:t>
      </w:r>
      <w:r w:rsidRPr="008A2DC6">
        <w:t xml:space="preserve"> the probability and consequences of </w:t>
      </w:r>
      <w:r w:rsidR="006B2F83" w:rsidRPr="008A2DC6">
        <w:t>power</w:t>
      </w:r>
      <w:r w:rsidRPr="008A2DC6">
        <w:t xml:space="preserve"> interruption, considering causes such as grid failures, natural events, or third-party actions. It is based on the calculation:</w:t>
      </w:r>
    </w:p>
    <w:p w14:paraId="026390A8" w14:textId="77777777" w:rsidR="007F79FF" w:rsidRPr="008A2DC6" w:rsidRDefault="007F79FF" w:rsidP="001C570D">
      <w:pPr>
        <w:pStyle w:val="CETnumberingbullets"/>
        <w:numPr>
          <w:ilvl w:val="0"/>
          <w:numId w:val="0"/>
        </w:numPr>
      </w:pPr>
    </w:p>
    <w:p w14:paraId="66D28101" w14:textId="74B587B9" w:rsidR="00A265DF" w:rsidRPr="008A2DC6" w:rsidRDefault="00A265DF" w:rsidP="001C570D">
      <w:pPr>
        <w:pStyle w:val="CETnumberingbullets"/>
        <w:numPr>
          <w:ilvl w:val="0"/>
          <w:numId w:val="0"/>
        </w:numPr>
        <w:tabs>
          <w:tab w:val="left" w:pos="8505"/>
        </w:tabs>
        <w:jc w:val="center"/>
      </w:pPr>
      <w:r w:rsidRPr="008A2DC6">
        <w:rPr>
          <w:rFonts w:cs="Arial"/>
          <w:szCs w:val="18"/>
        </w:rPr>
        <w:t>R</w:t>
      </w:r>
      <w:r w:rsidRPr="008A2DC6">
        <w:rPr>
          <w:rFonts w:cs="Arial"/>
          <w:szCs w:val="18"/>
          <w:vertAlign w:val="subscript"/>
        </w:rPr>
        <w:t xml:space="preserve">eb </w:t>
      </w:r>
      <w:r w:rsidRPr="008A2DC6">
        <w:rPr>
          <w:rFonts w:cs="Arial"/>
          <w:szCs w:val="18"/>
        </w:rPr>
        <w:t xml:space="preserve">= P * </w:t>
      </w:r>
      <w:r w:rsidR="001F71C9" w:rsidRPr="008A2DC6">
        <w:rPr>
          <w:rFonts w:cs="Arial"/>
          <w:szCs w:val="18"/>
        </w:rPr>
        <w:t>S</w:t>
      </w:r>
      <w:r w:rsidRPr="008A2DC6">
        <w:rPr>
          <w:rFonts w:cs="Arial"/>
          <w:szCs w:val="18"/>
        </w:rPr>
        <w:tab/>
        <w:t xml:space="preserve"> </w:t>
      </w:r>
      <w:r w:rsidRPr="008A2DC6">
        <w:t>(1)</w:t>
      </w:r>
    </w:p>
    <w:p w14:paraId="68D83A50" w14:textId="77777777" w:rsidR="007F79FF" w:rsidRDefault="007F79FF" w:rsidP="001C570D">
      <w:pPr>
        <w:pStyle w:val="CETnumberingbullets"/>
        <w:numPr>
          <w:ilvl w:val="0"/>
          <w:numId w:val="0"/>
        </w:numPr>
        <w:jc w:val="both"/>
      </w:pPr>
    </w:p>
    <w:p w14:paraId="09000C8D" w14:textId="40B13201" w:rsidR="00703E89" w:rsidRPr="008A2DC6" w:rsidRDefault="00703E89" w:rsidP="001C570D">
      <w:pPr>
        <w:pStyle w:val="CETnumberingbullets"/>
        <w:numPr>
          <w:ilvl w:val="0"/>
          <w:numId w:val="0"/>
        </w:numPr>
        <w:jc w:val="both"/>
      </w:pPr>
      <w:r w:rsidRPr="008A2DC6">
        <w:t>Where:</w:t>
      </w:r>
    </w:p>
    <w:p w14:paraId="61EE2DD9" w14:textId="3FBA1BB5" w:rsidR="00703E89" w:rsidRPr="008A2DC6" w:rsidRDefault="001E1B6C" w:rsidP="001C570D">
      <w:pPr>
        <w:pStyle w:val="CETnumberingbullets"/>
        <w:numPr>
          <w:ilvl w:val="0"/>
          <w:numId w:val="0"/>
        </w:numPr>
        <w:jc w:val="both"/>
      </w:pPr>
      <w:r w:rsidRPr="008A2DC6">
        <w:rPr>
          <w:rFonts w:cs="Arial"/>
          <w:szCs w:val="18"/>
        </w:rPr>
        <w:t>R</w:t>
      </w:r>
      <w:r w:rsidRPr="008A2DC6">
        <w:rPr>
          <w:rFonts w:cs="Arial"/>
          <w:szCs w:val="18"/>
          <w:vertAlign w:val="subscript"/>
        </w:rPr>
        <w:t>eb</w:t>
      </w:r>
      <w:r w:rsidRPr="008A2DC6">
        <w:t xml:space="preserve"> </w:t>
      </w:r>
      <w:r w:rsidR="00703E89" w:rsidRPr="008A2DC6">
        <w:t xml:space="preserve">represents the level of electrical blackout risk for each critical </w:t>
      </w:r>
      <w:r w:rsidR="006B2F83" w:rsidRPr="008A2DC6">
        <w:t>unit.</w:t>
      </w:r>
    </w:p>
    <w:p w14:paraId="0961D99E" w14:textId="4E5E3004" w:rsidR="00703E89" w:rsidRPr="008A2DC6" w:rsidRDefault="00703E89" w:rsidP="001C570D">
      <w:pPr>
        <w:pStyle w:val="CETnumberingbullets"/>
        <w:numPr>
          <w:ilvl w:val="0"/>
          <w:numId w:val="0"/>
        </w:numPr>
        <w:jc w:val="both"/>
      </w:pPr>
      <w:r w:rsidRPr="008A2DC6">
        <w:t xml:space="preserve">P </w:t>
      </w:r>
      <w:r w:rsidR="001F71C9" w:rsidRPr="008A2DC6">
        <w:t>represents the probability of occurrence</w:t>
      </w:r>
      <w:r w:rsidRPr="008A2DC6">
        <w:t xml:space="preserve"> of such an electrical </w:t>
      </w:r>
      <w:r w:rsidR="006B2F83" w:rsidRPr="008A2DC6">
        <w:t>blackout.</w:t>
      </w:r>
    </w:p>
    <w:p w14:paraId="09E63893" w14:textId="4C3D332A" w:rsidR="00703E89" w:rsidRPr="008A2DC6" w:rsidRDefault="001F71C9" w:rsidP="001C570D">
      <w:pPr>
        <w:pStyle w:val="CETnumberingbullets"/>
        <w:numPr>
          <w:ilvl w:val="0"/>
          <w:numId w:val="0"/>
        </w:numPr>
        <w:jc w:val="both"/>
      </w:pPr>
      <w:r w:rsidRPr="008A2DC6">
        <w:t>S</w:t>
      </w:r>
      <w:r w:rsidR="00703E89" w:rsidRPr="008A2DC6">
        <w:t xml:space="preserve"> </w:t>
      </w:r>
      <w:r w:rsidRPr="008A2DC6">
        <w:t>represents the severity of the consequences</w:t>
      </w:r>
      <w:r w:rsidR="00703E89" w:rsidRPr="008A2DC6">
        <w:t>.</w:t>
      </w:r>
    </w:p>
    <w:p w14:paraId="25621DD1" w14:textId="6139C11D" w:rsidR="00703E89" w:rsidRPr="008A2DC6" w:rsidRDefault="00703E89" w:rsidP="001C570D">
      <w:pPr>
        <w:pStyle w:val="CETnumberingbullets"/>
        <w:numPr>
          <w:ilvl w:val="0"/>
          <w:numId w:val="0"/>
        </w:numPr>
        <w:jc w:val="both"/>
      </w:pPr>
      <w:r w:rsidRPr="008A2DC6">
        <w:t>The aim is to identify critical units, including equipment, components, utilities, and safety functions, that have implications for safety.</w:t>
      </w:r>
      <w:r w:rsidR="001F71C9" w:rsidRPr="008A2DC6">
        <w:t xml:space="preserve"> </w:t>
      </w:r>
      <w:r w:rsidRPr="008A2DC6">
        <w:t xml:space="preserve">As this constitutes a preliminary assessment, the authors introduce an index-based method to determine the electrical blackout risk level, </w:t>
      </w:r>
      <w:r w:rsidR="001E1B6C" w:rsidRPr="008A2DC6">
        <w:rPr>
          <w:rFonts w:cs="Arial"/>
          <w:szCs w:val="18"/>
        </w:rPr>
        <w:t>IR</w:t>
      </w:r>
      <w:r w:rsidR="001E1B6C" w:rsidRPr="008A2DC6">
        <w:rPr>
          <w:rFonts w:cs="Arial"/>
          <w:szCs w:val="18"/>
          <w:vertAlign w:val="subscript"/>
        </w:rPr>
        <w:t>eb</w:t>
      </w:r>
      <w:r w:rsidR="001E1B6C" w:rsidRPr="008A2DC6">
        <w:t xml:space="preserve"> </w:t>
      </w:r>
      <w:r w:rsidRPr="008A2DC6">
        <w:t>using the following relationship:</w:t>
      </w:r>
    </w:p>
    <w:p w14:paraId="3F801B77" w14:textId="77777777" w:rsidR="00D843C6" w:rsidRPr="008A2DC6" w:rsidRDefault="00D843C6" w:rsidP="001C570D">
      <w:pPr>
        <w:pStyle w:val="CETnumberingbullets"/>
        <w:numPr>
          <w:ilvl w:val="0"/>
          <w:numId w:val="0"/>
        </w:numPr>
        <w:jc w:val="both"/>
      </w:pPr>
    </w:p>
    <w:p w14:paraId="11DFCA1F" w14:textId="2BB4E98C" w:rsidR="00D843C6" w:rsidRPr="008A2DC6" w:rsidRDefault="00D843C6" w:rsidP="001C570D">
      <w:pPr>
        <w:pStyle w:val="CETnumberingbullets"/>
        <w:numPr>
          <w:ilvl w:val="0"/>
          <w:numId w:val="0"/>
        </w:numPr>
        <w:tabs>
          <w:tab w:val="left" w:pos="8505"/>
        </w:tabs>
        <w:jc w:val="center"/>
      </w:pPr>
      <w:r w:rsidRPr="008A2DC6">
        <w:rPr>
          <w:rFonts w:cs="Arial"/>
          <w:szCs w:val="18"/>
        </w:rPr>
        <w:t>IR</w:t>
      </w:r>
      <w:r w:rsidR="002F1767" w:rsidRPr="008A2DC6">
        <w:rPr>
          <w:rFonts w:cs="Arial"/>
          <w:szCs w:val="18"/>
          <w:vertAlign w:val="subscript"/>
        </w:rPr>
        <w:t>eb</w:t>
      </w:r>
      <w:r w:rsidRPr="008A2DC6">
        <w:rPr>
          <w:rFonts w:cs="Arial"/>
          <w:szCs w:val="18"/>
          <w:vertAlign w:val="subscript"/>
        </w:rPr>
        <w:t xml:space="preserve"> </w:t>
      </w:r>
      <w:r w:rsidRPr="008A2DC6">
        <w:rPr>
          <w:rFonts w:cs="Arial"/>
          <w:szCs w:val="18"/>
        </w:rPr>
        <w:t>= I</w:t>
      </w:r>
      <w:r w:rsidR="002C2E20" w:rsidRPr="008A2DC6">
        <w:rPr>
          <w:rFonts w:cs="Arial"/>
          <w:szCs w:val="18"/>
        </w:rPr>
        <w:t>P</w:t>
      </w:r>
      <w:r w:rsidRPr="008A2DC6">
        <w:rPr>
          <w:rFonts w:cs="Arial"/>
          <w:szCs w:val="18"/>
        </w:rPr>
        <w:t xml:space="preserve"> * I</w:t>
      </w:r>
      <w:r w:rsidR="001F71C9" w:rsidRPr="008A2DC6">
        <w:rPr>
          <w:rFonts w:cs="Arial"/>
          <w:szCs w:val="18"/>
        </w:rPr>
        <w:t>S</w:t>
      </w:r>
      <w:r w:rsidR="00A265DF" w:rsidRPr="008A2DC6">
        <w:rPr>
          <w:rFonts w:cs="Arial"/>
          <w:szCs w:val="18"/>
        </w:rPr>
        <w:tab/>
        <w:t xml:space="preserve"> </w:t>
      </w:r>
      <w:r w:rsidRPr="008A2DC6">
        <w:t>(2)</w:t>
      </w:r>
    </w:p>
    <w:p w14:paraId="167CD82E" w14:textId="77777777" w:rsidR="00D843C6" w:rsidRPr="008A2DC6" w:rsidRDefault="00D843C6" w:rsidP="007F79FF">
      <w:pPr>
        <w:pStyle w:val="CETnumberingbullets"/>
        <w:numPr>
          <w:ilvl w:val="0"/>
          <w:numId w:val="0"/>
        </w:numPr>
      </w:pPr>
    </w:p>
    <w:p w14:paraId="15C9F13E" w14:textId="065DD89E" w:rsidR="00703E89" w:rsidRPr="008A2DC6" w:rsidRDefault="00703E89" w:rsidP="001C570D">
      <w:pPr>
        <w:pStyle w:val="CETnumberingbullets"/>
        <w:numPr>
          <w:ilvl w:val="0"/>
          <w:numId w:val="0"/>
        </w:numPr>
        <w:jc w:val="both"/>
      </w:pPr>
      <w:r w:rsidRPr="008A2DC6">
        <w:t xml:space="preserve">Here, IP, the </w:t>
      </w:r>
      <w:r w:rsidR="005A28A7">
        <w:t>P</w:t>
      </w:r>
      <w:r w:rsidRPr="008A2DC6">
        <w:t xml:space="preserve">robability </w:t>
      </w:r>
      <w:r w:rsidR="005A28A7">
        <w:t>I</w:t>
      </w:r>
      <w:r w:rsidRPr="008A2DC6">
        <w:t>ndex for electrical blackout, and I</w:t>
      </w:r>
      <w:r w:rsidR="001F71C9" w:rsidRPr="008A2DC6">
        <w:t>S</w:t>
      </w:r>
      <w:r w:rsidRPr="008A2DC6">
        <w:t xml:space="preserve">, the </w:t>
      </w:r>
      <w:r w:rsidR="005A28A7">
        <w:t>S</w:t>
      </w:r>
      <w:r w:rsidR="001F71C9" w:rsidRPr="008A2DC6">
        <w:t>everity</w:t>
      </w:r>
      <w:r w:rsidRPr="008A2DC6">
        <w:t xml:space="preserve"> </w:t>
      </w:r>
      <w:r w:rsidR="005A28A7">
        <w:t>I</w:t>
      </w:r>
      <w:r w:rsidRPr="008A2DC6">
        <w:t>ndex for electrical blackout, are assigned increasing values from 1 to 10.</w:t>
      </w:r>
    </w:p>
    <w:p w14:paraId="00AFCED6" w14:textId="4FAE9D1F" w:rsidR="007A79AA" w:rsidRPr="008A2DC6" w:rsidRDefault="007A79AA" w:rsidP="007A79AA">
      <w:pPr>
        <w:pStyle w:val="CETheadingx"/>
        <w:rPr>
          <w:lang w:val="en-GB"/>
        </w:rPr>
      </w:pPr>
      <w:r w:rsidRPr="008A2DC6">
        <w:rPr>
          <w:lang w:val="en-GB"/>
        </w:rPr>
        <w:t>I</w:t>
      </w:r>
      <w:r w:rsidR="00F66AC3" w:rsidRPr="008A2DC6">
        <w:rPr>
          <w:lang w:val="en-GB"/>
        </w:rPr>
        <w:t>P</w:t>
      </w:r>
      <w:r w:rsidRPr="008A2DC6">
        <w:rPr>
          <w:lang w:val="en-GB"/>
        </w:rPr>
        <w:t xml:space="preserve"> - </w:t>
      </w:r>
      <w:r w:rsidR="00F66AC3" w:rsidRPr="008A2DC6">
        <w:rPr>
          <w:lang w:val="en-GB"/>
        </w:rPr>
        <w:t>Probability Index for Electrical Blackout</w:t>
      </w:r>
    </w:p>
    <w:p w14:paraId="24907DB8" w14:textId="7AD013D1" w:rsidR="007A79AA" w:rsidRPr="008A2DC6" w:rsidRDefault="00F66AC3" w:rsidP="007A79AA">
      <w:pPr>
        <w:pStyle w:val="CETnumberingbullets"/>
        <w:numPr>
          <w:ilvl w:val="0"/>
          <w:numId w:val="0"/>
        </w:numPr>
        <w:jc w:val="both"/>
      </w:pPr>
      <w:r w:rsidRPr="008A2DC6">
        <w:rPr>
          <w:rFonts w:cs="Arial"/>
        </w:rPr>
        <w:t xml:space="preserve">To determine the value of </w:t>
      </w:r>
      <w:r w:rsidR="00AA6AB5" w:rsidRPr="008A2DC6">
        <w:rPr>
          <w:rFonts w:cs="Arial"/>
        </w:rPr>
        <w:t xml:space="preserve">Probability Index </w:t>
      </w:r>
      <w:r w:rsidR="00AA6AB5">
        <w:rPr>
          <w:rFonts w:cs="Arial"/>
        </w:rPr>
        <w:t>(</w:t>
      </w:r>
      <w:r w:rsidR="001F71C9" w:rsidRPr="008A2DC6">
        <w:rPr>
          <w:rFonts w:cs="Arial"/>
        </w:rPr>
        <w:t>I</w:t>
      </w:r>
      <w:r w:rsidRPr="008A2DC6">
        <w:rPr>
          <w:rFonts w:cs="Arial"/>
        </w:rPr>
        <w:t>P</w:t>
      </w:r>
      <w:r w:rsidR="00AA6AB5">
        <w:rPr>
          <w:rFonts w:cs="Arial"/>
        </w:rPr>
        <w:t>)</w:t>
      </w:r>
      <w:r w:rsidRPr="008A2DC6">
        <w:rPr>
          <w:rFonts w:cs="Arial"/>
        </w:rPr>
        <w:t>, Table 1 is used to correlate the three main causes of electrical blackout with their respective frequencies observed in recent years at the facility under assessment. From these frequencies, three IP values are obtained: one for external blackout, one for internal blackout, and one for natural events. The overall IP value is calculated by summing these three partial values.</w:t>
      </w:r>
    </w:p>
    <w:p w14:paraId="5425DAB5" w14:textId="77777777" w:rsidR="00F66AC3" w:rsidRDefault="00F66AC3" w:rsidP="007A79AA">
      <w:pPr>
        <w:pStyle w:val="CETnumberingbullets"/>
        <w:numPr>
          <w:ilvl w:val="0"/>
          <w:numId w:val="0"/>
        </w:numPr>
        <w:jc w:val="both"/>
      </w:pPr>
    </w:p>
    <w:p w14:paraId="68EABA48" w14:textId="77777777" w:rsidR="005A28A7" w:rsidRDefault="005A28A7" w:rsidP="007A79AA">
      <w:pPr>
        <w:pStyle w:val="CETnumberingbullets"/>
        <w:numPr>
          <w:ilvl w:val="0"/>
          <w:numId w:val="0"/>
        </w:numPr>
        <w:jc w:val="both"/>
      </w:pPr>
    </w:p>
    <w:p w14:paraId="516AE715" w14:textId="77777777" w:rsidR="00334A88" w:rsidRDefault="00334A88" w:rsidP="007A79AA">
      <w:pPr>
        <w:pStyle w:val="CETnumberingbullets"/>
        <w:numPr>
          <w:ilvl w:val="0"/>
          <w:numId w:val="0"/>
        </w:numPr>
        <w:jc w:val="both"/>
      </w:pPr>
    </w:p>
    <w:p w14:paraId="016E18D7" w14:textId="77777777" w:rsidR="00334A88" w:rsidRDefault="00334A88" w:rsidP="007A79AA">
      <w:pPr>
        <w:pStyle w:val="CETnumberingbullets"/>
        <w:numPr>
          <w:ilvl w:val="0"/>
          <w:numId w:val="0"/>
        </w:numPr>
        <w:jc w:val="both"/>
      </w:pPr>
    </w:p>
    <w:p w14:paraId="14276C26" w14:textId="07B053D8" w:rsidR="007A79AA" w:rsidRPr="00DD3B04" w:rsidRDefault="007A79AA" w:rsidP="00F66AC3">
      <w:pPr>
        <w:pStyle w:val="CETnumberingbullets"/>
        <w:numPr>
          <w:ilvl w:val="0"/>
          <w:numId w:val="0"/>
        </w:numPr>
        <w:jc w:val="center"/>
        <w:rPr>
          <w:i/>
          <w:iCs/>
          <w:szCs w:val="18"/>
          <w:vertAlign w:val="subscript"/>
        </w:rPr>
      </w:pPr>
      <w:r w:rsidRPr="00DD3B04">
        <w:rPr>
          <w:i/>
          <w:iCs/>
          <w:szCs w:val="18"/>
        </w:rPr>
        <w:lastRenderedPageBreak/>
        <w:t xml:space="preserve">Table 1: Relationship between </w:t>
      </w:r>
      <w:r w:rsidR="002F1767" w:rsidRPr="00DD3B04">
        <w:rPr>
          <w:i/>
          <w:iCs/>
          <w:szCs w:val="18"/>
        </w:rPr>
        <w:t xml:space="preserve">Causes, Frequency </w:t>
      </w:r>
      <w:r w:rsidRPr="00DD3B04">
        <w:rPr>
          <w:i/>
          <w:iCs/>
          <w:szCs w:val="18"/>
        </w:rPr>
        <w:t>and</w:t>
      </w:r>
      <w:r w:rsidR="00AA6AB5" w:rsidRPr="00DD3B04">
        <w:rPr>
          <w:i/>
          <w:iCs/>
          <w:szCs w:val="18"/>
        </w:rPr>
        <w:t xml:space="preserve"> </w:t>
      </w:r>
      <w:r w:rsidRPr="00DD3B04">
        <w:rPr>
          <w:i/>
          <w:iCs/>
          <w:szCs w:val="18"/>
        </w:rPr>
        <w:t>I</w:t>
      </w:r>
      <w:r w:rsidR="002F1767" w:rsidRPr="00DD3B04">
        <w:rPr>
          <w:i/>
          <w:iCs/>
          <w:szCs w:val="18"/>
        </w:rPr>
        <w:t>P</w:t>
      </w:r>
    </w:p>
    <w:tbl>
      <w:tblPr>
        <w:tblW w:w="8505"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253"/>
        <w:gridCol w:w="2977"/>
        <w:gridCol w:w="1275"/>
      </w:tblGrid>
      <w:tr w:rsidR="00F66AC3" w:rsidRPr="008A2DC6" w14:paraId="34292517" w14:textId="77777777" w:rsidTr="002F1767">
        <w:trPr>
          <w:trHeight w:val="212"/>
          <w:jc w:val="center"/>
        </w:trPr>
        <w:tc>
          <w:tcPr>
            <w:tcW w:w="4253" w:type="dxa"/>
            <w:tcBorders>
              <w:top w:val="single" w:sz="12" w:space="0" w:color="008000"/>
              <w:bottom w:val="single" w:sz="6" w:space="0" w:color="008000"/>
            </w:tcBorders>
            <w:shd w:val="clear" w:color="auto" w:fill="FFFFFF"/>
          </w:tcPr>
          <w:p w14:paraId="01979CAC" w14:textId="73CBAFDA" w:rsidR="00F66AC3" w:rsidRPr="008A2DC6" w:rsidRDefault="00F66AC3" w:rsidP="0098680A">
            <w:pPr>
              <w:pStyle w:val="CETBodytext"/>
              <w:jc w:val="left"/>
              <w:rPr>
                <w:szCs w:val="18"/>
                <w:lang w:val="en-GB"/>
              </w:rPr>
            </w:pPr>
            <w:bookmarkStart w:id="1" w:name="_Hlk218961036"/>
            <w:r w:rsidRPr="008A2DC6">
              <w:rPr>
                <w:szCs w:val="18"/>
                <w:lang w:val="en-GB"/>
              </w:rPr>
              <w:t>Causes</w:t>
            </w:r>
          </w:p>
        </w:tc>
        <w:tc>
          <w:tcPr>
            <w:tcW w:w="2977" w:type="dxa"/>
            <w:tcBorders>
              <w:top w:val="single" w:sz="12" w:space="0" w:color="008000"/>
              <w:bottom w:val="single" w:sz="6" w:space="0" w:color="008000"/>
            </w:tcBorders>
            <w:shd w:val="clear" w:color="auto" w:fill="FFFFFF"/>
          </w:tcPr>
          <w:p w14:paraId="30622B0E" w14:textId="40CC4C67" w:rsidR="00F66AC3" w:rsidRPr="008A2DC6" w:rsidRDefault="00F66AC3" w:rsidP="0098680A">
            <w:pPr>
              <w:pStyle w:val="CETBodytext"/>
              <w:jc w:val="left"/>
              <w:rPr>
                <w:szCs w:val="18"/>
                <w:lang w:val="en-GB"/>
              </w:rPr>
            </w:pPr>
            <w:r w:rsidRPr="008A2DC6">
              <w:rPr>
                <w:szCs w:val="18"/>
                <w:lang w:val="en-GB"/>
              </w:rPr>
              <w:t>Frequency in the previous 5 years</w:t>
            </w:r>
          </w:p>
        </w:tc>
        <w:tc>
          <w:tcPr>
            <w:tcW w:w="1275" w:type="dxa"/>
            <w:tcBorders>
              <w:top w:val="single" w:sz="12" w:space="0" w:color="008000"/>
              <w:bottom w:val="single" w:sz="6" w:space="0" w:color="008000"/>
            </w:tcBorders>
            <w:shd w:val="clear" w:color="auto" w:fill="FFFFFF"/>
          </w:tcPr>
          <w:p w14:paraId="411A973F" w14:textId="6F009A67" w:rsidR="00F66AC3" w:rsidRPr="008A2DC6" w:rsidRDefault="00F66AC3" w:rsidP="0098680A">
            <w:pPr>
              <w:pStyle w:val="CETBodytext"/>
              <w:jc w:val="left"/>
              <w:rPr>
                <w:szCs w:val="18"/>
                <w:lang w:val="en-GB"/>
              </w:rPr>
            </w:pPr>
            <w:r w:rsidRPr="008A2DC6">
              <w:rPr>
                <w:szCs w:val="18"/>
                <w:lang w:val="en-GB"/>
              </w:rPr>
              <w:t>IP</w:t>
            </w:r>
          </w:p>
        </w:tc>
      </w:tr>
      <w:tr w:rsidR="00F66AC3" w:rsidRPr="008A2DC6" w14:paraId="7A79CDE4" w14:textId="77777777" w:rsidTr="002F1767">
        <w:trPr>
          <w:trHeight w:val="212"/>
          <w:jc w:val="center"/>
        </w:trPr>
        <w:tc>
          <w:tcPr>
            <w:tcW w:w="4253" w:type="dxa"/>
            <w:shd w:val="clear" w:color="auto" w:fill="FFFFFF"/>
          </w:tcPr>
          <w:p w14:paraId="496E69C7" w14:textId="3E1E9D25" w:rsidR="00F66AC3" w:rsidRPr="008A2DC6" w:rsidRDefault="00F66AC3" w:rsidP="0098680A">
            <w:pPr>
              <w:pStyle w:val="CETBodytext"/>
              <w:jc w:val="left"/>
              <w:rPr>
                <w:szCs w:val="18"/>
                <w:lang w:val="en-GB"/>
              </w:rPr>
            </w:pPr>
            <w:r w:rsidRPr="008A2DC6">
              <w:rPr>
                <w:szCs w:val="18"/>
                <w:lang w:val="en-GB"/>
              </w:rPr>
              <w:t>External blackout due to national or local grid interruption</w:t>
            </w:r>
          </w:p>
        </w:tc>
        <w:tc>
          <w:tcPr>
            <w:tcW w:w="2977" w:type="dxa"/>
            <w:shd w:val="clear" w:color="auto" w:fill="FFFFFF"/>
          </w:tcPr>
          <w:p w14:paraId="2ED02BDF" w14:textId="6065D72F" w:rsidR="00F66AC3" w:rsidRPr="008A2DC6" w:rsidRDefault="00B6080D" w:rsidP="0098680A">
            <w:pPr>
              <w:pStyle w:val="CETBodytext"/>
              <w:jc w:val="left"/>
              <w:rPr>
                <w:szCs w:val="18"/>
                <w:lang w:val="en-GB"/>
              </w:rPr>
            </w:pPr>
            <w:r w:rsidRPr="008A2DC6">
              <w:rPr>
                <w:rFonts w:cs="Arial"/>
                <w:szCs w:val="18"/>
                <w:lang w:val="en-GB"/>
              </w:rPr>
              <w:t>≤</w:t>
            </w:r>
            <w:r w:rsidRPr="008A2DC6">
              <w:rPr>
                <w:szCs w:val="18"/>
                <w:lang w:val="en-GB"/>
              </w:rPr>
              <w:t xml:space="preserve"> 1</w:t>
            </w:r>
          </w:p>
          <w:p w14:paraId="6AB47FD1" w14:textId="1D4B891D" w:rsidR="00B6080D" w:rsidRPr="008A2DC6" w:rsidRDefault="00282C74" w:rsidP="0098680A">
            <w:pPr>
              <w:pStyle w:val="CETBodytext"/>
              <w:jc w:val="left"/>
              <w:rPr>
                <w:szCs w:val="18"/>
                <w:lang w:val="en-GB"/>
              </w:rPr>
            </w:pPr>
            <w:r w:rsidRPr="008A2DC6">
              <w:rPr>
                <w:lang w:val="en-GB"/>
              </w:rPr>
              <w:t>&gt;</w:t>
            </w:r>
            <w:r w:rsidR="00B6080D" w:rsidRPr="008A2DC6">
              <w:rPr>
                <w:szCs w:val="18"/>
                <w:lang w:val="en-GB"/>
              </w:rPr>
              <w:t xml:space="preserve"> </w:t>
            </w:r>
            <w:r w:rsidRPr="008A2DC6">
              <w:rPr>
                <w:szCs w:val="18"/>
                <w:lang w:val="en-GB"/>
              </w:rPr>
              <w:t>1</w:t>
            </w:r>
            <w:r w:rsidR="00B6080D" w:rsidRPr="008A2DC6">
              <w:rPr>
                <w:szCs w:val="18"/>
                <w:lang w:val="en-GB"/>
              </w:rPr>
              <w:t xml:space="preserve"> </w:t>
            </w:r>
            <w:r w:rsidRPr="008A2DC6">
              <w:rPr>
                <w:rFonts w:cs="Arial"/>
                <w:szCs w:val="18"/>
                <w:lang w:val="en-GB"/>
              </w:rPr>
              <w:t>≤</w:t>
            </w:r>
            <w:r w:rsidR="00B6080D" w:rsidRPr="008A2DC6">
              <w:rPr>
                <w:szCs w:val="18"/>
                <w:lang w:val="en-GB"/>
              </w:rPr>
              <w:t xml:space="preserve"> 4</w:t>
            </w:r>
          </w:p>
          <w:p w14:paraId="51A8F303" w14:textId="4EFFF6EE" w:rsidR="00B6080D" w:rsidRPr="008A2DC6" w:rsidRDefault="00282C74" w:rsidP="0098680A">
            <w:pPr>
              <w:pStyle w:val="CETBodytext"/>
              <w:jc w:val="left"/>
              <w:rPr>
                <w:szCs w:val="18"/>
                <w:lang w:val="en-GB"/>
              </w:rPr>
            </w:pPr>
            <w:r w:rsidRPr="008A2DC6">
              <w:rPr>
                <w:lang w:val="en-GB"/>
              </w:rPr>
              <w:t>&gt;</w:t>
            </w:r>
            <w:r w:rsidR="00B6080D" w:rsidRPr="008A2DC6">
              <w:rPr>
                <w:szCs w:val="18"/>
                <w:lang w:val="en-GB"/>
              </w:rPr>
              <w:t xml:space="preserve"> </w:t>
            </w:r>
            <w:r w:rsidRPr="008A2DC6">
              <w:rPr>
                <w:szCs w:val="18"/>
                <w:lang w:val="en-GB"/>
              </w:rPr>
              <w:t>4</w:t>
            </w:r>
          </w:p>
        </w:tc>
        <w:tc>
          <w:tcPr>
            <w:tcW w:w="1275" w:type="dxa"/>
            <w:shd w:val="clear" w:color="auto" w:fill="FFFFFF"/>
          </w:tcPr>
          <w:p w14:paraId="41CDEE13" w14:textId="77777777" w:rsidR="00F66AC3" w:rsidRPr="008A2DC6" w:rsidRDefault="00B6080D" w:rsidP="0098680A">
            <w:pPr>
              <w:pStyle w:val="CETBodytext"/>
              <w:jc w:val="left"/>
              <w:rPr>
                <w:szCs w:val="18"/>
                <w:lang w:val="en-GB"/>
              </w:rPr>
            </w:pPr>
            <w:r w:rsidRPr="008A2DC6">
              <w:rPr>
                <w:szCs w:val="18"/>
                <w:lang w:val="en-GB"/>
              </w:rPr>
              <w:t>2</w:t>
            </w:r>
          </w:p>
          <w:p w14:paraId="79426F79" w14:textId="77777777" w:rsidR="00B6080D" w:rsidRPr="008A2DC6" w:rsidRDefault="00B6080D" w:rsidP="0098680A">
            <w:pPr>
              <w:pStyle w:val="CETBodytext"/>
              <w:jc w:val="left"/>
              <w:rPr>
                <w:szCs w:val="18"/>
                <w:lang w:val="en-GB"/>
              </w:rPr>
            </w:pPr>
            <w:r w:rsidRPr="008A2DC6">
              <w:rPr>
                <w:szCs w:val="18"/>
                <w:lang w:val="en-GB"/>
              </w:rPr>
              <w:t>3</w:t>
            </w:r>
          </w:p>
          <w:p w14:paraId="1223978E" w14:textId="04BB64AE" w:rsidR="00B6080D" w:rsidRPr="008A2DC6" w:rsidRDefault="00B6080D" w:rsidP="0098680A">
            <w:pPr>
              <w:pStyle w:val="CETBodytext"/>
              <w:jc w:val="left"/>
              <w:rPr>
                <w:szCs w:val="18"/>
                <w:lang w:val="en-GB"/>
              </w:rPr>
            </w:pPr>
            <w:r w:rsidRPr="008A2DC6">
              <w:rPr>
                <w:szCs w:val="18"/>
                <w:lang w:val="en-GB"/>
              </w:rPr>
              <w:t>4</w:t>
            </w:r>
          </w:p>
        </w:tc>
      </w:tr>
      <w:tr w:rsidR="00F66AC3" w:rsidRPr="008A2DC6" w14:paraId="3861AC8D" w14:textId="77777777" w:rsidTr="002F1767">
        <w:trPr>
          <w:trHeight w:val="203"/>
          <w:jc w:val="center"/>
        </w:trPr>
        <w:tc>
          <w:tcPr>
            <w:tcW w:w="4253" w:type="dxa"/>
            <w:shd w:val="clear" w:color="auto" w:fill="FFFFFF"/>
          </w:tcPr>
          <w:p w14:paraId="2DDCA395" w14:textId="3382EE4B" w:rsidR="00F66AC3" w:rsidRPr="008A2DC6" w:rsidRDefault="002C2E20" w:rsidP="0098680A">
            <w:pPr>
              <w:pStyle w:val="CETBodytext"/>
              <w:jc w:val="left"/>
              <w:rPr>
                <w:szCs w:val="18"/>
                <w:lang w:val="en-GB"/>
              </w:rPr>
            </w:pPr>
            <w:r w:rsidRPr="008A2DC6">
              <w:rPr>
                <w:rFonts w:cs="Arial"/>
                <w:szCs w:val="18"/>
                <w:lang w:val="en-GB"/>
              </w:rPr>
              <w:t>Internal blackout due to failures in substations or plant distribution lines</w:t>
            </w:r>
          </w:p>
        </w:tc>
        <w:tc>
          <w:tcPr>
            <w:tcW w:w="2977" w:type="dxa"/>
          </w:tcPr>
          <w:p w14:paraId="1A3A1E82" w14:textId="77777777" w:rsidR="00282C74" w:rsidRPr="008A2DC6" w:rsidRDefault="00282C74" w:rsidP="00282C74">
            <w:pPr>
              <w:pStyle w:val="CETBodytext"/>
              <w:jc w:val="left"/>
              <w:rPr>
                <w:szCs w:val="18"/>
                <w:lang w:val="en-GB"/>
              </w:rPr>
            </w:pPr>
            <w:r w:rsidRPr="008A2DC6">
              <w:rPr>
                <w:rFonts w:cs="Arial"/>
                <w:szCs w:val="18"/>
                <w:lang w:val="en-GB"/>
              </w:rPr>
              <w:t>≤</w:t>
            </w:r>
            <w:r w:rsidRPr="008A2DC6">
              <w:rPr>
                <w:szCs w:val="18"/>
                <w:lang w:val="en-GB"/>
              </w:rPr>
              <w:t xml:space="preserve"> 1</w:t>
            </w:r>
          </w:p>
          <w:p w14:paraId="42B12E2E" w14:textId="77777777" w:rsidR="00282C74" w:rsidRPr="008A2DC6" w:rsidRDefault="00282C74" w:rsidP="00282C74">
            <w:pPr>
              <w:pStyle w:val="CETBodytext"/>
              <w:jc w:val="left"/>
              <w:rPr>
                <w:szCs w:val="18"/>
                <w:lang w:val="en-GB"/>
              </w:rPr>
            </w:pPr>
            <w:r w:rsidRPr="008A2DC6">
              <w:rPr>
                <w:lang w:val="en-GB"/>
              </w:rPr>
              <w:t>&gt;</w:t>
            </w:r>
            <w:r w:rsidRPr="008A2DC6">
              <w:rPr>
                <w:szCs w:val="18"/>
                <w:lang w:val="en-GB"/>
              </w:rPr>
              <w:t xml:space="preserve"> 1 </w:t>
            </w:r>
            <w:r w:rsidRPr="008A2DC6">
              <w:rPr>
                <w:rFonts w:cs="Arial"/>
                <w:szCs w:val="18"/>
                <w:lang w:val="en-GB"/>
              </w:rPr>
              <w:t>≤</w:t>
            </w:r>
            <w:r w:rsidRPr="008A2DC6">
              <w:rPr>
                <w:szCs w:val="18"/>
                <w:lang w:val="en-GB"/>
              </w:rPr>
              <w:t xml:space="preserve"> 4</w:t>
            </w:r>
          </w:p>
          <w:p w14:paraId="08B7386F" w14:textId="22456318" w:rsidR="00F66AC3" w:rsidRPr="008A2DC6" w:rsidRDefault="00282C74" w:rsidP="00282C74">
            <w:pPr>
              <w:pStyle w:val="CETBodytext"/>
              <w:jc w:val="left"/>
              <w:rPr>
                <w:szCs w:val="18"/>
                <w:lang w:val="en-GB"/>
              </w:rPr>
            </w:pPr>
            <w:r w:rsidRPr="008A2DC6">
              <w:rPr>
                <w:lang w:val="en-GB"/>
              </w:rPr>
              <w:t>&gt;</w:t>
            </w:r>
            <w:r w:rsidRPr="008A2DC6">
              <w:rPr>
                <w:szCs w:val="18"/>
                <w:lang w:val="en-GB"/>
              </w:rPr>
              <w:t xml:space="preserve"> 4</w:t>
            </w:r>
          </w:p>
        </w:tc>
        <w:tc>
          <w:tcPr>
            <w:tcW w:w="1275" w:type="dxa"/>
            <w:shd w:val="clear" w:color="auto" w:fill="FFFFFF"/>
          </w:tcPr>
          <w:p w14:paraId="1B35EEC7" w14:textId="77777777" w:rsidR="00F66AC3" w:rsidRPr="008A2DC6" w:rsidRDefault="00B6080D" w:rsidP="0098680A">
            <w:pPr>
              <w:pStyle w:val="CETBodytext"/>
              <w:jc w:val="left"/>
              <w:rPr>
                <w:szCs w:val="18"/>
                <w:lang w:val="en-GB"/>
              </w:rPr>
            </w:pPr>
            <w:r w:rsidRPr="008A2DC6">
              <w:rPr>
                <w:szCs w:val="18"/>
                <w:lang w:val="en-GB"/>
              </w:rPr>
              <w:t>1</w:t>
            </w:r>
          </w:p>
          <w:p w14:paraId="353FA263" w14:textId="77777777" w:rsidR="00B6080D" w:rsidRPr="008A2DC6" w:rsidRDefault="00B6080D" w:rsidP="0098680A">
            <w:pPr>
              <w:pStyle w:val="CETBodytext"/>
              <w:jc w:val="left"/>
              <w:rPr>
                <w:szCs w:val="18"/>
                <w:lang w:val="en-GB"/>
              </w:rPr>
            </w:pPr>
            <w:r w:rsidRPr="008A2DC6">
              <w:rPr>
                <w:szCs w:val="18"/>
                <w:lang w:val="en-GB"/>
              </w:rPr>
              <w:t>2</w:t>
            </w:r>
          </w:p>
          <w:p w14:paraId="69B74F14" w14:textId="0D1C5F14" w:rsidR="00B6080D" w:rsidRPr="008A2DC6" w:rsidRDefault="00B6080D" w:rsidP="0098680A">
            <w:pPr>
              <w:pStyle w:val="CETBodytext"/>
              <w:jc w:val="left"/>
              <w:rPr>
                <w:szCs w:val="18"/>
                <w:lang w:val="en-GB"/>
              </w:rPr>
            </w:pPr>
            <w:r w:rsidRPr="008A2DC6">
              <w:rPr>
                <w:szCs w:val="18"/>
                <w:lang w:val="en-GB"/>
              </w:rPr>
              <w:t>3</w:t>
            </w:r>
          </w:p>
        </w:tc>
      </w:tr>
      <w:tr w:rsidR="00F66AC3" w:rsidRPr="008A2DC6" w14:paraId="6B4FA9C3" w14:textId="77777777" w:rsidTr="002F1767">
        <w:trPr>
          <w:trHeight w:val="203"/>
          <w:jc w:val="center"/>
        </w:trPr>
        <w:tc>
          <w:tcPr>
            <w:tcW w:w="4253" w:type="dxa"/>
            <w:shd w:val="clear" w:color="auto" w:fill="FFFFFF"/>
          </w:tcPr>
          <w:p w14:paraId="1625617C" w14:textId="356D5B06" w:rsidR="00F66AC3" w:rsidRPr="008A2DC6" w:rsidRDefault="002F1767" w:rsidP="0098680A">
            <w:pPr>
              <w:pStyle w:val="CETBodytext"/>
              <w:jc w:val="left"/>
              <w:rPr>
                <w:szCs w:val="18"/>
                <w:lang w:val="en-GB"/>
              </w:rPr>
            </w:pPr>
            <w:r w:rsidRPr="008A2DC6">
              <w:rPr>
                <w:rFonts w:cs="Arial"/>
                <w:szCs w:val="18"/>
                <w:lang w:val="en-GB"/>
              </w:rPr>
              <w:t>Electrical blackout associated with natural events: earthquakes, floods, storms, lightning strikes, heat waves, snowfall, etc.</w:t>
            </w:r>
            <w:r w:rsidR="00F66AC3" w:rsidRPr="008A2DC6">
              <w:rPr>
                <w:rFonts w:cs="Arial"/>
                <w:szCs w:val="18"/>
                <w:lang w:val="en-GB"/>
              </w:rPr>
              <w:t xml:space="preserve"> </w:t>
            </w:r>
          </w:p>
        </w:tc>
        <w:tc>
          <w:tcPr>
            <w:tcW w:w="2977" w:type="dxa"/>
          </w:tcPr>
          <w:p w14:paraId="7F62B0AB" w14:textId="77777777" w:rsidR="00282C74" w:rsidRPr="008A2DC6" w:rsidRDefault="00282C74" w:rsidP="00282C74">
            <w:pPr>
              <w:pStyle w:val="CETBodytext"/>
              <w:jc w:val="left"/>
              <w:rPr>
                <w:szCs w:val="18"/>
                <w:lang w:val="en-GB"/>
              </w:rPr>
            </w:pPr>
            <w:r w:rsidRPr="008A2DC6">
              <w:rPr>
                <w:rFonts w:cs="Arial"/>
                <w:szCs w:val="18"/>
                <w:lang w:val="en-GB"/>
              </w:rPr>
              <w:t>≤</w:t>
            </w:r>
            <w:r w:rsidRPr="008A2DC6">
              <w:rPr>
                <w:szCs w:val="18"/>
                <w:lang w:val="en-GB"/>
              </w:rPr>
              <w:t xml:space="preserve"> 1</w:t>
            </w:r>
          </w:p>
          <w:p w14:paraId="0820829E" w14:textId="77777777" w:rsidR="00282C74" w:rsidRPr="008A2DC6" w:rsidRDefault="00282C74" w:rsidP="00282C74">
            <w:pPr>
              <w:pStyle w:val="CETBodytext"/>
              <w:jc w:val="left"/>
              <w:rPr>
                <w:szCs w:val="18"/>
                <w:lang w:val="en-GB"/>
              </w:rPr>
            </w:pPr>
            <w:r w:rsidRPr="008A2DC6">
              <w:rPr>
                <w:lang w:val="en-GB"/>
              </w:rPr>
              <w:t>&gt;</w:t>
            </w:r>
            <w:r w:rsidRPr="008A2DC6">
              <w:rPr>
                <w:szCs w:val="18"/>
                <w:lang w:val="en-GB"/>
              </w:rPr>
              <w:t xml:space="preserve"> 1 </w:t>
            </w:r>
            <w:r w:rsidRPr="008A2DC6">
              <w:rPr>
                <w:rFonts w:cs="Arial"/>
                <w:szCs w:val="18"/>
                <w:lang w:val="en-GB"/>
              </w:rPr>
              <w:t>≤</w:t>
            </w:r>
            <w:r w:rsidRPr="008A2DC6">
              <w:rPr>
                <w:szCs w:val="18"/>
                <w:lang w:val="en-GB"/>
              </w:rPr>
              <w:t xml:space="preserve"> 4</w:t>
            </w:r>
          </w:p>
          <w:p w14:paraId="77DEB7EC" w14:textId="623F897D" w:rsidR="00F66AC3" w:rsidRPr="008A2DC6" w:rsidRDefault="00282C74" w:rsidP="00282C74">
            <w:pPr>
              <w:pStyle w:val="CETBodytext"/>
              <w:jc w:val="left"/>
              <w:rPr>
                <w:szCs w:val="18"/>
                <w:lang w:val="en-GB"/>
              </w:rPr>
            </w:pPr>
            <w:r w:rsidRPr="008A2DC6">
              <w:rPr>
                <w:lang w:val="en-GB"/>
              </w:rPr>
              <w:t>&gt;</w:t>
            </w:r>
            <w:r w:rsidRPr="008A2DC6">
              <w:rPr>
                <w:szCs w:val="18"/>
                <w:lang w:val="en-GB"/>
              </w:rPr>
              <w:t xml:space="preserve"> 4</w:t>
            </w:r>
          </w:p>
        </w:tc>
        <w:tc>
          <w:tcPr>
            <w:tcW w:w="1275" w:type="dxa"/>
            <w:shd w:val="clear" w:color="auto" w:fill="FFFFFF"/>
          </w:tcPr>
          <w:p w14:paraId="6342429B" w14:textId="77777777" w:rsidR="002F1767" w:rsidRPr="008A2DC6" w:rsidRDefault="002F1767" w:rsidP="002F1767">
            <w:pPr>
              <w:pStyle w:val="CETBodytext"/>
              <w:jc w:val="left"/>
              <w:rPr>
                <w:szCs w:val="18"/>
                <w:lang w:val="en-GB"/>
              </w:rPr>
            </w:pPr>
            <w:r w:rsidRPr="008A2DC6">
              <w:rPr>
                <w:szCs w:val="18"/>
                <w:lang w:val="en-GB"/>
              </w:rPr>
              <w:t>1</w:t>
            </w:r>
          </w:p>
          <w:p w14:paraId="000226BA" w14:textId="77777777" w:rsidR="002F1767" w:rsidRPr="008A2DC6" w:rsidRDefault="002F1767" w:rsidP="002F1767">
            <w:pPr>
              <w:pStyle w:val="CETBodytext"/>
              <w:jc w:val="left"/>
              <w:rPr>
                <w:szCs w:val="18"/>
                <w:lang w:val="en-GB"/>
              </w:rPr>
            </w:pPr>
            <w:r w:rsidRPr="008A2DC6">
              <w:rPr>
                <w:szCs w:val="18"/>
                <w:lang w:val="en-GB"/>
              </w:rPr>
              <w:t>2</w:t>
            </w:r>
          </w:p>
          <w:p w14:paraId="3CDFA87D" w14:textId="6D946F0E" w:rsidR="00F66AC3" w:rsidRPr="008A2DC6" w:rsidRDefault="002F1767" w:rsidP="002F1767">
            <w:pPr>
              <w:pStyle w:val="CETBodytext"/>
              <w:jc w:val="left"/>
              <w:rPr>
                <w:szCs w:val="18"/>
                <w:lang w:val="en-GB"/>
              </w:rPr>
            </w:pPr>
            <w:r w:rsidRPr="008A2DC6">
              <w:rPr>
                <w:szCs w:val="18"/>
                <w:lang w:val="en-GB"/>
              </w:rPr>
              <w:t>3</w:t>
            </w:r>
          </w:p>
        </w:tc>
      </w:tr>
    </w:tbl>
    <w:bookmarkEnd w:id="1"/>
    <w:p w14:paraId="405A3601" w14:textId="7D23DA2E" w:rsidR="007A79AA" w:rsidRPr="008A2DC6" w:rsidRDefault="007A79AA" w:rsidP="007A79AA">
      <w:pPr>
        <w:pStyle w:val="CETheadingx"/>
        <w:rPr>
          <w:lang w:val="en-GB"/>
        </w:rPr>
      </w:pPr>
      <w:r w:rsidRPr="008A2DC6">
        <w:rPr>
          <w:lang w:val="en-GB"/>
        </w:rPr>
        <w:t xml:space="preserve"> I</w:t>
      </w:r>
      <w:r w:rsidR="001F71C9" w:rsidRPr="008A2DC6">
        <w:rPr>
          <w:lang w:val="en-GB"/>
        </w:rPr>
        <w:t>S</w:t>
      </w:r>
      <w:r w:rsidRPr="008A2DC6">
        <w:rPr>
          <w:vertAlign w:val="subscript"/>
          <w:lang w:val="en-GB"/>
        </w:rPr>
        <w:t xml:space="preserve"> </w:t>
      </w:r>
      <w:r w:rsidRPr="008A2DC6">
        <w:rPr>
          <w:lang w:val="en-GB"/>
        </w:rPr>
        <w:t xml:space="preserve">- </w:t>
      </w:r>
      <w:r w:rsidR="001F71C9" w:rsidRPr="008A2DC6">
        <w:rPr>
          <w:lang w:val="en-GB"/>
        </w:rPr>
        <w:t>Severity</w:t>
      </w:r>
      <w:r w:rsidR="001C570D" w:rsidRPr="008A2DC6">
        <w:rPr>
          <w:lang w:val="en-GB"/>
        </w:rPr>
        <w:t xml:space="preserve"> Index for Electrical Blackout</w:t>
      </w:r>
      <w:r w:rsidRPr="008A2DC6">
        <w:rPr>
          <w:lang w:val="en-GB"/>
        </w:rPr>
        <w:t xml:space="preserve"> </w:t>
      </w:r>
    </w:p>
    <w:p w14:paraId="4893F626" w14:textId="2A6F142F" w:rsidR="007A79AA" w:rsidRPr="008A2DC6" w:rsidRDefault="007C3F6D" w:rsidP="007A79AA">
      <w:pPr>
        <w:pStyle w:val="CETBodytext"/>
        <w:rPr>
          <w:lang w:val="en-GB"/>
        </w:rPr>
      </w:pPr>
      <w:r w:rsidRPr="008A2DC6">
        <w:rPr>
          <w:lang w:val="en-GB"/>
        </w:rPr>
        <w:t xml:space="preserve">To determine the value of </w:t>
      </w:r>
      <w:r w:rsidR="005A28A7" w:rsidRPr="005A28A7">
        <w:rPr>
          <w:lang w:val="en-GB"/>
        </w:rPr>
        <w:t xml:space="preserve">Severity Index </w:t>
      </w:r>
      <w:r w:rsidR="005A28A7">
        <w:rPr>
          <w:lang w:val="en-GB"/>
        </w:rPr>
        <w:t>(</w:t>
      </w:r>
      <w:r w:rsidRPr="008A2DC6">
        <w:rPr>
          <w:lang w:val="en-GB"/>
        </w:rPr>
        <w:t>I</w:t>
      </w:r>
      <w:r w:rsidR="001F71C9" w:rsidRPr="008A2DC6">
        <w:rPr>
          <w:lang w:val="en-GB"/>
        </w:rPr>
        <w:t>S</w:t>
      </w:r>
      <w:r w:rsidR="005A28A7">
        <w:rPr>
          <w:lang w:val="en-GB"/>
        </w:rPr>
        <w:t>)</w:t>
      </w:r>
      <w:r w:rsidRPr="008A2DC6">
        <w:rPr>
          <w:lang w:val="en-GB"/>
        </w:rPr>
        <w:t>, Table 2 is used to correlate the three main functional losses caused by electrical blackout affecting process equipment, process components, and safety functions, obtaining three distinct I</w:t>
      </w:r>
      <w:r w:rsidR="001F71C9" w:rsidRPr="008A2DC6">
        <w:rPr>
          <w:lang w:val="en-GB"/>
        </w:rPr>
        <w:t>S</w:t>
      </w:r>
      <w:r w:rsidRPr="008A2DC6">
        <w:rPr>
          <w:lang w:val="en-GB"/>
        </w:rPr>
        <w:t xml:space="preserve"> values for electrical blackout, one for each category (equipment, components, and safety functions). By summing these three partial values, the overall I</w:t>
      </w:r>
      <w:r w:rsidR="001F71C9" w:rsidRPr="008A2DC6">
        <w:rPr>
          <w:lang w:val="en-GB"/>
        </w:rPr>
        <w:t>S</w:t>
      </w:r>
      <w:r w:rsidRPr="008A2DC6">
        <w:rPr>
          <w:lang w:val="en-GB"/>
        </w:rPr>
        <w:t xml:space="preserve"> value to be used in Equation (2) is obtained.</w:t>
      </w:r>
    </w:p>
    <w:p w14:paraId="10ED6C93" w14:textId="64572F34" w:rsidR="00DD3B04" w:rsidRPr="00814D7A" w:rsidRDefault="00DD3B04" w:rsidP="00DD3B04">
      <w:pPr>
        <w:pStyle w:val="CETTabletitle"/>
        <w:jc w:val="center"/>
      </w:pPr>
      <w:r w:rsidRPr="00814D7A">
        <w:rPr>
          <w:szCs w:val="18"/>
        </w:rPr>
        <w:t>Table 2: Relationship between Loss of functionality</w:t>
      </w:r>
      <w:r w:rsidRPr="00DD3B04">
        <w:rPr>
          <w:szCs w:val="18"/>
        </w:rPr>
        <w:t xml:space="preserve"> </w:t>
      </w:r>
      <w:r w:rsidRPr="008A2DC6">
        <w:rPr>
          <w:szCs w:val="18"/>
        </w:rPr>
        <w:t>due to electrical blackout</w:t>
      </w:r>
      <w:r w:rsidRPr="00814D7A">
        <w:rPr>
          <w:szCs w:val="18"/>
        </w:rPr>
        <w:t>, Equipment</w:t>
      </w:r>
      <w:r>
        <w:rPr>
          <w:szCs w:val="18"/>
        </w:rPr>
        <w:t xml:space="preserve">, etc. </w:t>
      </w:r>
      <w:r w:rsidRPr="00814D7A">
        <w:rPr>
          <w:szCs w:val="18"/>
        </w:rPr>
        <w:t>and IS</w:t>
      </w:r>
    </w:p>
    <w:tbl>
      <w:tblPr>
        <w:tblW w:w="8505"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828"/>
        <w:gridCol w:w="3685"/>
        <w:gridCol w:w="992"/>
      </w:tblGrid>
      <w:tr w:rsidR="007C3F6D" w:rsidRPr="008A2DC6" w14:paraId="37F7F0D8" w14:textId="77777777" w:rsidTr="00003F20">
        <w:trPr>
          <w:trHeight w:val="212"/>
          <w:jc w:val="center"/>
        </w:trPr>
        <w:tc>
          <w:tcPr>
            <w:tcW w:w="3828" w:type="dxa"/>
            <w:tcBorders>
              <w:top w:val="single" w:sz="12" w:space="0" w:color="008000"/>
              <w:bottom w:val="single" w:sz="6" w:space="0" w:color="008000"/>
            </w:tcBorders>
            <w:shd w:val="clear" w:color="auto" w:fill="FFFFFF"/>
          </w:tcPr>
          <w:p w14:paraId="2A8F0613" w14:textId="4A342C5C" w:rsidR="007C3F6D" w:rsidRPr="008A2DC6" w:rsidRDefault="001E1B6C" w:rsidP="00C742CD">
            <w:pPr>
              <w:pStyle w:val="CETBodytext"/>
              <w:jc w:val="left"/>
              <w:rPr>
                <w:szCs w:val="18"/>
                <w:lang w:val="en-GB"/>
              </w:rPr>
            </w:pPr>
            <w:r w:rsidRPr="008A2DC6">
              <w:rPr>
                <w:szCs w:val="18"/>
                <w:lang w:val="en-GB"/>
              </w:rPr>
              <w:t>Loss of functionality due to electrical blackout</w:t>
            </w:r>
          </w:p>
        </w:tc>
        <w:tc>
          <w:tcPr>
            <w:tcW w:w="3685" w:type="dxa"/>
            <w:tcBorders>
              <w:top w:val="single" w:sz="12" w:space="0" w:color="008000"/>
              <w:bottom w:val="single" w:sz="6" w:space="0" w:color="008000"/>
            </w:tcBorders>
            <w:shd w:val="clear" w:color="auto" w:fill="FFFFFF"/>
          </w:tcPr>
          <w:p w14:paraId="4BE8CE62" w14:textId="190233E3" w:rsidR="007C3F6D" w:rsidRPr="008A2DC6" w:rsidRDefault="007C3F6D" w:rsidP="00C742CD">
            <w:pPr>
              <w:pStyle w:val="CETBodytext"/>
              <w:jc w:val="left"/>
              <w:rPr>
                <w:szCs w:val="18"/>
                <w:lang w:val="en-GB"/>
              </w:rPr>
            </w:pPr>
            <w:r w:rsidRPr="008A2DC6">
              <w:rPr>
                <w:lang w:val="en-GB"/>
              </w:rPr>
              <w:t>Equipment, components e safety functions</w:t>
            </w:r>
          </w:p>
        </w:tc>
        <w:tc>
          <w:tcPr>
            <w:tcW w:w="992" w:type="dxa"/>
            <w:tcBorders>
              <w:top w:val="single" w:sz="12" w:space="0" w:color="008000"/>
              <w:bottom w:val="single" w:sz="6" w:space="0" w:color="008000"/>
            </w:tcBorders>
            <w:shd w:val="clear" w:color="auto" w:fill="FFFFFF"/>
          </w:tcPr>
          <w:p w14:paraId="3D426A61" w14:textId="3F799393" w:rsidR="007C3F6D" w:rsidRPr="008A2DC6" w:rsidRDefault="007C3F6D" w:rsidP="00C742CD">
            <w:pPr>
              <w:pStyle w:val="CETBodytext"/>
              <w:jc w:val="left"/>
              <w:rPr>
                <w:szCs w:val="18"/>
                <w:lang w:val="en-GB"/>
              </w:rPr>
            </w:pPr>
            <w:r w:rsidRPr="008A2DC6">
              <w:rPr>
                <w:szCs w:val="18"/>
                <w:lang w:val="en-GB"/>
              </w:rPr>
              <w:t>I</w:t>
            </w:r>
            <w:r w:rsidR="001F71C9" w:rsidRPr="008A2DC6">
              <w:rPr>
                <w:szCs w:val="18"/>
                <w:lang w:val="en-GB"/>
              </w:rPr>
              <w:t>S</w:t>
            </w:r>
            <w:r w:rsidR="001E1B6C" w:rsidRPr="008A2DC6">
              <w:rPr>
                <w:szCs w:val="18"/>
                <w:lang w:val="en-GB"/>
              </w:rPr>
              <w:t xml:space="preserve"> (*)</w:t>
            </w:r>
          </w:p>
        </w:tc>
      </w:tr>
      <w:tr w:rsidR="007C3F6D" w:rsidRPr="008A2DC6" w14:paraId="4B27A456" w14:textId="77777777" w:rsidTr="00003F20">
        <w:trPr>
          <w:trHeight w:val="212"/>
          <w:jc w:val="center"/>
        </w:trPr>
        <w:tc>
          <w:tcPr>
            <w:tcW w:w="3828" w:type="dxa"/>
            <w:shd w:val="clear" w:color="auto" w:fill="FFFFFF"/>
          </w:tcPr>
          <w:p w14:paraId="3DDF4DA2" w14:textId="1525656A" w:rsidR="007C3F6D" w:rsidRPr="008A2DC6" w:rsidRDefault="001E1B6C" w:rsidP="00C742CD">
            <w:pPr>
              <w:pStyle w:val="CETBodytext"/>
              <w:jc w:val="left"/>
              <w:rPr>
                <w:szCs w:val="18"/>
                <w:lang w:val="en-GB"/>
              </w:rPr>
            </w:pPr>
            <w:r w:rsidRPr="008A2DC6">
              <w:rPr>
                <w:lang w:val="en-GB"/>
              </w:rPr>
              <w:t>Process Equipment</w:t>
            </w:r>
          </w:p>
        </w:tc>
        <w:tc>
          <w:tcPr>
            <w:tcW w:w="3685" w:type="dxa"/>
            <w:shd w:val="clear" w:color="auto" w:fill="FFFFFF"/>
          </w:tcPr>
          <w:p w14:paraId="1EDD814F" w14:textId="77777777" w:rsidR="007C3F6D" w:rsidRPr="008A2DC6" w:rsidRDefault="007C3F6D" w:rsidP="007C3F6D">
            <w:pPr>
              <w:pStyle w:val="CETBodytext"/>
              <w:rPr>
                <w:lang w:val="en-GB"/>
              </w:rPr>
            </w:pPr>
            <w:r w:rsidRPr="008A2DC6">
              <w:rPr>
                <w:lang w:val="en-GB"/>
              </w:rPr>
              <w:t>Reactor</w:t>
            </w:r>
          </w:p>
          <w:p w14:paraId="32B68167" w14:textId="77777777" w:rsidR="007C3F6D" w:rsidRPr="008A2DC6" w:rsidRDefault="007C3F6D" w:rsidP="007C3F6D">
            <w:pPr>
              <w:pStyle w:val="CETBodytext"/>
              <w:rPr>
                <w:lang w:val="en-GB"/>
              </w:rPr>
            </w:pPr>
            <w:r w:rsidRPr="008A2DC6">
              <w:rPr>
                <w:lang w:val="en-GB"/>
              </w:rPr>
              <w:t>Furnace</w:t>
            </w:r>
          </w:p>
          <w:p w14:paraId="1E8F0DC2" w14:textId="77777777" w:rsidR="007C3F6D" w:rsidRPr="008A2DC6" w:rsidRDefault="007C3F6D" w:rsidP="007C3F6D">
            <w:pPr>
              <w:pStyle w:val="CETBodytext"/>
              <w:rPr>
                <w:lang w:val="en-GB"/>
              </w:rPr>
            </w:pPr>
            <w:r w:rsidRPr="008A2DC6">
              <w:rPr>
                <w:lang w:val="en-GB"/>
              </w:rPr>
              <w:t>Boiler</w:t>
            </w:r>
          </w:p>
          <w:p w14:paraId="2C0574F6" w14:textId="710F8DEF" w:rsidR="007C3F6D" w:rsidRPr="008A2DC6" w:rsidRDefault="007C3F6D" w:rsidP="007C3F6D">
            <w:pPr>
              <w:pStyle w:val="CETBodytext"/>
              <w:jc w:val="left"/>
              <w:rPr>
                <w:szCs w:val="18"/>
                <w:lang w:val="en-GB"/>
              </w:rPr>
            </w:pPr>
            <w:r w:rsidRPr="008A2DC6">
              <w:rPr>
                <w:lang w:val="en-GB"/>
              </w:rPr>
              <w:t>Heat exchanger</w:t>
            </w:r>
          </w:p>
        </w:tc>
        <w:tc>
          <w:tcPr>
            <w:tcW w:w="992" w:type="dxa"/>
            <w:shd w:val="clear" w:color="auto" w:fill="FFFFFF"/>
          </w:tcPr>
          <w:p w14:paraId="6864C0D4" w14:textId="2CE54AD8" w:rsidR="007C3F6D" w:rsidRPr="008A2DC6" w:rsidRDefault="007C3F6D" w:rsidP="00C742CD">
            <w:pPr>
              <w:pStyle w:val="CETBodytext"/>
              <w:jc w:val="left"/>
              <w:rPr>
                <w:szCs w:val="18"/>
                <w:lang w:val="en-GB"/>
              </w:rPr>
            </w:pPr>
            <w:r w:rsidRPr="008A2DC6">
              <w:rPr>
                <w:szCs w:val="18"/>
                <w:lang w:val="en-GB"/>
              </w:rPr>
              <w:t>2-4</w:t>
            </w:r>
          </w:p>
          <w:p w14:paraId="30BAB4B1" w14:textId="73E70387" w:rsidR="007C3F6D" w:rsidRPr="008A2DC6" w:rsidRDefault="007C3F6D" w:rsidP="007C3F6D">
            <w:pPr>
              <w:pStyle w:val="CETBodytext"/>
              <w:jc w:val="left"/>
              <w:rPr>
                <w:szCs w:val="18"/>
                <w:lang w:val="en-GB"/>
              </w:rPr>
            </w:pPr>
            <w:r w:rsidRPr="008A2DC6">
              <w:rPr>
                <w:szCs w:val="18"/>
                <w:lang w:val="en-GB"/>
              </w:rPr>
              <w:t>2-4</w:t>
            </w:r>
          </w:p>
          <w:p w14:paraId="5E745A57" w14:textId="77777777" w:rsidR="007C3F6D" w:rsidRPr="008A2DC6" w:rsidRDefault="007C3F6D" w:rsidP="007C3F6D">
            <w:pPr>
              <w:pStyle w:val="CETBodytext"/>
              <w:jc w:val="left"/>
              <w:rPr>
                <w:szCs w:val="18"/>
                <w:lang w:val="en-GB"/>
              </w:rPr>
            </w:pPr>
            <w:r w:rsidRPr="008A2DC6">
              <w:rPr>
                <w:szCs w:val="18"/>
                <w:lang w:val="en-GB"/>
              </w:rPr>
              <w:t>1-2</w:t>
            </w:r>
          </w:p>
          <w:p w14:paraId="379430F9" w14:textId="031540A4" w:rsidR="007C3F6D" w:rsidRPr="008A2DC6" w:rsidRDefault="007C3F6D" w:rsidP="00C742CD">
            <w:pPr>
              <w:pStyle w:val="CETBodytext"/>
              <w:jc w:val="left"/>
              <w:rPr>
                <w:szCs w:val="18"/>
                <w:lang w:val="en-GB"/>
              </w:rPr>
            </w:pPr>
            <w:r w:rsidRPr="008A2DC6">
              <w:rPr>
                <w:szCs w:val="18"/>
                <w:lang w:val="en-GB"/>
              </w:rPr>
              <w:t>1-2</w:t>
            </w:r>
          </w:p>
        </w:tc>
      </w:tr>
      <w:tr w:rsidR="007C3F6D" w:rsidRPr="008A2DC6" w14:paraId="352F3722" w14:textId="77777777" w:rsidTr="00003F20">
        <w:trPr>
          <w:trHeight w:val="203"/>
          <w:jc w:val="center"/>
        </w:trPr>
        <w:tc>
          <w:tcPr>
            <w:tcW w:w="3828" w:type="dxa"/>
            <w:shd w:val="clear" w:color="auto" w:fill="FFFFFF"/>
          </w:tcPr>
          <w:p w14:paraId="4AD855F4" w14:textId="7DCA93D3" w:rsidR="007C3F6D" w:rsidRPr="008A2DC6" w:rsidRDefault="001E1B6C" w:rsidP="00C742CD">
            <w:pPr>
              <w:pStyle w:val="CETBodytext"/>
              <w:jc w:val="left"/>
              <w:rPr>
                <w:szCs w:val="18"/>
                <w:lang w:val="en-GB"/>
              </w:rPr>
            </w:pPr>
            <w:r w:rsidRPr="008A2DC6">
              <w:rPr>
                <w:lang w:val="en-GB"/>
              </w:rPr>
              <w:t>Process Components</w:t>
            </w:r>
          </w:p>
        </w:tc>
        <w:tc>
          <w:tcPr>
            <w:tcW w:w="3685" w:type="dxa"/>
          </w:tcPr>
          <w:p w14:paraId="7388EA1C" w14:textId="7BA293EE" w:rsidR="007C3F6D" w:rsidRPr="008A2DC6" w:rsidRDefault="001E1B6C" w:rsidP="007C3F6D">
            <w:pPr>
              <w:pStyle w:val="CETBodytext"/>
              <w:rPr>
                <w:lang w:val="en-GB"/>
              </w:rPr>
            </w:pPr>
            <w:r w:rsidRPr="008A2DC6">
              <w:rPr>
                <w:lang w:val="en-GB"/>
              </w:rPr>
              <w:t>Pumps</w:t>
            </w:r>
          </w:p>
          <w:p w14:paraId="668A2935" w14:textId="77777777" w:rsidR="007C3F6D" w:rsidRPr="008A2DC6" w:rsidRDefault="007C3F6D" w:rsidP="007C3F6D">
            <w:pPr>
              <w:pStyle w:val="CETBodytext"/>
              <w:rPr>
                <w:lang w:val="en-GB"/>
              </w:rPr>
            </w:pPr>
            <w:r w:rsidRPr="008A2DC6">
              <w:rPr>
                <w:lang w:val="en-GB"/>
              </w:rPr>
              <w:t xml:space="preserve">Agitators </w:t>
            </w:r>
          </w:p>
          <w:p w14:paraId="726E9630" w14:textId="1679C5B8" w:rsidR="007C3F6D" w:rsidRPr="008A2DC6" w:rsidRDefault="007C3F6D" w:rsidP="007C3F6D">
            <w:pPr>
              <w:pStyle w:val="CETBodytext"/>
              <w:jc w:val="left"/>
              <w:rPr>
                <w:szCs w:val="18"/>
                <w:lang w:val="en-GB"/>
              </w:rPr>
            </w:pPr>
            <w:r w:rsidRPr="008A2DC6">
              <w:rPr>
                <w:lang w:val="en-GB"/>
              </w:rPr>
              <w:t>Valves</w:t>
            </w:r>
          </w:p>
        </w:tc>
        <w:tc>
          <w:tcPr>
            <w:tcW w:w="992" w:type="dxa"/>
            <w:shd w:val="clear" w:color="auto" w:fill="FFFFFF"/>
          </w:tcPr>
          <w:p w14:paraId="1784A2D4" w14:textId="67130DA9" w:rsidR="007C3F6D" w:rsidRPr="008A2DC6" w:rsidRDefault="007C3F6D" w:rsidP="00C742CD">
            <w:pPr>
              <w:pStyle w:val="CETBodytext"/>
              <w:jc w:val="left"/>
              <w:rPr>
                <w:szCs w:val="18"/>
                <w:lang w:val="en-GB"/>
              </w:rPr>
            </w:pPr>
            <w:r w:rsidRPr="008A2DC6">
              <w:rPr>
                <w:szCs w:val="18"/>
                <w:lang w:val="en-GB"/>
              </w:rPr>
              <w:t>2-3</w:t>
            </w:r>
          </w:p>
          <w:p w14:paraId="56676E5D" w14:textId="5091420D" w:rsidR="007C3F6D" w:rsidRPr="008A2DC6" w:rsidRDefault="007C3F6D" w:rsidP="00C742CD">
            <w:pPr>
              <w:pStyle w:val="CETBodytext"/>
              <w:jc w:val="left"/>
              <w:rPr>
                <w:szCs w:val="18"/>
                <w:lang w:val="en-GB"/>
              </w:rPr>
            </w:pPr>
            <w:r w:rsidRPr="008A2DC6">
              <w:rPr>
                <w:szCs w:val="18"/>
                <w:lang w:val="en-GB"/>
              </w:rPr>
              <w:t>2-3</w:t>
            </w:r>
          </w:p>
          <w:p w14:paraId="5901CD56" w14:textId="0B2C6082" w:rsidR="007C3F6D" w:rsidRPr="008A2DC6" w:rsidRDefault="007C3F6D" w:rsidP="00C742CD">
            <w:pPr>
              <w:pStyle w:val="CETBodytext"/>
              <w:jc w:val="left"/>
              <w:rPr>
                <w:szCs w:val="18"/>
                <w:lang w:val="en-GB"/>
              </w:rPr>
            </w:pPr>
            <w:r w:rsidRPr="008A2DC6">
              <w:rPr>
                <w:szCs w:val="18"/>
                <w:lang w:val="en-GB"/>
              </w:rPr>
              <w:t>2-3</w:t>
            </w:r>
          </w:p>
        </w:tc>
      </w:tr>
      <w:tr w:rsidR="007C3F6D" w:rsidRPr="008A2DC6" w14:paraId="32BDF41D" w14:textId="77777777" w:rsidTr="00003F20">
        <w:trPr>
          <w:trHeight w:val="203"/>
          <w:jc w:val="center"/>
        </w:trPr>
        <w:tc>
          <w:tcPr>
            <w:tcW w:w="3828" w:type="dxa"/>
            <w:shd w:val="clear" w:color="auto" w:fill="FFFFFF"/>
          </w:tcPr>
          <w:p w14:paraId="6F62D37D" w14:textId="1DF7D075" w:rsidR="007C3F6D" w:rsidRPr="008A2DC6" w:rsidRDefault="001E1B6C" w:rsidP="00C742CD">
            <w:pPr>
              <w:pStyle w:val="CETBodytext"/>
              <w:jc w:val="left"/>
              <w:rPr>
                <w:szCs w:val="18"/>
                <w:lang w:val="en-GB"/>
              </w:rPr>
            </w:pPr>
            <w:r w:rsidRPr="008A2DC6">
              <w:rPr>
                <w:lang w:val="en-GB"/>
              </w:rPr>
              <w:t>Safety Functions</w:t>
            </w:r>
          </w:p>
        </w:tc>
        <w:tc>
          <w:tcPr>
            <w:tcW w:w="3685" w:type="dxa"/>
          </w:tcPr>
          <w:p w14:paraId="6A7F027C" w14:textId="58005168" w:rsidR="00003F20" w:rsidRPr="008A2DC6" w:rsidRDefault="00BE5B4D" w:rsidP="00C742CD">
            <w:pPr>
              <w:pStyle w:val="CETBodytext"/>
              <w:jc w:val="left"/>
              <w:rPr>
                <w:lang w:val="en-GB"/>
              </w:rPr>
            </w:pPr>
            <w:r w:rsidRPr="008A2DC6">
              <w:rPr>
                <w:lang w:val="en-GB"/>
              </w:rPr>
              <w:t>De</w:t>
            </w:r>
            <w:r w:rsidR="007C3F6D" w:rsidRPr="008A2DC6">
              <w:rPr>
                <w:lang w:val="en-GB"/>
              </w:rPr>
              <w:t>tection/</w:t>
            </w:r>
            <w:r w:rsidR="00003F20" w:rsidRPr="008A2DC6">
              <w:rPr>
                <w:lang w:val="en-GB"/>
              </w:rPr>
              <w:t>M</w:t>
            </w:r>
            <w:r w:rsidR="007C3F6D" w:rsidRPr="008A2DC6">
              <w:rPr>
                <w:lang w:val="en-GB"/>
              </w:rPr>
              <w:t xml:space="preserve">onitoring, </w:t>
            </w:r>
            <w:r w:rsidR="00003F20" w:rsidRPr="008A2DC6">
              <w:rPr>
                <w:lang w:val="en-GB"/>
              </w:rPr>
              <w:t>F</w:t>
            </w:r>
            <w:r w:rsidR="007C3F6D" w:rsidRPr="008A2DC6">
              <w:rPr>
                <w:lang w:val="en-GB"/>
              </w:rPr>
              <w:t>irefighting</w:t>
            </w:r>
            <w:r w:rsidR="00003F20" w:rsidRPr="008A2DC6">
              <w:rPr>
                <w:lang w:val="en-GB"/>
              </w:rPr>
              <w:t>,</w:t>
            </w:r>
          </w:p>
          <w:p w14:paraId="2C908FE1" w14:textId="46D0AA02" w:rsidR="007C3F6D" w:rsidRPr="008A2DC6" w:rsidRDefault="00003F20" w:rsidP="00C742CD">
            <w:pPr>
              <w:pStyle w:val="CETBodytext"/>
              <w:jc w:val="left"/>
              <w:rPr>
                <w:szCs w:val="18"/>
                <w:lang w:val="en-GB"/>
              </w:rPr>
            </w:pPr>
            <w:r w:rsidRPr="008A2DC6">
              <w:rPr>
                <w:lang w:val="en-GB"/>
              </w:rPr>
              <w:t>O</w:t>
            </w:r>
            <w:r w:rsidR="007C3F6D" w:rsidRPr="008A2DC6">
              <w:rPr>
                <w:lang w:val="en-GB"/>
              </w:rPr>
              <w:t xml:space="preserve">perations, </w:t>
            </w:r>
            <w:r w:rsidRPr="008A2DC6">
              <w:rPr>
                <w:lang w:val="en-GB"/>
              </w:rPr>
              <w:t>C</w:t>
            </w:r>
            <w:r w:rsidR="007C3F6D" w:rsidRPr="008A2DC6">
              <w:rPr>
                <w:lang w:val="en-GB"/>
              </w:rPr>
              <w:t>ommutation</w:t>
            </w:r>
          </w:p>
        </w:tc>
        <w:tc>
          <w:tcPr>
            <w:tcW w:w="992" w:type="dxa"/>
            <w:shd w:val="clear" w:color="auto" w:fill="FFFFFF"/>
          </w:tcPr>
          <w:p w14:paraId="40EC852D" w14:textId="7CFF2E93" w:rsidR="007C3F6D" w:rsidRPr="008A2DC6" w:rsidRDefault="007C3F6D" w:rsidP="00C742CD">
            <w:pPr>
              <w:pStyle w:val="CETBodytext"/>
              <w:jc w:val="left"/>
              <w:rPr>
                <w:szCs w:val="18"/>
                <w:lang w:val="en-GB"/>
              </w:rPr>
            </w:pPr>
            <w:r w:rsidRPr="008A2DC6">
              <w:rPr>
                <w:szCs w:val="18"/>
                <w:lang w:val="en-GB"/>
              </w:rPr>
              <w:t>1-</w:t>
            </w:r>
            <w:r w:rsidR="00E102DA" w:rsidRPr="008A2DC6">
              <w:rPr>
                <w:szCs w:val="18"/>
                <w:lang w:val="en-GB"/>
              </w:rPr>
              <w:t>3</w:t>
            </w:r>
          </w:p>
          <w:p w14:paraId="2E093834" w14:textId="06A5C4B6" w:rsidR="007C3F6D" w:rsidRPr="008A2DC6" w:rsidRDefault="001E1B6C" w:rsidP="00C742CD">
            <w:pPr>
              <w:pStyle w:val="CETBodytext"/>
              <w:jc w:val="left"/>
              <w:rPr>
                <w:szCs w:val="18"/>
                <w:lang w:val="en-GB"/>
              </w:rPr>
            </w:pPr>
            <w:r w:rsidRPr="008A2DC6">
              <w:rPr>
                <w:szCs w:val="18"/>
                <w:lang w:val="en-GB"/>
              </w:rPr>
              <w:t>1-</w:t>
            </w:r>
            <w:r w:rsidR="00E102DA" w:rsidRPr="008A2DC6">
              <w:rPr>
                <w:szCs w:val="18"/>
                <w:lang w:val="en-GB"/>
              </w:rPr>
              <w:t>3</w:t>
            </w:r>
            <w:r w:rsidRPr="008A2DC6">
              <w:rPr>
                <w:szCs w:val="18"/>
                <w:lang w:val="en-GB"/>
              </w:rPr>
              <w:t xml:space="preserve"> </w:t>
            </w:r>
          </w:p>
        </w:tc>
      </w:tr>
    </w:tbl>
    <w:p w14:paraId="42D54AB2" w14:textId="64D6E31D" w:rsidR="007A79AA" w:rsidRPr="008A2DC6" w:rsidRDefault="001E1B6C" w:rsidP="007A79AA">
      <w:pPr>
        <w:pStyle w:val="CETBodytext"/>
        <w:rPr>
          <w:sz w:val="14"/>
          <w:szCs w:val="14"/>
          <w:lang w:val="en-GB"/>
        </w:rPr>
      </w:pPr>
      <w:r w:rsidRPr="008A2DC6">
        <w:rPr>
          <w:sz w:val="14"/>
          <w:szCs w:val="14"/>
          <w:lang w:val="en-GB"/>
        </w:rPr>
        <w:t>(*) Lower values refer to the presence of appropriate prevention and mitigation measures, both technical and organizational (see Section 4).</w:t>
      </w:r>
    </w:p>
    <w:p w14:paraId="7A68C5E5" w14:textId="18358C15" w:rsidR="007A79AA" w:rsidRPr="008A2DC6" w:rsidRDefault="001E1B6C" w:rsidP="007A79AA">
      <w:pPr>
        <w:pStyle w:val="CETheadingx"/>
        <w:rPr>
          <w:lang w:val="en-GB"/>
        </w:rPr>
      </w:pPr>
      <w:r w:rsidRPr="008A2DC6">
        <w:rPr>
          <w:rFonts w:cs="Arial"/>
          <w:szCs w:val="18"/>
          <w:lang w:val="en-GB"/>
        </w:rPr>
        <w:t>IR</w:t>
      </w:r>
      <w:r w:rsidRPr="008A2DC6">
        <w:rPr>
          <w:rFonts w:cs="Arial"/>
          <w:szCs w:val="18"/>
          <w:vertAlign w:val="subscript"/>
          <w:lang w:val="en-GB"/>
        </w:rPr>
        <w:t>eb</w:t>
      </w:r>
      <w:r w:rsidR="007A79AA" w:rsidRPr="008A2DC6">
        <w:rPr>
          <w:vertAlign w:val="subscript"/>
          <w:lang w:val="en-GB"/>
        </w:rPr>
        <w:t xml:space="preserve"> </w:t>
      </w:r>
      <w:r w:rsidR="007A79AA" w:rsidRPr="008A2DC6">
        <w:rPr>
          <w:lang w:val="en-GB"/>
        </w:rPr>
        <w:t xml:space="preserve">- </w:t>
      </w:r>
      <w:r w:rsidRPr="008A2DC6">
        <w:rPr>
          <w:lang w:val="en-GB"/>
        </w:rPr>
        <w:t>Electrical Blackout Risk Level</w:t>
      </w:r>
      <w:r w:rsidR="007A79AA" w:rsidRPr="008A2DC6">
        <w:rPr>
          <w:lang w:val="en-GB"/>
        </w:rPr>
        <w:t xml:space="preserve"> </w:t>
      </w:r>
    </w:p>
    <w:p w14:paraId="7E0A85E2" w14:textId="03932FCB" w:rsidR="005E2C10" w:rsidRPr="008A2DC6" w:rsidRDefault="005E2C10" w:rsidP="005E2C10">
      <w:pPr>
        <w:pStyle w:val="CETBodytext"/>
        <w:rPr>
          <w:lang w:val="en-GB"/>
        </w:rPr>
      </w:pPr>
      <w:r w:rsidRPr="008A2DC6">
        <w:rPr>
          <w:lang w:val="en-GB"/>
        </w:rPr>
        <w:t>Once the values of IP and I</w:t>
      </w:r>
      <w:r w:rsidR="001F71C9" w:rsidRPr="008A2DC6">
        <w:rPr>
          <w:lang w:val="en-GB"/>
        </w:rPr>
        <w:t>S</w:t>
      </w:r>
      <w:r w:rsidRPr="008A2DC6">
        <w:rPr>
          <w:lang w:val="en-GB"/>
        </w:rPr>
        <w:t xml:space="preserve"> have been determined, it is possible to calculate the electrical blackout risk level </w:t>
      </w:r>
      <w:r w:rsidRPr="008A2DC6">
        <w:rPr>
          <w:rFonts w:cs="Arial"/>
          <w:szCs w:val="18"/>
          <w:lang w:val="en-GB"/>
        </w:rPr>
        <w:t>IR</w:t>
      </w:r>
      <w:r w:rsidRPr="008A2DC6">
        <w:rPr>
          <w:rFonts w:cs="Arial"/>
          <w:szCs w:val="18"/>
          <w:vertAlign w:val="subscript"/>
          <w:lang w:val="en-GB"/>
        </w:rPr>
        <w:t>eb</w:t>
      </w:r>
      <w:r w:rsidRPr="008A2DC6">
        <w:rPr>
          <w:lang w:val="en-GB"/>
        </w:rPr>
        <w:t xml:space="preserve"> for each critical unit. For </w:t>
      </w:r>
      <w:r w:rsidRPr="008A2DC6">
        <w:rPr>
          <w:rFonts w:cs="Arial"/>
          <w:szCs w:val="18"/>
          <w:lang w:val="en-GB"/>
        </w:rPr>
        <w:t>IR</w:t>
      </w:r>
      <w:r w:rsidRPr="008A2DC6">
        <w:rPr>
          <w:rFonts w:cs="Arial"/>
          <w:szCs w:val="18"/>
          <w:vertAlign w:val="subscript"/>
          <w:lang w:val="en-GB"/>
        </w:rPr>
        <w:t>eb</w:t>
      </w:r>
      <w:r w:rsidRPr="008A2DC6">
        <w:rPr>
          <w:lang w:val="en-GB"/>
        </w:rPr>
        <w:t xml:space="preserve"> values</w:t>
      </w:r>
      <w:r w:rsidR="00E102DA" w:rsidRPr="008A2DC6">
        <w:rPr>
          <w:lang w:val="en-GB"/>
        </w:rPr>
        <w:t xml:space="preserve"> (Grillone et al.</w:t>
      </w:r>
      <w:r w:rsidR="00501E32">
        <w:rPr>
          <w:lang w:val="en-GB"/>
        </w:rPr>
        <w:t>, 2023</w:t>
      </w:r>
      <w:r w:rsidR="00E102DA" w:rsidRPr="008A2DC6">
        <w:rPr>
          <w:lang w:val="en-GB"/>
        </w:rPr>
        <w:t>)</w:t>
      </w:r>
      <w:r w:rsidRPr="008A2DC6">
        <w:rPr>
          <w:lang w:val="en-GB"/>
        </w:rPr>
        <w:t>:</w:t>
      </w:r>
    </w:p>
    <w:p w14:paraId="74BF28B5" w14:textId="2ECE6CDD" w:rsidR="005E2C10" w:rsidRPr="008A2DC6" w:rsidRDefault="00EA18A8" w:rsidP="00EA18A8">
      <w:pPr>
        <w:pStyle w:val="CETBodytext"/>
        <w:numPr>
          <w:ilvl w:val="0"/>
          <w:numId w:val="26"/>
        </w:numPr>
        <w:rPr>
          <w:szCs w:val="18"/>
          <w:lang w:val="en-GB"/>
        </w:rPr>
      </w:pPr>
      <w:r w:rsidRPr="008A2DC6">
        <w:rPr>
          <w:szCs w:val="18"/>
          <w:lang w:val="en-GB"/>
        </w:rPr>
        <w:t>B</w:t>
      </w:r>
      <w:r w:rsidR="005E2C10" w:rsidRPr="008A2DC6">
        <w:rPr>
          <w:szCs w:val="18"/>
          <w:lang w:val="en-GB"/>
        </w:rPr>
        <w:t xml:space="preserve">elow 25, the electrical blackout risk is considered </w:t>
      </w:r>
      <w:r w:rsidR="001F71C9" w:rsidRPr="008A2DC6">
        <w:rPr>
          <w:szCs w:val="18"/>
          <w:lang w:val="en-GB"/>
        </w:rPr>
        <w:t>acceptable.</w:t>
      </w:r>
    </w:p>
    <w:p w14:paraId="6489A076" w14:textId="0FB53628" w:rsidR="005E2C10" w:rsidRPr="008A2DC6" w:rsidRDefault="00EA18A8" w:rsidP="00EA18A8">
      <w:pPr>
        <w:pStyle w:val="CETBodytext"/>
        <w:numPr>
          <w:ilvl w:val="0"/>
          <w:numId w:val="26"/>
        </w:numPr>
        <w:rPr>
          <w:szCs w:val="18"/>
          <w:lang w:val="en-GB"/>
        </w:rPr>
      </w:pPr>
      <w:r w:rsidRPr="008A2DC6">
        <w:rPr>
          <w:szCs w:val="18"/>
          <w:lang w:val="en-GB"/>
        </w:rPr>
        <w:t>B</w:t>
      </w:r>
      <w:r w:rsidR="005E2C10" w:rsidRPr="008A2DC6">
        <w:rPr>
          <w:szCs w:val="18"/>
          <w:lang w:val="en-GB"/>
        </w:rPr>
        <w:t xml:space="preserve">etween 25 and less than 50, improvement actions should be planned </w:t>
      </w:r>
      <w:r w:rsidRPr="008A2DC6">
        <w:rPr>
          <w:szCs w:val="18"/>
          <w:lang w:val="en-GB"/>
        </w:rPr>
        <w:t>to</w:t>
      </w:r>
      <w:r w:rsidR="005E2C10" w:rsidRPr="008A2DC6">
        <w:rPr>
          <w:szCs w:val="18"/>
          <w:lang w:val="en-GB"/>
        </w:rPr>
        <w:t xml:space="preserve"> reduce the electrical blackout risk to acceptable levels</w:t>
      </w:r>
      <w:r w:rsidRPr="008A2DC6">
        <w:rPr>
          <w:szCs w:val="18"/>
          <w:lang w:val="en-GB"/>
        </w:rPr>
        <w:t>.</w:t>
      </w:r>
    </w:p>
    <w:p w14:paraId="0EDDC0B0" w14:textId="1E86189E" w:rsidR="005E2C10" w:rsidRPr="008A2DC6" w:rsidRDefault="00EA18A8" w:rsidP="00EA18A8">
      <w:pPr>
        <w:pStyle w:val="CETBodytext"/>
        <w:numPr>
          <w:ilvl w:val="0"/>
          <w:numId w:val="26"/>
        </w:numPr>
        <w:rPr>
          <w:lang w:val="en-GB"/>
        </w:rPr>
      </w:pPr>
      <w:r w:rsidRPr="008A2DC6">
        <w:rPr>
          <w:szCs w:val="18"/>
          <w:lang w:val="en-GB"/>
        </w:rPr>
        <w:t>A</w:t>
      </w:r>
      <w:r w:rsidR="005E2C10" w:rsidRPr="008A2DC6">
        <w:rPr>
          <w:szCs w:val="18"/>
          <w:lang w:val="en-GB"/>
        </w:rPr>
        <w:t xml:space="preserve">bove 50, the electrical blackout risk is considered unacceptable; in this case, immediate actions are required, including the implementation of both technical and organizational prevention and mitigation measures, </w:t>
      </w:r>
      <w:r w:rsidRPr="008A2DC6">
        <w:rPr>
          <w:szCs w:val="18"/>
          <w:lang w:val="en-GB"/>
        </w:rPr>
        <w:t>to</w:t>
      </w:r>
      <w:r w:rsidR="005E2C10" w:rsidRPr="008A2DC6">
        <w:rPr>
          <w:szCs w:val="18"/>
          <w:lang w:val="en-GB"/>
        </w:rPr>
        <w:t xml:space="preserve"> bring</w:t>
      </w:r>
      <w:r w:rsidR="005E2C10" w:rsidRPr="008A2DC6">
        <w:rPr>
          <w:lang w:val="en-GB"/>
        </w:rPr>
        <w:t xml:space="preserve"> the risk level back within acceptable limits.</w:t>
      </w:r>
    </w:p>
    <w:p w14:paraId="2657F0E3" w14:textId="798374FE" w:rsidR="007F79FF" w:rsidRDefault="005E2C10" w:rsidP="005E2C10">
      <w:pPr>
        <w:pStyle w:val="CETBodytext"/>
        <w:rPr>
          <w:lang w:val="en-GB"/>
        </w:rPr>
      </w:pPr>
      <w:r w:rsidRPr="008A2DC6">
        <w:rPr>
          <w:lang w:val="en-GB"/>
        </w:rPr>
        <w:t xml:space="preserve">In the following Section 4, a non-exhaustive set of prevention and mitigation measures related to the electrical blackout risk level is presented, which may contribute to reducing the values reported in </w:t>
      </w:r>
      <w:r w:rsidR="00501E32">
        <w:rPr>
          <w:lang w:val="en-GB"/>
        </w:rPr>
        <w:t>Figure</w:t>
      </w:r>
      <w:r w:rsidRPr="008A2DC6">
        <w:rPr>
          <w:lang w:val="en-GB"/>
        </w:rPr>
        <w:t xml:space="preserve"> </w:t>
      </w:r>
      <w:r w:rsidR="00501E32">
        <w:rPr>
          <w:lang w:val="en-GB"/>
        </w:rPr>
        <w:t>1</w:t>
      </w:r>
      <w:r w:rsidRPr="008A2DC6">
        <w:rPr>
          <w:lang w:val="en-GB"/>
        </w:rPr>
        <w:t>, “Electrical Blackout Risk Level Map</w:t>
      </w:r>
      <w:r w:rsidR="00EA18A8" w:rsidRPr="008A2DC6">
        <w:rPr>
          <w:lang w:val="en-GB"/>
        </w:rPr>
        <w:t xml:space="preserve">, </w:t>
      </w:r>
      <w:r w:rsidRPr="008A2DC6">
        <w:rPr>
          <w:rFonts w:cs="Arial"/>
          <w:szCs w:val="18"/>
          <w:lang w:val="en-GB"/>
        </w:rPr>
        <w:t>IR</w:t>
      </w:r>
      <w:r w:rsidRPr="008A2DC6">
        <w:rPr>
          <w:rFonts w:cs="Arial"/>
          <w:szCs w:val="18"/>
          <w:vertAlign w:val="subscript"/>
          <w:lang w:val="en-GB"/>
        </w:rPr>
        <w:t>eb</w:t>
      </w:r>
      <w:r w:rsidRPr="008A2DC6">
        <w:rPr>
          <w:lang w:val="en-GB"/>
        </w:rPr>
        <w:t xml:space="preserve">”. </w:t>
      </w:r>
    </w:p>
    <w:p w14:paraId="20B6E478" w14:textId="77777777" w:rsidR="00334A88" w:rsidRDefault="00334A88" w:rsidP="005E2C10">
      <w:pPr>
        <w:pStyle w:val="CETBodytext"/>
        <w:rPr>
          <w:lang w:val="en-GB"/>
        </w:rPr>
      </w:pPr>
    </w:p>
    <w:tbl>
      <w:tblPr>
        <w:tblStyle w:val="Grigliatabella"/>
        <w:tblW w:w="0" w:type="auto"/>
        <w:jc w:val="center"/>
        <w:tblLook w:val="04A0" w:firstRow="1" w:lastRow="0" w:firstColumn="1" w:lastColumn="0" w:noHBand="0" w:noVBand="1"/>
      </w:tblPr>
      <w:tblGrid>
        <w:gridCol w:w="387"/>
        <w:gridCol w:w="517"/>
        <w:gridCol w:w="517"/>
        <w:gridCol w:w="517"/>
        <w:gridCol w:w="517"/>
        <w:gridCol w:w="517"/>
        <w:gridCol w:w="517"/>
        <w:gridCol w:w="517"/>
        <w:gridCol w:w="517"/>
        <w:gridCol w:w="517"/>
        <w:gridCol w:w="517"/>
      </w:tblGrid>
      <w:tr w:rsidR="00334A88" w:rsidRPr="008A2DC6" w14:paraId="71A5A6C2" w14:textId="77777777" w:rsidTr="00A872C2">
        <w:trPr>
          <w:jc w:val="center"/>
        </w:trPr>
        <w:tc>
          <w:tcPr>
            <w:tcW w:w="387" w:type="dxa"/>
            <w:vMerge w:val="restart"/>
            <w:shd w:val="clear" w:color="auto" w:fill="FFFFFF" w:themeFill="background1"/>
          </w:tcPr>
          <w:p w14:paraId="3ACCE507" w14:textId="77777777" w:rsidR="00334A88" w:rsidRDefault="00334A88" w:rsidP="00A872C2">
            <w:pPr>
              <w:jc w:val="left"/>
            </w:pPr>
          </w:p>
          <w:p w14:paraId="617B1701" w14:textId="77777777" w:rsidR="00334A88" w:rsidRDefault="00334A88" w:rsidP="00A872C2">
            <w:pPr>
              <w:jc w:val="left"/>
            </w:pPr>
          </w:p>
          <w:p w14:paraId="4A2E7CEB" w14:textId="77777777" w:rsidR="00334A88" w:rsidRDefault="00334A88" w:rsidP="00A872C2">
            <w:pPr>
              <w:jc w:val="left"/>
            </w:pPr>
          </w:p>
          <w:p w14:paraId="747B315D" w14:textId="77777777" w:rsidR="00334A88" w:rsidRDefault="00334A88" w:rsidP="00A872C2">
            <w:pPr>
              <w:jc w:val="left"/>
            </w:pPr>
          </w:p>
          <w:p w14:paraId="3521AF80" w14:textId="77777777" w:rsidR="00334A88" w:rsidRDefault="00334A88" w:rsidP="00A872C2">
            <w:pPr>
              <w:jc w:val="left"/>
            </w:pPr>
          </w:p>
          <w:p w14:paraId="68569EEF" w14:textId="77777777" w:rsidR="00334A88" w:rsidRDefault="00334A88" w:rsidP="00A872C2">
            <w:pPr>
              <w:jc w:val="left"/>
            </w:pPr>
          </w:p>
          <w:p w14:paraId="5E1C2411" w14:textId="77777777" w:rsidR="00334A88" w:rsidRDefault="00334A88" w:rsidP="00A872C2">
            <w:pPr>
              <w:jc w:val="left"/>
            </w:pPr>
          </w:p>
          <w:p w14:paraId="78A099EE" w14:textId="77777777" w:rsidR="00334A88" w:rsidRDefault="00334A88" w:rsidP="00A872C2">
            <w:pPr>
              <w:jc w:val="left"/>
            </w:pPr>
          </w:p>
          <w:p w14:paraId="443E4608" w14:textId="77777777" w:rsidR="00334A88" w:rsidRDefault="00334A88" w:rsidP="00A872C2">
            <w:pPr>
              <w:jc w:val="left"/>
            </w:pPr>
          </w:p>
          <w:p w14:paraId="24118370" w14:textId="77777777" w:rsidR="00334A88" w:rsidRPr="008A2DC6" w:rsidRDefault="00334A88" w:rsidP="00A872C2">
            <w:pPr>
              <w:jc w:val="left"/>
            </w:pPr>
            <w:r>
              <w:t>IS</w:t>
            </w:r>
          </w:p>
        </w:tc>
        <w:tc>
          <w:tcPr>
            <w:tcW w:w="517" w:type="dxa"/>
            <w:shd w:val="clear" w:color="auto" w:fill="92D050"/>
          </w:tcPr>
          <w:p w14:paraId="4EEC340E" w14:textId="77777777" w:rsidR="00334A88" w:rsidRPr="008A2DC6" w:rsidRDefault="00334A88" w:rsidP="00A872C2">
            <w:pPr>
              <w:jc w:val="center"/>
            </w:pPr>
            <w:r w:rsidRPr="008A2DC6">
              <w:t>10</w:t>
            </w:r>
          </w:p>
        </w:tc>
        <w:tc>
          <w:tcPr>
            <w:tcW w:w="517" w:type="dxa"/>
            <w:shd w:val="clear" w:color="auto" w:fill="92D050"/>
          </w:tcPr>
          <w:p w14:paraId="5695EB28" w14:textId="77777777" w:rsidR="00334A88" w:rsidRPr="008A2DC6" w:rsidRDefault="00334A88" w:rsidP="00A872C2">
            <w:pPr>
              <w:jc w:val="center"/>
            </w:pPr>
            <w:r w:rsidRPr="008A2DC6">
              <w:t>20</w:t>
            </w:r>
          </w:p>
        </w:tc>
        <w:tc>
          <w:tcPr>
            <w:tcW w:w="517" w:type="dxa"/>
            <w:shd w:val="clear" w:color="auto" w:fill="FFFF00"/>
          </w:tcPr>
          <w:p w14:paraId="506B30DA" w14:textId="77777777" w:rsidR="00334A88" w:rsidRPr="008A2DC6" w:rsidRDefault="00334A88" w:rsidP="00A872C2">
            <w:pPr>
              <w:jc w:val="center"/>
            </w:pPr>
            <w:r w:rsidRPr="008A2DC6">
              <w:t>30</w:t>
            </w:r>
          </w:p>
        </w:tc>
        <w:tc>
          <w:tcPr>
            <w:tcW w:w="517" w:type="dxa"/>
            <w:shd w:val="clear" w:color="auto" w:fill="FFFF00"/>
          </w:tcPr>
          <w:p w14:paraId="3B3DF46F" w14:textId="77777777" w:rsidR="00334A88" w:rsidRPr="008A2DC6" w:rsidRDefault="00334A88" w:rsidP="00A872C2">
            <w:pPr>
              <w:jc w:val="center"/>
            </w:pPr>
            <w:r w:rsidRPr="008A2DC6">
              <w:t>40</w:t>
            </w:r>
          </w:p>
        </w:tc>
        <w:tc>
          <w:tcPr>
            <w:tcW w:w="517" w:type="dxa"/>
            <w:shd w:val="clear" w:color="auto" w:fill="FFC000"/>
          </w:tcPr>
          <w:p w14:paraId="52D72CFA" w14:textId="77777777" w:rsidR="00334A88" w:rsidRPr="008A2DC6" w:rsidRDefault="00334A88" w:rsidP="00A872C2">
            <w:pPr>
              <w:jc w:val="center"/>
            </w:pPr>
            <w:r w:rsidRPr="008A2DC6">
              <w:t>50</w:t>
            </w:r>
          </w:p>
        </w:tc>
        <w:tc>
          <w:tcPr>
            <w:tcW w:w="517" w:type="dxa"/>
            <w:shd w:val="clear" w:color="auto" w:fill="FFC000"/>
          </w:tcPr>
          <w:p w14:paraId="23E546D1" w14:textId="77777777" w:rsidR="00334A88" w:rsidRPr="008A2DC6" w:rsidRDefault="00334A88" w:rsidP="00A872C2">
            <w:pPr>
              <w:jc w:val="center"/>
            </w:pPr>
            <w:r w:rsidRPr="008A2DC6">
              <w:t>60</w:t>
            </w:r>
          </w:p>
        </w:tc>
        <w:tc>
          <w:tcPr>
            <w:tcW w:w="517" w:type="dxa"/>
            <w:shd w:val="clear" w:color="auto" w:fill="FFC000"/>
          </w:tcPr>
          <w:p w14:paraId="2DDA8B28" w14:textId="77777777" w:rsidR="00334A88" w:rsidRPr="008A2DC6" w:rsidRDefault="00334A88" w:rsidP="00A872C2">
            <w:pPr>
              <w:jc w:val="center"/>
            </w:pPr>
            <w:r w:rsidRPr="008A2DC6">
              <w:t>70</w:t>
            </w:r>
          </w:p>
        </w:tc>
        <w:tc>
          <w:tcPr>
            <w:tcW w:w="517" w:type="dxa"/>
            <w:shd w:val="clear" w:color="auto" w:fill="FFC000"/>
          </w:tcPr>
          <w:p w14:paraId="34193F18" w14:textId="77777777" w:rsidR="00334A88" w:rsidRPr="008A2DC6" w:rsidRDefault="00334A88" w:rsidP="00A872C2">
            <w:pPr>
              <w:jc w:val="center"/>
            </w:pPr>
            <w:r w:rsidRPr="008A2DC6">
              <w:t>80</w:t>
            </w:r>
          </w:p>
        </w:tc>
        <w:tc>
          <w:tcPr>
            <w:tcW w:w="517" w:type="dxa"/>
            <w:shd w:val="clear" w:color="auto" w:fill="FFC000"/>
          </w:tcPr>
          <w:p w14:paraId="47965316" w14:textId="77777777" w:rsidR="00334A88" w:rsidRPr="008A2DC6" w:rsidRDefault="00334A88" w:rsidP="00A872C2">
            <w:pPr>
              <w:jc w:val="center"/>
            </w:pPr>
            <w:r w:rsidRPr="008A2DC6">
              <w:t>90</w:t>
            </w:r>
          </w:p>
        </w:tc>
        <w:tc>
          <w:tcPr>
            <w:tcW w:w="517" w:type="dxa"/>
            <w:shd w:val="clear" w:color="auto" w:fill="FFC000"/>
          </w:tcPr>
          <w:p w14:paraId="6CFE44E3" w14:textId="77777777" w:rsidR="00334A88" w:rsidRPr="008A2DC6" w:rsidRDefault="00334A88" w:rsidP="00A872C2">
            <w:pPr>
              <w:jc w:val="center"/>
            </w:pPr>
            <w:r w:rsidRPr="008A2DC6">
              <w:t>100</w:t>
            </w:r>
          </w:p>
        </w:tc>
      </w:tr>
      <w:tr w:rsidR="00334A88" w:rsidRPr="008A2DC6" w14:paraId="7B075687" w14:textId="77777777" w:rsidTr="00A872C2">
        <w:trPr>
          <w:jc w:val="center"/>
        </w:trPr>
        <w:tc>
          <w:tcPr>
            <w:tcW w:w="387" w:type="dxa"/>
            <w:vMerge/>
            <w:shd w:val="clear" w:color="auto" w:fill="FFFFFF" w:themeFill="background1"/>
          </w:tcPr>
          <w:p w14:paraId="7AFB48B3" w14:textId="77777777" w:rsidR="00334A88" w:rsidRPr="008A2DC6" w:rsidRDefault="00334A88" w:rsidP="00A872C2">
            <w:pPr>
              <w:jc w:val="left"/>
            </w:pPr>
          </w:p>
        </w:tc>
        <w:tc>
          <w:tcPr>
            <w:tcW w:w="517" w:type="dxa"/>
            <w:shd w:val="clear" w:color="auto" w:fill="92D050"/>
          </w:tcPr>
          <w:p w14:paraId="1520EE58" w14:textId="77777777" w:rsidR="00334A88" w:rsidRPr="008A2DC6" w:rsidRDefault="00334A88" w:rsidP="00A872C2">
            <w:pPr>
              <w:jc w:val="center"/>
            </w:pPr>
            <w:r w:rsidRPr="008A2DC6">
              <w:t>9</w:t>
            </w:r>
          </w:p>
        </w:tc>
        <w:tc>
          <w:tcPr>
            <w:tcW w:w="517" w:type="dxa"/>
            <w:shd w:val="clear" w:color="auto" w:fill="92D050"/>
          </w:tcPr>
          <w:p w14:paraId="2B646E6D" w14:textId="77777777" w:rsidR="00334A88" w:rsidRPr="008A2DC6" w:rsidRDefault="00334A88" w:rsidP="00A872C2">
            <w:pPr>
              <w:jc w:val="center"/>
            </w:pPr>
            <w:r w:rsidRPr="008A2DC6">
              <w:t>18</w:t>
            </w:r>
          </w:p>
        </w:tc>
        <w:tc>
          <w:tcPr>
            <w:tcW w:w="517" w:type="dxa"/>
            <w:shd w:val="clear" w:color="auto" w:fill="FFFF00"/>
          </w:tcPr>
          <w:p w14:paraId="46ED17E0" w14:textId="77777777" w:rsidR="00334A88" w:rsidRPr="008A2DC6" w:rsidRDefault="00334A88" w:rsidP="00A872C2">
            <w:pPr>
              <w:jc w:val="center"/>
            </w:pPr>
            <w:r w:rsidRPr="008A2DC6">
              <w:t>27</w:t>
            </w:r>
          </w:p>
        </w:tc>
        <w:tc>
          <w:tcPr>
            <w:tcW w:w="517" w:type="dxa"/>
            <w:shd w:val="clear" w:color="auto" w:fill="FFFF00"/>
          </w:tcPr>
          <w:p w14:paraId="10B9C2C5" w14:textId="77777777" w:rsidR="00334A88" w:rsidRPr="008A2DC6" w:rsidRDefault="00334A88" w:rsidP="00A872C2">
            <w:pPr>
              <w:jc w:val="center"/>
            </w:pPr>
            <w:r w:rsidRPr="008A2DC6">
              <w:t>36</w:t>
            </w:r>
          </w:p>
        </w:tc>
        <w:tc>
          <w:tcPr>
            <w:tcW w:w="517" w:type="dxa"/>
            <w:shd w:val="clear" w:color="auto" w:fill="FFFF00"/>
          </w:tcPr>
          <w:p w14:paraId="4171C39A" w14:textId="77777777" w:rsidR="00334A88" w:rsidRPr="008A2DC6" w:rsidRDefault="00334A88" w:rsidP="00A872C2">
            <w:pPr>
              <w:jc w:val="center"/>
            </w:pPr>
            <w:r w:rsidRPr="008A2DC6">
              <w:t>45</w:t>
            </w:r>
          </w:p>
        </w:tc>
        <w:tc>
          <w:tcPr>
            <w:tcW w:w="517" w:type="dxa"/>
            <w:shd w:val="clear" w:color="auto" w:fill="FFC000"/>
          </w:tcPr>
          <w:p w14:paraId="4469C216" w14:textId="77777777" w:rsidR="00334A88" w:rsidRPr="008A2DC6" w:rsidRDefault="00334A88" w:rsidP="00A872C2">
            <w:pPr>
              <w:jc w:val="center"/>
            </w:pPr>
            <w:r w:rsidRPr="008A2DC6">
              <w:t>54</w:t>
            </w:r>
          </w:p>
        </w:tc>
        <w:tc>
          <w:tcPr>
            <w:tcW w:w="517" w:type="dxa"/>
            <w:shd w:val="clear" w:color="auto" w:fill="FFC000"/>
          </w:tcPr>
          <w:p w14:paraId="2847A959" w14:textId="77777777" w:rsidR="00334A88" w:rsidRPr="008A2DC6" w:rsidRDefault="00334A88" w:rsidP="00A872C2">
            <w:pPr>
              <w:jc w:val="center"/>
            </w:pPr>
            <w:r w:rsidRPr="008A2DC6">
              <w:t>63</w:t>
            </w:r>
          </w:p>
        </w:tc>
        <w:tc>
          <w:tcPr>
            <w:tcW w:w="517" w:type="dxa"/>
            <w:shd w:val="clear" w:color="auto" w:fill="FFC000"/>
          </w:tcPr>
          <w:p w14:paraId="60388FA0" w14:textId="77777777" w:rsidR="00334A88" w:rsidRPr="008A2DC6" w:rsidRDefault="00334A88" w:rsidP="00A872C2">
            <w:pPr>
              <w:jc w:val="center"/>
            </w:pPr>
            <w:r w:rsidRPr="008A2DC6">
              <w:t>72</w:t>
            </w:r>
          </w:p>
        </w:tc>
        <w:tc>
          <w:tcPr>
            <w:tcW w:w="517" w:type="dxa"/>
            <w:shd w:val="clear" w:color="auto" w:fill="FFC000"/>
          </w:tcPr>
          <w:p w14:paraId="74EAD439" w14:textId="77777777" w:rsidR="00334A88" w:rsidRPr="008A2DC6" w:rsidRDefault="00334A88" w:rsidP="00A872C2">
            <w:pPr>
              <w:jc w:val="center"/>
            </w:pPr>
            <w:r w:rsidRPr="008A2DC6">
              <w:t>81</w:t>
            </w:r>
          </w:p>
        </w:tc>
        <w:tc>
          <w:tcPr>
            <w:tcW w:w="517" w:type="dxa"/>
            <w:shd w:val="clear" w:color="auto" w:fill="FFC000"/>
          </w:tcPr>
          <w:p w14:paraId="6FDC8C82" w14:textId="77777777" w:rsidR="00334A88" w:rsidRPr="008A2DC6" w:rsidRDefault="00334A88" w:rsidP="00A872C2">
            <w:pPr>
              <w:jc w:val="center"/>
            </w:pPr>
            <w:r w:rsidRPr="008A2DC6">
              <w:t>90</w:t>
            </w:r>
          </w:p>
        </w:tc>
      </w:tr>
      <w:tr w:rsidR="00334A88" w:rsidRPr="008A2DC6" w14:paraId="5E9A94EE" w14:textId="77777777" w:rsidTr="00A872C2">
        <w:trPr>
          <w:jc w:val="center"/>
        </w:trPr>
        <w:tc>
          <w:tcPr>
            <w:tcW w:w="387" w:type="dxa"/>
            <w:vMerge/>
            <w:shd w:val="clear" w:color="auto" w:fill="FFFFFF" w:themeFill="background1"/>
          </w:tcPr>
          <w:p w14:paraId="638F6A42" w14:textId="77777777" w:rsidR="00334A88" w:rsidRPr="008A2DC6" w:rsidRDefault="00334A88" w:rsidP="00A872C2">
            <w:pPr>
              <w:jc w:val="left"/>
            </w:pPr>
          </w:p>
        </w:tc>
        <w:tc>
          <w:tcPr>
            <w:tcW w:w="517" w:type="dxa"/>
            <w:shd w:val="clear" w:color="auto" w:fill="92D050"/>
          </w:tcPr>
          <w:p w14:paraId="0FEC5180" w14:textId="77777777" w:rsidR="00334A88" w:rsidRPr="008A2DC6" w:rsidRDefault="00334A88" w:rsidP="00A872C2">
            <w:pPr>
              <w:jc w:val="center"/>
            </w:pPr>
            <w:r w:rsidRPr="008A2DC6">
              <w:t>8</w:t>
            </w:r>
          </w:p>
        </w:tc>
        <w:tc>
          <w:tcPr>
            <w:tcW w:w="517" w:type="dxa"/>
            <w:shd w:val="clear" w:color="auto" w:fill="92D050"/>
          </w:tcPr>
          <w:p w14:paraId="77FF6813" w14:textId="77777777" w:rsidR="00334A88" w:rsidRPr="008A2DC6" w:rsidRDefault="00334A88" w:rsidP="00A872C2">
            <w:pPr>
              <w:jc w:val="center"/>
            </w:pPr>
            <w:r w:rsidRPr="008A2DC6">
              <w:t>16</w:t>
            </w:r>
          </w:p>
        </w:tc>
        <w:tc>
          <w:tcPr>
            <w:tcW w:w="517" w:type="dxa"/>
            <w:shd w:val="clear" w:color="auto" w:fill="92D050"/>
          </w:tcPr>
          <w:p w14:paraId="1C48932C" w14:textId="77777777" w:rsidR="00334A88" w:rsidRPr="008A2DC6" w:rsidRDefault="00334A88" w:rsidP="00A872C2">
            <w:pPr>
              <w:jc w:val="center"/>
            </w:pPr>
            <w:r w:rsidRPr="008A2DC6">
              <w:t>24</w:t>
            </w:r>
          </w:p>
        </w:tc>
        <w:tc>
          <w:tcPr>
            <w:tcW w:w="517" w:type="dxa"/>
            <w:shd w:val="clear" w:color="auto" w:fill="FFFF00"/>
          </w:tcPr>
          <w:p w14:paraId="2742B29D" w14:textId="77777777" w:rsidR="00334A88" w:rsidRPr="008A2DC6" w:rsidRDefault="00334A88" w:rsidP="00A872C2">
            <w:pPr>
              <w:jc w:val="center"/>
            </w:pPr>
            <w:r w:rsidRPr="008A2DC6">
              <w:t>32</w:t>
            </w:r>
          </w:p>
        </w:tc>
        <w:tc>
          <w:tcPr>
            <w:tcW w:w="517" w:type="dxa"/>
            <w:shd w:val="clear" w:color="auto" w:fill="FFFF00"/>
          </w:tcPr>
          <w:p w14:paraId="44CAEA48" w14:textId="77777777" w:rsidR="00334A88" w:rsidRPr="008A2DC6" w:rsidRDefault="00334A88" w:rsidP="00A872C2">
            <w:pPr>
              <w:jc w:val="center"/>
            </w:pPr>
            <w:r w:rsidRPr="008A2DC6">
              <w:t>40</w:t>
            </w:r>
          </w:p>
        </w:tc>
        <w:tc>
          <w:tcPr>
            <w:tcW w:w="517" w:type="dxa"/>
            <w:shd w:val="clear" w:color="auto" w:fill="FFFF00"/>
          </w:tcPr>
          <w:p w14:paraId="378A9D4E" w14:textId="77777777" w:rsidR="00334A88" w:rsidRPr="008A2DC6" w:rsidRDefault="00334A88" w:rsidP="00A872C2">
            <w:pPr>
              <w:jc w:val="center"/>
            </w:pPr>
            <w:r w:rsidRPr="008A2DC6">
              <w:t>48</w:t>
            </w:r>
          </w:p>
        </w:tc>
        <w:tc>
          <w:tcPr>
            <w:tcW w:w="517" w:type="dxa"/>
            <w:shd w:val="clear" w:color="auto" w:fill="FFC000"/>
          </w:tcPr>
          <w:p w14:paraId="5BC1884F" w14:textId="77777777" w:rsidR="00334A88" w:rsidRPr="008A2DC6" w:rsidRDefault="00334A88" w:rsidP="00A872C2">
            <w:pPr>
              <w:jc w:val="center"/>
            </w:pPr>
            <w:r w:rsidRPr="008A2DC6">
              <w:t>56</w:t>
            </w:r>
          </w:p>
        </w:tc>
        <w:tc>
          <w:tcPr>
            <w:tcW w:w="517" w:type="dxa"/>
            <w:shd w:val="clear" w:color="auto" w:fill="FFC000"/>
          </w:tcPr>
          <w:p w14:paraId="2A9729C6" w14:textId="77777777" w:rsidR="00334A88" w:rsidRPr="008A2DC6" w:rsidRDefault="00334A88" w:rsidP="00A872C2">
            <w:pPr>
              <w:jc w:val="center"/>
            </w:pPr>
            <w:r w:rsidRPr="008A2DC6">
              <w:t>64</w:t>
            </w:r>
          </w:p>
        </w:tc>
        <w:tc>
          <w:tcPr>
            <w:tcW w:w="517" w:type="dxa"/>
            <w:shd w:val="clear" w:color="auto" w:fill="FFC000"/>
          </w:tcPr>
          <w:p w14:paraId="042A5A10" w14:textId="77777777" w:rsidR="00334A88" w:rsidRPr="008A2DC6" w:rsidRDefault="00334A88" w:rsidP="00A872C2">
            <w:pPr>
              <w:jc w:val="center"/>
            </w:pPr>
            <w:r w:rsidRPr="008A2DC6">
              <w:t>72</w:t>
            </w:r>
          </w:p>
        </w:tc>
        <w:tc>
          <w:tcPr>
            <w:tcW w:w="517" w:type="dxa"/>
            <w:shd w:val="clear" w:color="auto" w:fill="FFC000"/>
          </w:tcPr>
          <w:p w14:paraId="67CDD613" w14:textId="77777777" w:rsidR="00334A88" w:rsidRPr="008A2DC6" w:rsidRDefault="00334A88" w:rsidP="00A872C2">
            <w:pPr>
              <w:jc w:val="center"/>
            </w:pPr>
            <w:r w:rsidRPr="008A2DC6">
              <w:t>80</w:t>
            </w:r>
          </w:p>
        </w:tc>
      </w:tr>
      <w:tr w:rsidR="00334A88" w:rsidRPr="008A2DC6" w14:paraId="64B12BF2" w14:textId="77777777" w:rsidTr="00A872C2">
        <w:trPr>
          <w:jc w:val="center"/>
        </w:trPr>
        <w:tc>
          <w:tcPr>
            <w:tcW w:w="387" w:type="dxa"/>
            <w:vMerge/>
            <w:shd w:val="clear" w:color="auto" w:fill="FFFFFF" w:themeFill="background1"/>
          </w:tcPr>
          <w:p w14:paraId="6B505C3B" w14:textId="77777777" w:rsidR="00334A88" w:rsidRPr="008A2DC6" w:rsidRDefault="00334A88" w:rsidP="00A872C2">
            <w:pPr>
              <w:jc w:val="left"/>
            </w:pPr>
          </w:p>
        </w:tc>
        <w:tc>
          <w:tcPr>
            <w:tcW w:w="517" w:type="dxa"/>
            <w:shd w:val="clear" w:color="auto" w:fill="92D050"/>
          </w:tcPr>
          <w:p w14:paraId="04EF213F" w14:textId="77777777" w:rsidR="00334A88" w:rsidRPr="008A2DC6" w:rsidRDefault="00334A88" w:rsidP="00A872C2">
            <w:pPr>
              <w:jc w:val="center"/>
            </w:pPr>
            <w:r w:rsidRPr="008A2DC6">
              <w:t>7</w:t>
            </w:r>
          </w:p>
        </w:tc>
        <w:tc>
          <w:tcPr>
            <w:tcW w:w="517" w:type="dxa"/>
            <w:shd w:val="clear" w:color="auto" w:fill="92D050"/>
          </w:tcPr>
          <w:p w14:paraId="64DB313F" w14:textId="77777777" w:rsidR="00334A88" w:rsidRPr="008A2DC6" w:rsidRDefault="00334A88" w:rsidP="00A872C2">
            <w:pPr>
              <w:jc w:val="center"/>
            </w:pPr>
            <w:r w:rsidRPr="008A2DC6">
              <w:t>14</w:t>
            </w:r>
          </w:p>
        </w:tc>
        <w:tc>
          <w:tcPr>
            <w:tcW w:w="517" w:type="dxa"/>
            <w:shd w:val="clear" w:color="auto" w:fill="92D050"/>
          </w:tcPr>
          <w:p w14:paraId="47FD230A" w14:textId="77777777" w:rsidR="00334A88" w:rsidRPr="008A2DC6" w:rsidRDefault="00334A88" w:rsidP="00A872C2">
            <w:pPr>
              <w:jc w:val="center"/>
            </w:pPr>
            <w:r w:rsidRPr="008A2DC6">
              <w:t>21</w:t>
            </w:r>
          </w:p>
        </w:tc>
        <w:tc>
          <w:tcPr>
            <w:tcW w:w="517" w:type="dxa"/>
            <w:shd w:val="clear" w:color="auto" w:fill="FFFF00"/>
          </w:tcPr>
          <w:p w14:paraId="553618B7" w14:textId="77777777" w:rsidR="00334A88" w:rsidRPr="008A2DC6" w:rsidRDefault="00334A88" w:rsidP="00A872C2">
            <w:pPr>
              <w:jc w:val="center"/>
            </w:pPr>
            <w:r w:rsidRPr="008A2DC6">
              <w:t>28</w:t>
            </w:r>
          </w:p>
        </w:tc>
        <w:tc>
          <w:tcPr>
            <w:tcW w:w="517" w:type="dxa"/>
            <w:shd w:val="clear" w:color="auto" w:fill="FFFF00"/>
          </w:tcPr>
          <w:p w14:paraId="175EF568" w14:textId="77777777" w:rsidR="00334A88" w:rsidRPr="008A2DC6" w:rsidRDefault="00334A88" w:rsidP="00A872C2">
            <w:pPr>
              <w:jc w:val="center"/>
            </w:pPr>
            <w:r w:rsidRPr="008A2DC6">
              <w:t>35</w:t>
            </w:r>
          </w:p>
        </w:tc>
        <w:tc>
          <w:tcPr>
            <w:tcW w:w="517" w:type="dxa"/>
            <w:shd w:val="clear" w:color="auto" w:fill="FFFF00"/>
          </w:tcPr>
          <w:p w14:paraId="30F950DA" w14:textId="77777777" w:rsidR="00334A88" w:rsidRPr="008A2DC6" w:rsidRDefault="00334A88" w:rsidP="00A872C2">
            <w:pPr>
              <w:jc w:val="center"/>
            </w:pPr>
            <w:r w:rsidRPr="008A2DC6">
              <w:t>42</w:t>
            </w:r>
          </w:p>
        </w:tc>
        <w:tc>
          <w:tcPr>
            <w:tcW w:w="517" w:type="dxa"/>
            <w:shd w:val="clear" w:color="auto" w:fill="FFFF00"/>
          </w:tcPr>
          <w:p w14:paraId="679F8C44" w14:textId="77777777" w:rsidR="00334A88" w:rsidRPr="008A2DC6" w:rsidRDefault="00334A88" w:rsidP="00A872C2">
            <w:pPr>
              <w:jc w:val="center"/>
            </w:pPr>
            <w:r w:rsidRPr="008A2DC6">
              <w:t>49</w:t>
            </w:r>
          </w:p>
        </w:tc>
        <w:tc>
          <w:tcPr>
            <w:tcW w:w="517" w:type="dxa"/>
            <w:shd w:val="clear" w:color="auto" w:fill="FFC000"/>
          </w:tcPr>
          <w:p w14:paraId="6ED4FB12" w14:textId="77777777" w:rsidR="00334A88" w:rsidRPr="008A2DC6" w:rsidRDefault="00334A88" w:rsidP="00A872C2">
            <w:pPr>
              <w:jc w:val="center"/>
            </w:pPr>
            <w:r w:rsidRPr="008A2DC6">
              <w:t>56</w:t>
            </w:r>
          </w:p>
        </w:tc>
        <w:tc>
          <w:tcPr>
            <w:tcW w:w="517" w:type="dxa"/>
            <w:shd w:val="clear" w:color="auto" w:fill="FFC000"/>
          </w:tcPr>
          <w:p w14:paraId="7BB0D0BB" w14:textId="77777777" w:rsidR="00334A88" w:rsidRPr="008A2DC6" w:rsidRDefault="00334A88" w:rsidP="00A872C2">
            <w:pPr>
              <w:jc w:val="center"/>
            </w:pPr>
            <w:r w:rsidRPr="008A2DC6">
              <w:t>63</w:t>
            </w:r>
          </w:p>
        </w:tc>
        <w:tc>
          <w:tcPr>
            <w:tcW w:w="517" w:type="dxa"/>
            <w:shd w:val="clear" w:color="auto" w:fill="FFC000"/>
          </w:tcPr>
          <w:p w14:paraId="4944850D" w14:textId="77777777" w:rsidR="00334A88" w:rsidRPr="008A2DC6" w:rsidRDefault="00334A88" w:rsidP="00A872C2">
            <w:pPr>
              <w:jc w:val="center"/>
            </w:pPr>
            <w:r w:rsidRPr="008A2DC6">
              <w:t>70</w:t>
            </w:r>
          </w:p>
        </w:tc>
      </w:tr>
      <w:tr w:rsidR="00334A88" w:rsidRPr="008A2DC6" w14:paraId="68130350" w14:textId="77777777" w:rsidTr="00A872C2">
        <w:trPr>
          <w:jc w:val="center"/>
        </w:trPr>
        <w:tc>
          <w:tcPr>
            <w:tcW w:w="387" w:type="dxa"/>
            <w:vMerge/>
            <w:shd w:val="clear" w:color="auto" w:fill="FFFFFF" w:themeFill="background1"/>
          </w:tcPr>
          <w:p w14:paraId="7BEFD627" w14:textId="77777777" w:rsidR="00334A88" w:rsidRPr="008A2DC6" w:rsidRDefault="00334A88" w:rsidP="00A872C2">
            <w:pPr>
              <w:jc w:val="left"/>
            </w:pPr>
          </w:p>
        </w:tc>
        <w:tc>
          <w:tcPr>
            <w:tcW w:w="517" w:type="dxa"/>
            <w:shd w:val="clear" w:color="auto" w:fill="92D050"/>
          </w:tcPr>
          <w:p w14:paraId="3AF77DF2" w14:textId="77777777" w:rsidR="00334A88" w:rsidRPr="008A2DC6" w:rsidRDefault="00334A88" w:rsidP="00A872C2">
            <w:pPr>
              <w:jc w:val="center"/>
            </w:pPr>
            <w:r w:rsidRPr="008A2DC6">
              <w:t>6</w:t>
            </w:r>
          </w:p>
        </w:tc>
        <w:tc>
          <w:tcPr>
            <w:tcW w:w="517" w:type="dxa"/>
            <w:shd w:val="clear" w:color="auto" w:fill="92D050"/>
          </w:tcPr>
          <w:p w14:paraId="43A7766B" w14:textId="77777777" w:rsidR="00334A88" w:rsidRPr="008A2DC6" w:rsidRDefault="00334A88" w:rsidP="00A872C2">
            <w:pPr>
              <w:jc w:val="center"/>
            </w:pPr>
            <w:r w:rsidRPr="008A2DC6">
              <w:t>12</w:t>
            </w:r>
          </w:p>
        </w:tc>
        <w:tc>
          <w:tcPr>
            <w:tcW w:w="517" w:type="dxa"/>
            <w:shd w:val="clear" w:color="auto" w:fill="92D050"/>
          </w:tcPr>
          <w:p w14:paraId="0A76C7FB" w14:textId="77777777" w:rsidR="00334A88" w:rsidRPr="008A2DC6" w:rsidRDefault="00334A88" w:rsidP="00A872C2">
            <w:pPr>
              <w:jc w:val="center"/>
            </w:pPr>
            <w:r w:rsidRPr="008A2DC6">
              <w:t>18</w:t>
            </w:r>
          </w:p>
        </w:tc>
        <w:tc>
          <w:tcPr>
            <w:tcW w:w="517" w:type="dxa"/>
            <w:shd w:val="clear" w:color="auto" w:fill="92D050"/>
          </w:tcPr>
          <w:p w14:paraId="09E2AB3F" w14:textId="77777777" w:rsidR="00334A88" w:rsidRPr="008A2DC6" w:rsidRDefault="00334A88" w:rsidP="00A872C2">
            <w:pPr>
              <w:jc w:val="center"/>
            </w:pPr>
            <w:r w:rsidRPr="008A2DC6">
              <w:t>24</w:t>
            </w:r>
          </w:p>
        </w:tc>
        <w:tc>
          <w:tcPr>
            <w:tcW w:w="517" w:type="dxa"/>
            <w:shd w:val="clear" w:color="auto" w:fill="FFFF00"/>
          </w:tcPr>
          <w:p w14:paraId="57D0592A" w14:textId="77777777" w:rsidR="00334A88" w:rsidRPr="008A2DC6" w:rsidRDefault="00334A88" w:rsidP="00A872C2">
            <w:pPr>
              <w:jc w:val="center"/>
            </w:pPr>
            <w:r w:rsidRPr="008A2DC6">
              <w:t>30</w:t>
            </w:r>
          </w:p>
        </w:tc>
        <w:tc>
          <w:tcPr>
            <w:tcW w:w="517" w:type="dxa"/>
            <w:shd w:val="clear" w:color="auto" w:fill="FFFF00"/>
          </w:tcPr>
          <w:p w14:paraId="6EF992D2" w14:textId="77777777" w:rsidR="00334A88" w:rsidRPr="008A2DC6" w:rsidRDefault="00334A88" w:rsidP="00A872C2">
            <w:pPr>
              <w:jc w:val="center"/>
            </w:pPr>
            <w:r w:rsidRPr="008A2DC6">
              <w:t>36</w:t>
            </w:r>
          </w:p>
        </w:tc>
        <w:tc>
          <w:tcPr>
            <w:tcW w:w="517" w:type="dxa"/>
            <w:shd w:val="clear" w:color="auto" w:fill="FFFF00"/>
          </w:tcPr>
          <w:p w14:paraId="77827813" w14:textId="77777777" w:rsidR="00334A88" w:rsidRPr="008A2DC6" w:rsidRDefault="00334A88" w:rsidP="00A872C2">
            <w:pPr>
              <w:jc w:val="center"/>
            </w:pPr>
            <w:r w:rsidRPr="008A2DC6">
              <w:t>42</w:t>
            </w:r>
          </w:p>
        </w:tc>
        <w:tc>
          <w:tcPr>
            <w:tcW w:w="517" w:type="dxa"/>
            <w:shd w:val="clear" w:color="auto" w:fill="FFFF00"/>
          </w:tcPr>
          <w:p w14:paraId="63455F6B" w14:textId="77777777" w:rsidR="00334A88" w:rsidRPr="008A2DC6" w:rsidRDefault="00334A88" w:rsidP="00A872C2">
            <w:pPr>
              <w:jc w:val="center"/>
            </w:pPr>
            <w:r w:rsidRPr="008A2DC6">
              <w:t>48</w:t>
            </w:r>
          </w:p>
        </w:tc>
        <w:tc>
          <w:tcPr>
            <w:tcW w:w="517" w:type="dxa"/>
            <w:shd w:val="clear" w:color="auto" w:fill="FFC000"/>
          </w:tcPr>
          <w:p w14:paraId="776A8913" w14:textId="77777777" w:rsidR="00334A88" w:rsidRPr="008A2DC6" w:rsidRDefault="00334A88" w:rsidP="00A872C2">
            <w:pPr>
              <w:jc w:val="center"/>
            </w:pPr>
            <w:r w:rsidRPr="008A2DC6">
              <w:t>54</w:t>
            </w:r>
          </w:p>
        </w:tc>
        <w:tc>
          <w:tcPr>
            <w:tcW w:w="517" w:type="dxa"/>
            <w:shd w:val="clear" w:color="auto" w:fill="FFC000"/>
          </w:tcPr>
          <w:p w14:paraId="4D198BBF" w14:textId="77777777" w:rsidR="00334A88" w:rsidRPr="008A2DC6" w:rsidRDefault="00334A88" w:rsidP="00A872C2">
            <w:pPr>
              <w:jc w:val="center"/>
            </w:pPr>
            <w:r w:rsidRPr="008A2DC6">
              <w:t>60</w:t>
            </w:r>
          </w:p>
        </w:tc>
      </w:tr>
      <w:tr w:rsidR="00334A88" w:rsidRPr="008A2DC6" w14:paraId="3EC2E178" w14:textId="77777777" w:rsidTr="00A872C2">
        <w:trPr>
          <w:jc w:val="center"/>
        </w:trPr>
        <w:tc>
          <w:tcPr>
            <w:tcW w:w="387" w:type="dxa"/>
            <w:vMerge/>
            <w:shd w:val="clear" w:color="auto" w:fill="FFFFFF" w:themeFill="background1"/>
          </w:tcPr>
          <w:p w14:paraId="3C73079A" w14:textId="77777777" w:rsidR="00334A88" w:rsidRPr="008A2DC6" w:rsidRDefault="00334A88" w:rsidP="00A872C2">
            <w:pPr>
              <w:jc w:val="left"/>
            </w:pPr>
          </w:p>
        </w:tc>
        <w:tc>
          <w:tcPr>
            <w:tcW w:w="517" w:type="dxa"/>
            <w:shd w:val="clear" w:color="auto" w:fill="92D050"/>
          </w:tcPr>
          <w:p w14:paraId="23F77C3C" w14:textId="77777777" w:rsidR="00334A88" w:rsidRPr="008A2DC6" w:rsidRDefault="00334A88" w:rsidP="00A872C2">
            <w:pPr>
              <w:jc w:val="center"/>
            </w:pPr>
            <w:r w:rsidRPr="008A2DC6">
              <w:t>5</w:t>
            </w:r>
          </w:p>
        </w:tc>
        <w:tc>
          <w:tcPr>
            <w:tcW w:w="517" w:type="dxa"/>
            <w:shd w:val="clear" w:color="auto" w:fill="92D050"/>
          </w:tcPr>
          <w:p w14:paraId="6865C2BE" w14:textId="77777777" w:rsidR="00334A88" w:rsidRPr="008A2DC6" w:rsidRDefault="00334A88" w:rsidP="00A872C2">
            <w:pPr>
              <w:jc w:val="center"/>
            </w:pPr>
            <w:r w:rsidRPr="008A2DC6">
              <w:t>10</w:t>
            </w:r>
          </w:p>
        </w:tc>
        <w:tc>
          <w:tcPr>
            <w:tcW w:w="517" w:type="dxa"/>
            <w:shd w:val="clear" w:color="auto" w:fill="92D050"/>
          </w:tcPr>
          <w:p w14:paraId="22ECCEAA" w14:textId="77777777" w:rsidR="00334A88" w:rsidRPr="008A2DC6" w:rsidRDefault="00334A88" w:rsidP="00A872C2">
            <w:pPr>
              <w:jc w:val="center"/>
            </w:pPr>
            <w:r w:rsidRPr="008A2DC6">
              <w:t>15</w:t>
            </w:r>
          </w:p>
        </w:tc>
        <w:tc>
          <w:tcPr>
            <w:tcW w:w="517" w:type="dxa"/>
            <w:shd w:val="clear" w:color="auto" w:fill="92D050"/>
          </w:tcPr>
          <w:p w14:paraId="71C108DA" w14:textId="77777777" w:rsidR="00334A88" w:rsidRPr="008A2DC6" w:rsidRDefault="00334A88" w:rsidP="00A872C2">
            <w:pPr>
              <w:jc w:val="center"/>
            </w:pPr>
            <w:r w:rsidRPr="008A2DC6">
              <w:t>20</w:t>
            </w:r>
          </w:p>
        </w:tc>
        <w:tc>
          <w:tcPr>
            <w:tcW w:w="517" w:type="dxa"/>
            <w:shd w:val="clear" w:color="auto" w:fill="FFFF00"/>
          </w:tcPr>
          <w:p w14:paraId="157D7CC6" w14:textId="77777777" w:rsidR="00334A88" w:rsidRPr="008A2DC6" w:rsidRDefault="00334A88" w:rsidP="00A872C2">
            <w:pPr>
              <w:jc w:val="center"/>
            </w:pPr>
            <w:r w:rsidRPr="008A2DC6">
              <w:t>25</w:t>
            </w:r>
          </w:p>
        </w:tc>
        <w:tc>
          <w:tcPr>
            <w:tcW w:w="517" w:type="dxa"/>
            <w:shd w:val="clear" w:color="auto" w:fill="FFFF00"/>
          </w:tcPr>
          <w:p w14:paraId="0A2868DD" w14:textId="77777777" w:rsidR="00334A88" w:rsidRPr="008A2DC6" w:rsidRDefault="00334A88" w:rsidP="00A872C2">
            <w:pPr>
              <w:jc w:val="center"/>
            </w:pPr>
            <w:r w:rsidRPr="008A2DC6">
              <w:t>30</w:t>
            </w:r>
          </w:p>
        </w:tc>
        <w:tc>
          <w:tcPr>
            <w:tcW w:w="517" w:type="dxa"/>
            <w:shd w:val="clear" w:color="auto" w:fill="FFFF00"/>
          </w:tcPr>
          <w:p w14:paraId="4B4B8ADA" w14:textId="77777777" w:rsidR="00334A88" w:rsidRPr="008A2DC6" w:rsidRDefault="00334A88" w:rsidP="00A872C2">
            <w:pPr>
              <w:jc w:val="center"/>
            </w:pPr>
            <w:r w:rsidRPr="008A2DC6">
              <w:t>35</w:t>
            </w:r>
          </w:p>
        </w:tc>
        <w:tc>
          <w:tcPr>
            <w:tcW w:w="517" w:type="dxa"/>
            <w:shd w:val="clear" w:color="auto" w:fill="FFFF00"/>
          </w:tcPr>
          <w:p w14:paraId="2C1A9940" w14:textId="77777777" w:rsidR="00334A88" w:rsidRPr="008A2DC6" w:rsidRDefault="00334A88" w:rsidP="00A872C2">
            <w:pPr>
              <w:jc w:val="center"/>
            </w:pPr>
            <w:r w:rsidRPr="008A2DC6">
              <w:t>40</w:t>
            </w:r>
          </w:p>
        </w:tc>
        <w:tc>
          <w:tcPr>
            <w:tcW w:w="517" w:type="dxa"/>
            <w:shd w:val="clear" w:color="auto" w:fill="FFFF00"/>
          </w:tcPr>
          <w:p w14:paraId="1375EDBE" w14:textId="77777777" w:rsidR="00334A88" w:rsidRPr="008A2DC6" w:rsidRDefault="00334A88" w:rsidP="00A872C2">
            <w:pPr>
              <w:jc w:val="center"/>
            </w:pPr>
            <w:r w:rsidRPr="008A2DC6">
              <w:t>45</w:t>
            </w:r>
          </w:p>
        </w:tc>
        <w:tc>
          <w:tcPr>
            <w:tcW w:w="517" w:type="dxa"/>
            <w:shd w:val="clear" w:color="auto" w:fill="FFC000"/>
          </w:tcPr>
          <w:p w14:paraId="2E2E3C0F" w14:textId="77777777" w:rsidR="00334A88" w:rsidRPr="008A2DC6" w:rsidRDefault="00334A88" w:rsidP="00A872C2">
            <w:pPr>
              <w:jc w:val="center"/>
            </w:pPr>
            <w:r w:rsidRPr="008A2DC6">
              <w:t>50</w:t>
            </w:r>
          </w:p>
        </w:tc>
      </w:tr>
      <w:tr w:rsidR="00334A88" w:rsidRPr="008A2DC6" w14:paraId="4DD6C8FB" w14:textId="77777777" w:rsidTr="00A872C2">
        <w:trPr>
          <w:jc w:val="center"/>
        </w:trPr>
        <w:tc>
          <w:tcPr>
            <w:tcW w:w="387" w:type="dxa"/>
            <w:vMerge/>
            <w:shd w:val="clear" w:color="auto" w:fill="FFFFFF" w:themeFill="background1"/>
          </w:tcPr>
          <w:p w14:paraId="55508026" w14:textId="77777777" w:rsidR="00334A88" w:rsidRPr="008A2DC6" w:rsidRDefault="00334A88" w:rsidP="00A872C2">
            <w:pPr>
              <w:jc w:val="left"/>
            </w:pPr>
          </w:p>
        </w:tc>
        <w:tc>
          <w:tcPr>
            <w:tcW w:w="517" w:type="dxa"/>
            <w:shd w:val="clear" w:color="auto" w:fill="92D050"/>
          </w:tcPr>
          <w:p w14:paraId="0C511D8E" w14:textId="77777777" w:rsidR="00334A88" w:rsidRPr="008A2DC6" w:rsidRDefault="00334A88" w:rsidP="00A872C2">
            <w:pPr>
              <w:jc w:val="center"/>
            </w:pPr>
            <w:r w:rsidRPr="008A2DC6">
              <w:t>4</w:t>
            </w:r>
          </w:p>
        </w:tc>
        <w:tc>
          <w:tcPr>
            <w:tcW w:w="517" w:type="dxa"/>
            <w:shd w:val="clear" w:color="auto" w:fill="92D050"/>
          </w:tcPr>
          <w:p w14:paraId="1EE78BB5" w14:textId="77777777" w:rsidR="00334A88" w:rsidRPr="008A2DC6" w:rsidRDefault="00334A88" w:rsidP="00A872C2">
            <w:pPr>
              <w:jc w:val="center"/>
            </w:pPr>
            <w:r w:rsidRPr="008A2DC6">
              <w:t>8</w:t>
            </w:r>
          </w:p>
        </w:tc>
        <w:tc>
          <w:tcPr>
            <w:tcW w:w="517" w:type="dxa"/>
            <w:shd w:val="clear" w:color="auto" w:fill="92D050"/>
          </w:tcPr>
          <w:p w14:paraId="33E75E4B" w14:textId="77777777" w:rsidR="00334A88" w:rsidRPr="008A2DC6" w:rsidRDefault="00334A88" w:rsidP="00A872C2">
            <w:pPr>
              <w:jc w:val="center"/>
            </w:pPr>
            <w:r w:rsidRPr="008A2DC6">
              <w:t>12</w:t>
            </w:r>
          </w:p>
        </w:tc>
        <w:tc>
          <w:tcPr>
            <w:tcW w:w="517" w:type="dxa"/>
            <w:shd w:val="clear" w:color="auto" w:fill="92D050"/>
          </w:tcPr>
          <w:p w14:paraId="4E193E49" w14:textId="77777777" w:rsidR="00334A88" w:rsidRPr="008A2DC6" w:rsidRDefault="00334A88" w:rsidP="00A872C2">
            <w:pPr>
              <w:jc w:val="center"/>
            </w:pPr>
            <w:r w:rsidRPr="008A2DC6">
              <w:t>16</w:t>
            </w:r>
          </w:p>
        </w:tc>
        <w:tc>
          <w:tcPr>
            <w:tcW w:w="517" w:type="dxa"/>
            <w:shd w:val="clear" w:color="auto" w:fill="92D050"/>
          </w:tcPr>
          <w:p w14:paraId="39774498" w14:textId="77777777" w:rsidR="00334A88" w:rsidRPr="008A2DC6" w:rsidRDefault="00334A88" w:rsidP="00A872C2">
            <w:pPr>
              <w:jc w:val="center"/>
            </w:pPr>
            <w:r w:rsidRPr="008A2DC6">
              <w:t>20</w:t>
            </w:r>
          </w:p>
        </w:tc>
        <w:tc>
          <w:tcPr>
            <w:tcW w:w="517" w:type="dxa"/>
            <w:shd w:val="clear" w:color="auto" w:fill="92D050"/>
          </w:tcPr>
          <w:p w14:paraId="2F8F5F66" w14:textId="77777777" w:rsidR="00334A88" w:rsidRPr="008A2DC6" w:rsidRDefault="00334A88" w:rsidP="00A872C2">
            <w:pPr>
              <w:jc w:val="center"/>
            </w:pPr>
            <w:r w:rsidRPr="008A2DC6">
              <w:t>24</w:t>
            </w:r>
          </w:p>
        </w:tc>
        <w:tc>
          <w:tcPr>
            <w:tcW w:w="517" w:type="dxa"/>
            <w:shd w:val="clear" w:color="auto" w:fill="FFFF00"/>
          </w:tcPr>
          <w:p w14:paraId="2A4BA047" w14:textId="77777777" w:rsidR="00334A88" w:rsidRPr="008A2DC6" w:rsidRDefault="00334A88" w:rsidP="00A872C2">
            <w:pPr>
              <w:jc w:val="center"/>
            </w:pPr>
            <w:r w:rsidRPr="008A2DC6">
              <w:t>28</w:t>
            </w:r>
          </w:p>
        </w:tc>
        <w:tc>
          <w:tcPr>
            <w:tcW w:w="517" w:type="dxa"/>
            <w:shd w:val="clear" w:color="auto" w:fill="FFFF00"/>
          </w:tcPr>
          <w:p w14:paraId="32507D90" w14:textId="77777777" w:rsidR="00334A88" w:rsidRPr="008A2DC6" w:rsidRDefault="00334A88" w:rsidP="00A872C2">
            <w:pPr>
              <w:jc w:val="center"/>
            </w:pPr>
            <w:r w:rsidRPr="008A2DC6">
              <w:t>32</w:t>
            </w:r>
          </w:p>
        </w:tc>
        <w:tc>
          <w:tcPr>
            <w:tcW w:w="517" w:type="dxa"/>
            <w:shd w:val="clear" w:color="auto" w:fill="FFFF00"/>
          </w:tcPr>
          <w:p w14:paraId="54EDD8E0" w14:textId="77777777" w:rsidR="00334A88" w:rsidRPr="008A2DC6" w:rsidRDefault="00334A88" w:rsidP="00A872C2">
            <w:pPr>
              <w:jc w:val="center"/>
            </w:pPr>
            <w:r w:rsidRPr="008A2DC6">
              <w:t>36</w:t>
            </w:r>
          </w:p>
        </w:tc>
        <w:tc>
          <w:tcPr>
            <w:tcW w:w="517" w:type="dxa"/>
            <w:shd w:val="clear" w:color="auto" w:fill="FFFF00"/>
          </w:tcPr>
          <w:p w14:paraId="43A5E1DE" w14:textId="77777777" w:rsidR="00334A88" w:rsidRPr="008A2DC6" w:rsidRDefault="00334A88" w:rsidP="00A872C2">
            <w:pPr>
              <w:jc w:val="center"/>
            </w:pPr>
            <w:r w:rsidRPr="008A2DC6">
              <w:t>40</w:t>
            </w:r>
          </w:p>
        </w:tc>
      </w:tr>
      <w:tr w:rsidR="00334A88" w:rsidRPr="008A2DC6" w14:paraId="7F16AC86" w14:textId="77777777" w:rsidTr="00A872C2">
        <w:trPr>
          <w:jc w:val="center"/>
        </w:trPr>
        <w:tc>
          <w:tcPr>
            <w:tcW w:w="387" w:type="dxa"/>
            <w:vMerge/>
            <w:shd w:val="clear" w:color="auto" w:fill="FFFFFF" w:themeFill="background1"/>
          </w:tcPr>
          <w:p w14:paraId="43E91C07" w14:textId="77777777" w:rsidR="00334A88" w:rsidRPr="008A2DC6" w:rsidRDefault="00334A88" w:rsidP="00A872C2">
            <w:pPr>
              <w:jc w:val="left"/>
            </w:pPr>
          </w:p>
        </w:tc>
        <w:tc>
          <w:tcPr>
            <w:tcW w:w="517" w:type="dxa"/>
            <w:shd w:val="clear" w:color="auto" w:fill="92D050"/>
          </w:tcPr>
          <w:p w14:paraId="60E50006" w14:textId="77777777" w:rsidR="00334A88" w:rsidRPr="008A2DC6" w:rsidRDefault="00334A88" w:rsidP="00A872C2">
            <w:pPr>
              <w:jc w:val="center"/>
            </w:pPr>
            <w:r w:rsidRPr="008A2DC6">
              <w:t>3</w:t>
            </w:r>
          </w:p>
        </w:tc>
        <w:tc>
          <w:tcPr>
            <w:tcW w:w="517" w:type="dxa"/>
            <w:shd w:val="clear" w:color="auto" w:fill="92D050"/>
          </w:tcPr>
          <w:p w14:paraId="4C3ECAF5" w14:textId="77777777" w:rsidR="00334A88" w:rsidRPr="008A2DC6" w:rsidRDefault="00334A88" w:rsidP="00A872C2">
            <w:pPr>
              <w:jc w:val="center"/>
            </w:pPr>
            <w:r w:rsidRPr="008A2DC6">
              <w:t>6</w:t>
            </w:r>
          </w:p>
        </w:tc>
        <w:tc>
          <w:tcPr>
            <w:tcW w:w="517" w:type="dxa"/>
            <w:shd w:val="clear" w:color="auto" w:fill="92D050"/>
          </w:tcPr>
          <w:p w14:paraId="1FFCFE9C" w14:textId="77777777" w:rsidR="00334A88" w:rsidRPr="008A2DC6" w:rsidRDefault="00334A88" w:rsidP="00A872C2">
            <w:pPr>
              <w:jc w:val="center"/>
            </w:pPr>
            <w:r w:rsidRPr="008A2DC6">
              <w:t>9</w:t>
            </w:r>
          </w:p>
        </w:tc>
        <w:tc>
          <w:tcPr>
            <w:tcW w:w="517" w:type="dxa"/>
            <w:shd w:val="clear" w:color="auto" w:fill="92D050"/>
          </w:tcPr>
          <w:p w14:paraId="47C065D6" w14:textId="77777777" w:rsidR="00334A88" w:rsidRPr="008A2DC6" w:rsidRDefault="00334A88" w:rsidP="00A872C2">
            <w:pPr>
              <w:jc w:val="center"/>
            </w:pPr>
            <w:r w:rsidRPr="008A2DC6">
              <w:t>12</w:t>
            </w:r>
          </w:p>
        </w:tc>
        <w:tc>
          <w:tcPr>
            <w:tcW w:w="517" w:type="dxa"/>
            <w:shd w:val="clear" w:color="auto" w:fill="92D050"/>
          </w:tcPr>
          <w:p w14:paraId="3B0FA14D" w14:textId="77777777" w:rsidR="00334A88" w:rsidRPr="008A2DC6" w:rsidRDefault="00334A88" w:rsidP="00A872C2">
            <w:pPr>
              <w:jc w:val="center"/>
            </w:pPr>
            <w:r w:rsidRPr="008A2DC6">
              <w:t>15</w:t>
            </w:r>
          </w:p>
        </w:tc>
        <w:tc>
          <w:tcPr>
            <w:tcW w:w="517" w:type="dxa"/>
            <w:shd w:val="clear" w:color="auto" w:fill="92D050"/>
          </w:tcPr>
          <w:p w14:paraId="61ABE9A7" w14:textId="77777777" w:rsidR="00334A88" w:rsidRPr="008A2DC6" w:rsidRDefault="00334A88" w:rsidP="00A872C2">
            <w:pPr>
              <w:jc w:val="center"/>
            </w:pPr>
            <w:r w:rsidRPr="008A2DC6">
              <w:t>18</w:t>
            </w:r>
          </w:p>
        </w:tc>
        <w:tc>
          <w:tcPr>
            <w:tcW w:w="517" w:type="dxa"/>
            <w:shd w:val="clear" w:color="auto" w:fill="92D050"/>
          </w:tcPr>
          <w:p w14:paraId="1B2F8DFA" w14:textId="77777777" w:rsidR="00334A88" w:rsidRPr="008A2DC6" w:rsidRDefault="00334A88" w:rsidP="00A872C2">
            <w:pPr>
              <w:jc w:val="center"/>
            </w:pPr>
            <w:r w:rsidRPr="008A2DC6">
              <w:t>21</w:t>
            </w:r>
          </w:p>
        </w:tc>
        <w:tc>
          <w:tcPr>
            <w:tcW w:w="517" w:type="dxa"/>
            <w:shd w:val="clear" w:color="auto" w:fill="92D050"/>
          </w:tcPr>
          <w:p w14:paraId="0A666F4A" w14:textId="77777777" w:rsidR="00334A88" w:rsidRPr="008A2DC6" w:rsidRDefault="00334A88" w:rsidP="00A872C2">
            <w:pPr>
              <w:jc w:val="center"/>
            </w:pPr>
            <w:r w:rsidRPr="008A2DC6">
              <w:t>24</w:t>
            </w:r>
          </w:p>
        </w:tc>
        <w:tc>
          <w:tcPr>
            <w:tcW w:w="517" w:type="dxa"/>
            <w:shd w:val="clear" w:color="auto" w:fill="FFFF00"/>
          </w:tcPr>
          <w:p w14:paraId="16C81798" w14:textId="77777777" w:rsidR="00334A88" w:rsidRPr="008A2DC6" w:rsidRDefault="00334A88" w:rsidP="00A872C2">
            <w:pPr>
              <w:jc w:val="center"/>
            </w:pPr>
            <w:r w:rsidRPr="008A2DC6">
              <w:t>27</w:t>
            </w:r>
          </w:p>
        </w:tc>
        <w:tc>
          <w:tcPr>
            <w:tcW w:w="517" w:type="dxa"/>
            <w:shd w:val="clear" w:color="auto" w:fill="FFFF00"/>
          </w:tcPr>
          <w:p w14:paraId="153DCE0E" w14:textId="77777777" w:rsidR="00334A88" w:rsidRPr="008A2DC6" w:rsidRDefault="00334A88" w:rsidP="00A872C2">
            <w:pPr>
              <w:jc w:val="center"/>
            </w:pPr>
            <w:r w:rsidRPr="008A2DC6">
              <w:t>30</w:t>
            </w:r>
          </w:p>
        </w:tc>
      </w:tr>
      <w:tr w:rsidR="00334A88" w:rsidRPr="008A2DC6" w14:paraId="4B281EFF" w14:textId="77777777" w:rsidTr="00A872C2">
        <w:trPr>
          <w:jc w:val="center"/>
        </w:trPr>
        <w:tc>
          <w:tcPr>
            <w:tcW w:w="387" w:type="dxa"/>
            <w:vMerge/>
            <w:shd w:val="clear" w:color="auto" w:fill="FFFFFF" w:themeFill="background1"/>
          </w:tcPr>
          <w:p w14:paraId="23E58EC9" w14:textId="77777777" w:rsidR="00334A88" w:rsidRPr="008A2DC6" w:rsidRDefault="00334A88" w:rsidP="00A872C2">
            <w:pPr>
              <w:jc w:val="left"/>
            </w:pPr>
          </w:p>
        </w:tc>
        <w:tc>
          <w:tcPr>
            <w:tcW w:w="517" w:type="dxa"/>
            <w:shd w:val="clear" w:color="auto" w:fill="92D050"/>
          </w:tcPr>
          <w:p w14:paraId="38A38378" w14:textId="77777777" w:rsidR="00334A88" w:rsidRPr="008A2DC6" w:rsidRDefault="00334A88" w:rsidP="00A872C2">
            <w:pPr>
              <w:jc w:val="center"/>
            </w:pPr>
            <w:r w:rsidRPr="008A2DC6">
              <w:t>2</w:t>
            </w:r>
          </w:p>
        </w:tc>
        <w:tc>
          <w:tcPr>
            <w:tcW w:w="517" w:type="dxa"/>
            <w:shd w:val="clear" w:color="auto" w:fill="92D050"/>
          </w:tcPr>
          <w:p w14:paraId="73F77340" w14:textId="77777777" w:rsidR="00334A88" w:rsidRPr="008A2DC6" w:rsidRDefault="00334A88" w:rsidP="00A872C2">
            <w:pPr>
              <w:jc w:val="center"/>
            </w:pPr>
            <w:r w:rsidRPr="008A2DC6">
              <w:t>4</w:t>
            </w:r>
          </w:p>
        </w:tc>
        <w:tc>
          <w:tcPr>
            <w:tcW w:w="517" w:type="dxa"/>
            <w:shd w:val="clear" w:color="auto" w:fill="92D050"/>
          </w:tcPr>
          <w:p w14:paraId="770D4439" w14:textId="77777777" w:rsidR="00334A88" w:rsidRPr="008A2DC6" w:rsidRDefault="00334A88" w:rsidP="00A872C2">
            <w:pPr>
              <w:jc w:val="center"/>
            </w:pPr>
            <w:r w:rsidRPr="008A2DC6">
              <w:t>6</w:t>
            </w:r>
          </w:p>
        </w:tc>
        <w:tc>
          <w:tcPr>
            <w:tcW w:w="517" w:type="dxa"/>
            <w:shd w:val="clear" w:color="auto" w:fill="92D050"/>
          </w:tcPr>
          <w:p w14:paraId="52FF4727" w14:textId="77777777" w:rsidR="00334A88" w:rsidRPr="008A2DC6" w:rsidRDefault="00334A88" w:rsidP="00A872C2">
            <w:pPr>
              <w:jc w:val="center"/>
            </w:pPr>
            <w:r w:rsidRPr="008A2DC6">
              <w:t>8</w:t>
            </w:r>
          </w:p>
        </w:tc>
        <w:tc>
          <w:tcPr>
            <w:tcW w:w="517" w:type="dxa"/>
            <w:shd w:val="clear" w:color="auto" w:fill="92D050"/>
          </w:tcPr>
          <w:p w14:paraId="2659742B" w14:textId="77777777" w:rsidR="00334A88" w:rsidRPr="008A2DC6" w:rsidRDefault="00334A88" w:rsidP="00A872C2">
            <w:pPr>
              <w:jc w:val="center"/>
            </w:pPr>
            <w:r w:rsidRPr="008A2DC6">
              <w:t>10</w:t>
            </w:r>
          </w:p>
        </w:tc>
        <w:tc>
          <w:tcPr>
            <w:tcW w:w="517" w:type="dxa"/>
            <w:shd w:val="clear" w:color="auto" w:fill="92D050"/>
          </w:tcPr>
          <w:p w14:paraId="50CA56A8" w14:textId="77777777" w:rsidR="00334A88" w:rsidRPr="008A2DC6" w:rsidRDefault="00334A88" w:rsidP="00A872C2">
            <w:pPr>
              <w:jc w:val="center"/>
            </w:pPr>
            <w:r w:rsidRPr="008A2DC6">
              <w:t>12</w:t>
            </w:r>
          </w:p>
        </w:tc>
        <w:tc>
          <w:tcPr>
            <w:tcW w:w="517" w:type="dxa"/>
            <w:shd w:val="clear" w:color="auto" w:fill="92D050"/>
          </w:tcPr>
          <w:p w14:paraId="7D6B5E58" w14:textId="77777777" w:rsidR="00334A88" w:rsidRPr="008A2DC6" w:rsidRDefault="00334A88" w:rsidP="00A872C2">
            <w:pPr>
              <w:jc w:val="center"/>
            </w:pPr>
            <w:r w:rsidRPr="008A2DC6">
              <w:t>14</w:t>
            </w:r>
          </w:p>
        </w:tc>
        <w:tc>
          <w:tcPr>
            <w:tcW w:w="517" w:type="dxa"/>
            <w:shd w:val="clear" w:color="auto" w:fill="92D050"/>
          </w:tcPr>
          <w:p w14:paraId="1B0F44B7" w14:textId="77777777" w:rsidR="00334A88" w:rsidRPr="008A2DC6" w:rsidRDefault="00334A88" w:rsidP="00A872C2">
            <w:pPr>
              <w:jc w:val="center"/>
            </w:pPr>
            <w:r w:rsidRPr="008A2DC6">
              <w:t>16</w:t>
            </w:r>
          </w:p>
        </w:tc>
        <w:tc>
          <w:tcPr>
            <w:tcW w:w="517" w:type="dxa"/>
            <w:shd w:val="clear" w:color="auto" w:fill="92D050"/>
          </w:tcPr>
          <w:p w14:paraId="33CBE5F1" w14:textId="77777777" w:rsidR="00334A88" w:rsidRPr="008A2DC6" w:rsidRDefault="00334A88" w:rsidP="00A872C2">
            <w:pPr>
              <w:jc w:val="center"/>
            </w:pPr>
            <w:r w:rsidRPr="008A2DC6">
              <w:t>18</w:t>
            </w:r>
          </w:p>
        </w:tc>
        <w:tc>
          <w:tcPr>
            <w:tcW w:w="517" w:type="dxa"/>
            <w:shd w:val="clear" w:color="auto" w:fill="92D050"/>
          </w:tcPr>
          <w:p w14:paraId="304110A4" w14:textId="77777777" w:rsidR="00334A88" w:rsidRPr="008A2DC6" w:rsidRDefault="00334A88" w:rsidP="00A872C2">
            <w:pPr>
              <w:jc w:val="center"/>
            </w:pPr>
            <w:r w:rsidRPr="008A2DC6">
              <w:t>20</w:t>
            </w:r>
          </w:p>
        </w:tc>
      </w:tr>
      <w:tr w:rsidR="00334A88" w:rsidRPr="008A2DC6" w14:paraId="41C2AC84" w14:textId="77777777" w:rsidTr="00A872C2">
        <w:trPr>
          <w:trHeight w:val="50"/>
          <w:jc w:val="center"/>
        </w:trPr>
        <w:tc>
          <w:tcPr>
            <w:tcW w:w="387" w:type="dxa"/>
            <w:vMerge/>
            <w:shd w:val="clear" w:color="auto" w:fill="FFFFFF" w:themeFill="background1"/>
          </w:tcPr>
          <w:p w14:paraId="5D39F80C" w14:textId="77777777" w:rsidR="00334A88" w:rsidRPr="008A2DC6" w:rsidRDefault="00334A88" w:rsidP="00A872C2">
            <w:pPr>
              <w:jc w:val="left"/>
            </w:pPr>
          </w:p>
        </w:tc>
        <w:tc>
          <w:tcPr>
            <w:tcW w:w="517" w:type="dxa"/>
            <w:shd w:val="clear" w:color="auto" w:fill="92D050"/>
          </w:tcPr>
          <w:p w14:paraId="13EDD548" w14:textId="77777777" w:rsidR="00334A88" w:rsidRPr="008A2DC6" w:rsidRDefault="00334A88" w:rsidP="00A872C2">
            <w:pPr>
              <w:jc w:val="center"/>
            </w:pPr>
            <w:r w:rsidRPr="008A2DC6">
              <w:t>1</w:t>
            </w:r>
          </w:p>
        </w:tc>
        <w:tc>
          <w:tcPr>
            <w:tcW w:w="517" w:type="dxa"/>
            <w:shd w:val="clear" w:color="auto" w:fill="92D050"/>
          </w:tcPr>
          <w:p w14:paraId="261BD45E" w14:textId="77777777" w:rsidR="00334A88" w:rsidRPr="008A2DC6" w:rsidRDefault="00334A88" w:rsidP="00A872C2">
            <w:pPr>
              <w:jc w:val="center"/>
            </w:pPr>
            <w:r w:rsidRPr="008A2DC6">
              <w:t>2</w:t>
            </w:r>
          </w:p>
        </w:tc>
        <w:tc>
          <w:tcPr>
            <w:tcW w:w="517" w:type="dxa"/>
            <w:shd w:val="clear" w:color="auto" w:fill="92D050"/>
          </w:tcPr>
          <w:p w14:paraId="14AEF03E" w14:textId="77777777" w:rsidR="00334A88" w:rsidRPr="008A2DC6" w:rsidRDefault="00334A88" w:rsidP="00A872C2">
            <w:pPr>
              <w:jc w:val="center"/>
            </w:pPr>
            <w:r w:rsidRPr="008A2DC6">
              <w:t>3</w:t>
            </w:r>
          </w:p>
        </w:tc>
        <w:tc>
          <w:tcPr>
            <w:tcW w:w="517" w:type="dxa"/>
            <w:shd w:val="clear" w:color="auto" w:fill="92D050"/>
          </w:tcPr>
          <w:p w14:paraId="1643490D" w14:textId="77777777" w:rsidR="00334A88" w:rsidRPr="008A2DC6" w:rsidRDefault="00334A88" w:rsidP="00A872C2">
            <w:pPr>
              <w:jc w:val="center"/>
            </w:pPr>
            <w:r w:rsidRPr="008A2DC6">
              <w:t>4</w:t>
            </w:r>
          </w:p>
        </w:tc>
        <w:tc>
          <w:tcPr>
            <w:tcW w:w="517" w:type="dxa"/>
            <w:shd w:val="clear" w:color="auto" w:fill="92D050"/>
          </w:tcPr>
          <w:p w14:paraId="2E5638FD" w14:textId="77777777" w:rsidR="00334A88" w:rsidRPr="008A2DC6" w:rsidRDefault="00334A88" w:rsidP="00A872C2">
            <w:pPr>
              <w:jc w:val="center"/>
            </w:pPr>
            <w:r w:rsidRPr="008A2DC6">
              <w:t>5</w:t>
            </w:r>
          </w:p>
        </w:tc>
        <w:tc>
          <w:tcPr>
            <w:tcW w:w="517" w:type="dxa"/>
            <w:shd w:val="clear" w:color="auto" w:fill="92D050"/>
          </w:tcPr>
          <w:p w14:paraId="3CD4FD67" w14:textId="77777777" w:rsidR="00334A88" w:rsidRPr="008A2DC6" w:rsidRDefault="00334A88" w:rsidP="00A872C2">
            <w:pPr>
              <w:jc w:val="center"/>
            </w:pPr>
            <w:r w:rsidRPr="008A2DC6">
              <w:t>6</w:t>
            </w:r>
          </w:p>
        </w:tc>
        <w:tc>
          <w:tcPr>
            <w:tcW w:w="517" w:type="dxa"/>
            <w:shd w:val="clear" w:color="auto" w:fill="92D050"/>
          </w:tcPr>
          <w:p w14:paraId="520A3ACC" w14:textId="77777777" w:rsidR="00334A88" w:rsidRPr="008A2DC6" w:rsidRDefault="00334A88" w:rsidP="00A872C2">
            <w:pPr>
              <w:jc w:val="center"/>
            </w:pPr>
            <w:r w:rsidRPr="008A2DC6">
              <w:t>7</w:t>
            </w:r>
          </w:p>
        </w:tc>
        <w:tc>
          <w:tcPr>
            <w:tcW w:w="517" w:type="dxa"/>
            <w:shd w:val="clear" w:color="auto" w:fill="92D050"/>
          </w:tcPr>
          <w:p w14:paraId="6D7E90E7" w14:textId="77777777" w:rsidR="00334A88" w:rsidRPr="008A2DC6" w:rsidRDefault="00334A88" w:rsidP="00A872C2">
            <w:pPr>
              <w:jc w:val="center"/>
            </w:pPr>
            <w:r w:rsidRPr="008A2DC6">
              <w:t>8</w:t>
            </w:r>
          </w:p>
        </w:tc>
        <w:tc>
          <w:tcPr>
            <w:tcW w:w="517" w:type="dxa"/>
            <w:shd w:val="clear" w:color="auto" w:fill="92D050"/>
          </w:tcPr>
          <w:p w14:paraId="2B89E43B" w14:textId="77777777" w:rsidR="00334A88" w:rsidRPr="008A2DC6" w:rsidRDefault="00334A88" w:rsidP="00A872C2">
            <w:pPr>
              <w:jc w:val="center"/>
            </w:pPr>
            <w:r w:rsidRPr="008A2DC6">
              <w:t>9</w:t>
            </w:r>
          </w:p>
        </w:tc>
        <w:tc>
          <w:tcPr>
            <w:tcW w:w="517" w:type="dxa"/>
            <w:shd w:val="clear" w:color="auto" w:fill="92D050"/>
          </w:tcPr>
          <w:p w14:paraId="64057E14" w14:textId="77777777" w:rsidR="00334A88" w:rsidRPr="008A2DC6" w:rsidRDefault="00334A88" w:rsidP="00A872C2">
            <w:pPr>
              <w:jc w:val="center"/>
            </w:pPr>
            <w:r w:rsidRPr="008A2DC6">
              <w:t>10</w:t>
            </w:r>
          </w:p>
        </w:tc>
      </w:tr>
      <w:tr w:rsidR="00334A88" w:rsidRPr="008A2DC6" w14:paraId="60E4836C" w14:textId="77777777" w:rsidTr="00A872C2">
        <w:trPr>
          <w:trHeight w:val="50"/>
          <w:jc w:val="center"/>
        </w:trPr>
        <w:tc>
          <w:tcPr>
            <w:tcW w:w="387" w:type="dxa"/>
            <w:shd w:val="clear" w:color="auto" w:fill="FFFFFF" w:themeFill="background1"/>
          </w:tcPr>
          <w:p w14:paraId="64612954" w14:textId="77777777" w:rsidR="00334A88" w:rsidRPr="008A2DC6" w:rsidRDefault="00334A88" w:rsidP="00A872C2">
            <w:pPr>
              <w:jc w:val="left"/>
            </w:pPr>
          </w:p>
        </w:tc>
        <w:tc>
          <w:tcPr>
            <w:tcW w:w="5170" w:type="dxa"/>
            <w:gridSpan w:val="10"/>
            <w:shd w:val="clear" w:color="auto" w:fill="FFFFFF" w:themeFill="background1"/>
          </w:tcPr>
          <w:p w14:paraId="7E7B7280" w14:textId="77777777" w:rsidR="00334A88" w:rsidRPr="008A2DC6" w:rsidRDefault="00334A88" w:rsidP="00A872C2">
            <w:pPr>
              <w:jc w:val="left"/>
            </w:pPr>
            <w:r>
              <w:t>IP</w:t>
            </w:r>
          </w:p>
        </w:tc>
      </w:tr>
    </w:tbl>
    <w:p w14:paraId="580049E9" w14:textId="191B4177" w:rsidR="00334A88" w:rsidRPr="00334A88" w:rsidRDefault="00334A88" w:rsidP="00334A88">
      <w:pPr>
        <w:pStyle w:val="CETBodytext"/>
        <w:jc w:val="center"/>
        <w:rPr>
          <w:i/>
          <w:iCs/>
          <w:lang w:val="en-GB"/>
        </w:rPr>
      </w:pPr>
      <w:r w:rsidRPr="00334A88">
        <w:rPr>
          <w:i/>
          <w:iCs/>
          <w:lang w:val="en-GB"/>
        </w:rPr>
        <w:t>Figure 1. Electrical Blackout Risk Level Map, IReb.</w:t>
      </w:r>
    </w:p>
    <w:p w14:paraId="5AAD0605" w14:textId="77777777" w:rsidR="00334A88" w:rsidRDefault="00334A88" w:rsidP="005E2C10">
      <w:pPr>
        <w:pStyle w:val="CETBodytext"/>
        <w:rPr>
          <w:lang w:val="en-GB"/>
        </w:rPr>
      </w:pPr>
    </w:p>
    <w:p w14:paraId="2B4292E8" w14:textId="62F07158" w:rsidR="00F73D81" w:rsidRPr="008A2DC6" w:rsidRDefault="00F73D81" w:rsidP="00FF3606">
      <w:pPr>
        <w:pStyle w:val="CETHeading1"/>
        <w:jc w:val="both"/>
        <w:rPr>
          <w:lang w:val="en-GB"/>
        </w:rPr>
      </w:pPr>
      <w:r w:rsidRPr="008A2DC6">
        <w:rPr>
          <w:lang w:val="en-GB"/>
        </w:rPr>
        <w:lastRenderedPageBreak/>
        <w:t>Preventive, Protective and Mitigation Actions to Reduce</w:t>
      </w:r>
      <w:r w:rsidR="005B791F" w:rsidRPr="008A2DC6">
        <w:rPr>
          <w:lang w:val="en-GB"/>
        </w:rPr>
        <w:t xml:space="preserve"> IR</w:t>
      </w:r>
      <w:r w:rsidR="005E2C10" w:rsidRPr="008A2DC6">
        <w:rPr>
          <w:vertAlign w:val="subscript"/>
          <w:lang w:val="en-GB"/>
        </w:rPr>
        <w:t>eb</w:t>
      </w:r>
    </w:p>
    <w:p w14:paraId="5C3E89B9" w14:textId="1AC6515A" w:rsidR="005E2C10" w:rsidRPr="008A2DC6" w:rsidRDefault="0010799F" w:rsidP="005E2C10">
      <w:pPr>
        <w:pStyle w:val="CETnumberingbullets"/>
        <w:numPr>
          <w:ilvl w:val="0"/>
          <w:numId w:val="0"/>
        </w:numPr>
        <w:jc w:val="both"/>
      </w:pPr>
      <w:r w:rsidRPr="008A2DC6">
        <w:t>To</w:t>
      </w:r>
      <w:r w:rsidR="005E2C10" w:rsidRPr="008A2DC6">
        <w:t xml:space="preserve"> reduce the electrical blackout risk level identified in this </w:t>
      </w:r>
      <w:r w:rsidR="00C93612" w:rsidRPr="008A2DC6">
        <w:t>paper</w:t>
      </w:r>
      <w:r w:rsidR="005E2C10" w:rsidRPr="008A2DC6">
        <w:t xml:space="preserve"> through</w:t>
      </w:r>
      <w:r w:rsidR="00C93612" w:rsidRPr="008A2DC6">
        <w:rPr>
          <w:rFonts w:cs="Arial"/>
          <w:szCs w:val="18"/>
        </w:rPr>
        <w:t xml:space="preserve"> IR</w:t>
      </w:r>
      <w:r w:rsidR="00C93612" w:rsidRPr="008A2DC6">
        <w:rPr>
          <w:rFonts w:cs="Arial"/>
          <w:szCs w:val="18"/>
          <w:vertAlign w:val="subscript"/>
        </w:rPr>
        <w:t>eb</w:t>
      </w:r>
      <w:r w:rsidR="005E2C10" w:rsidRPr="008A2DC6">
        <w:t xml:space="preserve"> index, the employer/operator of process industries should timely implement the following main prevention and mitigation measures:</w:t>
      </w:r>
    </w:p>
    <w:p w14:paraId="08A85E6B" w14:textId="56B905C9" w:rsidR="005E2C10" w:rsidRPr="008A2DC6" w:rsidRDefault="005E2C10" w:rsidP="00C93612">
      <w:pPr>
        <w:pStyle w:val="CETnumberingbullets"/>
        <w:numPr>
          <w:ilvl w:val="0"/>
          <w:numId w:val="0"/>
        </w:numPr>
        <w:ind w:left="426" w:hanging="426"/>
        <w:jc w:val="both"/>
      </w:pPr>
      <w:r w:rsidRPr="008A2DC6">
        <w:t xml:space="preserve">(a) </w:t>
      </w:r>
      <w:r w:rsidR="00C93612" w:rsidRPr="008A2DC6">
        <w:t>I</w:t>
      </w:r>
      <w:r w:rsidRPr="008A2DC6">
        <w:t>dentification and assessment of power outage scenarios by carrying out a specific risk assessment.</w:t>
      </w:r>
    </w:p>
    <w:p w14:paraId="73FF0D8B" w14:textId="6E85C426" w:rsidR="005E2C10" w:rsidRPr="008A2DC6" w:rsidRDefault="005E2C10" w:rsidP="00C93612">
      <w:pPr>
        <w:pStyle w:val="CETnumberingbullets"/>
        <w:numPr>
          <w:ilvl w:val="0"/>
          <w:numId w:val="0"/>
        </w:numPr>
        <w:ind w:left="426" w:hanging="426"/>
        <w:jc w:val="both"/>
      </w:pPr>
      <w:r w:rsidRPr="008A2DC6">
        <w:t xml:space="preserve">(b) </w:t>
      </w:r>
      <w:r w:rsidR="00C93612" w:rsidRPr="008A2DC6">
        <w:t>P</w:t>
      </w:r>
      <w:r w:rsidRPr="008A2DC6">
        <w:t>reventive maintenance of electrical systems, grounding systems, and lightning protection systems</w:t>
      </w:r>
      <w:r w:rsidR="00C93612" w:rsidRPr="008A2DC6">
        <w:t>. I</w:t>
      </w:r>
      <w:r w:rsidRPr="008A2DC6">
        <w:t>n Italy, preventive maintenance is complemented by the mandatory inspections required by Presidential Decree DPR 462/01.</w:t>
      </w:r>
    </w:p>
    <w:p w14:paraId="28EFEF2C" w14:textId="79E80486" w:rsidR="005E2C10" w:rsidRPr="008A2DC6" w:rsidRDefault="005E2C10" w:rsidP="00C93612">
      <w:pPr>
        <w:pStyle w:val="CETnumberingbullets"/>
        <w:numPr>
          <w:ilvl w:val="0"/>
          <w:numId w:val="0"/>
        </w:numPr>
        <w:ind w:left="426" w:hanging="426"/>
        <w:jc w:val="both"/>
      </w:pPr>
      <w:r w:rsidRPr="008A2DC6">
        <w:t xml:space="preserve">(c) </w:t>
      </w:r>
      <w:r w:rsidR="00C93612" w:rsidRPr="008A2DC6">
        <w:t>P</w:t>
      </w:r>
      <w:r w:rsidRPr="008A2DC6">
        <w:t>reparation of a business continuity and recovery plan in the event of an electrical blackout</w:t>
      </w:r>
      <w:r w:rsidR="00C93612" w:rsidRPr="008A2DC6">
        <w:t>,</w:t>
      </w:r>
      <w:r w:rsidRPr="008A2DC6">
        <w:t xml:space="preserve"> this plan shall be communicated to all personnel and to external contractors interacting with the industrial plant.</w:t>
      </w:r>
    </w:p>
    <w:p w14:paraId="75A14B4E" w14:textId="626497A0" w:rsidR="005D132E" w:rsidRPr="008A2DC6" w:rsidRDefault="005E2C10" w:rsidP="00C93612">
      <w:pPr>
        <w:pStyle w:val="CETnumberingbullets"/>
        <w:numPr>
          <w:ilvl w:val="0"/>
          <w:numId w:val="0"/>
        </w:numPr>
        <w:ind w:left="426" w:hanging="426"/>
        <w:jc w:val="both"/>
      </w:pPr>
      <w:r w:rsidRPr="008A2DC6">
        <w:t xml:space="preserve">(d) </w:t>
      </w:r>
      <w:r w:rsidR="00C93612" w:rsidRPr="008A2DC6">
        <w:t>T</w:t>
      </w:r>
      <w:r w:rsidRPr="008A2DC6">
        <w:t xml:space="preserve">esting of electrical and non-electrical equipment </w:t>
      </w:r>
      <w:r w:rsidR="00C93612" w:rsidRPr="008A2DC6">
        <w:t>to</w:t>
      </w:r>
      <w:r w:rsidRPr="008A2DC6">
        <w:t xml:space="preserve"> identify vulnerabilities that could cause electrical disturbances (overvoltage or undervoltage).</w:t>
      </w:r>
    </w:p>
    <w:p w14:paraId="1BB07E95" w14:textId="1F98C608" w:rsidR="005D132E" w:rsidRPr="008A2DC6" w:rsidRDefault="005D132E" w:rsidP="00C93612">
      <w:pPr>
        <w:pStyle w:val="CETnumberingbullets"/>
        <w:numPr>
          <w:ilvl w:val="0"/>
          <w:numId w:val="0"/>
        </w:numPr>
        <w:ind w:left="426" w:hanging="426"/>
        <w:jc w:val="both"/>
      </w:pPr>
      <w:r w:rsidRPr="008A2DC6">
        <w:t>(</w:t>
      </w:r>
      <w:r w:rsidR="005E2C10" w:rsidRPr="008A2DC6">
        <w:t xml:space="preserve">e) </w:t>
      </w:r>
      <w:r w:rsidR="00C93612" w:rsidRPr="008A2DC6">
        <w:t>V</w:t>
      </w:r>
      <w:r w:rsidR="005E2C10" w:rsidRPr="008A2DC6">
        <w:t>erification of critical safety functions in terms of availability and operability, including valves and pumps, in the event of power loss</w:t>
      </w:r>
      <w:r w:rsidRPr="008A2DC6">
        <w:t>.</w:t>
      </w:r>
    </w:p>
    <w:p w14:paraId="67F53921" w14:textId="521A2906" w:rsidR="005D132E" w:rsidRPr="008A2DC6" w:rsidRDefault="005D132E" w:rsidP="00C93612">
      <w:pPr>
        <w:pStyle w:val="CETnumberingbullets"/>
        <w:numPr>
          <w:ilvl w:val="0"/>
          <w:numId w:val="0"/>
        </w:numPr>
        <w:ind w:left="426" w:hanging="426"/>
        <w:jc w:val="both"/>
      </w:pPr>
      <w:r w:rsidRPr="008A2DC6">
        <w:t>(</w:t>
      </w:r>
      <w:r w:rsidR="005E2C10" w:rsidRPr="008A2DC6">
        <w:t xml:space="preserve">f) </w:t>
      </w:r>
      <w:r w:rsidR="00BA1DDD" w:rsidRPr="008A2DC6">
        <w:t xml:space="preserve"> </w:t>
      </w:r>
      <w:r w:rsidR="00C93612" w:rsidRPr="008A2DC6">
        <w:t>C</w:t>
      </w:r>
      <w:r w:rsidR="005E2C10" w:rsidRPr="008A2DC6">
        <w:t>hecks of pressure relief during an electrical interruption</w:t>
      </w:r>
      <w:r w:rsidRPr="008A2DC6">
        <w:t>.</w:t>
      </w:r>
    </w:p>
    <w:p w14:paraId="05D74E14" w14:textId="201D0EBE" w:rsidR="005D132E" w:rsidRPr="008A2DC6" w:rsidRDefault="005D132E" w:rsidP="00C93612">
      <w:pPr>
        <w:pStyle w:val="CETnumberingbullets"/>
        <w:numPr>
          <w:ilvl w:val="0"/>
          <w:numId w:val="0"/>
        </w:numPr>
        <w:ind w:left="426" w:hanging="426"/>
        <w:jc w:val="both"/>
      </w:pPr>
      <w:r w:rsidRPr="008A2DC6">
        <w:t>(</w:t>
      </w:r>
      <w:r w:rsidR="005E2C10" w:rsidRPr="008A2DC6">
        <w:t xml:space="preserve">g) </w:t>
      </w:r>
      <w:r w:rsidR="00C93612" w:rsidRPr="008A2DC6">
        <w:t>A</w:t>
      </w:r>
      <w:r w:rsidR="005E2C10" w:rsidRPr="008A2DC6">
        <w:t xml:space="preserve">ssignment of roles and responsibilities to personnel for </w:t>
      </w:r>
      <w:r w:rsidR="00C93612" w:rsidRPr="008A2DC6">
        <w:t>periods</w:t>
      </w:r>
      <w:r w:rsidR="005E2C10" w:rsidRPr="008A2DC6">
        <w:t xml:space="preserve"> before, during, and after a power outage</w:t>
      </w:r>
      <w:r w:rsidRPr="008A2DC6">
        <w:t xml:space="preserve">. </w:t>
      </w:r>
    </w:p>
    <w:p w14:paraId="7216AE77" w14:textId="5A8A40AC" w:rsidR="005D132E" w:rsidRPr="008A2DC6" w:rsidRDefault="005D132E" w:rsidP="00C93612">
      <w:pPr>
        <w:pStyle w:val="CETnumberingbullets"/>
        <w:numPr>
          <w:ilvl w:val="0"/>
          <w:numId w:val="0"/>
        </w:numPr>
        <w:ind w:left="426" w:hanging="426"/>
        <w:jc w:val="both"/>
      </w:pPr>
      <w:r w:rsidRPr="008A2DC6">
        <w:t>(</w:t>
      </w:r>
      <w:r w:rsidR="005E2C10" w:rsidRPr="008A2DC6">
        <w:t xml:space="preserve">h) </w:t>
      </w:r>
      <w:r w:rsidR="00C93612" w:rsidRPr="008A2DC6">
        <w:t>T</w:t>
      </w:r>
      <w:r w:rsidR="005E2C10" w:rsidRPr="008A2DC6">
        <w:t>raining of personnel to ensure awareness of power outage scenarios and of the procedures to be followed for safe recovery</w:t>
      </w:r>
      <w:r w:rsidRPr="008A2DC6">
        <w:t>.</w:t>
      </w:r>
    </w:p>
    <w:p w14:paraId="79584E49" w14:textId="34F63551" w:rsidR="005D132E" w:rsidRPr="008A2DC6" w:rsidRDefault="005D132E" w:rsidP="00C93612">
      <w:pPr>
        <w:pStyle w:val="CETnumberingbullets"/>
        <w:numPr>
          <w:ilvl w:val="0"/>
          <w:numId w:val="0"/>
        </w:numPr>
        <w:ind w:left="426" w:hanging="426"/>
        <w:jc w:val="both"/>
      </w:pPr>
      <w:r w:rsidRPr="008A2DC6">
        <w:t>(</w:t>
      </w:r>
      <w:r w:rsidR="005E2C10" w:rsidRPr="008A2DC6">
        <w:t>i)</w:t>
      </w:r>
      <w:r w:rsidR="00BA1DDD" w:rsidRPr="008A2DC6">
        <w:t xml:space="preserve"> </w:t>
      </w:r>
      <w:r w:rsidR="005E2C10" w:rsidRPr="008A2DC6">
        <w:t xml:space="preserve"> </w:t>
      </w:r>
      <w:r w:rsidR="00C93612" w:rsidRPr="008A2DC6">
        <w:t>E</w:t>
      </w:r>
      <w:r w:rsidR="005E2C10" w:rsidRPr="008A2DC6">
        <w:t>stablishment of emergency protocols for communication, both internally and with emergency services and public authorities; such protocols shall be periodically tested</w:t>
      </w:r>
      <w:r w:rsidRPr="008A2DC6">
        <w:t>.</w:t>
      </w:r>
    </w:p>
    <w:p w14:paraId="2EDB7306" w14:textId="6D6A5184" w:rsidR="005D132E" w:rsidRPr="008A2DC6" w:rsidRDefault="005D132E" w:rsidP="00C93612">
      <w:pPr>
        <w:pStyle w:val="CETnumberingbullets"/>
        <w:numPr>
          <w:ilvl w:val="0"/>
          <w:numId w:val="0"/>
        </w:numPr>
        <w:ind w:left="426" w:hanging="426"/>
        <w:jc w:val="both"/>
      </w:pPr>
      <w:r w:rsidRPr="008A2DC6">
        <w:t>(</w:t>
      </w:r>
      <w:r w:rsidR="005E2C10" w:rsidRPr="008A2DC6">
        <w:t xml:space="preserve">j) </w:t>
      </w:r>
      <w:r w:rsidR="00671D8C" w:rsidRPr="008A2DC6">
        <w:t>P</w:t>
      </w:r>
      <w:r w:rsidR="005E2C10" w:rsidRPr="008A2DC6">
        <w:t>rovision of primary and redundant power sources that are independent, with periodic testing of the transition/changeover</w:t>
      </w:r>
      <w:r w:rsidRPr="008A2DC6">
        <w:t>.</w:t>
      </w:r>
    </w:p>
    <w:p w14:paraId="652A74FA" w14:textId="7D7AF5E4" w:rsidR="005D132E" w:rsidRPr="008A2DC6" w:rsidRDefault="005D132E" w:rsidP="00C93612">
      <w:pPr>
        <w:pStyle w:val="CETnumberingbullets"/>
        <w:numPr>
          <w:ilvl w:val="0"/>
          <w:numId w:val="0"/>
        </w:numPr>
        <w:ind w:left="426" w:hanging="426"/>
        <w:jc w:val="both"/>
      </w:pPr>
      <w:r w:rsidRPr="008A2DC6">
        <w:t>(</w:t>
      </w:r>
      <w:r w:rsidR="005E2C10" w:rsidRPr="008A2DC6">
        <w:t xml:space="preserve">k) </w:t>
      </w:r>
      <w:r w:rsidR="00671D8C" w:rsidRPr="008A2DC6">
        <w:t>E</w:t>
      </w:r>
      <w:r w:rsidR="005E2C10" w:rsidRPr="008A2DC6">
        <w:t>nsuring that emergency power supply systems, such as generator sets or UPS systems, provide sufficient autonomy to support emergency procedures and enable the safe shutdown of plants</w:t>
      </w:r>
      <w:r w:rsidRPr="008A2DC6">
        <w:t>.</w:t>
      </w:r>
    </w:p>
    <w:p w14:paraId="70E73F2A" w14:textId="13B39144" w:rsidR="005D132E" w:rsidRPr="008A2DC6" w:rsidRDefault="005D132E" w:rsidP="00C93612">
      <w:pPr>
        <w:pStyle w:val="CETnumberingbullets"/>
        <w:numPr>
          <w:ilvl w:val="0"/>
          <w:numId w:val="0"/>
        </w:numPr>
        <w:ind w:left="426" w:hanging="426"/>
        <w:jc w:val="both"/>
      </w:pPr>
      <w:r w:rsidRPr="008A2DC6">
        <w:t>(</w:t>
      </w:r>
      <w:r w:rsidR="005E2C10" w:rsidRPr="008A2DC6">
        <w:t xml:space="preserve">l) </w:t>
      </w:r>
      <w:r w:rsidRPr="008A2DC6">
        <w:t xml:space="preserve"> </w:t>
      </w:r>
      <w:r w:rsidR="00671D8C" w:rsidRPr="008A2DC6">
        <w:t>I</w:t>
      </w:r>
      <w:r w:rsidR="005E2C10" w:rsidRPr="008A2DC6">
        <w:t>mplementation of fail-safe shutdown systems, such as valves that automatically move to the safest position in the absence of power</w:t>
      </w:r>
      <w:r w:rsidRPr="008A2DC6">
        <w:t>.</w:t>
      </w:r>
    </w:p>
    <w:p w14:paraId="472831B1" w14:textId="1296B441" w:rsidR="005D132E" w:rsidRPr="008A2DC6" w:rsidRDefault="005D132E" w:rsidP="00C93612">
      <w:pPr>
        <w:pStyle w:val="CETnumberingbullets"/>
        <w:numPr>
          <w:ilvl w:val="0"/>
          <w:numId w:val="0"/>
        </w:numPr>
        <w:ind w:left="426" w:hanging="426"/>
        <w:jc w:val="both"/>
      </w:pPr>
      <w:r w:rsidRPr="008A2DC6">
        <w:t>(</w:t>
      </w:r>
      <w:r w:rsidR="005E2C10" w:rsidRPr="008A2DC6">
        <w:t xml:space="preserve">m) </w:t>
      </w:r>
      <w:r w:rsidR="00671D8C" w:rsidRPr="008A2DC6">
        <w:t>V</w:t>
      </w:r>
      <w:r w:rsidR="005E2C10" w:rsidRPr="008A2DC6">
        <w:t>erification of the functionality of communication equipment and critical utilities, such as nitrogen supply, cooling water, steam, and venting systems, as identified by the process risk analysis</w:t>
      </w:r>
      <w:r w:rsidRPr="008A2DC6">
        <w:t>.</w:t>
      </w:r>
    </w:p>
    <w:p w14:paraId="64F08DCF" w14:textId="00152F52" w:rsidR="005D132E" w:rsidRPr="008A2DC6" w:rsidRDefault="005D132E" w:rsidP="00C93612">
      <w:pPr>
        <w:pStyle w:val="CETnumberingbullets"/>
        <w:numPr>
          <w:ilvl w:val="0"/>
          <w:numId w:val="0"/>
        </w:numPr>
        <w:ind w:left="426" w:hanging="426"/>
        <w:jc w:val="both"/>
      </w:pPr>
      <w:r w:rsidRPr="008A2DC6">
        <w:t>(</w:t>
      </w:r>
      <w:r w:rsidR="005E2C10" w:rsidRPr="008A2DC6">
        <w:t xml:space="preserve">n) </w:t>
      </w:r>
      <w:r w:rsidR="00671D8C" w:rsidRPr="008A2DC6">
        <w:t>V</w:t>
      </w:r>
      <w:r w:rsidR="005E2C10" w:rsidRPr="008A2DC6">
        <w:t>erification of the operability of any redundant system designed to supply power to critical services, together with any emergency response equipment (e.g.</w:t>
      </w:r>
      <w:r w:rsidR="00671D8C" w:rsidRPr="008A2DC6">
        <w:t>,</w:t>
      </w:r>
      <w:r w:rsidR="005E2C10" w:rsidRPr="008A2DC6">
        <w:t xml:space="preserve"> fire protection systems, alarms)</w:t>
      </w:r>
      <w:r w:rsidRPr="008A2DC6">
        <w:t>.</w:t>
      </w:r>
    </w:p>
    <w:p w14:paraId="6636635C" w14:textId="6CF41F0C" w:rsidR="005E2C10" w:rsidRDefault="005D132E" w:rsidP="00C93612">
      <w:pPr>
        <w:pStyle w:val="CETnumberingbullets"/>
        <w:numPr>
          <w:ilvl w:val="0"/>
          <w:numId w:val="0"/>
        </w:numPr>
        <w:ind w:left="426" w:hanging="426"/>
        <w:jc w:val="both"/>
      </w:pPr>
      <w:r w:rsidRPr="008A2DC6">
        <w:t>(</w:t>
      </w:r>
      <w:r w:rsidR="005E2C10" w:rsidRPr="008A2DC6">
        <w:t xml:space="preserve">o) </w:t>
      </w:r>
      <w:r w:rsidR="00671D8C" w:rsidRPr="008A2DC6">
        <w:t>V</w:t>
      </w:r>
      <w:r w:rsidR="005E2C10" w:rsidRPr="008A2DC6">
        <w:t>erification of the availability of storage capacity in case process fluids must be “dumped” or removed to prevent overpressure, decomposition, or polymerization. It should be ensured that the route to the storage area is unobstructed and that pumps and valves in the circuit do not hinder the transfer of the process streams to tanks and containment areas.</w:t>
      </w:r>
    </w:p>
    <w:p w14:paraId="34284C4F" w14:textId="6677B7B1" w:rsidR="004835DE" w:rsidRDefault="004835DE" w:rsidP="004835DE">
      <w:pPr>
        <w:pStyle w:val="CETnumberingbullets"/>
        <w:numPr>
          <w:ilvl w:val="0"/>
          <w:numId w:val="0"/>
        </w:numPr>
        <w:jc w:val="both"/>
      </w:pPr>
      <w:r w:rsidRPr="004835DE">
        <w:t>For industrial activities falling within the scope of Directive 2012/18/EU (Seveso III) on the control of major-accident hazards involving dangerous substances, the operator is required to describe the behaviour of the industrial establishment in the event of partial or total unavailability of utility networks, such as electricity, water, steam, nitrogen or compressed air. This description shall include the measures adopted to ensure the operation of critical equipment even under emergency conditions. The elements outlined above in a concise (and non-exhaustive) manner for the management of electrical blackouts shall be integrated into the Safety Management System for the Prevention of Major Accidents (SMS-PMA) and into the Internal Emergency Plan (IEP) of the Seveso establishment.</w:t>
      </w:r>
      <w:r>
        <w:t xml:space="preserve"> I</w:t>
      </w:r>
      <w:r w:rsidRPr="004835DE">
        <w:t>t is essential to establish a dedicated operating procedure aimed at defining the coordination actions required to place the plant installations in a safe state in the event of shutdown due to an electrical blackout, while minimising impacts on human safety, environmental matrices and the operational assets of the plant. Furthermore, specific information and training programmes for workers shall be provided, focusing on the risks triggered by electrical blackouts and on their proper management.</w:t>
      </w:r>
      <w:r>
        <w:t xml:space="preserve"> </w:t>
      </w:r>
      <w:r w:rsidRPr="004835DE">
        <w:t>Another key aspect in preventing electrical blackouts is the importance of electrical maintenance for the correct implementation of the Major Accident Prevention Policy in establishments with major accident hazards (Vallerotonda et al.</w:t>
      </w:r>
      <w:r w:rsidR="00501E32">
        <w:t>, 2022</w:t>
      </w:r>
      <w:r w:rsidRPr="004835DE">
        <w:t>)</w:t>
      </w:r>
      <w:r>
        <w:t>.</w:t>
      </w:r>
    </w:p>
    <w:p w14:paraId="1E5DF88D" w14:textId="7752ED35" w:rsidR="00696399" w:rsidRPr="008A2DC6" w:rsidRDefault="00696399" w:rsidP="00696399">
      <w:pPr>
        <w:pStyle w:val="CETHeading1"/>
        <w:jc w:val="both"/>
        <w:rPr>
          <w:lang w:val="en-GB"/>
        </w:rPr>
      </w:pPr>
      <w:r w:rsidRPr="008A2DC6">
        <w:rPr>
          <w:lang w:val="en-GB"/>
        </w:rPr>
        <w:t>Case Study</w:t>
      </w:r>
    </w:p>
    <w:p w14:paraId="01419EFD" w14:textId="77777777" w:rsidR="00E25451" w:rsidRDefault="00D54300" w:rsidP="00D54300">
      <w:pPr>
        <w:pStyle w:val="CETnumberingbullets"/>
        <w:numPr>
          <w:ilvl w:val="0"/>
          <w:numId w:val="0"/>
        </w:numPr>
        <w:jc w:val="both"/>
      </w:pPr>
      <w:r w:rsidRPr="008A2DC6">
        <w:t>A Continuous-flow Stirred-Tank Reactor</w:t>
      </w:r>
      <w:r w:rsidR="00E25451">
        <w:t xml:space="preserve"> (</w:t>
      </w:r>
      <w:r w:rsidR="00E25451" w:rsidRPr="008A2DC6">
        <w:t>CSTR</w:t>
      </w:r>
      <w:r w:rsidRPr="008A2DC6">
        <w:t xml:space="preserve">) consists of a cylindrical vessel equipped with a mechanical agitation system and an external jacket for heat exchange (heating/cooling). In the event of an electrical blackout, mixing and temperature control are interrupted, leading to the risk of overheating in exothermic reactions, with possible explosions or reactor rupture. Under such conditions, </w:t>
      </w:r>
      <w:r w:rsidR="008D1ABB" w:rsidRPr="008A2DC6">
        <w:t>to</w:t>
      </w:r>
      <w:r w:rsidRPr="008A2DC6">
        <w:t xml:space="preserve"> prevent catastrophic effects, the implementation of prevention and mitigation measures, as outlined in Section 4, becomes necessary. </w:t>
      </w:r>
    </w:p>
    <w:p w14:paraId="6F97672C" w14:textId="66A5C9F5" w:rsidR="00696399" w:rsidRPr="008A2DC6" w:rsidRDefault="00D54300" w:rsidP="00D54300">
      <w:pPr>
        <w:pStyle w:val="CETnumberingbullets"/>
        <w:numPr>
          <w:ilvl w:val="0"/>
          <w:numId w:val="0"/>
        </w:numPr>
        <w:jc w:val="both"/>
      </w:pPr>
      <w:r w:rsidRPr="008A2DC6">
        <w:t xml:space="preserve">Two case studies are presented below </w:t>
      </w:r>
      <w:r w:rsidR="008D1ABB" w:rsidRPr="008A2DC6">
        <w:t>to</w:t>
      </w:r>
      <w:r w:rsidRPr="008A2DC6">
        <w:t xml:space="preserve"> test the index-based method proposed in Section 3 for determining the electrical blackout risk level.</w:t>
      </w:r>
      <w:r w:rsidR="00696399" w:rsidRPr="008A2DC6">
        <w:t xml:space="preserve"> </w:t>
      </w:r>
    </w:p>
    <w:p w14:paraId="129EA823" w14:textId="0D3DD3EE" w:rsidR="00D54300" w:rsidRPr="00E25451" w:rsidRDefault="00E25451" w:rsidP="00E25451">
      <w:pPr>
        <w:pStyle w:val="CETnumberingbullets"/>
        <w:numPr>
          <w:ilvl w:val="0"/>
          <w:numId w:val="0"/>
        </w:numPr>
        <w:jc w:val="both"/>
        <w:rPr>
          <w:b/>
          <w:bCs/>
        </w:rPr>
      </w:pPr>
      <w:r w:rsidRPr="008A2DC6">
        <w:rPr>
          <w:b/>
          <w:bCs/>
        </w:rPr>
        <w:lastRenderedPageBreak/>
        <w:t>Case 1:</w:t>
      </w:r>
      <w:r>
        <w:rPr>
          <w:b/>
          <w:bCs/>
        </w:rPr>
        <w:t xml:space="preserve"> </w:t>
      </w:r>
      <w:r w:rsidR="00D54300" w:rsidRPr="008A2DC6">
        <w:t xml:space="preserve">For this case, it is assumed that 1 external blackout (national or local grid interruption in the last 5 years) and 2 internal blackouts occurred in the last 5 years. The facility where the reactor is installed is assumed to have low seismic and flood risk, and 1 electrical blackout was recorded in the last 5 years during an extreme weather event. Based on these considerations and Table 1, </w:t>
      </w:r>
      <w:proofErr w:type="gramStart"/>
      <w:r w:rsidR="00D54300" w:rsidRPr="008A2DC6">
        <w:t>a</w:t>
      </w:r>
      <w:proofErr w:type="gramEnd"/>
      <w:r w:rsidR="00D54300" w:rsidRPr="008A2DC6">
        <w:t xml:space="preserve"> IP = 4 is obtained.</w:t>
      </w:r>
    </w:p>
    <w:p w14:paraId="6BA50846" w14:textId="4DB2EA19" w:rsidR="00D54300" w:rsidRPr="008A2DC6" w:rsidRDefault="00D54300" w:rsidP="00E25451">
      <w:pPr>
        <w:pStyle w:val="CETnumberingbullets"/>
        <w:numPr>
          <w:ilvl w:val="0"/>
          <w:numId w:val="0"/>
        </w:numPr>
        <w:jc w:val="both"/>
      </w:pPr>
      <w:r w:rsidRPr="008A2DC6">
        <w:t xml:space="preserve">For the determination of the </w:t>
      </w:r>
      <w:r w:rsidR="008D1ABB" w:rsidRPr="008A2DC6">
        <w:t>Severity</w:t>
      </w:r>
      <w:r w:rsidRPr="008A2DC6">
        <w:t xml:space="preserve"> Index, it is assumed that the reactor is equipped with a mechanical agitator and cooling jacket, and the operator has implemented the appropriate prevention and mitigation measures outlined in Section 4. Referring to Table 2, the lowest values are considered, resulting in I</w:t>
      </w:r>
      <w:r w:rsidR="008D1ABB" w:rsidRPr="008A2DC6">
        <w:t>S</w:t>
      </w:r>
      <w:r w:rsidRPr="008A2DC6">
        <w:t xml:space="preserve"> = 5.</w:t>
      </w:r>
    </w:p>
    <w:p w14:paraId="353B6329" w14:textId="77777777" w:rsidR="00D54300" w:rsidRDefault="00D54300" w:rsidP="00E25451">
      <w:pPr>
        <w:pStyle w:val="CETnumberingbullets"/>
        <w:numPr>
          <w:ilvl w:val="0"/>
          <w:numId w:val="0"/>
        </w:numPr>
        <w:jc w:val="both"/>
      </w:pPr>
      <w:r w:rsidRPr="008A2DC6">
        <w:t>The electrical blackout risk level for the chemical reactor under the above assumptions is therefore:</w:t>
      </w:r>
    </w:p>
    <w:p w14:paraId="41210AFA" w14:textId="77777777" w:rsidR="005A28A7" w:rsidRPr="008A2DC6" w:rsidRDefault="005A28A7" w:rsidP="00E25451">
      <w:pPr>
        <w:pStyle w:val="CETnumberingbullets"/>
        <w:numPr>
          <w:ilvl w:val="0"/>
          <w:numId w:val="0"/>
        </w:numPr>
        <w:jc w:val="both"/>
      </w:pPr>
    </w:p>
    <w:p w14:paraId="30CCE158" w14:textId="4E78420D" w:rsidR="008D1ABB" w:rsidRDefault="008D1ABB" w:rsidP="00E25451">
      <w:pPr>
        <w:pStyle w:val="CETnumberingbullets"/>
        <w:numPr>
          <w:ilvl w:val="0"/>
          <w:numId w:val="0"/>
        </w:numPr>
        <w:jc w:val="both"/>
        <w:rPr>
          <w:rFonts w:cs="Arial"/>
          <w:szCs w:val="18"/>
        </w:rPr>
      </w:pPr>
      <w:r w:rsidRPr="008A2DC6">
        <w:rPr>
          <w:rFonts w:cs="Arial"/>
          <w:szCs w:val="18"/>
        </w:rPr>
        <w:t>IR</w:t>
      </w:r>
      <w:r w:rsidRPr="008A2DC6">
        <w:rPr>
          <w:rFonts w:cs="Arial"/>
          <w:szCs w:val="18"/>
          <w:vertAlign w:val="subscript"/>
        </w:rPr>
        <w:t xml:space="preserve">eb </w:t>
      </w:r>
      <w:r w:rsidRPr="008A2DC6">
        <w:rPr>
          <w:rFonts w:cs="Arial"/>
          <w:szCs w:val="18"/>
        </w:rPr>
        <w:t>= IP * IS = 4 * 5 = 20</w:t>
      </w:r>
    </w:p>
    <w:p w14:paraId="7149D2F2" w14:textId="77777777" w:rsidR="005A28A7" w:rsidRPr="008A2DC6" w:rsidRDefault="005A28A7" w:rsidP="00E25451">
      <w:pPr>
        <w:pStyle w:val="CETnumberingbullets"/>
        <w:numPr>
          <w:ilvl w:val="0"/>
          <w:numId w:val="0"/>
        </w:numPr>
        <w:jc w:val="both"/>
      </w:pPr>
    </w:p>
    <w:p w14:paraId="42500C6B" w14:textId="1A2E6097" w:rsidR="00D54300" w:rsidRPr="008A2DC6" w:rsidRDefault="00D54300" w:rsidP="00E25451">
      <w:pPr>
        <w:pStyle w:val="CETnumberingbullets"/>
        <w:numPr>
          <w:ilvl w:val="0"/>
          <w:numId w:val="0"/>
        </w:numPr>
        <w:jc w:val="both"/>
      </w:pPr>
      <w:r w:rsidRPr="008A2DC6">
        <w:t xml:space="preserve">This value falls within acceptable risk </w:t>
      </w:r>
      <w:r w:rsidR="008D1ABB" w:rsidRPr="008A2DC6">
        <w:t>limits;</w:t>
      </w:r>
      <w:r w:rsidRPr="008A2DC6">
        <w:t xml:space="preserve"> it is necessary to continue periodic monitoring actions over time.</w:t>
      </w:r>
    </w:p>
    <w:p w14:paraId="38AF15A7" w14:textId="43F8D22C" w:rsidR="006238A6" w:rsidRPr="008A2DC6" w:rsidRDefault="006238A6" w:rsidP="006238A6">
      <w:pPr>
        <w:pStyle w:val="CETnumberingbullets"/>
        <w:numPr>
          <w:ilvl w:val="0"/>
          <w:numId w:val="0"/>
        </w:numPr>
        <w:jc w:val="both"/>
      </w:pPr>
      <w:r w:rsidRPr="008A2DC6">
        <w:rPr>
          <w:b/>
          <w:bCs/>
        </w:rPr>
        <w:t>Case 2:</w:t>
      </w:r>
      <w:r w:rsidR="00E25451">
        <w:rPr>
          <w:b/>
          <w:bCs/>
        </w:rPr>
        <w:t xml:space="preserve"> </w:t>
      </w:r>
      <w:r w:rsidRPr="008A2DC6">
        <w:t xml:space="preserve">For this case, it is assumed that 2 external blackouts (national or local grid interruption in the last 5 years) and 3 internal blackouts occurred in the last 5 years. The facility where the reactor is installed is assumed to have medium seismic and flood risk, and 1 electrical blackout was recorded in the last 5 years during an extreme weather event. Based on these considerations and Table 1, </w:t>
      </w:r>
      <w:proofErr w:type="gramStart"/>
      <w:r w:rsidRPr="008A2DC6">
        <w:t>a</w:t>
      </w:r>
      <w:proofErr w:type="gramEnd"/>
      <w:r w:rsidRPr="008A2DC6">
        <w:t xml:space="preserve"> IP = 7 is obtained.</w:t>
      </w:r>
    </w:p>
    <w:p w14:paraId="077CB9FF" w14:textId="13BA935F" w:rsidR="006238A6" w:rsidRDefault="006238A6" w:rsidP="006238A6">
      <w:pPr>
        <w:pStyle w:val="CETnumberingbullets"/>
        <w:numPr>
          <w:ilvl w:val="0"/>
          <w:numId w:val="0"/>
        </w:numPr>
        <w:jc w:val="both"/>
      </w:pPr>
      <w:r w:rsidRPr="008A2DC6">
        <w:t xml:space="preserve">For the determination of the </w:t>
      </w:r>
      <w:r w:rsidR="008D1ABB" w:rsidRPr="008A2DC6">
        <w:t xml:space="preserve">Severity </w:t>
      </w:r>
      <w:r w:rsidRPr="008A2DC6">
        <w:t>Index, it is assumed that the reactor is equipped with a mechanical agitator and cooling jacket, but the operator has only partially implemented the appropriate prevention and mitigation measures described in Section 4. Referring to Table 2, the highest values are considered, resulting in I</w:t>
      </w:r>
      <w:r w:rsidR="008D1ABB" w:rsidRPr="008A2DC6">
        <w:t>S</w:t>
      </w:r>
      <w:r w:rsidRPr="008A2DC6">
        <w:t xml:space="preserve"> = 9.</w:t>
      </w:r>
      <w:r w:rsidR="008D1ABB" w:rsidRPr="008A2DC6">
        <w:t xml:space="preserve"> </w:t>
      </w:r>
      <w:r w:rsidRPr="008A2DC6">
        <w:t>The electrical blackout risk level for the chemical reactor under the above assumptions is:</w:t>
      </w:r>
    </w:p>
    <w:p w14:paraId="68859AE4" w14:textId="77777777" w:rsidR="005A28A7" w:rsidRPr="008A2DC6" w:rsidRDefault="005A28A7" w:rsidP="006238A6">
      <w:pPr>
        <w:pStyle w:val="CETnumberingbullets"/>
        <w:numPr>
          <w:ilvl w:val="0"/>
          <w:numId w:val="0"/>
        </w:numPr>
        <w:jc w:val="both"/>
      </w:pPr>
    </w:p>
    <w:p w14:paraId="150B77BE" w14:textId="2FC7505C" w:rsidR="008D1ABB" w:rsidRDefault="008D1ABB" w:rsidP="006238A6">
      <w:pPr>
        <w:pStyle w:val="CETnumberingbullets"/>
        <w:numPr>
          <w:ilvl w:val="0"/>
          <w:numId w:val="0"/>
        </w:numPr>
        <w:jc w:val="both"/>
        <w:rPr>
          <w:rFonts w:cs="Arial"/>
          <w:szCs w:val="18"/>
        </w:rPr>
      </w:pPr>
      <w:r w:rsidRPr="008A2DC6">
        <w:rPr>
          <w:rFonts w:cs="Arial"/>
          <w:szCs w:val="18"/>
        </w:rPr>
        <w:t>IR</w:t>
      </w:r>
      <w:r w:rsidRPr="008A2DC6">
        <w:rPr>
          <w:rFonts w:cs="Arial"/>
          <w:szCs w:val="18"/>
          <w:vertAlign w:val="subscript"/>
        </w:rPr>
        <w:t xml:space="preserve">eb </w:t>
      </w:r>
      <w:r w:rsidRPr="008A2DC6">
        <w:rPr>
          <w:rFonts w:cs="Arial"/>
          <w:szCs w:val="18"/>
        </w:rPr>
        <w:t xml:space="preserve">= IP * IS = </w:t>
      </w:r>
      <w:r w:rsidR="00E11187" w:rsidRPr="008A2DC6">
        <w:rPr>
          <w:rFonts w:cs="Arial"/>
          <w:szCs w:val="18"/>
        </w:rPr>
        <w:t>7</w:t>
      </w:r>
      <w:r w:rsidRPr="008A2DC6">
        <w:rPr>
          <w:rFonts w:cs="Arial"/>
          <w:szCs w:val="18"/>
        </w:rPr>
        <w:t xml:space="preserve"> * </w:t>
      </w:r>
      <w:r w:rsidR="00E11187" w:rsidRPr="008A2DC6">
        <w:rPr>
          <w:rFonts w:cs="Arial"/>
          <w:szCs w:val="18"/>
        </w:rPr>
        <w:t>9</w:t>
      </w:r>
      <w:r w:rsidRPr="008A2DC6">
        <w:rPr>
          <w:rFonts w:cs="Arial"/>
          <w:szCs w:val="18"/>
        </w:rPr>
        <w:t xml:space="preserve"> = </w:t>
      </w:r>
      <w:r w:rsidR="00E11187" w:rsidRPr="008A2DC6">
        <w:rPr>
          <w:rFonts w:cs="Arial"/>
          <w:szCs w:val="18"/>
        </w:rPr>
        <w:t>63</w:t>
      </w:r>
    </w:p>
    <w:p w14:paraId="12AF4A2A" w14:textId="77777777" w:rsidR="005A28A7" w:rsidRPr="008A2DC6" w:rsidRDefault="005A28A7" w:rsidP="006238A6">
      <w:pPr>
        <w:pStyle w:val="CETnumberingbullets"/>
        <w:numPr>
          <w:ilvl w:val="0"/>
          <w:numId w:val="0"/>
        </w:numPr>
        <w:jc w:val="both"/>
      </w:pPr>
    </w:p>
    <w:p w14:paraId="0683DC15" w14:textId="199C88A9" w:rsidR="006238A6" w:rsidRPr="008A2DC6" w:rsidRDefault="006238A6" w:rsidP="006238A6">
      <w:pPr>
        <w:pStyle w:val="CETnumberingbullets"/>
        <w:numPr>
          <w:ilvl w:val="0"/>
          <w:numId w:val="0"/>
        </w:numPr>
        <w:jc w:val="both"/>
      </w:pPr>
      <w:r w:rsidRPr="008A2DC6">
        <w:t>This value exceeds acceptable risk limits, and immediate technical and organizational prevention and mitigation actions are required to bring the risk level back within acceptable limits.</w:t>
      </w:r>
    </w:p>
    <w:p w14:paraId="5B6DF52C" w14:textId="2E6B7F8F" w:rsidR="00354B59" w:rsidRPr="008A2DC6" w:rsidRDefault="00354B59" w:rsidP="00FF3606">
      <w:pPr>
        <w:pStyle w:val="CETHeading1"/>
        <w:jc w:val="both"/>
        <w:rPr>
          <w:lang w:val="en-GB"/>
        </w:rPr>
      </w:pPr>
      <w:r w:rsidRPr="008A2DC6">
        <w:rPr>
          <w:lang w:val="en-GB"/>
        </w:rPr>
        <w:t>Conclusions</w:t>
      </w:r>
    </w:p>
    <w:p w14:paraId="3921CFB9" w14:textId="460541ED" w:rsidR="006D6AB7" w:rsidRDefault="00183E2C" w:rsidP="00183E2C">
      <w:pPr>
        <w:pStyle w:val="CETnumberingbullets"/>
        <w:numPr>
          <w:ilvl w:val="0"/>
          <w:numId w:val="0"/>
        </w:numPr>
        <w:jc w:val="both"/>
      </w:pPr>
      <w:r w:rsidRPr="008A2DC6">
        <w:t xml:space="preserve">Electrical blackouts in process industries, with </w:t>
      </w:r>
      <w:r w:rsidR="004835DE" w:rsidRPr="008A2DC6">
        <w:t>reference</w:t>
      </w:r>
      <w:r w:rsidRPr="008A2DC6">
        <w:t xml:space="preserve"> to activities involving a major-accident hazard, can lead to catastrophic safety consequences (fires, explosions, releases of hazardous substances into the environment), as well as immediate production shutdowns, irreparable damage to machinery, loss of digital data, and significant economic losses. Although regulations require employers to manage electrical risk from a safety perspective, the lack of adequate emergency plans or continuity systems (such as UPS systems or emergency generators) is still observed in many industrial facilities. This article aims to highlight the main causes of electrical blackouts and the scenarios triggered by failures of the primary power supply, as well as failures of redundant power supply systems. Based on this analysis, and drawing on their institutional experience, the authors propose an index-based method to identify the electrical blackout risk level for the various critical units of an industrial plant. Once risk level has been determined, if it does not fall within acceptable limits, the main prevention and mitigation measures are described </w:t>
      </w:r>
      <w:r w:rsidR="002757DC" w:rsidRPr="008A2DC6">
        <w:t>to</w:t>
      </w:r>
      <w:r w:rsidRPr="008A2DC6">
        <w:t xml:space="preserve"> ensure that electrical blackouts can be managed safely</w:t>
      </w:r>
      <w:r w:rsidR="006D6AB7" w:rsidRPr="008A2DC6">
        <w:t>.</w:t>
      </w:r>
      <w:r w:rsidR="00244567">
        <w:t xml:space="preserve"> </w:t>
      </w:r>
      <w:r w:rsidR="00244567" w:rsidRPr="00244567">
        <w:t>The proposed index method provides the employer/operator of process industries with an easy-to-use tool for a preliminary electrical risk assessment and a series of qualitative prevention and mitigation measures to apply for reduce electrical risk.</w:t>
      </w:r>
      <w:r w:rsidR="00244567">
        <w:t xml:space="preserve"> </w:t>
      </w:r>
    </w:p>
    <w:p w14:paraId="20A3539E" w14:textId="0EB54D3E" w:rsidR="004475CE" w:rsidRPr="008A2DC6" w:rsidRDefault="004475CE" w:rsidP="00183E2C">
      <w:pPr>
        <w:pStyle w:val="CETnumberingbullets"/>
        <w:numPr>
          <w:ilvl w:val="0"/>
          <w:numId w:val="0"/>
        </w:numPr>
        <w:jc w:val="both"/>
      </w:pPr>
      <w:r w:rsidRPr="004475CE">
        <w:t xml:space="preserve">In a subsequent research, authors will apply the method quantitatively to other case studies and compare the different results </w:t>
      </w:r>
      <w:r w:rsidR="00012924" w:rsidRPr="004475CE">
        <w:t>to</w:t>
      </w:r>
      <w:r w:rsidRPr="004475CE">
        <w:t xml:space="preserve"> refine the application of the proposed method.</w:t>
      </w:r>
    </w:p>
    <w:p w14:paraId="743171A7" w14:textId="77777777" w:rsidR="008C225E" w:rsidRPr="008A2DC6" w:rsidRDefault="008C225E" w:rsidP="00FF3606">
      <w:pPr>
        <w:pStyle w:val="CETReference"/>
        <w:jc w:val="both"/>
      </w:pPr>
      <w:r w:rsidRPr="008A2DC6">
        <w:t>References</w:t>
      </w:r>
    </w:p>
    <w:p w14:paraId="4DD3B470" w14:textId="2E23ACCA" w:rsidR="001A2994" w:rsidRPr="001A2994" w:rsidRDefault="001A2994" w:rsidP="001A2994">
      <w:pPr>
        <w:pStyle w:val="CETReferencetext"/>
      </w:pPr>
      <w:r w:rsidRPr="001A2994">
        <w:t>Grillone</w:t>
      </w:r>
      <w:r w:rsidRPr="008A2DC6">
        <w:t xml:space="preserve"> G.</w:t>
      </w:r>
      <w:r w:rsidRPr="001A2994">
        <w:t>, Nastasi</w:t>
      </w:r>
      <w:r w:rsidRPr="008A2DC6">
        <w:t xml:space="preserve"> V.</w:t>
      </w:r>
      <w:r w:rsidRPr="001A2994">
        <w:t>, D’Ippolito</w:t>
      </w:r>
      <w:r w:rsidRPr="008A2DC6">
        <w:t xml:space="preserve"> G.</w:t>
      </w:r>
      <w:r w:rsidRPr="001A2994">
        <w:t>, Genco</w:t>
      </w:r>
      <w:r w:rsidRPr="008A2DC6">
        <w:t xml:space="preserve"> E.</w:t>
      </w:r>
      <w:r w:rsidRPr="001A2994">
        <w:t>, Muratore</w:t>
      </w:r>
      <w:r w:rsidRPr="008A2DC6">
        <w:t xml:space="preserve"> A.</w:t>
      </w:r>
      <w:r w:rsidRPr="001A2994">
        <w:t>, Bellissimo</w:t>
      </w:r>
      <w:r w:rsidRPr="008A2DC6">
        <w:t xml:space="preserve"> M.</w:t>
      </w:r>
      <w:r w:rsidRPr="001A2994">
        <w:t>, 2023, Electric safety and energy transition in agri-food companies. The case of the livestock and slaughter company “Agricola Puccia s.r.l.”, INDUSTRIE ALIMENTARI, 651, 3-14, Chiriotti Ed. ISSN: 0019-901X.</w:t>
      </w:r>
    </w:p>
    <w:p w14:paraId="006016AA" w14:textId="28B1AB3A" w:rsidR="00476E48" w:rsidRPr="008A2DC6" w:rsidRDefault="00476E48" w:rsidP="00476E48">
      <w:pPr>
        <w:pStyle w:val="CETReferencetext"/>
      </w:pPr>
      <w:r w:rsidRPr="008A2DC6">
        <w:t>MAHBulletin No. 15, 2021,</w:t>
      </w:r>
      <w:r w:rsidR="0039553D" w:rsidRPr="008A2DC6">
        <w:rPr>
          <w:szCs w:val="18"/>
        </w:rPr>
        <w:t xml:space="preserve"> Learning from incidents involving power supply failures, Chemical Accident Prevention &amp; Preparedness, Lessons Learned Bulletin No. 15, https://minerva.jrc.ec.europa.eu</w:t>
      </w:r>
      <w:r w:rsidRPr="008A2DC6">
        <w:rPr>
          <w:szCs w:val="18"/>
        </w:rPr>
        <w:t>.</w:t>
      </w:r>
    </w:p>
    <w:p w14:paraId="29B560AE" w14:textId="712391A3" w:rsidR="00E25451" w:rsidRDefault="00E25451" w:rsidP="00E25451">
      <w:pPr>
        <w:pStyle w:val="CETReferencetext"/>
      </w:pPr>
      <w:r>
        <w:t>Muratore A., Grillone G., Bellissimo M., Giannelli G., Nastasi V., 2025, Index Method for the Assessment of Natech Risk from Storms, Chemical Engineering Transactions, 119, 439-444</w:t>
      </w:r>
      <w:r w:rsidR="00AB3319">
        <w:t>,</w:t>
      </w:r>
      <w:r>
        <w:t xml:space="preserve"> DOI:10.3303/CET25119074.</w:t>
      </w:r>
    </w:p>
    <w:p w14:paraId="60906F20" w14:textId="53CA1A1E" w:rsidR="00E25451" w:rsidRPr="00E25451" w:rsidRDefault="00E25451" w:rsidP="00E25451">
      <w:pPr>
        <w:pStyle w:val="CETReferencetext"/>
        <w:rPr>
          <w:szCs w:val="18"/>
        </w:rPr>
      </w:pPr>
      <w:r w:rsidRPr="008A2DC6">
        <w:rPr>
          <w:szCs w:val="18"/>
        </w:rPr>
        <w:t>Vallerotonda M.R., Ansaldi S., Pirone A., Bragatto T., Bragatto P., 2022, Accident triggered by electrical failures in Seveso sites, Chemical Engineering Transactions, 91, 211-216, DOI:10.3303/CET2291036.</w:t>
      </w:r>
    </w:p>
    <w:sectPr w:rsidR="00E25451" w:rsidRPr="00E25451" w:rsidSect="009D47C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E5E4" w14:textId="77777777" w:rsidR="005509C0" w:rsidRDefault="005509C0" w:rsidP="004F5E36">
      <w:r>
        <w:separator/>
      </w:r>
    </w:p>
  </w:endnote>
  <w:endnote w:type="continuationSeparator" w:id="0">
    <w:p w14:paraId="52B78BAF" w14:textId="77777777" w:rsidR="005509C0" w:rsidRDefault="005509C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3618" w14:textId="77777777" w:rsidR="005509C0" w:rsidRDefault="005509C0" w:rsidP="004F5E36">
      <w:r>
        <w:separator/>
      </w:r>
    </w:p>
  </w:footnote>
  <w:footnote w:type="continuationSeparator" w:id="0">
    <w:p w14:paraId="58E9E2F6" w14:textId="77777777" w:rsidR="005509C0" w:rsidRDefault="005509C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AA7A1D"/>
    <w:multiLevelType w:val="hybridMultilevel"/>
    <w:tmpl w:val="E076A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C33087"/>
    <w:multiLevelType w:val="hybridMultilevel"/>
    <w:tmpl w:val="DA0A4BD2"/>
    <w:lvl w:ilvl="0" w:tplc="7EE6A8B0">
      <w:start w:val="1"/>
      <w:numFmt w:val="decimal"/>
      <w:lvlText w:val="%1."/>
      <w:lvlJc w:val="left"/>
      <w:pPr>
        <w:ind w:left="2122" w:hanging="420"/>
      </w:pPr>
      <w:rPr>
        <w:rFonts w:hint="default"/>
      </w:rPr>
    </w:lvl>
    <w:lvl w:ilvl="1" w:tplc="3F808DC6">
      <w:start w:val="1"/>
      <w:numFmt w:val="lowerLetter"/>
      <w:lvlText w:val="%2)"/>
      <w:lvlJc w:val="left"/>
      <w:pPr>
        <w:ind w:left="2782" w:hanging="360"/>
      </w:pPr>
      <w:rPr>
        <w:rFonts w:hint="default"/>
      </w:r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12" w15:restartNumberingAfterBreak="0">
    <w:nsid w:val="0AB451E8"/>
    <w:multiLevelType w:val="multilevel"/>
    <w:tmpl w:val="F3F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26D44"/>
    <w:multiLevelType w:val="hybridMultilevel"/>
    <w:tmpl w:val="D0AA81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779F0"/>
    <w:multiLevelType w:val="hybridMultilevel"/>
    <w:tmpl w:val="2A4AA96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8359EA"/>
    <w:multiLevelType w:val="hybridMultilevel"/>
    <w:tmpl w:val="EF9E1514"/>
    <w:lvl w:ilvl="0" w:tplc="754415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693CAF"/>
    <w:multiLevelType w:val="hybridMultilevel"/>
    <w:tmpl w:val="754ED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C87392"/>
    <w:multiLevelType w:val="hybridMultilevel"/>
    <w:tmpl w:val="5B786DAC"/>
    <w:lvl w:ilvl="0" w:tplc="5C5A3D1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38217E"/>
    <w:multiLevelType w:val="multilevel"/>
    <w:tmpl w:val="0F84A09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426"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266521F6"/>
    <w:multiLevelType w:val="hybridMultilevel"/>
    <w:tmpl w:val="2CB20892"/>
    <w:lvl w:ilvl="0" w:tplc="04100001">
      <w:start w:val="1"/>
      <w:numFmt w:val="bullet"/>
      <w:lvlText w:val=""/>
      <w:lvlJc w:val="left"/>
      <w:pPr>
        <w:ind w:left="2422" w:hanging="360"/>
      </w:pPr>
      <w:rPr>
        <w:rFonts w:ascii="Symbol" w:hAnsi="Symbol" w:hint="default"/>
      </w:rPr>
    </w:lvl>
    <w:lvl w:ilvl="1" w:tplc="04100003">
      <w:start w:val="1"/>
      <w:numFmt w:val="bullet"/>
      <w:lvlText w:val="o"/>
      <w:lvlJc w:val="left"/>
      <w:pPr>
        <w:ind w:left="3142" w:hanging="360"/>
      </w:pPr>
      <w:rPr>
        <w:rFonts w:ascii="Courier New" w:hAnsi="Courier New" w:cs="Courier New" w:hint="default"/>
      </w:rPr>
    </w:lvl>
    <w:lvl w:ilvl="2" w:tplc="04100005" w:tentative="1">
      <w:start w:val="1"/>
      <w:numFmt w:val="bullet"/>
      <w:lvlText w:val=""/>
      <w:lvlJc w:val="left"/>
      <w:pPr>
        <w:ind w:left="3862" w:hanging="360"/>
      </w:pPr>
      <w:rPr>
        <w:rFonts w:ascii="Wingdings" w:hAnsi="Wingdings" w:hint="default"/>
      </w:rPr>
    </w:lvl>
    <w:lvl w:ilvl="3" w:tplc="04100001" w:tentative="1">
      <w:start w:val="1"/>
      <w:numFmt w:val="bullet"/>
      <w:lvlText w:val=""/>
      <w:lvlJc w:val="left"/>
      <w:pPr>
        <w:ind w:left="4582" w:hanging="360"/>
      </w:pPr>
      <w:rPr>
        <w:rFonts w:ascii="Symbol" w:hAnsi="Symbol" w:hint="default"/>
      </w:rPr>
    </w:lvl>
    <w:lvl w:ilvl="4" w:tplc="04100003" w:tentative="1">
      <w:start w:val="1"/>
      <w:numFmt w:val="bullet"/>
      <w:lvlText w:val="o"/>
      <w:lvlJc w:val="left"/>
      <w:pPr>
        <w:ind w:left="5302" w:hanging="360"/>
      </w:pPr>
      <w:rPr>
        <w:rFonts w:ascii="Courier New" w:hAnsi="Courier New" w:cs="Courier New" w:hint="default"/>
      </w:rPr>
    </w:lvl>
    <w:lvl w:ilvl="5" w:tplc="04100005" w:tentative="1">
      <w:start w:val="1"/>
      <w:numFmt w:val="bullet"/>
      <w:lvlText w:val=""/>
      <w:lvlJc w:val="left"/>
      <w:pPr>
        <w:ind w:left="6022" w:hanging="360"/>
      </w:pPr>
      <w:rPr>
        <w:rFonts w:ascii="Wingdings" w:hAnsi="Wingdings" w:hint="default"/>
      </w:rPr>
    </w:lvl>
    <w:lvl w:ilvl="6" w:tplc="04100001" w:tentative="1">
      <w:start w:val="1"/>
      <w:numFmt w:val="bullet"/>
      <w:lvlText w:val=""/>
      <w:lvlJc w:val="left"/>
      <w:pPr>
        <w:ind w:left="6742" w:hanging="360"/>
      </w:pPr>
      <w:rPr>
        <w:rFonts w:ascii="Symbol" w:hAnsi="Symbol" w:hint="default"/>
      </w:rPr>
    </w:lvl>
    <w:lvl w:ilvl="7" w:tplc="04100003" w:tentative="1">
      <w:start w:val="1"/>
      <w:numFmt w:val="bullet"/>
      <w:lvlText w:val="o"/>
      <w:lvlJc w:val="left"/>
      <w:pPr>
        <w:ind w:left="7462" w:hanging="360"/>
      </w:pPr>
      <w:rPr>
        <w:rFonts w:ascii="Courier New" w:hAnsi="Courier New" w:cs="Courier New" w:hint="default"/>
      </w:rPr>
    </w:lvl>
    <w:lvl w:ilvl="8" w:tplc="04100005" w:tentative="1">
      <w:start w:val="1"/>
      <w:numFmt w:val="bullet"/>
      <w:lvlText w:val=""/>
      <w:lvlJc w:val="left"/>
      <w:pPr>
        <w:ind w:left="8182" w:hanging="360"/>
      </w:pPr>
      <w:rPr>
        <w:rFonts w:ascii="Wingdings" w:hAnsi="Wingdings" w:hint="default"/>
      </w:rPr>
    </w:lvl>
  </w:abstractNum>
  <w:abstractNum w:abstractNumId="20" w15:restartNumberingAfterBreak="0">
    <w:nsid w:val="351E0394"/>
    <w:multiLevelType w:val="hybridMultilevel"/>
    <w:tmpl w:val="806658E2"/>
    <w:lvl w:ilvl="0" w:tplc="14B0F7A8">
      <w:start w:val="1"/>
      <w:numFmt w:val="bullet"/>
      <w:pStyle w:val="CETnumberingbullets"/>
      <w:lvlText w:val=""/>
      <w:lvlJc w:val="left"/>
      <w:pPr>
        <w:ind w:left="1929" w:hanging="227"/>
      </w:pPr>
      <w:rPr>
        <w:rFonts w:ascii="Symbol" w:hAnsi="Symbol" w:hint="default"/>
      </w:rPr>
    </w:lvl>
    <w:lvl w:ilvl="1" w:tplc="04100003" w:tentative="1">
      <w:start w:val="1"/>
      <w:numFmt w:val="bullet"/>
      <w:lvlText w:val="o"/>
      <w:lvlJc w:val="left"/>
      <w:pPr>
        <w:ind w:left="3029" w:hanging="360"/>
      </w:pPr>
      <w:rPr>
        <w:rFonts w:ascii="Courier New" w:hAnsi="Courier New" w:cs="Courier New" w:hint="default"/>
      </w:rPr>
    </w:lvl>
    <w:lvl w:ilvl="2" w:tplc="04100005" w:tentative="1">
      <w:start w:val="1"/>
      <w:numFmt w:val="bullet"/>
      <w:lvlText w:val=""/>
      <w:lvlJc w:val="left"/>
      <w:pPr>
        <w:ind w:left="3749" w:hanging="360"/>
      </w:pPr>
      <w:rPr>
        <w:rFonts w:ascii="Wingdings" w:hAnsi="Wingdings" w:hint="default"/>
      </w:rPr>
    </w:lvl>
    <w:lvl w:ilvl="3" w:tplc="04100001" w:tentative="1">
      <w:start w:val="1"/>
      <w:numFmt w:val="bullet"/>
      <w:lvlText w:val=""/>
      <w:lvlJc w:val="left"/>
      <w:pPr>
        <w:ind w:left="4469" w:hanging="360"/>
      </w:pPr>
      <w:rPr>
        <w:rFonts w:ascii="Symbol" w:hAnsi="Symbol" w:hint="default"/>
      </w:rPr>
    </w:lvl>
    <w:lvl w:ilvl="4" w:tplc="04100003" w:tentative="1">
      <w:start w:val="1"/>
      <w:numFmt w:val="bullet"/>
      <w:lvlText w:val="o"/>
      <w:lvlJc w:val="left"/>
      <w:pPr>
        <w:ind w:left="5189" w:hanging="360"/>
      </w:pPr>
      <w:rPr>
        <w:rFonts w:ascii="Courier New" w:hAnsi="Courier New" w:cs="Courier New" w:hint="default"/>
      </w:rPr>
    </w:lvl>
    <w:lvl w:ilvl="5" w:tplc="04100005" w:tentative="1">
      <w:start w:val="1"/>
      <w:numFmt w:val="bullet"/>
      <w:lvlText w:val=""/>
      <w:lvlJc w:val="left"/>
      <w:pPr>
        <w:ind w:left="5909" w:hanging="360"/>
      </w:pPr>
      <w:rPr>
        <w:rFonts w:ascii="Wingdings" w:hAnsi="Wingdings" w:hint="default"/>
      </w:rPr>
    </w:lvl>
    <w:lvl w:ilvl="6" w:tplc="04100001" w:tentative="1">
      <w:start w:val="1"/>
      <w:numFmt w:val="bullet"/>
      <w:lvlText w:val=""/>
      <w:lvlJc w:val="left"/>
      <w:pPr>
        <w:ind w:left="6629" w:hanging="360"/>
      </w:pPr>
      <w:rPr>
        <w:rFonts w:ascii="Symbol" w:hAnsi="Symbol" w:hint="default"/>
      </w:rPr>
    </w:lvl>
    <w:lvl w:ilvl="7" w:tplc="04100003" w:tentative="1">
      <w:start w:val="1"/>
      <w:numFmt w:val="bullet"/>
      <w:lvlText w:val="o"/>
      <w:lvlJc w:val="left"/>
      <w:pPr>
        <w:ind w:left="7349" w:hanging="360"/>
      </w:pPr>
      <w:rPr>
        <w:rFonts w:ascii="Courier New" w:hAnsi="Courier New" w:cs="Courier New" w:hint="default"/>
      </w:rPr>
    </w:lvl>
    <w:lvl w:ilvl="8" w:tplc="04100005" w:tentative="1">
      <w:start w:val="1"/>
      <w:numFmt w:val="bullet"/>
      <w:lvlText w:val=""/>
      <w:lvlJc w:val="left"/>
      <w:pPr>
        <w:ind w:left="8069" w:hanging="360"/>
      </w:pPr>
      <w:rPr>
        <w:rFonts w:ascii="Wingdings" w:hAnsi="Wingdings" w:hint="default"/>
      </w:rPr>
    </w:lvl>
  </w:abstractNum>
  <w:abstractNum w:abstractNumId="21" w15:restartNumberingAfterBreak="0">
    <w:nsid w:val="396B06C8"/>
    <w:multiLevelType w:val="hybridMultilevel"/>
    <w:tmpl w:val="99E0B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4B4BA4"/>
    <w:multiLevelType w:val="hybridMultilevel"/>
    <w:tmpl w:val="47969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4A5A8C"/>
    <w:multiLevelType w:val="multilevel"/>
    <w:tmpl w:val="D6D6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70938"/>
    <w:multiLevelType w:val="hybridMultilevel"/>
    <w:tmpl w:val="CF70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3971E0"/>
    <w:multiLevelType w:val="hybridMultilevel"/>
    <w:tmpl w:val="6C207F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B80463"/>
    <w:multiLevelType w:val="multilevel"/>
    <w:tmpl w:val="146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BC622F"/>
    <w:multiLevelType w:val="hybridMultilevel"/>
    <w:tmpl w:val="CCEE82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6F01CA2"/>
    <w:multiLevelType w:val="hybridMultilevel"/>
    <w:tmpl w:val="33AA718A"/>
    <w:lvl w:ilvl="0" w:tplc="1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373FB3"/>
    <w:multiLevelType w:val="hybridMultilevel"/>
    <w:tmpl w:val="39F828C2"/>
    <w:lvl w:ilvl="0" w:tplc="9A52A310">
      <w:start w:val="1"/>
      <w:numFmt w:val="decimal"/>
      <w:lvlText w:val="%1."/>
      <w:lvlJc w:val="left"/>
      <w:pPr>
        <w:ind w:left="2122" w:hanging="420"/>
      </w:pPr>
      <w:rPr>
        <w:rFonts w:hint="default"/>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num w:numId="1" w16cid:durableId="1030305860">
    <w:abstractNumId w:val="18"/>
  </w:num>
  <w:num w:numId="2" w16cid:durableId="1939479859">
    <w:abstractNumId w:val="8"/>
  </w:num>
  <w:num w:numId="3" w16cid:durableId="976295760">
    <w:abstractNumId w:val="3"/>
  </w:num>
  <w:num w:numId="4" w16cid:durableId="23678545">
    <w:abstractNumId w:val="2"/>
  </w:num>
  <w:num w:numId="5" w16cid:durableId="1901554720">
    <w:abstractNumId w:val="1"/>
  </w:num>
  <w:num w:numId="6" w16cid:durableId="1979601308">
    <w:abstractNumId w:val="0"/>
  </w:num>
  <w:num w:numId="7" w16cid:durableId="1215388478">
    <w:abstractNumId w:val="9"/>
  </w:num>
  <w:num w:numId="8" w16cid:durableId="759717833">
    <w:abstractNumId w:val="7"/>
  </w:num>
  <w:num w:numId="9" w16cid:durableId="815683955">
    <w:abstractNumId w:val="6"/>
  </w:num>
  <w:num w:numId="10" w16cid:durableId="1066416165">
    <w:abstractNumId w:val="5"/>
  </w:num>
  <w:num w:numId="11" w16cid:durableId="438722583">
    <w:abstractNumId w:val="4"/>
  </w:num>
  <w:num w:numId="12" w16cid:durableId="1573659240">
    <w:abstractNumId w:val="20"/>
  </w:num>
  <w:num w:numId="13" w16cid:durableId="2092192635">
    <w:abstractNumId w:val="27"/>
  </w:num>
  <w:num w:numId="14" w16cid:durableId="1115637783">
    <w:abstractNumId w:val="28"/>
  </w:num>
  <w:num w:numId="15" w16cid:durableId="786317962">
    <w:abstractNumId w:val="29"/>
  </w:num>
  <w:num w:numId="16" w16cid:durableId="765687079">
    <w:abstractNumId w:val="25"/>
  </w:num>
  <w:num w:numId="17" w16cid:durableId="930433692">
    <w:abstractNumId w:val="14"/>
  </w:num>
  <w:num w:numId="18" w16cid:durableId="181208049">
    <w:abstractNumId w:val="13"/>
  </w:num>
  <w:num w:numId="19" w16cid:durableId="2019963037">
    <w:abstractNumId w:val="17"/>
  </w:num>
  <w:num w:numId="20" w16cid:durableId="988749198">
    <w:abstractNumId w:val="30"/>
  </w:num>
  <w:num w:numId="21" w16cid:durableId="650251155">
    <w:abstractNumId w:val="26"/>
  </w:num>
  <w:num w:numId="22" w16cid:durableId="151413276">
    <w:abstractNumId w:val="16"/>
  </w:num>
  <w:num w:numId="23" w16cid:durableId="347215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97419">
    <w:abstractNumId w:val="22"/>
  </w:num>
  <w:num w:numId="25" w16cid:durableId="473108154">
    <w:abstractNumId w:val="15"/>
  </w:num>
  <w:num w:numId="26" w16cid:durableId="1477263316">
    <w:abstractNumId w:val="12"/>
  </w:num>
  <w:num w:numId="27" w16cid:durableId="1426531881">
    <w:abstractNumId w:val="19"/>
  </w:num>
  <w:num w:numId="28" w16cid:durableId="335763666">
    <w:abstractNumId w:val="11"/>
  </w:num>
  <w:num w:numId="29" w16cid:durableId="1585719270">
    <w:abstractNumId w:val="31"/>
  </w:num>
  <w:num w:numId="30" w16cid:durableId="1269390231">
    <w:abstractNumId w:val="10"/>
  </w:num>
  <w:num w:numId="31" w16cid:durableId="2111465501">
    <w:abstractNumId w:val="23"/>
  </w:num>
  <w:num w:numId="32" w16cid:durableId="909268361">
    <w:abstractNumId w:val="21"/>
  </w:num>
  <w:num w:numId="33" w16cid:durableId="18096620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9"/>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F20"/>
    <w:rsid w:val="000052FB"/>
    <w:rsid w:val="000117CB"/>
    <w:rsid w:val="00012924"/>
    <w:rsid w:val="00023C1E"/>
    <w:rsid w:val="0003148D"/>
    <w:rsid w:val="00031EEC"/>
    <w:rsid w:val="00032C69"/>
    <w:rsid w:val="00050821"/>
    <w:rsid w:val="0005110F"/>
    <w:rsid w:val="00051566"/>
    <w:rsid w:val="00062A9A"/>
    <w:rsid w:val="0006334E"/>
    <w:rsid w:val="00064FB6"/>
    <w:rsid w:val="00065058"/>
    <w:rsid w:val="00071381"/>
    <w:rsid w:val="00074C38"/>
    <w:rsid w:val="0007789D"/>
    <w:rsid w:val="0008187F"/>
    <w:rsid w:val="00083A8B"/>
    <w:rsid w:val="00086C39"/>
    <w:rsid w:val="000876EE"/>
    <w:rsid w:val="000926D9"/>
    <w:rsid w:val="000931D1"/>
    <w:rsid w:val="00095FD3"/>
    <w:rsid w:val="000962F1"/>
    <w:rsid w:val="000A03B2"/>
    <w:rsid w:val="000A368C"/>
    <w:rsid w:val="000B006F"/>
    <w:rsid w:val="000B63C8"/>
    <w:rsid w:val="000C3944"/>
    <w:rsid w:val="000D0268"/>
    <w:rsid w:val="000D34BE"/>
    <w:rsid w:val="000E102F"/>
    <w:rsid w:val="000E36F1"/>
    <w:rsid w:val="000E3A73"/>
    <w:rsid w:val="000E414A"/>
    <w:rsid w:val="000F093C"/>
    <w:rsid w:val="000F3AD8"/>
    <w:rsid w:val="000F787B"/>
    <w:rsid w:val="001034C6"/>
    <w:rsid w:val="00106B28"/>
    <w:rsid w:val="0010799F"/>
    <w:rsid w:val="0012091F"/>
    <w:rsid w:val="00123A09"/>
    <w:rsid w:val="00126BC2"/>
    <w:rsid w:val="001308B6"/>
    <w:rsid w:val="0013121F"/>
    <w:rsid w:val="00131FE6"/>
    <w:rsid w:val="001323D1"/>
    <w:rsid w:val="0013263F"/>
    <w:rsid w:val="001331DF"/>
    <w:rsid w:val="00134DE4"/>
    <w:rsid w:val="00136CA7"/>
    <w:rsid w:val="0014034D"/>
    <w:rsid w:val="001412EB"/>
    <w:rsid w:val="00142B64"/>
    <w:rsid w:val="00144D16"/>
    <w:rsid w:val="0014511D"/>
    <w:rsid w:val="001466DB"/>
    <w:rsid w:val="00147FEF"/>
    <w:rsid w:val="001503AF"/>
    <w:rsid w:val="00150E2A"/>
    <w:rsid w:val="00150E59"/>
    <w:rsid w:val="001512BD"/>
    <w:rsid w:val="001517BD"/>
    <w:rsid w:val="00152DE3"/>
    <w:rsid w:val="00153865"/>
    <w:rsid w:val="00156792"/>
    <w:rsid w:val="001605F9"/>
    <w:rsid w:val="001615BC"/>
    <w:rsid w:val="001641BC"/>
    <w:rsid w:val="00164CF9"/>
    <w:rsid w:val="001667A6"/>
    <w:rsid w:val="00181524"/>
    <w:rsid w:val="00181E96"/>
    <w:rsid w:val="00182CE3"/>
    <w:rsid w:val="00183E2C"/>
    <w:rsid w:val="00184AD6"/>
    <w:rsid w:val="0018576A"/>
    <w:rsid w:val="001874B2"/>
    <w:rsid w:val="00190080"/>
    <w:rsid w:val="00191681"/>
    <w:rsid w:val="0019410E"/>
    <w:rsid w:val="001A145E"/>
    <w:rsid w:val="001A1738"/>
    <w:rsid w:val="001A2994"/>
    <w:rsid w:val="001A4AF7"/>
    <w:rsid w:val="001B0349"/>
    <w:rsid w:val="001B1E93"/>
    <w:rsid w:val="001B65C1"/>
    <w:rsid w:val="001C0F52"/>
    <w:rsid w:val="001C334C"/>
    <w:rsid w:val="001C570D"/>
    <w:rsid w:val="001C684B"/>
    <w:rsid w:val="001D0CFB"/>
    <w:rsid w:val="001D53FC"/>
    <w:rsid w:val="001D6F68"/>
    <w:rsid w:val="001E1B6C"/>
    <w:rsid w:val="001F42A5"/>
    <w:rsid w:val="001F71C9"/>
    <w:rsid w:val="001F7B9D"/>
    <w:rsid w:val="00201C93"/>
    <w:rsid w:val="00202BE7"/>
    <w:rsid w:val="00206306"/>
    <w:rsid w:val="00206BE1"/>
    <w:rsid w:val="002211E4"/>
    <w:rsid w:val="00221559"/>
    <w:rsid w:val="002224B4"/>
    <w:rsid w:val="00222C4E"/>
    <w:rsid w:val="00224C3C"/>
    <w:rsid w:val="0022606A"/>
    <w:rsid w:val="00232406"/>
    <w:rsid w:val="00244567"/>
    <w:rsid w:val="002447EF"/>
    <w:rsid w:val="00251550"/>
    <w:rsid w:val="0025251D"/>
    <w:rsid w:val="00263B05"/>
    <w:rsid w:val="0026457E"/>
    <w:rsid w:val="00265AE9"/>
    <w:rsid w:val="0027221A"/>
    <w:rsid w:val="0027245F"/>
    <w:rsid w:val="00273A59"/>
    <w:rsid w:val="002757DC"/>
    <w:rsid w:val="00275B61"/>
    <w:rsid w:val="00280E1F"/>
    <w:rsid w:val="00280FAF"/>
    <w:rsid w:val="00282656"/>
    <w:rsid w:val="0028274C"/>
    <w:rsid w:val="00282C74"/>
    <w:rsid w:val="00293A8E"/>
    <w:rsid w:val="00296B83"/>
    <w:rsid w:val="002A1EF8"/>
    <w:rsid w:val="002A5923"/>
    <w:rsid w:val="002B18F1"/>
    <w:rsid w:val="002B3B9E"/>
    <w:rsid w:val="002B4015"/>
    <w:rsid w:val="002B63FC"/>
    <w:rsid w:val="002B74DB"/>
    <w:rsid w:val="002B78CE"/>
    <w:rsid w:val="002C2E20"/>
    <w:rsid w:val="002C2FB6"/>
    <w:rsid w:val="002D3C71"/>
    <w:rsid w:val="002D4B15"/>
    <w:rsid w:val="002D7B40"/>
    <w:rsid w:val="002E5FA7"/>
    <w:rsid w:val="002E62BE"/>
    <w:rsid w:val="002F1767"/>
    <w:rsid w:val="002F3309"/>
    <w:rsid w:val="002F457C"/>
    <w:rsid w:val="002F66F0"/>
    <w:rsid w:val="003008CE"/>
    <w:rsid w:val="003009B7"/>
    <w:rsid w:val="00300E56"/>
    <w:rsid w:val="00302C85"/>
    <w:rsid w:val="00303534"/>
    <w:rsid w:val="003041B5"/>
    <w:rsid w:val="0030469C"/>
    <w:rsid w:val="003135C8"/>
    <w:rsid w:val="00321CA6"/>
    <w:rsid w:val="00323763"/>
    <w:rsid w:val="00323A94"/>
    <w:rsid w:val="0032585D"/>
    <w:rsid w:val="003272F4"/>
    <w:rsid w:val="00334A88"/>
    <w:rsid w:val="00334C09"/>
    <w:rsid w:val="00343071"/>
    <w:rsid w:val="00347BAD"/>
    <w:rsid w:val="00352E0E"/>
    <w:rsid w:val="00354B59"/>
    <w:rsid w:val="0036216B"/>
    <w:rsid w:val="00363099"/>
    <w:rsid w:val="00365103"/>
    <w:rsid w:val="003723D4"/>
    <w:rsid w:val="003773EF"/>
    <w:rsid w:val="00381905"/>
    <w:rsid w:val="003826E0"/>
    <w:rsid w:val="00384CC8"/>
    <w:rsid w:val="003871FD"/>
    <w:rsid w:val="0039553D"/>
    <w:rsid w:val="003A1424"/>
    <w:rsid w:val="003A1E30"/>
    <w:rsid w:val="003A2446"/>
    <w:rsid w:val="003A2829"/>
    <w:rsid w:val="003A7173"/>
    <w:rsid w:val="003A7D1C"/>
    <w:rsid w:val="003B304B"/>
    <w:rsid w:val="003B3146"/>
    <w:rsid w:val="003C168C"/>
    <w:rsid w:val="003D11FD"/>
    <w:rsid w:val="003D5721"/>
    <w:rsid w:val="003E6AED"/>
    <w:rsid w:val="003E6B64"/>
    <w:rsid w:val="003F015E"/>
    <w:rsid w:val="003F2457"/>
    <w:rsid w:val="00400414"/>
    <w:rsid w:val="004041C2"/>
    <w:rsid w:val="00404253"/>
    <w:rsid w:val="004121DC"/>
    <w:rsid w:val="0041446B"/>
    <w:rsid w:val="00420FF9"/>
    <w:rsid w:val="0042222B"/>
    <w:rsid w:val="0042330A"/>
    <w:rsid w:val="0044329C"/>
    <w:rsid w:val="00447201"/>
    <w:rsid w:val="004475CE"/>
    <w:rsid w:val="004477B2"/>
    <w:rsid w:val="004520BE"/>
    <w:rsid w:val="00453E24"/>
    <w:rsid w:val="00456D14"/>
    <w:rsid w:val="00457456"/>
    <w:rsid w:val="004577FE"/>
    <w:rsid w:val="00457B9C"/>
    <w:rsid w:val="0046164A"/>
    <w:rsid w:val="004628D2"/>
    <w:rsid w:val="00462DCD"/>
    <w:rsid w:val="004648AD"/>
    <w:rsid w:val="004703A9"/>
    <w:rsid w:val="004709C3"/>
    <w:rsid w:val="004760DE"/>
    <w:rsid w:val="004763D7"/>
    <w:rsid w:val="00476E48"/>
    <w:rsid w:val="004835DE"/>
    <w:rsid w:val="004838D4"/>
    <w:rsid w:val="0049462F"/>
    <w:rsid w:val="00496DF0"/>
    <w:rsid w:val="004A004E"/>
    <w:rsid w:val="004A24CF"/>
    <w:rsid w:val="004A7D7F"/>
    <w:rsid w:val="004C3D1D"/>
    <w:rsid w:val="004C6F65"/>
    <w:rsid w:val="004C7913"/>
    <w:rsid w:val="004D0D15"/>
    <w:rsid w:val="004E099A"/>
    <w:rsid w:val="004E4DD6"/>
    <w:rsid w:val="004F4C4D"/>
    <w:rsid w:val="004F5E36"/>
    <w:rsid w:val="00501E32"/>
    <w:rsid w:val="00504B5C"/>
    <w:rsid w:val="00504D4B"/>
    <w:rsid w:val="00505D52"/>
    <w:rsid w:val="00507B47"/>
    <w:rsid w:val="00507BEF"/>
    <w:rsid w:val="00507CC9"/>
    <w:rsid w:val="005119A5"/>
    <w:rsid w:val="005245B7"/>
    <w:rsid w:val="005278B7"/>
    <w:rsid w:val="00530837"/>
    <w:rsid w:val="00531B1B"/>
    <w:rsid w:val="00532016"/>
    <w:rsid w:val="005346C8"/>
    <w:rsid w:val="00535E3C"/>
    <w:rsid w:val="00537946"/>
    <w:rsid w:val="005431D9"/>
    <w:rsid w:val="00543E7D"/>
    <w:rsid w:val="00547A68"/>
    <w:rsid w:val="005509C0"/>
    <w:rsid w:val="005531C9"/>
    <w:rsid w:val="005563E8"/>
    <w:rsid w:val="00570C43"/>
    <w:rsid w:val="00571C8A"/>
    <w:rsid w:val="0057229D"/>
    <w:rsid w:val="00575F54"/>
    <w:rsid w:val="00576105"/>
    <w:rsid w:val="0058582C"/>
    <w:rsid w:val="0059663C"/>
    <w:rsid w:val="005A28A7"/>
    <w:rsid w:val="005B2110"/>
    <w:rsid w:val="005B61E6"/>
    <w:rsid w:val="005B791F"/>
    <w:rsid w:val="005C77E1"/>
    <w:rsid w:val="005D132E"/>
    <w:rsid w:val="005D3358"/>
    <w:rsid w:val="005D668A"/>
    <w:rsid w:val="005D6A2F"/>
    <w:rsid w:val="005E051B"/>
    <w:rsid w:val="005E1A82"/>
    <w:rsid w:val="005E2C10"/>
    <w:rsid w:val="005E794C"/>
    <w:rsid w:val="005F0A28"/>
    <w:rsid w:val="005F0E5E"/>
    <w:rsid w:val="005F4661"/>
    <w:rsid w:val="00600535"/>
    <w:rsid w:val="0060069E"/>
    <w:rsid w:val="00610CD6"/>
    <w:rsid w:val="00615756"/>
    <w:rsid w:val="00620DEE"/>
    <w:rsid w:val="00621F92"/>
    <w:rsid w:val="0062280A"/>
    <w:rsid w:val="006238A6"/>
    <w:rsid w:val="00625639"/>
    <w:rsid w:val="00631B33"/>
    <w:rsid w:val="0064184D"/>
    <w:rsid w:val="006422CC"/>
    <w:rsid w:val="00643F63"/>
    <w:rsid w:val="006454BB"/>
    <w:rsid w:val="00652B6E"/>
    <w:rsid w:val="0065459D"/>
    <w:rsid w:val="00660E3E"/>
    <w:rsid w:val="00662E74"/>
    <w:rsid w:val="00665323"/>
    <w:rsid w:val="0066733B"/>
    <w:rsid w:val="00671D8C"/>
    <w:rsid w:val="0067422A"/>
    <w:rsid w:val="00677032"/>
    <w:rsid w:val="0068022A"/>
    <w:rsid w:val="00680B79"/>
    <w:rsid w:val="00680C23"/>
    <w:rsid w:val="00687071"/>
    <w:rsid w:val="006909A6"/>
    <w:rsid w:val="006929E6"/>
    <w:rsid w:val="00693766"/>
    <w:rsid w:val="00696399"/>
    <w:rsid w:val="00697FA6"/>
    <w:rsid w:val="006A21BF"/>
    <w:rsid w:val="006A3281"/>
    <w:rsid w:val="006A7585"/>
    <w:rsid w:val="006B2F83"/>
    <w:rsid w:val="006B4888"/>
    <w:rsid w:val="006B4D1E"/>
    <w:rsid w:val="006B58DC"/>
    <w:rsid w:val="006C1760"/>
    <w:rsid w:val="006C2E45"/>
    <w:rsid w:val="006C359C"/>
    <w:rsid w:val="006C5579"/>
    <w:rsid w:val="006D6AB7"/>
    <w:rsid w:val="006D6E8B"/>
    <w:rsid w:val="006E737D"/>
    <w:rsid w:val="006F0BA1"/>
    <w:rsid w:val="006F0FB2"/>
    <w:rsid w:val="006F478E"/>
    <w:rsid w:val="006F64B5"/>
    <w:rsid w:val="006F7938"/>
    <w:rsid w:val="00703E89"/>
    <w:rsid w:val="007116DB"/>
    <w:rsid w:val="007118EF"/>
    <w:rsid w:val="00713973"/>
    <w:rsid w:val="007145B6"/>
    <w:rsid w:val="007170F3"/>
    <w:rsid w:val="00720A24"/>
    <w:rsid w:val="00726D12"/>
    <w:rsid w:val="007277B6"/>
    <w:rsid w:val="0073038B"/>
    <w:rsid w:val="00732386"/>
    <w:rsid w:val="007328C9"/>
    <w:rsid w:val="0073514D"/>
    <w:rsid w:val="007447F3"/>
    <w:rsid w:val="00745531"/>
    <w:rsid w:val="0075499F"/>
    <w:rsid w:val="0076140A"/>
    <w:rsid w:val="00764DCE"/>
    <w:rsid w:val="007652E5"/>
    <w:rsid w:val="007661C8"/>
    <w:rsid w:val="00767B22"/>
    <w:rsid w:val="0077098D"/>
    <w:rsid w:val="0078259D"/>
    <w:rsid w:val="007931FA"/>
    <w:rsid w:val="007A2E72"/>
    <w:rsid w:val="007A4861"/>
    <w:rsid w:val="007A79AA"/>
    <w:rsid w:val="007A7BBA"/>
    <w:rsid w:val="007B0C50"/>
    <w:rsid w:val="007B1572"/>
    <w:rsid w:val="007B48F9"/>
    <w:rsid w:val="007C1A43"/>
    <w:rsid w:val="007C3F6D"/>
    <w:rsid w:val="007D624C"/>
    <w:rsid w:val="007E77A8"/>
    <w:rsid w:val="007F79FF"/>
    <w:rsid w:val="0080013E"/>
    <w:rsid w:val="00805795"/>
    <w:rsid w:val="00813288"/>
    <w:rsid w:val="00815C8A"/>
    <w:rsid w:val="008168FC"/>
    <w:rsid w:val="00825DD9"/>
    <w:rsid w:val="00830996"/>
    <w:rsid w:val="0083104C"/>
    <w:rsid w:val="008345F1"/>
    <w:rsid w:val="00835563"/>
    <w:rsid w:val="008442EB"/>
    <w:rsid w:val="00846EAB"/>
    <w:rsid w:val="008532FD"/>
    <w:rsid w:val="00860D31"/>
    <w:rsid w:val="00865B07"/>
    <w:rsid w:val="008667EA"/>
    <w:rsid w:val="00867602"/>
    <w:rsid w:val="00873AE8"/>
    <w:rsid w:val="0087637F"/>
    <w:rsid w:val="00876715"/>
    <w:rsid w:val="0088391A"/>
    <w:rsid w:val="00886C93"/>
    <w:rsid w:val="00892AD5"/>
    <w:rsid w:val="008935EA"/>
    <w:rsid w:val="008954E7"/>
    <w:rsid w:val="00895CB8"/>
    <w:rsid w:val="008A1512"/>
    <w:rsid w:val="008A2DC6"/>
    <w:rsid w:val="008A4F05"/>
    <w:rsid w:val="008A799C"/>
    <w:rsid w:val="008B2AD0"/>
    <w:rsid w:val="008C225E"/>
    <w:rsid w:val="008D0274"/>
    <w:rsid w:val="008D1ABB"/>
    <w:rsid w:val="008D32B9"/>
    <w:rsid w:val="008D433B"/>
    <w:rsid w:val="008E0616"/>
    <w:rsid w:val="008E0FD5"/>
    <w:rsid w:val="008E566E"/>
    <w:rsid w:val="008F0881"/>
    <w:rsid w:val="0090046B"/>
    <w:rsid w:val="0090161A"/>
    <w:rsid w:val="00901EB6"/>
    <w:rsid w:val="00904C62"/>
    <w:rsid w:val="00905397"/>
    <w:rsid w:val="00922BA8"/>
    <w:rsid w:val="00924DAC"/>
    <w:rsid w:val="00927058"/>
    <w:rsid w:val="00942750"/>
    <w:rsid w:val="00944809"/>
    <w:rsid w:val="009450CE"/>
    <w:rsid w:val="00947179"/>
    <w:rsid w:val="0095164B"/>
    <w:rsid w:val="00951872"/>
    <w:rsid w:val="00953A20"/>
    <w:rsid w:val="00954090"/>
    <w:rsid w:val="009573E7"/>
    <w:rsid w:val="00963E05"/>
    <w:rsid w:val="00964A66"/>
    <w:rsid w:val="00967843"/>
    <w:rsid w:val="00967D54"/>
    <w:rsid w:val="00971028"/>
    <w:rsid w:val="009759E7"/>
    <w:rsid w:val="00980BB0"/>
    <w:rsid w:val="009820DF"/>
    <w:rsid w:val="00985BF9"/>
    <w:rsid w:val="00993B84"/>
    <w:rsid w:val="00994A20"/>
    <w:rsid w:val="00996483"/>
    <w:rsid w:val="00996F5A"/>
    <w:rsid w:val="009A652B"/>
    <w:rsid w:val="009B041A"/>
    <w:rsid w:val="009B0A30"/>
    <w:rsid w:val="009B2EE0"/>
    <w:rsid w:val="009C1B0B"/>
    <w:rsid w:val="009C37C3"/>
    <w:rsid w:val="009C7C86"/>
    <w:rsid w:val="009D2FF7"/>
    <w:rsid w:val="009D47CF"/>
    <w:rsid w:val="009D7D95"/>
    <w:rsid w:val="009E6FA3"/>
    <w:rsid w:val="009E7884"/>
    <w:rsid w:val="009E788A"/>
    <w:rsid w:val="009F0E08"/>
    <w:rsid w:val="00A033F9"/>
    <w:rsid w:val="00A1763D"/>
    <w:rsid w:val="00A17CEC"/>
    <w:rsid w:val="00A214E9"/>
    <w:rsid w:val="00A265DF"/>
    <w:rsid w:val="00A27EF0"/>
    <w:rsid w:val="00A31551"/>
    <w:rsid w:val="00A42361"/>
    <w:rsid w:val="00A50B20"/>
    <w:rsid w:val="00A51390"/>
    <w:rsid w:val="00A51A22"/>
    <w:rsid w:val="00A544A1"/>
    <w:rsid w:val="00A56397"/>
    <w:rsid w:val="00A60D13"/>
    <w:rsid w:val="00A70631"/>
    <w:rsid w:val="00A7106A"/>
    <w:rsid w:val="00A72745"/>
    <w:rsid w:val="00A72FE2"/>
    <w:rsid w:val="00A76EFC"/>
    <w:rsid w:val="00A83965"/>
    <w:rsid w:val="00A87BF3"/>
    <w:rsid w:val="00A91010"/>
    <w:rsid w:val="00A929C5"/>
    <w:rsid w:val="00A93A2F"/>
    <w:rsid w:val="00A97F29"/>
    <w:rsid w:val="00AA1EA6"/>
    <w:rsid w:val="00AA6AB5"/>
    <w:rsid w:val="00AA702E"/>
    <w:rsid w:val="00AA7545"/>
    <w:rsid w:val="00AB0964"/>
    <w:rsid w:val="00AB3319"/>
    <w:rsid w:val="00AB33A5"/>
    <w:rsid w:val="00AB3BEC"/>
    <w:rsid w:val="00AB5011"/>
    <w:rsid w:val="00AC1B28"/>
    <w:rsid w:val="00AC7368"/>
    <w:rsid w:val="00AD16B9"/>
    <w:rsid w:val="00AE1087"/>
    <w:rsid w:val="00AE2951"/>
    <w:rsid w:val="00AE377D"/>
    <w:rsid w:val="00AF0EBA"/>
    <w:rsid w:val="00AF448B"/>
    <w:rsid w:val="00AF7AE4"/>
    <w:rsid w:val="00B02C8A"/>
    <w:rsid w:val="00B02DCB"/>
    <w:rsid w:val="00B12841"/>
    <w:rsid w:val="00B14FA5"/>
    <w:rsid w:val="00B16A87"/>
    <w:rsid w:val="00B175C3"/>
    <w:rsid w:val="00B17FBD"/>
    <w:rsid w:val="00B315A6"/>
    <w:rsid w:val="00B31813"/>
    <w:rsid w:val="00B33365"/>
    <w:rsid w:val="00B416DB"/>
    <w:rsid w:val="00B43622"/>
    <w:rsid w:val="00B45FB6"/>
    <w:rsid w:val="00B57965"/>
    <w:rsid w:val="00B57B36"/>
    <w:rsid w:val="00B57B5C"/>
    <w:rsid w:val="00B57E6F"/>
    <w:rsid w:val="00B6080D"/>
    <w:rsid w:val="00B61038"/>
    <w:rsid w:val="00B627FF"/>
    <w:rsid w:val="00B64E78"/>
    <w:rsid w:val="00B66DC0"/>
    <w:rsid w:val="00B72A1C"/>
    <w:rsid w:val="00B769B3"/>
    <w:rsid w:val="00B85322"/>
    <w:rsid w:val="00B8686D"/>
    <w:rsid w:val="00B91694"/>
    <w:rsid w:val="00B93F69"/>
    <w:rsid w:val="00BA1DDD"/>
    <w:rsid w:val="00BA49A3"/>
    <w:rsid w:val="00BA68B7"/>
    <w:rsid w:val="00BA709F"/>
    <w:rsid w:val="00BB1DDC"/>
    <w:rsid w:val="00BB7651"/>
    <w:rsid w:val="00BC30C9"/>
    <w:rsid w:val="00BD077D"/>
    <w:rsid w:val="00BE3E58"/>
    <w:rsid w:val="00BE4A34"/>
    <w:rsid w:val="00BE5B4D"/>
    <w:rsid w:val="00BE6C4C"/>
    <w:rsid w:val="00BF2C7D"/>
    <w:rsid w:val="00C01616"/>
    <w:rsid w:val="00C0162B"/>
    <w:rsid w:val="00C05B93"/>
    <w:rsid w:val="00C068ED"/>
    <w:rsid w:val="00C173D8"/>
    <w:rsid w:val="00C22E0C"/>
    <w:rsid w:val="00C30270"/>
    <w:rsid w:val="00C323A0"/>
    <w:rsid w:val="00C345B1"/>
    <w:rsid w:val="00C40142"/>
    <w:rsid w:val="00C418E3"/>
    <w:rsid w:val="00C451AE"/>
    <w:rsid w:val="00C52C3C"/>
    <w:rsid w:val="00C56105"/>
    <w:rsid w:val="00C57182"/>
    <w:rsid w:val="00C57863"/>
    <w:rsid w:val="00C655FD"/>
    <w:rsid w:val="00C67F5C"/>
    <w:rsid w:val="00C713B8"/>
    <w:rsid w:val="00C71544"/>
    <w:rsid w:val="00C74E8C"/>
    <w:rsid w:val="00C75407"/>
    <w:rsid w:val="00C870A8"/>
    <w:rsid w:val="00C90A53"/>
    <w:rsid w:val="00C93612"/>
    <w:rsid w:val="00C94434"/>
    <w:rsid w:val="00C974F8"/>
    <w:rsid w:val="00CA0D75"/>
    <w:rsid w:val="00CA1C95"/>
    <w:rsid w:val="00CA5A9C"/>
    <w:rsid w:val="00CC4C20"/>
    <w:rsid w:val="00CC7EF4"/>
    <w:rsid w:val="00CD14C9"/>
    <w:rsid w:val="00CD1E95"/>
    <w:rsid w:val="00CD20BC"/>
    <w:rsid w:val="00CD2183"/>
    <w:rsid w:val="00CD3517"/>
    <w:rsid w:val="00CD5D38"/>
    <w:rsid w:val="00CD5FE2"/>
    <w:rsid w:val="00CE7C68"/>
    <w:rsid w:val="00CF6776"/>
    <w:rsid w:val="00D02B4C"/>
    <w:rsid w:val="00D040C4"/>
    <w:rsid w:val="00D04720"/>
    <w:rsid w:val="00D0719B"/>
    <w:rsid w:val="00D1605E"/>
    <w:rsid w:val="00D23730"/>
    <w:rsid w:val="00D320F7"/>
    <w:rsid w:val="00D43DF3"/>
    <w:rsid w:val="00D46B7E"/>
    <w:rsid w:val="00D473D9"/>
    <w:rsid w:val="00D5161F"/>
    <w:rsid w:val="00D52EDE"/>
    <w:rsid w:val="00D53EFC"/>
    <w:rsid w:val="00D54300"/>
    <w:rsid w:val="00D57C84"/>
    <w:rsid w:val="00D6057D"/>
    <w:rsid w:val="00D6124D"/>
    <w:rsid w:val="00D649C0"/>
    <w:rsid w:val="00D704D4"/>
    <w:rsid w:val="00D81EEC"/>
    <w:rsid w:val="00D83034"/>
    <w:rsid w:val="00D8343F"/>
    <w:rsid w:val="00D836C5"/>
    <w:rsid w:val="00D843C6"/>
    <w:rsid w:val="00D84576"/>
    <w:rsid w:val="00D859D1"/>
    <w:rsid w:val="00D93387"/>
    <w:rsid w:val="00D967D0"/>
    <w:rsid w:val="00DA1399"/>
    <w:rsid w:val="00DA24C6"/>
    <w:rsid w:val="00DA4D7B"/>
    <w:rsid w:val="00DC01F9"/>
    <w:rsid w:val="00DC1556"/>
    <w:rsid w:val="00DC69BD"/>
    <w:rsid w:val="00DC7F4D"/>
    <w:rsid w:val="00DD1158"/>
    <w:rsid w:val="00DD3B04"/>
    <w:rsid w:val="00DE04EE"/>
    <w:rsid w:val="00DE264A"/>
    <w:rsid w:val="00DE576C"/>
    <w:rsid w:val="00DE6613"/>
    <w:rsid w:val="00DE68CB"/>
    <w:rsid w:val="00DF4171"/>
    <w:rsid w:val="00DF5072"/>
    <w:rsid w:val="00DF5BCC"/>
    <w:rsid w:val="00E02D18"/>
    <w:rsid w:val="00E039CE"/>
    <w:rsid w:val="00E041E7"/>
    <w:rsid w:val="00E102DA"/>
    <w:rsid w:val="00E11187"/>
    <w:rsid w:val="00E159D1"/>
    <w:rsid w:val="00E20283"/>
    <w:rsid w:val="00E23CA1"/>
    <w:rsid w:val="00E25451"/>
    <w:rsid w:val="00E409A8"/>
    <w:rsid w:val="00E50C12"/>
    <w:rsid w:val="00E51C93"/>
    <w:rsid w:val="00E548C4"/>
    <w:rsid w:val="00E54F38"/>
    <w:rsid w:val="00E6009F"/>
    <w:rsid w:val="00E65B91"/>
    <w:rsid w:val="00E704D7"/>
    <w:rsid w:val="00E70614"/>
    <w:rsid w:val="00E7209D"/>
    <w:rsid w:val="00E72EAD"/>
    <w:rsid w:val="00E765FE"/>
    <w:rsid w:val="00E77223"/>
    <w:rsid w:val="00E813C6"/>
    <w:rsid w:val="00E8528B"/>
    <w:rsid w:val="00E85B74"/>
    <w:rsid w:val="00E85B94"/>
    <w:rsid w:val="00E9363B"/>
    <w:rsid w:val="00E94EF3"/>
    <w:rsid w:val="00E958AC"/>
    <w:rsid w:val="00E978D0"/>
    <w:rsid w:val="00EA103C"/>
    <w:rsid w:val="00EA18A8"/>
    <w:rsid w:val="00EA1997"/>
    <w:rsid w:val="00EA2345"/>
    <w:rsid w:val="00EA4613"/>
    <w:rsid w:val="00EA7F91"/>
    <w:rsid w:val="00EB1523"/>
    <w:rsid w:val="00EB2806"/>
    <w:rsid w:val="00EB3F7E"/>
    <w:rsid w:val="00EC09C0"/>
    <w:rsid w:val="00EC0E49"/>
    <w:rsid w:val="00EC101F"/>
    <w:rsid w:val="00EC1D9F"/>
    <w:rsid w:val="00EC1F3A"/>
    <w:rsid w:val="00EC6760"/>
    <w:rsid w:val="00EE0131"/>
    <w:rsid w:val="00EE17B0"/>
    <w:rsid w:val="00EF06D9"/>
    <w:rsid w:val="00F12A80"/>
    <w:rsid w:val="00F2370D"/>
    <w:rsid w:val="00F30C64"/>
    <w:rsid w:val="00F32A6D"/>
    <w:rsid w:val="00F32BA2"/>
    <w:rsid w:val="00F32CDB"/>
    <w:rsid w:val="00F441CC"/>
    <w:rsid w:val="00F553E8"/>
    <w:rsid w:val="00F565FE"/>
    <w:rsid w:val="00F63A70"/>
    <w:rsid w:val="00F66AC3"/>
    <w:rsid w:val="00F67E1E"/>
    <w:rsid w:val="00F73D81"/>
    <w:rsid w:val="00F74418"/>
    <w:rsid w:val="00F75222"/>
    <w:rsid w:val="00F7534E"/>
    <w:rsid w:val="00F77F49"/>
    <w:rsid w:val="00F80B3D"/>
    <w:rsid w:val="00F8664A"/>
    <w:rsid w:val="00F87375"/>
    <w:rsid w:val="00F95002"/>
    <w:rsid w:val="00FA21D0"/>
    <w:rsid w:val="00FA5F5F"/>
    <w:rsid w:val="00FA641D"/>
    <w:rsid w:val="00FB730C"/>
    <w:rsid w:val="00FC129F"/>
    <w:rsid w:val="00FC2695"/>
    <w:rsid w:val="00FC3E03"/>
    <w:rsid w:val="00FC3FC1"/>
    <w:rsid w:val="00FC4F82"/>
    <w:rsid w:val="00FC7757"/>
    <w:rsid w:val="00FF07C7"/>
    <w:rsid w:val="00FF24B5"/>
    <w:rsid w:val="00FF3606"/>
    <w:rsid w:val="00FF6058"/>
    <w:rsid w:val="00FF74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DE5B9DFA-7F9F-497B-A0F7-CB1436F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501E32"/>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967D0"/>
    <w:pPr>
      <w:keepNext/>
      <w:numPr>
        <w:ilvl w:val="2"/>
        <w:numId w:val="1"/>
      </w:numPr>
      <w:suppressAutoHyphens/>
      <w:spacing w:before="120" w:after="120" w:line="240" w:lineRule="auto"/>
      <w:ind w:left="0"/>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967D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2"/>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3"/>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4"/>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Menzionenonrisolta">
    <w:name w:val="Unresolved Mention"/>
    <w:basedOn w:val="Carpredefinitoparagrafo"/>
    <w:uiPriority w:val="99"/>
    <w:semiHidden/>
    <w:unhideWhenUsed/>
    <w:rsid w:val="0027245F"/>
    <w:rPr>
      <w:color w:val="605E5C"/>
      <w:shd w:val="clear" w:color="auto" w:fill="E1DFDD"/>
    </w:rPr>
  </w:style>
  <w:style w:type="character" w:styleId="Collegamentovisitato">
    <w:name w:val="FollowedHyperlink"/>
    <w:basedOn w:val="Carpredefinitoparagrafo"/>
    <w:uiPriority w:val="99"/>
    <w:semiHidden/>
    <w:unhideWhenUsed/>
    <w:rsid w:val="00476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0F71-191D-47BC-A8C1-3D0E845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3849</Words>
  <Characters>21944</Characters>
  <Application>Microsoft Office Word</Application>
  <DocSecurity>0</DocSecurity>
  <Lines>182</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Muratore Antonino</cp:lastModifiedBy>
  <cp:revision>13</cp:revision>
  <cp:lastPrinted>2026-01-14T18:17:00Z</cp:lastPrinted>
  <dcterms:created xsi:type="dcterms:W3CDTF">2026-01-30T18:36:00Z</dcterms:created>
  <dcterms:modified xsi:type="dcterms:W3CDTF">2026-03-01T11:10:00Z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