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3E7328" w14:paraId="2A131A54" w14:textId="77777777" w:rsidTr="00161865">
        <w:trPr>
          <w:trHeight w:val="852"/>
          <w:jc w:val="center"/>
        </w:trPr>
        <w:tc>
          <w:tcPr>
            <w:tcW w:w="6940" w:type="dxa"/>
            <w:vMerge w:val="restart"/>
            <w:tcBorders>
              <w:right w:val="single" w:sz="4" w:space="0" w:color="auto"/>
            </w:tcBorders>
          </w:tcPr>
          <w:p w14:paraId="38C3D2BA" w14:textId="77777777" w:rsidR="000A03B2" w:rsidRPr="008957D5" w:rsidRDefault="000A03B2" w:rsidP="00DE264A">
            <w:pPr>
              <w:tabs>
                <w:tab w:val="left" w:pos="-108"/>
              </w:tabs>
              <w:ind w:left="-108"/>
              <w:jc w:val="left"/>
              <w:rPr>
                <w:rFonts w:cs="Arial"/>
                <w:b/>
                <w:bCs/>
                <w:i/>
                <w:iCs/>
                <w:color w:val="000066"/>
                <w:sz w:val="12"/>
                <w:szCs w:val="12"/>
                <w:lang w:val="en-US" w:eastAsia="it-IT"/>
              </w:rPr>
            </w:pPr>
            <w:r w:rsidRPr="008957D5">
              <w:rPr>
                <w:rFonts w:ascii="AdvP6960" w:hAnsi="AdvP6960" w:cs="AdvP6960"/>
                <w:noProof/>
                <w:color w:val="241F20"/>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8957D5">
              <w:rPr>
                <w:rFonts w:ascii="AdvP6960" w:hAnsi="AdvP6960" w:cs="AdvP6960"/>
                <w:color w:val="241F20"/>
                <w:szCs w:val="18"/>
                <w:lang w:val="en-US" w:eastAsia="it-IT"/>
              </w:rPr>
              <w:t xml:space="preserve"> </w:t>
            </w:r>
            <w:r w:rsidRPr="008957D5">
              <w:rPr>
                <w:rFonts w:cs="Arial"/>
                <w:b/>
                <w:bCs/>
                <w:i/>
                <w:iCs/>
                <w:color w:val="000066"/>
                <w:sz w:val="24"/>
                <w:szCs w:val="24"/>
                <w:lang w:val="en-US" w:eastAsia="it-IT"/>
              </w:rPr>
              <w:t>CHEMICAL ENGINEERING</w:t>
            </w:r>
            <w:r w:rsidRPr="008957D5">
              <w:rPr>
                <w:rFonts w:cs="Arial"/>
                <w:b/>
                <w:bCs/>
                <w:i/>
                <w:iCs/>
                <w:color w:val="0033FF"/>
                <w:sz w:val="24"/>
                <w:szCs w:val="24"/>
                <w:lang w:val="en-US" w:eastAsia="it-IT"/>
              </w:rPr>
              <w:t xml:space="preserve"> </w:t>
            </w:r>
            <w:r w:rsidRPr="008957D5">
              <w:rPr>
                <w:rFonts w:cs="Arial"/>
                <w:b/>
                <w:bCs/>
                <w:i/>
                <w:iCs/>
                <w:color w:val="666666"/>
                <w:sz w:val="24"/>
                <w:szCs w:val="24"/>
                <w:lang w:val="en-US" w:eastAsia="it-IT"/>
              </w:rPr>
              <w:t>TRANSACTIONS</w:t>
            </w:r>
            <w:r w:rsidRPr="008957D5">
              <w:rPr>
                <w:color w:val="333333"/>
                <w:sz w:val="24"/>
                <w:szCs w:val="24"/>
                <w:lang w:val="en-US" w:eastAsia="it-IT"/>
              </w:rPr>
              <w:t xml:space="preserve"> </w:t>
            </w:r>
            <w:r w:rsidRPr="008957D5">
              <w:rPr>
                <w:rFonts w:cs="Arial"/>
                <w:b/>
                <w:bCs/>
                <w:i/>
                <w:iCs/>
                <w:color w:val="000066"/>
                <w:sz w:val="27"/>
                <w:szCs w:val="27"/>
                <w:lang w:val="en-US" w:eastAsia="it-IT"/>
              </w:rPr>
              <w:br/>
            </w:r>
          </w:p>
          <w:p w14:paraId="4B780582" w14:textId="78369865" w:rsidR="000A03B2" w:rsidRPr="008957D5" w:rsidRDefault="00A374E4" w:rsidP="001D21AF">
            <w:pPr>
              <w:tabs>
                <w:tab w:val="left" w:pos="-108"/>
              </w:tabs>
              <w:ind w:left="-108"/>
              <w:rPr>
                <w:rFonts w:cs="Arial"/>
                <w:b/>
                <w:bCs/>
                <w:i/>
                <w:iCs/>
                <w:color w:val="000066"/>
                <w:sz w:val="22"/>
                <w:szCs w:val="22"/>
                <w:lang w:val="en-US" w:eastAsia="it-IT"/>
              </w:rPr>
            </w:pPr>
            <w:r w:rsidRPr="008957D5">
              <w:rPr>
                <w:rFonts w:cs="Arial"/>
                <w:b/>
                <w:bCs/>
                <w:i/>
                <w:iCs/>
                <w:color w:val="000066"/>
                <w:sz w:val="22"/>
                <w:szCs w:val="22"/>
                <w:lang w:val="en-US" w:eastAsia="it-IT"/>
              </w:rPr>
              <w:t>VOL. xxx, 2026</w:t>
            </w:r>
          </w:p>
        </w:tc>
        <w:tc>
          <w:tcPr>
            <w:tcW w:w="1842" w:type="dxa"/>
            <w:tcBorders>
              <w:left w:val="single" w:sz="4" w:space="0" w:color="auto"/>
              <w:bottom w:val="nil"/>
              <w:right w:val="single" w:sz="4" w:space="0" w:color="auto"/>
            </w:tcBorders>
          </w:tcPr>
          <w:p w14:paraId="56782132" w14:textId="77777777" w:rsidR="000A03B2" w:rsidRPr="008957D5" w:rsidRDefault="000A03B2" w:rsidP="00CD5FE2">
            <w:pPr>
              <w:spacing w:line="140" w:lineRule="atLeast"/>
              <w:jc w:val="right"/>
              <w:rPr>
                <w:rFonts w:cs="Arial"/>
                <w:sz w:val="14"/>
                <w:szCs w:val="14"/>
                <w:lang w:val="en-US"/>
              </w:rPr>
            </w:pPr>
            <w:r w:rsidRPr="008957D5">
              <w:rPr>
                <w:rFonts w:cs="Arial"/>
                <w:sz w:val="14"/>
                <w:szCs w:val="14"/>
                <w:lang w:val="en-US"/>
              </w:rPr>
              <w:t>A publication of</w:t>
            </w:r>
          </w:p>
          <w:p w14:paraId="599E5441" w14:textId="77777777" w:rsidR="000A03B2" w:rsidRPr="008957D5" w:rsidRDefault="000A03B2" w:rsidP="00CD5FE2">
            <w:pPr>
              <w:jc w:val="right"/>
              <w:rPr>
                <w:lang w:val="en-US"/>
              </w:rPr>
            </w:pPr>
            <w:r w:rsidRPr="008957D5">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3E7328" w14:paraId="380FA3CD" w14:textId="77777777" w:rsidTr="00161865">
        <w:trPr>
          <w:trHeight w:val="567"/>
          <w:jc w:val="center"/>
        </w:trPr>
        <w:tc>
          <w:tcPr>
            <w:tcW w:w="6940" w:type="dxa"/>
            <w:vMerge/>
            <w:tcBorders>
              <w:right w:val="single" w:sz="4" w:space="0" w:color="auto"/>
            </w:tcBorders>
          </w:tcPr>
          <w:p w14:paraId="39E5E4C1" w14:textId="77777777" w:rsidR="000A03B2" w:rsidRPr="008957D5" w:rsidRDefault="000A03B2" w:rsidP="00CD5FE2">
            <w:pPr>
              <w:tabs>
                <w:tab w:val="left" w:pos="-108"/>
              </w:tabs>
              <w:rPr>
                <w:lang w:val="en-US"/>
              </w:rPr>
            </w:pPr>
          </w:p>
        </w:tc>
        <w:tc>
          <w:tcPr>
            <w:tcW w:w="1842" w:type="dxa"/>
            <w:tcBorders>
              <w:left w:val="single" w:sz="4" w:space="0" w:color="auto"/>
              <w:bottom w:val="nil"/>
              <w:right w:val="single" w:sz="4" w:space="0" w:color="auto"/>
            </w:tcBorders>
          </w:tcPr>
          <w:p w14:paraId="43858A98" w14:textId="77777777" w:rsidR="000A03B2" w:rsidRPr="008957D5" w:rsidRDefault="000A03B2" w:rsidP="00CD5FE2">
            <w:pPr>
              <w:spacing w:line="140" w:lineRule="atLeast"/>
              <w:jc w:val="right"/>
              <w:rPr>
                <w:rFonts w:cs="Arial"/>
                <w:sz w:val="14"/>
                <w:szCs w:val="14"/>
                <w:lang w:val="en-US"/>
              </w:rPr>
            </w:pPr>
            <w:r w:rsidRPr="008957D5">
              <w:rPr>
                <w:rFonts w:cs="Arial"/>
                <w:sz w:val="14"/>
                <w:szCs w:val="14"/>
                <w:lang w:val="en-US"/>
              </w:rPr>
              <w:t>The Italian Association</w:t>
            </w:r>
          </w:p>
          <w:p w14:paraId="7522B1D2" w14:textId="77777777" w:rsidR="000A03B2" w:rsidRPr="008957D5" w:rsidRDefault="000A03B2" w:rsidP="00CD5FE2">
            <w:pPr>
              <w:spacing w:line="140" w:lineRule="atLeast"/>
              <w:jc w:val="right"/>
              <w:rPr>
                <w:rFonts w:cs="Arial"/>
                <w:sz w:val="14"/>
                <w:szCs w:val="14"/>
                <w:lang w:val="en-US"/>
              </w:rPr>
            </w:pPr>
            <w:r w:rsidRPr="008957D5">
              <w:rPr>
                <w:rFonts w:cs="Arial"/>
                <w:sz w:val="14"/>
                <w:szCs w:val="14"/>
                <w:lang w:val="en-US"/>
              </w:rPr>
              <w:t>of Chemical Engineering</w:t>
            </w:r>
          </w:p>
          <w:p w14:paraId="4F0CC5DE" w14:textId="47FDB2FC" w:rsidR="000A03B2" w:rsidRPr="008957D5" w:rsidRDefault="000D0268" w:rsidP="00CD5FE2">
            <w:pPr>
              <w:spacing w:line="140" w:lineRule="atLeast"/>
              <w:jc w:val="right"/>
              <w:rPr>
                <w:rFonts w:cs="Arial"/>
                <w:sz w:val="13"/>
                <w:szCs w:val="13"/>
                <w:lang w:val="en-US"/>
              </w:rPr>
            </w:pPr>
            <w:r w:rsidRPr="008957D5">
              <w:rPr>
                <w:rFonts w:cs="Arial"/>
                <w:sz w:val="13"/>
                <w:szCs w:val="13"/>
                <w:lang w:val="en-US"/>
              </w:rPr>
              <w:t>Online at www.cetjournal.it</w:t>
            </w:r>
          </w:p>
        </w:tc>
      </w:tr>
      <w:tr w:rsidR="000A03B2" w:rsidRPr="003E7328" w14:paraId="2D1B7169" w14:textId="77777777" w:rsidTr="00161865">
        <w:trPr>
          <w:trHeight w:val="68"/>
          <w:jc w:val="center"/>
        </w:trPr>
        <w:tc>
          <w:tcPr>
            <w:tcW w:w="8782" w:type="dxa"/>
            <w:gridSpan w:val="2"/>
          </w:tcPr>
          <w:p w14:paraId="3B3EA172" w14:textId="77777777" w:rsidR="00A374E4" w:rsidRPr="008957D5" w:rsidRDefault="00A374E4" w:rsidP="00A374E4">
            <w:pPr>
              <w:ind w:left="-107"/>
              <w:outlineLvl w:val="2"/>
              <w:rPr>
                <w:rFonts w:ascii="Tahoma" w:hAnsi="Tahoma" w:cs="Tahoma"/>
                <w:color w:val="000000"/>
                <w:sz w:val="14"/>
                <w:szCs w:val="14"/>
                <w:shd w:val="clear" w:color="auto" w:fill="FFFFFF"/>
                <w:lang w:val="en-US"/>
              </w:rPr>
            </w:pPr>
            <w:r w:rsidRPr="008957D5">
              <w:rPr>
                <w:rFonts w:ascii="Tahoma" w:hAnsi="Tahoma" w:cs="Tahoma"/>
                <w:iCs/>
                <w:color w:val="333333"/>
                <w:sz w:val="14"/>
                <w:szCs w:val="14"/>
                <w:lang w:val="en-US" w:eastAsia="it-IT"/>
              </w:rPr>
              <w:t>Guest Editors:</w:t>
            </w:r>
            <w:r w:rsidRPr="008957D5">
              <w:rPr>
                <w:rFonts w:ascii="Tahoma" w:hAnsi="Tahoma" w:cs="Tahoma"/>
                <w:color w:val="000000"/>
                <w:sz w:val="14"/>
                <w:szCs w:val="14"/>
                <w:shd w:val="clear" w:color="auto" w:fill="FFFFFF"/>
                <w:lang w:val="en-US"/>
              </w:rPr>
              <w:t xml:space="preserve"> Valerio </w:t>
            </w:r>
            <w:proofErr w:type="spellStart"/>
            <w:r w:rsidRPr="008957D5">
              <w:rPr>
                <w:rFonts w:ascii="Tahoma" w:hAnsi="Tahoma" w:cs="Tahoma"/>
                <w:color w:val="000000"/>
                <w:sz w:val="14"/>
                <w:szCs w:val="14"/>
                <w:shd w:val="clear" w:color="auto" w:fill="FFFFFF"/>
                <w:lang w:val="en-US"/>
              </w:rPr>
              <w:t>Cozzani</w:t>
            </w:r>
            <w:proofErr w:type="spellEnd"/>
            <w:r w:rsidRPr="008957D5">
              <w:rPr>
                <w:rFonts w:ascii="Tahoma" w:hAnsi="Tahoma" w:cs="Tahoma"/>
                <w:color w:val="000000"/>
                <w:sz w:val="14"/>
                <w:szCs w:val="14"/>
                <w:shd w:val="clear" w:color="auto" w:fill="FFFFFF"/>
                <w:lang w:val="en-US"/>
              </w:rPr>
              <w:t xml:space="preserve">, Bruno Fabiano, </w:t>
            </w:r>
            <w:proofErr w:type="spellStart"/>
            <w:r w:rsidRPr="008957D5">
              <w:rPr>
                <w:rFonts w:ascii="Tahoma" w:hAnsi="Tahoma" w:cs="Tahoma"/>
                <w:color w:val="000000"/>
                <w:sz w:val="14"/>
                <w:szCs w:val="14"/>
                <w:shd w:val="clear" w:color="auto" w:fill="FFFFFF"/>
                <w:lang w:val="en-US"/>
              </w:rPr>
              <w:t>Genserik</w:t>
            </w:r>
            <w:proofErr w:type="spellEnd"/>
            <w:r w:rsidRPr="008957D5">
              <w:rPr>
                <w:rFonts w:ascii="Tahoma" w:hAnsi="Tahoma" w:cs="Tahoma"/>
                <w:color w:val="000000"/>
                <w:sz w:val="14"/>
                <w:szCs w:val="14"/>
                <w:shd w:val="clear" w:color="auto" w:fill="FFFFFF"/>
                <w:lang w:val="en-US"/>
              </w:rPr>
              <w:t xml:space="preserve"> </w:t>
            </w:r>
            <w:proofErr w:type="spellStart"/>
            <w:r w:rsidRPr="008957D5">
              <w:rPr>
                <w:rFonts w:ascii="Tahoma" w:hAnsi="Tahoma" w:cs="Tahoma"/>
                <w:color w:val="000000"/>
                <w:sz w:val="14"/>
                <w:szCs w:val="14"/>
                <w:shd w:val="clear" w:color="auto" w:fill="FFFFFF"/>
                <w:lang w:val="en-US"/>
              </w:rPr>
              <w:t>Reniers</w:t>
            </w:r>
            <w:proofErr w:type="spellEnd"/>
          </w:p>
          <w:p w14:paraId="1B0F1814" w14:textId="3F70F132" w:rsidR="000A03B2" w:rsidRPr="008957D5" w:rsidRDefault="00A374E4" w:rsidP="00AA7D26">
            <w:pPr>
              <w:tabs>
                <w:tab w:val="left" w:pos="-108"/>
              </w:tabs>
              <w:spacing w:line="140" w:lineRule="atLeast"/>
              <w:ind w:left="-107"/>
              <w:jc w:val="left"/>
              <w:rPr>
                <w:lang w:val="en-US"/>
              </w:rPr>
            </w:pPr>
            <w:r w:rsidRPr="008957D5">
              <w:rPr>
                <w:rFonts w:ascii="Tahoma" w:hAnsi="Tahoma" w:cs="Tahoma"/>
                <w:iCs/>
                <w:color w:val="333333"/>
                <w:sz w:val="14"/>
                <w:szCs w:val="14"/>
                <w:lang w:val="en-US" w:eastAsia="it-IT"/>
              </w:rPr>
              <w:t xml:space="preserve">Copyright © 2026, AIDIC </w:t>
            </w:r>
            <w:proofErr w:type="spellStart"/>
            <w:r w:rsidRPr="008957D5">
              <w:rPr>
                <w:rFonts w:ascii="Tahoma" w:hAnsi="Tahoma" w:cs="Tahoma"/>
                <w:iCs/>
                <w:color w:val="333333"/>
                <w:sz w:val="14"/>
                <w:szCs w:val="14"/>
                <w:lang w:val="en-US" w:eastAsia="it-IT"/>
              </w:rPr>
              <w:t>Servizi</w:t>
            </w:r>
            <w:proofErr w:type="spellEnd"/>
            <w:r w:rsidRPr="008957D5">
              <w:rPr>
                <w:rFonts w:ascii="Tahoma" w:hAnsi="Tahoma" w:cs="Tahoma"/>
                <w:iCs/>
                <w:color w:val="333333"/>
                <w:sz w:val="14"/>
                <w:szCs w:val="14"/>
                <w:lang w:val="en-US" w:eastAsia="it-IT"/>
              </w:rPr>
              <w:t xml:space="preserve"> </w:t>
            </w:r>
            <w:proofErr w:type="spellStart"/>
            <w:r w:rsidRPr="008957D5">
              <w:rPr>
                <w:rFonts w:ascii="Tahoma" w:hAnsi="Tahoma" w:cs="Tahoma"/>
                <w:iCs/>
                <w:color w:val="333333"/>
                <w:sz w:val="14"/>
                <w:szCs w:val="14"/>
                <w:lang w:val="en-US" w:eastAsia="it-IT"/>
              </w:rPr>
              <w:t>S.r.l</w:t>
            </w:r>
            <w:proofErr w:type="spellEnd"/>
            <w:r w:rsidRPr="008957D5">
              <w:rPr>
                <w:rFonts w:ascii="Tahoma" w:hAnsi="Tahoma" w:cs="Tahoma"/>
                <w:iCs/>
                <w:color w:val="333333"/>
                <w:sz w:val="14"/>
                <w:szCs w:val="14"/>
                <w:lang w:val="en-US" w:eastAsia="it-IT"/>
              </w:rPr>
              <w:t>.</w:t>
            </w:r>
            <w:r w:rsidRPr="008957D5">
              <w:rPr>
                <w:rFonts w:ascii="Tahoma" w:hAnsi="Tahoma" w:cs="Tahoma"/>
                <w:iCs/>
                <w:color w:val="333333"/>
                <w:sz w:val="14"/>
                <w:szCs w:val="14"/>
                <w:lang w:val="en-US" w:eastAsia="it-IT"/>
              </w:rPr>
              <w:br/>
            </w:r>
            <w:r w:rsidRPr="008957D5">
              <w:rPr>
                <w:rFonts w:ascii="Tahoma" w:hAnsi="Tahoma" w:cs="Tahoma"/>
                <w:b/>
                <w:iCs/>
                <w:color w:val="000000"/>
                <w:sz w:val="14"/>
                <w:szCs w:val="14"/>
                <w:lang w:val="en-US" w:eastAsia="it-IT"/>
              </w:rPr>
              <w:t>ISBN</w:t>
            </w:r>
            <w:r w:rsidRPr="008957D5">
              <w:rPr>
                <w:rFonts w:ascii="Tahoma" w:hAnsi="Tahoma" w:cs="Tahoma"/>
                <w:iCs/>
                <w:color w:val="000000"/>
                <w:sz w:val="14"/>
                <w:szCs w:val="14"/>
                <w:lang w:val="en-US" w:eastAsia="it-IT"/>
              </w:rPr>
              <w:t xml:space="preserve"> </w:t>
            </w:r>
            <w:r w:rsidRPr="008957D5">
              <w:rPr>
                <w:rFonts w:ascii="Tahoma" w:hAnsi="Tahoma" w:cs="Tahoma"/>
                <w:sz w:val="14"/>
                <w:szCs w:val="14"/>
                <w:lang w:val="en-US"/>
              </w:rPr>
              <w:t>979-12-81206-xx-x</w:t>
            </w:r>
            <w:r w:rsidRPr="008957D5">
              <w:rPr>
                <w:rFonts w:ascii="Tahoma" w:hAnsi="Tahoma" w:cs="Tahoma"/>
                <w:iCs/>
                <w:color w:val="333333"/>
                <w:sz w:val="14"/>
                <w:szCs w:val="14"/>
                <w:lang w:val="en-US" w:eastAsia="it-IT"/>
              </w:rPr>
              <w:t xml:space="preserve">; </w:t>
            </w:r>
            <w:r w:rsidRPr="008957D5">
              <w:rPr>
                <w:rFonts w:ascii="Tahoma" w:hAnsi="Tahoma" w:cs="Tahoma"/>
                <w:b/>
                <w:iCs/>
                <w:color w:val="333333"/>
                <w:sz w:val="14"/>
                <w:szCs w:val="14"/>
                <w:lang w:val="en-US" w:eastAsia="it-IT"/>
              </w:rPr>
              <w:t>ISSN</w:t>
            </w:r>
            <w:r w:rsidRPr="008957D5">
              <w:rPr>
                <w:rFonts w:ascii="Tahoma" w:hAnsi="Tahoma" w:cs="Tahoma"/>
                <w:iCs/>
                <w:color w:val="333333"/>
                <w:sz w:val="14"/>
                <w:szCs w:val="14"/>
                <w:lang w:val="en-US" w:eastAsia="it-IT"/>
              </w:rPr>
              <w:t xml:space="preserve"> 2283-9216</w:t>
            </w:r>
          </w:p>
        </w:tc>
      </w:tr>
    </w:tbl>
    <w:p w14:paraId="7C2E127E" w14:textId="6AE1E8BF" w:rsidR="00161865" w:rsidRPr="008957D5" w:rsidRDefault="00C03AB5" w:rsidP="00161865">
      <w:pPr>
        <w:pStyle w:val="CETAuthors"/>
        <w:rPr>
          <w:noProof w:val="0"/>
          <w:sz w:val="32"/>
          <w:lang w:val="en-US"/>
        </w:rPr>
      </w:pPr>
      <w:r w:rsidRPr="00C03AB5">
        <w:rPr>
          <w:noProof w:val="0"/>
          <w:sz w:val="32"/>
          <w:lang w:val="en-US"/>
        </w:rPr>
        <w:t>Hazard-Adjusted Round-Trip Efficiency: Integrating Safety into the Comparative Evaluation of Green Hydrogen and Ammonia Energy Pathways</w:t>
      </w:r>
      <w:r>
        <w:rPr>
          <w:noProof w:val="0"/>
          <w:sz w:val="32"/>
          <w:lang w:val="en-US"/>
        </w:rPr>
        <w:t xml:space="preserve"> </w:t>
      </w:r>
    </w:p>
    <w:p w14:paraId="2FA16185" w14:textId="77AAE291" w:rsidR="00161865" w:rsidRPr="008957D5" w:rsidRDefault="00161865" w:rsidP="00F03276">
      <w:pPr>
        <w:pStyle w:val="CETAuthors"/>
        <w:rPr>
          <w:noProof w:val="0"/>
          <w:lang w:val="en-US"/>
        </w:rPr>
      </w:pPr>
      <w:bookmarkStart w:id="0" w:name="_Hlk217138402"/>
      <w:proofErr w:type="spellStart"/>
      <w:r w:rsidRPr="008957D5">
        <w:rPr>
          <w:noProof w:val="0"/>
          <w:lang w:val="en-US"/>
        </w:rPr>
        <w:t>Burcu</w:t>
      </w:r>
      <w:proofErr w:type="spellEnd"/>
      <w:r w:rsidRPr="008957D5">
        <w:rPr>
          <w:noProof w:val="0"/>
          <w:lang w:val="en-US"/>
        </w:rPr>
        <w:t xml:space="preserve"> Yigitoglu</w:t>
      </w:r>
      <w:r w:rsidRPr="008957D5">
        <w:rPr>
          <w:noProof w:val="0"/>
          <w:vertAlign w:val="superscript"/>
          <w:lang w:val="en-US"/>
        </w:rPr>
        <w:t>1</w:t>
      </w:r>
      <w:r w:rsidRPr="008957D5">
        <w:rPr>
          <w:noProof w:val="0"/>
          <w:lang w:val="en-US"/>
        </w:rPr>
        <w:t xml:space="preserve">, </w:t>
      </w:r>
      <w:r w:rsidR="00A374E4" w:rsidRPr="008957D5">
        <w:rPr>
          <w:noProof w:val="0"/>
          <w:lang w:val="en-US"/>
        </w:rPr>
        <w:t>HILMAN ALI HAZMI</w:t>
      </w:r>
      <w:r w:rsidR="00A374E4" w:rsidRPr="008957D5">
        <w:rPr>
          <w:noProof w:val="0"/>
          <w:vertAlign w:val="superscript"/>
          <w:lang w:val="en-US"/>
        </w:rPr>
        <w:t>1</w:t>
      </w:r>
      <w:r w:rsidR="00A374E4" w:rsidRPr="008957D5">
        <w:rPr>
          <w:noProof w:val="0"/>
          <w:lang w:val="en-US"/>
        </w:rPr>
        <w:t>, Marcos Gabriel Millan Agorio</w:t>
      </w:r>
      <w:r w:rsidR="00A374E4" w:rsidRPr="008957D5">
        <w:rPr>
          <w:noProof w:val="0"/>
          <w:vertAlign w:val="superscript"/>
          <w:lang w:val="en-US"/>
        </w:rPr>
        <w:t>1</w:t>
      </w:r>
      <w:r w:rsidR="00C03AB5">
        <w:rPr>
          <w:noProof w:val="0"/>
          <w:vertAlign w:val="superscript"/>
          <w:lang w:val="en-US"/>
        </w:rPr>
        <w:t>,2</w:t>
      </w:r>
      <w:r w:rsidR="00A374E4" w:rsidRPr="008957D5">
        <w:rPr>
          <w:noProof w:val="0"/>
          <w:lang w:val="en-US"/>
        </w:rPr>
        <w:t xml:space="preserve">, </w:t>
      </w:r>
      <w:r w:rsidRPr="008957D5">
        <w:rPr>
          <w:noProof w:val="0"/>
          <w:lang w:val="en-US"/>
        </w:rPr>
        <w:t>Sunhwa Park</w:t>
      </w:r>
      <w:r w:rsidRPr="008957D5">
        <w:rPr>
          <w:noProof w:val="0"/>
          <w:vertAlign w:val="superscript"/>
          <w:lang w:val="en-US"/>
        </w:rPr>
        <w:t>1</w:t>
      </w:r>
      <w:r w:rsidR="00C03AB5">
        <w:rPr>
          <w:noProof w:val="0"/>
          <w:vertAlign w:val="superscript"/>
          <w:lang w:val="en-US"/>
        </w:rPr>
        <w:t>,2</w:t>
      </w:r>
      <w:r w:rsidRPr="008957D5">
        <w:rPr>
          <w:noProof w:val="0"/>
          <w:vertAlign w:val="superscript"/>
          <w:lang w:val="en-US"/>
        </w:rPr>
        <w:t>*</w:t>
      </w:r>
    </w:p>
    <w:p w14:paraId="30FA2324" w14:textId="638F789C" w:rsidR="00161865" w:rsidRDefault="00161865" w:rsidP="00F03276">
      <w:pPr>
        <w:pStyle w:val="CETAddress"/>
        <w:rPr>
          <w:lang w:val="en-US"/>
        </w:rPr>
      </w:pPr>
      <w:r w:rsidRPr="008957D5">
        <w:rPr>
          <w:vertAlign w:val="superscript"/>
          <w:lang w:val="en-US"/>
        </w:rPr>
        <w:t xml:space="preserve">1 </w:t>
      </w:r>
      <w:r w:rsidRPr="008957D5">
        <w:rPr>
          <w:lang w:val="en-US"/>
        </w:rPr>
        <w:t xml:space="preserve">Chemical Engineering Department, King Fahd University of Petroleum and Minerals (KFUPM), Dhahran 31261, Saudi Arabia </w:t>
      </w:r>
    </w:p>
    <w:p w14:paraId="1212E087" w14:textId="753A545F" w:rsidR="00C03AB5" w:rsidRPr="00C03AB5" w:rsidRDefault="00C03AB5" w:rsidP="00F03276">
      <w:pPr>
        <w:pStyle w:val="CETAddress"/>
      </w:pPr>
      <w:r w:rsidRPr="008957D5">
        <w:rPr>
          <w:vertAlign w:val="superscript"/>
          <w:lang w:val="en-US"/>
        </w:rPr>
        <w:t>2</w:t>
      </w:r>
      <w:r>
        <w:rPr>
          <w:lang w:val="en-US"/>
        </w:rPr>
        <w:t xml:space="preserve"> </w:t>
      </w:r>
      <w:r w:rsidRPr="00C03AB5">
        <w:rPr>
          <w:lang w:val="en-US"/>
        </w:rPr>
        <w:t>KFUPM Interdisciplinary Research Center for Refining and Advanced Chemical, Dhahran 31261, Saudi Arabia</w:t>
      </w:r>
    </w:p>
    <w:p w14:paraId="6B79309A" w14:textId="14D68F00" w:rsidR="00161865" w:rsidRPr="008957D5" w:rsidRDefault="00161865">
      <w:pPr>
        <w:pStyle w:val="CETAddress"/>
        <w:rPr>
          <w:lang w:val="en-US"/>
        </w:rPr>
      </w:pPr>
      <w:r w:rsidRPr="008957D5">
        <w:rPr>
          <w:b/>
          <w:noProof w:val="0"/>
          <w:vertAlign w:val="superscript"/>
          <w:lang w:val="en-US"/>
        </w:rPr>
        <w:t>*</w:t>
      </w:r>
      <w:r w:rsidRPr="008957D5">
        <w:rPr>
          <w:lang w:val="en-US"/>
        </w:rPr>
        <w:t xml:space="preserve">Correspondence: </w:t>
      </w:r>
      <w:hyperlink r:id="rId10" w:history="1">
        <w:r w:rsidR="008274CA" w:rsidRPr="008957D5">
          <w:rPr>
            <w:lang w:val="en-US"/>
          </w:rPr>
          <w:t>sunhwa.park@kfupm.edu.sa</w:t>
        </w:r>
      </w:hyperlink>
    </w:p>
    <w:p w14:paraId="09F21AFA" w14:textId="77777777" w:rsidR="008274CA" w:rsidRPr="008957D5" w:rsidRDefault="008274CA" w:rsidP="00F03276">
      <w:pPr>
        <w:pStyle w:val="CETAddress"/>
        <w:rPr>
          <w:b/>
          <w:noProof w:val="0"/>
          <w:vertAlign w:val="superscript"/>
          <w:lang w:val="en-US"/>
        </w:rPr>
      </w:pPr>
    </w:p>
    <w:bookmarkEnd w:id="0"/>
    <w:p w14:paraId="14953154" w14:textId="548569FF" w:rsidR="00161865" w:rsidRPr="008957D5" w:rsidRDefault="00161865" w:rsidP="00F03276">
      <w:pPr>
        <w:pStyle w:val="CETBodytext"/>
        <w:rPr>
          <w:lang w:eastAsia="tr-TR"/>
        </w:rPr>
      </w:pPr>
      <w:r w:rsidRPr="008957D5">
        <w:rPr>
          <w:lang w:eastAsia="tr-TR"/>
        </w:rPr>
        <w:t xml:space="preserve">Green hydrogen and green ammonia are leading carbon-free energy carriers for decarbonizing hard-to-abate sectors. Conventional evaluation based on round-trip efficiency (RTE) consistently favors hydrogen but </w:t>
      </w:r>
      <w:r w:rsidR="00DE0BE5" w:rsidRPr="008957D5">
        <w:rPr>
          <w:lang w:eastAsia="tr-TR"/>
        </w:rPr>
        <w:t xml:space="preserve">fail to account for </w:t>
      </w:r>
      <w:r w:rsidRPr="008957D5">
        <w:rPr>
          <w:lang w:eastAsia="tr-TR"/>
        </w:rPr>
        <w:t xml:space="preserve">safety. This study </w:t>
      </w:r>
      <w:r w:rsidR="00B93864">
        <w:rPr>
          <w:lang w:eastAsia="tr-TR"/>
        </w:rPr>
        <w:t>introduce</w:t>
      </w:r>
      <w:r w:rsidR="006B6CFD" w:rsidRPr="008957D5">
        <w:rPr>
          <w:lang w:eastAsia="tr-TR"/>
        </w:rPr>
        <w:t>s</w:t>
      </w:r>
      <w:r w:rsidRPr="008957D5">
        <w:rPr>
          <w:lang w:eastAsia="tr-TR"/>
        </w:rPr>
        <w:t xml:space="preserve"> Hazard-Adjusted Round-Trip Efficiency (HA-RTE)</w:t>
      </w:r>
      <w:r w:rsidR="00DE0BE5" w:rsidRPr="008957D5">
        <w:rPr>
          <w:lang w:eastAsia="tr-TR"/>
        </w:rPr>
        <w:t xml:space="preserve"> metric</w:t>
      </w:r>
      <w:r w:rsidRPr="008957D5">
        <w:rPr>
          <w:lang w:eastAsia="tr-TR"/>
        </w:rPr>
        <w:t>,</w:t>
      </w:r>
      <w:r w:rsidR="006B6CFD" w:rsidRPr="008957D5">
        <w:rPr>
          <w:lang w:eastAsia="tr-TR"/>
        </w:rPr>
        <w:t xml:space="preserve"> which</w:t>
      </w:r>
      <w:r w:rsidRPr="008957D5">
        <w:rPr>
          <w:lang w:eastAsia="tr-TR"/>
        </w:rPr>
        <w:t xml:space="preserve"> integrat</w:t>
      </w:r>
      <w:r w:rsidR="006B6CFD" w:rsidRPr="008957D5">
        <w:rPr>
          <w:lang w:eastAsia="tr-TR"/>
        </w:rPr>
        <w:t>es</w:t>
      </w:r>
      <w:r w:rsidRPr="008957D5">
        <w:rPr>
          <w:lang w:eastAsia="tr-TR"/>
        </w:rPr>
        <w:t xml:space="preserve"> energy efficiency with </w:t>
      </w:r>
      <w:r w:rsidR="006B6CFD" w:rsidRPr="008957D5">
        <w:rPr>
          <w:lang w:eastAsia="tr-TR"/>
        </w:rPr>
        <w:t xml:space="preserve">quantified safety </w:t>
      </w:r>
      <w:r w:rsidRPr="008957D5">
        <w:rPr>
          <w:lang w:eastAsia="tr-TR"/>
        </w:rPr>
        <w:t xml:space="preserve">penalties derived from a normalized Extended Inherent Safety Index. Eight grid-to-grid Power-to-X-to-Power pathways are assessed by pairing green hydrogen and green ammonia with gas turbines, internal combustion engines, solid oxide fuel cells, and alkaline fuel cells. Hydrogen pathways exhibit higher baseline RTE, reaching 34.10% in </w:t>
      </w:r>
      <w:r w:rsidR="006B6CFD" w:rsidRPr="008957D5">
        <w:rPr>
          <w:lang w:eastAsia="tr-TR"/>
        </w:rPr>
        <w:t>H</w:t>
      </w:r>
      <w:r w:rsidR="006B6CFD" w:rsidRPr="008957D5">
        <w:rPr>
          <w:vertAlign w:val="subscript"/>
          <w:lang w:eastAsia="tr-TR"/>
        </w:rPr>
        <w:t>2</w:t>
      </w:r>
      <w:r w:rsidR="006B6CFD" w:rsidRPr="008957D5">
        <w:rPr>
          <w:lang w:eastAsia="tr-TR"/>
        </w:rPr>
        <w:t>-</w:t>
      </w:r>
      <w:r w:rsidRPr="008957D5">
        <w:rPr>
          <w:lang w:eastAsia="tr-TR"/>
        </w:rPr>
        <w:t>SOFC systems</w:t>
      </w:r>
      <w:r w:rsidR="006B6CFD" w:rsidRPr="008957D5">
        <w:rPr>
          <w:lang w:eastAsia="tr-TR"/>
        </w:rPr>
        <w:t>;</w:t>
      </w:r>
      <w:r w:rsidRPr="008957D5">
        <w:rPr>
          <w:lang w:eastAsia="tr-TR"/>
        </w:rPr>
        <w:t xml:space="preserve"> </w:t>
      </w:r>
      <w:r w:rsidR="006B6CFD" w:rsidRPr="008957D5">
        <w:rPr>
          <w:lang w:eastAsia="tr-TR"/>
        </w:rPr>
        <w:t>however,</w:t>
      </w:r>
      <w:r w:rsidRPr="008957D5">
        <w:rPr>
          <w:lang w:eastAsia="tr-TR"/>
        </w:rPr>
        <w:t xml:space="preserve"> </w:t>
      </w:r>
      <w:r w:rsidR="006B6CFD" w:rsidRPr="008957D5">
        <w:rPr>
          <w:lang w:eastAsia="tr-TR"/>
        </w:rPr>
        <w:t>they are associated with elevated</w:t>
      </w:r>
      <w:r w:rsidRPr="008957D5">
        <w:rPr>
          <w:lang w:eastAsia="tr-TR"/>
        </w:rPr>
        <w:t xml:space="preserve"> chemical and process hazards, resulting in substantial efficiency penalties. After hazard adjustment, ammonia pathways retain more usable performance, with NH</w:t>
      </w:r>
      <w:r w:rsidRPr="008957D5">
        <w:rPr>
          <w:rFonts w:ascii="Cambria Math" w:hAnsi="Cambria Math" w:cs="Cambria Math"/>
          <w:lang w:eastAsia="tr-TR"/>
        </w:rPr>
        <w:t>₃</w:t>
      </w:r>
      <w:r w:rsidRPr="008957D5">
        <w:rPr>
          <w:lang w:eastAsia="tr-TR"/>
        </w:rPr>
        <w:t>-SOFC achieving the highest HA-RTE at 20.12%, surpassing H</w:t>
      </w:r>
      <w:r w:rsidRPr="008957D5">
        <w:rPr>
          <w:rFonts w:ascii="Cambria Math" w:hAnsi="Cambria Math" w:cs="Cambria Math"/>
          <w:lang w:eastAsia="tr-TR"/>
        </w:rPr>
        <w:t>₂</w:t>
      </w:r>
      <w:r w:rsidRPr="008957D5">
        <w:rPr>
          <w:lang w:eastAsia="tr-TR"/>
        </w:rPr>
        <w:t xml:space="preserve">-SOFC at 18.08%. Sensitivity analyses confirm that increasing chemical or process hazard weighting and maximum penalty severity disproportionately </w:t>
      </w:r>
      <w:r w:rsidR="00EA395D" w:rsidRPr="008957D5">
        <w:rPr>
          <w:lang w:eastAsia="tr-TR"/>
        </w:rPr>
        <w:t>penalize</w:t>
      </w:r>
      <w:r w:rsidRPr="008957D5">
        <w:rPr>
          <w:lang w:eastAsia="tr-TR"/>
        </w:rPr>
        <w:t xml:space="preserve"> hydrogen pathways. The results demonstrate that HA-RTE provides a more realistic and decision-relevant comparison of energy carriers than RTE alone and highlights ammonia as a safer and more robust option for large-scale energy deployment.</w:t>
      </w:r>
    </w:p>
    <w:p w14:paraId="476B2F2E" w14:textId="77777777" w:rsidR="00600535" w:rsidRPr="008957D5" w:rsidRDefault="00600535" w:rsidP="00600535">
      <w:pPr>
        <w:pStyle w:val="CETHeading1"/>
      </w:pPr>
      <w:r w:rsidRPr="008957D5">
        <w:t>Introduction</w:t>
      </w:r>
    </w:p>
    <w:p w14:paraId="5F67DFD0" w14:textId="5947823B" w:rsidR="00161865" w:rsidRPr="008957D5" w:rsidRDefault="00161865" w:rsidP="00EE7F94">
      <w:pPr>
        <w:pStyle w:val="CETheadingx"/>
        <w:numPr>
          <w:ilvl w:val="0"/>
          <w:numId w:val="0"/>
        </w:numPr>
        <w:jc w:val="both"/>
        <w:rPr>
          <w:b w:val="0"/>
        </w:rPr>
      </w:pPr>
      <w:r w:rsidRPr="008957D5">
        <w:rPr>
          <w:b w:val="0"/>
        </w:rPr>
        <w:t>Decarbonizing energy-intensive sectors such as heavy industry, shipping, and long-distance power storage requires scalable, low-carbon energy carriers.</w:t>
      </w:r>
      <w:r w:rsidR="006B6CFD" w:rsidRPr="008957D5">
        <w:rPr>
          <w:b w:val="0"/>
        </w:rPr>
        <w:t xml:space="preserve"> Among the available options,</w:t>
      </w:r>
      <w:r w:rsidRPr="008957D5">
        <w:rPr>
          <w:b w:val="0"/>
        </w:rPr>
        <w:t xml:space="preserve"> </w:t>
      </w:r>
      <w:r w:rsidR="006B6CFD" w:rsidRPr="008957D5">
        <w:rPr>
          <w:b w:val="0"/>
        </w:rPr>
        <w:t>g</w:t>
      </w:r>
      <w:r w:rsidRPr="008957D5">
        <w:rPr>
          <w:b w:val="0"/>
        </w:rPr>
        <w:t>reen hydrogen (H</w:t>
      </w:r>
      <w:r w:rsidRPr="008957D5">
        <w:rPr>
          <w:rFonts w:ascii="Cambria Math" w:hAnsi="Cambria Math" w:cs="Cambria Math"/>
          <w:b w:val="0"/>
        </w:rPr>
        <w:t>₂</w:t>
      </w:r>
      <w:r w:rsidRPr="008957D5">
        <w:rPr>
          <w:b w:val="0"/>
        </w:rPr>
        <w:t>) and green ammonia (NH</w:t>
      </w:r>
      <w:r w:rsidRPr="008957D5">
        <w:rPr>
          <w:rFonts w:ascii="Cambria Math" w:hAnsi="Cambria Math" w:cs="Cambria Math"/>
          <w:b w:val="0"/>
        </w:rPr>
        <w:t>₃</w:t>
      </w:r>
      <w:r w:rsidRPr="008957D5">
        <w:rPr>
          <w:b w:val="0"/>
        </w:rPr>
        <w:t xml:space="preserve">) are </w:t>
      </w:r>
      <w:r w:rsidR="006B6CFD" w:rsidRPr="008957D5">
        <w:rPr>
          <w:b w:val="0"/>
        </w:rPr>
        <w:t>emerged</w:t>
      </w:r>
      <w:r w:rsidRPr="008957D5">
        <w:rPr>
          <w:b w:val="0"/>
        </w:rPr>
        <w:t xml:space="preserve"> as leading candidates due to their carbon-free end-use characteristics</w:t>
      </w:r>
      <w:r w:rsidR="006B6CFD" w:rsidRPr="008957D5">
        <w:rPr>
          <w:b w:val="0"/>
        </w:rPr>
        <w:t xml:space="preserve"> and compatibility with renewable electricity systems</w:t>
      </w:r>
      <w:r w:rsidR="00BA5B38" w:rsidRPr="008957D5">
        <w:rPr>
          <w:b w:val="0"/>
        </w:rPr>
        <w:t xml:space="preserve"> (Kumar et al., 2024).</w:t>
      </w:r>
      <w:r w:rsidRPr="008957D5">
        <w:rPr>
          <w:b w:val="0"/>
        </w:rPr>
        <w:t xml:space="preserve"> Hydrogen offers high gravimetric energy density and favorable conversion efficiencies, while ammonia benefits from higher volumetric density, moderate storage conditions, and a</w:t>
      </w:r>
      <w:r w:rsidR="006B6CFD" w:rsidRPr="008957D5">
        <w:rPr>
          <w:b w:val="0"/>
        </w:rPr>
        <w:t xml:space="preserve"> well-</w:t>
      </w:r>
      <w:r w:rsidRPr="008957D5">
        <w:rPr>
          <w:b w:val="0"/>
        </w:rPr>
        <w:t>established global infrastructure</w:t>
      </w:r>
      <w:r w:rsidR="00734C7F" w:rsidRPr="008957D5">
        <w:rPr>
          <w:b w:val="0"/>
        </w:rPr>
        <w:t xml:space="preserve"> (Negro et al., 2023).</w:t>
      </w:r>
      <w:r w:rsidR="00EE7F94" w:rsidRPr="008957D5">
        <w:rPr>
          <w:b w:val="0"/>
        </w:rPr>
        <w:t xml:space="preserve"> </w:t>
      </w:r>
      <w:r w:rsidRPr="008957D5">
        <w:rPr>
          <w:b w:val="0"/>
        </w:rPr>
        <w:t>Most comparative assessments</w:t>
      </w:r>
      <w:r w:rsidR="006B6CFD" w:rsidRPr="008957D5">
        <w:rPr>
          <w:b w:val="0"/>
        </w:rPr>
        <w:t xml:space="preserve"> of these carriers</w:t>
      </w:r>
      <w:r w:rsidRPr="008957D5">
        <w:rPr>
          <w:b w:val="0"/>
        </w:rPr>
        <w:t xml:space="preserve"> rely on round-trip efficiency (RTE), defined as the fraction of input electrical energy recovered as useful output. </w:t>
      </w:r>
      <w:r w:rsidR="006B6CFD" w:rsidRPr="008957D5">
        <w:rPr>
          <w:b w:val="0"/>
        </w:rPr>
        <w:t xml:space="preserve">Under this metric, </w:t>
      </w:r>
      <w:r w:rsidRPr="008957D5">
        <w:rPr>
          <w:b w:val="0"/>
        </w:rPr>
        <w:t>hydrogen</w:t>
      </w:r>
      <w:r w:rsidR="006B6CFD" w:rsidRPr="008957D5">
        <w:rPr>
          <w:b w:val="0"/>
        </w:rPr>
        <w:t>-based pathways</w:t>
      </w:r>
      <w:r w:rsidRPr="008957D5">
        <w:rPr>
          <w:b w:val="0"/>
        </w:rPr>
        <w:t xml:space="preserve"> consistently </w:t>
      </w:r>
      <w:r w:rsidR="006B6CFD" w:rsidRPr="008957D5">
        <w:rPr>
          <w:b w:val="0"/>
        </w:rPr>
        <w:t>outperform</w:t>
      </w:r>
      <w:r w:rsidRPr="008957D5">
        <w:rPr>
          <w:b w:val="0"/>
        </w:rPr>
        <w:t xml:space="preserve"> ammonia</w:t>
      </w:r>
      <w:r w:rsidR="006B6CFD" w:rsidRPr="008957D5">
        <w:rPr>
          <w:b w:val="0"/>
        </w:rPr>
        <w:t>-based alternatives.</w:t>
      </w:r>
      <w:r w:rsidRPr="008957D5">
        <w:rPr>
          <w:b w:val="0"/>
        </w:rPr>
        <w:t xml:space="preserve"> </w:t>
      </w:r>
      <w:r w:rsidR="006B6CFD" w:rsidRPr="008957D5">
        <w:rPr>
          <w:b w:val="0"/>
        </w:rPr>
        <w:t xml:space="preserve">However, RTE-only evaluation implicitly assumes idealized operation and </w:t>
      </w:r>
      <w:r w:rsidRPr="008957D5">
        <w:rPr>
          <w:b w:val="0"/>
        </w:rPr>
        <w:t>neglects safety</w:t>
      </w:r>
      <w:r w:rsidR="006B6CFD" w:rsidRPr="008957D5">
        <w:rPr>
          <w:b w:val="0"/>
        </w:rPr>
        <w:t xml:space="preserve"> risks, which play a critical role in real-world system design, operation, and deployment</w:t>
      </w:r>
      <w:r w:rsidR="00BA5B38" w:rsidRPr="008957D5">
        <w:rPr>
          <w:b w:val="0"/>
        </w:rPr>
        <w:t xml:space="preserve"> (Müller et al., 2024).</w:t>
      </w:r>
      <w:r w:rsidRPr="008957D5">
        <w:rPr>
          <w:b w:val="0"/>
        </w:rPr>
        <w:t xml:space="preserve"> Hydrogen is </w:t>
      </w:r>
      <w:r w:rsidR="006B6CFD" w:rsidRPr="008957D5">
        <w:rPr>
          <w:b w:val="0"/>
        </w:rPr>
        <w:t>characterized by wide flammability, low ignition energy, and high diffusivity, leading to elevated combustion accidents—fire and explosions</w:t>
      </w:r>
      <w:r w:rsidR="00ED7116">
        <w:rPr>
          <w:b w:val="0"/>
        </w:rPr>
        <w:t xml:space="preserve"> (Park et al. 2025)</w:t>
      </w:r>
      <w:r w:rsidR="006B6CFD" w:rsidRPr="008957D5">
        <w:rPr>
          <w:b w:val="0"/>
        </w:rPr>
        <w:t xml:space="preserve">. By contrast, </w:t>
      </w:r>
      <w:r w:rsidRPr="008957D5">
        <w:rPr>
          <w:b w:val="0"/>
        </w:rPr>
        <w:t xml:space="preserve">ammonia presents </w:t>
      </w:r>
      <w:r w:rsidR="006B6CFD" w:rsidRPr="008957D5">
        <w:rPr>
          <w:b w:val="0"/>
        </w:rPr>
        <w:t xml:space="preserve">significant </w:t>
      </w:r>
      <w:r w:rsidRPr="008957D5">
        <w:rPr>
          <w:b w:val="0"/>
        </w:rPr>
        <w:t>toxicity and corrosiveness concerns</w:t>
      </w:r>
      <w:r w:rsidR="006B6CFD" w:rsidRPr="008957D5">
        <w:rPr>
          <w:b w:val="0"/>
        </w:rPr>
        <w:t xml:space="preserve"> along with flammability characteristics, but lower risk than hydrogen.</w:t>
      </w:r>
      <w:r w:rsidRPr="008957D5">
        <w:rPr>
          <w:b w:val="0"/>
        </w:rPr>
        <w:t xml:space="preserve"> These </w:t>
      </w:r>
      <w:r w:rsidR="006B6CFD" w:rsidRPr="008957D5">
        <w:rPr>
          <w:b w:val="0"/>
        </w:rPr>
        <w:t>hazard profiles</w:t>
      </w:r>
      <w:r w:rsidRPr="008957D5">
        <w:rPr>
          <w:b w:val="0"/>
        </w:rPr>
        <w:t xml:space="preserve"> influence </w:t>
      </w:r>
      <w:r w:rsidR="006B6CFD" w:rsidRPr="008957D5">
        <w:rPr>
          <w:b w:val="0"/>
        </w:rPr>
        <w:t xml:space="preserve">material selection, safety distances, </w:t>
      </w:r>
      <w:r w:rsidRPr="008957D5">
        <w:rPr>
          <w:b w:val="0"/>
        </w:rPr>
        <w:t>regulatory requir</w:t>
      </w:r>
      <w:r w:rsidR="006B6CFD" w:rsidRPr="008957D5">
        <w:rPr>
          <w:b w:val="0"/>
        </w:rPr>
        <w:t>ements, and ultimately system feasibility and cost</w:t>
      </w:r>
      <w:r w:rsidRPr="008957D5">
        <w:rPr>
          <w:b w:val="0"/>
        </w:rPr>
        <w:t xml:space="preserve"> </w:t>
      </w:r>
      <w:r w:rsidR="00734C7F" w:rsidRPr="008957D5">
        <w:rPr>
          <w:b w:val="0"/>
        </w:rPr>
        <w:t>(Sarangi et al., 2024)</w:t>
      </w:r>
      <w:r w:rsidRPr="008957D5">
        <w:rPr>
          <w:b w:val="0"/>
        </w:rPr>
        <w:t>.</w:t>
      </w:r>
      <w:r w:rsidR="00EE7F94" w:rsidRPr="008957D5">
        <w:rPr>
          <w:b w:val="0"/>
        </w:rPr>
        <w:t xml:space="preserve"> </w:t>
      </w:r>
      <w:r w:rsidRPr="008957D5">
        <w:rPr>
          <w:b w:val="0"/>
        </w:rPr>
        <w:t xml:space="preserve">To address this limitation, this </w:t>
      </w:r>
      <w:r w:rsidR="004F3725" w:rsidRPr="008957D5">
        <w:rPr>
          <w:b w:val="0"/>
        </w:rPr>
        <w:t xml:space="preserve">study </w:t>
      </w:r>
      <w:r w:rsidR="00B93864">
        <w:rPr>
          <w:b w:val="0"/>
        </w:rPr>
        <w:t>introduce</w:t>
      </w:r>
      <w:r w:rsidRPr="008957D5">
        <w:rPr>
          <w:b w:val="0"/>
        </w:rPr>
        <w:t>s Hazard-Adjusted Round-Trip Efficiency (HA-RTE)</w:t>
      </w:r>
      <w:r w:rsidR="004F3725" w:rsidRPr="008957D5">
        <w:rPr>
          <w:b w:val="0"/>
        </w:rPr>
        <w:t xml:space="preserve"> as</w:t>
      </w:r>
      <w:r w:rsidRPr="008957D5">
        <w:rPr>
          <w:b w:val="0"/>
        </w:rPr>
        <w:t xml:space="preserve"> a unified</w:t>
      </w:r>
      <w:r w:rsidR="004F3725" w:rsidRPr="008957D5">
        <w:rPr>
          <w:b w:val="0"/>
        </w:rPr>
        <w:t xml:space="preserve"> performance</w:t>
      </w:r>
      <w:r w:rsidRPr="008957D5">
        <w:rPr>
          <w:b w:val="0"/>
        </w:rPr>
        <w:t xml:space="preserve"> metric</w:t>
      </w:r>
      <w:r w:rsidR="004F3725" w:rsidRPr="008957D5">
        <w:rPr>
          <w:b w:val="0"/>
        </w:rPr>
        <w:t xml:space="preserve"> that explicitly</w:t>
      </w:r>
      <w:r w:rsidRPr="008957D5">
        <w:rPr>
          <w:b w:val="0"/>
        </w:rPr>
        <w:t xml:space="preserve"> combin</w:t>
      </w:r>
      <w:r w:rsidR="004F3725" w:rsidRPr="008957D5">
        <w:rPr>
          <w:b w:val="0"/>
        </w:rPr>
        <w:t>e</w:t>
      </w:r>
      <w:r w:rsidRPr="008957D5">
        <w:rPr>
          <w:b w:val="0"/>
        </w:rPr>
        <w:t xml:space="preserve"> </w:t>
      </w:r>
      <w:r w:rsidR="004F3725" w:rsidRPr="008957D5">
        <w:rPr>
          <w:b w:val="0"/>
        </w:rPr>
        <w:t>efficiency</w:t>
      </w:r>
      <w:r w:rsidRPr="008957D5">
        <w:rPr>
          <w:b w:val="0"/>
        </w:rPr>
        <w:t xml:space="preserve"> with </w:t>
      </w:r>
      <w:r w:rsidR="004F3725" w:rsidRPr="008957D5">
        <w:rPr>
          <w:b w:val="0"/>
        </w:rPr>
        <w:t xml:space="preserve">quantified </w:t>
      </w:r>
      <w:r w:rsidRPr="008957D5">
        <w:rPr>
          <w:b w:val="0"/>
        </w:rPr>
        <w:t xml:space="preserve">inherent </w:t>
      </w:r>
      <w:r w:rsidR="004F3725" w:rsidRPr="008957D5">
        <w:rPr>
          <w:b w:val="0"/>
        </w:rPr>
        <w:t>hazard</w:t>
      </w:r>
      <w:r w:rsidRPr="008957D5">
        <w:rPr>
          <w:b w:val="0"/>
        </w:rPr>
        <w:t xml:space="preserve"> penalties</w:t>
      </w:r>
      <w:r w:rsidR="004F3725" w:rsidRPr="008957D5">
        <w:rPr>
          <w:b w:val="0"/>
        </w:rPr>
        <w:t xml:space="preserve">. By integrating chemical, process, and health-related </w:t>
      </w:r>
      <w:r w:rsidR="004F3725" w:rsidRPr="008957D5">
        <w:rPr>
          <w:b w:val="0"/>
        </w:rPr>
        <w:lastRenderedPageBreak/>
        <w:t>hazards through the Extended Inherent Safety Index (EISI</w:t>
      </w:r>
      <w:r w:rsidR="00BE4FF3" w:rsidRPr="008957D5">
        <w:rPr>
          <w:b w:val="0"/>
        </w:rPr>
        <w:t>), HA</w:t>
      </w:r>
      <w:r w:rsidR="004F3725" w:rsidRPr="008957D5">
        <w:rPr>
          <w:b w:val="0"/>
        </w:rPr>
        <w:t>-RTE enables a more holistic and decision-relevant comparison of green hydrogen and green ammonia energy pathways.</w:t>
      </w:r>
    </w:p>
    <w:p w14:paraId="758857DC" w14:textId="47943580" w:rsidR="008C2143" w:rsidRPr="008957D5" w:rsidRDefault="008C2143" w:rsidP="008C2143">
      <w:pPr>
        <w:pStyle w:val="CETHeading1"/>
        <w:rPr>
          <w:lang w:eastAsia="tr-TR"/>
        </w:rPr>
      </w:pPr>
      <w:r w:rsidRPr="008957D5">
        <w:rPr>
          <w:lang w:eastAsia="tr-TR"/>
        </w:rPr>
        <w:t xml:space="preserve"> Methodology</w:t>
      </w:r>
    </w:p>
    <w:p w14:paraId="0A9F8BA3" w14:textId="275BFAB6" w:rsidR="008C2143" w:rsidRDefault="008C2143" w:rsidP="00DD0A5B">
      <w:pPr>
        <w:spacing w:after="100" w:afterAutospacing="1" w:line="240" w:lineRule="auto"/>
        <w:rPr>
          <w:rFonts w:asciiTheme="minorBidi" w:hAnsiTheme="minorBidi" w:cstheme="minorBidi"/>
          <w:szCs w:val="18"/>
          <w:lang w:val="en-US" w:eastAsia="tr-TR"/>
        </w:rPr>
      </w:pPr>
      <w:r w:rsidRPr="008957D5">
        <w:rPr>
          <w:rFonts w:asciiTheme="minorBidi" w:hAnsiTheme="minorBidi" w:cstheme="minorBidi"/>
          <w:szCs w:val="18"/>
          <w:lang w:val="en-US" w:eastAsia="tr-TR"/>
        </w:rPr>
        <w:t xml:space="preserve">This study develops a dual-criteria evaluation framework that integrates energy efficiency and inherent </w:t>
      </w:r>
      <w:r w:rsidR="003E7328" w:rsidRPr="008957D5">
        <w:rPr>
          <w:rFonts w:asciiTheme="minorBidi" w:hAnsiTheme="minorBidi" w:cstheme="minorBidi"/>
          <w:szCs w:val="18"/>
          <w:lang w:val="en-US" w:eastAsia="tr-TR"/>
        </w:rPr>
        <w:t xml:space="preserve">hazard </w:t>
      </w:r>
      <w:r w:rsidRPr="008957D5">
        <w:rPr>
          <w:rFonts w:asciiTheme="minorBidi" w:hAnsiTheme="minorBidi" w:cstheme="minorBidi"/>
          <w:szCs w:val="18"/>
          <w:lang w:val="en-US" w:eastAsia="tr-TR"/>
        </w:rPr>
        <w:t xml:space="preserve">to assess the performance of green hydrogen and green ammonia energy pathways. The framework extends the conventional RTE </w:t>
      </w:r>
      <w:r w:rsidR="003E7328" w:rsidRPr="008957D5">
        <w:rPr>
          <w:rFonts w:asciiTheme="minorBidi" w:hAnsiTheme="minorBidi" w:cstheme="minorBidi"/>
          <w:szCs w:val="18"/>
          <w:lang w:val="en-US" w:eastAsia="tr-TR"/>
        </w:rPr>
        <w:t xml:space="preserve">concepts </w:t>
      </w:r>
      <w:r w:rsidRPr="008957D5">
        <w:rPr>
          <w:rFonts w:asciiTheme="minorBidi" w:hAnsiTheme="minorBidi" w:cstheme="minorBidi"/>
          <w:szCs w:val="18"/>
          <w:lang w:val="en-US" w:eastAsia="tr-TR"/>
        </w:rPr>
        <w:t xml:space="preserve">by incorporating quantified hazard penalties derived from the EISI, resulting in a composite performance metric termed HA-RTE. The methodological workflow </w:t>
      </w:r>
      <w:r w:rsidR="003E7328" w:rsidRPr="008957D5">
        <w:rPr>
          <w:rFonts w:asciiTheme="minorBidi" w:hAnsiTheme="minorBidi" w:cstheme="minorBidi"/>
          <w:szCs w:val="18"/>
          <w:lang w:val="en-US" w:eastAsia="tr-TR"/>
        </w:rPr>
        <w:t>consists of five sequential steps: (1)</w:t>
      </w:r>
      <w:r w:rsidRPr="008957D5">
        <w:rPr>
          <w:rFonts w:asciiTheme="minorBidi" w:hAnsiTheme="minorBidi" w:cstheme="minorBidi"/>
          <w:szCs w:val="18"/>
          <w:lang w:val="en-US" w:eastAsia="tr-TR"/>
        </w:rPr>
        <w:t xml:space="preserve"> </w:t>
      </w:r>
      <w:r w:rsidR="003E7328" w:rsidRPr="008957D5">
        <w:rPr>
          <w:rFonts w:asciiTheme="minorBidi" w:hAnsiTheme="minorBidi" w:cstheme="minorBidi"/>
          <w:szCs w:val="18"/>
          <w:lang w:val="en-US" w:eastAsia="tr-TR"/>
        </w:rPr>
        <w:t>pathway definition, (2)</w:t>
      </w:r>
      <w:r w:rsidRPr="008957D5">
        <w:rPr>
          <w:rFonts w:asciiTheme="minorBidi" w:hAnsiTheme="minorBidi" w:cstheme="minorBidi"/>
          <w:szCs w:val="18"/>
          <w:lang w:val="en-US" w:eastAsia="tr-TR"/>
        </w:rPr>
        <w:t xml:space="preserve"> energy flow analysis, </w:t>
      </w:r>
      <w:r w:rsidR="003E7328">
        <w:rPr>
          <w:rFonts w:asciiTheme="minorBidi" w:hAnsiTheme="minorBidi" w:cstheme="minorBidi"/>
          <w:szCs w:val="18"/>
          <w:lang w:val="en-US" w:eastAsia="tr-TR"/>
        </w:rPr>
        <w:t xml:space="preserve">(3) </w:t>
      </w:r>
      <w:r w:rsidRPr="008957D5">
        <w:rPr>
          <w:rFonts w:asciiTheme="minorBidi" w:hAnsiTheme="minorBidi" w:cstheme="minorBidi"/>
          <w:szCs w:val="18"/>
          <w:lang w:val="en-US" w:eastAsia="tr-TR"/>
        </w:rPr>
        <w:t xml:space="preserve">hazard quantification, </w:t>
      </w:r>
      <w:r w:rsidR="003E7328">
        <w:rPr>
          <w:rFonts w:asciiTheme="minorBidi" w:hAnsiTheme="minorBidi" w:cstheme="minorBidi"/>
          <w:szCs w:val="18"/>
          <w:lang w:val="en-US" w:eastAsia="tr-TR"/>
        </w:rPr>
        <w:t xml:space="preserve">(4) </w:t>
      </w:r>
      <w:r w:rsidRPr="008957D5">
        <w:rPr>
          <w:rFonts w:asciiTheme="minorBidi" w:hAnsiTheme="minorBidi" w:cstheme="minorBidi"/>
          <w:szCs w:val="18"/>
          <w:lang w:val="en-US" w:eastAsia="tr-TR"/>
        </w:rPr>
        <w:t xml:space="preserve">efficiency adjustment, and </w:t>
      </w:r>
      <w:r w:rsidR="003E7328">
        <w:rPr>
          <w:rFonts w:asciiTheme="minorBidi" w:hAnsiTheme="minorBidi" w:cstheme="minorBidi"/>
          <w:szCs w:val="18"/>
          <w:lang w:val="en-US" w:eastAsia="tr-TR"/>
        </w:rPr>
        <w:t xml:space="preserve">(5) </w:t>
      </w:r>
      <w:r w:rsidRPr="008957D5">
        <w:rPr>
          <w:rFonts w:asciiTheme="minorBidi" w:hAnsiTheme="minorBidi" w:cstheme="minorBidi"/>
          <w:szCs w:val="18"/>
          <w:lang w:val="en-US" w:eastAsia="tr-TR"/>
        </w:rPr>
        <w:t>sensitivity analysis.</w:t>
      </w:r>
    </w:p>
    <w:p w14:paraId="25BC914E" w14:textId="6A72993E" w:rsidR="008C2143" w:rsidRPr="008957D5" w:rsidRDefault="008C2143" w:rsidP="008C2143">
      <w:pPr>
        <w:pStyle w:val="CETheadingx"/>
        <w:rPr>
          <w:rFonts w:asciiTheme="minorBidi" w:hAnsiTheme="minorBidi" w:cstheme="minorBidi"/>
          <w:szCs w:val="18"/>
          <w:lang w:eastAsia="tr-TR"/>
        </w:rPr>
      </w:pPr>
      <w:r w:rsidRPr="008957D5">
        <w:rPr>
          <w:rFonts w:asciiTheme="minorBidi" w:hAnsiTheme="minorBidi" w:cstheme="minorBidi"/>
          <w:szCs w:val="18"/>
          <w:lang w:eastAsia="tr-TR"/>
        </w:rPr>
        <w:t>Pathway definition and system boundary</w:t>
      </w:r>
    </w:p>
    <w:p w14:paraId="1E1330D7" w14:textId="6F935F8F" w:rsidR="008C2143" w:rsidRPr="008957D5" w:rsidRDefault="008C2143" w:rsidP="008957D5">
      <w:pPr>
        <w:spacing w:after="100" w:afterAutospacing="1" w:line="240" w:lineRule="auto"/>
        <w:rPr>
          <w:rFonts w:asciiTheme="minorBidi" w:hAnsiTheme="minorBidi" w:cstheme="minorBidi"/>
          <w:szCs w:val="18"/>
          <w:lang w:val="en-US" w:eastAsia="tr-TR"/>
        </w:rPr>
      </w:pPr>
      <w:r w:rsidRPr="008957D5">
        <w:rPr>
          <w:rFonts w:asciiTheme="minorBidi" w:hAnsiTheme="minorBidi" w:cstheme="minorBidi"/>
          <w:szCs w:val="18"/>
          <w:lang w:val="en-US" w:eastAsia="tr-TR"/>
        </w:rPr>
        <w:t>A grid-to-grid</w:t>
      </w:r>
      <w:r w:rsidR="002D7FFB">
        <w:rPr>
          <w:rFonts w:asciiTheme="minorBidi" w:hAnsiTheme="minorBidi" w:cstheme="minorBidi"/>
          <w:szCs w:val="18"/>
          <w:lang w:val="en-US" w:eastAsia="tr-TR"/>
        </w:rPr>
        <w:t xml:space="preserve"> </w:t>
      </w:r>
      <w:r w:rsidRPr="008957D5">
        <w:rPr>
          <w:rFonts w:asciiTheme="minorBidi" w:hAnsiTheme="minorBidi" w:cstheme="minorBidi"/>
          <w:szCs w:val="18"/>
          <w:lang w:val="en-US" w:eastAsia="tr-TR"/>
        </w:rPr>
        <w:t>Power-to-X-to-Power (</w:t>
      </w:r>
      <w:proofErr w:type="spellStart"/>
      <w:r w:rsidRPr="008957D5">
        <w:rPr>
          <w:rFonts w:asciiTheme="minorBidi" w:hAnsiTheme="minorBidi" w:cstheme="minorBidi"/>
          <w:szCs w:val="18"/>
          <w:lang w:val="en-US" w:eastAsia="tr-TR"/>
        </w:rPr>
        <w:t>PtX</w:t>
      </w:r>
      <w:proofErr w:type="spellEnd"/>
      <w:r w:rsidRPr="008957D5">
        <w:rPr>
          <w:rFonts w:asciiTheme="minorBidi" w:hAnsiTheme="minorBidi" w:cstheme="minorBidi"/>
          <w:szCs w:val="18"/>
          <w:lang w:val="en-US" w:eastAsia="tr-TR"/>
        </w:rPr>
        <w:t xml:space="preserve">–P) system boundary is adopted to ensure consistent comparison between hydrogen- and ammonia-based energy carriers. The boundary </w:t>
      </w:r>
      <w:r w:rsidR="002D7FFB">
        <w:rPr>
          <w:rFonts w:asciiTheme="minorBidi" w:hAnsiTheme="minorBidi" w:cstheme="minorBidi"/>
          <w:szCs w:val="18"/>
          <w:lang w:val="en-US" w:eastAsia="tr-TR"/>
        </w:rPr>
        <w:t>encompasse</w:t>
      </w:r>
      <w:r w:rsidRPr="008957D5">
        <w:rPr>
          <w:rFonts w:asciiTheme="minorBidi" w:hAnsiTheme="minorBidi" w:cstheme="minorBidi"/>
          <w:szCs w:val="18"/>
          <w:lang w:val="en-US" w:eastAsia="tr-TR"/>
        </w:rPr>
        <w:t>s renewable electricity input, carrier production, storage and transport, and reconversion to electricity. Auxiliary processes</w:t>
      </w:r>
      <w:r w:rsidR="002D7FFB">
        <w:rPr>
          <w:rFonts w:asciiTheme="minorBidi" w:hAnsiTheme="minorBidi" w:cstheme="minorBidi"/>
          <w:szCs w:val="18"/>
          <w:lang w:val="en-US" w:eastAsia="tr-TR"/>
        </w:rPr>
        <w:t>—</w:t>
      </w:r>
      <w:r w:rsidRPr="008957D5">
        <w:rPr>
          <w:rFonts w:asciiTheme="minorBidi" w:hAnsiTheme="minorBidi" w:cstheme="minorBidi"/>
          <w:szCs w:val="18"/>
          <w:lang w:val="en-US" w:eastAsia="tr-TR"/>
        </w:rPr>
        <w:t>such as compression, liquefaction, and internal reforming</w:t>
      </w:r>
      <w:r w:rsidR="002D7FFB">
        <w:rPr>
          <w:rFonts w:asciiTheme="minorBidi" w:hAnsiTheme="minorBidi" w:cstheme="minorBidi"/>
          <w:szCs w:val="18"/>
          <w:lang w:val="en-US" w:eastAsia="tr-TR"/>
        </w:rPr>
        <w:t>—</w:t>
      </w:r>
      <w:r w:rsidRPr="008957D5">
        <w:rPr>
          <w:rFonts w:asciiTheme="minorBidi" w:hAnsiTheme="minorBidi" w:cstheme="minorBidi"/>
          <w:szCs w:val="18"/>
          <w:lang w:val="en-US" w:eastAsia="tr-TR"/>
        </w:rPr>
        <w:t xml:space="preserve">are included where applicable. All energy flows are normalized </w:t>
      </w:r>
      <w:r w:rsidR="002D7FFB">
        <w:rPr>
          <w:rFonts w:asciiTheme="minorBidi" w:hAnsiTheme="minorBidi" w:cstheme="minorBidi"/>
          <w:szCs w:val="18"/>
          <w:lang w:val="en-US" w:eastAsia="tr-TR"/>
        </w:rPr>
        <w:t xml:space="preserve">on </w:t>
      </w:r>
      <w:r w:rsidRPr="008957D5">
        <w:rPr>
          <w:rFonts w:asciiTheme="minorBidi" w:hAnsiTheme="minorBidi" w:cstheme="minorBidi"/>
          <w:szCs w:val="18"/>
          <w:lang w:val="en-US" w:eastAsia="tr-TR"/>
        </w:rPr>
        <w:t>hydrogen</w:t>
      </w:r>
      <w:r w:rsidR="002D7FFB">
        <w:rPr>
          <w:rFonts w:asciiTheme="minorBidi" w:hAnsiTheme="minorBidi" w:cstheme="minorBidi"/>
          <w:szCs w:val="18"/>
          <w:lang w:val="en-US" w:eastAsia="tr-TR"/>
        </w:rPr>
        <w:t>-</w:t>
      </w:r>
      <w:r w:rsidRPr="008957D5">
        <w:rPr>
          <w:rFonts w:asciiTheme="minorBidi" w:hAnsiTheme="minorBidi" w:cstheme="minorBidi"/>
          <w:szCs w:val="18"/>
          <w:lang w:val="en-US" w:eastAsia="tr-TR"/>
        </w:rPr>
        <w:t>equivalent</w:t>
      </w:r>
      <w:r w:rsidR="002D7FFB">
        <w:rPr>
          <w:rFonts w:asciiTheme="minorBidi" w:hAnsiTheme="minorBidi" w:cstheme="minorBidi"/>
          <w:szCs w:val="18"/>
          <w:lang w:val="en-US" w:eastAsia="tr-TR"/>
        </w:rPr>
        <w:t xml:space="preserve"> mass basis</w:t>
      </w:r>
      <w:r w:rsidRPr="008957D5">
        <w:rPr>
          <w:rFonts w:asciiTheme="minorBidi" w:hAnsiTheme="minorBidi" w:cstheme="minorBidi"/>
          <w:szCs w:val="18"/>
          <w:lang w:val="en-US" w:eastAsia="tr-TR"/>
        </w:rPr>
        <w:t>, enabling direct comparison across pathways</w:t>
      </w:r>
      <w:r w:rsidR="002D7FFB">
        <w:rPr>
          <w:rFonts w:asciiTheme="minorBidi" w:hAnsiTheme="minorBidi" w:cstheme="minorBidi"/>
          <w:szCs w:val="18"/>
          <w:lang w:val="en-US" w:eastAsia="tr-TR"/>
        </w:rPr>
        <w:t xml:space="preserve"> with chemical compositions and energy densities.</w:t>
      </w:r>
      <w:r w:rsidR="007910B8" w:rsidRPr="008957D5">
        <w:rPr>
          <w:rFonts w:asciiTheme="minorBidi" w:hAnsiTheme="minorBidi" w:cstheme="minorBidi"/>
          <w:szCs w:val="18"/>
          <w:lang w:val="en-US" w:eastAsia="tr-TR"/>
        </w:rPr>
        <w:t xml:space="preserve"> </w:t>
      </w:r>
      <w:r w:rsidRPr="008957D5">
        <w:rPr>
          <w:rFonts w:asciiTheme="minorBidi" w:hAnsiTheme="minorBidi" w:cstheme="minorBidi"/>
          <w:szCs w:val="18"/>
          <w:lang w:val="en-US" w:eastAsia="tr-TR"/>
        </w:rPr>
        <w:t>Eight representative pathways are evaluated</w:t>
      </w:r>
      <w:r w:rsidR="00BE4FF3">
        <w:rPr>
          <w:rFonts w:asciiTheme="minorBidi" w:hAnsiTheme="minorBidi" w:cstheme="minorBidi"/>
          <w:szCs w:val="18"/>
          <w:lang w:val="en-US" w:eastAsia="tr-TR"/>
        </w:rPr>
        <w:t xml:space="preserve"> (See Figure 1)</w:t>
      </w:r>
      <w:r w:rsidRPr="008957D5">
        <w:rPr>
          <w:rFonts w:asciiTheme="minorBidi" w:hAnsiTheme="minorBidi" w:cstheme="minorBidi"/>
          <w:szCs w:val="18"/>
          <w:lang w:val="en-US" w:eastAsia="tr-TR"/>
        </w:rPr>
        <w:t>:</w:t>
      </w:r>
    </w:p>
    <w:p w14:paraId="61457B20" w14:textId="61FC39FE" w:rsidR="008C2143" w:rsidRPr="008957D5" w:rsidRDefault="002D7FFB">
      <w:pPr>
        <w:numPr>
          <w:ilvl w:val="0"/>
          <w:numId w:val="23"/>
        </w:numPr>
        <w:tabs>
          <w:tab w:val="clear" w:pos="7100"/>
        </w:tabs>
        <w:spacing w:before="100" w:beforeAutospacing="1" w:after="100" w:afterAutospacing="1" w:line="240" w:lineRule="auto"/>
        <w:jc w:val="left"/>
        <w:rPr>
          <w:rFonts w:asciiTheme="minorBidi" w:hAnsiTheme="minorBidi" w:cstheme="minorBidi"/>
          <w:szCs w:val="18"/>
          <w:lang w:val="en-US" w:eastAsia="tr-TR"/>
        </w:rPr>
      </w:pPr>
      <w:r w:rsidRPr="008957D5">
        <w:rPr>
          <w:rFonts w:asciiTheme="minorBidi" w:hAnsiTheme="minorBidi" w:cstheme="minorBidi"/>
          <w:b/>
          <w:bCs/>
          <w:szCs w:val="18"/>
          <w:lang w:val="en-US" w:eastAsia="tr-TR"/>
        </w:rPr>
        <w:t>Four</w:t>
      </w:r>
      <w:r w:rsidRPr="002D7FFB">
        <w:rPr>
          <w:rFonts w:asciiTheme="minorBidi" w:hAnsiTheme="minorBidi" w:cstheme="minorBidi"/>
          <w:b/>
          <w:bCs/>
          <w:szCs w:val="18"/>
          <w:lang w:val="en-US" w:eastAsia="tr-TR"/>
        </w:rPr>
        <w:t xml:space="preserve"> </w:t>
      </w:r>
      <w:r w:rsidR="008C2143" w:rsidRPr="008957D5">
        <w:rPr>
          <w:rFonts w:asciiTheme="minorBidi" w:hAnsiTheme="minorBidi" w:cstheme="minorBidi"/>
          <w:b/>
          <w:bCs/>
          <w:szCs w:val="18"/>
          <w:lang w:val="en-US" w:eastAsia="tr-TR"/>
        </w:rPr>
        <w:t>H</w:t>
      </w:r>
      <w:r w:rsidRPr="008957D5">
        <w:rPr>
          <w:rFonts w:asciiTheme="minorBidi" w:hAnsiTheme="minorBidi" w:cstheme="minorBidi"/>
          <w:b/>
          <w:bCs/>
          <w:szCs w:val="18"/>
          <w:vertAlign w:val="subscript"/>
          <w:lang w:val="en-US" w:eastAsia="tr-TR"/>
        </w:rPr>
        <w:t>2</w:t>
      </w:r>
      <w:r w:rsidR="008C2143" w:rsidRPr="008957D5">
        <w:rPr>
          <w:rFonts w:asciiTheme="minorBidi" w:hAnsiTheme="minorBidi" w:cstheme="minorBidi"/>
          <w:b/>
          <w:bCs/>
          <w:szCs w:val="18"/>
          <w:lang w:val="en-US" w:eastAsia="tr-TR"/>
        </w:rPr>
        <w:t>-based pathways (</w:t>
      </w:r>
      <w:proofErr w:type="spellStart"/>
      <w:r w:rsidR="008C2143" w:rsidRPr="008957D5">
        <w:rPr>
          <w:rFonts w:asciiTheme="minorBidi" w:hAnsiTheme="minorBidi" w:cstheme="minorBidi"/>
          <w:b/>
          <w:bCs/>
          <w:szCs w:val="18"/>
          <w:lang w:val="en-US" w:eastAsia="tr-TR"/>
        </w:rPr>
        <w:t>PtH</w:t>
      </w:r>
      <w:proofErr w:type="spellEnd"/>
      <w:r w:rsidR="008C2143" w:rsidRPr="008957D5">
        <w:rPr>
          <w:rFonts w:asciiTheme="minorBidi" w:hAnsiTheme="minorBidi" w:cstheme="minorBidi"/>
          <w:b/>
          <w:bCs/>
          <w:szCs w:val="18"/>
          <w:lang w:val="en-US" w:eastAsia="tr-TR"/>
        </w:rPr>
        <w:t>–P):</w:t>
      </w:r>
      <w:r w:rsidR="008C2143" w:rsidRPr="008957D5">
        <w:rPr>
          <w:rFonts w:asciiTheme="minorBidi" w:hAnsiTheme="minorBidi" w:cstheme="minorBidi"/>
          <w:szCs w:val="18"/>
          <w:lang w:val="en-US" w:eastAsia="tr-TR"/>
        </w:rPr>
        <w:t xml:space="preserve"> H</w:t>
      </w:r>
      <w:r w:rsidR="008C2143" w:rsidRPr="008957D5">
        <w:rPr>
          <w:rFonts w:ascii="Cambria Math" w:hAnsi="Cambria Math" w:cs="Cambria Math"/>
          <w:szCs w:val="18"/>
          <w:lang w:val="en-US" w:eastAsia="tr-TR"/>
        </w:rPr>
        <w:t>₂</w:t>
      </w:r>
      <w:r w:rsidR="008C2143" w:rsidRPr="008957D5">
        <w:rPr>
          <w:rFonts w:cs="Arial"/>
          <w:szCs w:val="18"/>
          <w:lang w:val="en-US" w:eastAsia="tr-TR"/>
        </w:rPr>
        <w:t>–</w:t>
      </w:r>
      <w:r w:rsidR="008C2143" w:rsidRPr="008957D5">
        <w:rPr>
          <w:rFonts w:asciiTheme="minorBidi" w:hAnsiTheme="minorBidi" w:cstheme="minorBidi"/>
          <w:szCs w:val="18"/>
          <w:lang w:val="en-US" w:eastAsia="tr-TR"/>
        </w:rPr>
        <w:t>GT, H</w:t>
      </w:r>
      <w:r w:rsidR="008C2143" w:rsidRPr="008957D5">
        <w:rPr>
          <w:rFonts w:ascii="Cambria Math" w:hAnsi="Cambria Math" w:cs="Cambria Math"/>
          <w:szCs w:val="18"/>
          <w:lang w:val="en-US" w:eastAsia="tr-TR"/>
        </w:rPr>
        <w:t>₂</w:t>
      </w:r>
      <w:r w:rsidR="008C2143" w:rsidRPr="008957D5">
        <w:rPr>
          <w:rFonts w:cs="Arial"/>
          <w:szCs w:val="18"/>
          <w:lang w:val="en-US" w:eastAsia="tr-TR"/>
        </w:rPr>
        <w:t>–</w:t>
      </w:r>
      <w:r w:rsidR="008C2143" w:rsidRPr="008957D5">
        <w:rPr>
          <w:rFonts w:asciiTheme="minorBidi" w:hAnsiTheme="minorBidi" w:cstheme="minorBidi"/>
          <w:szCs w:val="18"/>
          <w:lang w:val="en-US" w:eastAsia="tr-TR"/>
        </w:rPr>
        <w:t>ICE, H</w:t>
      </w:r>
      <w:r w:rsidR="008C2143" w:rsidRPr="008957D5">
        <w:rPr>
          <w:rFonts w:ascii="Cambria Math" w:hAnsi="Cambria Math" w:cs="Cambria Math"/>
          <w:szCs w:val="18"/>
          <w:lang w:val="en-US" w:eastAsia="tr-TR"/>
        </w:rPr>
        <w:t>₂</w:t>
      </w:r>
      <w:r w:rsidR="008C2143" w:rsidRPr="008957D5">
        <w:rPr>
          <w:rFonts w:cs="Arial"/>
          <w:szCs w:val="18"/>
          <w:lang w:val="en-US" w:eastAsia="tr-TR"/>
        </w:rPr>
        <w:t>–</w:t>
      </w:r>
      <w:r w:rsidR="008C2143" w:rsidRPr="008957D5">
        <w:rPr>
          <w:rFonts w:asciiTheme="minorBidi" w:hAnsiTheme="minorBidi" w:cstheme="minorBidi"/>
          <w:szCs w:val="18"/>
          <w:lang w:val="en-US" w:eastAsia="tr-TR"/>
        </w:rPr>
        <w:t>SOFC, and H</w:t>
      </w:r>
      <w:r w:rsidR="008C2143" w:rsidRPr="008957D5">
        <w:rPr>
          <w:rFonts w:ascii="Cambria Math" w:hAnsi="Cambria Math" w:cs="Cambria Math"/>
          <w:szCs w:val="18"/>
          <w:lang w:val="en-US" w:eastAsia="tr-TR"/>
        </w:rPr>
        <w:t>₂</w:t>
      </w:r>
      <w:r w:rsidR="008C2143" w:rsidRPr="008957D5">
        <w:rPr>
          <w:rFonts w:cs="Arial"/>
          <w:szCs w:val="18"/>
          <w:lang w:val="en-US" w:eastAsia="tr-TR"/>
        </w:rPr>
        <w:t>–</w:t>
      </w:r>
      <w:r w:rsidR="008C2143" w:rsidRPr="008957D5">
        <w:rPr>
          <w:rFonts w:asciiTheme="minorBidi" w:hAnsiTheme="minorBidi" w:cstheme="minorBidi"/>
          <w:szCs w:val="18"/>
          <w:lang w:val="en-US" w:eastAsia="tr-TR"/>
        </w:rPr>
        <w:t>AFC</w:t>
      </w:r>
    </w:p>
    <w:p w14:paraId="41915E5B" w14:textId="2449AE2D" w:rsidR="008C2143" w:rsidRPr="008957D5" w:rsidRDefault="002D7FFB" w:rsidP="008C2143">
      <w:pPr>
        <w:numPr>
          <w:ilvl w:val="0"/>
          <w:numId w:val="23"/>
        </w:numPr>
        <w:tabs>
          <w:tab w:val="clear" w:pos="7100"/>
        </w:tabs>
        <w:spacing w:before="100" w:beforeAutospacing="1" w:after="100" w:afterAutospacing="1" w:line="240" w:lineRule="auto"/>
        <w:jc w:val="left"/>
        <w:rPr>
          <w:rFonts w:asciiTheme="minorBidi" w:hAnsiTheme="minorBidi" w:cstheme="minorBidi"/>
          <w:szCs w:val="18"/>
          <w:lang w:val="en-US" w:eastAsia="tr-TR"/>
        </w:rPr>
      </w:pPr>
      <w:r>
        <w:rPr>
          <w:rFonts w:asciiTheme="minorBidi" w:hAnsiTheme="minorBidi" w:cstheme="minorBidi"/>
          <w:b/>
          <w:bCs/>
          <w:szCs w:val="18"/>
          <w:lang w:val="en-US" w:eastAsia="tr-TR"/>
        </w:rPr>
        <w:t>Four NH</w:t>
      </w:r>
      <w:r w:rsidRPr="008957D5">
        <w:rPr>
          <w:rFonts w:asciiTheme="minorBidi" w:hAnsiTheme="minorBidi" w:cstheme="minorBidi"/>
          <w:b/>
          <w:bCs/>
          <w:szCs w:val="18"/>
          <w:vertAlign w:val="subscript"/>
          <w:lang w:val="en-US" w:eastAsia="tr-TR"/>
        </w:rPr>
        <w:t>3</w:t>
      </w:r>
      <w:r w:rsidR="008C2143" w:rsidRPr="008957D5">
        <w:rPr>
          <w:rFonts w:asciiTheme="minorBidi" w:hAnsiTheme="minorBidi" w:cstheme="minorBidi"/>
          <w:b/>
          <w:bCs/>
          <w:szCs w:val="18"/>
          <w:lang w:val="en-US" w:eastAsia="tr-TR"/>
        </w:rPr>
        <w:t>-based pathways (</w:t>
      </w:r>
      <w:proofErr w:type="spellStart"/>
      <w:r w:rsidR="008C2143" w:rsidRPr="008957D5">
        <w:rPr>
          <w:rFonts w:asciiTheme="minorBidi" w:hAnsiTheme="minorBidi" w:cstheme="minorBidi"/>
          <w:b/>
          <w:bCs/>
          <w:szCs w:val="18"/>
          <w:lang w:val="en-US" w:eastAsia="tr-TR"/>
        </w:rPr>
        <w:t>PtA</w:t>
      </w:r>
      <w:proofErr w:type="spellEnd"/>
      <w:r w:rsidR="008C2143" w:rsidRPr="008957D5">
        <w:rPr>
          <w:rFonts w:asciiTheme="minorBidi" w:hAnsiTheme="minorBidi" w:cstheme="minorBidi"/>
          <w:b/>
          <w:bCs/>
          <w:szCs w:val="18"/>
          <w:lang w:val="en-US" w:eastAsia="tr-TR"/>
        </w:rPr>
        <w:t>–P):</w:t>
      </w:r>
      <w:r w:rsidR="008C2143" w:rsidRPr="008957D5">
        <w:rPr>
          <w:rFonts w:asciiTheme="minorBidi" w:hAnsiTheme="minorBidi" w:cstheme="minorBidi"/>
          <w:szCs w:val="18"/>
          <w:lang w:val="en-US" w:eastAsia="tr-TR"/>
        </w:rPr>
        <w:t xml:space="preserve"> NH</w:t>
      </w:r>
      <w:r w:rsidR="008C2143" w:rsidRPr="008957D5">
        <w:rPr>
          <w:rFonts w:ascii="Cambria Math" w:hAnsi="Cambria Math" w:cs="Cambria Math"/>
          <w:szCs w:val="18"/>
          <w:lang w:val="en-US" w:eastAsia="tr-TR"/>
        </w:rPr>
        <w:t>₃</w:t>
      </w:r>
      <w:r w:rsidR="008C2143" w:rsidRPr="008957D5">
        <w:rPr>
          <w:rFonts w:cs="Arial"/>
          <w:szCs w:val="18"/>
          <w:lang w:val="en-US" w:eastAsia="tr-TR"/>
        </w:rPr>
        <w:t>–</w:t>
      </w:r>
      <w:r w:rsidR="008C2143" w:rsidRPr="008957D5">
        <w:rPr>
          <w:rFonts w:asciiTheme="minorBidi" w:hAnsiTheme="minorBidi" w:cstheme="minorBidi"/>
          <w:szCs w:val="18"/>
          <w:lang w:val="en-US" w:eastAsia="tr-TR"/>
        </w:rPr>
        <w:t>GT, NH</w:t>
      </w:r>
      <w:r w:rsidR="008C2143" w:rsidRPr="008957D5">
        <w:rPr>
          <w:rFonts w:ascii="Cambria Math" w:hAnsi="Cambria Math" w:cs="Cambria Math"/>
          <w:szCs w:val="18"/>
          <w:lang w:val="en-US" w:eastAsia="tr-TR"/>
        </w:rPr>
        <w:t>₃</w:t>
      </w:r>
      <w:r w:rsidR="008C2143" w:rsidRPr="008957D5">
        <w:rPr>
          <w:rFonts w:cs="Arial"/>
          <w:szCs w:val="18"/>
          <w:lang w:val="en-US" w:eastAsia="tr-TR"/>
        </w:rPr>
        <w:t>–</w:t>
      </w:r>
      <w:r w:rsidR="008C2143" w:rsidRPr="008957D5">
        <w:rPr>
          <w:rFonts w:asciiTheme="minorBidi" w:hAnsiTheme="minorBidi" w:cstheme="minorBidi"/>
          <w:szCs w:val="18"/>
          <w:lang w:val="en-US" w:eastAsia="tr-TR"/>
        </w:rPr>
        <w:t>ICE, NH</w:t>
      </w:r>
      <w:r w:rsidR="008C2143" w:rsidRPr="008957D5">
        <w:rPr>
          <w:rFonts w:ascii="Cambria Math" w:hAnsi="Cambria Math" w:cs="Cambria Math"/>
          <w:szCs w:val="18"/>
          <w:lang w:val="en-US" w:eastAsia="tr-TR"/>
        </w:rPr>
        <w:t>₃</w:t>
      </w:r>
      <w:r w:rsidR="008C2143" w:rsidRPr="008957D5">
        <w:rPr>
          <w:rFonts w:cs="Arial"/>
          <w:szCs w:val="18"/>
          <w:lang w:val="en-US" w:eastAsia="tr-TR"/>
        </w:rPr>
        <w:t>–</w:t>
      </w:r>
      <w:r w:rsidR="008C2143" w:rsidRPr="008957D5">
        <w:rPr>
          <w:rFonts w:asciiTheme="minorBidi" w:hAnsiTheme="minorBidi" w:cstheme="minorBidi"/>
          <w:szCs w:val="18"/>
          <w:lang w:val="en-US" w:eastAsia="tr-TR"/>
        </w:rPr>
        <w:t>SOFC (direct feed), and NH</w:t>
      </w:r>
      <w:r w:rsidR="008C2143" w:rsidRPr="008957D5">
        <w:rPr>
          <w:rFonts w:ascii="Cambria Math" w:hAnsi="Cambria Math" w:cs="Cambria Math"/>
          <w:szCs w:val="18"/>
          <w:lang w:val="en-US" w:eastAsia="tr-TR"/>
        </w:rPr>
        <w:t>₃</w:t>
      </w:r>
      <w:r w:rsidR="008C2143" w:rsidRPr="008957D5">
        <w:rPr>
          <w:rFonts w:cs="Arial"/>
          <w:szCs w:val="18"/>
          <w:lang w:val="en-US" w:eastAsia="tr-TR"/>
        </w:rPr>
        <w:t>–</w:t>
      </w:r>
      <w:r w:rsidR="008C2143" w:rsidRPr="008957D5">
        <w:rPr>
          <w:rFonts w:asciiTheme="minorBidi" w:hAnsiTheme="minorBidi" w:cstheme="minorBidi"/>
          <w:szCs w:val="18"/>
          <w:lang w:val="en-US" w:eastAsia="tr-TR"/>
        </w:rPr>
        <w:t>AFC (direct feed)</w:t>
      </w:r>
    </w:p>
    <w:p w14:paraId="1A0C5682" w14:textId="00F7C802" w:rsidR="00F0258F" w:rsidRDefault="00BE4FF3" w:rsidP="00BE4FF3">
      <w:pPr>
        <w:spacing w:before="100" w:beforeAutospacing="1" w:after="100" w:afterAutospacing="1" w:line="240" w:lineRule="auto"/>
        <w:jc w:val="center"/>
        <w:rPr>
          <w:rFonts w:asciiTheme="minorBidi" w:hAnsiTheme="minorBidi" w:cstheme="minorBidi"/>
          <w:szCs w:val="18"/>
          <w:lang w:val="en-US" w:eastAsia="tr-TR"/>
        </w:rPr>
      </w:pPr>
      <w:r w:rsidRPr="00BE4FF3">
        <w:rPr>
          <w:rFonts w:asciiTheme="minorBidi" w:hAnsiTheme="minorBidi" w:cstheme="minorBidi"/>
          <w:noProof/>
          <w:szCs w:val="18"/>
          <w:lang w:eastAsia="tr-TR"/>
        </w:rPr>
        <w:drawing>
          <wp:inline distT="0" distB="0" distL="0" distR="0" wp14:anchorId="580952D7" wp14:editId="33EFCDC3">
            <wp:extent cx="5850330" cy="4705165"/>
            <wp:effectExtent l="0" t="0" r="0" b="635"/>
            <wp:docPr id="368" name="Picture 367">
              <a:extLst xmlns:a="http://schemas.openxmlformats.org/drawingml/2006/main">
                <a:ext uri="{FF2B5EF4-FFF2-40B4-BE49-F238E27FC236}">
                  <a16:creationId xmlns:a16="http://schemas.microsoft.com/office/drawing/2014/main" id="{0863EB50-DC70-4006-8182-6BA2D02441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7">
                      <a:extLst>
                        <a:ext uri="{FF2B5EF4-FFF2-40B4-BE49-F238E27FC236}">
                          <a16:creationId xmlns:a16="http://schemas.microsoft.com/office/drawing/2014/main" id="{0863EB50-DC70-4006-8182-6BA2D024413A}"/>
                        </a:ext>
                      </a:extLst>
                    </pic:cNvPr>
                    <pic:cNvPicPr>
                      <a:picLocks noChangeAspect="1"/>
                    </pic:cNvPicPr>
                  </pic:nvPicPr>
                  <pic:blipFill>
                    <a:blip r:embed="rId11"/>
                    <a:stretch>
                      <a:fillRect/>
                    </a:stretch>
                  </pic:blipFill>
                  <pic:spPr>
                    <a:xfrm>
                      <a:off x="0" y="0"/>
                      <a:ext cx="5853367" cy="4707607"/>
                    </a:xfrm>
                    <a:prstGeom prst="rect">
                      <a:avLst/>
                    </a:prstGeom>
                  </pic:spPr>
                </pic:pic>
              </a:graphicData>
            </a:graphic>
          </wp:inline>
        </w:drawing>
      </w:r>
    </w:p>
    <w:p w14:paraId="1606F917" w14:textId="641D173F" w:rsidR="00F0258F" w:rsidRPr="008957D5" w:rsidRDefault="00F0258F" w:rsidP="008957D5">
      <w:pPr>
        <w:spacing w:after="100" w:afterAutospacing="1" w:line="240" w:lineRule="auto"/>
        <w:rPr>
          <w:rFonts w:asciiTheme="minorBidi" w:hAnsiTheme="minorBidi" w:cstheme="minorBidi"/>
          <w:i/>
          <w:iCs/>
          <w:szCs w:val="18"/>
          <w:lang w:val="en-US" w:eastAsia="tr-TR"/>
        </w:rPr>
      </w:pPr>
      <w:r w:rsidRPr="008957D5">
        <w:rPr>
          <w:rFonts w:asciiTheme="minorBidi" w:hAnsiTheme="minorBidi" w:cstheme="minorBidi"/>
          <w:i/>
          <w:iCs/>
          <w:szCs w:val="18"/>
          <w:lang w:val="en-US" w:eastAsia="tr-TR"/>
        </w:rPr>
        <w:t>Figure 1.</w:t>
      </w:r>
      <w:r w:rsidRPr="008957D5">
        <w:rPr>
          <w:rFonts w:asciiTheme="minorBidi" w:hAnsiTheme="minorBidi" w:cstheme="minorBidi"/>
          <w:i/>
          <w:iCs/>
          <w:szCs w:val="24"/>
          <w:lang w:val="en-US"/>
        </w:rPr>
        <w:t xml:space="preserve"> Overview of Green Hydrogen and Green Ammonia Energy Pathways</w:t>
      </w:r>
      <w:r w:rsidR="002D7FFB">
        <w:rPr>
          <w:rFonts w:asciiTheme="minorBidi" w:hAnsiTheme="minorBidi" w:cstheme="minorBidi"/>
          <w:i/>
          <w:iCs/>
          <w:szCs w:val="24"/>
          <w:lang w:val="en-US"/>
        </w:rPr>
        <w:t xml:space="preserve"> and System Boundaries</w:t>
      </w:r>
      <w:r w:rsidRPr="008957D5">
        <w:rPr>
          <w:rFonts w:asciiTheme="minorBidi" w:hAnsiTheme="minorBidi" w:cstheme="minorBidi"/>
          <w:i/>
          <w:iCs/>
          <w:szCs w:val="24"/>
          <w:lang w:val="en-US"/>
        </w:rPr>
        <w:t>.</w:t>
      </w:r>
    </w:p>
    <w:p w14:paraId="506352E0" w14:textId="155DEBA4" w:rsidR="008C2143" w:rsidRPr="008957D5" w:rsidRDefault="008C2143" w:rsidP="008C2143">
      <w:pPr>
        <w:pStyle w:val="CETheadingx"/>
        <w:rPr>
          <w:rFonts w:asciiTheme="minorBidi" w:hAnsiTheme="minorBidi" w:cstheme="minorBidi"/>
          <w:szCs w:val="18"/>
          <w:lang w:eastAsia="tr-TR"/>
        </w:rPr>
      </w:pPr>
      <w:r w:rsidRPr="008957D5">
        <w:rPr>
          <w:rFonts w:asciiTheme="minorBidi" w:hAnsiTheme="minorBidi" w:cstheme="minorBidi"/>
          <w:szCs w:val="18"/>
          <w:lang w:eastAsia="tr-TR"/>
        </w:rPr>
        <w:lastRenderedPageBreak/>
        <w:t>Baseline energy performance</w:t>
      </w:r>
    </w:p>
    <w:p w14:paraId="0D6F34B2" w14:textId="2266084A" w:rsidR="008C2143" w:rsidRPr="008957D5" w:rsidRDefault="008C2143" w:rsidP="008957D5">
      <w:pPr>
        <w:spacing w:line="240" w:lineRule="auto"/>
        <w:rPr>
          <w:rFonts w:asciiTheme="minorBidi" w:hAnsiTheme="minorBidi" w:cstheme="minorBidi"/>
          <w:szCs w:val="18"/>
          <w:lang w:val="en-US" w:eastAsia="tr-TR"/>
        </w:rPr>
      </w:pPr>
      <w:r w:rsidRPr="008957D5">
        <w:rPr>
          <w:rFonts w:asciiTheme="minorBidi" w:hAnsiTheme="minorBidi" w:cstheme="minorBidi"/>
          <w:szCs w:val="18"/>
          <w:lang w:val="en-US" w:eastAsia="tr-TR"/>
        </w:rPr>
        <w:t xml:space="preserve">The baseline RTE quantifies the purely technical </w:t>
      </w:r>
      <w:r w:rsidR="00ED7116">
        <w:rPr>
          <w:rFonts w:asciiTheme="minorBidi" w:hAnsiTheme="minorBidi" w:cstheme="minorBidi"/>
          <w:szCs w:val="18"/>
          <w:lang w:val="en-US" w:eastAsia="tr-TR"/>
        </w:rPr>
        <w:t xml:space="preserve">energy </w:t>
      </w:r>
      <w:r w:rsidRPr="008957D5">
        <w:rPr>
          <w:rFonts w:asciiTheme="minorBidi" w:hAnsiTheme="minorBidi" w:cstheme="minorBidi"/>
          <w:szCs w:val="18"/>
          <w:lang w:val="en-US" w:eastAsia="tr-TR"/>
        </w:rPr>
        <w:t>performance of each pathway and is defined as:</w:t>
      </w:r>
    </w:p>
    <w:p w14:paraId="4142D709" w14:textId="0E48A462" w:rsidR="008C2143" w:rsidRPr="008957D5" w:rsidRDefault="008C2143" w:rsidP="008F3E51">
      <w:pPr>
        <w:pStyle w:val="CETBodytext"/>
        <w:rPr>
          <w:rFonts w:asciiTheme="minorBidi" w:hAnsiTheme="minorBidi" w:cstheme="minorBidi"/>
          <w:szCs w:val="18"/>
          <w:lang w:eastAsia="tr-TR"/>
        </w:rPr>
      </w:pPr>
      <m:oMath>
        <m:r>
          <w:rPr>
            <w:rFonts w:ascii="Cambria Math" w:hAnsi="Cambria Math"/>
            <w:lang w:eastAsia="tr-TR"/>
          </w:rPr>
          <m:t>RTE</m:t>
        </m:r>
        <m:r>
          <m:rPr>
            <m:sty m:val="p"/>
          </m:rPr>
          <w:rPr>
            <w:rFonts w:ascii="Cambria Math" w:hAnsi="Cambria Math"/>
            <w:lang w:eastAsia="tr-TR"/>
          </w:rPr>
          <m:t>=</m:t>
        </m:r>
        <m:f>
          <m:fPr>
            <m:ctrlPr>
              <w:rPr>
                <w:rFonts w:ascii="Cambria Math" w:hAnsi="Cambria Math"/>
                <w:lang w:eastAsia="tr-TR"/>
              </w:rPr>
            </m:ctrlPr>
          </m:fPr>
          <m:num>
            <m:sSub>
              <m:sSubPr>
                <m:ctrlPr>
                  <w:rPr>
                    <w:rFonts w:ascii="Cambria Math" w:hAnsi="Cambria Math"/>
                    <w:lang w:eastAsia="tr-TR"/>
                  </w:rPr>
                </m:ctrlPr>
              </m:sSubPr>
              <m:e>
                <m:r>
                  <w:rPr>
                    <w:rFonts w:ascii="Cambria Math" w:hAnsi="Cambria Math"/>
                    <w:lang w:eastAsia="tr-TR"/>
                  </w:rPr>
                  <m:t>E</m:t>
                </m:r>
              </m:e>
              <m:sub>
                <m:r>
                  <w:rPr>
                    <w:rFonts w:ascii="Cambria Math" w:hAnsi="Cambria Math"/>
                    <w:lang w:eastAsia="tr-TR"/>
                  </w:rPr>
                  <m:t>out</m:t>
                </m:r>
              </m:sub>
            </m:sSub>
          </m:num>
          <m:den>
            <m:r>
              <m:rPr>
                <m:sty m:val="p"/>
              </m:rPr>
              <w:rPr>
                <w:rFonts w:ascii="Cambria Math" w:hAnsi="Cambria Math"/>
                <w:lang w:eastAsia="tr-TR"/>
              </w:rPr>
              <m:t>∑</m:t>
            </m:r>
            <m:sSub>
              <m:sSubPr>
                <m:ctrlPr>
                  <w:rPr>
                    <w:rFonts w:ascii="Cambria Math" w:hAnsi="Cambria Math"/>
                    <w:lang w:eastAsia="tr-TR"/>
                  </w:rPr>
                </m:ctrlPr>
              </m:sSubPr>
              <m:e>
                <m:r>
                  <w:rPr>
                    <w:rFonts w:ascii="Cambria Math" w:hAnsi="Cambria Math"/>
                    <w:lang w:eastAsia="tr-TR"/>
                  </w:rPr>
                  <m:t>E</m:t>
                </m:r>
              </m:e>
              <m:sub>
                <m:r>
                  <w:rPr>
                    <w:rFonts w:ascii="Cambria Math" w:hAnsi="Cambria Math"/>
                    <w:lang w:eastAsia="tr-TR"/>
                  </w:rPr>
                  <m:t>in</m:t>
                </m:r>
              </m:sub>
            </m:sSub>
          </m:den>
        </m:f>
        <m:r>
          <m:rPr>
            <m:sty m:val="p"/>
          </m:rPr>
          <w:rPr>
            <w:rFonts w:ascii="Cambria Math" w:hAnsi="Cambria Math"/>
            <w:lang w:eastAsia="tr-TR"/>
          </w:rPr>
          <m:t>×100%</m:t>
        </m:r>
      </m:oMath>
      <w:r w:rsidR="00C63BC2" w:rsidRPr="008957D5">
        <w:rPr>
          <w:rFonts w:asciiTheme="minorBidi" w:hAnsiTheme="minorBidi"/>
          <w:lang w:eastAsia="tr-TR"/>
        </w:rPr>
        <w:t xml:space="preserve">                                                                                                                                          (1)</w:t>
      </w:r>
      <w:r w:rsidRPr="008957D5">
        <w:rPr>
          <w:rFonts w:asciiTheme="minorBidi" w:hAnsiTheme="minorBidi"/>
          <w:lang w:eastAsia="tr-TR"/>
        </w:rPr>
        <w:br/>
      </w:r>
      <w:r w:rsidRPr="008957D5">
        <w:rPr>
          <w:rFonts w:asciiTheme="minorBidi" w:hAnsiTheme="minorBidi" w:cstheme="minorBidi"/>
          <w:szCs w:val="18"/>
          <w:lang w:eastAsia="tr-TR"/>
        </w:rPr>
        <w:t>The total energy input includes electricity consumption for electrolysis, ammonia synthesis, compression or liquefaction, storage losses, and reconversion to power. This baseline metric serves as the reference against which hazard-adjusted performance is evaluated.</w:t>
      </w:r>
    </w:p>
    <w:p w14:paraId="3C40559A" w14:textId="4C377D22" w:rsidR="008C2143" w:rsidRPr="008957D5" w:rsidRDefault="008C2143" w:rsidP="008C2143">
      <w:pPr>
        <w:pStyle w:val="CETheadingx"/>
        <w:rPr>
          <w:rFonts w:asciiTheme="minorBidi" w:hAnsiTheme="minorBidi" w:cstheme="minorBidi"/>
          <w:szCs w:val="18"/>
          <w:lang w:eastAsia="tr-TR"/>
        </w:rPr>
      </w:pPr>
      <w:r w:rsidRPr="008957D5">
        <w:rPr>
          <w:rFonts w:asciiTheme="minorBidi" w:hAnsiTheme="minorBidi" w:cstheme="minorBidi"/>
          <w:szCs w:val="18"/>
          <w:lang w:eastAsia="tr-TR"/>
        </w:rPr>
        <w:t xml:space="preserve">Inherent </w:t>
      </w:r>
      <w:r w:rsidR="00B93864">
        <w:rPr>
          <w:rFonts w:asciiTheme="minorBidi" w:hAnsiTheme="minorBidi" w:cstheme="minorBidi"/>
          <w:szCs w:val="18"/>
          <w:lang w:eastAsia="tr-TR"/>
        </w:rPr>
        <w:t>hazard</w:t>
      </w:r>
      <w:r w:rsidR="00B93864" w:rsidRPr="008957D5">
        <w:rPr>
          <w:rFonts w:asciiTheme="minorBidi" w:hAnsiTheme="minorBidi" w:cstheme="minorBidi"/>
          <w:szCs w:val="18"/>
          <w:lang w:eastAsia="tr-TR"/>
        </w:rPr>
        <w:t xml:space="preserve"> </w:t>
      </w:r>
      <w:r w:rsidRPr="008957D5">
        <w:rPr>
          <w:rFonts w:asciiTheme="minorBidi" w:hAnsiTheme="minorBidi" w:cstheme="minorBidi"/>
          <w:szCs w:val="18"/>
          <w:lang w:eastAsia="tr-TR"/>
        </w:rPr>
        <w:t>assessment</w:t>
      </w:r>
      <w:r w:rsidR="00B93864">
        <w:rPr>
          <w:rFonts w:asciiTheme="minorBidi" w:hAnsiTheme="minorBidi" w:cstheme="minorBidi"/>
          <w:szCs w:val="18"/>
          <w:lang w:eastAsia="tr-TR"/>
        </w:rPr>
        <w:t xml:space="preserve"> for safety consideration</w:t>
      </w:r>
    </w:p>
    <w:p w14:paraId="78EBFA55" w14:textId="6967AA4D" w:rsidR="007D2AFF" w:rsidRPr="008957D5" w:rsidRDefault="007D2AFF" w:rsidP="007D2AFF">
      <w:pPr>
        <w:pStyle w:val="CETBodytext"/>
        <w:rPr>
          <w:lang w:eastAsia="tr-TR"/>
        </w:rPr>
      </w:pPr>
      <w:r w:rsidRPr="008957D5">
        <w:rPr>
          <w:lang w:eastAsia="tr-TR"/>
        </w:rPr>
        <w:t xml:space="preserve">Inherent </w:t>
      </w:r>
      <w:r w:rsidR="00B93864">
        <w:rPr>
          <w:lang w:eastAsia="tr-TR"/>
        </w:rPr>
        <w:t>hazards</w:t>
      </w:r>
      <w:r w:rsidRPr="008957D5">
        <w:rPr>
          <w:lang w:eastAsia="tr-TR"/>
        </w:rPr>
        <w:t xml:space="preserve"> </w:t>
      </w:r>
      <w:r w:rsidR="00CA68C1" w:rsidRPr="007774C5">
        <w:rPr>
          <w:lang w:val="en-GB" w:eastAsia="tr-TR"/>
        </w:rPr>
        <w:t>are quantified using the Extended Inherent Safety Index (EISI), a structured framework for evaluating chemical and process hazards in early-stage design (Park et al., 2022), which evaluates hazards across three domains:</w:t>
      </w:r>
    </w:p>
    <w:p w14:paraId="0FEF9561" w14:textId="763F22F4" w:rsidR="007D2AFF" w:rsidRPr="008957D5" w:rsidRDefault="009557F6" w:rsidP="007D2AFF">
      <w:pPr>
        <w:pStyle w:val="CETBodytext"/>
        <w:numPr>
          <w:ilvl w:val="0"/>
          <w:numId w:val="27"/>
        </w:numPr>
        <w:rPr>
          <w:lang w:eastAsia="tr-TR"/>
        </w:rPr>
      </w:pPr>
      <w:r w:rsidRPr="00234979">
        <w:rPr>
          <w:lang w:eastAsia="tr-TR"/>
        </w:rPr>
        <w:t>Inherent</w:t>
      </w:r>
      <w:r w:rsidRPr="003E7328">
        <w:rPr>
          <w:lang w:eastAsia="tr-TR"/>
        </w:rPr>
        <w:t xml:space="preserve"> </w:t>
      </w:r>
      <w:r w:rsidR="007D2AFF" w:rsidRPr="008957D5">
        <w:rPr>
          <w:lang w:eastAsia="tr-TR"/>
        </w:rPr>
        <w:t>Chemical Index (ICI), accounting for flammability, explosiveness, toxicity, corrosiveness, and reaction energetics;</w:t>
      </w:r>
    </w:p>
    <w:p w14:paraId="75425F82" w14:textId="296DEFE4" w:rsidR="007D2AFF" w:rsidRPr="008957D5" w:rsidRDefault="007D2AFF" w:rsidP="007D2AFF">
      <w:pPr>
        <w:pStyle w:val="CETBodytext"/>
        <w:numPr>
          <w:ilvl w:val="0"/>
          <w:numId w:val="27"/>
        </w:numPr>
        <w:rPr>
          <w:lang w:eastAsia="tr-TR"/>
        </w:rPr>
      </w:pPr>
      <w:r w:rsidRPr="008957D5">
        <w:rPr>
          <w:lang w:eastAsia="tr-TR"/>
        </w:rPr>
        <w:t xml:space="preserve">Inherent </w:t>
      </w:r>
      <w:r w:rsidR="009557F6">
        <w:rPr>
          <w:lang w:eastAsia="tr-TR"/>
        </w:rPr>
        <w:t>Process</w:t>
      </w:r>
      <w:r w:rsidRPr="008957D5">
        <w:rPr>
          <w:lang w:eastAsia="tr-TR"/>
        </w:rPr>
        <w:t xml:space="preserve"> Index (IPI), reflecting operating pressure, temperature, material inventory, equipment complexity, and storage configuration; and</w:t>
      </w:r>
    </w:p>
    <w:p w14:paraId="0E57040D" w14:textId="665ECFC6" w:rsidR="007D2AFF" w:rsidRPr="008957D5" w:rsidRDefault="007D2AFF" w:rsidP="007D2AFF">
      <w:pPr>
        <w:pStyle w:val="CETBodytext"/>
        <w:numPr>
          <w:ilvl w:val="0"/>
          <w:numId w:val="27"/>
        </w:numPr>
        <w:rPr>
          <w:lang w:eastAsia="tr-TR"/>
        </w:rPr>
      </w:pPr>
      <w:r w:rsidRPr="008957D5">
        <w:rPr>
          <w:lang w:eastAsia="tr-TR"/>
        </w:rPr>
        <w:t xml:space="preserve">Inherent </w:t>
      </w:r>
      <w:r w:rsidR="00B93864" w:rsidRPr="00234979">
        <w:rPr>
          <w:lang w:eastAsia="tr-TR"/>
        </w:rPr>
        <w:t>Biological</w:t>
      </w:r>
      <w:r w:rsidR="00B93864" w:rsidRPr="003E7328" w:rsidDel="00B93864">
        <w:rPr>
          <w:lang w:eastAsia="tr-TR"/>
        </w:rPr>
        <w:t xml:space="preserve"> </w:t>
      </w:r>
      <w:r w:rsidRPr="008957D5">
        <w:rPr>
          <w:lang w:eastAsia="tr-TR"/>
        </w:rPr>
        <w:t xml:space="preserve">Index (IBI), capturing health and environmental exposure </w:t>
      </w:r>
      <w:r w:rsidR="00B93864">
        <w:rPr>
          <w:lang w:eastAsia="tr-TR"/>
        </w:rPr>
        <w:t>hazards</w:t>
      </w:r>
      <w:r w:rsidRPr="008957D5">
        <w:rPr>
          <w:lang w:eastAsia="tr-TR"/>
        </w:rPr>
        <w:t>.</w:t>
      </w:r>
    </w:p>
    <w:p w14:paraId="3B432A15" w14:textId="77777777" w:rsidR="007D2AFF" w:rsidRPr="008957D5" w:rsidRDefault="007D2AFF" w:rsidP="007D2AFF">
      <w:pPr>
        <w:pStyle w:val="CETBodytext"/>
        <w:rPr>
          <w:lang w:eastAsia="tr-TR"/>
        </w:rPr>
      </w:pPr>
    </w:p>
    <w:p w14:paraId="2747DFA8" w14:textId="77777777" w:rsidR="007D2AFF" w:rsidRPr="008957D5" w:rsidRDefault="007D2AFF" w:rsidP="007D2AFF">
      <w:pPr>
        <w:pStyle w:val="CETBodytext"/>
        <w:rPr>
          <w:lang w:eastAsia="tr-TR"/>
        </w:rPr>
      </w:pPr>
      <w:r w:rsidRPr="008957D5">
        <w:rPr>
          <w:lang w:eastAsia="tr-TR"/>
        </w:rPr>
        <w:t>To enable proportional scaling and cross-pathway comparability, a normalized and weighted formulation is adopted.</w:t>
      </w:r>
    </w:p>
    <w:p w14:paraId="38957875" w14:textId="5E55DAEF" w:rsidR="008C2143" w:rsidRPr="008957D5" w:rsidRDefault="008C2143">
      <w:pPr>
        <w:pStyle w:val="CETEquation"/>
        <w:rPr>
          <w:rFonts w:asciiTheme="minorBidi" w:hAnsiTheme="minorBidi" w:cstheme="minorBidi"/>
          <w:szCs w:val="18"/>
          <w:lang w:val="en-US" w:eastAsia="tr-TR"/>
        </w:rPr>
      </w:pPr>
      <m:oMath>
        <m:r>
          <w:rPr>
            <w:rFonts w:ascii="Cambria Math" w:hAnsi="Cambria Math"/>
            <w:lang w:val="en-US" w:eastAsia="tr-TR"/>
          </w:rPr>
          <m:t>EIS</m:t>
        </m:r>
        <m:sSub>
          <m:sSubPr>
            <m:ctrlPr>
              <w:rPr>
                <w:rFonts w:ascii="Cambria Math" w:hAnsi="Cambria Math"/>
                <w:lang w:val="en-US" w:eastAsia="tr-TR"/>
              </w:rPr>
            </m:ctrlPr>
          </m:sSubPr>
          <m:e>
            <m:r>
              <w:rPr>
                <w:rFonts w:ascii="Cambria Math" w:hAnsi="Cambria Math"/>
                <w:lang w:val="en-US" w:eastAsia="tr-TR"/>
              </w:rPr>
              <m:t>I</m:t>
            </m:r>
          </m:e>
          <m:sub>
            <m:r>
              <w:rPr>
                <w:rFonts w:ascii="Cambria Math" w:hAnsi="Cambria Math"/>
                <w:lang w:val="en-US" w:eastAsia="tr-TR"/>
              </w:rPr>
              <m:t>norm</m:t>
            </m:r>
          </m:sub>
        </m:sSub>
        <m:r>
          <m:rPr>
            <m:sty m:val="p"/>
          </m:rPr>
          <w:rPr>
            <w:rFonts w:ascii="Cambria Math" w:hAnsi="Cambria Math"/>
            <w:lang w:val="en-US" w:eastAsia="tr-TR"/>
          </w:rPr>
          <m:t>=</m:t>
        </m:r>
        <m:sSub>
          <m:sSubPr>
            <m:ctrlPr>
              <w:rPr>
                <w:rFonts w:ascii="Cambria Math" w:hAnsi="Cambria Math"/>
                <w:lang w:val="en-US" w:eastAsia="tr-TR"/>
              </w:rPr>
            </m:ctrlPr>
          </m:sSubPr>
          <m:e>
            <m:r>
              <w:rPr>
                <w:rFonts w:ascii="Cambria Math" w:hAnsi="Cambria Math"/>
                <w:lang w:val="en-US" w:eastAsia="tr-TR"/>
              </w:rPr>
              <m:t>w</m:t>
            </m:r>
          </m:e>
          <m:sub>
            <m:r>
              <m:rPr>
                <m:sty m:val="p"/>
              </m:rPr>
              <w:rPr>
                <w:rFonts w:ascii="Cambria Math" w:hAnsi="Cambria Math"/>
                <w:lang w:val="en-US" w:eastAsia="tr-TR"/>
              </w:rPr>
              <m:t>1</m:t>
            </m:r>
          </m:sub>
        </m:sSub>
        <m:f>
          <m:fPr>
            <m:ctrlPr>
              <w:rPr>
                <w:rFonts w:ascii="Cambria Math" w:hAnsi="Cambria Math"/>
                <w:lang w:val="en-US" w:eastAsia="tr-TR"/>
              </w:rPr>
            </m:ctrlPr>
          </m:fPr>
          <m:num>
            <m:r>
              <w:rPr>
                <w:rFonts w:ascii="Cambria Math" w:hAnsi="Cambria Math"/>
                <w:lang w:val="en-US" w:eastAsia="tr-TR"/>
              </w:rPr>
              <m:t>ICI</m:t>
            </m:r>
          </m:num>
          <m:den>
            <m:r>
              <w:rPr>
                <w:rFonts w:ascii="Cambria Math" w:hAnsi="Cambria Math"/>
                <w:lang w:val="en-US" w:eastAsia="tr-TR"/>
              </w:rPr>
              <m:t>IC</m:t>
            </m:r>
            <m:sSub>
              <m:sSubPr>
                <m:ctrlPr>
                  <w:rPr>
                    <w:rFonts w:ascii="Cambria Math" w:hAnsi="Cambria Math"/>
                    <w:lang w:val="en-US" w:eastAsia="tr-TR"/>
                  </w:rPr>
                </m:ctrlPr>
              </m:sSubPr>
              <m:e>
                <m:r>
                  <w:rPr>
                    <w:rFonts w:ascii="Cambria Math" w:hAnsi="Cambria Math"/>
                    <w:lang w:val="en-US" w:eastAsia="tr-TR"/>
                  </w:rPr>
                  <m:t>I</m:t>
                </m:r>
              </m:e>
              <m:sub>
                <m:r>
                  <w:rPr>
                    <w:rFonts w:ascii="Cambria Math" w:hAnsi="Cambria Math"/>
                    <w:lang w:val="en-US" w:eastAsia="tr-TR"/>
                  </w:rPr>
                  <m:t>max</m:t>
                </m:r>
              </m:sub>
            </m:sSub>
          </m:den>
        </m:f>
        <m:r>
          <m:rPr>
            <m:sty m:val="p"/>
          </m:rPr>
          <w:rPr>
            <w:rFonts w:ascii="Cambria Math" w:hAnsi="Cambria Math"/>
            <w:lang w:val="en-US" w:eastAsia="tr-TR"/>
          </w:rPr>
          <m:t>+</m:t>
        </m:r>
        <m:sSub>
          <m:sSubPr>
            <m:ctrlPr>
              <w:rPr>
                <w:rFonts w:ascii="Cambria Math" w:hAnsi="Cambria Math"/>
                <w:lang w:val="en-US" w:eastAsia="tr-TR"/>
              </w:rPr>
            </m:ctrlPr>
          </m:sSubPr>
          <m:e>
            <m:r>
              <w:rPr>
                <w:rFonts w:ascii="Cambria Math" w:hAnsi="Cambria Math"/>
                <w:lang w:val="en-US" w:eastAsia="tr-TR"/>
              </w:rPr>
              <m:t>w</m:t>
            </m:r>
          </m:e>
          <m:sub>
            <m:r>
              <m:rPr>
                <m:sty m:val="p"/>
              </m:rPr>
              <w:rPr>
                <w:rFonts w:ascii="Cambria Math" w:hAnsi="Cambria Math"/>
                <w:lang w:val="en-US" w:eastAsia="tr-TR"/>
              </w:rPr>
              <m:t>2</m:t>
            </m:r>
          </m:sub>
        </m:sSub>
        <m:f>
          <m:fPr>
            <m:ctrlPr>
              <w:rPr>
                <w:rFonts w:ascii="Cambria Math" w:hAnsi="Cambria Math"/>
                <w:lang w:val="en-US" w:eastAsia="tr-TR"/>
              </w:rPr>
            </m:ctrlPr>
          </m:fPr>
          <m:num>
            <m:r>
              <w:rPr>
                <w:rFonts w:ascii="Cambria Math" w:hAnsi="Cambria Math"/>
                <w:lang w:val="en-US" w:eastAsia="tr-TR"/>
              </w:rPr>
              <m:t>IPI</m:t>
            </m:r>
          </m:num>
          <m:den>
            <m:r>
              <w:rPr>
                <w:rFonts w:ascii="Cambria Math" w:hAnsi="Cambria Math"/>
                <w:lang w:val="en-US" w:eastAsia="tr-TR"/>
              </w:rPr>
              <m:t>IP</m:t>
            </m:r>
            <m:sSub>
              <m:sSubPr>
                <m:ctrlPr>
                  <w:rPr>
                    <w:rFonts w:ascii="Cambria Math" w:hAnsi="Cambria Math"/>
                    <w:lang w:val="en-US" w:eastAsia="tr-TR"/>
                  </w:rPr>
                </m:ctrlPr>
              </m:sSubPr>
              <m:e>
                <m:r>
                  <w:rPr>
                    <w:rFonts w:ascii="Cambria Math" w:hAnsi="Cambria Math"/>
                    <w:lang w:val="en-US" w:eastAsia="tr-TR"/>
                  </w:rPr>
                  <m:t>I</m:t>
                </m:r>
              </m:e>
              <m:sub>
                <m:r>
                  <w:rPr>
                    <w:rFonts w:ascii="Cambria Math" w:hAnsi="Cambria Math"/>
                    <w:lang w:val="en-US" w:eastAsia="tr-TR"/>
                  </w:rPr>
                  <m:t>max</m:t>
                </m:r>
              </m:sub>
            </m:sSub>
          </m:den>
        </m:f>
        <m:r>
          <m:rPr>
            <m:sty m:val="p"/>
          </m:rPr>
          <w:rPr>
            <w:rFonts w:ascii="Cambria Math" w:hAnsi="Cambria Math"/>
            <w:lang w:val="en-US" w:eastAsia="tr-TR"/>
          </w:rPr>
          <m:t>+</m:t>
        </m:r>
        <m:sSub>
          <m:sSubPr>
            <m:ctrlPr>
              <w:rPr>
                <w:rFonts w:ascii="Cambria Math" w:hAnsi="Cambria Math"/>
                <w:lang w:val="en-US" w:eastAsia="tr-TR"/>
              </w:rPr>
            </m:ctrlPr>
          </m:sSubPr>
          <m:e>
            <m:r>
              <w:rPr>
                <w:rFonts w:ascii="Cambria Math" w:hAnsi="Cambria Math"/>
                <w:lang w:val="en-US" w:eastAsia="tr-TR"/>
              </w:rPr>
              <m:t>w</m:t>
            </m:r>
          </m:e>
          <m:sub>
            <m:r>
              <m:rPr>
                <m:sty m:val="p"/>
              </m:rPr>
              <w:rPr>
                <w:rFonts w:ascii="Cambria Math" w:hAnsi="Cambria Math"/>
                <w:lang w:val="en-US" w:eastAsia="tr-TR"/>
              </w:rPr>
              <m:t>3</m:t>
            </m:r>
          </m:sub>
        </m:sSub>
        <m:f>
          <m:fPr>
            <m:ctrlPr>
              <w:rPr>
                <w:rFonts w:ascii="Cambria Math" w:hAnsi="Cambria Math"/>
                <w:lang w:val="en-US" w:eastAsia="tr-TR"/>
              </w:rPr>
            </m:ctrlPr>
          </m:fPr>
          <m:num>
            <m:r>
              <w:rPr>
                <w:rFonts w:ascii="Cambria Math" w:hAnsi="Cambria Math"/>
                <w:lang w:val="en-US" w:eastAsia="tr-TR"/>
              </w:rPr>
              <m:t>IBI</m:t>
            </m:r>
          </m:num>
          <m:den>
            <m:r>
              <w:rPr>
                <w:rFonts w:ascii="Cambria Math" w:hAnsi="Cambria Math"/>
                <w:lang w:val="en-US" w:eastAsia="tr-TR"/>
              </w:rPr>
              <m:t>IB</m:t>
            </m:r>
            <m:sSub>
              <m:sSubPr>
                <m:ctrlPr>
                  <w:rPr>
                    <w:rFonts w:ascii="Cambria Math" w:hAnsi="Cambria Math"/>
                    <w:lang w:val="en-US" w:eastAsia="tr-TR"/>
                  </w:rPr>
                </m:ctrlPr>
              </m:sSubPr>
              <m:e>
                <m:r>
                  <w:rPr>
                    <w:rFonts w:ascii="Cambria Math" w:hAnsi="Cambria Math"/>
                    <w:lang w:val="en-US" w:eastAsia="tr-TR"/>
                  </w:rPr>
                  <m:t>I</m:t>
                </m:r>
              </m:e>
              <m:sub>
                <m:r>
                  <w:rPr>
                    <w:rFonts w:ascii="Cambria Math" w:hAnsi="Cambria Math"/>
                    <w:lang w:val="en-US" w:eastAsia="tr-TR"/>
                  </w:rPr>
                  <m:t>max</m:t>
                </m:r>
              </m:sub>
            </m:sSub>
          </m:den>
        </m:f>
      </m:oMath>
      <w:r w:rsidR="00C63BC2" w:rsidRPr="008957D5">
        <w:rPr>
          <w:rFonts w:asciiTheme="minorBidi" w:hAnsiTheme="minorBidi" w:cstheme="minorBidi"/>
          <w:lang w:val="en-US" w:eastAsia="tr-TR"/>
        </w:rPr>
        <w:t xml:space="preserve">                                                                                                       (2)</w:t>
      </w:r>
      <w:r w:rsidRPr="008957D5">
        <w:rPr>
          <w:rFonts w:asciiTheme="minorBidi" w:hAnsiTheme="minorBidi" w:cstheme="minorBidi"/>
          <w:szCs w:val="18"/>
          <w:lang w:val="en-US" w:eastAsia="tr-TR"/>
        </w:rPr>
        <w:br/>
      </w:r>
      <w:r w:rsidR="00C03AB5">
        <w:rPr>
          <w:rFonts w:asciiTheme="minorBidi" w:hAnsiTheme="minorBidi" w:cstheme="minorBidi"/>
          <w:szCs w:val="18"/>
          <w:lang w:val="en-US" w:eastAsia="tr-TR"/>
        </w:rPr>
        <w:t>The w</w:t>
      </w:r>
      <w:r w:rsidRPr="008957D5">
        <w:rPr>
          <w:rFonts w:asciiTheme="minorBidi" w:hAnsiTheme="minorBidi" w:cstheme="minorBidi"/>
          <w:szCs w:val="18"/>
          <w:lang w:val="en-US" w:eastAsia="tr-TR"/>
        </w:rPr>
        <w:t xml:space="preserve">eighting factors </w:t>
      </w:r>
      <m:oMath>
        <m:sSub>
          <m:sSubPr>
            <m:ctrlPr>
              <w:rPr>
                <w:rFonts w:ascii="Cambria Math" w:hAnsi="Cambria Math" w:cstheme="minorBidi"/>
                <w:szCs w:val="18"/>
                <w:lang w:val="en-US" w:eastAsia="tr-TR"/>
              </w:rPr>
            </m:ctrlPr>
          </m:sSubPr>
          <m:e>
            <m:r>
              <w:rPr>
                <w:rFonts w:ascii="Cambria Math" w:hAnsi="Cambria Math" w:cstheme="minorBidi"/>
                <w:szCs w:val="18"/>
                <w:lang w:val="en-US" w:eastAsia="tr-TR"/>
              </w:rPr>
              <m:t>w</m:t>
            </m:r>
          </m:e>
          <m:sub>
            <m:r>
              <w:rPr>
                <w:rFonts w:ascii="Cambria Math" w:hAnsi="Cambria Math" w:cstheme="minorBidi"/>
                <w:szCs w:val="18"/>
                <w:lang w:val="en-US" w:eastAsia="tr-TR"/>
              </w:rPr>
              <m:t>1</m:t>
            </m:r>
          </m:sub>
        </m:sSub>
      </m:oMath>
      <w:r w:rsidRPr="008957D5">
        <w:rPr>
          <w:rFonts w:asciiTheme="minorBidi" w:hAnsiTheme="minorBidi" w:cstheme="minorBidi"/>
          <w:szCs w:val="18"/>
          <w:lang w:val="en-US" w:eastAsia="tr-TR"/>
        </w:rPr>
        <w:t xml:space="preserve">, </w:t>
      </w:r>
      <m:oMath>
        <m:sSub>
          <m:sSubPr>
            <m:ctrlPr>
              <w:rPr>
                <w:rFonts w:ascii="Cambria Math" w:hAnsi="Cambria Math" w:cstheme="minorBidi"/>
                <w:szCs w:val="18"/>
                <w:lang w:val="en-US" w:eastAsia="tr-TR"/>
              </w:rPr>
            </m:ctrlPr>
          </m:sSubPr>
          <m:e>
            <m:r>
              <w:rPr>
                <w:rFonts w:ascii="Cambria Math" w:hAnsi="Cambria Math" w:cstheme="minorBidi"/>
                <w:szCs w:val="18"/>
                <w:lang w:val="en-US" w:eastAsia="tr-TR"/>
              </w:rPr>
              <m:t>w</m:t>
            </m:r>
          </m:e>
          <m:sub>
            <m:r>
              <w:rPr>
                <w:rFonts w:ascii="Cambria Math" w:hAnsi="Cambria Math" w:cstheme="minorBidi"/>
                <w:szCs w:val="18"/>
                <w:lang w:val="en-US" w:eastAsia="tr-TR"/>
              </w:rPr>
              <m:t>2</m:t>
            </m:r>
          </m:sub>
        </m:sSub>
      </m:oMath>
      <w:r w:rsidRPr="008957D5">
        <w:rPr>
          <w:rFonts w:asciiTheme="minorBidi" w:hAnsiTheme="minorBidi" w:cstheme="minorBidi"/>
          <w:szCs w:val="18"/>
          <w:lang w:val="en-US" w:eastAsia="tr-TR"/>
        </w:rPr>
        <w:t xml:space="preserve">, and </w:t>
      </w:r>
      <m:oMath>
        <m:sSub>
          <m:sSubPr>
            <m:ctrlPr>
              <w:rPr>
                <w:rFonts w:ascii="Cambria Math" w:hAnsi="Cambria Math" w:cstheme="minorBidi"/>
                <w:szCs w:val="18"/>
                <w:lang w:val="en-US" w:eastAsia="tr-TR"/>
              </w:rPr>
            </m:ctrlPr>
          </m:sSubPr>
          <m:e>
            <m:r>
              <w:rPr>
                <w:rFonts w:ascii="Cambria Math" w:hAnsi="Cambria Math" w:cstheme="minorBidi"/>
                <w:szCs w:val="18"/>
                <w:lang w:val="en-US" w:eastAsia="tr-TR"/>
              </w:rPr>
              <m:t>w</m:t>
            </m:r>
          </m:e>
          <m:sub>
            <m:r>
              <w:rPr>
                <w:rFonts w:ascii="Cambria Math" w:hAnsi="Cambria Math" w:cstheme="minorBidi"/>
                <w:szCs w:val="18"/>
                <w:lang w:val="en-US" w:eastAsia="tr-TR"/>
              </w:rPr>
              <m:t>3</m:t>
            </m:r>
          </m:sub>
        </m:sSub>
      </m:oMath>
      <w:r w:rsidR="00B93864">
        <w:rPr>
          <w:rFonts w:asciiTheme="minorBidi" w:hAnsiTheme="minorBidi" w:cstheme="minorBidi"/>
          <w:szCs w:val="18"/>
          <w:lang w:val="en-US" w:eastAsia="tr-TR"/>
        </w:rPr>
        <w:t xml:space="preserve"> </w:t>
      </w:r>
      <w:r w:rsidRPr="008957D5">
        <w:rPr>
          <w:rFonts w:asciiTheme="minorBidi" w:hAnsiTheme="minorBidi" w:cstheme="minorBidi"/>
          <w:szCs w:val="18"/>
          <w:lang w:val="en-US" w:eastAsia="tr-TR"/>
        </w:rPr>
        <w:t>allow prioritization of chemical, process, and biological hazards depending on regulatory or operational context. A balanced base case with equal weighting is used to represent moderate safety emphasis.</w:t>
      </w:r>
    </w:p>
    <w:p w14:paraId="593AF792" w14:textId="46867FCA" w:rsidR="008C2143" w:rsidRPr="008957D5" w:rsidRDefault="008C2143" w:rsidP="008C2143">
      <w:pPr>
        <w:pStyle w:val="CETheadingx"/>
        <w:rPr>
          <w:rFonts w:asciiTheme="minorBidi" w:hAnsiTheme="minorBidi" w:cstheme="minorBidi"/>
          <w:szCs w:val="18"/>
          <w:lang w:eastAsia="tr-TR"/>
        </w:rPr>
      </w:pPr>
      <w:r w:rsidRPr="008957D5">
        <w:rPr>
          <w:rFonts w:asciiTheme="minorBidi" w:hAnsiTheme="minorBidi" w:cstheme="minorBidi"/>
          <w:szCs w:val="18"/>
          <w:lang w:eastAsia="tr-TR"/>
        </w:rPr>
        <w:t>Hazard adjustment and HA-RTE</w:t>
      </w:r>
    </w:p>
    <w:p w14:paraId="4638786D" w14:textId="77777777" w:rsidR="008C2143" w:rsidRPr="008957D5" w:rsidRDefault="008C2143" w:rsidP="00A374E4">
      <w:pPr>
        <w:spacing w:after="100" w:afterAutospacing="1" w:line="240" w:lineRule="auto"/>
        <w:rPr>
          <w:rFonts w:asciiTheme="minorBidi" w:hAnsiTheme="minorBidi" w:cstheme="minorBidi"/>
          <w:szCs w:val="18"/>
          <w:lang w:val="en-US" w:eastAsia="tr-TR"/>
        </w:rPr>
      </w:pPr>
      <w:r w:rsidRPr="008957D5">
        <w:rPr>
          <w:rFonts w:asciiTheme="minorBidi" w:hAnsiTheme="minorBidi" w:cstheme="minorBidi"/>
          <w:szCs w:val="18"/>
          <w:lang w:val="en-US" w:eastAsia="tr-TR"/>
        </w:rPr>
        <w:t xml:space="preserve">The normalized EISI is converted into a continuous hazard adjustment factor, </w:t>
      </w:r>
      <m:oMath>
        <m:sSub>
          <m:sSubPr>
            <m:ctrlPr>
              <w:rPr>
                <w:rFonts w:ascii="Cambria Math" w:hAnsi="Cambria Math" w:cstheme="minorBidi"/>
                <w:szCs w:val="18"/>
                <w:lang w:val="en-US" w:eastAsia="tr-TR"/>
              </w:rPr>
            </m:ctrlPr>
          </m:sSubPr>
          <m:e>
            <m:r>
              <w:rPr>
                <w:rFonts w:ascii="Cambria Math" w:hAnsi="Cambria Math" w:cstheme="minorBidi"/>
                <w:szCs w:val="18"/>
                <w:lang w:val="en-US" w:eastAsia="tr-TR"/>
              </w:rPr>
              <m:t>H</m:t>
            </m:r>
          </m:e>
          <m:sub>
            <m:r>
              <w:rPr>
                <w:rFonts w:ascii="Cambria Math" w:hAnsi="Cambria Math" w:cstheme="minorBidi"/>
                <w:szCs w:val="18"/>
                <w:lang w:val="en-US" w:eastAsia="tr-TR"/>
              </w:rPr>
              <m:t>adj</m:t>
            </m:r>
          </m:sub>
        </m:sSub>
      </m:oMath>
      <w:r w:rsidRPr="008957D5">
        <w:rPr>
          <w:rFonts w:asciiTheme="minorBidi" w:hAnsiTheme="minorBidi" w:cstheme="minorBidi"/>
          <w:szCs w:val="18"/>
          <w:lang w:val="en-US" w:eastAsia="tr-TR"/>
        </w:rPr>
        <w:t>, which penalizes the baseline RTE according to inherent hazard severity:</w:t>
      </w:r>
    </w:p>
    <w:p w14:paraId="246947D2" w14:textId="7E8A6F4C" w:rsidR="008C2143" w:rsidRPr="008957D5" w:rsidRDefault="000B3FAB">
      <w:pPr>
        <w:pStyle w:val="CETEquation"/>
        <w:rPr>
          <w:rFonts w:asciiTheme="minorBidi" w:hAnsiTheme="minorBidi" w:cstheme="minorBidi"/>
          <w:szCs w:val="18"/>
          <w:lang w:val="en-US" w:eastAsia="tr-TR"/>
        </w:rPr>
      </w:pPr>
      <m:oMath>
        <m:sSub>
          <m:sSubPr>
            <m:ctrlPr>
              <w:rPr>
                <w:rFonts w:ascii="Cambria Math" w:hAnsi="Cambria Math"/>
                <w:lang w:val="en-US" w:eastAsia="tr-TR"/>
              </w:rPr>
            </m:ctrlPr>
          </m:sSubPr>
          <m:e>
            <m:r>
              <w:rPr>
                <w:rFonts w:ascii="Cambria Math" w:hAnsi="Cambria Math"/>
                <w:lang w:val="en-US" w:eastAsia="tr-TR"/>
              </w:rPr>
              <m:t>H</m:t>
            </m:r>
          </m:e>
          <m:sub>
            <m:r>
              <w:rPr>
                <w:rFonts w:ascii="Cambria Math" w:hAnsi="Cambria Math"/>
                <w:lang w:val="en-US" w:eastAsia="tr-TR"/>
              </w:rPr>
              <m:t>adj</m:t>
            </m:r>
          </m:sub>
        </m:sSub>
        <m:r>
          <m:rPr>
            <m:sty m:val="p"/>
          </m:rPr>
          <w:rPr>
            <w:rFonts w:ascii="Cambria Math" w:hAnsi="Cambria Math"/>
            <w:lang w:val="en-US" w:eastAsia="tr-TR"/>
          </w:rPr>
          <m:t>=1+</m:t>
        </m:r>
        <m:f>
          <m:fPr>
            <m:ctrlPr>
              <w:rPr>
                <w:rFonts w:ascii="Cambria Math" w:hAnsi="Cambria Math"/>
                <w:lang w:val="en-US" w:eastAsia="tr-TR"/>
              </w:rPr>
            </m:ctrlPr>
          </m:fPr>
          <m:num>
            <m:d>
              <m:dPr>
                <m:sepChr m:val="−"/>
                <m:ctrlPr>
                  <w:rPr>
                    <w:rFonts w:ascii="Cambria Math" w:hAnsi="Cambria Math"/>
                    <w:lang w:val="en-US" w:eastAsia="tr-TR"/>
                  </w:rPr>
                </m:ctrlPr>
              </m:dPr>
              <m:e>
                <m:r>
                  <w:rPr>
                    <w:rFonts w:ascii="Cambria Math" w:hAnsi="Cambria Math"/>
                    <w:lang w:val="en-US" w:eastAsia="tr-TR"/>
                  </w:rPr>
                  <m:t>EIS</m:t>
                </m:r>
                <m:sSub>
                  <m:sSubPr>
                    <m:ctrlPr>
                      <w:rPr>
                        <w:rFonts w:ascii="Cambria Math" w:hAnsi="Cambria Math"/>
                        <w:lang w:val="en-US" w:eastAsia="tr-TR"/>
                      </w:rPr>
                    </m:ctrlPr>
                  </m:sSubPr>
                  <m:e>
                    <m:r>
                      <w:rPr>
                        <w:rFonts w:ascii="Cambria Math" w:hAnsi="Cambria Math"/>
                        <w:lang w:val="en-US" w:eastAsia="tr-TR"/>
                      </w:rPr>
                      <m:t>I</m:t>
                    </m:r>
                  </m:e>
                  <m:sub>
                    <m:r>
                      <w:rPr>
                        <w:rFonts w:ascii="Cambria Math" w:hAnsi="Cambria Math"/>
                        <w:lang w:val="en-US" w:eastAsia="tr-TR"/>
                      </w:rPr>
                      <m:t>norm</m:t>
                    </m:r>
                  </m:sub>
                </m:sSub>
              </m:e>
              <m:e>
                <m:r>
                  <w:rPr>
                    <w:rFonts w:ascii="Cambria Math" w:hAnsi="Cambria Math"/>
                    <w:lang w:val="en-US" w:eastAsia="tr-TR"/>
                  </w:rPr>
                  <m:t>EIS</m:t>
                </m:r>
                <m:sSub>
                  <m:sSubPr>
                    <m:ctrlPr>
                      <w:rPr>
                        <w:rFonts w:ascii="Cambria Math" w:hAnsi="Cambria Math"/>
                        <w:lang w:val="en-US" w:eastAsia="tr-TR"/>
                      </w:rPr>
                    </m:ctrlPr>
                  </m:sSubPr>
                  <m:e>
                    <m:r>
                      <w:rPr>
                        <w:rFonts w:ascii="Cambria Math" w:hAnsi="Cambria Math"/>
                        <w:lang w:val="en-US" w:eastAsia="tr-TR"/>
                      </w:rPr>
                      <m:t>I</m:t>
                    </m:r>
                  </m:e>
                  <m:sub>
                    <m:r>
                      <w:rPr>
                        <w:rFonts w:ascii="Cambria Math" w:hAnsi="Cambria Math"/>
                        <w:lang w:val="en-US" w:eastAsia="tr-TR"/>
                      </w:rPr>
                      <m:t>low</m:t>
                    </m:r>
                  </m:sub>
                </m:sSub>
              </m:e>
            </m:d>
          </m:num>
          <m:den>
            <m:d>
              <m:dPr>
                <m:sepChr m:val="−"/>
                <m:ctrlPr>
                  <w:rPr>
                    <w:rFonts w:ascii="Cambria Math" w:hAnsi="Cambria Math"/>
                    <w:lang w:val="en-US" w:eastAsia="tr-TR"/>
                  </w:rPr>
                </m:ctrlPr>
              </m:dPr>
              <m:e>
                <m:r>
                  <w:rPr>
                    <w:rFonts w:ascii="Cambria Math" w:hAnsi="Cambria Math"/>
                    <w:lang w:val="en-US" w:eastAsia="tr-TR"/>
                  </w:rPr>
                  <m:t>EIS</m:t>
                </m:r>
                <m:sSub>
                  <m:sSubPr>
                    <m:ctrlPr>
                      <w:rPr>
                        <w:rFonts w:ascii="Cambria Math" w:hAnsi="Cambria Math"/>
                        <w:lang w:val="en-US" w:eastAsia="tr-TR"/>
                      </w:rPr>
                    </m:ctrlPr>
                  </m:sSubPr>
                  <m:e>
                    <m:r>
                      <w:rPr>
                        <w:rFonts w:ascii="Cambria Math" w:hAnsi="Cambria Math"/>
                        <w:lang w:val="en-US" w:eastAsia="tr-TR"/>
                      </w:rPr>
                      <m:t>I</m:t>
                    </m:r>
                  </m:e>
                  <m:sub>
                    <m:r>
                      <w:rPr>
                        <w:rFonts w:ascii="Cambria Math" w:hAnsi="Cambria Math"/>
                        <w:lang w:val="en-US" w:eastAsia="tr-TR"/>
                      </w:rPr>
                      <m:t>high</m:t>
                    </m:r>
                  </m:sub>
                </m:sSub>
              </m:e>
              <m:e>
                <m:r>
                  <w:rPr>
                    <w:rFonts w:ascii="Cambria Math" w:hAnsi="Cambria Math"/>
                    <w:lang w:val="en-US" w:eastAsia="tr-TR"/>
                  </w:rPr>
                  <m:t>EIS</m:t>
                </m:r>
                <m:sSub>
                  <m:sSubPr>
                    <m:ctrlPr>
                      <w:rPr>
                        <w:rFonts w:ascii="Cambria Math" w:hAnsi="Cambria Math"/>
                        <w:lang w:val="en-US" w:eastAsia="tr-TR"/>
                      </w:rPr>
                    </m:ctrlPr>
                  </m:sSubPr>
                  <m:e>
                    <m:r>
                      <w:rPr>
                        <w:rFonts w:ascii="Cambria Math" w:hAnsi="Cambria Math"/>
                        <w:lang w:val="en-US" w:eastAsia="tr-TR"/>
                      </w:rPr>
                      <m:t>I</m:t>
                    </m:r>
                  </m:e>
                  <m:sub>
                    <m:r>
                      <w:rPr>
                        <w:rFonts w:ascii="Cambria Math" w:hAnsi="Cambria Math"/>
                        <w:lang w:val="en-US" w:eastAsia="tr-TR"/>
                      </w:rPr>
                      <m:t>low</m:t>
                    </m:r>
                  </m:sub>
                </m:sSub>
              </m:e>
            </m:d>
          </m:den>
        </m:f>
        <m:r>
          <m:rPr>
            <m:sty m:val="p"/>
          </m:rPr>
          <w:rPr>
            <w:rFonts w:ascii="Cambria Math" w:hAnsi="Cambria Math"/>
            <w:lang w:val="en-US" w:eastAsia="tr-TR"/>
          </w:rPr>
          <m:t>(</m:t>
        </m:r>
        <m:sSub>
          <m:sSubPr>
            <m:ctrlPr>
              <w:rPr>
                <w:rFonts w:ascii="Cambria Math" w:hAnsi="Cambria Math"/>
                <w:lang w:val="en-US" w:eastAsia="tr-TR"/>
              </w:rPr>
            </m:ctrlPr>
          </m:sSubPr>
          <m:e>
            <m:r>
              <w:rPr>
                <w:rFonts w:ascii="Cambria Math" w:hAnsi="Cambria Math"/>
                <w:lang w:val="en-US" w:eastAsia="tr-TR"/>
              </w:rPr>
              <m:t>H</m:t>
            </m:r>
          </m:e>
          <m:sub>
            <m:r>
              <w:rPr>
                <w:rFonts w:ascii="Cambria Math" w:hAnsi="Cambria Math"/>
                <w:lang w:val="en-US" w:eastAsia="tr-TR"/>
              </w:rPr>
              <m:t>max</m:t>
            </m:r>
          </m:sub>
        </m:sSub>
        <m:r>
          <m:rPr>
            <m:sty m:val="p"/>
          </m:rPr>
          <w:rPr>
            <w:rFonts w:ascii="Cambria Math" w:hAnsi="Cambria Math"/>
            <w:lang w:val="en-US" w:eastAsia="tr-TR"/>
          </w:rPr>
          <m:t>-1)</m:t>
        </m:r>
      </m:oMath>
      <w:r w:rsidR="00C63BC2" w:rsidRPr="008957D5">
        <w:rPr>
          <w:rFonts w:asciiTheme="minorBidi" w:hAnsiTheme="minorBidi"/>
          <w:lang w:val="en-US" w:eastAsia="tr-TR"/>
        </w:rPr>
        <w:t xml:space="preserve">                                                                                                         (3)</w:t>
      </w:r>
      <w:r w:rsidR="008C2143" w:rsidRPr="008957D5">
        <w:rPr>
          <w:rFonts w:asciiTheme="minorBidi" w:hAnsiTheme="minorBidi"/>
          <w:lang w:val="en-US" w:eastAsia="tr-TR"/>
        </w:rPr>
        <w:br/>
      </w:r>
      <w:r w:rsidR="008C2143" w:rsidRPr="008957D5">
        <w:rPr>
          <w:rFonts w:asciiTheme="minorBidi" w:hAnsiTheme="minorBidi" w:cstheme="minorBidi"/>
          <w:szCs w:val="18"/>
          <w:lang w:val="en-US" w:eastAsia="tr-TR"/>
        </w:rPr>
        <w:t xml:space="preserve">Here, </w:t>
      </w:r>
      <m:oMath>
        <m:r>
          <w:rPr>
            <w:rFonts w:ascii="Cambria Math" w:hAnsi="Cambria Math" w:cstheme="minorBidi"/>
            <w:szCs w:val="18"/>
            <w:lang w:val="en-US" w:eastAsia="tr-TR"/>
          </w:rPr>
          <m:t>EIS</m:t>
        </m:r>
        <m:sSub>
          <m:sSubPr>
            <m:ctrlPr>
              <w:rPr>
                <w:rFonts w:ascii="Cambria Math" w:hAnsi="Cambria Math" w:cstheme="minorBidi"/>
                <w:szCs w:val="18"/>
                <w:lang w:val="en-US" w:eastAsia="tr-TR"/>
              </w:rPr>
            </m:ctrlPr>
          </m:sSubPr>
          <m:e>
            <m:r>
              <w:rPr>
                <w:rFonts w:ascii="Cambria Math" w:hAnsi="Cambria Math" w:cstheme="minorBidi"/>
                <w:szCs w:val="18"/>
                <w:lang w:val="en-US" w:eastAsia="tr-TR"/>
              </w:rPr>
              <m:t>I</m:t>
            </m:r>
          </m:e>
          <m:sub>
            <m:r>
              <w:rPr>
                <w:rFonts w:ascii="Cambria Math" w:hAnsi="Cambria Math" w:cstheme="minorBidi"/>
                <w:szCs w:val="18"/>
                <w:lang w:val="en-US" w:eastAsia="tr-TR"/>
              </w:rPr>
              <m:t>low</m:t>
            </m:r>
          </m:sub>
        </m:sSub>
      </m:oMath>
      <w:r w:rsidR="008C2143" w:rsidRPr="008957D5">
        <w:rPr>
          <w:rFonts w:asciiTheme="minorBidi" w:hAnsiTheme="minorBidi" w:cstheme="minorBidi"/>
          <w:szCs w:val="18"/>
          <w:lang w:val="en-US" w:eastAsia="tr-TR"/>
        </w:rPr>
        <w:t xml:space="preserve">and </w:t>
      </w:r>
      <m:oMath>
        <m:r>
          <w:rPr>
            <w:rFonts w:ascii="Cambria Math" w:hAnsi="Cambria Math" w:cstheme="minorBidi"/>
            <w:szCs w:val="18"/>
            <w:lang w:val="en-US" w:eastAsia="tr-TR"/>
          </w:rPr>
          <m:t>EIS</m:t>
        </m:r>
        <m:sSub>
          <m:sSubPr>
            <m:ctrlPr>
              <w:rPr>
                <w:rFonts w:ascii="Cambria Math" w:hAnsi="Cambria Math" w:cstheme="minorBidi"/>
                <w:szCs w:val="18"/>
                <w:lang w:val="en-US" w:eastAsia="tr-TR"/>
              </w:rPr>
            </m:ctrlPr>
          </m:sSubPr>
          <m:e>
            <m:r>
              <w:rPr>
                <w:rFonts w:ascii="Cambria Math" w:hAnsi="Cambria Math" w:cstheme="minorBidi"/>
                <w:szCs w:val="18"/>
                <w:lang w:val="en-US" w:eastAsia="tr-TR"/>
              </w:rPr>
              <m:t>I</m:t>
            </m:r>
          </m:e>
          <m:sub>
            <m:r>
              <w:rPr>
                <w:rFonts w:ascii="Cambria Math" w:hAnsi="Cambria Math" w:cstheme="minorBidi"/>
                <w:szCs w:val="18"/>
                <w:lang w:val="en-US" w:eastAsia="tr-TR"/>
              </w:rPr>
              <m:t>high</m:t>
            </m:r>
          </m:sub>
        </m:sSub>
      </m:oMath>
      <w:r w:rsidR="008C2143" w:rsidRPr="008957D5">
        <w:rPr>
          <w:rFonts w:asciiTheme="minorBidi" w:hAnsiTheme="minorBidi" w:cstheme="minorBidi"/>
          <w:szCs w:val="18"/>
          <w:lang w:val="en-US" w:eastAsia="tr-TR"/>
        </w:rPr>
        <w:t xml:space="preserve">define the lower and upper bounds of inherent safety severity, while </w:t>
      </w:r>
      <m:oMath>
        <m:sSub>
          <m:sSubPr>
            <m:ctrlPr>
              <w:rPr>
                <w:rFonts w:ascii="Cambria Math" w:hAnsi="Cambria Math" w:cstheme="minorBidi"/>
                <w:szCs w:val="18"/>
                <w:lang w:val="en-US" w:eastAsia="tr-TR"/>
              </w:rPr>
            </m:ctrlPr>
          </m:sSubPr>
          <m:e>
            <m:r>
              <w:rPr>
                <w:rFonts w:ascii="Cambria Math" w:hAnsi="Cambria Math" w:cstheme="minorBidi"/>
                <w:szCs w:val="18"/>
                <w:lang w:val="en-US" w:eastAsia="tr-TR"/>
              </w:rPr>
              <m:t>H</m:t>
            </m:r>
          </m:e>
          <m:sub>
            <m:r>
              <w:rPr>
                <w:rFonts w:ascii="Cambria Math" w:hAnsi="Cambria Math" w:cstheme="minorBidi"/>
                <w:szCs w:val="18"/>
                <w:lang w:val="en-US" w:eastAsia="tr-TR"/>
              </w:rPr>
              <m:t>max</m:t>
            </m:r>
          </m:sub>
        </m:sSub>
      </m:oMath>
      <w:r w:rsidR="008C2143" w:rsidRPr="008957D5">
        <w:rPr>
          <w:rFonts w:asciiTheme="minorBidi" w:hAnsiTheme="minorBidi" w:cstheme="minorBidi"/>
          <w:szCs w:val="18"/>
          <w:lang w:val="en-US" w:eastAsia="tr-TR"/>
        </w:rPr>
        <w:t>represents the maximum efficiency penalty applied to the most hazardous pathway. This formulation avoids discrete safety classes and ensures smooth, proportional efficiency degradation</w:t>
      </w:r>
      <w:r w:rsidR="00B93864">
        <w:rPr>
          <w:rFonts w:asciiTheme="minorBidi" w:hAnsiTheme="minorBidi" w:cstheme="minorBidi"/>
          <w:szCs w:val="18"/>
          <w:lang w:val="en-US" w:eastAsia="tr-TR"/>
        </w:rPr>
        <w:t xml:space="preserve"> across pathways</w:t>
      </w:r>
      <w:r w:rsidR="008C2143" w:rsidRPr="008957D5">
        <w:rPr>
          <w:rFonts w:asciiTheme="minorBidi" w:hAnsiTheme="minorBidi" w:cstheme="minorBidi"/>
          <w:szCs w:val="18"/>
          <w:lang w:val="en-US" w:eastAsia="tr-TR"/>
        </w:rPr>
        <w:t>.</w:t>
      </w:r>
    </w:p>
    <w:p w14:paraId="75F4F7F6" w14:textId="51F3AEB1" w:rsidR="008C2143" w:rsidRPr="008957D5" w:rsidRDefault="008C2143" w:rsidP="008C2143">
      <w:pPr>
        <w:spacing w:before="100" w:beforeAutospacing="1" w:after="100" w:afterAutospacing="1" w:line="240" w:lineRule="auto"/>
        <w:rPr>
          <w:rFonts w:asciiTheme="minorBidi" w:hAnsiTheme="minorBidi" w:cstheme="minorBidi"/>
          <w:szCs w:val="18"/>
          <w:lang w:val="en-US" w:eastAsia="tr-TR"/>
        </w:rPr>
      </w:pPr>
      <w:r w:rsidRPr="008957D5">
        <w:rPr>
          <w:rFonts w:asciiTheme="minorBidi" w:hAnsiTheme="minorBidi" w:cstheme="minorBidi"/>
          <w:szCs w:val="18"/>
          <w:lang w:val="en-US" w:eastAsia="tr-TR"/>
        </w:rPr>
        <w:t xml:space="preserve">The HA-RTE is </w:t>
      </w:r>
      <w:r w:rsidR="00B93864">
        <w:rPr>
          <w:rFonts w:asciiTheme="minorBidi" w:hAnsiTheme="minorBidi" w:cstheme="minorBidi"/>
          <w:szCs w:val="18"/>
          <w:lang w:val="en-US" w:eastAsia="tr-TR"/>
        </w:rPr>
        <w:t xml:space="preserve">then </w:t>
      </w:r>
      <w:r w:rsidRPr="008957D5">
        <w:rPr>
          <w:rFonts w:asciiTheme="minorBidi" w:hAnsiTheme="minorBidi" w:cstheme="minorBidi"/>
          <w:szCs w:val="18"/>
          <w:lang w:val="en-US" w:eastAsia="tr-TR"/>
        </w:rPr>
        <w:t>defined as:</w:t>
      </w:r>
    </w:p>
    <w:p w14:paraId="21FB9F2B" w14:textId="4ACDAE52" w:rsidR="008C2143" w:rsidRDefault="008C2143">
      <w:pPr>
        <w:pStyle w:val="CETEquation"/>
        <w:rPr>
          <w:rFonts w:asciiTheme="minorBidi" w:hAnsiTheme="minorBidi" w:cstheme="minorBidi"/>
          <w:szCs w:val="18"/>
          <w:lang w:val="en-US" w:eastAsia="tr-TR"/>
        </w:rPr>
      </w:pPr>
      <m:oMath>
        <m:r>
          <w:rPr>
            <w:rFonts w:ascii="Cambria Math" w:hAnsi="Cambria Math"/>
            <w:lang w:val="en-US" w:eastAsia="tr-TR"/>
          </w:rPr>
          <m:t>HA</m:t>
        </m:r>
        <m:r>
          <m:rPr>
            <m:sty m:val="p"/>
          </m:rPr>
          <w:rPr>
            <w:rFonts w:ascii="Cambria Math" w:hAnsi="Cambria Math"/>
            <w:lang w:val="en-US" w:eastAsia="tr-TR"/>
          </w:rPr>
          <m:t>-</m:t>
        </m:r>
        <m:r>
          <m:rPr>
            <m:nor/>
          </m:rPr>
          <w:rPr>
            <w:rFonts w:asciiTheme="minorBidi" w:hAnsiTheme="minorBidi"/>
            <w:lang w:val="en-US" w:eastAsia="tr-TR"/>
          </w:rPr>
          <m:t> </m:t>
        </m:r>
        <m:r>
          <w:rPr>
            <w:rFonts w:ascii="Cambria Math" w:hAnsi="Cambria Math"/>
            <w:lang w:val="en-US" w:eastAsia="tr-TR"/>
          </w:rPr>
          <m:t>RTE</m:t>
        </m:r>
        <m:r>
          <m:rPr>
            <m:sty m:val="p"/>
          </m:rPr>
          <w:rPr>
            <w:rFonts w:ascii="Cambria Math" w:hAnsi="Cambria Math"/>
            <w:lang w:val="en-US" w:eastAsia="tr-TR"/>
          </w:rPr>
          <m:t>=</m:t>
        </m:r>
        <m:f>
          <m:fPr>
            <m:ctrlPr>
              <w:rPr>
                <w:rFonts w:ascii="Cambria Math" w:hAnsi="Cambria Math"/>
                <w:lang w:val="en-US" w:eastAsia="tr-TR"/>
              </w:rPr>
            </m:ctrlPr>
          </m:fPr>
          <m:num>
            <m:r>
              <w:rPr>
                <w:rFonts w:ascii="Cambria Math" w:hAnsi="Cambria Math"/>
                <w:lang w:val="en-US" w:eastAsia="tr-TR"/>
              </w:rPr>
              <m:t>RTE</m:t>
            </m:r>
          </m:num>
          <m:den>
            <m:sSub>
              <m:sSubPr>
                <m:ctrlPr>
                  <w:rPr>
                    <w:rFonts w:ascii="Cambria Math" w:hAnsi="Cambria Math"/>
                    <w:lang w:val="en-US" w:eastAsia="tr-TR"/>
                  </w:rPr>
                </m:ctrlPr>
              </m:sSubPr>
              <m:e>
                <m:r>
                  <w:rPr>
                    <w:rFonts w:ascii="Cambria Math" w:hAnsi="Cambria Math"/>
                    <w:lang w:val="en-US" w:eastAsia="tr-TR"/>
                  </w:rPr>
                  <m:t>H</m:t>
                </m:r>
              </m:e>
              <m:sub>
                <m:r>
                  <w:rPr>
                    <w:rFonts w:ascii="Cambria Math" w:hAnsi="Cambria Math"/>
                    <w:lang w:val="en-US" w:eastAsia="tr-TR"/>
                  </w:rPr>
                  <m:t>adj</m:t>
                </m:r>
              </m:sub>
            </m:sSub>
          </m:den>
        </m:f>
      </m:oMath>
      <w:r w:rsidR="00C63BC2" w:rsidRPr="008957D5">
        <w:rPr>
          <w:rFonts w:asciiTheme="minorBidi" w:hAnsiTheme="minorBidi"/>
          <w:lang w:val="en-US" w:eastAsia="tr-TR"/>
        </w:rPr>
        <w:t xml:space="preserve">                                                                                                                                              (4)</w:t>
      </w:r>
      <w:r w:rsidRPr="008957D5">
        <w:rPr>
          <w:rFonts w:asciiTheme="minorBidi" w:hAnsiTheme="minorBidi"/>
          <w:lang w:val="en-US" w:eastAsia="tr-TR"/>
        </w:rPr>
        <w:br/>
      </w:r>
      <w:r w:rsidR="00C03AB5">
        <w:rPr>
          <w:rFonts w:asciiTheme="minorBidi" w:hAnsiTheme="minorBidi" w:cstheme="minorBidi"/>
          <w:szCs w:val="18"/>
          <w:lang w:val="en-US" w:eastAsia="tr-TR"/>
        </w:rPr>
        <w:t xml:space="preserve">The </w:t>
      </w:r>
      <w:r w:rsidRPr="008957D5">
        <w:rPr>
          <w:rFonts w:asciiTheme="minorBidi" w:hAnsiTheme="minorBidi" w:cstheme="minorBidi"/>
          <w:szCs w:val="18"/>
          <w:lang w:val="en-US" w:eastAsia="tr-TR"/>
        </w:rPr>
        <w:t xml:space="preserve">HA-RTE represents the effective efficiency retained after accounting for inherent </w:t>
      </w:r>
      <w:r w:rsidR="00B93864">
        <w:rPr>
          <w:rFonts w:asciiTheme="minorBidi" w:hAnsiTheme="minorBidi" w:cstheme="minorBidi"/>
          <w:szCs w:val="18"/>
          <w:lang w:val="en-US" w:eastAsia="tr-TR"/>
        </w:rPr>
        <w:t>hazard</w:t>
      </w:r>
      <w:r w:rsidRPr="008957D5">
        <w:rPr>
          <w:rFonts w:asciiTheme="minorBidi" w:hAnsiTheme="minorBidi" w:cstheme="minorBidi"/>
          <w:szCs w:val="18"/>
          <w:lang w:val="en-US" w:eastAsia="tr-TR"/>
        </w:rPr>
        <w:t xml:space="preserve"> constraints. Uncertainty associated with RTE calculations (±3–6%) is propagated consistently to HA-RTE.</w:t>
      </w:r>
    </w:p>
    <w:p w14:paraId="174971B2" w14:textId="77777777" w:rsidR="00CA68C1" w:rsidRPr="007774C5" w:rsidRDefault="00CA68C1" w:rsidP="00CA68C1">
      <w:pPr>
        <w:pStyle w:val="CETEquation"/>
        <w:rPr>
          <w:rFonts w:asciiTheme="minorBidi" w:hAnsiTheme="minorBidi" w:cstheme="minorBidi"/>
          <w:szCs w:val="18"/>
          <w:lang w:val="tr-TR" w:eastAsia="tr-TR"/>
        </w:rPr>
      </w:pPr>
      <w:r w:rsidRPr="007774C5">
        <w:rPr>
          <w:rFonts w:asciiTheme="minorBidi" w:hAnsiTheme="minorBidi" w:cstheme="minorBidi"/>
          <w:szCs w:val="18"/>
          <w:lang w:val="tr-TR" w:eastAsia="tr-TR"/>
        </w:rPr>
        <w:t xml:space="preserve">To clarify interpretation, the normalized EISI is bounded between </w:t>
      </w:r>
      <m:oMath>
        <m:r>
          <w:rPr>
            <w:rFonts w:ascii="Cambria Math" w:hAnsi="Cambria Math" w:cstheme="minorBidi"/>
            <w:szCs w:val="18"/>
            <w:lang w:val="tr-TR" w:eastAsia="tr-TR"/>
          </w:rPr>
          <m:t>EIS</m:t>
        </m:r>
        <m:sSub>
          <m:sSubPr>
            <m:ctrlPr>
              <w:rPr>
                <w:rFonts w:ascii="Cambria Math" w:hAnsi="Cambria Math" w:cstheme="minorBidi"/>
                <w:szCs w:val="18"/>
                <w:lang w:val="tr-TR" w:eastAsia="tr-TR"/>
              </w:rPr>
            </m:ctrlPr>
          </m:sSubPr>
          <m:e>
            <m:r>
              <w:rPr>
                <w:rFonts w:ascii="Cambria Math" w:hAnsi="Cambria Math" w:cstheme="minorBidi"/>
                <w:szCs w:val="18"/>
                <w:lang w:val="tr-TR" w:eastAsia="tr-TR"/>
              </w:rPr>
              <m:t>I</m:t>
            </m:r>
          </m:e>
          <m:sub>
            <m:r>
              <w:rPr>
                <w:rFonts w:ascii="Cambria Math" w:hAnsi="Cambria Math" w:cstheme="minorBidi"/>
                <w:szCs w:val="18"/>
                <w:lang w:val="tr-TR" w:eastAsia="tr-TR"/>
              </w:rPr>
              <m:t>low</m:t>
            </m:r>
          </m:sub>
        </m:sSub>
      </m:oMath>
      <w:r w:rsidRPr="007774C5">
        <w:rPr>
          <w:rFonts w:asciiTheme="minorBidi" w:hAnsiTheme="minorBidi" w:cstheme="minorBidi"/>
          <w:szCs w:val="18"/>
          <w:lang w:val="tr-TR" w:eastAsia="tr-TR"/>
        </w:rPr>
        <w:t xml:space="preserve">and </w:t>
      </w:r>
      <m:oMath>
        <m:r>
          <w:rPr>
            <w:rFonts w:ascii="Cambria Math" w:hAnsi="Cambria Math" w:cstheme="minorBidi"/>
            <w:szCs w:val="18"/>
            <w:lang w:val="tr-TR" w:eastAsia="tr-TR"/>
          </w:rPr>
          <m:t>EIS</m:t>
        </m:r>
        <m:sSub>
          <m:sSubPr>
            <m:ctrlPr>
              <w:rPr>
                <w:rFonts w:ascii="Cambria Math" w:hAnsi="Cambria Math" w:cstheme="minorBidi"/>
                <w:szCs w:val="18"/>
                <w:lang w:val="tr-TR" w:eastAsia="tr-TR"/>
              </w:rPr>
            </m:ctrlPr>
          </m:sSubPr>
          <m:e>
            <m:r>
              <w:rPr>
                <w:rFonts w:ascii="Cambria Math" w:hAnsi="Cambria Math" w:cstheme="minorBidi"/>
                <w:szCs w:val="18"/>
                <w:lang w:val="tr-TR" w:eastAsia="tr-TR"/>
              </w:rPr>
              <m:t>I</m:t>
            </m:r>
          </m:e>
          <m:sub>
            <m:r>
              <w:rPr>
                <w:rFonts w:ascii="Cambria Math" w:hAnsi="Cambria Math" w:cstheme="minorBidi"/>
                <w:szCs w:val="18"/>
                <w:lang w:val="tr-TR" w:eastAsia="tr-TR"/>
              </w:rPr>
              <m:t>high</m:t>
            </m:r>
          </m:sub>
        </m:sSub>
      </m:oMath>
      <w:r w:rsidRPr="007774C5">
        <w:rPr>
          <w:rFonts w:asciiTheme="minorBidi" w:hAnsiTheme="minorBidi" w:cstheme="minorBidi"/>
          <w:szCs w:val="18"/>
          <w:lang w:val="tr-TR" w:eastAsia="tr-TR"/>
        </w:rPr>
        <w:t>, representing the least and most hazardous pathways within the evaluated set. HA-RTE therefore reflects the relative inherent safety severity across configurations. Lower normalized EISI values indicate comparatively safer systems requiring standard industrial safeguards, whereas higher values indicate greater inherent hazard and the need for stricter mitigation measures. Although these ranges do not represent regulatory limits, they support structured early-stage comparison of energy carriers.</w:t>
      </w:r>
    </w:p>
    <w:p w14:paraId="779B7322" w14:textId="48FD2F07" w:rsidR="00CA68C1" w:rsidRPr="008F3E51" w:rsidRDefault="00CA68C1" w:rsidP="00CA68C1">
      <w:pPr>
        <w:pStyle w:val="CETEquation"/>
        <w:rPr>
          <w:rFonts w:asciiTheme="minorBidi" w:hAnsiTheme="minorBidi" w:cstheme="minorBidi"/>
          <w:szCs w:val="18"/>
          <w:lang w:val="tr-TR" w:eastAsia="tr-TR"/>
        </w:rPr>
      </w:pPr>
      <w:r w:rsidRPr="007774C5">
        <w:rPr>
          <w:rFonts w:asciiTheme="minorBidi" w:hAnsiTheme="minorBidi" w:cstheme="minorBidi"/>
          <w:szCs w:val="18"/>
          <w:lang w:val="tr-TR" w:eastAsia="tr-TR"/>
        </w:rPr>
        <w:t>In addition, pathways with HA-RTE values below approximately 10% may be considered potentially impractical for large-scale or seasonal storage applications, as very low adjusted efficiencies imply substantial renewable overcapacity requirements. This threshold serves as a comparative feasibility indicator rather than a strict technical boundary.</w:t>
      </w:r>
    </w:p>
    <w:p w14:paraId="4D15F06A" w14:textId="78C473B0" w:rsidR="008C2143" w:rsidRPr="008957D5" w:rsidRDefault="008C2143" w:rsidP="008C2143">
      <w:pPr>
        <w:pStyle w:val="CETheadingx"/>
        <w:rPr>
          <w:rFonts w:asciiTheme="minorBidi" w:hAnsiTheme="minorBidi" w:cstheme="minorBidi"/>
          <w:szCs w:val="18"/>
          <w:lang w:eastAsia="tr-TR"/>
        </w:rPr>
      </w:pPr>
      <w:r w:rsidRPr="008957D5">
        <w:rPr>
          <w:rFonts w:asciiTheme="minorBidi" w:hAnsiTheme="minorBidi" w:cstheme="minorBidi"/>
          <w:szCs w:val="18"/>
          <w:lang w:eastAsia="tr-TR"/>
        </w:rPr>
        <w:t>Sensitivity analysis</w:t>
      </w:r>
    </w:p>
    <w:p w14:paraId="660FCF87" w14:textId="3A66BD42" w:rsidR="007D2AFF" w:rsidRPr="008957D5" w:rsidRDefault="007D2AFF" w:rsidP="007D2AFF">
      <w:pPr>
        <w:pStyle w:val="CETBodytext"/>
        <w:rPr>
          <w:lang w:eastAsia="tr-TR"/>
        </w:rPr>
      </w:pPr>
      <w:r w:rsidRPr="008957D5">
        <w:rPr>
          <w:lang w:eastAsia="tr-TR"/>
        </w:rPr>
        <w:t xml:space="preserve">To evaluate </w:t>
      </w:r>
      <w:r w:rsidR="00B93864">
        <w:rPr>
          <w:lang w:eastAsia="tr-TR"/>
        </w:rPr>
        <w:t xml:space="preserve">the </w:t>
      </w:r>
      <w:r w:rsidRPr="008957D5">
        <w:rPr>
          <w:lang w:eastAsia="tr-TR"/>
        </w:rPr>
        <w:t xml:space="preserve">robustness </w:t>
      </w:r>
      <w:r w:rsidR="00B93864">
        <w:rPr>
          <w:lang w:eastAsia="tr-TR"/>
        </w:rPr>
        <w:t xml:space="preserve">of pathway rankings </w:t>
      </w:r>
      <w:r w:rsidRPr="008957D5">
        <w:rPr>
          <w:lang w:eastAsia="tr-TR"/>
        </w:rPr>
        <w:t xml:space="preserve">under varying safety priorities, sensitivity analyses are conducted by </w:t>
      </w:r>
      <w:r w:rsidR="00B93864">
        <w:rPr>
          <w:lang w:eastAsia="tr-TR"/>
        </w:rPr>
        <w:t xml:space="preserve">systematically </w:t>
      </w:r>
      <w:r w:rsidRPr="008957D5">
        <w:rPr>
          <w:lang w:eastAsia="tr-TR"/>
        </w:rPr>
        <w:t>varying the chemical hazard weighting (</w:t>
      </w:r>
      <m:oMath>
        <m:sSub>
          <m:sSubPr>
            <m:ctrlPr>
              <w:rPr>
                <w:rFonts w:ascii="Cambria Math" w:hAnsi="Cambria Math"/>
                <w:lang w:eastAsia="tr-TR"/>
              </w:rPr>
            </m:ctrlPr>
          </m:sSubPr>
          <m:e>
            <m:r>
              <w:rPr>
                <w:rFonts w:ascii="Cambria Math" w:hAnsi="Cambria Math"/>
                <w:lang w:eastAsia="tr-TR"/>
              </w:rPr>
              <m:t>w</m:t>
            </m:r>
          </m:e>
          <m:sub>
            <m:r>
              <w:rPr>
                <w:rFonts w:ascii="Cambria Math" w:hAnsi="Cambria Math"/>
                <w:lang w:eastAsia="tr-TR"/>
              </w:rPr>
              <m:t>1</m:t>
            </m:r>
          </m:sub>
        </m:sSub>
      </m:oMath>
      <w:r w:rsidRPr="008957D5">
        <w:rPr>
          <w:lang w:eastAsia="tr-TR"/>
        </w:rPr>
        <w:t>), the process hazard weighting (</w:t>
      </w:r>
      <m:oMath>
        <m:sSub>
          <m:sSubPr>
            <m:ctrlPr>
              <w:rPr>
                <w:rFonts w:ascii="Cambria Math" w:hAnsi="Cambria Math"/>
                <w:lang w:eastAsia="tr-TR"/>
              </w:rPr>
            </m:ctrlPr>
          </m:sSubPr>
          <m:e>
            <m:r>
              <w:rPr>
                <w:rFonts w:ascii="Cambria Math" w:hAnsi="Cambria Math"/>
                <w:lang w:eastAsia="tr-TR"/>
              </w:rPr>
              <m:t>w</m:t>
            </m:r>
          </m:e>
          <m:sub>
            <m:r>
              <w:rPr>
                <w:rFonts w:ascii="Cambria Math" w:hAnsi="Cambria Math"/>
                <w:lang w:eastAsia="tr-TR"/>
              </w:rPr>
              <m:t>2</m:t>
            </m:r>
          </m:sub>
        </m:sSub>
      </m:oMath>
      <w:r w:rsidRPr="008957D5">
        <w:rPr>
          <w:lang w:eastAsia="tr-TR"/>
        </w:rPr>
        <w:t>), and the maximum penalty cap (</w:t>
      </w:r>
      <m:oMath>
        <m:sSub>
          <m:sSubPr>
            <m:ctrlPr>
              <w:rPr>
                <w:rFonts w:ascii="Cambria Math" w:hAnsi="Cambria Math"/>
                <w:lang w:eastAsia="tr-TR"/>
              </w:rPr>
            </m:ctrlPr>
          </m:sSubPr>
          <m:e>
            <m:r>
              <w:rPr>
                <w:rFonts w:ascii="Cambria Math" w:hAnsi="Cambria Math"/>
                <w:lang w:eastAsia="tr-TR"/>
              </w:rPr>
              <m:t>H</m:t>
            </m:r>
          </m:e>
          <m:sub>
            <m:r>
              <w:rPr>
                <w:rFonts w:ascii="Cambria Math" w:hAnsi="Cambria Math"/>
                <w:lang w:eastAsia="tr-TR"/>
              </w:rPr>
              <m:t>max</m:t>
            </m:r>
          </m:sub>
        </m:sSub>
      </m:oMath>
      <w:r w:rsidRPr="008957D5">
        <w:rPr>
          <w:lang w:eastAsia="tr-TR"/>
        </w:rPr>
        <w:t>).</w:t>
      </w:r>
    </w:p>
    <w:p w14:paraId="0A53C2EC" w14:textId="7906989A" w:rsidR="008C2143" w:rsidRPr="008957D5" w:rsidRDefault="008C2143" w:rsidP="002C48C7">
      <w:pPr>
        <w:pStyle w:val="CETHeading1"/>
        <w:rPr>
          <w:rFonts w:asciiTheme="minorBidi" w:hAnsiTheme="minorBidi" w:cstheme="minorBidi"/>
          <w:sz w:val="18"/>
          <w:szCs w:val="18"/>
          <w:lang w:eastAsia="tr-TR"/>
        </w:rPr>
      </w:pPr>
      <w:r w:rsidRPr="008957D5">
        <w:rPr>
          <w:rFonts w:asciiTheme="minorBidi" w:hAnsiTheme="minorBidi" w:cstheme="minorBidi"/>
          <w:sz w:val="18"/>
          <w:szCs w:val="18"/>
          <w:lang w:eastAsia="tr-TR"/>
        </w:rPr>
        <w:lastRenderedPageBreak/>
        <w:t xml:space="preserve"> Results and Discussion</w:t>
      </w:r>
    </w:p>
    <w:p w14:paraId="4A697DDF" w14:textId="5EF0D81E" w:rsidR="008C2143" w:rsidRPr="008957D5" w:rsidRDefault="008C2143" w:rsidP="002C48C7">
      <w:pPr>
        <w:pStyle w:val="CETheadingx"/>
        <w:rPr>
          <w:rFonts w:asciiTheme="minorBidi" w:hAnsiTheme="minorBidi" w:cstheme="minorBidi"/>
          <w:szCs w:val="18"/>
          <w:lang w:eastAsia="tr-TR"/>
        </w:rPr>
      </w:pPr>
      <w:r w:rsidRPr="008957D5">
        <w:rPr>
          <w:rFonts w:asciiTheme="minorBidi" w:hAnsiTheme="minorBidi" w:cstheme="minorBidi"/>
          <w:szCs w:val="18"/>
          <w:lang w:eastAsia="tr-TR"/>
        </w:rPr>
        <w:t>Inherent hazard characterization</w:t>
      </w:r>
    </w:p>
    <w:p w14:paraId="664FB374" w14:textId="2E692581" w:rsidR="00E557D2" w:rsidRPr="008957D5" w:rsidRDefault="00E557D2">
      <w:pPr>
        <w:pStyle w:val="CETBodytext"/>
        <w:rPr>
          <w:lang w:eastAsia="tr-TR"/>
        </w:rPr>
      </w:pPr>
      <w:r w:rsidRPr="008957D5">
        <w:rPr>
          <w:lang w:eastAsia="tr-TR"/>
        </w:rPr>
        <w:t xml:space="preserve">The inherent hazard assessment clearly </w:t>
      </w:r>
      <w:r w:rsidR="00B93864" w:rsidRPr="00B93864">
        <w:rPr>
          <w:lang w:eastAsia="tr-TR"/>
        </w:rPr>
        <w:t>differentiates</w:t>
      </w:r>
      <w:r w:rsidR="00B93864" w:rsidRPr="00B93864" w:rsidDel="00B93864">
        <w:rPr>
          <w:lang w:eastAsia="tr-TR"/>
        </w:rPr>
        <w:t xml:space="preserve"> </w:t>
      </w:r>
      <w:r w:rsidRPr="008957D5">
        <w:rPr>
          <w:lang w:eastAsia="tr-TR"/>
        </w:rPr>
        <w:t>hydrogen</w:t>
      </w:r>
      <w:r w:rsidR="00B93864">
        <w:rPr>
          <w:lang w:eastAsia="tr-TR"/>
        </w:rPr>
        <w:t>-</w:t>
      </w:r>
      <w:r w:rsidRPr="008957D5">
        <w:rPr>
          <w:lang w:eastAsia="tr-TR"/>
        </w:rPr>
        <w:t xml:space="preserve"> and ammonia</w:t>
      </w:r>
      <w:r w:rsidR="00B93864">
        <w:rPr>
          <w:lang w:eastAsia="tr-TR"/>
        </w:rPr>
        <w:t>-based</w:t>
      </w:r>
      <w:r w:rsidRPr="008957D5">
        <w:rPr>
          <w:lang w:eastAsia="tr-TR"/>
        </w:rPr>
        <w:t xml:space="preserve"> pathways across chemical, process, and biological domains. Hydrogen pathways exhibit consistently higher chemical hazard indices, dominated by extreme flammability and explosion potential, resulting in uniformly elevated hazard scores across all conversion technologies. In contrast, ammonia pathways show lower flammability and explosion risks, leading to reduced chemical hazard scores, although this benefit is partially offset by higher toxicity and corrosiveness.</w:t>
      </w:r>
      <w:r w:rsidR="007910B8" w:rsidRPr="008957D5">
        <w:rPr>
          <w:lang w:eastAsia="tr-TR"/>
        </w:rPr>
        <w:t xml:space="preserve"> </w:t>
      </w:r>
      <w:r w:rsidRPr="008957D5">
        <w:rPr>
          <w:lang w:eastAsia="tr-TR"/>
        </w:rPr>
        <w:t xml:space="preserve">From a process safety perspective, hydrogen systems again present higher hazard levels due to demanding operating conditions, including high pressures, elevated temperatures, and complex storage requirements. Ammonia systems operate under comparatively moderate pressures and </w:t>
      </w:r>
      <w:r w:rsidR="00B93864">
        <w:rPr>
          <w:lang w:eastAsia="tr-TR"/>
        </w:rPr>
        <w:t>well-</w:t>
      </w:r>
      <w:r w:rsidR="00B93864" w:rsidRPr="008957D5">
        <w:rPr>
          <w:lang w:eastAsia="tr-TR"/>
        </w:rPr>
        <w:t xml:space="preserve"> </w:t>
      </w:r>
      <w:r w:rsidRPr="008957D5">
        <w:rPr>
          <w:lang w:eastAsia="tr-TR"/>
        </w:rPr>
        <w:t>established containment</w:t>
      </w:r>
      <w:r w:rsidR="00B93864">
        <w:rPr>
          <w:lang w:eastAsia="tr-TR"/>
        </w:rPr>
        <w:t xml:space="preserve"> and handling practices</w:t>
      </w:r>
      <w:r w:rsidRPr="008957D5">
        <w:rPr>
          <w:lang w:eastAsia="tr-TR"/>
        </w:rPr>
        <w:t>, yielding lower and more uniform process hazard indices across turbine, ICE, SOFC, and AFC pathways. The biological hazard index remains identical for both vectors, reflecting hydrogen’s asphyxiation risk at high concentrations and ammonia’s acute toxicity. Overall, hydrogen emerges as the more hazardous vector, particularly in chemical and process domains, while ammonia presents a more balanced safety profile.</w:t>
      </w:r>
    </w:p>
    <w:p w14:paraId="40ECB864" w14:textId="77777777" w:rsidR="008C2143" w:rsidRPr="008957D5" w:rsidRDefault="008C2143" w:rsidP="002C48C7">
      <w:pPr>
        <w:pStyle w:val="CETHeadingxx"/>
        <w:rPr>
          <w:rFonts w:asciiTheme="minorBidi" w:hAnsiTheme="minorBidi" w:cstheme="minorBidi"/>
          <w:szCs w:val="18"/>
          <w:lang w:eastAsia="tr-TR"/>
        </w:rPr>
      </w:pPr>
      <w:r w:rsidRPr="008957D5">
        <w:rPr>
          <w:rFonts w:asciiTheme="minorBidi" w:hAnsiTheme="minorBidi" w:cstheme="minorBidi"/>
          <w:szCs w:val="18"/>
          <w:lang w:eastAsia="tr-TR"/>
        </w:rPr>
        <w:t>3.2 Baseline RTE versus hazard-adjusted performance</w:t>
      </w:r>
    </w:p>
    <w:p w14:paraId="56BF3A80" w14:textId="4BD2013C" w:rsidR="00E557D2" w:rsidRDefault="00E557D2">
      <w:pPr>
        <w:pStyle w:val="CETBodytext"/>
        <w:rPr>
          <w:lang w:eastAsia="tr-TR"/>
        </w:rPr>
      </w:pPr>
      <w:r w:rsidRPr="008957D5">
        <w:rPr>
          <w:lang w:eastAsia="tr-TR"/>
        </w:rPr>
        <w:t>Baseline RTE results confirm hydrogen’s thermodynamic advantage across all technologies.</w:t>
      </w:r>
      <w:r w:rsidR="00D902FB">
        <w:rPr>
          <w:lang w:eastAsia="tr-TR"/>
        </w:rPr>
        <w:t xml:space="preserve"> As </w:t>
      </w:r>
      <w:r w:rsidR="00D902FB" w:rsidRPr="00234979">
        <w:rPr>
          <w:lang w:eastAsia="tr-TR"/>
        </w:rPr>
        <w:t>illustrated in Figure 2</w:t>
      </w:r>
      <w:r w:rsidR="00D902FB">
        <w:rPr>
          <w:lang w:eastAsia="tr-TR"/>
        </w:rPr>
        <w:t>,</w:t>
      </w:r>
      <w:r w:rsidRPr="008957D5">
        <w:rPr>
          <w:lang w:eastAsia="tr-TR"/>
        </w:rPr>
        <w:t xml:space="preserve"> </w:t>
      </w:r>
      <w:r w:rsidR="00D902FB">
        <w:rPr>
          <w:lang w:eastAsia="tr-TR"/>
        </w:rPr>
        <w:t>t</w:t>
      </w:r>
      <w:r w:rsidR="00B93864">
        <w:rPr>
          <w:lang w:eastAsia="tr-TR"/>
        </w:rPr>
        <w:t xml:space="preserve">he </w:t>
      </w:r>
      <w:r w:rsidR="00592B60">
        <w:rPr>
          <w:lang w:eastAsia="tr-TR"/>
        </w:rPr>
        <w:t>h</w:t>
      </w:r>
      <w:r w:rsidRPr="008957D5">
        <w:rPr>
          <w:lang w:eastAsia="tr-TR"/>
        </w:rPr>
        <w:t>ydrogen–SOFC</w:t>
      </w:r>
      <w:r w:rsidR="00B93864">
        <w:rPr>
          <w:lang w:eastAsia="tr-TR"/>
        </w:rPr>
        <w:t xml:space="preserve"> pathway</w:t>
      </w:r>
      <w:r w:rsidRPr="008957D5">
        <w:rPr>
          <w:lang w:eastAsia="tr-TR"/>
        </w:rPr>
        <w:t xml:space="preserve"> achieves the highest baseline RTE (≈34%), followed by hydrogen ICE and AFC systems</w:t>
      </w:r>
      <w:r w:rsidR="00B93864">
        <w:rPr>
          <w:lang w:eastAsia="tr-TR"/>
        </w:rPr>
        <w:t>.</w:t>
      </w:r>
      <w:r w:rsidRPr="008957D5">
        <w:rPr>
          <w:lang w:eastAsia="tr-TR"/>
        </w:rPr>
        <w:t xml:space="preserve">  </w:t>
      </w:r>
      <w:r w:rsidR="00B93864">
        <w:rPr>
          <w:lang w:eastAsia="tr-TR"/>
        </w:rPr>
        <w:t>A</w:t>
      </w:r>
      <w:r w:rsidRPr="008957D5">
        <w:rPr>
          <w:lang w:eastAsia="tr-TR"/>
        </w:rPr>
        <w:t>mmonia pathways show consistently lower baseline efficiencies due to additional synthesis and handling steps</w:t>
      </w:r>
      <w:r w:rsidR="00D902FB">
        <w:rPr>
          <w:lang w:eastAsia="tr-TR"/>
        </w:rPr>
        <w:t xml:space="preserve">. </w:t>
      </w:r>
      <w:r w:rsidRPr="008957D5">
        <w:rPr>
          <w:lang w:eastAsia="tr-TR"/>
        </w:rPr>
        <w:t>However, incorporating safety penalties through HA-RTE significantly alters pathway rankings. Hydrogen systems experience substantial efficiency reductions due to higher chemical and process hazards; for example, hydrogen–SOFC decreases from approximately 34% RTE to about 18% HA-RTE, while hydrogen ICE drops to nearly 10.5%. In contrast, ammonia pathways retain a larger fraction of usable performance after hazard adjustment. The ammonia–SOFC configuration achieves the highest HA-RTE (≈20.1%), surpassing its hydrogen counterpart. Similar reversals are observed for ICE, turbine, and AFC systems. These trends are demonstrating that thermodynamically optimal pathways may lose competitiveness once safety considerations are internalized.</w:t>
      </w:r>
      <w:r w:rsidR="00C83447">
        <w:rPr>
          <w:lang w:eastAsia="tr-TR"/>
        </w:rPr>
        <w:t xml:space="preserve"> </w:t>
      </w:r>
    </w:p>
    <w:p w14:paraId="6EAE515D" w14:textId="77777777" w:rsidR="00CA68C1" w:rsidRDefault="00CA68C1" w:rsidP="00CA68C1">
      <w:pPr>
        <w:pStyle w:val="CETBodytext"/>
        <w:rPr>
          <w:lang w:val="en-GB" w:eastAsia="tr-TR"/>
        </w:rPr>
      </w:pPr>
    </w:p>
    <w:p w14:paraId="3FBA2927" w14:textId="2FBC87B1" w:rsidR="00CA68C1" w:rsidRPr="008957D5" w:rsidRDefault="00CA68C1" w:rsidP="00CA68C1">
      <w:pPr>
        <w:pStyle w:val="CETBodytext"/>
        <w:rPr>
          <w:lang w:eastAsia="tr-TR"/>
        </w:rPr>
      </w:pPr>
      <w:r w:rsidRPr="007774C5">
        <w:rPr>
          <w:lang w:val="en-GB" w:eastAsia="tr-TR"/>
        </w:rPr>
        <w:t>The baseline RTE values obtained in this study are consistent with previous literature. Müller et al. (2024) reported hydrogen round-trip efficiencies in the range of 28–35% for fuel-cell-based systems, while ammonia pathways typically ranged between 15–28% depending on conversion route. Similar conclusions were drawn by Law et al. (2021), who highlighted hydrogen’s thermodynamic advantage but emphasized ammonia’s practical storage and infrastructure benefits. While the present baseline results align with these findings, the HA-RTE framework extends prior work by explicitly internalizing inherent safety into the comparative efficiency assessment.</w:t>
      </w:r>
    </w:p>
    <w:p w14:paraId="5286396F" w14:textId="77777777" w:rsidR="00CA68C1" w:rsidRPr="008957D5" w:rsidRDefault="00CA68C1">
      <w:pPr>
        <w:pStyle w:val="CETBodytext"/>
        <w:rPr>
          <w:lang w:eastAsia="tr-TR"/>
        </w:rPr>
      </w:pPr>
    </w:p>
    <w:p w14:paraId="3E38EC8B" w14:textId="28D77534" w:rsidR="002C48C7" w:rsidRPr="008957D5" w:rsidRDefault="002C48C7" w:rsidP="008F3E51">
      <w:pPr>
        <w:spacing w:before="100" w:beforeAutospacing="1" w:line="240" w:lineRule="auto"/>
        <w:rPr>
          <w:rFonts w:asciiTheme="minorBidi" w:hAnsiTheme="minorBidi" w:cstheme="minorBidi"/>
          <w:szCs w:val="18"/>
          <w:lang w:val="en-US" w:eastAsia="tr-TR"/>
        </w:rPr>
      </w:pPr>
      <w:r w:rsidRPr="008957D5">
        <w:rPr>
          <w:rFonts w:asciiTheme="majorBidi" w:hAnsiTheme="majorBidi" w:cstheme="majorBidi"/>
          <w:b/>
          <w:bCs/>
          <w:noProof/>
          <w:sz w:val="24"/>
          <w:szCs w:val="24"/>
          <w:lang w:val="en-US"/>
        </w:rPr>
        <w:drawing>
          <wp:inline distT="0" distB="0" distL="0" distR="0" wp14:anchorId="6CB80429" wp14:editId="607E0FC8">
            <wp:extent cx="5317724" cy="2563114"/>
            <wp:effectExtent l="0" t="0" r="0" b="8890"/>
            <wp:docPr id="544429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29346" name=""/>
                    <pic:cNvPicPr/>
                  </pic:nvPicPr>
                  <pic:blipFill>
                    <a:blip r:embed="rId12"/>
                    <a:stretch>
                      <a:fillRect/>
                    </a:stretch>
                  </pic:blipFill>
                  <pic:spPr>
                    <a:xfrm>
                      <a:off x="0" y="0"/>
                      <a:ext cx="5320243" cy="2564328"/>
                    </a:xfrm>
                    <a:prstGeom prst="rect">
                      <a:avLst/>
                    </a:prstGeom>
                  </pic:spPr>
                </pic:pic>
              </a:graphicData>
            </a:graphic>
          </wp:inline>
        </w:drawing>
      </w:r>
    </w:p>
    <w:p w14:paraId="3AF04DC8" w14:textId="657D76EB" w:rsidR="00210407" w:rsidRDefault="002C48C7" w:rsidP="00C83447">
      <w:pPr>
        <w:pStyle w:val="CETCaption"/>
        <w:spacing w:before="0" w:after="0"/>
        <w:rPr>
          <w:lang w:val="en-US" w:eastAsia="tr-TR"/>
        </w:rPr>
      </w:pPr>
      <w:r w:rsidRPr="008957D5">
        <w:rPr>
          <w:lang w:val="en-US" w:eastAsia="tr-TR"/>
        </w:rPr>
        <w:t xml:space="preserve">Figure </w:t>
      </w:r>
      <w:r w:rsidR="00F0258F" w:rsidRPr="008957D5">
        <w:rPr>
          <w:lang w:val="en-US" w:eastAsia="tr-TR"/>
        </w:rPr>
        <w:t>2</w:t>
      </w:r>
      <w:r w:rsidRPr="008957D5">
        <w:rPr>
          <w:lang w:val="en-US" w:eastAsia="tr-TR"/>
        </w:rPr>
        <w:t>. RTE Baseline vs. HA-RTE for Green Hydrogen &amp; Ammonia Pathways</w:t>
      </w:r>
    </w:p>
    <w:p w14:paraId="1948071D" w14:textId="77777777" w:rsidR="00C83447" w:rsidRPr="008957D5" w:rsidRDefault="00C83447" w:rsidP="008957D5">
      <w:pPr>
        <w:pStyle w:val="CETCaption"/>
        <w:spacing w:before="0" w:after="0"/>
        <w:rPr>
          <w:lang w:val="en-US" w:eastAsia="tr-TR"/>
        </w:rPr>
      </w:pPr>
    </w:p>
    <w:p w14:paraId="7F1ECAE6" w14:textId="77777777" w:rsidR="00210407" w:rsidRPr="008957D5" w:rsidRDefault="00210407" w:rsidP="00210407">
      <w:pPr>
        <w:pStyle w:val="CETHeadingxx"/>
        <w:rPr>
          <w:lang w:eastAsia="tr-TR"/>
        </w:rPr>
      </w:pPr>
      <w:r w:rsidRPr="008957D5">
        <w:rPr>
          <w:lang w:eastAsia="tr-TR"/>
        </w:rPr>
        <w:lastRenderedPageBreak/>
        <w:t>3.3 Sensitivity analysis</w:t>
      </w:r>
    </w:p>
    <w:p w14:paraId="65E4243B" w14:textId="77777777" w:rsidR="00CA68C1" w:rsidRPr="008957D5" w:rsidRDefault="00CA68C1" w:rsidP="00CA68C1">
      <w:pPr>
        <w:pStyle w:val="CETBodytext"/>
        <w:rPr>
          <w:rFonts w:asciiTheme="minorBidi" w:hAnsiTheme="minorBidi" w:cstheme="minorBidi"/>
          <w:lang w:eastAsia="tr-TR"/>
        </w:rPr>
      </w:pPr>
      <w:r w:rsidRPr="00730003">
        <w:rPr>
          <w:rFonts w:asciiTheme="minorBidi" w:hAnsiTheme="minorBidi" w:cstheme="minorBidi"/>
          <w:lang w:val="en-GB" w:eastAsia="tr-TR"/>
        </w:rPr>
        <w:t>Sensitivity analysis confirms the robustness of ammonia pathways under varying safety assumptions. Increasing chemical (w</w:t>
      </w:r>
      <w:r w:rsidRPr="00730003">
        <w:rPr>
          <w:rFonts w:ascii="Cambria Math" w:hAnsi="Cambria Math" w:cs="Cambria Math"/>
          <w:lang w:val="en-GB" w:eastAsia="tr-TR"/>
        </w:rPr>
        <w:t>₁</w:t>
      </w:r>
      <w:r w:rsidRPr="00730003">
        <w:rPr>
          <w:rFonts w:asciiTheme="minorBidi" w:hAnsiTheme="minorBidi" w:cstheme="minorBidi"/>
          <w:lang w:val="en-GB" w:eastAsia="tr-TR"/>
        </w:rPr>
        <w:t>) and process (w</w:t>
      </w:r>
      <w:r w:rsidRPr="00730003">
        <w:rPr>
          <w:rFonts w:ascii="Cambria Math" w:hAnsi="Cambria Math" w:cs="Cambria Math"/>
          <w:lang w:val="en-GB" w:eastAsia="tr-TR"/>
        </w:rPr>
        <w:t>₂</w:t>
      </w:r>
      <w:r w:rsidRPr="00730003">
        <w:rPr>
          <w:rFonts w:asciiTheme="minorBidi" w:hAnsiTheme="minorBidi" w:cstheme="minorBidi"/>
          <w:lang w:val="en-GB" w:eastAsia="tr-TR"/>
        </w:rPr>
        <w:t>) hazard weightings disproportionately penalizes hydrogen systems due to their higher flammability and more demanding operating conditions (Figures 3 and 4). Across all scenarios, pathway rankings remain stable, with ammonia maintaining greater resilience under safety-constrained conditions. Similarly, raising the maximum penalty factor (</w:t>
      </w:r>
      <w:proofErr w:type="spellStart"/>
      <w:r w:rsidRPr="00730003">
        <w:rPr>
          <w:rFonts w:asciiTheme="minorBidi" w:hAnsiTheme="minorBidi" w:cstheme="minorBidi"/>
          <w:lang w:val="en-GB" w:eastAsia="tr-TR"/>
        </w:rPr>
        <w:t>Hmax</w:t>
      </w:r>
      <w:proofErr w:type="spellEnd"/>
      <w:r w:rsidRPr="00730003">
        <w:rPr>
          <w:rFonts w:asciiTheme="minorBidi" w:hAnsiTheme="minorBidi" w:cstheme="minorBidi"/>
          <w:lang w:val="en-GB" w:eastAsia="tr-TR"/>
        </w:rPr>
        <w:t>) reduces HA-RTE for all pathways but affects hydrogen more severely, with several configurations falling below 8–10%, while ammonia pathways retain comparatively higher adjusted efficiencies (Figure 5).</w:t>
      </w:r>
    </w:p>
    <w:p w14:paraId="6BFDCC42" w14:textId="77777777" w:rsidR="00ED7116" w:rsidRPr="008957D5" w:rsidRDefault="00ED7116" w:rsidP="00E557D2">
      <w:pPr>
        <w:pStyle w:val="CETBodytext"/>
        <w:rPr>
          <w:rFonts w:asciiTheme="minorBidi" w:hAnsiTheme="minorBidi" w:cstheme="minorBidi"/>
          <w:lang w:eastAsia="tr-TR"/>
        </w:rPr>
      </w:pPr>
    </w:p>
    <w:p w14:paraId="64133546" w14:textId="77777777" w:rsidR="00210407" w:rsidRPr="008957D5" w:rsidRDefault="00210407" w:rsidP="00210407">
      <w:pPr>
        <w:rPr>
          <w:rFonts w:asciiTheme="majorBidi" w:hAnsiTheme="majorBidi" w:cstheme="majorBidi"/>
          <w:b/>
          <w:bCs/>
          <w:sz w:val="24"/>
          <w:szCs w:val="24"/>
          <w:lang w:val="en-US"/>
        </w:rPr>
      </w:pPr>
      <w:r w:rsidRPr="008957D5">
        <w:rPr>
          <w:rFonts w:asciiTheme="majorBidi" w:hAnsiTheme="majorBidi" w:cstheme="majorBidi"/>
          <w:b/>
          <w:bCs/>
          <w:noProof/>
          <w:sz w:val="24"/>
          <w:szCs w:val="24"/>
          <w:lang w:val="en-US"/>
        </w:rPr>
        <w:drawing>
          <wp:inline distT="0" distB="0" distL="0" distR="0" wp14:anchorId="29D7259D" wp14:editId="2559AB1B">
            <wp:extent cx="4305300" cy="2003001"/>
            <wp:effectExtent l="0" t="0" r="0" b="0"/>
            <wp:docPr id="254264349"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64349" name="Picture 1" descr="A graph of different colored lines&#10;&#10;AI-generated content may be incorrect."/>
                    <pic:cNvPicPr/>
                  </pic:nvPicPr>
                  <pic:blipFill>
                    <a:blip r:embed="rId13"/>
                    <a:stretch>
                      <a:fillRect/>
                    </a:stretch>
                  </pic:blipFill>
                  <pic:spPr>
                    <a:xfrm>
                      <a:off x="0" y="0"/>
                      <a:ext cx="4328963" cy="2014010"/>
                    </a:xfrm>
                    <a:prstGeom prst="rect">
                      <a:avLst/>
                    </a:prstGeom>
                  </pic:spPr>
                </pic:pic>
              </a:graphicData>
            </a:graphic>
          </wp:inline>
        </w:drawing>
      </w:r>
    </w:p>
    <w:p w14:paraId="4FEFB903" w14:textId="1512219B" w:rsidR="00210407" w:rsidRPr="008957D5" w:rsidRDefault="00210407" w:rsidP="008957D5">
      <w:pPr>
        <w:pStyle w:val="CETCaption"/>
        <w:spacing w:before="0"/>
        <w:rPr>
          <w:lang w:val="en-US"/>
        </w:rPr>
      </w:pPr>
      <w:r w:rsidRPr="008957D5">
        <w:rPr>
          <w:lang w:val="en-US"/>
        </w:rPr>
        <w:t xml:space="preserve">Figure </w:t>
      </w:r>
      <w:r w:rsidR="00F0258F" w:rsidRPr="008957D5">
        <w:rPr>
          <w:lang w:val="en-US"/>
        </w:rPr>
        <w:t>3</w:t>
      </w:r>
      <w:r w:rsidRPr="008957D5">
        <w:rPr>
          <w:lang w:val="en-US"/>
        </w:rPr>
        <w:t>. Sensitivity Analysis of HA-RTE to w</w:t>
      </w:r>
      <w:r w:rsidRPr="008957D5">
        <w:rPr>
          <w:vertAlign w:val="subscript"/>
          <w:lang w:val="en-US"/>
        </w:rPr>
        <w:t>1</w:t>
      </w:r>
      <w:r w:rsidRPr="008957D5">
        <w:rPr>
          <w:lang w:val="en-US"/>
        </w:rPr>
        <w:t xml:space="preserve"> - Green Hydrogen &amp; Ammonia Pathways</w:t>
      </w:r>
    </w:p>
    <w:p w14:paraId="3A998839" w14:textId="77777777" w:rsidR="00210407" w:rsidRPr="008957D5" w:rsidRDefault="00210407" w:rsidP="00210407">
      <w:pPr>
        <w:rPr>
          <w:rFonts w:asciiTheme="majorBidi" w:hAnsiTheme="majorBidi" w:cstheme="majorBidi"/>
          <w:b/>
          <w:bCs/>
          <w:sz w:val="24"/>
          <w:szCs w:val="24"/>
          <w:lang w:val="en-US"/>
        </w:rPr>
      </w:pPr>
      <w:r w:rsidRPr="008957D5">
        <w:rPr>
          <w:rFonts w:asciiTheme="majorBidi" w:hAnsiTheme="majorBidi" w:cstheme="majorBidi"/>
          <w:b/>
          <w:bCs/>
          <w:noProof/>
          <w:sz w:val="24"/>
          <w:szCs w:val="24"/>
          <w:lang w:val="en-US"/>
        </w:rPr>
        <w:drawing>
          <wp:inline distT="0" distB="0" distL="0" distR="0" wp14:anchorId="26FC85E8" wp14:editId="4AD3FFBF">
            <wp:extent cx="4305670" cy="2213683"/>
            <wp:effectExtent l="0" t="0" r="0" b="0"/>
            <wp:docPr id="8875049"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049" name="Picture 1" descr="A graph of different colored lines&#10;&#10;AI-generated content may be incorrect."/>
                    <pic:cNvPicPr/>
                  </pic:nvPicPr>
                  <pic:blipFill>
                    <a:blip r:embed="rId14"/>
                    <a:stretch>
                      <a:fillRect/>
                    </a:stretch>
                  </pic:blipFill>
                  <pic:spPr>
                    <a:xfrm>
                      <a:off x="0" y="0"/>
                      <a:ext cx="4317744" cy="2219891"/>
                    </a:xfrm>
                    <a:prstGeom prst="rect">
                      <a:avLst/>
                    </a:prstGeom>
                  </pic:spPr>
                </pic:pic>
              </a:graphicData>
            </a:graphic>
          </wp:inline>
        </w:drawing>
      </w:r>
    </w:p>
    <w:p w14:paraId="2F0BCE45" w14:textId="57B7416F" w:rsidR="00210407" w:rsidRPr="008957D5" w:rsidRDefault="00210407" w:rsidP="008957D5">
      <w:pPr>
        <w:pStyle w:val="CETCaption"/>
        <w:spacing w:before="0"/>
        <w:rPr>
          <w:lang w:val="en-US"/>
        </w:rPr>
      </w:pPr>
      <w:r w:rsidRPr="008957D5">
        <w:rPr>
          <w:lang w:val="en-US"/>
        </w:rPr>
        <w:t xml:space="preserve">Figure </w:t>
      </w:r>
      <w:r w:rsidR="00F0258F" w:rsidRPr="008957D5">
        <w:rPr>
          <w:lang w:val="en-US"/>
        </w:rPr>
        <w:t>4</w:t>
      </w:r>
      <w:r w:rsidRPr="008957D5">
        <w:rPr>
          <w:lang w:val="en-US"/>
        </w:rPr>
        <w:t>. Sensitivity Analysis of HA-RTE to w</w:t>
      </w:r>
      <w:r w:rsidRPr="008957D5">
        <w:rPr>
          <w:vertAlign w:val="subscript"/>
          <w:lang w:val="en-US"/>
        </w:rPr>
        <w:t>2</w:t>
      </w:r>
      <w:r w:rsidRPr="008957D5">
        <w:rPr>
          <w:lang w:val="en-US"/>
        </w:rPr>
        <w:t xml:space="preserve"> - Green Hydrogen &amp; Ammonia Pathways</w:t>
      </w:r>
    </w:p>
    <w:p w14:paraId="3CE30648" w14:textId="01FAE0E5" w:rsidR="00210407" w:rsidRPr="008957D5" w:rsidRDefault="00210407" w:rsidP="00172A30">
      <w:pPr>
        <w:rPr>
          <w:rFonts w:asciiTheme="majorBidi" w:hAnsiTheme="majorBidi" w:cstheme="majorBidi"/>
          <w:b/>
          <w:bCs/>
          <w:sz w:val="24"/>
          <w:szCs w:val="24"/>
          <w:lang w:val="en-US"/>
        </w:rPr>
      </w:pPr>
      <w:r w:rsidRPr="008957D5">
        <w:rPr>
          <w:rFonts w:asciiTheme="majorBidi" w:hAnsiTheme="majorBidi" w:cstheme="majorBidi"/>
          <w:b/>
          <w:bCs/>
          <w:sz w:val="24"/>
          <w:szCs w:val="24"/>
          <w:lang w:val="en-US"/>
        </w:rPr>
        <w:t xml:space="preserve"> </w:t>
      </w:r>
      <w:r w:rsidRPr="008957D5">
        <w:rPr>
          <w:rFonts w:asciiTheme="majorBidi" w:hAnsiTheme="majorBidi" w:cstheme="majorBidi"/>
          <w:b/>
          <w:bCs/>
          <w:noProof/>
          <w:sz w:val="24"/>
          <w:szCs w:val="24"/>
          <w:lang w:val="en-US"/>
        </w:rPr>
        <w:drawing>
          <wp:inline distT="0" distB="0" distL="0" distR="0" wp14:anchorId="4D5962B5" wp14:editId="04A2F026">
            <wp:extent cx="4394250" cy="2084070"/>
            <wp:effectExtent l="0" t="0" r="6350" b="0"/>
            <wp:docPr id="2088339282"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39282" name="Picture 1" descr="A graph of different colored lines&#10;&#10;AI-generated content may be incorrect."/>
                    <pic:cNvPicPr/>
                  </pic:nvPicPr>
                  <pic:blipFill rotWithShape="1">
                    <a:blip r:embed="rId15"/>
                    <a:srcRect r="978"/>
                    <a:stretch/>
                  </pic:blipFill>
                  <pic:spPr bwMode="auto">
                    <a:xfrm>
                      <a:off x="0" y="0"/>
                      <a:ext cx="4394250" cy="2084070"/>
                    </a:xfrm>
                    <a:prstGeom prst="rect">
                      <a:avLst/>
                    </a:prstGeom>
                    <a:ln>
                      <a:noFill/>
                    </a:ln>
                    <a:extLst>
                      <a:ext uri="{53640926-AAD7-44D8-BBD7-CCE9431645EC}">
                        <a14:shadowObscured xmlns:a14="http://schemas.microsoft.com/office/drawing/2010/main"/>
                      </a:ext>
                    </a:extLst>
                  </pic:spPr>
                </pic:pic>
              </a:graphicData>
            </a:graphic>
          </wp:inline>
        </w:drawing>
      </w:r>
    </w:p>
    <w:p w14:paraId="2A225065" w14:textId="7EC6FA13" w:rsidR="00210407" w:rsidRPr="008957D5" w:rsidRDefault="00210407" w:rsidP="008957D5">
      <w:pPr>
        <w:pStyle w:val="CETCaption"/>
        <w:spacing w:before="0"/>
        <w:rPr>
          <w:lang w:val="en-US"/>
        </w:rPr>
      </w:pPr>
      <w:r w:rsidRPr="008957D5">
        <w:rPr>
          <w:lang w:val="en-US"/>
        </w:rPr>
        <w:t xml:space="preserve">Figure </w:t>
      </w:r>
      <w:r w:rsidR="00F0258F" w:rsidRPr="008957D5">
        <w:rPr>
          <w:lang w:val="en-US"/>
        </w:rPr>
        <w:t>5</w:t>
      </w:r>
      <w:r w:rsidRPr="008957D5">
        <w:rPr>
          <w:lang w:val="en-US"/>
        </w:rPr>
        <w:t xml:space="preserve">. Sensitivity Analysis of HA-RTE to </w:t>
      </w:r>
      <w:proofErr w:type="spellStart"/>
      <w:r w:rsidRPr="008957D5">
        <w:rPr>
          <w:lang w:val="en-US"/>
        </w:rPr>
        <w:t>H</w:t>
      </w:r>
      <w:r w:rsidR="00D902FB" w:rsidRPr="008957D5">
        <w:rPr>
          <w:vertAlign w:val="subscript"/>
          <w:lang w:val="en-US"/>
        </w:rPr>
        <w:t>max</w:t>
      </w:r>
      <w:proofErr w:type="spellEnd"/>
      <w:r w:rsidRPr="008957D5">
        <w:rPr>
          <w:lang w:val="en-US"/>
        </w:rPr>
        <w:t xml:space="preserve"> - Green Hydrogen &amp; Ammonia Pathways</w:t>
      </w:r>
    </w:p>
    <w:p w14:paraId="68CD1A44" w14:textId="77777777" w:rsidR="00210407" w:rsidRPr="008957D5" w:rsidRDefault="00210407" w:rsidP="00210407">
      <w:pPr>
        <w:pStyle w:val="CETHeadingxx"/>
        <w:rPr>
          <w:bCs/>
          <w:sz w:val="20"/>
        </w:rPr>
      </w:pPr>
      <w:r w:rsidRPr="008957D5">
        <w:rPr>
          <w:bCs/>
          <w:sz w:val="20"/>
        </w:rPr>
        <w:lastRenderedPageBreak/>
        <w:t>4. Conclusions</w:t>
      </w:r>
    </w:p>
    <w:p w14:paraId="7DA1033C" w14:textId="74283DB8" w:rsidR="00210407" w:rsidRPr="008957D5" w:rsidRDefault="00210407">
      <w:pPr>
        <w:pStyle w:val="CETBodytext"/>
      </w:pPr>
      <w:r w:rsidRPr="008957D5">
        <w:t xml:space="preserve">This study introduces HA-RTE as a comprehensive metric that integrates conventional energy efficiency with inherent </w:t>
      </w:r>
      <w:r w:rsidR="00D902FB">
        <w:t>hazard</w:t>
      </w:r>
      <w:r w:rsidR="00D902FB" w:rsidRPr="008957D5">
        <w:t xml:space="preserve"> </w:t>
      </w:r>
      <w:r w:rsidRPr="008957D5">
        <w:t>considerations. By coupling RTE with a normalized EISI, the framework enables a more realistic assessment of green hydrogen and green ammonia energy pathways.</w:t>
      </w:r>
      <w:r w:rsidR="00D6613F">
        <w:t xml:space="preserve"> </w:t>
      </w:r>
      <w:r w:rsidRPr="008957D5">
        <w:t>The results show that hydrogen pathways, while achieving higher baseline RTE values, are strongly penalized due to elevated chemical and process hazards. Ammonia pathways, despite lower thermodynamic efficiency, consistently retain higher hazard-adjusted performance across turbines, internal combustion engines, and fuel cell systems. The ammonia–SOFC configuration achieves the highest HA-RTE, highlighting the importance of pairing energy carriers with compatible conversion technologies.</w:t>
      </w:r>
      <w:r w:rsidR="00D6613F">
        <w:t xml:space="preserve"> </w:t>
      </w:r>
      <w:r w:rsidRPr="008957D5">
        <w:t>Sensitivity analyses confirm the robustness of these findings across a wide range of safety weightings and penalty assumptions. Under stricter safety constraints, hydrogen pathways experience rapid efficiency erosion, whereas ammonia pathways maintain comparatively stable performance.</w:t>
      </w:r>
      <w:r w:rsidR="00D6613F">
        <w:t xml:space="preserve"> </w:t>
      </w:r>
      <w:r w:rsidRPr="008957D5">
        <w:t xml:space="preserve">Overall, the HA-RTE framework demonstrates that efficiency alone is insufficient for selecting sustainable energy carriers. When safety is </w:t>
      </w:r>
      <w:r w:rsidR="00D902FB">
        <w:t xml:space="preserve">explicitly </w:t>
      </w:r>
      <w:r w:rsidRPr="008957D5">
        <w:t>internalized, ammonia emerges as a safer and more balanced alternative for large-scale decarbonization and long-distance energy transport, while hydrogen may remain better suited for niche or tightly controlled applications. The proposed framework provides a valuable decision-support tool for early-stage energy system design and policy evaluation.</w:t>
      </w:r>
    </w:p>
    <w:p w14:paraId="00F724CF" w14:textId="77777777" w:rsidR="00280FAF" w:rsidRDefault="00280FAF" w:rsidP="00C63BC2">
      <w:pPr>
        <w:pStyle w:val="CETHeading1"/>
      </w:pPr>
      <w:r w:rsidRPr="008957D5">
        <w:t>Nomenclature</w:t>
      </w:r>
    </w:p>
    <w:p w14:paraId="099EEA0B" w14:textId="77777777" w:rsidR="00ED7116" w:rsidRDefault="00ED7116" w:rsidP="00ED7116">
      <w:pPr>
        <w:pStyle w:val="CETBodytext"/>
      </w:pPr>
    </w:p>
    <w:p w14:paraId="0546B030" w14:textId="77777777" w:rsidR="00ED7116" w:rsidRDefault="00ED7116" w:rsidP="00ED7116">
      <w:pPr>
        <w:pStyle w:val="CETBodytext"/>
        <w:jc w:val="left"/>
        <w:rPr>
          <w:rFonts w:eastAsia="SimSun"/>
        </w:rPr>
        <w:sectPr w:rsidR="00ED7116" w:rsidSect="008314D7">
          <w:footerReference w:type="default" r:id="rId16"/>
          <w:type w:val="continuous"/>
          <w:pgSz w:w="11906" w:h="16838" w:code="9"/>
          <w:pgMar w:top="1701" w:right="1418" w:bottom="1701" w:left="1701" w:header="1701" w:footer="0" w:gutter="0"/>
          <w:cols w:space="708"/>
          <w:formProt w:val="0"/>
          <w:titlePg/>
          <w:docGrid w:linePitch="360"/>
        </w:sectPr>
      </w:pPr>
    </w:p>
    <w:p w14:paraId="5693D6D9" w14:textId="77777777" w:rsidR="009557F6" w:rsidRDefault="00ED7116" w:rsidP="009557F6">
      <w:pPr>
        <w:pStyle w:val="CETBodytext"/>
        <w:jc w:val="left"/>
        <w:rPr>
          <w:rFonts w:eastAsia="SimSun"/>
        </w:rPr>
      </w:pPr>
      <w:r>
        <w:rPr>
          <w:rFonts w:eastAsia="SimSun"/>
        </w:rPr>
        <w:t>AFC</w:t>
      </w:r>
      <w:r w:rsidRPr="00280FAF">
        <w:rPr>
          <w:rFonts w:eastAsia="SimSun"/>
        </w:rPr>
        <w:t xml:space="preserve"> – </w:t>
      </w:r>
      <w:r>
        <w:rPr>
          <w:rFonts w:eastAsia="SimSun"/>
        </w:rPr>
        <w:t>Alkaline fuel cell</w:t>
      </w:r>
    </w:p>
    <w:p w14:paraId="360D57F8" w14:textId="4E0951CC" w:rsidR="00ED7116" w:rsidRDefault="00ED7116">
      <w:pPr>
        <w:pStyle w:val="CETBodytext"/>
        <w:jc w:val="left"/>
        <w:rPr>
          <w:rFonts w:eastAsia="SimSun"/>
        </w:rPr>
      </w:pPr>
      <w:r w:rsidRPr="00234979">
        <w:rPr>
          <w:rFonts w:eastAsia="SimSun"/>
        </w:rPr>
        <w:t>EISI – Extended Inherent Safety Index</w:t>
      </w:r>
      <w:r w:rsidRPr="00234979">
        <w:rPr>
          <w:rFonts w:eastAsia="SimSun"/>
        </w:rPr>
        <w:br/>
        <w:t>GT – Gas turbine</w:t>
      </w:r>
      <w:r w:rsidRPr="00280FAF">
        <w:rPr>
          <w:rFonts w:eastAsia="SimSun"/>
        </w:rPr>
        <w:t xml:space="preserve"> </w:t>
      </w:r>
    </w:p>
    <w:p w14:paraId="1515A209" w14:textId="0BC3EDBC" w:rsidR="00ED7116" w:rsidRDefault="00ED7116" w:rsidP="00ED7116">
      <w:pPr>
        <w:pStyle w:val="CETBodytext"/>
        <w:jc w:val="left"/>
        <w:rPr>
          <w:rFonts w:eastAsia="SimSun"/>
        </w:rPr>
      </w:pPr>
      <w:r w:rsidRPr="00234979">
        <w:rPr>
          <w:rFonts w:eastAsia="SimSun"/>
        </w:rPr>
        <w:t>HA-RTE – Hazard-Adjusted Round-Trip Efficiency</w:t>
      </w:r>
    </w:p>
    <w:p w14:paraId="7683FE77" w14:textId="40C60BC6" w:rsidR="00026E84" w:rsidRDefault="00026E84" w:rsidP="00ED7116">
      <w:pPr>
        <w:pStyle w:val="CETBodytext"/>
        <w:jc w:val="left"/>
        <w:rPr>
          <w:rFonts w:eastAsia="SimSun"/>
        </w:rPr>
      </w:pPr>
      <w:r>
        <w:rPr>
          <w:rFonts w:eastAsia="SimSun"/>
        </w:rPr>
        <w:t>IBI</w:t>
      </w:r>
      <w:r w:rsidRPr="00234979">
        <w:rPr>
          <w:rFonts w:eastAsia="SimSun"/>
        </w:rPr>
        <w:t>–</w:t>
      </w:r>
      <w:r>
        <w:rPr>
          <w:rFonts w:eastAsia="SimSun"/>
        </w:rPr>
        <w:t xml:space="preserve"> Inherent Biological Index  </w:t>
      </w:r>
    </w:p>
    <w:p w14:paraId="46325609" w14:textId="77777777" w:rsidR="00026E84" w:rsidRDefault="00ED7116" w:rsidP="00026E84">
      <w:pPr>
        <w:pStyle w:val="CETBodytext"/>
        <w:jc w:val="left"/>
        <w:rPr>
          <w:rFonts w:eastAsia="SimSun"/>
        </w:rPr>
      </w:pPr>
      <w:r w:rsidRPr="00234979">
        <w:rPr>
          <w:rFonts w:eastAsia="SimSun"/>
        </w:rPr>
        <w:t>ICE – Internal combustion engine</w:t>
      </w:r>
    </w:p>
    <w:p w14:paraId="6D599E5B" w14:textId="1CDA48A2" w:rsidR="009557F6" w:rsidRDefault="009557F6">
      <w:pPr>
        <w:pStyle w:val="CETBodytext"/>
        <w:jc w:val="left"/>
        <w:rPr>
          <w:lang w:eastAsia="tr-TR"/>
        </w:rPr>
      </w:pPr>
      <w:r>
        <w:rPr>
          <w:rFonts w:eastAsia="SimSun"/>
        </w:rPr>
        <w:t>ICI</w:t>
      </w:r>
      <w:r w:rsidRPr="00234979">
        <w:rPr>
          <w:rFonts w:eastAsia="SimSun"/>
        </w:rPr>
        <w:t>–</w:t>
      </w:r>
      <w:r>
        <w:rPr>
          <w:rFonts w:eastAsia="SimSun"/>
        </w:rPr>
        <w:t xml:space="preserve"> </w:t>
      </w:r>
      <w:r w:rsidRPr="00234979">
        <w:rPr>
          <w:lang w:eastAsia="tr-TR"/>
        </w:rPr>
        <w:t>Inherent Chemical Index</w:t>
      </w:r>
    </w:p>
    <w:p w14:paraId="52836361" w14:textId="1FC000B7" w:rsidR="009557F6" w:rsidRDefault="009557F6" w:rsidP="00ED7116">
      <w:pPr>
        <w:pStyle w:val="CETBodytext"/>
        <w:jc w:val="left"/>
        <w:rPr>
          <w:rFonts w:eastAsia="SimSun"/>
        </w:rPr>
      </w:pPr>
      <w:r>
        <w:rPr>
          <w:lang w:eastAsia="tr-TR"/>
        </w:rPr>
        <w:t>IPI</w:t>
      </w:r>
      <w:r w:rsidRPr="00234979">
        <w:rPr>
          <w:rFonts w:eastAsia="SimSun"/>
        </w:rPr>
        <w:t>–</w:t>
      </w:r>
      <w:r>
        <w:rPr>
          <w:lang w:eastAsia="tr-TR"/>
        </w:rPr>
        <w:t xml:space="preserve"> Inherent Process Index</w:t>
      </w:r>
    </w:p>
    <w:p w14:paraId="0B551615" w14:textId="4FE659C5" w:rsidR="009557F6" w:rsidRDefault="00ED7116">
      <w:pPr>
        <w:pStyle w:val="CETBodytext"/>
        <w:jc w:val="left"/>
        <w:rPr>
          <w:rFonts w:eastAsia="SimSun"/>
        </w:rPr>
      </w:pPr>
      <w:proofErr w:type="spellStart"/>
      <w:r w:rsidRPr="00234979">
        <w:rPr>
          <w:rFonts w:eastAsia="SimSun"/>
        </w:rPr>
        <w:t>PtX</w:t>
      </w:r>
      <w:proofErr w:type="spellEnd"/>
      <w:r w:rsidRPr="00234979">
        <w:rPr>
          <w:rFonts w:eastAsia="SimSun"/>
        </w:rPr>
        <w:t>–P – Power-to-X-to-Power</w:t>
      </w:r>
      <w:r w:rsidRPr="00234979">
        <w:rPr>
          <w:rFonts w:eastAsia="SimSun"/>
        </w:rPr>
        <w:br/>
        <w:t>RTE – Round-Trip Efficiency</w:t>
      </w:r>
      <w:r w:rsidRPr="00234979">
        <w:rPr>
          <w:rFonts w:eastAsia="SimSun"/>
        </w:rPr>
        <w:br/>
        <w:t>SOFC – Solid oxide fuel cell</w:t>
      </w:r>
    </w:p>
    <w:p w14:paraId="07A6D20F" w14:textId="41B301B3" w:rsidR="002C6440" w:rsidRPr="008957D5" w:rsidRDefault="002C6440" w:rsidP="008957D5">
      <w:pPr>
        <w:pStyle w:val="CETBodytext"/>
        <w:jc w:val="left"/>
        <w:rPr>
          <w:rFonts w:eastAsia="SimSun"/>
        </w:rPr>
        <w:sectPr w:rsidR="002C6440" w:rsidRPr="008957D5" w:rsidSect="008957D5">
          <w:footerReference w:type="default" r:id="rId17"/>
          <w:type w:val="continuous"/>
          <w:pgSz w:w="11906" w:h="16838" w:code="9"/>
          <w:pgMar w:top="1701" w:right="1418" w:bottom="1701" w:left="1701" w:header="1701" w:footer="0" w:gutter="0"/>
          <w:cols w:num="2" w:space="708"/>
          <w:formProt w:val="0"/>
          <w:titlePg/>
          <w:docGrid w:linePitch="360"/>
        </w:sectPr>
      </w:pPr>
    </w:p>
    <w:p w14:paraId="459D05E6" w14:textId="167DAD35" w:rsidR="00600535" w:rsidRPr="008957D5" w:rsidRDefault="00600535" w:rsidP="00C63BC2">
      <w:pPr>
        <w:pStyle w:val="CETHeading1"/>
      </w:pPr>
      <w:r w:rsidRPr="008957D5">
        <w:t>Acknowledgments</w:t>
      </w:r>
    </w:p>
    <w:p w14:paraId="44F1887C" w14:textId="77777777" w:rsidR="00210407" w:rsidRPr="008957D5" w:rsidRDefault="00210407" w:rsidP="00210407">
      <w:pPr>
        <w:pStyle w:val="CETBodytext"/>
        <w:rPr>
          <w:b/>
        </w:rPr>
      </w:pPr>
      <w:r w:rsidRPr="008957D5">
        <w:t>The authors gratefully acknowledge the Deanship of Research Oversight and Coordination (DROC) at King Fahd University of Petroleum &amp; Minerals (KFUPM) for supporting this work through the Young Grant Project EC241011.</w:t>
      </w:r>
    </w:p>
    <w:p w14:paraId="4F1327F8" w14:textId="010DDF6F" w:rsidR="00600535" w:rsidRPr="008957D5" w:rsidRDefault="00600535" w:rsidP="00C63BC2">
      <w:pPr>
        <w:pStyle w:val="CETHeading1"/>
      </w:pPr>
      <w:r w:rsidRPr="008957D5">
        <w:t>References</w:t>
      </w:r>
    </w:p>
    <w:p w14:paraId="644D8D74" w14:textId="77777777" w:rsidR="00E915D3" w:rsidRPr="008957D5" w:rsidRDefault="00E915D3" w:rsidP="008957D5">
      <w:pPr>
        <w:pStyle w:val="CETReferencetext"/>
        <w:rPr>
          <w:lang w:val="en-US"/>
        </w:rPr>
      </w:pPr>
      <w:r w:rsidRPr="008957D5">
        <w:rPr>
          <w:lang w:val="en-US"/>
        </w:rPr>
        <w:t>González R., Gómez X., 2024, Ammonia can be currently considered one of the best green energy allies, Sustainable Chemistry, 5, 163–195.</w:t>
      </w:r>
    </w:p>
    <w:p w14:paraId="0E387E80" w14:textId="77777777" w:rsidR="00E915D3" w:rsidRPr="008957D5" w:rsidRDefault="00E915D3" w:rsidP="008957D5">
      <w:pPr>
        <w:pStyle w:val="CETReferencetext"/>
        <w:rPr>
          <w:lang w:val="en-US"/>
        </w:rPr>
      </w:pPr>
      <w:proofErr w:type="spellStart"/>
      <w:r w:rsidRPr="008957D5">
        <w:rPr>
          <w:lang w:val="en-US"/>
        </w:rPr>
        <w:t>Juanga</w:t>
      </w:r>
      <w:proofErr w:type="spellEnd"/>
      <w:r w:rsidRPr="008957D5">
        <w:rPr>
          <w:lang w:val="en-US"/>
        </w:rPr>
        <w:t xml:space="preserve"> F.B., </w:t>
      </w:r>
      <w:proofErr w:type="spellStart"/>
      <w:r w:rsidRPr="008957D5">
        <w:rPr>
          <w:lang w:val="en-US"/>
        </w:rPr>
        <w:t>Irhamma</w:t>
      </w:r>
      <w:proofErr w:type="spellEnd"/>
      <w:r w:rsidRPr="008957D5">
        <w:rPr>
          <w:lang w:val="en-US"/>
        </w:rPr>
        <w:t xml:space="preserve"> A.R., Aziz M., 2021, Production of ammonia as potential hydrogen carrier: Review on thermochemical and electrochemical processes, International Journal of Hydrogen Energy, 46, 1–15.</w:t>
      </w:r>
    </w:p>
    <w:p w14:paraId="2859A26F" w14:textId="77777777" w:rsidR="00E915D3" w:rsidRPr="008957D5" w:rsidRDefault="00E915D3" w:rsidP="008957D5">
      <w:pPr>
        <w:pStyle w:val="CETReferencetext"/>
        <w:rPr>
          <w:lang w:val="en-US"/>
        </w:rPr>
      </w:pPr>
      <w:r w:rsidRPr="008957D5">
        <w:rPr>
          <w:lang w:val="en-US"/>
        </w:rPr>
        <w:t>Kumar A., Tiwari A.K., Milani D., 2024, Decarbonizing hard-to-abate heavy industries: Current status and pathways towards net-zero future, Process Safety and Environmental Protection, 187, 408–430.</w:t>
      </w:r>
    </w:p>
    <w:p w14:paraId="11B93D11" w14:textId="77777777" w:rsidR="00E915D3" w:rsidRPr="008957D5" w:rsidRDefault="00E915D3" w:rsidP="008957D5">
      <w:pPr>
        <w:pStyle w:val="CETReferencetext"/>
        <w:rPr>
          <w:lang w:val="en-US"/>
        </w:rPr>
      </w:pPr>
      <w:r w:rsidRPr="008957D5">
        <w:rPr>
          <w:lang w:val="en-US"/>
        </w:rPr>
        <w:t xml:space="preserve">Law L., </w:t>
      </w:r>
      <w:proofErr w:type="spellStart"/>
      <w:r w:rsidRPr="008957D5">
        <w:rPr>
          <w:lang w:val="en-US"/>
        </w:rPr>
        <w:t>Foscoli</w:t>
      </w:r>
      <w:proofErr w:type="spellEnd"/>
      <w:r w:rsidRPr="008957D5">
        <w:rPr>
          <w:lang w:val="en-US"/>
        </w:rPr>
        <w:t xml:space="preserve"> B., </w:t>
      </w:r>
      <w:proofErr w:type="spellStart"/>
      <w:r w:rsidRPr="008957D5">
        <w:rPr>
          <w:lang w:val="en-US"/>
        </w:rPr>
        <w:t>Mastorakos</w:t>
      </w:r>
      <w:proofErr w:type="spellEnd"/>
      <w:r w:rsidRPr="008957D5">
        <w:rPr>
          <w:lang w:val="en-US"/>
        </w:rPr>
        <w:t xml:space="preserve"> E., Evans S., 2021, A comparison of alternative fuels for shipping in terms of lifecycle energy and cost, Energies, 14, 8502.</w:t>
      </w:r>
    </w:p>
    <w:p w14:paraId="0A686642" w14:textId="77777777" w:rsidR="00E915D3" w:rsidRPr="008957D5" w:rsidRDefault="00E915D3" w:rsidP="008957D5">
      <w:pPr>
        <w:pStyle w:val="CETReferencetext"/>
        <w:rPr>
          <w:lang w:val="en-US"/>
        </w:rPr>
      </w:pPr>
      <w:r w:rsidRPr="008957D5">
        <w:rPr>
          <w:lang w:val="en-US"/>
        </w:rPr>
        <w:t>Müller M., Pfeifer M., Holtz D., Müller K., 2024, Comparison of green ammonia and green hydrogen pathways in terms of energy efficiency, Fuel, 357, 129843.</w:t>
      </w:r>
    </w:p>
    <w:p w14:paraId="6227A47A" w14:textId="77777777" w:rsidR="00E915D3" w:rsidRPr="008957D5" w:rsidRDefault="00E915D3" w:rsidP="008957D5">
      <w:pPr>
        <w:pStyle w:val="CETReferencetext"/>
        <w:rPr>
          <w:lang w:val="en-US"/>
        </w:rPr>
      </w:pPr>
      <w:r w:rsidRPr="008957D5">
        <w:rPr>
          <w:lang w:val="en-US"/>
        </w:rPr>
        <w:t xml:space="preserve">Negro V., </w:t>
      </w:r>
      <w:proofErr w:type="spellStart"/>
      <w:r w:rsidRPr="008957D5">
        <w:rPr>
          <w:lang w:val="en-US"/>
        </w:rPr>
        <w:t>Noussan</w:t>
      </w:r>
      <w:proofErr w:type="spellEnd"/>
      <w:r w:rsidRPr="008957D5">
        <w:rPr>
          <w:lang w:val="en-US"/>
        </w:rPr>
        <w:t xml:space="preserve"> M., </w:t>
      </w:r>
      <w:proofErr w:type="spellStart"/>
      <w:r w:rsidRPr="008957D5">
        <w:rPr>
          <w:lang w:val="en-US"/>
        </w:rPr>
        <w:t>Chiaramonti</w:t>
      </w:r>
      <w:proofErr w:type="spellEnd"/>
      <w:r w:rsidRPr="008957D5">
        <w:rPr>
          <w:lang w:val="en-US"/>
        </w:rPr>
        <w:t xml:space="preserve"> D., 2023, The potential role of ammonia for hydrogen storage and transport: A critical review of challenges and opportunities, Energies, 16, 7192.</w:t>
      </w:r>
    </w:p>
    <w:p w14:paraId="7BABB14A" w14:textId="77777777" w:rsidR="00CA68C1" w:rsidRPr="008957D5" w:rsidRDefault="00CA68C1" w:rsidP="00CA68C1">
      <w:pPr>
        <w:pStyle w:val="CETReferencetext"/>
        <w:rPr>
          <w:lang w:val="en-US"/>
        </w:rPr>
      </w:pPr>
      <w:r w:rsidRPr="007774C5">
        <w:t>Park S., Pasman H.J., El-</w:t>
      </w:r>
      <w:proofErr w:type="spellStart"/>
      <w:r w:rsidRPr="007774C5">
        <w:t>Halwagi</w:t>
      </w:r>
      <w:proofErr w:type="spellEnd"/>
      <w:r w:rsidRPr="007774C5">
        <w:t xml:space="preserve"> M.M., 2022, Progress in inherently safer design for chemical processes, Chemical Engineering Transactions, 90, 1–6.</w:t>
      </w:r>
    </w:p>
    <w:p w14:paraId="5B96BC60" w14:textId="0DD906E3" w:rsidR="00ED7116" w:rsidRDefault="00ED7116" w:rsidP="00ED7116">
      <w:pPr>
        <w:pStyle w:val="CETReferencetext"/>
        <w:rPr>
          <w:lang w:val="en-US"/>
        </w:rPr>
      </w:pPr>
      <w:r w:rsidRPr="00ED7116">
        <w:rPr>
          <w:lang w:val="en-US"/>
        </w:rPr>
        <w:t>Park, S., Hashim, B., Zahid, U., &amp; Kim, J. (2025). Global risk assessment of hydrogen refueling stations: Trends, challenges, and future directions. International Journal of Hydrogen Energy, 106, 1462-1479.</w:t>
      </w:r>
    </w:p>
    <w:p w14:paraId="0520051D" w14:textId="4E3CF2E7" w:rsidR="00ED7116" w:rsidRDefault="00E915D3" w:rsidP="00ED7116">
      <w:pPr>
        <w:pStyle w:val="CETReferencetext"/>
        <w:rPr>
          <w:lang w:val="en-US"/>
        </w:rPr>
      </w:pPr>
      <w:proofErr w:type="spellStart"/>
      <w:r w:rsidRPr="008957D5">
        <w:rPr>
          <w:lang w:val="en-US"/>
        </w:rPr>
        <w:t>Rounce</w:t>
      </w:r>
      <w:proofErr w:type="spellEnd"/>
      <w:r w:rsidRPr="008957D5">
        <w:rPr>
          <w:lang w:val="en-US"/>
        </w:rPr>
        <w:t xml:space="preserve"> D.R., Hock R., </w:t>
      </w:r>
      <w:proofErr w:type="spellStart"/>
      <w:r w:rsidRPr="008957D5">
        <w:rPr>
          <w:lang w:val="en-US"/>
        </w:rPr>
        <w:t>Maussion</w:t>
      </w:r>
      <w:proofErr w:type="spellEnd"/>
      <w:r w:rsidRPr="008957D5">
        <w:rPr>
          <w:lang w:val="en-US"/>
        </w:rPr>
        <w:t xml:space="preserve"> F., </w:t>
      </w:r>
      <w:proofErr w:type="spellStart"/>
      <w:r w:rsidRPr="008957D5">
        <w:rPr>
          <w:lang w:val="en-US"/>
        </w:rPr>
        <w:t>Hugonnet</w:t>
      </w:r>
      <w:proofErr w:type="spellEnd"/>
      <w:r w:rsidRPr="008957D5">
        <w:rPr>
          <w:lang w:val="en-US"/>
        </w:rPr>
        <w:t xml:space="preserve"> R., </w:t>
      </w:r>
      <w:proofErr w:type="spellStart"/>
      <w:r w:rsidRPr="008957D5">
        <w:rPr>
          <w:lang w:val="en-US"/>
        </w:rPr>
        <w:t>Kochtitzky</w:t>
      </w:r>
      <w:proofErr w:type="spellEnd"/>
      <w:r w:rsidRPr="008957D5">
        <w:rPr>
          <w:lang w:val="en-US"/>
        </w:rPr>
        <w:t xml:space="preserve"> W., Huss M., 2023, Global glacier change in the 21st century: Every increase in temperature matters, Science, 379, 78–83.</w:t>
      </w:r>
      <w:r w:rsidR="00ED7116">
        <w:rPr>
          <w:lang w:val="en-US"/>
        </w:rPr>
        <w:t xml:space="preserve"> </w:t>
      </w:r>
    </w:p>
    <w:p w14:paraId="00BA3D4F" w14:textId="035C4CB8" w:rsidR="00C52C3C" w:rsidRPr="008957D5" w:rsidRDefault="00E915D3">
      <w:pPr>
        <w:pStyle w:val="CETReferencetext"/>
        <w:rPr>
          <w:lang w:val="en-US"/>
        </w:rPr>
      </w:pPr>
      <w:r w:rsidRPr="008957D5">
        <w:rPr>
          <w:lang w:val="en-US"/>
        </w:rPr>
        <w:t xml:space="preserve">Sarangi P.K., Srivastava R.K., Gitanjali J., </w:t>
      </w:r>
      <w:proofErr w:type="spellStart"/>
      <w:r w:rsidRPr="008957D5">
        <w:rPr>
          <w:lang w:val="en-US"/>
        </w:rPr>
        <w:t>Sathiyan</w:t>
      </w:r>
      <w:proofErr w:type="spellEnd"/>
      <w:r w:rsidRPr="008957D5">
        <w:rPr>
          <w:lang w:val="en-US"/>
        </w:rPr>
        <w:t xml:space="preserve"> G., Venkatesan G., Kandasamy S., 2024, Exploring cutting-edge advances in green ammonia production and storage technologies, Fuel, 371, 131863.</w:t>
      </w:r>
    </w:p>
    <w:sectPr w:rsidR="00C52C3C" w:rsidRPr="008957D5"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8C28" w14:textId="77777777" w:rsidR="000B3FAB" w:rsidRPr="007D2AFF" w:rsidRDefault="000B3FAB" w:rsidP="004F5E36">
      <w:r w:rsidRPr="007D2AFF">
        <w:separator/>
      </w:r>
    </w:p>
  </w:endnote>
  <w:endnote w:type="continuationSeparator" w:id="0">
    <w:p w14:paraId="203FB15A" w14:textId="77777777" w:rsidR="000B3FAB" w:rsidRPr="007D2AFF" w:rsidRDefault="000B3FAB" w:rsidP="004F5E36">
      <w:r w:rsidRPr="007D2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347839"/>
      <w:docPartObj>
        <w:docPartGallery w:val="Page Numbers (Bottom of Page)"/>
        <w:docPartUnique/>
      </w:docPartObj>
    </w:sdtPr>
    <w:sdtEndPr>
      <w:rPr>
        <w:noProof/>
      </w:rPr>
    </w:sdtEndPr>
    <w:sdtContent>
      <w:p w14:paraId="2ED8C246" w14:textId="7719D368" w:rsidR="00355F47" w:rsidRDefault="00355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80097" w14:textId="77777777" w:rsidR="00355F47" w:rsidRDefault="00355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031065"/>
      <w:docPartObj>
        <w:docPartGallery w:val="Page Numbers (Bottom of Page)"/>
        <w:docPartUnique/>
      </w:docPartObj>
    </w:sdtPr>
    <w:sdtEndPr>
      <w:rPr>
        <w:noProof/>
      </w:rPr>
    </w:sdtEndPr>
    <w:sdtContent>
      <w:p w14:paraId="27926100" w14:textId="5634EED5" w:rsidR="00172A30" w:rsidRDefault="00172A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FB8C6" w14:textId="77777777" w:rsidR="00172A30" w:rsidRDefault="00172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6B84" w14:textId="77777777" w:rsidR="000B3FAB" w:rsidRPr="007D2AFF" w:rsidRDefault="000B3FAB" w:rsidP="004F5E36">
      <w:r w:rsidRPr="007D2AFF">
        <w:separator/>
      </w:r>
    </w:p>
  </w:footnote>
  <w:footnote w:type="continuationSeparator" w:id="0">
    <w:p w14:paraId="7A77834F" w14:textId="77777777" w:rsidR="000B3FAB" w:rsidRPr="007D2AFF" w:rsidRDefault="000B3FAB" w:rsidP="004F5E36">
      <w:r w:rsidRPr="007D2AF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8576C9"/>
    <w:multiLevelType w:val="hybridMultilevel"/>
    <w:tmpl w:val="8DC89C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B76374"/>
    <w:multiLevelType w:val="hybridMultilevel"/>
    <w:tmpl w:val="64DCC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142"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67625FA"/>
    <w:multiLevelType w:val="hybridMultilevel"/>
    <w:tmpl w:val="22708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FDC2997"/>
    <w:multiLevelType w:val="multilevel"/>
    <w:tmpl w:val="650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3C2A2F"/>
    <w:multiLevelType w:val="hybridMultilevel"/>
    <w:tmpl w:val="D750C306"/>
    <w:lvl w:ilvl="0" w:tplc="D416F5C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F419B5"/>
    <w:multiLevelType w:val="hybridMultilevel"/>
    <w:tmpl w:val="DB1A21B8"/>
    <w:lvl w:ilvl="0" w:tplc="2A44D94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5"/>
  </w:num>
  <w:num w:numId="14">
    <w:abstractNumId w:val="22"/>
  </w:num>
  <w:num w:numId="15">
    <w:abstractNumId w:val="24"/>
  </w:num>
  <w:num w:numId="16">
    <w:abstractNumId w:val="23"/>
  </w:num>
  <w:num w:numId="17">
    <w:abstractNumId w:val="14"/>
  </w:num>
  <w:num w:numId="18">
    <w:abstractNumId w:val="15"/>
    <w:lvlOverride w:ilvl="0">
      <w:startOverride w:val="1"/>
    </w:lvlOverride>
  </w:num>
  <w:num w:numId="19">
    <w:abstractNumId w:val="20"/>
  </w:num>
  <w:num w:numId="20">
    <w:abstractNumId w:val="19"/>
  </w:num>
  <w:num w:numId="21">
    <w:abstractNumId w:val="17"/>
  </w:num>
  <w:num w:numId="22">
    <w:abstractNumId w:val="16"/>
  </w:num>
  <w:num w:numId="23">
    <w:abstractNumId w:val="18"/>
  </w:num>
  <w:num w:numId="24">
    <w:abstractNumId w:val="13"/>
  </w:num>
  <w:num w:numId="25">
    <w:abstractNumId w:val="10"/>
  </w:num>
  <w:num w:numId="26">
    <w:abstractNumId w:val="11"/>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26E84"/>
    <w:rsid w:val="0003148D"/>
    <w:rsid w:val="00031EEC"/>
    <w:rsid w:val="00051566"/>
    <w:rsid w:val="00054288"/>
    <w:rsid w:val="000562A9"/>
    <w:rsid w:val="00062A9A"/>
    <w:rsid w:val="00065058"/>
    <w:rsid w:val="00086C39"/>
    <w:rsid w:val="000A03B2"/>
    <w:rsid w:val="000B3FAB"/>
    <w:rsid w:val="000C4B73"/>
    <w:rsid w:val="000D0268"/>
    <w:rsid w:val="000D34BE"/>
    <w:rsid w:val="000E102F"/>
    <w:rsid w:val="000E36F1"/>
    <w:rsid w:val="000E3A73"/>
    <w:rsid w:val="000E414A"/>
    <w:rsid w:val="000F093C"/>
    <w:rsid w:val="000F787B"/>
    <w:rsid w:val="0012091F"/>
    <w:rsid w:val="00126BC2"/>
    <w:rsid w:val="001308B6"/>
    <w:rsid w:val="0013121F"/>
    <w:rsid w:val="00131FE6"/>
    <w:rsid w:val="0013263F"/>
    <w:rsid w:val="001331DF"/>
    <w:rsid w:val="00134DE4"/>
    <w:rsid w:val="0014034D"/>
    <w:rsid w:val="00144D16"/>
    <w:rsid w:val="00150E59"/>
    <w:rsid w:val="00152DE3"/>
    <w:rsid w:val="00161865"/>
    <w:rsid w:val="00164CF9"/>
    <w:rsid w:val="001667A6"/>
    <w:rsid w:val="00172A30"/>
    <w:rsid w:val="00184AD6"/>
    <w:rsid w:val="001A4AF7"/>
    <w:rsid w:val="001B0349"/>
    <w:rsid w:val="001B1E93"/>
    <w:rsid w:val="001B65C1"/>
    <w:rsid w:val="001C684B"/>
    <w:rsid w:val="001D0CFB"/>
    <w:rsid w:val="001D21AF"/>
    <w:rsid w:val="001D53FC"/>
    <w:rsid w:val="001F42A5"/>
    <w:rsid w:val="001F7B9D"/>
    <w:rsid w:val="001F7F35"/>
    <w:rsid w:val="00201C93"/>
    <w:rsid w:val="002074E5"/>
    <w:rsid w:val="00210407"/>
    <w:rsid w:val="002224B4"/>
    <w:rsid w:val="002447EF"/>
    <w:rsid w:val="00251550"/>
    <w:rsid w:val="0025512E"/>
    <w:rsid w:val="00263B05"/>
    <w:rsid w:val="00266DA5"/>
    <w:rsid w:val="0027221A"/>
    <w:rsid w:val="0027385C"/>
    <w:rsid w:val="00275B61"/>
    <w:rsid w:val="00280FAF"/>
    <w:rsid w:val="00282656"/>
    <w:rsid w:val="00296B83"/>
    <w:rsid w:val="002B4015"/>
    <w:rsid w:val="002B78CE"/>
    <w:rsid w:val="002C2FB6"/>
    <w:rsid w:val="002C48C7"/>
    <w:rsid w:val="002C6440"/>
    <w:rsid w:val="002D7FFB"/>
    <w:rsid w:val="002E5FA7"/>
    <w:rsid w:val="002F3309"/>
    <w:rsid w:val="003008CE"/>
    <w:rsid w:val="003009B7"/>
    <w:rsid w:val="00300E56"/>
    <w:rsid w:val="0030152C"/>
    <w:rsid w:val="0030469C"/>
    <w:rsid w:val="00306C8E"/>
    <w:rsid w:val="00321CA6"/>
    <w:rsid w:val="00323763"/>
    <w:rsid w:val="00323C5F"/>
    <w:rsid w:val="00334C09"/>
    <w:rsid w:val="00355F47"/>
    <w:rsid w:val="003723D4"/>
    <w:rsid w:val="00374F0E"/>
    <w:rsid w:val="00381905"/>
    <w:rsid w:val="00384CC8"/>
    <w:rsid w:val="003871FD"/>
    <w:rsid w:val="003A1E30"/>
    <w:rsid w:val="003A2829"/>
    <w:rsid w:val="003A7D1C"/>
    <w:rsid w:val="003B304B"/>
    <w:rsid w:val="003B3146"/>
    <w:rsid w:val="003E7328"/>
    <w:rsid w:val="003F015E"/>
    <w:rsid w:val="003F41F3"/>
    <w:rsid w:val="003F7431"/>
    <w:rsid w:val="00400414"/>
    <w:rsid w:val="00410943"/>
    <w:rsid w:val="0041446B"/>
    <w:rsid w:val="00431D67"/>
    <w:rsid w:val="0044071E"/>
    <w:rsid w:val="0044329C"/>
    <w:rsid w:val="004461DA"/>
    <w:rsid w:val="00453E24"/>
    <w:rsid w:val="00457456"/>
    <w:rsid w:val="004577FE"/>
    <w:rsid w:val="00457B9C"/>
    <w:rsid w:val="0046164A"/>
    <w:rsid w:val="004628D2"/>
    <w:rsid w:val="00462DCD"/>
    <w:rsid w:val="004648AD"/>
    <w:rsid w:val="004703A9"/>
    <w:rsid w:val="004760DE"/>
    <w:rsid w:val="004763D7"/>
    <w:rsid w:val="004A004E"/>
    <w:rsid w:val="004A24CF"/>
    <w:rsid w:val="004C3D1D"/>
    <w:rsid w:val="004C3D84"/>
    <w:rsid w:val="004C7913"/>
    <w:rsid w:val="004D482F"/>
    <w:rsid w:val="004E4DD6"/>
    <w:rsid w:val="004F3725"/>
    <w:rsid w:val="004F5E36"/>
    <w:rsid w:val="00507B47"/>
    <w:rsid w:val="00507BEF"/>
    <w:rsid w:val="00507CC9"/>
    <w:rsid w:val="005119A5"/>
    <w:rsid w:val="005278B7"/>
    <w:rsid w:val="00532016"/>
    <w:rsid w:val="005346C8"/>
    <w:rsid w:val="00543E7D"/>
    <w:rsid w:val="00547756"/>
    <w:rsid w:val="00547A68"/>
    <w:rsid w:val="005531C9"/>
    <w:rsid w:val="00557E00"/>
    <w:rsid w:val="00570C43"/>
    <w:rsid w:val="00592B60"/>
    <w:rsid w:val="005B2110"/>
    <w:rsid w:val="005B61E6"/>
    <w:rsid w:val="005C77E1"/>
    <w:rsid w:val="005D668A"/>
    <w:rsid w:val="005D6A2F"/>
    <w:rsid w:val="005E1A82"/>
    <w:rsid w:val="005E794C"/>
    <w:rsid w:val="005F0A28"/>
    <w:rsid w:val="005F0E5E"/>
    <w:rsid w:val="00600535"/>
    <w:rsid w:val="00610CD6"/>
    <w:rsid w:val="00620DEE"/>
    <w:rsid w:val="00621F92"/>
    <w:rsid w:val="00622114"/>
    <w:rsid w:val="0062280A"/>
    <w:rsid w:val="00625639"/>
    <w:rsid w:val="00631B33"/>
    <w:rsid w:val="0064184D"/>
    <w:rsid w:val="006422CC"/>
    <w:rsid w:val="00660E3E"/>
    <w:rsid w:val="00662E74"/>
    <w:rsid w:val="00675D32"/>
    <w:rsid w:val="00680C23"/>
    <w:rsid w:val="00681460"/>
    <w:rsid w:val="00693766"/>
    <w:rsid w:val="00694919"/>
    <w:rsid w:val="006A3281"/>
    <w:rsid w:val="006B4888"/>
    <w:rsid w:val="006B6CFD"/>
    <w:rsid w:val="006C2E45"/>
    <w:rsid w:val="006C359C"/>
    <w:rsid w:val="006C5579"/>
    <w:rsid w:val="006D6E8B"/>
    <w:rsid w:val="006E737D"/>
    <w:rsid w:val="00707DD1"/>
    <w:rsid w:val="00713973"/>
    <w:rsid w:val="00720A24"/>
    <w:rsid w:val="0072479F"/>
    <w:rsid w:val="00732386"/>
    <w:rsid w:val="00734C7F"/>
    <w:rsid w:val="0073514D"/>
    <w:rsid w:val="007447F3"/>
    <w:rsid w:val="0075499F"/>
    <w:rsid w:val="007661C8"/>
    <w:rsid w:val="0077098D"/>
    <w:rsid w:val="00783D61"/>
    <w:rsid w:val="007910B8"/>
    <w:rsid w:val="007931FA"/>
    <w:rsid w:val="007A4861"/>
    <w:rsid w:val="007A7BBA"/>
    <w:rsid w:val="007B0C50"/>
    <w:rsid w:val="007B48F9"/>
    <w:rsid w:val="007C1A43"/>
    <w:rsid w:val="007D0951"/>
    <w:rsid w:val="007D2AFF"/>
    <w:rsid w:val="0080013E"/>
    <w:rsid w:val="00813288"/>
    <w:rsid w:val="008168FC"/>
    <w:rsid w:val="008274CA"/>
    <w:rsid w:val="00830996"/>
    <w:rsid w:val="008345F1"/>
    <w:rsid w:val="00865B07"/>
    <w:rsid w:val="008667EA"/>
    <w:rsid w:val="0087637F"/>
    <w:rsid w:val="00892AD5"/>
    <w:rsid w:val="008957D5"/>
    <w:rsid w:val="008A1512"/>
    <w:rsid w:val="008C2143"/>
    <w:rsid w:val="008D32B9"/>
    <w:rsid w:val="008D433B"/>
    <w:rsid w:val="008D4A16"/>
    <w:rsid w:val="008E566E"/>
    <w:rsid w:val="008E58F7"/>
    <w:rsid w:val="008F3E51"/>
    <w:rsid w:val="0090161A"/>
    <w:rsid w:val="00901EB6"/>
    <w:rsid w:val="00904C62"/>
    <w:rsid w:val="00922BA8"/>
    <w:rsid w:val="00924DAC"/>
    <w:rsid w:val="00927058"/>
    <w:rsid w:val="00942750"/>
    <w:rsid w:val="009450CE"/>
    <w:rsid w:val="009459BB"/>
    <w:rsid w:val="00947179"/>
    <w:rsid w:val="0095164B"/>
    <w:rsid w:val="00954090"/>
    <w:rsid w:val="009557F6"/>
    <w:rsid w:val="009573E7"/>
    <w:rsid w:val="00963E05"/>
    <w:rsid w:val="00964A45"/>
    <w:rsid w:val="00967843"/>
    <w:rsid w:val="00967A4A"/>
    <w:rsid w:val="00967D54"/>
    <w:rsid w:val="00971028"/>
    <w:rsid w:val="00993B84"/>
    <w:rsid w:val="00996483"/>
    <w:rsid w:val="00996F5A"/>
    <w:rsid w:val="009B041A"/>
    <w:rsid w:val="009B6BC3"/>
    <w:rsid w:val="009C37C3"/>
    <w:rsid w:val="009C7C86"/>
    <w:rsid w:val="009D2FF7"/>
    <w:rsid w:val="009E7884"/>
    <w:rsid w:val="009E788A"/>
    <w:rsid w:val="009F0E08"/>
    <w:rsid w:val="00A03329"/>
    <w:rsid w:val="00A1763D"/>
    <w:rsid w:val="00A17CEC"/>
    <w:rsid w:val="00A26609"/>
    <w:rsid w:val="00A27EF0"/>
    <w:rsid w:val="00A36452"/>
    <w:rsid w:val="00A374E4"/>
    <w:rsid w:val="00A42361"/>
    <w:rsid w:val="00A50B20"/>
    <w:rsid w:val="00A51390"/>
    <w:rsid w:val="00A60D13"/>
    <w:rsid w:val="00A714EF"/>
    <w:rsid w:val="00A7223D"/>
    <w:rsid w:val="00A72745"/>
    <w:rsid w:val="00A76EFC"/>
    <w:rsid w:val="00A87D50"/>
    <w:rsid w:val="00A91010"/>
    <w:rsid w:val="00A97F29"/>
    <w:rsid w:val="00AA702E"/>
    <w:rsid w:val="00AA7D26"/>
    <w:rsid w:val="00AB0964"/>
    <w:rsid w:val="00AB5011"/>
    <w:rsid w:val="00AC7368"/>
    <w:rsid w:val="00AD16B9"/>
    <w:rsid w:val="00AE377D"/>
    <w:rsid w:val="00AF0EBA"/>
    <w:rsid w:val="00AF46C8"/>
    <w:rsid w:val="00B02C8A"/>
    <w:rsid w:val="00B17FBD"/>
    <w:rsid w:val="00B315A6"/>
    <w:rsid w:val="00B31813"/>
    <w:rsid w:val="00B33365"/>
    <w:rsid w:val="00B37C5D"/>
    <w:rsid w:val="00B57B36"/>
    <w:rsid w:val="00B57E6F"/>
    <w:rsid w:val="00B8686D"/>
    <w:rsid w:val="00B93864"/>
    <w:rsid w:val="00B93F69"/>
    <w:rsid w:val="00BA5B38"/>
    <w:rsid w:val="00BB1DDC"/>
    <w:rsid w:val="00BB3947"/>
    <w:rsid w:val="00BC30C9"/>
    <w:rsid w:val="00BD077D"/>
    <w:rsid w:val="00BE3E58"/>
    <w:rsid w:val="00BE4FF3"/>
    <w:rsid w:val="00C01616"/>
    <w:rsid w:val="00C0162B"/>
    <w:rsid w:val="00C03AB5"/>
    <w:rsid w:val="00C068ED"/>
    <w:rsid w:val="00C22E0C"/>
    <w:rsid w:val="00C24AF1"/>
    <w:rsid w:val="00C345B1"/>
    <w:rsid w:val="00C40142"/>
    <w:rsid w:val="00C52C3C"/>
    <w:rsid w:val="00C57182"/>
    <w:rsid w:val="00C57863"/>
    <w:rsid w:val="00C63BC2"/>
    <w:rsid w:val="00C640AF"/>
    <w:rsid w:val="00C655FD"/>
    <w:rsid w:val="00C75407"/>
    <w:rsid w:val="00C83447"/>
    <w:rsid w:val="00C841C6"/>
    <w:rsid w:val="00C870A8"/>
    <w:rsid w:val="00C94434"/>
    <w:rsid w:val="00C94EE0"/>
    <w:rsid w:val="00CA0D75"/>
    <w:rsid w:val="00CA1C95"/>
    <w:rsid w:val="00CA5A9C"/>
    <w:rsid w:val="00CA68C1"/>
    <w:rsid w:val="00CC4C20"/>
    <w:rsid w:val="00CC7763"/>
    <w:rsid w:val="00CD3517"/>
    <w:rsid w:val="00CD5FE2"/>
    <w:rsid w:val="00CE7C68"/>
    <w:rsid w:val="00CF37AD"/>
    <w:rsid w:val="00D02B4C"/>
    <w:rsid w:val="00D040C4"/>
    <w:rsid w:val="00D16111"/>
    <w:rsid w:val="00D20AD1"/>
    <w:rsid w:val="00D2582C"/>
    <w:rsid w:val="00D46B7E"/>
    <w:rsid w:val="00D57C84"/>
    <w:rsid w:val="00D6057D"/>
    <w:rsid w:val="00D6613F"/>
    <w:rsid w:val="00D71640"/>
    <w:rsid w:val="00D836C5"/>
    <w:rsid w:val="00D84576"/>
    <w:rsid w:val="00D902FB"/>
    <w:rsid w:val="00DA1399"/>
    <w:rsid w:val="00DA24C6"/>
    <w:rsid w:val="00DA4D7B"/>
    <w:rsid w:val="00DC63D3"/>
    <w:rsid w:val="00DD0A5B"/>
    <w:rsid w:val="00DD1CA6"/>
    <w:rsid w:val="00DD271C"/>
    <w:rsid w:val="00DE0BE5"/>
    <w:rsid w:val="00DE264A"/>
    <w:rsid w:val="00DF5072"/>
    <w:rsid w:val="00E02D18"/>
    <w:rsid w:val="00E041E7"/>
    <w:rsid w:val="00E23CA1"/>
    <w:rsid w:val="00E409A8"/>
    <w:rsid w:val="00E50C12"/>
    <w:rsid w:val="00E557D2"/>
    <w:rsid w:val="00E65B91"/>
    <w:rsid w:val="00E7209D"/>
    <w:rsid w:val="00E72EAD"/>
    <w:rsid w:val="00E77223"/>
    <w:rsid w:val="00E8528B"/>
    <w:rsid w:val="00E85B94"/>
    <w:rsid w:val="00E915D3"/>
    <w:rsid w:val="00E978D0"/>
    <w:rsid w:val="00EA395D"/>
    <w:rsid w:val="00EA4613"/>
    <w:rsid w:val="00EA7F91"/>
    <w:rsid w:val="00EB1523"/>
    <w:rsid w:val="00EC0E49"/>
    <w:rsid w:val="00EC101F"/>
    <w:rsid w:val="00EC1D9F"/>
    <w:rsid w:val="00ED7116"/>
    <w:rsid w:val="00EE0131"/>
    <w:rsid w:val="00EE17B0"/>
    <w:rsid w:val="00EE7F94"/>
    <w:rsid w:val="00EF06D9"/>
    <w:rsid w:val="00F0258F"/>
    <w:rsid w:val="00F03276"/>
    <w:rsid w:val="00F3049E"/>
    <w:rsid w:val="00F30C64"/>
    <w:rsid w:val="00F32BA2"/>
    <w:rsid w:val="00F32CDB"/>
    <w:rsid w:val="00F565FE"/>
    <w:rsid w:val="00F63A70"/>
    <w:rsid w:val="00F63D8C"/>
    <w:rsid w:val="00F66807"/>
    <w:rsid w:val="00F7534E"/>
    <w:rsid w:val="00F93EDF"/>
    <w:rsid w:val="00FA1802"/>
    <w:rsid w:val="00FA21D0"/>
    <w:rsid w:val="00FA5F5F"/>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C4EF81B0-6E80-48AA-9437-839C0286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Strong">
    <w:name w:val="Strong"/>
    <w:basedOn w:val="DefaultParagraphFont"/>
    <w:uiPriority w:val="22"/>
    <w:qFormat/>
    <w:rsid w:val="00E557D2"/>
    <w:rPr>
      <w:b/>
      <w:bCs/>
    </w:rPr>
  </w:style>
  <w:style w:type="character" w:styleId="UnresolvedMention">
    <w:name w:val="Unresolved Mention"/>
    <w:basedOn w:val="DefaultParagraphFont"/>
    <w:uiPriority w:val="99"/>
    <w:semiHidden/>
    <w:unhideWhenUsed/>
    <w:rsid w:val="008274CA"/>
    <w:rPr>
      <w:color w:val="605E5C"/>
      <w:shd w:val="clear" w:color="auto" w:fill="E1DFDD"/>
    </w:rPr>
  </w:style>
  <w:style w:type="paragraph" w:styleId="Revision">
    <w:name w:val="Revision"/>
    <w:hidden/>
    <w:uiPriority w:val="99"/>
    <w:semiHidden/>
    <w:rsid w:val="008957D5"/>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98556038">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sunhwa.park@kfupm.edu.s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2691</Words>
  <Characters>15343</Characters>
  <Application>Microsoft Office Word</Application>
  <DocSecurity>0</DocSecurity>
  <Lines>127</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Sunhwa Park</cp:lastModifiedBy>
  <cp:revision>5</cp:revision>
  <cp:lastPrinted>2015-05-12T18:31:00Z</cp:lastPrinted>
  <dcterms:created xsi:type="dcterms:W3CDTF">2026-01-07T07:34:00Z</dcterms:created>
  <dcterms:modified xsi:type="dcterms:W3CDTF">2026-02-22T15:13:00Z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5c149351-9c1f-458a-a01c-2881e6f1c33a</vt:lpwstr>
  </property>
</Properties>
</file>